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201B" w:rsidRDefault="00E8201B" w14:paraId="22AE003C" w14:textId="77777777">
      <w:pPr>
        <w:tabs>
          <w:tab w:val="left" w:pos="8640"/>
        </w:tabs>
        <w:ind w:left="0" w:firstLine="0"/>
        <w:jc w:val="center"/>
        <w:rPr>
          <w:rFonts w:ascii="Arial" w:hAnsi="Arial" w:cs="Arial"/>
          <w:b/>
          <w:caps/>
          <w:sz w:val="32"/>
          <w:szCs w:val="32"/>
        </w:rPr>
      </w:pPr>
    </w:p>
    <w:p w:rsidRPr="004846F7" w:rsidR="00F82496" w:rsidP="00B11D91" w:rsidRDefault="004846F7" w14:paraId="7BDF116E" w14:textId="35E423A8">
      <w:pPr>
        <w:tabs>
          <w:tab w:val="left" w:pos="8640"/>
        </w:tabs>
        <w:ind w:left="0" w:firstLine="0"/>
        <w:jc w:val="center"/>
        <w:rPr>
          <w:rFonts w:ascii="Arial" w:hAnsi="Arial" w:cs="Arial"/>
          <w:b/>
          <w:caps/>
          <w:sz w:val="32"/>
          <w:szCs w:val="32"/>
        </w:rPr>
      </w:pPr>
      <w:r w:rsidRPr="004846F7">
        <w:rPr>
          <w:rFonts w:ascii="Arial" w:hAnsi="Arial" w:cs="Arial"/>
          <w:b/>
          <w:caps/>
          <w:sz w:val="32"/>
          <w:szCs w:val="32"/>
        </w:rPr>
        <w:t xml:space="preserve">Fitness-for-Duty Programs for Commercial Power Reactor and Category I </w:t>
      </w:r>
      <w:r w:rsidR="00B73BD7">
        <w:rPr>
          <w:rFonts w:ascii="Arial" w:hAnsi="Arial" w:cs="Arial"/>
          <w:b/>
          <w:caps/>
          <w:sz w:val="32"/>
          <w:szCs w:val="32"/>
        </w:rPr>
        <w:t>SPECIAL NUCLEAR MATERIAL LICENSE</w:t>
      </w:r>
      <w:r w:rsidRPr="004846F7">
        <w:rPr>
          <w:rFonts w:ascii="Arial" w:hAnsi="Arial" w:cs="Arial"/>
          <w:b/>
          <w:caps/>
          <w:sz w:val="32"/>
          <w:szCs w:val="32"/>
        </w:rPr>
        <w:t>es</w:t>
      </w:r>
    </w:p>
    <w:p w:rsidRPr="007A7F1B" w:rsidR="00F82496" w:rsidP="00B11D91" w:rsidRDefault="00F82496" w14:paraId="37AC960F" w14:textId="77777777">
      <w:pPr>
        <w:tabs>
          <w:tab w:val="left" w:pos="8640"/>
        </w:tabs>
        <w:ind w:left="0" w:firstLine="0"/>
      </w:pPr>
    </w:p>
    <w:p w:rsidRPr="007A7F1B" w:rsidR="00F82496" w:rsidP="00F82496" w:rsidRDefault="00F82496" w14:paraId="730582E8" w14:textId="401513A2">
      <w:pPr>
        <w:jc w:val="center"/>
        <w:rPr>
          <w:b/>
        </w:rPr>
      </w:pPr>
      <w:r w:rsidRPr="007A7F1B">
        <w:rPr>
          <w:b/>
          <w:sz w:val="28"/>
        </w:rPr>
        <w:t>A.  INTRODUCTION</w:t>
      </w:r>
    </w:p>
    <w:p w:rsidRPr="007A7F1B" w:rsidR="00F82496" w:rsidP="0037057F" w:rsidRDefault="00F82496" w14:paraId="357BE6BB" w14:textId="77777777">
      <w:pPr>
        <w:ind w:left="0" w:firstLine="0"/>
      </w:pPr>
    </w:p>
    <w:p w:rsidRPr="007A7F1B" w:rsidR="00F82496" w:rsidP="006B6582" w:rsidRDefault="00F82496" w14:paraId="6D4F75DD" w14:textId="77777777">
      <w:pPr>
        <w:ind w:left="0" w:firstLine="0"/>
        <w:rPr>
          <w:b/>
        </w:rPr>
      </w:pPr>
      <w:r w:rsidRPr="007A7F1B">
        <w:rPr>
          <w:b/>
        </w:rPr>
        <w:t xml:space="preserve">Purpose  </w:t>
      </w:r>
    </w:p>
    <w:p w:rsidRPr="007A7F1B" w:rsidR="00F82496" w:rsidP="006B6582" w:rsidRDefault="00F82496" w14:paraId="1C6988A3" w14:textId="77777777">
      <w:pPr>
        <w:ind w:left="0" w:firstLine="0"/>
      </w:pPr>
    </w:p>
    <w:p w:rsidRPr="007A7F1B" w:rsidR="00F82496" w:rsidP="009153ED" w:rsidRDefault="00F82496" w14:paraId="17AB97AE" w14:textId="29D4C85E">
      <w:pPr>
        <w:ind w:left="0" w:firstLine="0"/>
      </w:pPr>
      <w:r w:rsidRPr="007A7F1B">
        <w:tab/>
      </w:r>
      <w:r w:rsidRPr="007A7F1B" w:rsidR="63A2839A">
        <w:t>This regulatory guide (RG) describes methods and procedures the staff of the U.S.</w:t>
      </w:r>
      <w:r w:rsidR="63A2839A">
        <w:t> </w:t>
      </w:r>
      <w:r w:rsidRPr="007A7F1B" w:rsidR="63A2839A">
        <w:t xml:space="preserve">Nuclear Regulatory Commission (NRC) considers acceptable for </w:t>
      </w:r>
      <w:r w:rsidR="63A2839A">
        <w:t xml:space="preserve">certain </w:t>
      </w:r>
      <w:r w:rsidRPr="007A7F1B" w:rsidR="63A2839A">
        <w:t>nuclear facility applicants and licensees to demonstrate compliance with NRC regulations pertaining to the collection</w:t>
      </w:r>
      <w:r w:rsidR="63A2839A">
        <w:t xml:space="preserve"> of </w:t>
      </w:r>
      <w:r w:rsidDel="003A45DF" w:rsidR="63A2839A">
        <w:t xml:space="preserve">urine </w:t>
      </w:r>
      <w:r w:rsidR="63A2839A">
        <w:t>specimens and the review of test results</w:t>
      </w:r>
      <w:r w:rsidRPr="007A7F1B" w:rsidR="63A2839A">
        <w:t xml:space="preserve"> in accordance with Title 10 of the </w:t>
      </w:r>
      <w:r w:rsidRPr="3DF0AEE0" w:rsidR="63A2839A">
        <w:rPr>
          <w:i/>
          <w:iCs/>
        </w:rPr>
        <w:t>Code of Federal Regulations</w:t>
      </w:r>
      <w:r w:rsidR="63A2839A">
        <w:t xml:space="preserve"> (10 CFR)</w:t>
      </w:r>
      <w:r w:rsidRPr="007A7F1B" w:rsidR="63A2839A">
        <w:t xml:space="preserve"> Part</w:t>
      </w:r>
      <w:r w:rsidR="63A2839A">
        <w:t> </w:t>
      </w:r>
      <w:r w:rsidRPr="007A7F1B" w:rsidR="63A2839A">
        <w:t>26, “Fitness for Duty Programs” (Ref.</w:t>
      </w:r>
      <w:r w:rsidR="63A2839A">
        <w:t> </w:t>
      </w:r>
      <w:r w:rsidRPr="007A7F1B" w:rsidR="63A2839A">
        <w:t>1).</w:t>
      </w:r>
    </w:p>
    <w:p w:rsidRPr="007A7F1B" w:rsidR="00F82496" w:rsidP="009153ED" w:rsidRDefault="00F82496" w14:paraId="2CE6A61C" w14:textId="77777777">
      <w:pPr>
        <w:ind w:left="0" w:firstLine="0"/>
      </w:pPr>
    </w:p>
    <w:p w:rsidRPr="007A7F1B" w:rsidR="00F82496" w:rsidP="009153ED" w:rsidRDefault="00F82496" w14:paraId="277F46FB" w14:textId="09794399">
      <w:pPr>
        <w:ind w:left="0" w:firstLine="0"/>
        <w:rPr>
          <w:b/>
        </w:rPr>
      </w:pPr>
      <w:r w:rsidRPr="007A7F1B">
        <w:rPr>
          <w:b/>
        </w:rPr>
        <w:t>Applicability</w:t>
      </w:r>
    </w:p>
    <w:p w:rsidRPr="007A7F1B" w:rsidR="00F82496" w:rsidP="009153ED" w:rsidRDefault="00F82496" w14:paraId="58D2D79C" w14:textId="77777777">
      <w:pPr>
        <w:ind w:left="0" w:firstLine="0"/>
      </w:pPr>
    </w:p>
    <w:p w:rsidRPr="007A7F1B" w:rsidR="00F82496" w:rsidP="009153ED" w:rsidRDefault="00F82496" w14:paraId="2BA66001" w14:textId="77777777">
      <w:pPr>
        <w:ind w:left="0" w:firstLine="0"/>
      </w:pPr>
      <w:r w:rsidRPr="007A7F1B">
        <w:tab/>
        <w:t xml:space="preserve">This RG </w:t>
      </w:r>
      <w:r>
        <w:t>applies</w:t>
      </w:r>
      <w:r w:rsidRPr="007A7F1B">
        <w:t xml:space="preserve"> to all nuclear facilities subject to the regulatory requirements </w:t>
      </w:r>
      <w:r>
        <w:t>in</w:t>
      </w:r>
      <w:r w:rsidRPr="007A7F1B">
        <w:t xml:space="preserve"> 10 CFR</w:t>
      </w:r>
      <w:r>
        <w:t> </w:t>
      </w:r>
      <w:r w:rsidRPr="007A7F1B">
        <w:t>26.3, “Scope</w:t>
      </w:r>
      <w:r>
        <w:t>.</w:t>
      </w:r>
      <w:r w:rsidRPr="007A7F1B">
        <w:t>”</w:t>
      </w:r>
    </w:p>
    <w:p w:rsidRPr="007A7F1B" w:rsidR="00F82496" w:rsidP="009153ED" w:rsidRDefault="00F82496" w14:paraId="28BDC228" w14:textId="77777777"/>
    <w:p w:rsidRPr="007A7F1B" w:rsidR="00F82496" w:rsidP="009153ED" w:rsidRDefault="00F82496" w14:paraId="12CE506D" w14:textId="2B9CB0EA">
      <w:pPr>
        <w:rPr>
          <w:b/>
        </w:rPr>
      </w:pPr>
      <w:r w:rsidRPr="007A7F1B">
        <w:rPr>
          <w:b/>
        </w:rPr>
        <w:t>Applicable Regulations</w:t>
      </w:r>
    </w:p>
    <w:p w:rsidRPr="007A7F1B" w:rsidR="00F82496" w:rsidP="009153ED" w:rsidRDefault="00F82496" w14:paraId="0FF01B8D" w14:textId="77777777"/>
    <w:p w:rsidRPr="007A7F1B" w:rsidR="00F82496" w:rsidP="00977BBD" w:rsidRDefault="00F82496" w14:paraId="095D9B4F" w14:textId="5DE9F4C9">
      <w:pPr>
        <w:pStyle w:val="ListParagraph"/>
        <w:numPr>
          <w:ilvl w:val="0"/>
          <w:numId w:val="20"/>
        </w:numPr>
        <w:ind w:left="720"/>
        <w:contextualSpacing w:val="0"/>
      </w:pPr>
      <w:r>
        <w:rPr>
          <w:szCs w:val="22"/>
        </w:rPr>
        <w:t xml:space="preserve">The regulations at </w:t>
      </w:r>
      <w:r w:rsidRPr="00D23A3D">
        <w:rPr>
          <w:szCs w:val="22"/>
        </w:rPr>
        <w:t>10</w:t>
      </w:r>
      <w:r>
        <w:rPr>
          <w:szCs w:val="22"/>
        </w:rPr>
        <w:t> </w:t>
      </w:r>
      <w:r w:rsidRPr="00D23A3D">
        <w:rPr>
          <w:szCs w:val="22"/>
        </w:rPr>
        <w:t>CFR</w:t>
      </w:r>
      <w:r>
        <w:rPr>
          <w:szCs w:val="22"/>
        </w:rPr>
        <w:t> </w:t>
      </w:r>
      <w:r w:rsidRPr="00D23A3D">
        <w:rPr>
          <w:szCs w:val="22"/>
        </w:rPr>
        <w:t>Part</w:t>
      </w:r>
      <w:r>
        <w:rPr>
          <w:szCs w:val="22"/>
        </w:rPr>
        <w:t> </w:t>
      </w:r>
      <w:r w:rsidRPr="00D23A3D">
        <w:rPr>
          <w:szCs w:val="22"/>
        </w:rPr>
        <w:t xml:space="preserve">26 </w:t>
      </w:r>
      <w:r w:rsidRPr="007A7F1B">
        <w:t>establish, in part, requirements for specimen collection; drug and alcohol testing; policies, procedures, and other program elements; audits and corrective actions; quality assurance and verification; recordkeeping and reporting; evaluation of drug test results; determinations of fitness; and sanctions, inspections, violations, and penalties.</w:t>
      </w:r>
    </w:p>
    <w:p w:rsidRPr="007A7F1B" w:rsidR="00F82496" w:rsidP="009153ED" w:rsidRDefault="00F82496" w14:paraId="671BEA2E" w14:textId="77777777">
      <w:pPr>
        <w:ind w:left="0" w:firstLine="0"/>
        <w:rPr>
          <w:b/>
          <w:szCs w:val="22"/>
        </w:rPr>
      </w:pPr>
    </w:p>
    <w:p w:rsidRPr="007A7F1B" w:rsidR="00F82496" w:rsidP="009153ED" w:rsidRDefault="00F82496" w14:paraId="34F3E7AA" w14:textId="77777777">
      <w:pPr>
        <w:ind w:left="0" w:firstLine="0"/>
        <w:rPr>
          <w:b/>
          <w:szCs w:val="22"/>
        </w:rPr>
      </w:pPr>
      <w:r w:rsidRPr="007A7F1B">
        <w:rPr>
          <w:b/>
          <w:szCs w:val="22"/>
        </w:rPr>
        <w:t>Related Guidance</w:t>
      </w:r>
    </w:p>
    <w:p w:rsidRPr="007A7F1B" w:rsidR="00F82496" w:rsidP="009153ED" w:rsidRDefault="00F82496" w14:paraId="0C0B2F64" w14:textId="77777777"/>
    <w:p w:rsidR="00F82496" w:rsidP="008540E6" w:rsidRDefault="00F82496" w14:paraId="2425BF82" w14:textId="16C98D4A">
      <w:pPr>
        <w:pStyle w:val="ListParagraph"/>
        <w:numPr>
          <w:ilvl w:val="0"/>
          <w:numId w:val="20"/>
        </w:numPr>
        <w:ind w:left="720"/>
        <w:contextualSpacing w:val="0"/>
      </w:pPr>
      <w:r w:rsidRPr="00D634D7">
        <w:t>RG</w:t>
      </w:r>
      <w:r>
        <w:t> </w:t>
      </w:r>
      <w:r w:rsidRPr="00D634D7">
        <w:t>5</w:t>
      </w:r>
      <w:r w:rsidRPr="007A7F1B">
        <w:t xml:space="preserve">.84, “Fitness-For-Duty Programs </w:t>
      </w:r>
      <w:r>
        <w:t>a</w:t>
      </w:r>
      <w:r w:rsidRPr="007A7F1B">
        <w:t>t New Reactor Construction Sites” (Ref</w:t>
      </w:r>
      <w:r>
        <w:t>.</w:t>
      </w:r>
      <w:r w:rsidRPr="007A7F1B">
        <w:t xml:space="preserve"> 2)</w:t>
      </w:r>
      <w:r>
        <w:t>,</w:t>
      </w:r>
      <w:r w:rsidRPr="007A7F1B">
        <w:t xml:space="preserve"> endorses the methods</w:t>
      </w:r>
      <w:r>
        <w:t xml:space="preserve"> used</w:t>
      </w:r>
      <w:r w:rsidRPr="007A7F1B">
        <w:t xml:space="preserve"> to develop a </w:t>
      </w:r>
      <w:r>
        <w:t>f</w:t>
      </w:r>
      <w:r w:rsidRPr="007A7F1B">
        <w:t>itness-</w:t>
      </w:r>
      <w:r>
        <w:t>f</w:t>
      </w:r>
      <w:r w:rsidRPr="007A7F1B">
        <w:t>or-</w:t>
      </w:r>
      <w:r>
        <w:t>d</w:t>
      </w:r>
      <w:r w:rsidRPr="007A7F1B">
        <w:t>uty (FFD) program at new reactor construction sites as described in the industry guidance document Nuclear Energy Institute (NEI)</w:t>
      </w:r>
      <w:r>
        <w:t> </w:t>
      </w:r>
      <w:r w:rsidRPr="007A7F1B">
        <w:t>06</w:t>
      </w:r>
      <w:r>
        <w:noBreakHyphen/>
      </w:r>
      <w:r w:rsidRPr="007A7F1B">
        <w:t>06, “Fitness</w:t>
      </w:r>
      <w:r>
        <w:noBreakHyphen/>
      </w:r>
      <w:r w:rsidRPr="007A7F1B">
        <w:t>for</w:t>
      </w:r>
      <w:r>
        <w:noBreakHyphen/>
      </w:r>
      <w:r w:rsidRPr="007A7F1B">
        <w:t>Duty Guidance for New Nuclear Power Plant Constructions Sites</w:t>
      </w:r>
      <w:r>
        <w:t>,</w:t>
      </w:r>
      <w:r w:rsidRPr="007A7F1B">
        <w:t>”</w:t>
      </w:r>
      <w:r>
        <w:t xml:space="preserve"> Revision 6, </w:t>
      </w:r>
      <w:r>
        <w:lastRenderedPageBreak/>
        <w:t>issued April 2013</w:t>
      </w:r>
      <w:r w:rsidRPr="007A7F1B">
        <w:t xml:space="preserve"> (Ref</w:t>
      </w:r>
      <w:r>
        <w:t>. </w:t>
      </w:r>
      <w:r w:rsidRPr="007A7F1B">
        <w:t>3)</w:t>
      </w:r>
      <w:r w:rsidR="003C60DD">
        <w:t xml:space="preserve">. </w:t>
      </w:r>
      <w:r w:rsidRPr="007A7F1B">
        <w:t xml:space="preserve">The guidance applies to licensees, applicants, and </w:t>
      </w:r>
      <w:r>
        <w:t>contractor/vendors</w:t>
      </w:r>
      <w:r w:rsidRPr="007A7F1B">
        <w:t xml:space="preserve"> who implement </w:t>
      </w:r>
      <w:r>
        <w:t>FFD programs.</w:t>
      </w:r>
    </w:p>
    <w:p w:rsidRPr="007A7F1B" w:rsidR="00F46437" w:rsidP="00F46437" w:rsidRDefault="00F46437" w14:paraId="5730B032" w14:textId="77777777">
      <w:pPr>
        <w:pStyle w:val="ListParagraph"/>
        <w:ind w:firstLine="0"/>
        <w:contextualSpacing w:val="0"/>
      </w:pPr>
    </w:p>
    <w:p w:rsidRPr="007A7F1B" w:rsidR="00F82496" w:rsidP="008540E6" w:rsidRDefault="00F82496" w14:paraId="01E4636E" w14:textId="10F623F7">
      <w:pPr>
        <w:pStyle w:val="ListParagraph"/>
        <w:numPr>
          <w:ilvl w:val="0"/>
          <w:numId w:val="20"/>
        </w:numPr>
        <w:ind w:left="720"/>
      </w:pPr>
      <w:r w:rsidRPr="007A7F1B">
        <w:t>U.S.</w:t>
      </w:r>
      <w:r>
        <w:t> </w:t>
      </w:r>
      <w:r w:rsidRPr="007A7F1B">
        <w:t>Department of Health and Human Services</w:t>
      </w:r>
      <w:r w:rsidR="008653B2">
        <w:t>’</w:t>
      </w:r>
      <w:r w:rsidRPr="007A7F1B">
        <w:t xml:space="preserve"> (HHS) “Mandatory Guidelines for Federal Workplace Drug Testing Programs”</w:t>
      </w:r>
      <w:r>
        <w:t xml:space="preserve"> (HHS Guidelines)</w:t>
      </w:r>
      <w:r w:rsidRPr="007A7F1B">
        <w:t xml:space="preserve"> (Ref.</w:t>
      </w:r>
      <w:r>
        <w:t> </w:t>
      </w:r>
      <w:r w:rsidRPr="007A7F1B">
        <w:t>4).</w:t>
      </w:r>
    </w:p>
    <w:p w:rsidRPr="007A7F1B" w:rsidR="00F82496" w:rsidP="006B6582" w:rsidRDefault="00F82496" w14:paraId="31C730B4" w14:textId="77777777"/>
    <w:p w:rsidRPr="007A7F1B" w:rsidR="00F82496" w:rsidP="006B6582" w:rsidRDefault="00F82496" w14:paraId="41A436A5" w14:textId="77777777">
      <w:pPr>
        <w:rPr>
          <w:b/>
        </w:rPr>
      </w:pPr>
      <w:r w:rsidRPr="007A7F1B">
        <w:rPr>
          <w:b/>
        </w:rPr>
        <w:t>Purpose of Regulatory Guides</w:t>
      </w:r>
    </w:p>
    <w:p w:rsidRPr="007A7F1B" w:rsidR="00F82496" w:rsidP="006B6582" w:rsidRDefault="00F82496" w14:paraId="53D12CD6" w14:textId="77777777"/>
    <w:p w:rsidRPr="007A7F1B" w:rsidR="00F82496" w:rsidP="006B6582" w:rsidRDefault="00F82496" w14:paraId="1AB1DFDE" w14:textId="4426B816">
      <w:pPr>
        <w:ind w:left="0" w:firstLine="720"/>
      </w:pPr>
      <w:r w:rsidRPr="007A7F1B">
        <w:t xml:space="preserve">The NRC issues </w:t>
      </w:r>
      <w:r>
        <w:t xml:space="preserve">regulatory guides </w:t>
      </w:r>
      <w:r w:rsidRPr="007A7F1B">
        <w:t xml:space="preserve">to describe to the public methods that the staff considers acceptable for use in implementing specific parts of the </w:t>
      </w:r>
      <w:r w:rsidR="00A01480">
        <w:t>NRC</w:t>
      </w:r>
      <w:r w:rsidRPr="007A7F1B" w:rsidR="00A01480">
        <w:t xml:space="preserve">’s </w:t>
      </w:r>
      <w:r w:rsidRPr="007A7F1B">
        <w:t>regulations,</w:t>
      </w:r>
      <w:r w:rsidR="008A4DCC">
        <w:t xml:space="preserve"> </w:t>
      </w:r>
      <w:r w:rsidRPr="007A7F1B">
        <w:t>techniques that the staff uses in evaluating specific problems or postulated accidents, and</w:t>
      </w:r>
      <w:r w:rsidRPr="003C60DD" w:rsidR="003C60DD">
        <w:rPr>
          <w:szCs w:val="22"/>
        </w:rPr>
        <w:t xml:space="preserve"> </w:t>
      </w:r>
      <w:r w:rsidRPr="00A0230B" w:rsidR="003C60DD">
        <w:rPr>
          <w:szCs w:val="22"/>
        </w:rPr>
        <w:t>information that the staff needs in its review of applications for permits and licenses</w:t>
      </w:r>
      <w:r w:rsidR="003C60DD">
        <w:t xml:space="preserve">. </w:t>
      </w:r>
      <w:r w:rsidRPr="007A7F1B">
        <w:t>Regulatory guides are not substitutes for regulations</w:t>
      </w:r>
      <w:r>
        <w:t>,</w:t>
      </w:r>
      <w:r w:rsidRPr="007A7F1B">
        <w:t xml:space="preserve"> and compliance with them is not required</w:t>
      </w:r>
      <w:r w:rsidR="003C60DD">
        <w:t xml:space="preserve">. </w:t>
      </w:r>
      <w:r w:rsidRPr="007A7F1B">
        <w:t xml:space="preserve">Methods and solutions that differ from those set forth in </w:t>
      </w:r>
      <w:r>
        <w:t>regulatory guides</w:t>
      </w:r>
      <w:r w:rsidRPr="007A7F1B">
        <w:t xml:space="preserve"> will be deemed acceptable if they provide a basis for the findings required for the issuance or continuance of a permit or license by the Commission.</w:t>
      </w:r>
    </w:p>
    <w:p w:rsidRPr="007A7F1B" w:rsidR="00F82496" w:rsidP="00900D9D" w:rsidRDefault="00F82496" w14:paraId="34E5FE1F" w14:textId="77777777"/>
    <w:p w:rsidRPr="007A7F1B" w:rsidR="00F82496" w:rsidP="006B6582" w:rsidRDefault="00F82496" w14:paraId="7652C71F" w14:textId="77777777">
      <w:pPr>
        <w:rPr>
          <w:b/>
        </w:rPr>
      </w:pPr>
      <w:r w:rsidRPr="007A7F1B">
        <w:rPr>
          <w:b/>
        </w:rPr>
        <w:t>Paperwork Reduction Act</w:t>
      </w:r>
    </w:p>
    <w:p w:rsidRPr="007A7F1B" w:rsidR="00F82496" w:rsidP="006B6582" w:rsidRDefault="00F82496" w14:paraId="60ADE4A0" w14:textId="77777777"/>
    <w:p w:rsidRPr="00093FAC" w:rsidR="005E5C59" w:rsidP="005E5C59" w:rsidRDefault="005E5C59" w14:paraId="35379405" w14:textId="58BA2771">
      <w:pPr>
        <w:pStyle w:val="FootnoteText"/>
        <w:ind w:left="0" w:firstLine="720"/>
        <w:rPr>
          <w:sz w:val="22"/>
          <w:szCs w:val="22"/>
        </w:rPr>
      </w:pPr>
      <w:r w:rsidRPr="00093FAC">
        <w:rPr>
          <w:sz w:val="22"/>
          <w:szCs w:val="22"/>
        </w:rPr>
        <w:t>This RG provides voluntary guidance for implementing the mandatory information collections in 10 CFR Parts 26 that are subject to the Paperwork Reduction Act of 1995 (44 U.S.C. 3501 et. seq.). These information collections were approved by the Office of Management and Budget (OMB), approval numbers 3150-0146</w:t>
      </w:r>
      <w:r w:rsidRPr="00093FAC" w:rsidR="005029D8">
        <w:rPr>
          <w:sz w:val="22"/>
          <w:szCs w:val="22"/>
        </w:rPr>
        <w:t>.</w:t>
      </w:r>
      <w:r w:rsidRPr="00093FAC">
        <w:rPr>
          <w:sz w:val="22"/>
          <w:szCs w:val="22"/>
        </w:rPr>
        <w:t xml:space="preserve"> Send comments regarding this information collection to the FOIA, Library, and Information Collections Branch (T6-A10M), U.S. Nuclear Regulatory Commission, Washington, DC 20555</w:t>
      </w:r>
      <w:r w:rsidRPr="00093FAC">
        <w:rPr>
          <w:sz w:val="22"/>
          <w:szCs w:val="22"/>
        </w:rPr>
        <w:noBreakHyphen/>
        <w:t xml:space="preserve">0001, or by e-mail to </w:t>
      </w:r>
      <w:hyperlink w:history="1" r:id="rId11">
        <w:r w:rsidRPr="00093FAC" w:rsidR="00F04EEC">
          <w:rPr>
            <w:rStyle w:val="Hyperlink"/>
            <w:sz w:val="22"/>
            <w:szCs w:val="22"/>
          </w:rPr>
          <w:t>Infocollects.Resource@nrc.gov</w:t>
        </w:r>
      </w:hyperlink>
      <w:r w:rsidRPr="00093FAC">
        <w:rPr>
          <w:sz w:val="22"/>
          <w:szCs w:val="22"/>
        </w:rPr>
        <w:t xml:space="preserve">, and to the OMB reviewer at: OMB Office of Information and Regulatory Affairs </w:t>
      </w:r>
      <w:r w:rsidRPr="00093FAC" w:rsidR="005029D8">
        <w:rPr>
          <w:sz w:val="22"/>
          <w:szCs w:val="22"/>
        </w:rPr>
        <w:t>3150-0146</w:t>
      </w:r>
      <w:r w:rsidRPr="00093FAC">
        <w:rPr>
          <w:sz w:val="22"/>
          <w:szCs w:val="22"/>
        </w:rPr>
        <w:t>, Attn: Desk Officer for the Nuclear Regulatory Commission, 725 17th Street, NW Washington, DC</w:t>
      </w:r>
      <w:r w:rsidRPr="00093FAC" w:rsidR="00693088">
        <w:rPr>
          <w:sz w:val="22"/>
          <w:szCs w:val="22"/>
        </w:rPr>
        <w:t xml:space="preserve"> </w:t>
      </w:r>
      <w:r w:rsidRPr="00093FAC">
        <w:rPr>
          <w:sz w:val="22"/>
          <w:szCs w:val="22"/>
        </w:rPr>
        <w:t xml:space="preserve">20503; e-mail: </w:t>
      </w:r>
      <w:hyperlink w:history="1" r:id="rId12">
        <w:r w:rsidRPr="00093FAC">
          <w:rPr>
            <w:rStyle w:val="Hyperlink"/>
            <w:sz w:val="22"/>
            <w:szCs w:val="22"/>
          </w:rPr>
          <w:t>oira_submission@omb.eop.gov</w:t>
        </w:r>
      </w:hyperlink>
      <w:r w:rsidRPr="00093FAC">
        <w:rPr>
          <w:sz w:val="22"/>
          <w:szCs w:val="22"/>
        </w:rPr>
        <w:t>.</w:t>
      </w:r>
    </w:p>
    <w:p w:rsidR="0037057F" w:rsidP="00900D9D" w:rsidRDefault="0037057F" w14:paraId="5544BA74" w14:textId="77777777">
      <w:pPr>
        <w:rPr>
          <w:szCs w:val="22"/>
        </w:rPr>
      </w:pPr>
    </w:p>
    <w:p w:rsidRPr="007A7F1B" w:rsidR="00F82496" w:rsidP="006B6582" w:rsidRDefault="00F82496" w14:paraId="48B1CFC7" w14:textId="77777777">
      <w:pPr>
        <w:ind w:left="0" w:firstLine="0"/>
        <w:rPr>
          <w:b/>
        </w:rPr>
      </w:pPr>
      <w:r w:rsidRPr="007A7F1B">
        <w:rPr>
          <w:b/>
        </w:rPr>
        <w:t>Public Protection Notification</w:t>
      </w:r>
    </w:p>
    <w:p w:rsidRPr="007A7F1B" w:rsidR="00F82496" w:rsidP="00900D9D" w:rsidRDefault="00F82496" w14:paraId="687CE4C0" w14:textId="77777777"/>
    <w:p w:rsidRPr="007A7F1B" w:rsidR="00F82496" w:rsidP="006B6582" w:rsidRDefault="00F82496" w14:paraId="1A608354" w14:textId="77777777">
      <w:pPr>
        <w:ind w:left="0" w:firstLine="720"/>
      </w:pPr>
      <w:r w:rsidRPr="007A7F1B">
        <w:t>The NRC may not conduct or sponsor, and a person is not required to respond to, a request for information or an information collection requirement unless the requesting document displays a currently valid OMB control number.</w:t>
      </w:r>
    </w:p>
    <w:p w:rsidR="0037057F" w:rsidP="00E471A6" w:rsidRDefault="0037057F" w14:paraId="039ADE5F" w14:textId="77777777">
      <w:r>
        <w:br w:type="page"/>
      </w:r>
    </w:p>
    <w:p w:rsidRPr="007A7F1B" w:rsidR="00F82496" w:rsidP="006B6582" w:rsidRDefault="00F82496" w14:paraId="6751A678" w14:textId="039F14E2">
      <w:pPr>
        <w:jc w:val="center"/>
        <w:rPr>
          <w:b/>
          <w:sz w:val="28"/>
        </w:rPr>
      </w:pPr>
      <w:r w:rsidRPr="007A7F1B">
        <w:rPr>
          <w:b/>
          <w:sz w:val="28"/>
        </w:rPr>
        <w:lastRenderedPageBreak/>
        <w:t>B.  DISCUSSION</w:t>
      </w:r>
    </w:p>
    <w:p w:rsidRPr="007A7F1B" w:rsidR="00F82496" w:rsidP="006B6582" w:rsidRDefault="00F82496" w14:paraId="426C4021" w14:textId="77777777"/>
    <w:p w:rsidRPr="007A7F1B" w:rsidR="00F82496" w:rsidP="00A15192" w:rsidRDefault="00F82496" w14:paraId="4DE51977" w14:textId="77777777">
      <w:pPr>
        <w:rPr>
          <w:b/>
        </w:rPr>
      </w:pPr>
      <w:r w:rsidRPr="007A7F1B">
        <w:rPr>
          <w:b/>
        </w:rPr>
        <w:t>Reason for Issuance</w:t>
      </w:r>
    </w:p>
    <w:p w:rsidRPr="007A7F1B" w:rsidR="00F82496" w:rsidP="00A15192" w:rsidRDefault="00F82496" w14:paraId="690EBE26" w14:textId="77777777"/>
    <w:p w:rsidRPr="007A7F1B" w:rsidR="00F82496" w:rsidP="00A15192" w:rsidRDefault="00F82496" w14:paraId="75A1A26D" w14:textId="3E542450">
      <w:pPr>
        <w:ind w:left="0" w:firstLine="720"/>
      </w:pPr>
      <w:r w:rsidRPr="007A7F1B">
        <w:t>This RG describes methods</w:t>
      </w:r>
      <w:r>
        <w:t xml:space="preserve"> that</w:t>
      </w:r>
      <w:r w:rsidRPr="007A7F1B">
        <w:t xml:space="preserve"> the </w:t>
      </w:r>
      <w:r>
        <w:t xml:space="preserve">NRC </w:t>
      </w:r>
      <w:r w:rsidRPr="007A7F1B">
        <w:t>staff considers acceptable for complying with the urine specimen collection</w:t>
      </w:r>
      <w:r>
        <w:t xml:space="preserve"> and test results review</w:t>
      </w:r>
      <w:r w:rsidRPr="007A7F1B">
        <w:t xml:space="preserve"> requirements in 10</w:t>
      </w:r>
      <w:r>
        <w:t> </w:t>
      </w:r>
      <w:r w:rsidRPr="007A7F1B">
        <w:t>CFR</w:t>
      </w:r>
      <w:r>
        <w:t> </w:t>
      </w:r>
      <w:r w:rsidRPr="007A7F1B">
        <w:t>Part</w:t>
      </w:r>
      <w:r>
        <w:t> </w:t>
      </w:r>
      <w:r w:rsidRPr="007A7F1B">
        <w:t>26</w:t>
      </w:r>
      <w:r w:rsidR="003C60DD">
        <w:t xml:space="preserve">. </w:t>
      </w:r>
      <w:r w:rsidRPr="007A7F1B">
        <w:t>Th</w:t>
      </w:r>
      <w:r>
        <w:t>e intent of this</w:t>
      </w:r>
      <w:r w:rsidRPr="007A7F1B">
        <w:t xml:space="preserve"> RG is to assist the </w:t>
      </w:r>
      <w:r>
        <w:t>licensees and other entities implementing 10 CFR Part 26</w:t>
      </w:r>
      <w:r w:rsidRPr="001C27F4">
        <w:t xml:space="preserve"> by describing processes and procedures </w:t>
      </w:r>
      <w:r>
        <w:t xml:space="preserve">that </w:t>
      </w:r>
      <w:r w:rsidRPr="001C27F4">
        <w:t>the</w:t>
      </w:r>
      <w:r w:rsidRPr="007A7F1B">
        <w:t xml:space="preserve"> NRC finds acceptable for </w:t>
      </w:r>
      <w:r>
        <w:t xml:space="preserve">the </w:t>
      </w:r>
      <w:r w:rsidRPr="007A7F1B">
        <w:t>collection</w:t>
      </w:r>
      <w:r>
        <w:t xml:space="preserve"> of urine specimens</w:t>
      </w:r>
      <w:r w:rsidRPr="007A7F1B">
        <w:t xml:space="preserve"> and </w:t>
      </w:r>
      <w:r>
        <w:t xml:space="preserve">test result reviews </w:t>
      </w:r>
      <w:r w:rsidRPr="007A7F1B">
        <w:t>by the Medical Review Officer (MRO)</w:t>
      </w:r>
      <w:r w:rsidR="003C60DD">
        <w:t xml:space="preserve">. </w:t>
      </w:r>
      <w:r w:rsidRPr="007A7F1B">
        <w:t>Th</w:t>
      </w:r>
      <w:r>
        <w:t>e staff has issued this</w:t>
      </w:r>
      <w:r w:rsidRPr="007A7F1B">
        <w:t xml:space="preserve"> RG in conjunction with a revision of 10</w:t>
      </w:r>
      <w:r>
        <w:t> </w:t>
      </w:r>
      <w:r w:rsidRPr="007A7F1B">
        <w:t>CFR</w:t>
      </w:r>
      <w:r>
        <w:t> </w:t>
      </w:r>
      <w:r w:rsidRPr="007A7F1B">
        <w:t>Part</w:t>
      </w:r>
      <w:r>
        <w:t> </w:t>
      </w:r>
      <w:r w:rsidRPr="007A7F1B">
        <w:t>26</w:t>
      </w:r>
      <w:r>
        <w:t>,</w:t>
      </w:r>
      <w:r w:rsidRPr="007A7F1B">
        <w:t xml:space="preserve"> which incorporates enhanced guidance from the HHS </w:t>
      </w:r>
      <w:r>
        <w:t>G</w:t>
      </w:r>
      <w:r w:rsidRPr="007A7F1B">
        <w:t>uidelines.</w:t>
      </w:r>
    </w:p>
    <w:p w:rsidRPr="007A7F1B" w:rsidR="00F82496" w:rsidP="00A15192" w:rsidRDefault="00F82496" w14:paraId="54E11BA5" w14:textId="77777777"/>
    <w:p w:rsidRPr="007A7F1B" w:rsidR="00F82496" w:rsidP="00A15192" w:rsidRDefault="00F82496" w14:paraId="5AEE6015" w14:textId="386778B2">
      <w:pPr>
        <w:ind w:left="0" w:firstLine="720"/>
      </w:pPr>
      <w:r w:rsidRPr="007A7F1B">
        <w:t>Specifically,</w:t>
      </w:r>
      <w:r>
        <w:t xml:space="preserve"> the RG provides</w:t>
      </w:r>
      <w:r w:rsidRPr="007A7F1B">
        <w:t xml:space="preserve"> guidance on </w:t>
      </w:r>
      <w:r>
        <w:t>(1) </w:t>
      </w:r>
      <w:r w:rsidRPr="007A7F1B">
        <w:t>the monitoring of a donor during the 3</w:t>
      </w:r>
      <w:r>
        <w:noBreakHyphen/>
      </w:r>
      <w:r w:rsidRPr="007A7F1B">
        <w:t xml:space="preserve">hour hydration </w:t>
      </w:r>
      <w:r w:rsidR="007C15C9">
        <w:t>period</w:t>
      </w:r>
      <w:r w:rsidRPr="007A7F1B">
        <w:t xml:space="preserve">, </w:t>
      </w:r>
      <w:r>
        <w:t>(2) </w:t>
      </w:r>
      <w:r w:rsidRPr="007A7F1B">
        <w:t xml:space="preserve">the optional use of mirrors to assist in conducting observed collections, and </w:t>
      </w:r>
      <w:r>
        <w:t xml:space="preserve">(3) the conduct of an additional </w:t>
      </w:r>
      <w:r w:rsidRPr="007A7F1B">
        <w:t xml:space="preserve">review by the MRO </w:t>
      </w:r>
      <w:r>
        <w:t>for urine specimens with invalid test results due to high pH values (in the range of 9.0 to 9.5)</w:t>
      </w:r>
      <w:r w:rsidRPr="007A7F1B">
        <w:t>.</w:t>
      </w:r>
    </w:p>
    <w:p w:rsidRPr="007A7F1B" w:rsidR="00F82496" w:rsidP="00A15192" w:rsidRDefault="00F82496" w14:paraId="05E8E8FD" w14:textId="77777777"/>
    <w:p w:rsidRPr="007A7F1B" w:rsidR="00F82496" w:rsidP="00A15192" w:rsidRDefault="00F82496" w14:paraId="533EDFD7" w14:textId="77777777">
      <w:pPr>
        <w:rPr>
          <w:b/>
        </w:rPr>
      </w:pPr>
      <w:r w:rsidRPr="007A7F1B">
        <w:rPr>
          <w:b/>
        </w:rPr>
        <w:t>Background</w:t>
      </w:r>
    </w:p>
    <w:p w:rsidR="00F82496" w:rsidP="00A15192" w:rsidRDefault="00F82496" w14:paraId="2E1E2235" w14:textId="77777777"/>
    <w:p w:rsidR="00F82496" w:rsidP="00A15192" w:rsidRDefault="00F82496" w14:paraId="551322B2" w14:textId="387450F8">
      <w:pPr>
        <w:ind w:left="0" w:firstLine="720"/>
      </w:pPr>
      <w:r w:rsidRPr="00E54C68">
        <w:t>The requirements in 10</w:t>
      </w:r>
      <w:r>
        <w:t> </w:t>
      </w:r>
      <w:r w:rsidRPr="00E54C68">
        <w:t>CFR</w:t>
      </w:r>
      <w:r>
        <w:t> </w:t>
      </w:r>
      <w:r w:rsidRPr="00E54C68">
        <w:t>Part</w:t>
      </w:r>
      <w:r>
        <w:t> </w:t>
      </w:r>
      <w:r w:rsidRPr="00E54C68">
        <w:t xml:space="preserve">26, in part, provide reasonable assurance that individuals subject to the </w:t>
      </w:r>
      <w:r>
        <w:t>10 CFR </w:t>
      </w:r>
      <w:r w:rsidRPr="00E54C68">
        <w:t>Part</w:t>
      </w:r>
      <w:r>
        <w:t> </w:t>
      </w:r>
      <w:r w:rsidRPr="00E54C68">
        <w:t xml:space="preserve">26 regulations are trustworthy and reliable, as demonstrated by the avoidance of substance abuse; are not under the influence of drugs or alcohol while performing their duties; and are not mentally or physically impaired from any other cause that would in any way adversely affect their ability to perform their </w:t>
      </w:r>
      <w:r>
        <w:t>duties safely and competently</w:t>
      </w:r>
      <w:r w:rsidR="003C60DD">
        <w:t xml:space="preserve">. </w:t>
      </w:r>
      <w:r w:rsidRPr="00E54C68">
        <w:t>The NRC uses the HHS Guidelines as part of its regulatory and technical basis for 1</w:t>
      </w:r>
      <w:r>
        <w:t>0 </w:t>
      </w:r>
      <w:r w:rsidRPr="00E54C68">
        <w:t>CFR</w:t>
      </w:r>
      <w:r>
        <w:t> </w:t>
      </w:r>
      <w:r w:rsidRPr="00E54C68">
        <w:t>Part</w:t>
      </w:r>
      <w:r>
        <w:t> </w:t>
      </w:r>
      <w:r w:rsidRPr="00E54C68">
        <w:t>26 becau</w:t>
      </w:r>
      <w:r w:rsidRPr="00BD3B6F">
        <w:t xml:space="preserve">se </w:t>
      </w:r>
      <w:r>
        <w:t>these g</w:t>
      </w:r>
      <w:r w:rsidRPr="00BD3B6F">
        <w:t>uidelines are used by all Federal employee workplace drug testing programs</w:t>
      </w:r>
      <w:r>
        <w:t>,</w:t>
      </w:r>
      <w:r w:rsidRPr="00BD3B6F">
        <w:t xml:space="preserve"> comparable Federal agency drug testing programs that test ci</w:t>
      </w:r>
      <w:r>
        <w:t>v</w:t>
      </w:r>
      <w:r w:rsidRPr="00BD3B6F">
        <w:t>i</w:t>
      </w:r>
      <w:r>
        <w:t>l</w:t>
      </w:r>
      <w:r w:rsidRPr="00BD3B6F">
        <w:t xml:space="preserve">ians </w:t>
      </w:r>
      <w:r>
        <w:t>in safety- and security</w:t>
      </w:r>
      <w:r>
        <w:noBreakHyphen/>
        <w:t xml:space="preserve">sensitive positions (e.g., </w:t>
      </w:r>
      <w:r w:rsidRPr="00BD3B6F">
        <w:t>U.S.</w:t>
      </w:r>
      <w:r>
        <w:t> </w:t>
      </w:r>
      <w:r w:rsidRPr="00BD3B6F">
        <w:t>Department of Transportation</w:t>
      </w:r>
      <w:r>
        <w:t>),</w:t>
      </w:r>
      <w:r w:rsidRPr="00BD3B6F">
        <w:t xml:space="preserve"> and </w:t>
      </w:r>
      <w:r>
        <w:t xml:space="preserve">the testing programs of </w:t>
      </w:r>
      <w:r w:rsidRPr="00BD3B6F">
        <w:t>many private companies</w:t>
      </w:r>
      <w:r w:rsidR="003C60DD">
        <w:t xml:space="preserve">. </w:t>
      </w:r>
      <w:r>
        <w:t>The HHS Guidelines also are</w:t>
      </w:r>
      <w:r w:rsidRPr="00E54C68">
        <w:t xml:space="preserve"> vetted by independent organizations and the public and subjected to review by experts withi</w:t>
      </w:r>
      <w:r>
        <w:t>n the drug testing profession</w:t>
      </w:r>
      <w:r w:rsidR="003C60DD">
        <w:t xml:space="preserve">. </w:t>
      </w:r>
      <w:r w:rsidRPr="00E54C68">
        <w:t>Further, the HHS Guidelines are periodically updated to incorporate changes in specimen collection guidance, drug testing technology, laboratory procedures, and the panel of drugs to be tested</w:t>
      </w:r>
      <w:r w:rsidR="003C60DD">
        <w:t xml:space="preserve">. </w:t>
      </w:r>
      <w:r w:rsidRPr="00E54C68">
        <w:t xml:space="preserve">This RG provides guidance on matters addressed in </w:t>
      </w:r>
      <w:r>
        <w:t>10 CFR </w:t>
      </w:r>
      <w:r w:rsidRPr="00E54C68">
        <w:t>Part</w:t>
      </w:r>
      <w:r>
        <w:t> </w:t>
      </w:r>
      <w:r w:rsidRPr="00E54C68">
        <w:t>26 that are based on changes to the HHS Guidelines in 2008</w:t>
      </w:r>
      <w:r w:rsidR="004D180F">
        <w:t xml:space="preserve"> and 2017</w:t>
      </w:r>
      <w:r w:rsidRPr="00E54C68">
        <w:t xml:space="preserve">, in part, to enhance the collection and testing of urine specimens </w:t>
      </w:r>
      <w:r>
        <w:t xml:space="preserve">and </w:t>
      </w:r>
      <w:r w:rsidRPr="00E54C68">
        <w:t>standards for collectors and evaluations conducted by MROs.</w:t>
      </w:r>
    </w:p>
    <w:p w:rsidRPr="007A7F1B" w:rsidR="00F82496" w:rsidP="00A15192" w:rsidRDefault="00F82496" w14:paraId="5A26DF87" w14:textId="77777777">
      <w:pPr>
        <w:ind w:left="0" w:firstLine="0"/>
      </w:pPr>
    </w:p>
    <w:p w:rsidRPr="00A61D5E" w:rsidR="00074114" w:rsidP="00A15192" w:rsidRDefault="00074114" w14:paraId="59F91C4D" w14:textId="77777777">
      <w:pPr>
        <w:keepNext/>
        <w:rPr>
          <w:b/>
          <w:bCs/>
          <w:color w:val="000000" w:themeColor="text1"/>
          <w:szCs w:val="22"/>
        </w:rPr>
      </w:pPr>
      <w:r w:rsidRPr="00A61D5E">
        <w:rPr>
          <w:b/>
          <w:bCs/>
          <w:color w:val="000000" w:themeColor="text1"/>
        </w:rPr>
        <w:t>Consideration of International Standards</w:t>
      </w:r>
    </w:p>
    <w:p w:rsidR="00074114" w:rsidP="00A15192" w:rsidRDefault="00074114" w14:paraId="3C9FCFF1" w14:textId="77777777">
      <w:pPr>
        <w:keepNext/>
        <w:ind w:left="0" w:firstLine="0"/>
      </w:pPr>
    </w:p>
    <w:p w:rsidR="00074114" w:rsidP="00A15192" w:rsidRDefault="00074114" w14:paraId="69035284" w14:textId="1EC25E55">
      <w:pPr>
        <w:pStyle w:val="NRCListLetter"/>
        <w:keepNext/>
        <w:keepLines/>
        <w:numPr>
          <w:ilvl w:val="0"/>
          <w:numId w:val="0"/>
        </w:numPr>
        <w:suppressAutoHyphens w:val="0"/>
        <w:spacing w:before="0"/>
        <w:ind w:firstLine="720"/>
        <w:rPr>
          <w:color w:val="000000"/>
        </w:rPr>
      </w:pPr>
      <w:r>
        <w:t xml:space="preserve">The International Atomic Energy Agency (IAEA) works with member states and other partners to promote the safe, secure, and peaceful use of nuclear technologies. The IAEA develops Safety Requirements and Safety Guides for protecting people and the environment from harmful effects of ionizing radiation. This system of safety fundamentals, safety requirements, safety guides, and other relevant reports, reflects an international perspective on what constitutes a high level of safety. </w:t>
      </w:r>
      <w:r w:rsidRPr="00C41298">
        <w:rPr>
          <w:color w:val="000000"/>
        </w:rPr>
        <w:t>To inform its development of this RG, the NRC considered IAEA Safety Requirements and Safety Guides pursuant to the Commission’s International Policy Statement (Ref</w:t>
      </w:r>
      <w:r w:rsidRPr="00AC604C">
        <w:rPr>
          <w:color w:val="000000"/>
        </w:rPr>
        <w:t xml:space="preserve">. </w:t>
      </w:r>
      <w:r w:rsidR="00115E0B">
        <w:rPr>
          <w:color w:val="000000"/>
        </w:rPr>
        <w:t>5</w:t>
      </w:r>
      <w:r w:rsidRPr="00AC604C">
        <w:rPr>
          <w:color w:val="000000"/>
        </w:rPr>
        <w:t>)</w:t>
      </w:r>
      <w:r w:rsidRPr="00C41298">
        <w:rPr>
          <w:color w:val="000000"/>
        </w:rPr>
        <w:t xml:space="preserve"> and Management Directive and Handbook 6.6, “Regulatory Guides</w:t>
      </w:r>
      <w:r w:rsidR="00146E18">
        <w:rPr>
          <w:color w:val="000000"/>
        </w:rPr>
        <w:t>”</w:t>
      </w:r>
      <w:r w:rsidRPr="00C41298">
        <w:rPr>
          <w:color w:val="000000"/>
        </w:rPr>
        <w:t xml:space="preserve"> (Ref. </w:t>
      </w:r>
      <w:r w:rsidR="00115E0B">
        <w:rPr>
          <w:color w:val="000000"/>
        </w:rPr>
        <w:t>6</w:t>
      </w:r>
      <w:r w:rsidRPr="00C41298">
        <w:rPr>
          <w:color w:val="000000"/>
        </w:rPr>
        <w:t>).</w:t>
      </w:r>
    </w:p>
    <w:p w:rsidR="00074114" w:rsidP="00A15192" w:rsidRDefault="00074114" w14:paraId="3F818F9C" w14:textId="77777777">
      <w:pPr>
        <w:pStyle w:val="NRCListLetter"/>
        <w:keepNext/>
        <w:keepLines/>
        <w:numPr>
          <w:ilvl w:val="0"/>
          <w:numId w:val="0"/>
        </w:numPr>
        <w:suppressAutoHyphens w:val="0"/>
        <w:spacing w:before="0"/>
        <w:ind w:firstLine="720"/>
        <w:rPr>
          <w:color w:val="000000"/>
        </w:rPr>
      </w:pPr>
    </w:p>
    <w:p w:rsidR="00074114" w:rsidP="00A15192" w:rsidRDefault="00074114" w14:paraId="686F1E99" w14:textId="094F3886">
      <w:pPr>
        <w:pStyle w:val="NRCListLetter"/>
        <w:keepNext/>
        <w:keepLines/>
        <w:numPr>
          <w:ilvl w:val="0"/>
          <w:numId w:val="0"/>
        </w:numPr>
        <w:suppressAutoHyphens w:val="0"/>
        <w:spacing w:before="0"/>
        <w:ind w:firstLine="720"/>
      </w:pPr>
      <w:r w:rsidRPr="008D1E8E">
        <w:t>The following IAEA Safety Guide w</w:t>
      </w:r>
      <w:r w:rsidR="00EB2E33">
        <w:t>as</w:t>
      </w:r>
      <w:r w:rsidRPr="008D1E8E">
        <w:t xml:space="preserve"> considered in the development of th</w:t>
      </w:r>
      <w:r w:rsidR="00C935D3">
        <w:t>is</w:t>
      </w:r>
      <w:r w:rsidRPr="008D1E8E">
        <w:t xml:space="preserve"> R</w:t>
      </w:r>
      <w:r w:rsidR="00C935D3">
        <w:t>G</w:t>
      </w:r>
      <w:r w:rsidRPr="008D1E8E">
        <w:t>:</w:t>
      </w:r>
    </w:p>
    <w:p w:rsidR="00535E36" w:rsidP="00A15192" w:rsidRDefault="00535E36" w14:paraId="783A5AB2" w14:textId="77777777">
      <w:pPr>
        <w:pStyle w:val="NRCListLetter"/>
        <w:keepNext/>
        <w:keepLines/>
        <w:numPr>
          <w:ilvl w:val="0"/>
          <w:numId w:val="0"/>
        </w:numPr>
        <w:suppressAutoHyphens w:val="0"/>
        <w:spacing w:before="0"/>
        <w:ind w:firstLine="720"/>
      </w:pPr>
    </w:p>
    <w:p w:rsidR="00074114" w:rsidP="00A15192" w:rsidRDefault="00074114" w14:paraId="657C2CC4" w14:textId="35DCF19C">
      <w:pPr>
        <w:numPr>
          <w:ilvl w:val="0"/>
          <w:numId w:val="30"/>
        </w:numPr>
        <w:ind w:left="720"/>
      </w:pPr>
      <w:r w:rsidRPr="00074114">
        <w:t xml:space="preserve">IAEA Safety Guide No. NS G 2.8, “Recruitment, Qualification and Training of Personnel for Nuclear Power Plants,” issued 2004 (Ref. </w:t>
      </w:r>
      <w:r w:rsidR="00115E0B">
        <w:t>7</w:t>
      </w:r>
      <w:r w:rsidRPr="00074114">
        <w:t xml:space="preserve">), is pertinent to this RG. The safety guide states, “A </w:t>
      </w:r>
      <w:proofErr w:type="spellStart"/>
      <w:r w:rsidRPr="00074114">
        <w:t>programme</w:t>
      </w:r>
      <w:proofErr w:type="spellEnd"/>
      <w:r w:rsidRPr="00074114">
        <w:t xml:space="preserve"> to identify personnel with a tendency towards drug or alcohol abuse should be </w:t>
      </w:r>
      <w:r w:rsidRPr="00074114">
        <w:lastRenderedPageBreak/>
        <w:t>established. Personnel prone to drug or alcohol abuse should not be employed for safety related tasks.” This RG describes a method for implementing the NRC’s requirements for specific elements of such a program.</w:t>
      </w:r>
    </w:p>
    <w:p w:rsidR="00B22B11" w:rsidP="00B22B11" w:rsidRDefault="0037057F" w14:paraId="31579B29" w14:textId="77777777">
      <w:pPr>
        <w:pStyle w:val="CommentText"/>
      </w:pPr>
      <w:r>
        <w:br w:type="page"/>
      </w:r>
    </w:p>
    <w:p w:rsidRPr="007A7F1B" w:rsidR="00F82496" w:rsidP="006B6582" w:rsidRDefault="00F82496" w14:paraId="0BB522A6" w14:textId="08F0CC37">
      <w:pPr>
        <w:jc w:val="center"/>
        <w:rPr>
          <w:b/>
          <w:sz w:val="28"/>
        </w:rPr>
      </w:pPr>
      <w:r w:rsidRPr="007A7F1B">
        <w:rPr>
          <w:b/>
          <w:sz w:val="28"/>
        </w:rPr>
        <w:lastRenderedPageBreak/>
        <w:t>C.  STAFF REGULATORY GUIDANCE</w:t>
      </w:r>
    </w:p>
    <w:p w:rsidRPr="007A7F1B" w:rsidR="00F82496" w:rsidP="00A15192" w:rsidRDefault="00F82496" w14:paraId="3EFF02E9" w14:textId="77777777"/>
    <w:p w:rsidRPr="007A7F1B" w:rsidR="00F82496" w:rsidP="00A15192" w:rsidRDefault="00F82496" w14:paraId="581F7EDB" w14:textId="77777777">
      <w:pPr>
        <w:rPr>
          <w:b/>
        </w:rPr>
      </w:pPr>
      <w:r w:rsidRPr="007A7F1B">
        <w:rPr>
          <w:b/>
        </w:rPr>
        <w:t>1.</w:t>
      </w:r>
      <w:r w:rsidRPr="007A7F1B">
        <w:rPr>
          <w:b/>
        </w:rPr>
        <w:tab/>
        <w:t>Monitoring a donor during the hydration process</w:t>
      </w:r>
    </w:p>
    <w:p w:rsidRPr="007A7F1B" w:rsidR="00F82496" w:rsidP="00A15192" w:rsidRDefault="00F82496" w14:paraId="4B528C12" w14:textId="77777777"/>
    <w:p w:rsidRPr="007A7F1B" w:rsidR="00F82496" w:rsidP="00A15192" w:rsidRDefault="00F82496" w14:paraId="38D479B0" w14:textId="77777777">
      <w:pPr>
        <w:rPr>
          <w:b/>
        </w:rPr>
      </w:pPr>
      <w:r w:rsidRPr="007A7F1B">
        <w:rPr>
          <w:b/>
        </w:rPr>
        <w:t>A.</w:t>
      </w:r>
      <w:r w:rsidRPr="007A7F1B">
        <w:rPr>
          <w:b/>
        </w:rPr>
        <w:tab/>
        <w:t>General guidance</w:t>
      </w:r>
    </w:p>
    <w:p w:rsidRPr="007A7F1B" w:rsidR="00F82496" w:rsidP="00A15192" w:rsidRDefault="00F82496" w14:paraId="4A4D2509" w14:textId="77777777"/>
    <w:p w:rsidRPr="007A7F1B" w:rsidR="00F82496" w:rsidP="00A15192" w:rsidRDefault="00F82496" w14:paraId="0C92AAC8" w14:textId="77777777">
      <w:pPr>
        <w:pStyle w:val="ListParagraph"/>
        <w:numPr>
          <w:ilvl w:val="0"/>
          <w:numId w:val="1"/>
        </w:numPr>
      </w:pPr>
      <w:r>
        <w:t>The NRC intends the term “m</w:t>
      </w:r>
      <w:r w:rsidRPr="007A7F1B">
        <w:t>onitoring</w:t>
      </w:r>
      <w:r>
        <w:t>” to</w:t>
      </w:r>
      <w:r w:rsidRPr="007A7F1B">
        <w:t xml:space="preserve"> mean that the collector or hydration monitor maintains visual (i.e.,</w:t>
      </w:r>
      <w:r>
        <w:t> </w:t>
      </w:r>
      <w:r w:rsidRPr="007A7F1B">
        <w:t xml:space="preserve">direct line of sight) and aural contact with the donor to ensure that the donor is adhering to the hydration process instructions and </w:t>
      </w:r>
      <w:r>
        <w:t xml:space="preserve">is </w:t>
      </w:r>
      <w:r w:rsidRPr="007A7F1B">
        <w:t>not attempting to subvert the collection process.</w:t>
      </w:r>
    </w:p>
    <w:p w:rsidRPr="007A7F1B" w:rsidR="00F82496" w:rsidP="00A15192" w:rsidRDefault="00F82496" w14:paraId="71AE6C55" w14:textId="77777777"/>
    <w:p w:rsidRPr="007A7F1B" w:rsidR="00F82496" w:rsidP="00A15192" w:rsidRDefault="00F82496" w14:paraId="4B7EE320" w14:textId="710A8DA6">
      <w:pPr>
        <w:pStyle w:val="ListParagraph"/>
        <w:numPr>
          <w:ilvl w:val="0"/>
          <w:numId w:val="1"/>
        </w:numPr>
      </w:pPr>
      <w:r w:rsidRPr="007A7F1B">
        <w:t>The licensee has sole discretion on whether to only use qualified specimen collectors (</w:t>
      </w:r>
      <w:r>
        <w:t>10 CFR </w:t>
      </w:r>
      <w:r w:rsidRPr="007A7F1B">
        <w:t xml:space="preserve">26.85(a)) or </w:t>
      </w:r>
      <w:r w:rsidR="007B2FC1">
        <w:t xml:space="preserve">also </w:t>
      </w:r>
      <w:r w:rsidRPr="007A7F1B">
        <w:t>use hydration monitors to observe donor</w:t>
      </w:r>
      <w:r w:rsidR="007F034E">
        <w:t>s</w:t>
      </w:r>
      <w:r w:rsidRPr="007A7F1B">
        <w:t xml:space="preserve"> during the hydration process (</w:t>
      </w:r>
      <w:r>
        <w:t>10 CFR </w:t>
      </w:r>
      <w:r w:rsidRPr="007A7F1B">
        <w:t>26.109(b)(1)).</w:t>
      </w:r>
    </w:p>
    <w:p w:rsidRPr="007A7F1B" w:rsidR="00F82496" w:rsidRDefault="00F82496" w14:paraId="5DDC3257" w14:textId="77777777"/>
    <w:p w:rsidRPr="007A7F1B" w:rsidR="00F82496" w:rsidRDefault="00F82496" w14:paraId="63842D23" w14:textId="750F0841">
      <w:pPr>
        <w:pStyle w:val="ListParagraph"/>
        <w:numPr>
          <w:ilvl w:val="0"/>
          <w:numId w:val="1"/>
        </w:numPr>
      </w:pPr>
      <w:r w:rsidRPr="007A7F1B">
        <w:t xml:space="preserve">The hydration monitor shall receive instruction </w:t>
      </w:r>
      <w:r>
        <w:t>on</w:t>
      </w:r>
      <w:r w:rsidRPr="007A7F1B">
        <w:t xml:space="preserve"> the duties and responsibilities of this position </w:t>
      </w:r>
      <w:r>
        <w:t xml:space="preserve">and </w:t>
      </w:r>
      <w:r w:rsidRPr="007A7F1B">
        <w:t>acceptable donor behavior during the collection process.</w:t>
      </w:r>
    </w:p>
    <w:p w:rsidRPr="007A7F1B" w:rsidR="00F82496" w:rsidRDefault="00F82496" w14:paraId="60C48961" w14:textId="77777777"/>
    <w:p w:rsidRPr="007A7F1B" w:rsidR="00F82496" w:rsidRDefault="00F82496" w14:paraId="6ED73D21" w14:textId="77777777">
      <w:pPr>
        <w:pStyle w:val="ListParagraph"/>
        <w:numPr>
          <w:ilvl w:val="0"/>
          <w:numId w:val="1"/>
        </w:numPr>
      </w:pPr>
      <w:r w:rsidRPr="007A7F1B">
        <w:t>A hydration monitor may watch more than one person in the hydration process; however, the FFD program manager should ensure that the hydration monitor is able to effectively perform hydration monitor duties and responsibilities for all donors.</w:t>
      </w:r>
    </w:p>
    <w:p w:rsidRPr="007A7F1B" w:rsidR="00F82496" w:rsidRDefault="00F82496" w14:paraId="52511499" w14:textId="77777777">
      <w:pPr>
        <w:ind w:left="0" w:firstLine="0"/>
      </w:pPr>
    </w:p>
    <w:p w:rsidRPr="007A7F1B" w:rsidR="00F82496" w:rsidRDefault="00F82496" w14:paraId="0B9003EF" w14:textId="77777777">
      <w:pPr>
        <w:pStyle w:val="ListParagraph"/>
        <w:numPr>
          <w:ilvl w:val="0"/>
          <w:numId w:val="1"/>
        </w:numPr>
      </w:pPr>
      <w:r w:rsidRPr="007A7F1B">
        <w:t>A communication protocol should be established between the hydration monitor and the collector to facilitate the timely completion of a specimen collection.</w:t>
      </w:r>
    </w:p>
    <w:p w:rsidRPr="007A7F1B" w:rsidR="00F82496" w:rsidRDefault="00F82496" w14:paraId="2EF38CD7" w14:textId="77777777"/>
    <w:p w:rsidRPr="007A7F1B" w:rsidR="00F82496" w:rsidRDefault="00F82496" w14:paraId="506EE39B" w14:textId="77777777">
      <w:pPr>
        <w:pStyle w:val="ListParagraph"/>
        <w:numPr>
          <w:ilvl w:val="0"/>
          <w:numId w:val="1"/>
        </w:numPr>
      </w:pPr>
      <w:r w:rsidRPr="007A7F1B">
        <w:t xml:space="preserve">If a collector transfers responsibility for monitoring a donor to a hydration monitor, the collector </w:t>
      </w:r>
      <w:r>
        <w:t>should</w:t>
      </w:r>
      <w:r w:rsidRPr="007A7F1B">
        <w:t xml:space="preserve"> verbally confirm that the hydration monitor does not have a personal relationship with the donor(s).</w:t>
      </w:r>
    </w:p>
    <w:p w:rsidRPr="007A7F1B" w:rsidR="00F82496" w:rsidRDefault="00F82496" w14:paraId="491E806F" w14:textId="77777777"/>
    <w:p w:rsidRPr="00DE1D89" w:rsidR="00F82496" w:rsidRDefault="00F82496" w14:paraId="3231F4F9" w14:textId="45C2D4AF">
      <w:pPr>
        <w:pStyle w:val="ListParagraph"/>
        <w:numPr>
          <w:ilvl w:val="0"/>
          <w:numId w:val="1"/>
        </w:numPr>
      </w:pPr>
      <w:r w:rsidRPr="007A7F1B">
        <w:t xml:space="preserve">Upon transferring responsibility for monitoring the donor to the hydration monitor, the collector </w:t>
      </w:r>
      <w:r w:rsidR="00EF309B">
        <w:t xml:space="preserve">shall </w:t>
      </w:r>
      <w:r>
        <w:t xml:space="preserve">enter </w:t>
      </w:r>
      <w:r w:rsidRPr="007A7F1B">
        <w:t xml:space="preserve">the name of the hydration monitor on </w:t>
      </w:r>
      <w:r>
        <w:t xml:space="preserve">the </w:t>
      </w:r>
      <w:r w:rsidRPr="007A7F1B">
        <w:t>Federal custody</w:t>
      </w:r>
      <w:r>
        <w:t xml:space="preserve"> </w:t>
      </w:r>
      <w:r w:rsidRPr="007A7F1B">
        <w:t>and</w:t>
      </w:r>
      <w:r>
        <w:t xml:space="preserve"> </w:t>
      </w:r>
      <w:r w:rsidRPr="007A7F1B">
        <w:t>control form (Federal CCF)</w:t>
      </w:r>
      <w:r w:rsidR="00FC5F6E">
        <w:t xml:space="preserve"> (10 CFR 26.</w:t>
      </w:r>
      <w:r w:rsidR="009821F0">
        <w:t>109(b)</w:t>
      </w:r>
      <w:r w:rsidR="00164710">
        <w:t>(1)</w:t>
      </w:r>
      <w:r w:rsidR="009821F0">
        <w:t>(ii))</w:t>
      </w:r>
      <w:r w:rsidR="003C60DD">
        <w:t xml:space="preserve">. </w:t>
      </w:r>
      <w:r w:rsidRPr="007A7F1B">
        <w:t xml:space="preserve">The </w:t>
      </w:r>
      <w:r>
        <w:t xml:space="preserve">area used for </w:t>
      </w:r>
      <w:r w:rsidRPr="007A7F1B">
        <w:t xml:space="preserve">hydration </w:t>
      </w:r>
      <w:r>
        <w:t xml:space="preserve">should </w:t>
      </w:r>
      <w:r w:rsidR="00C931FA">
        <w:t>include</w:t>
      </w:r>
      <w:r w:rsidR="00EB4647">
        <w:t xml:space="preserve"> a </w:t>
      </w:r>
      <w:r w:rsidR="00203A24">
        <w:t>time-</w:t>
      </w:r>
      <w:r w:rsidR="005319FE">
        <w:t>tracking</w:t>
      </w:r>
      <w:r w:rsidR="00203A24">
        <w:t xml:space="preserve"> </w:t>
      </w:r>
      <w:r w:rsidR="00EB4647">
        <w:t xml:space="preserve">method </w:t>
      </w:r>
      <w:r w:rsidR="005319FE">
        <w:t xml:space="preserve">(e.g., clock, countdown timer) </w:t>
      </w:r>
      <w:r w:rsidR="00EB4647">
        <w:t>t</w:t>
      </w:r>
      <w:r w:rsidR="00203A24">
        <w:t>hat displays</w:t>
      </w:r>
      <w:r w:rsidR="00D44F59">
        <w:t xml:space="preserve"> </w:t>
      </w:r>
      <w:r w:rsidRPr="007A7F1B">
        <w:t>to the donor and the collector or hydration monitor</w:t>
      </w:r>
      <w:r w:rsidR="00B91CEC">
        <w:t xml:space="preserve"> the time remaining in the hydration period</w:t>
      </w:r>
      <w:r w:rsidR="003C60DD">
        <w:t xml:space="preserve">. </w:t>
      </w:r>
      <w:r w:rsidRPr="00DE1D89">
        <w:t>T</w:t>
      </w:r>
      <w:r w:rsidRPr="00297393">
        <w:t xml:space="preserve">he </w:t>
      </w:r>
      <w:r w:rsidR="00351EA3">
        <w:t xml:space="preserve">licensee’s </w:t>
      </w:r>
      <w:r w:rsidRPr="00297393" w:rsidR="00DE1D89">
        <w:t xml:space="preserve">time-tracking method </w:t>
      </w:r>
      <w:r w:rsidRPr="00297393">
        <w:t xml:space="preserve">should </w:t>
      </w:r>
      <w:r w:rsidRPr="0079220D" w:rsidR="00B41E1E">
        <w:t xml:space="preserve">ensure that </w:t>
      </w:r>
      <w:r w:rsidRPr="00297393">
        <w:t>the 3</w:t>
      </w:r>
      <w:r w:rsidRPr="00297393">
        <w:noBreakHyphen/>
        <w:t xml:space="preserve">hour hydration </w:t>
      </w:r>
      <w:r w:rsidR="005323DB">
        <w:t xml:space="preserve">period </w:t>
      </w:r>
      <w:r w:rsidRPr="00DE1D89" w:rsidR="00245E44">
        <w:t xml:space="preserve">begins </w:t>
      </w:r>
      <w:r w:rsidRPr="00DE1D89" w:rsidR="007C5D4D">
        <w:t xml:space="preserve">at the </w:t>
      </w:r>
      <w:r w:rsidRPr="00DE1D89" w:rsidR="00D40B91">
        <w:t>time that the collector identifies that an insufficient quantity of urine was provided by the donor</w:t>
      </w:r>
      <w:r w:rsidRPr="00DE1D89" w:rsidR="007C5D4D">
        <w:t xml:space="preserve"> on the initial attempt</w:t>
      </w:r>
      <w:r w:rsidRPr="00DE1D89">
        <w:t>.</w:t>
      </w:r>
    </w:p>
    <w:p w:rsidRPr="007A7F1B" w:rsidR="00F82496" w:rsidRDefault="00F82496" w14:paraId="418FB558" w14:textId="77777777"/>
    <w:p w:rsidRPr="007A7F1B" w:rsidR="00F82496" w:rsidRDefault="00F82496" w14:paraId="412CD659" w14:textId="7F648A07">
      <w:pPr>
        <w:pStyle w:val="ListParagraph"/>
        <w:numPr>
          <w:ilvl w:val="0"/>
          <w:numId w:val="1"/>
        </w:numPr>
      </w:pPr>
      <w:r w:rsidRPr="007A7F1B">
        <w:t>The Federal CCF should be controlled during the hydration process to protect privacy information and to prevent loss or unauthorized revision</w:t>
      </w:r>
      <w:r w:rsidR="003C60DD">
        <w:t xml:space="preserve">. </w:t>
      </w:r>
      <w:r>
        <w:t>“</w:t>
      </w:r>
      <w:r w:rsidRPr="007A7F1B">
        <w:t>Control</w:t>
      </w:r>
      <w:r w:rsidR="00B96B96">
        <w:t>led,</w:t>
      </w:r>
      <w:r>
        <w:t>”</w:t>
      </w:r>
      <w:r w:rsidRPr="007A7F1B">
        <w:t xml:space="preserve"> </w:t>
      </w:r>
      <w:r w:rsidR="0086768D">
        <w:t>as used in this paragraph</w:t>
      </w:r>
      <w:r w:rsidR="00B96B96">
        <w:t>,</w:t>
      </w:r>
      <w:r w:rsidR="00FF2A07">
        <w:t xml:space="preserve"> </w:t>
      </w:r>
      <w:r w:rsidRPr="007A7F1B">
        <w:t xml:space="preserve">means that the Federal CCF is under the direct observation of the collector or </w:t>
      </w:r>
      <w:r w:rsidR="005E3FF3">
        <w:t>access to the Federal CCF is limited to the collector</w:t>
      </w:r>
      <w:r w:rsidRPr="007A7F1B">
        <w:t>.</w:t>
      </w:r>
    </w:p>
    <w:p w:rsidRPr="007A7F1B" w:rsidR="00F82496" w:rsidRDefault="00F82496" w14:paraId="7027E4F4" w14:textId="77777777"/>
    <w:p w:rsidRPr="007A7F1B" w:rsidR="00F82496" w:rsidRDefault="00F82496" w14:paraId="45874F90" w14:textId="3896A150">
      <w:pPr>
        <w:pStyle w:val="ListParagraph"/>
        <w:numPr>
          <w:ilvl w:val="0"/>
          <w:numId w:val="1"/>
        </w:numPr>
      </w:pPr>
      <w:r w:rsidRPr="007A7F1B">
        <w:t>Only the collector should print or type information onto the Federal CCF (</w:t>
      </w:r>
      <w:r>
        <w:t>10 CFR </w:t>
      </w:r>
      <w:r w:rsidRPr="007A7F1B">
        <w:t>26.85(a)(1)).</w:t>
      </w:r>
    </w:p>
    <w:p w:rsidRPr="007A7F1B" w:rsidR="00F82496" w:rsidRDefault="00F82496" w14:paraId="730428F1" w14:textId="77777777"/>
    <w:p w:rsidRPr="007A7F1B" w:rsidR="00F82496" w:rsidRDefault="00F82496" w14:paraId="01A39965" w14:textId="6A4CF5E6">
      <w:pPr>
        <w:keepNext/>
        <w:rPr>
          <w:b/>
        </w:rPr>
      </w:pPr>
      <w:r w:rsidRPr="007A7F1B">
        <w:rPr>
          <w:b/>
        </w:rPr>
        <w:t>B.</w:t>
      </w:r>
      <w:r w:rsidRPr="007A7F1B">
        <w:rPr>
          <w:b/>
        </w:rPr>
        <w:tab/>
        <w:t xml:space="preserve">Monitoring </w:t>
      </w:r>
      <w:r w:rsidR="00D551A2">
        <w:rPr>
          <w:b/>
        </w:rPr>
        <w:t xml:space="preserve">responsibilities </w:t>
      </w:r>
      <w:r w:rsidRPr="007A7F1B">
        <w:rPr>
          <w:b/>
        </w:rPr>
        <w:t>during the hydration process</w:t>
      </w:r>
    </w:p>
    <w:p w:rsidRPr="007A7F1B" w:rsidR="00F82496" w:rsidRDefault="00F82496" w14:paraId="7C406445" w14:textId="77777777"/>
    <w:p w:rsidRPr="007A7F1B" w:rsidR="00F82496" w:rsidP="00D6565F" w:rsidRDefault="00F82496" w14:paraId="4D53AE31" w14:textId="77777777">
      <w:pPr>
        <w:pStyle w:val="ListParagraph"/>
        <w:numPr>
          <w:ilvl w:val="0"/>
          <w:numId w:val="2"/>
        </w:numPr>
        <w:ind w:left="720" w:hanging="720"/>
      </w:pPr>
      <w:r w:rsidRPr="007A7F1B">
        <w:t>The donor shall be monitored throughout the hydration process (</w:t>
      </w:r>
      <w:r>
        <w:t>10 CFR </w:t>
      </w:r>
      <w:r w:rsidRPr="007A7F1B">
        <w:t>26.109(b)).</w:t>
      </w:r>
    </w:p>
    <w:p w:rsidRPr="007A7F1B" w:rsidR="00F82496" w:rsidRDefault="00F82496" w14:paraId="1E4E6E3C" w14:textId="77777777"/>
    <w:p w:rsidRPr="007A7F1B" w:rsidR="00F82496" w:rsidP="00D6565F" w:rsidRDefault="00F82496" w14:paraId="41E7C4DF" w14:textId="45E99695">
      <w:pPr>
        <w:pStyle w:val="ListParagraph"/>
        <w:numPr>
          <w:ilvl w:val="0"/>
          <w:numId w:val="2"/>
        </w:numPr>
        <w:ind w:left="720" w:hanging="720"/>
      </w:pPr>
      <w:r w:rsidRPr="007A7F1B">
        <w:t xml:space="preserve">During the hydration process, the donor should </w:t>
      </w:r>
      <w:r>
        <w:t xml:space="preserve">not </w:t>
      </w:r>
      <w:r w:rsidRPr="007A7F1B">
        <w:t xml:space="preserve">have access to personal belongings that were secured </w:t>
      </w:r>
      <w:r>
        <w:t xml:space="preserve">before </w:t>
      </w:r>
      <w:r w:rsidR="006D1A68">
        <w:t xml:space="preserve">the donor </w:t>
      </w:r>
      <w:r w:rsidRPr="007A7F1B">
        <w:t>enter</w:t>
      </w:r>
      <w:r>
        <w:t>ed</w:t>
      </w:r>
      <w:r w:rsidRPr="007A7F1B">
        <w:t xml:space="preserve"> the privacy enclosure for the initial specimen collection attempt </w:t>
      </w:r>
      <w:r w:rsidRPr="007A7F1B">
        <w:lastRenderedPageBreak/>
        <w:t xml:space="preserve">under </w:t>
      </w:r>
      <w:r>
        <w:t>10 CFR </w:t>
      </w:r>
      <w:r w:rsidRPr="007A7F1B">
        <w:t xml:space="preserve">26.105(a) and </w:t>
      </w:r>
      <w:r>
        <w:t>10 CFR </w:t>
      </w:r>
      <w:r w:rsidRPr="007A7F1B">
        <w:t xml:space="preserve">26.105(b), unless the items have been evaluated by the collector and have been identified as items that </w:t>
      </w:r>
      <w:r>
        <w:t>cannot</w:t>
      </w:r>
      <w:r w:rsidRPr="007A7F1B">
        <w:t xml:space="preserve"> be used to subvert the testing process (</w:t>
      </w:r>
      <w:r>
        <w:t>10 CFR </w:t>
      </w:r>
      <w:r w:rsidRPr="007A7F1B">
        <w:t>26.105</w:t>
      </w:r>
      <w:r>
        <w:t xml:space="preserve">, “Preparing for </w:t>
      </w:r>
      <w:r w:rsidR="003B04F1">
        <w:t xml:space="preserve">the </w:t>
      </w:r>
      <w:r w:rsidR="001A7F58">
        <w:t>c</w:t>
      </w:r>
      <w:r>
        <w:t>ollection</w:t>
      </w:r>
      <w:r w:rsidR="00C51DA1">
        <w:t xml:space="preserve"> of a </w:t>
      </w:r>
      <w:r w:rsidR="001A7F58">
        <w:t>s</w:t>
      </w:r>
      <w:r w:rsidR="00C51DA1">
        <w:t xml:space="preserve">pecimen for </w:t>
      </w:r>
      <w:r w:rsidR="001A7F58">
        <w:t>d</w:t>
      </w:r>
      <w:r w:rsidR="00C51DA1">
        <w:t xml:space="preserve">rug </w:t>
      </w:r>
      <w:r w:rsidR="001A7F58">
        <w:t>t</w:t>
      </w:r>
      <w:r w:rsidR="00C51DA1">
        <w:t>esting</w:t>
      </w:r>
      <w:r>
        <w:t>”</w:t>
      </w:r>
      <w:r w:rsidRPr="007A7F1B">
        <w:t>).</w:t>
      </w:r>
    </w:p>
    <w:p w:rsidRPr="007A7F1B" w:rsidR="00F82496" w:rsidRDefault="00F82496" w14:paraId="73786704" w14:textId="77777777"/>
    <w:p w:rsidRPr="007A7F1B" w:rsidR="00F82496" w:rsidP="00D6565F" w:rsidRDefault="00F82496" w14:paraId="6D14F3A5" w14:textId="491981FB">
      <w:pPr>
        <w:pStyle w:val="ListParagraph"/>
        <w:numPr>
          <w:ilvl w:val="0"/>
          <w:numId w:val="2"/>
        </w:numPr>
        <w:ind w:left="720" w:hanging="720"/>
      </w:pPr>
      <w:r w:rsidRPr="007A7F1B">
        <w:t xml:space="preserve">If during the hydration process, the collector or hydration monitor observes any action or behavior by the donor that </w:t>
      </w:r>
      <w:r>
        <w:t xml:space="preserve">may </w:t>
      </w:r>
      <w:r w:rsidRPr="007A7F1B">
        <w:t xml:space="preserve">indicate </w:t>
      </w:r>
      <w:r>
        <w:t xml:space="preserve">an </w:t>
      </w:r>
      <w:r w:rsidRPr="007A7F1B">
        <w:t xml:space="preserve">attempt to subvert the testing process, </w:t>
      </w:r>
      <w:r w:rsidR="005C16B6">
        <w:t xml:space="preserve">then </w:t>
      </w:r>
      <w:r w:rsidRPr="007A7F1B">
        <w:t xml:space="preserve">a description of the donor’s conduct should be immediately documented </w:t>
      </w:r>
      <w:r w:rsidRPr="00E03B7F">
        <w:t>on the Federal CCF</w:t>
      </w:r>
      <w:r w:rsidRPr="00E03B7F" w:rsidR="003D45AC">
        <w:t xml:space="preserve"> or </w:t>
      </w:r>
      <w:r w:rsidR="00431FF1">
        <w:t xml:space="preserve">through </w:t>
      </w:r>
      <w:r w:rsidRPr="00E03B7F" w:rsidR="00F55D9E">
        <w:t xml:space="preserve">another </w:t>
      </w:r>
      <w:r w:rsidRPr="00E03B7F" w:rsidR="00D146E1">
        <w:t>documentation method consistent with the collection procedures</w:t>
      </w:r>
      <w:r w:rsidRPr="00E03B7F" w:rsidR="00F55D9E">
        <w:t xml:space="preserve"> of the licensee or other entity</w:t>
      </w:r>
      <w:r w:rsidRPr="00E03B7F" w:rsidR="00D146E1">
        <w:t xml:space="preserve"> </w:t>
      </w:r>
      <w:r w:rsidRPr="00E03B7F">
        <w:t>(10 CFR 26.107(b)</w:t>
      </w:r>
      <w:r w:rsidR="006969B7">
        <w:t>(1)</w:t>
      </w:r>
      <w:r w:rsidRPr="00E03B7F">
        <w:t>)</w:t>
      </w:r>
      <w:r w:rsidRPr="00E03B7F" w:rsidR="003C60DD">
        <w:t>.</w:t>
      </w:r>
      <w:r w:rsidR="003C60DD">
        <w:t xml:space="preserve"> </w:t>
      </w:r>
      <w:r w:rsidRPr="007A7F1B">
        <w:t xml:space="preserve">If a hydration monitor observes the donor conduct, </w:t>
      </w:r>
      <w:r w:rsidR="005C16B6">
        <w:t xml:space="preserve">then </w:t>
      </w:r>
      <w:r w:rsidRPr="007A7F1B">
        <w:t xml:space="preserve">the hydration monitor shall </w:t>
      </w:r>
      <w:r w:rsidR="00382E9A">
        <w:t xml:space="preserve">immediately </w:t>
      </w:r>
      <w:r w:rsidRPr="007A7F1B">
        <w:t>inform the collector of the observation</w:t>
      </w:r>
      <w:r w:rsidR="000A6103">
        <w:t xml:space="preserve"> </w:t>
      </w:r>
      <w:r w:rsidRPr="00E03B7F" w:rsidR="000A6103">
        <w:t>(10 CFR 26.107(b)</w:t>
      </w:r>
      <w:r w:rsidR="000A6103">
        <w:t>(2)</w:t>
      </w:r>
      <w:r w:rsidRPr="00E03B7F" w:rsidR="000A6103">
        <w:t>)</w:t>
      </w:r>
      <w:r w:rsidR="003C60DD">
        <w:t xml:space="preserve">. </w:t>
      </w:r>
      <w:r>
        <w:t xml:space="preserve">The hydration monitor should communicate this information to the collector </w:t>
      </w:r>
      <w:r w:rsidRPr="007A7F1B">
        <w:t xml:space="preserve">while </w:t>
      </w:r>
      <w:r>
        <w:t xml:space="preserve">maintaining </w:t>
      </w:r>
      <w:r w:rsidRPr="007A7F1B">
        <w:t>continuous monitoring of the donor.</w:t>
      </w:r>
    </w:p>
    <w:p w:rsidRPr="007A7F1B" w:rsidR="00F82496" w:rsidRDefault="00F82496" w14:paraId="57D3F00F" w14:textId="77777777"/>
    <w:p w:rsidRPr="007A7F1B" w:rsidR="00F82496" w:rsidP="00D6565F" w:rsidRDefault="00F82496" w14:paraId="78AD57AC" w14:textId="0EE21822">
      <w:pPr>
        <w:pStyle w:val="ListParagraph"/>
        <w:numPr>
          <w:ilvl w:val="0"/>
          <w:numId w:val="2"/>
        </w:numPr>
        <w:ind w:left="720" w:hanging="720"/>
      </w:pPr>
      <w:r w:rsidRPr="007A7F1B">
        <w:t>The collector shall contact FFD program management to determine whether a directly observed collection should be performed (</w:t>
      </w:r>
      <w:r>
        <w:t>10 CFR </w:t>
      </w:r>
      <w:r w:rsidRPr="007A7F1B">
        <w:t>26.107(b)</w:t>
      </w:r>
      <w:r w:rsidR="00B05A31">
        <w:t>(1)</w:t>
      </w:r>
      <w:r w:rsidRPr="007A7F1B">
        <w:t>).</w:t>
      </w:r>
    </w:p>
    <w:p w:rsidRPr="007A7F1B" w:rsidR="00F82496" w:rsidRDefault="00F82496" w14:paraId="2D0954BA" w14:textId="77777777"/>
    <w:p w:rsidRPr="007A7F1B" w:rsidR="00F82496" w:rsidP="00D6565F" w:rsidRDefault="00F82496" w14:paraId="5A042522" w14:textId="7D93840D">
      <w:pPr>
        <w:pStyle w:val="ListParagraph"/>
        <w:numPr>
          <w:ilvl w:val="0"/>
          <w:numId w:val="2"/>
        </w:numPr>
        <w:ind w:left="720" w:hanging="720"/>
      </w:pPr>
      <w:r w:rsidRPr="007A7F1B">
        <w:t>If the donor states an intention to leave or physically leaves the hydration area (i.e.,</w:t>
      </w:r>
      <w:r>
        <w:t> </w:t>
      </w:r>
      <w:r w:rsidRPr="007A7F1B">
        <w:t xml:space="preserve">collection site), </w:t>
      </w:r>
      <w:r w:rsidR="004700CB">
        <w:t xml:space="preserve">then </w:t>
      </w:r>
      <w:r w:rsidRPr="007A7F1B">
        <w:t>the donor should not be prevented from leaving</w:t>
      </w:r>
      <w:r>
        <w:t>,</w:t>
      </w:r>
      <w:r w:rsidRPr="007A7F1B">
        <w:t xml:space="preserve"> but the collector or hydration monitor should inform the donor that leaving before the collection is completed will be considered a refusal to test (</w:t>
      </w:r>
      <w:r>
        <w:t>10 CFR </w:t>
      </w:r>
      <w:r w:rsidRPr="007A7F1B">
        <w:t>26.89(c)) and would result in the FFD sanction of the permanent denial of authorization, except</w:t>
      </w:r>
      <w:r>
        <w:t xml:space="preserve"> for the following</w:t>
      </w:r>
      <w:r w:rsidR="006D4BAC">
        <w:t xml:space="preserve"> condition.</w:t>
      </w:r>
    </w:p>
    <w:p w:rsidRPr="007A7F1B" w:rsidR="00F82496" w:rsidRDefault="00F82496" w14:paraId="6C1160B7" w14:textId="77777777"/>
    <w:p w:rsidRPr="007A7F1B" w:rsidR="00F82496" w:rsidP="00D6565F" w:rsidRDefault="00F82496" w14:paraId="71B844BD" w14:textId="4D58A59D">
      <w:pPr>
        <w:pStyle w:val="ListParagraph"/>
        <w:ind w:firstLine="0"/>
      </w:pPr>
      <w:r w:rsidRPr="007A7F1B">
        <w:t>If the collection process has not been completed</w:t>
      </w:r>
      <w:r>
        <w:t>;</w:t>
      </w:r>
      <w:r w:rsidRPr="007A7F1B">
        <w:t xml:space="preserve"> </w:t>
      </w:r>
      <w:r w:rsidRPr="007A7F1B">
        <w:rPr>
          <w:u w:val="single"/>
        </w:rPr>
        <w:t>and</w:t>
      </w:r>
      <w:r w:rsidRPr="007A7F1B">
        <w:t xml:space="preserve"> the collection is for a random test</w:t>
      </w:r>
      <w:r>
        <w:t>;</w:t>
      </w:r>
      <w:r w:rsidRPr="007A7F1B">
        <w:t xml:space="preserve"> </w:t>
      </w:r>
      <w:r w:rsidRPr="007A7F1B">
        <w:rPr>
          <w:u w:val="single"/>
        </w:rPr>
        <w:t>and</w:t>
      </w:r>
      <w:r w:rsidRPr="007A7F1B">
        <w:t xml:space="preserve"> the donor is on</w:t>
      </w:r>
      <w:r>
        <w:t xml:space="preserve"> </w:t>
      </w:r>
      <w:r w:rsidRPr="007A7F1B">
        <w:t xml:space="preserve">shift to perform a duty or responsibility described in </w:t>
      </w:r>
      <w:r>
        <w:t>10 CFR </w:t>
      </w:r>
      <w:r w:rsidRPr="007A7F1B">
        <w:t>26.4(a)(1)</w:t>
      </w:r>
      <w:r>
        <w:t>–</w:t>
      </w:r>
      <w:r w:rsidRPr="007A7F1B">
        <w:t>(5)</w:t>
      </w:r>
      <w:r>
        <w:t xml:space="preserve"> or</w:t>
      </w:r>
      <w:r w:rsidRPr="007A7F1B">
        <w:t xml:space="preserve"> designated to perform a duty or responsibility under </w:t>
      </w:r>
      <w:r>
        <w:t>10 CFR </w:t>
      </w:r>
      <w:r w:rsidRPr="007A7F1B">
        <w:t xml:space="preserve">26.4(c) or </w:t>
      </w:r>
      <w:r>
        <w:t>10 CFR 26.4</w:t>
      </w:r>
      <w:r w:rsidRPr="007A7F1B">
        <w:t>(e)(1)</w:t>
      </w:r>
      <w:r>
        <w:t xml:space="preserve">; </w:t>
      </w:r>
      <w:r w:rsidRPr="00415FE9">
        <w:rPr>
          <w:u w:val="single"/>
        </w:rPr>
        <w:t>and</w:t>
      </w:r>
      <w:r>
        <w:t xml:space="preserve"> </w:t>
      </w:r>
      <w:r w:rsidR="00E22829">
        <w:t xml:space="preserve">the donor </w:t>
      </w:r>
      <w:r>
        <w:t>is</w:t>
      </w:r>
      <w:r w:rsidRPr="007A7F1B">
        <w:t xml:space="preserve"> specifically assigned</w:t>
      </w:r>
      <w:r>
        <w:t xml:space="preserve"> or </w:t>
      </w:r>
      <w:r w:rsidRPr="007A7F1B">
        <w:t>directed to respond</w:t>
      </w:r>
      <w:r>
        <w:t xml:space="preserve"> to </w:t>
      </w:r>
      <w:r w:rsidRPr="007A7F1B">
        <w:t xml:space="preserve">a plant transient, plant/site emergency, or security contingency response event, as described in the licensee’s operating procedures, emergency plan, or security plan, respectively, </w:t>
      </w:r>
      <w:r w:rsidR="004700CB">
        <w:t xml:space="preserve">then </w:t>
      </w:r>
      <w:r w:rsidRPr="007A7F1B">
        <w:t>the collector or hydration monitor should</w:t>
      </w:r>
      <w:r>
        <w:t xml:space="preserve"> do the following</w:t>
      </w:r>
      <w:r w:rsidRPr="007A7F1B">
        <w:t>:</w:t>
      </w:r>
    </w:p>
    <w:p w:rsidRPr="007A7F1B" w:rsidR="00F82496" w:rsidP="00A15192" w:rsidRDefault="00F82496" w14:paraId="4531F508" w14:textId="77777777"/>
    <w:p w:rsidRPr="007A7F1B" w:rsidR="00F82496" w:rsidRDefault="00F82496" w14:paraId="2891FCD0" w14:textId="77777777">
      <w:pPr>
        <w:pStyle w:val="ListParagraph"/>
        <w:numPr>
          <w:ilvl w:val="0"/>
          <w:numId w:val="5"/>
        </w:numPr>
        <w:ind w:left="1440"/>
      </w:pPr>
      <w:r w:rsidRPr="007A7F1B">
        <w:t>Stop the hydration/collection process, unless the donor voluntarily elects to complete the specimen collection process</w:t>
      </w:r>
      <w:r>
        <w:t>.</w:t>
      </w:r>
    </w:p>
    <w:p w:rsidRPr="007A7F1B" w:rsidR="00F82496" w:rsidRDefault="00F82496" w14:paraId="039C874A" w14:textId="77777777">
      <w:pPr>
        <w:ind w:left="2160"/>
      </w:pPr>
    </w:p>
    <w:p w:rsidRPr="007A7F1B" w:rsidR="00F82496" w:rsidRDefault="00F82496" w14:paraId="26FEDF8D" w14:textId="77777777">
      <w:pPr>
        <w:pStyle w:val="ListParagraph"/>
        <w:numPr>
          <w:ilvl w:val="0"/>
          <w:numId w:val="5"/>
        </w:numPr>
        <w:ind w:left="1440"/>
      </w:pPr>
      <w:r w:rsidRPr="007A7F1B">
        <w:t>Allow the donor to respond to the plant transient, emergency, or security event</w:t>
      </w:r>
      <w:r>
        <w:t>.</w:t>
      </w:r>
    </w:p>
    <w:p w:rsidRPr="007A7F1B" w:rsidR="00F82496" w:rsidRDefault="00F82496" w14:paraId="1AD2EA82" w14:textId="77777777">
      <w:pPr>
        <w:ind w:left="1440" w:hanging="360"/>
      </w:pPr>
    </w:p>
    <w:p w:rsidRPr="007A7F1B" w:rsidR="00F82496" w:rsidRDefault="00F82496" w14:paraId="287B3F3D" w14:textId="1AC7DBEF">
      <w:pPr>
        <w:pStyle w:val="ListParagraph"/>
        <w:numPr>
          <w:ilvl w:val="0"/>
          <w:numId w:val="5"/>
        </w:numPr>
        <w:ind w:left="1440"/>
      </w:pPr>
      <w:r w:rsidRPr="007A7F1B">
        <w:t>Document the time the donor left the collection site and provide a short description of the occurrence on the Federal CCF</w:t>
      </w:r>
      <w:r w:rsidRPr="006852FA" w:rsidR="006852FA">
        <w:t xml:space="preserve"> </w:t>
      </w:r>
      <w:r w:rsidRPr="00E03B7F" w:rsidR="006852FA">
        <w:t xml:space="preserve">or </w:t>
      </w:r>
      <w:r w:rsidR="006852FA">
        <w:t xml:space="preserve">through </w:t>
      </w:r>
      <w:r w:rsidRPr="00E03B7F" w:rsidR="006852FA">
        <w:t>another documentation method consistent with the collection procedures of the licensee or other entity</w:t>
      </w:r>
      <w:r w:rsidR="00027E8C">
        <w:t>.</w:t>
      </w:r>
    </w:p>
    <w:p w:rsidRPr="007A7F1B" w:rsidR="00F82496" w:rsidRDefault="00F82496" w14:paraId="1B35E1FA" w14:textId="77777777">
      <w:pPr>
        <w:ind w:left="1440" w:hanging="360"/>
      </w:pPr>
    </w:p>
    <w:p w:rsidRPr="007A7F1B" w:rsidR="00F82496" w:rsidRDefault="00F82496" w14:paraId="7D2AECFD" w14:textId="77777777">
      <w:pPr>
        <w:pStyle w:val="ListParagraph"/>
        <w:numPr>
          <w:ilvl w:val="0"/>
          <w:numId w:val="5"/>
        </w:numPr>
        <w:ind w:left="1440"/>
      </w:pPr>
      <w:r w:rsidRPr="007A7F1B">
        <w:t>Immediately inform FFD program management</w:t>
      </w:r>
      <w:r>
        <w:t>.</w:t>
      </w:r>
    </w:p>
    <w:p w:rsidRPr="007A7F1B" w:rsidR="00F82496" w:rsidRDefault="00F82496" w14:paraId="72D29673" w14:textId="77777777">
      <w:pPr>
        <w:ind w:left="1440" w:hanging="360"/>
      </w:pPr>
    </w:p>
    <w:p w:rsidRPr="007A7F1B" w:rsidR="00F82496" w:rsidRDefault="00F82496" w14:paraId="13E2B364" w14:textId="5A1D3C7B">
      <w:pPr>
        <w:pStyle w:val="ListParagraph"/>
        <w:numPr>
          <w:ilvl w:val="0"/>
          <w:numId w:val="5"/>
        </w:numPr>
        <w:ind w:left="1440"/>
      </w:pPr>
      <w:r w:rsidRPr="007A7F1B">
        <w:t xml:space="preserve">If </w:t>
      </w:r>
      <w:r>
        <w:t>the</w:t>
      </w:r>
      <w:r w:rsidRPr="007A7F1B">
        <w:t xml:space="preserve"> </w:t>
      </w:r>
      <w:r>
        <w:t xml:space="preserve">donor has provided a </w:t>
      </w:r>
      <w:r w:rsidRPr="007A7F1B">
        <w:t>specimen of acceptable quantity (</w:t>
      </w:r>
      <w:r>
        <w:t>10 CFR </w:t>
      </w:r>
      <w:r w:rsidRPr="007A7F1B">
        <w:t xml:space="preserve">26.89(b)(2)), but the collection process has not been completed </w:t>
      </w:r>
      <w:r>
        <w:t>in accordance with</w:t>
      </w:r>
      <w:r w:rsidRPr="007A7F1B">
        <w:t xml:space="preserve"> </w:t>
      </w:r>
      <w:r>
        <w:t>10 CFR </w:t>
      </w:r>
      <w:r w:rsidRPr="007A7F1B">
        <w:t>26.89(d)</w:t>
      </w:r>
      <w:r>
        <w:t>,</w:t>
      </w:r>
      <w:r w:rsidRPr="007A7F1B">
        <w:t xml:space="preserve"> and </w:t>
      </w:r>
      <w:r>
        <w:t xml:space="preserve">if </w:t>
      </w:r>
      <w:r w:rsidRPr="007A7F1B">
        <w:t xml:space="preserve">the individual is directed to respond to the event, </w:t>
      </w:r>
      <w:r w:rsidR="00FF091B">
        <w:t xml:space="preserve">then </w:t>
      </w:r>
      <w:r w:rsidRPr="007A7F1B">
        <w:t xml:space="preserve">the specimen </w:t>
      </w:r>
      <w:r>
        <w:t xml:space="preserve">should </w:t>
      </w:r>
      <w:r w:rsidRPr="007A7F1B">
        <w:t>be discarded</w:t>
      </w:r>
      <w:r w:rsidR="003C60DD">
        <w:t xml:space="preserve">. </w:t>
      </w:r>
      <w:r w:rsidRPr="007A7F1B">
        <w:t>The collector shall document</w:t>
      </w:r>
      <w:r>
        <w:t xml:space="preserve"> </w:t>
      </w:r>
      <w:r w:rsidRPr="007A7F1B">
        <w:t>on the Federal CCF that the specimen was discarded, unless characteristics of the specimen indicate that it may have been adulterated or tampered with (e.g.,</w:t>
      </w:r>
      <w:r>
        <w:t> </w:t>
      </w:r>
      <w:r w:rsidRPr="007A7F1B">
        <w:t xml:space="preserve">color, clarity, contaminants, precipitants, </w:t>
      </w:r>
      <w:r>
        <w:t xml:space="preserve">and </w:t>
      </w:r>
      <w:r w:rsidRPr="007A7F1B">
        <w:t xml:space="preserve">smell), in which case, the specimen should be processed according to </w:t>
      </w:r>
      <w:r>
        <w:t>10 CFR </w:t>
      </w:r>
      <w:r w:rsidRPr="007A7F1B">
        <w:t>26.109(b)(4)</w:t>
      </w:r>
      <w:r>
        <w:t>.</w:t>
      </w:r>
    </w:p>
    <w:p w:rsidRPr="007A7F1B" w:rsidR="00F82496" w:rsidRDefault="00F82496" w14:paraId="7B08AF4F" w14:textId="77777777">
      <w:pPr>
        <w:pStyle w:val="ListParagraph"/>
        <w:ind w:left="2160" w:firstLine="0"/>
      </w:pPr>
    </w:p>
    <w:p w:rsidRPr="007A7F1B" w:rsidR="00F82496" w:rsidRDefault="00F82496" w14:paraId="173A5B71" w14:textId="77777777">
      <w:pPr>
        <w:pStyle w:val="ListParagraph"/>
        <w:numPr>
          <w:ilvl w:val="0"/>
          <w:numId w:val="5"/>
        </w:numPr>
        <w:ind w:left="1440"/>
      </w:pPr>
      <w:r w:rsidRPr="007A7F1B">
        <w:t xml:space="preserve">Maintain the collector’s copy of the Federal CCF </w:t>
      </w:r>
      <w:r>
        <w:t>in accordance with</w:t>
      </w:r>
      <w:r w:rsidRPr="007A7F1B">
        <w:t xml:space="preserve"> </w:t>
      </w:r>
      <w:r>
        <w:t>10 CFR </w:t>
      </w:r>
      <w:r w:rsidRPr="007A7F1B">
        <w:t>26.715(b)(2)</w:t>
      </w:r>
      <w:r>
        <w:t>.</w:t>
      </w:r>
    </w:p>
    <w:p w:rsidRPr="007A7F1B" w:rsidR="00F82496" w:rsidRDefault="00F82496" w14:paraId="34D2CDB3" w14:textId="77777777">
      <w:pPr>
        <w:ind w:left="1440" w:hanging="360"/>
      </w:pPr>
    </w:p>
    <w:p w:rsidRPr="007A7F1B" w:rsidR="00F82496" w:rsidRDefault="00F82496" w14:paraId="162A2917" w14:textId="355B1B15">
      <w:pPr>
        <w:pStyle w:val="ListParagraph"/>
        <w:numPr>
          <w:ilvl w:val="0"/>
          <w:numId w:val="5"/>
        </w:numPr>
        <w:ind w:left="1440"/>
      </w:pPr>
      <w:r w:rsidRPr="007A7F1B">
        <w:t xml:space="preserve">If the specimen collection process was terminated and the specimen was discarded, </w:t>
      </w:r>
      <w:r w:rsidR="006F7ACE">
        <w:t xml:space="preserve">then </w:t>
      </w:r>
      <w:r w:rsidRPr="007A7F1B">
        <w:t>initiate a new unannounced specimen collection at the earliest reasonable and practical opportunity.</w:t>
      </w:r>
    </w:p>
    <w:p w:rsidRPr="007A7F1B" w:rsidR="00F82496" w:rsidRDefault="00F82496" w14:paraId="6A7721C2" w14:textId="77777777"/>
    <w:p w:rsidRPr="007A7F1B" w:rsidR="00F82496" w:rsidP="00D6565F" w:rsidRDefault="00F82496" w14:paraId="7756F779" w14:textId="77777777">
      <w:pPr>
        <w:pStyle w:val="ListParagraph"/>
        <w:numPr>
          <w:ilvl w:val="0"/>
          <w:numId w:val="9"/>
        </w:numPr>
        <w:ind w:left="720" w:hanging="720"/>
      </w:pPr>
      <w:r w:rsidRPr="007A7F1B">
        <w:t xml:space="preserve">Consistent with the sequence of requirements in </w:t>
      </w:r>
      <w:r>
        <w:t>10 CFR </w:t>
      </w:r>
      <w:r w:rsidRPr="007A7F1B">
        <w:t xml:space="preserve">26.89(c) and other sections, the phrase “will be considered a refusal to test” means </w:t>
      </w:r>
      <w:r>
        <w:t xml:space="preserve">that </w:t>
      </w:r>
      <w:r w:rsidRPr="007A7F1B">
        <w:t>(1)</w:t>
      </w:r>
      <w:r>
        <w:t> </w:t>
      </w:r>
      <w:r w:rsidRPr="007A7F1B">
        <w:t>a collector, hydration monitor, or FFD program person has identified an occurrence indicative of a refusal to test</w:t>
      </w:r>
      <w:r>
        <w:t>,</w:t>
      </w:r>
      <w:r w:rsidRPr="007A7F1B">
        <w:t xml:space="preserve"> (2)</w:t>
      </w:r>
      <w:r>
        <w:t> </w:t>
      </w:r>
      <w:r w:rsidRPr="007A7F1B">
        <w:t>the occurrence has been communicated to</w:t>
      </w:r>
      <w:r>
        <w:t>,</w:t>
      </w:r>
      <w:r w:rsidRPr="007A7F1B">
        <w:t xml:space="preserve"> and evaluated by</w:t>
      </w:r>
      <w:r>
        <w:t>,</w:t>
      </w:r>
      <w:r w:rsidRPr="007A7F1B">
        <w:t xml:space="preserve"> FFD program management</w:t>
      </w:r>
      <w:r>
        <w:t>,</w:t>
      </w:r>
      <w:r w:rsidRPr="007A7F1B">
        <w:t xml:space="preserve"> and (3)</w:t>
      </w:r>
      <w:r>
        <w:t> </w:t>
      </w:r>
      <w:r w:rsidRPr="007A7F1B">
        <w:t>FFD program management makes the sole determination that a refusal to test had occurred.</w:t>
      </w:r>
    </w:p>
    <w:p w:rsidRPr="007A7F1B" w:rsidR="00F82496" w:rsidRDefault="00F82496" w14:paraId="5E60E1A7" w14:textId="77777777"/>
    <w:p w:rsidRPr="007A7F1B" w:rsidR="00F82496" w:rsidRDefault="00F82496" w14:paraId="45BDB7E2" w14:textId="77777777">
      <w:pPr>
        <w:rPr>
          <w:b/>
        </w:rPr>
      </w:pPr>
      <w:r w:rsidRPr="007A7F1B">
        <w:rPr>
          <w:b/>
        </w:rPr>
        <w:t>C.</w:t>
      </w:r>
      <w:r w:rsidRPr="007A7F1B">
        <w:rPr>
          <w:b/>
        </w:rPr>
        <w:tab/>
        <w:t>Providing liquid for hydration</w:t>
      </w:r>
    </w:p>
    <w:p w:rsidRPr="007A7F1B" w:rsidR="00F82496" w:rsidRDefault="00F82496" w14:paraId="1A442861" w14:textId="77777777"/>
    <w:p w:rsidRPr="007A7F1B" w:rsidR="00F82496" w:rsidP="00D6565F" w:rsidRDefault="00205968" w14:paraId="43CDCB75" w14:textId="60A0E1E7">
      <w:pPr>
        <w:pStyle w:val="ListParagraph"/>
        <w:numPr>
          <w:ilvl w:val="0"/>
          <w:numId w:val="10"/>
        </w:numPr>
        <w:ind w:hanging="720"/>
      </w:pPr>
      <w:r>
        <w:t>During the hydration process</w:t>
      </w:r>
      <w:r w:rsidR="00654FB4">
        <w:t>,</w:t>
      </w:r>
      <w:r>
        <w:t xml:space="preserve"> t</w:t>
      </w:r>
      <w:r w:rsidRPr="007A7F1B" w:rsidR="00F82496">
        <w:t>he donor</w:t>
      </w:r>
      <w:r>
        <w:t xml:space="preserve"> cannot have </w:t>
      </w:r>
      <w:r w:rsidR="00654FB4">
        <w:t xml:space="preserve">access to </w:t>
      </w:r>
      <w:r>
        <w:t>or consume</w:t>
      </w:r>
      <w:r w:rsidR="00654FB4">
        <w:t xml:space="preserve"> </w:t>
      </w:r>
      <w:r w:rsidR="007940E4">
        <w:t xml:space="preserve">liquid that the donor brought to the </w:t>
      </w:r>
      <w:r w:rsidR="00132C30">
        <w:t>collection site</w:t>
      </w:r>
      <w:r w:rsidRPr="007A7F1B" w:rsidR="00F82496">
        <w:t>.</w:t>
      </w:r>
    </w:p>
    <w:p w:rsidRPr="007A7F1B" w:rsidR="00F82496" w:rsidRDefault="00F82496" w14:paraId="49032683" w14:textId="77777777">
      <w:pPr>
        <w:ind w:left="1440"/>
      </w:pPr>
    </w:p>
    <w:p w:rsidRPr="007A7F1B" w:rsidR="00F82496" w:rsidP="00D6565F" w:rsidRDefault="00F82496" w14:paraId="18E955B8" w14:textId="4C528655">
      <w:pPr>
        <w:pStyle w:val="ListParagraph"/>
        <w:numPr>
          <w:ilvl w:val="0"/>
          <w:numId w:val="10"/>
        </w:numPr>
        <w:ind w:hanging="720"/>
      </w:pPr>
      <w:r w:rsidRPr="007A7F1B">
        <w:t>The licensee should make a known quantity of liquid available to the donor, not to exceed 40</w:t>
      </w:r>
      <w:r>
        <w:t> </w:t>
      </w:r>
      <w:r w:rsidRPr="007A7F1B">
        <w:t>ounces (</w:t>
      </w:r>
      <w:r>
        <w:t>10 CFR </w:t>
      </w:r>
      <w:r w:rsidRPr="007A7F1B">
        <w:t>26.109(b)</w:t>
      </w:r>
      <w:r w:rsidR="00ED7BEF">
        <w:t>(1)</w:t>
      </w:r>
      <w:r w:rsidRPr="007A7F1B">
        <w:t>)</w:t>
      </w:r>
      <w:r w:rsidR="003C60DD">
        <w:t xml:space="preserve">. </w:t>
      </w:r>
      <w:r w:rsidRPr="007A7F1B">
        <w:t>For example, five 8</w:t>
      </w:r>
      <w:r>
        <w:noBreakHyphen/>
      </w:r>
      <w:r w:rsidRPr="007A7F1B">
        <w:t>ounce bottles of water could be made available to the donor</w:t>
      </w:r>
      <w:r w:rsidR="003C60DD">
        <w:t xml:space="preserve">. </w:t>
      </w:r>
      <w:r w:rsidRPr="007A7F1B">
        <w:t>Providing a donor with an empty cup and access to a water fountain is not considered an acceptable way to provide a known quantity of liquid to the donor because the collector or hydration monitor would not be able to ensure that that the donor does not consume more than 40</w:t>
      </w:r>
      <w:r>
        <w:t> </w:t>
      </w:r>
      <w:r w:rsidRPr="007A7F1B">
        <w:t>ounces of liquid.</w:t>
      </w:r>
    </w:p>
    <w:p w:rsidRPr="007A7F1B" w:rsidR="00F82496" w:rsidRDefault="00F82496" w14:paraId="4A8A3D6C" w14:textId="77777777"/>
    <w:p w:rsidRPr="007A7F1B" w:rsidR="00F82496" w:rsidRDefault="00F82496" w14:paraId="34634050" w14:textId="19A74D1E">
      <w:pPr>
        <w:ind w:firstLine="0"/>
      </w:pPr>
      <w:r>
        <w:t>I</w:t>
      </w:r>
      <w:r w:rsidRPr="007A7F1B">
        <w:t>f the collector or hydration monitor observe</w:t>
      </w:r>
      <w:r>
        <w:t>s</w:t>
      </w:r>
      <w:r w:rsidRPr="007A7F1B">
        <w:t xml:space="preserve"> the donor consuming fluid </w:t>
      </w:r>
      <w:r>
        <w:t xml:space="preserve">that was </w:t>
      </w:r>
      <w:r w:rsidRPr="007A7F1B">
        <w:t>not assigned to</w:t>
      </w:r>
      <w:r w:rsidR="008440C1">
        <w:t xml:space="preserve"> the donor</w:t>
      </w:r>
      <w:r w:rsidRPr="007A7F1B">
        <w:t xml:space="preserve"> (e.g.,</w:t>
      </w:r>
      <w:r>
        <w:t> </w:t>
      </w:r>
      <w:r w:rsidRPr="007A7F1B">
        <w:t xml:space="preserve">drinking from a water fountain), the donor has failed to cooperate with the specimen collection process under </w:t>
      </w:r>
      <w:r>
        <w:t>10 CFR </w:t>
      </w:r>
      <w:r w:rsidRPr="007A7F1B">
        <w:t>26.89(c).</w:t>
      </w:r>
    </w:p>
    <w:p w:rsidRPr="007A7F1B" w:rsidR="00F82496" w:rsidRDefault="00F82496" w14:paraId="5EA6FC00" w14:textId="77777777"/>
    <w:p w:rsidRPr="007A7F1B" w:rsidR="00F82496" w:rsidP="00D6565F" w:rsidRDefault="00F82496" w14:paraId="471E7C05" w14:textId="4C9926C0">
      <w:pPr>
        <w:pStyle w:val="ListParagraph"/>
        <w:numPr>
          <w:ilvl w:val="0"/>
          <w:numId w:val="10"/>
        </w:numPr>
        <w:ind w:hanging="720"/>
      </w:pPr>
      <w:r w:rsidRPr="007A7F1B">
        <w:t>The collector or hydration monitor should encourage, but cannot require, the donor to consume the liquid provided at a reasonable rate</w:t>
      </w:r>
      <w:r w:rsidR="003C60DD">
        <w:t xml:space="preserve">. </w:t>
      </w:r>
      <w:r w:rsidRPr="007A7F1B">
        <w:t>A reasonable rate is about 8</w:t>
      </w:r>
      <w:r>
        <w:t> </w:t>
      </w:r>
      <w:r w:rsidRPr="007A7F1B">
        <w:t xml:space="preserve">ounces </w:t>
      </w:r>
      <w:r>
        <w:t xml:space="preserve">(237 milliliters (mL)) </w:t>
      </w:r>
      <w:r w:rsidRPr="007A7F1B">
        <w:t>every 30</w:t>
      </w:r>
      <w:r>
        <w:t> </w:t>
      </w:r>
      <w:r w:rsidRPr="007A7F1B">
        <w:t>minutes</w:t>
      </w:r>
      <w:r>
        <w:t>; however,</w:t>
      </w:r>
      <w:r w:rsidRPr="007A7F1B">
        <w:t xml:space="preserve"> this rate is dependent on the donor</w:t>
      </w:r>
      <w:r w:rsidR="003C60DD">
        <w:t xml:space="preserve">. </w:t>
      </w:r>
      <w:r w:rsidRPr="007A7F1B">
        <w:t>Therefore, the collector or hydration monitor should control the pace in which liquid is provided to the donor</w:t>
      </w:r>
      <w:r w:rsidR="003C60DD">
        <w:t xml:space="preserve">. </w:t>
      </w:r>
      <w:r w:rsidRPr="007A7F1B">
        <w:t xml:space="preserve">However, if the donor requests more liquid than </w:t>
      </w:r>
      <w:r>
        <w:t xml:space="preserve">that </w:t>
      </w:r>
      <w:r w:rsidRPr="007A7F1B">
        <w:t>provided and</w:t>
      </w:r>
      <w:r>
        <w:t xml:space="preserve"> if</w:t>
      </w:r>
      <w:r w:rsidRPr="007A7F1B">
        <w:t xml:space="preserve"> the total liquid provided </w:t>
      </w:r>
      <w:r>
        <w:t>up to that point</w:t>
      </w:r>
      <w:r w:rsidRPr="007A7F1B">
        <w:t xml:space="preserve"> is less than 40</w:t>
      </w:r>
      <w:r>
        <w:t> </w:t>
      </w:r>
      <w:r w:rsidRPr="007A7F1B">
        <w:t>ounces, the collector or hydration monitor should provide more liquid (such as another 8</w:t>
      </w:r>
      <w:r>
        <w:t> </w:t>
      </w:r>
      <w:r w:rsidRPr="007A7F1B">
        <w:t xml:space="preserve">ounces), </w:t>
      </w:r>
      <w:r>
        <w:t>as long as</w:t>
      </w:r>
      <w:r w:rsidRPr="007A7F1B">
        <w:t xml:space="preserve"> the total volume of consumed </w:t>
      </w:r>
      <w:r>
        <w:t>liquid and</w:t>
      </w:r>
      <w:r w:rsidRPr="007A7F1B">
        <w:t xml:space="preserve"> liquid</w:t>
      </w:r>
      <w:r>
        <w:t xml:space="preserve"> to be provided does not exceed</w:t>
      </w:r>
      <w:r w:rsidRPr="007A7F1B">
        <w:t xml:space="preserve"> 40</w:t>
      </w:r>
      <w:r>
        <w:t> </w:t>
      </w:r>
      <w:r w:rsidRPr="007A7F1B">
        <w:t>ounces.</w:t>
      </w:r>
    </w:p>
    <w:p w:rsidRPr="007A7F1B" w:rsidR="00F82496" w:rsidRDefault="00F82496" w14:paraId="7788947E" w14:textId="77777777">
      <w:pPr>
        <w:ind w:left="0" w:firstLine="0"/>
      </w:pPr>
    </w:p>
    <w:p w:rsidRPr="00987365" w:rsidR="00F82496" w:rsidRDefault="00F82496" w14:paraId="4DB5AD51" w14:textId="77777777">
      <w:pPr>
        <w:pStyle w:val="ListParagraph"/>
        <w:ind w:left="1350" w:hanging="630"/>
      </w:pPr>
      <w:r>
        <w:t>Note the following</w:t>
      </w:r>
      <w:r w:rsidRPr="00987365">
        <w:t>:</w:t>
      </w:r>
    </w:p>
    <w:p w:rsidRPr="005A7C50" w:rsidR="00F82496" w:rsidRDefault="00F82496" w14:paraId="4DC6ECE5" w14:textId="77777777">
      <w:pPr>
        <w:rPr>
          <w:b/>
        </w:rPr>
      </w:pPr>
    </w:p>
    <w:p w:rsidR="00735C0E" w:rsidP="00131B0C" w:rsidRDefault="00F82496" w14:paraId="6E822BF1" w14:textId="04A5489D">
      <w:pPr>
        <w:pStyle w:val="ListParagraph"/>
        <w:keepNext/>
        <w:numPr>
          <w:ilvl w:val="0"/>
          <w:numId w:val="35"/>
        </w:numPr>
        <w:ind w:left="1440"/>
      </w:pPr>
      <w:r w:rsidRPr="007A7F1B">
        <w:t xml:space="preserve">Two kidneys (in a healthy adult) produce about </w:t>
      </w:r>
      <w:r>
        <w:t>946</w:t>
      </w:r>
      <w:r w:rsidRPr="007A7F1B">
        <w:t xml:space="preserve"> </w:t>
      </w:r>
      <w:r>
        <w:t>to</w:t>
      </w:r>
      <w:r w:rsidRPr="007A7F1B">
        <w:t xml:space="preserve"> </w:t>
      </w:r>
      <w:r>
        <w:t>1,892 mL</w:t>
      </w:r>
      <w:r w:rsidR="00CF5C6F">
        <w:t xml:space="preserve"> (</w:t>
      </w:r>
      <w:r w:rsidRPr="007A7F1B" w:rsidR="00CF5C6F">
        <w:t xml:space="preserve">1 </w:t>
      </w:r>
      <w:r w:rsidR="00CF5C6F">
        <w:t xml:space="preserve">to </w:t>
      </w:r>
      <w:r w:rsidRPr="007A7F1B" w:rsidR="00CF5C6F">
        <w:t>2</w:t>
      </w:r>
      <w:r w:rsidR="00CF5C6F">
        <w:t> </w:t>
      </w:r>
      <w:r w:rsidRPr="007A7F1B" w:rsidR="00CF5C6F">
        <w:t>quart</w:t>
      </w:r>
      <w:r w:rsidR="00CF5C6F">
        <w:t>s</w:t>
      </w:r>
      <w:r w:rsidRPr="007A7F1B">
        <w:t xml:space="preserve">) of urine per day or about </w:t>
      </w:r>
      <w:r>
        <w:t>40</w:t>
      </w:r>
      <w:r w:rsidRPr="007A7F1B">
        <w:t xml:space="preserve"> </w:t>
      </w:r>
      <w:r>
        <w:t>to</w:t>
      </w:r>
      <w:r w:rsidRPr="007A7F1B">
        <w:t xml:space="preserve"> </w:t>
      </w:r>
      <w:r>
        <w:t>80 </w:t>
      </w:r>
      <w:r w:rsidRPr="007A7F1B">
        <w:t>mL of urine per hour (Ref.</w:t>
      </w:r>
      <w:r>
        <w:t> </w:t>
      </w:r>
      <w:r w:rsidR="00115E0B">
        <w:t>8</w:t>
      </w:r>
      <w:r w:rsidRPr="007A7F1B">
        <w:t>)</w:t>
      </w:r>
      <w:r w:rsidR="003C60DD">
        <w:t xml:space="preserve">. </w:t>
      </w:r>
      <w:r>
        <w:t>A</w:t>
      </w:r>
      <w:r w:rsidRPr="007A7F1B">
        <w:t xml:space="preserve"> normal bladder capacity </w:t>
      </w:r>
      <w:r>
        <w:t>is about</w:t>
      </w:r>
      <w:r w:rsidRPr="007A7F1B">
        <w:t xml:space="preserve"> 300 </w:t>
      </w:r>
      <w:r>
        <w:t>to</w:t>
      </w:r>
      <w:r w:rsidRPr="007A7F1B">
        <w:t xml:space="preserve"> 400</w:t>
      </w:r>
      <w:r>
        <w:t> </w:t>
      </w:r>
      <w:r w:rsidRPr="007A7F1B">
        <w:t>mL (Ref.</w:t>
      </w:r>
      <w:r>
        <w:t> </w:t>
      </w:r>
      <w:r w:rsidR="00115E0B">
        <w:t>9</w:t>
      </w:r>
      <w:r w:rsidRPr="007A7F1B">
        <w:t>).</w:t>
      </w:r>
      <w:r w:rsidR="009555CD">
        <w:t xml:space="preserve"> Once a donor provides a urine specimen of at least 30</w:t>
      </w:r>
      <w:r w:rsidR="00430E51">
        <w:t> </w:t>
      </w:r>
      <w:r w:rsidR="009555CD">
        <w:t>mL, the collection must end (10 CFR 26.109(b)(2)).</w:t>
      </w:r>
    </w:p>
    <w:p w:rsidRPr="007A7F1B" w:rsidR="00735C0E" w:rsidP="00131B0C" w:rsidRDefault="00735C0E" w14:paraId="7CFD626A" w14:textId="77777777">
      <w:pPr>
        <w:pStyle w:val="ListParagraph"/>
        <w:ind w:left="1440" w:firstLine="0"/>
      </w:pPr>
    </w:p>
    <w:p w:rsidR="00F82496" w:rsidP="00131B0C" w:rsidRDefault="00735C0E" w14:paraId="7AEFE73E" w14:textId="44475481">
      <w:pPr>
        <w:pStyle w:val="ListParagraph"/>
        <w:keepNext/>
        <w:numPr>
          <w:ilvl w:val="0"/>
          <w:numId w:val="35"/>
        </w:numPr>
        <w:ind w:left="1440"/>
      </w:pPr>
      <w:proofErr w:type="spellStart"/>
      <w:r>
        <w:t>Riebl</w:t>
      </w:r>
      <w:proofErr w:type="spellEnd"/>
      <w:r>
        <w:t xml:space="preserve"> and Davy (Ref. 10) state, </w:t>
      </w:r>
      <w:r w:rsidRPr="007A7F1B">
        <w:t>“Typically, healthy individuals can maintain water balance through urination when excess fluid is consumed; hyperhydration is not commonly encountered.”</w:t>
      </w:r>
    </w:p>
    <w:p w:rsidRPr="007A7F1B" w:rsidR="00735C0E" w:rsidP="00F25FCB" w:rsidRDefault="00735C0E" w14:paraId="7F81A835" w14:textId="77777777"/>
    <w:p w:rsidRPr="007A7F1B" w:rsidR="00F82496" w:rsidP="0005126D" w:rsidRDefault="00F82496" w14:paraId="32AAEF72" w14:textId="4AADB40A">
      <w:pPr>
        <w:pStyle w:val="ListParagraph"/>
        <w:numPr>
          <w:ilvl w:val="0"/>
          <w:numId w:val="10"/>
        </w:numPr>
        <w:ind w:hanging="720"/>
      </w:pPr>
      <w:r w:rsidRPr="007A7F1B">
        <w:t>The collector or hydration monitor should not encourage or urge the donor to attempt to provide a specimen quickly or repeatedly during the hydration process</w:t>
      </w:r>
      <w:r w:rsidR="003C60DD">
        <w:t xml:space="preserve">. </w:t>
      </w:r>
      <w:r w:rsidRPr="007A7F1B">
        <w:t xml:space="preserve">Requesting the donor to provide a specimen before </w:t>
      </w:r>
      <w:r w:rsidR="005A44A2">
        <w:t xml:space="preserve">the </w:t>
      </w:r>
      <w:r w:rsidR="00E97BA8">
        <w:t xml:space="preserve">donor is </w:t>
      </w:r>
      <w:r w:rsidRPr="007A7F1B">
        <w:t>ready to do so could result in the donor providing a specimen of inadequate volume</w:t>
      </w:r>
      <w:r w:rsidR="003C60DD">
        <w:t xml:space="preserve">. </w:t>
      </w:r>
      <w:r w:rsidRPr="006929F1">
        <w:t>(See paragraph 1(D)(</w:t>
      </w:r>
      <w:r w:rsidR="00930802">
        <w:t>8</w:t>
      </w:r>
      <w:r w:rsidRPr="006929F1">
        <w:t>)</w:t>
      </w:r>
      <w:r w:rsidR="00457AE2">
        <w:t xml:space="preserve"> </w:t>
      </w:r>
      <w:r w:rsidR="00864991">
        <w:t>of</w:t>
      </w:r>
      <w:r w:rsidR="00457AE2">
        <w:t xml:space="preserve"> this RG</w:t>
      </w:r>
      <w:r w:rsidRPr="006929F1">
        <w:t>).</w:t>
      </w:r>
    </w:p>
    <w:p w:rsidRPr="007A7F1B" w:rsidR="00F82496" w:rsidRDefault="00F82496" w14:paraId="62B0B750" w14:textId="77777777"/>
    <w:p w:rsidRPr="007A7F1B" w:rsidR="00F82496" w:rsidRDefault="00F82496" w14:paraId="30755C2B" w14:textId="77777777">
      <w:pPr>
        <w:keepNext/>
        <w:rPr>
          <w:b/>
        </w:rPr>
      </w:pPr>
      <w:r w:rsidRPr="007A7F1B">
        <w:rPr>
          <w:b/>
        </w:rPr>
        <w:t>D.</w:t>
      </w:r>
      <w:r w:rsidRPr="007A7F1B">
        <w:rPr>
          <w:b/>
        </w:rPr>
        <w:tab/>
        <w:t>Providing a specimen during the hydration process</w:t>
      </w:r>
    </w:p>
    <w:p w:rsidRPr="007A7F1B" w:rsidR="00F82496" w:rsidRDefault="00F82496" w14:paraId="215DAAE0" w14:textId="77777777">
      <w:pPr>
        <w:keepNext/>
      </w:pPr>
    </w:p>
    <w:p w:rsidRPr="007A7F1B" w:rsidR="00F82496" w:rsidP="0005126D" w:rsidRDefault="000E7BFB" w14:paraId="21711145" w14:textId="65801FE0">
      <w:pPr>
        <w:pStyle w:val="ListParagraph"/>
        <w:keepNext/>
        <w:numPr>
          <w:ilvl w:val="0"/>
          <w:numId w:val="12"/>
        </w:numPr>
        <w:ind w:hanging="720"/>
      </w:pPr>
      <w:r>
        <w:t>Once the donor is ready to attempt to provide a specimen, t</w:t>
      </w:r>
      <w:r w:rsidRPr="007A7F1B" w:rsidR="00F82496">
        <w:t xml:space="preserve">he collector or hydration monitor </w:t>
      </w:r>
      <w:proofErr w:type="gramStart"/>
      <w:r w:rsidRPr="007A7F1B" w:rsidR="00F82496">
        <w:t>should to</w:t>
      </w:r>
      <w:proofErr w:type="gramEnd"/>
      <w:r w:rsidRPr="007A7F1B" w:rsidR="00F82496">
        <w:t xml:space="preserve"> minimize the time a donor needs to wait to </w:t>
      </w:r>
      <w:r>
        <w:t xml:space="preserve">attempt to </w:t>
      </w:r>
      <w:r w:rsidRPr="007A7F1B" w:rsidR="00F82496">
        <w:t>provide a specimen.</w:t>
      </w:r>
    </w:p>
    <w:p w:rsidRPr="007A7F1B" w:rsidR="00F82496" w:rsidRDefault="00F82496" w14:paraId="09B038E5" w14:textId="77777777"/>
    <w:p w:rsidRPr="007A7F1B" w:rsidR="00F82496" w:rsidP="0005126D" w:rsidRDefault="00F82496" w14:paraId="48835ED7" w14:textId="124DB541">
      <w:pPr>
        <w:pStyle w:val="ListParagraph"/>
        <w:numPr>
          <w:ilvl w:val="0"/>
          <w:numId w:val="12"/>
        </w:numPr>
        <w:ind w:hanging="720"/>
      </w:pPr>
      <w:r w:rsidRPr="007A7F1B">
        <w:t>Any subsequent failed attempt to provide a specimen of sufficient volume (</w:t>
      </w:r>
      <w:r>
        <w:t>10 CFR </w:t>
      </w:r>
      <w:r w:rsidRPr="007A7F1B">
        <w:t xml:space="preserve">26.109(b)(3)) during the hydration process does not </w:t>
      </w:r>
      <w:r w:rsidR="00A869AB">
        <w:t>restart</w:t>
      </w:r>
      <w:r w:rsidRPr="007A7F1B" w:rsidR="00A869AB">
        <w:t xml:space="preserve"> </w:t>
      </w:r>
      <w:r w:rsidRPr="007A7F1B">
        <w:t>the 3</w:t>
      </w:r>
      <w:r>
        <w:noBreakHyphen/>
      </w:r>
      <w:r w:rsidRPr="007A7F1B">
        <w:t>hour hydration period (i.e.,</w:t>
      </w:r>
      <w:r>
        <w:t> </w:t>
      </w:r>
      <w:r w:rsidRPr="007A7F1B">
        <w:t xml:space="preserve">the </w:t>
      </w:r>
      <w:r>
        <w:t>start of</w:t>
      </w:r>
      <w:r w:rsidRPr="007A7F1B">
        <w:t xml:space="preserve"> the 3</w:t>
      </w:r>
      <w:r>
        <w:noBreakHyphen/>
      </w:r>
      <w:r w:rsidRPr="007A7F1B">
        <w:t xml:space="preserve">hour hydration </w:t>
      </w:r>
      <w:r w:rsidR="00D522EB">
        <w:t>period</w:t>
      </w:r>
      <w:r w:rsidRPr="007A7F1B">
        <w:t xml:space="preserve"> begins when the donor exists the room, stall, or private area and the collector determines that the initial specimen was of insufficient quantity).</w:t>
      </w:r>
    </w:p>
    <w:p w:rsidRPr="007A7F1B" w:rsidR="00F82496" w:rsidRDefault="00F82496" w14:paraId="72DA3A0A" w14:textId="77777777"/>
    <w:p w:rsidRPr="007A7F1B" w:rsidR="00F82496" w:rsidP="00D6565F" w:rsidRDefault="00F82496" w14:paraId="38F18CF7" w14:textId="1111861D">
      <w:pPr>
        <w:pStyle w:val="ListParagraph"/>
        <w:numPr>
          <w:ilvl w:val="0"/>
          <w:numId w:val="12"/>
        </w:numPr>
        <w:ind w:hanging="720"/>
      </w:pPr>
      <w:r w:rsidRPr="007A7F1B">
        <w:t xml:space="preserve">If the hydration monitor is not qualified as a collector, </w:t>
      </w:r>
      <w:r w:rsidR="05ED57BF">
        <w:t xml:space="preserve">then </w:t>
      </w:r>
      <w:r w:rsidRPr="007A7F1B">
        <w:t>the donor shall be transferred to a</w:t>
      </w:r>
      <w:r w:rsidR="00C10FC1">
        <w:t>n available</w:t>
      </w:r>
      <w:r w:rsidRPr="007A7F1B">
        <w:t xml:space="preserve"> collector</w:t>
      </w:r>
      <w:r>
        <w:t xml:space="preserve"> when the donor is ready to attempt to provide a specimen</w:t>
      </w:r>
      <w:r w:rsidR="00990B32">
        <w:t xml:space="preserve"> (10 CFR 26.107(a))</w:t>
      </w:r>
      <w:r w:rsidRPr="007A7F1B">
        <w:t>.</w:t>
      </w:r>
    </w:p>
    <w:p w:rsidRPr="007A7F1B" w:rsidR="00F82496" w:rsidRDefault="00F82496" w14:paraId="25B9B8F9" w14:textId="77777777">
      <w:pPr>
        <w:ind w:left="0" w:firstLine="0"/>
      </w:pPr>
    </w:p>
    <w:p w:rsidRPr="007A7F1B" w:rsidR="00F82496" w:rsidP="00D6565F" w:rsidRDefault="00F82496" w14:paraId="60F9E8BE" w14:textId="77777777">
      <w:pPr>
        <w:pStyle w:val="ListParagraph"/>
        <w:numPr>
          <w:ilvl w:val="0"/>
          <w:numId w:val="12"/>
        </w:numPr>
        <w:ind w:hanging="720"/>
      </w:pPr>
      <w:r w:rsidRPr="007A7F1B">
        <w:t>A donor may try to urinate as many times as necessary within the 3</w:t>
      </w:r>
      <w:r>
        <w:noBreakHyphen/>
      </w:r>
      <w:r w:rsidRPr="007A7F1B">
        <w:t>hour hydration period.</w:t>
      </w:r>
    </w:p>
    <w:p w:rsidRPr="007A7F1B" w:rsidR="00F82496" w:rsidRDefault="00F82496" w14:paraId="6E62BB61" w14:textId="77777777"/>
    <w:p w:rsidRPr="007A7F1B" w:rsidR="00F82496" w:rsidP="00D6565F" w:rsidRDefault="00F82496" w14:paraId="1E9DE1EB" w14:textId="77777777">
      <w:pPr>
        <w:pStyle w:val="ListParagraph"/>
        <w:numPr>
          <w:ilvl w:val="0"/>
          <w:numId w:val="12"/>
        </w:numPr>
        <w:ind w:hanging="720"/>
      </w:pPr>
      <w:r w:rsidRPr="007A7F1B">
        <w:t>If the donor’s attempt to provide a specimen of sufficient volume (</w:t>
      </w:r>
      <w:r>
        <w:t>10 CFR </w:t>
      </w:r>
      <w:r w:rsidRPr="007A7F1B">
        <w:t>26.109(b)(2)) is not successful and the collector wants the hydration monitor to resume responsibility for monitoring the donor during the 3</w:t>
      </w:r>
      <w:r>
        <w:noBreakHyphen/>
      </w:r>
      <w:r w:rsidRPr="007A7F1B">
        <w:t>hour hydration period</w:t>
      </w:r>
      <w:r>
        <w:t xml:space="preserve"> that has already been established</w:t>
      </w:r>
      <w:r w:rsidRPr="007A7F1B">
        <w:t>, the donor should be directed to the hydration area, and the collector should make a statement transferring responsibility for monitoring the donor back to the hydration monitor.</w:t>
      </w:r>
    </w:p>
    <w:p w:rsidRPr="007A7F1B" w:rsidR="00F82496" w:rsidRDefault="00F82496" w14:paraId="29F0C645" w14:textId="77777777">
      <w:pPr>
        <w:ind w:left="0" w:firstLine="0"/>
      </w:pPr>
    </w:p>
    <w:p w:rsidRPr="007A7F1B" w:rsidR="00F82496" w:rsidP="00D6565F" w:rsidRDefault="00F82496" w14:paraId="14F30D00" w14:textId="77777777">
      <w:pPr>
        <w:pStyle w:val="ListParagraph"/>
        <w:numPr>
          <w:ilvl w:val="0"/>
          <w:numId w:val="12"/>
        </w:numPr>
        <w:ind w:hanging="720"/>
      </w:pPr>
      <w:r w:rsidRPr="007A7F1B">
        <w:t>At about 2</w:t>
      </w:r>
      <w:r>
        <w:t> </w:t>
      </w:r>
      <w:r w:rsidRPr="007A7F1B">
        <w:t>hours and 30</w:t>
      </w:r>
      <w:r>
        <w:t> </w:t>
      </w:r>
      <w:r w:rsidRPr="007A7F1B">
        <w:t xml:space="preserve">minutes and then </w:t>
      </w:r>
      <w:r>
        <w:t xml:space="preserve">at </w:t>
      </w:r>
      <w:r w:rsidRPr="007A7F1B">
        <w:t>2</w:t>
      </w:r>
      <w:r>
        <w:t> </w:t>
      </w:r>
      <w:r w:rsidRPr="007A7F1B">
        <w:t>hours and 45</w:t>
      </w:r>
      <w:r>
        <w:t> </w:t>
      </w:r>
      <w:r w:rsidRPr="007A7F1B">
        <w:t>minutes into the hydration period, the collector or hydration monitor should inform the donor when the 3</w:t>
      </w:r>
      <w:r>
        <w:noBreakHyphen/>
      </w:r>
      <w:r w:rsidRPr="007A7F1B">
        <w:t>hour hydration period will lapse.</w:t>
      </w:r>
    </w:p>
    <w:p w:rsidRPr="007A7F1B" w:rsidR="00F82496" w:rsidRDefault="00F82496" w14:paraId="4B467ADD" w14:textId="77777777"/>
    <w:p w:rsidRPr="007A7F1B" w:rsidR="00F82496" w:rsidP="00D6565F" w:rsidRDefault="00F82496" w14:paraId="69E43D29" w14:textId="77777777">
      <w:pPr>
        <w:pStyle w:val="ListParagraph"/>
        <w:numPr>
          <w:ilvl w:val="0"/>
          <w:numId w:val="12"/>
        </w:numPr>
        <w:ind w:hanging="720"/>
      </w:pPr>
      <w:r w:rsidRPr="007A7F1B">
        <w:t>The hydration monitor should inform the collector about 2</w:t>
      </w:r>
      <w:r>
        <w:t> </w:t>
      </w:r>
      <w:r w:rsidRPr="007A7F1B">
        <w:t>hours and 45</w:t>
      </w:r>
      <w:r>
        <w:t> </w:t>
      </w:r>
      <w:r w:rsidRPr="007A7F1B">
        <w:t>minutes into the hydration period that the donor’s hydration period will end in 15</w:t>
      </w:r>
      <w:r>
        <w:t> </w:t>
      </w:r>
      <w:r w:rsidRPr="007A7F1B">
        <w:t>minutes so that the collector can be available to complete the collection process with the donor.</w:t>
      </w:r>
    </w:p>
    <w:p w:rsidRPr="007A7F1B" w:rsidR="00F82496" w:rsidRDefault="00F82496" w14:paraId="740B35AB" w14:textId="77777777"/>
    <w:p w:rsidRPr="007A7F1B" w:rsidR="00F82496" w:rsidP="00D6565F" w:rsidRDefault="00F82496" w14:paraId="6D16D0E9" w14:textId="77777777">
      <w:pPr>
        <w:pStyle w:val="ListParagraph"/>
        <w:numPr>
          <w:ilvl w:val="0"/>
          <w:numId w:val="12"/>
        </w:numPr>
        <w:ind w:hanging="720"/>
      </w:pPr>
      <w:r w:rsidRPr="007A7F1B">
        <w:t>At 3</w:t>
      </w:r>
      <w:r>
        <w:t> </w:t>
      </w:r>
      <w:r w:rsidRPr="007A7F1B">
        <w:t xml:space="preserve">hours into the hydration period, the donor should be </w:t>
      </w:r>
      <w:r>
        <w:t>offered</w:t>
      </w:r>
      <w:r w:rsidRPr="007A7F1B">
        <w:t xml:space="preserve"> one last opportunity to provide a specimen.</w:t>
      </w:r>
    </w:p>
    <w:p w:rsidRPr="007A7F1B" w:rsidR="00F82496" w:rsidRDefault="00F82496" w14:paraId="1F597B26" w14:textId="77777777">
      <w:pPr>
        <w:ind w:left="0" w:firstLine="0"/>
      </w:pPr>
    </w:p>
    <w:p w:rsidRPr="007A7F1B" w:rsidR="00F82496" w:rsidP="00D6565F" w:rsidRDefault="00F82496" w14:paraId="46D62810" w14:textId="77777777">
      <w:pPr>
        <w:pStyle w:val="ListParagraph"/>
        <w:numPr>
          <w:ilvl w:val="0"/>
          <w:numId w:val="12"/>
        </w:numPr>
        <w:ind w:hanging="720"/>
      </w:pPr>
      <w:r w:rsidRPr="007A7F1B">
        <w:t>If the donor was unable to provide a specimen of sufficient volume and the 3-hour hydration period has ended</w:t>
      </w:r>
      <w:r>
        <w:t>, the following actions apply</w:t>
      </w:r>
      <w:r w:rsidRPr="007A7F1B">
        <w:t>:</w:t>
      </w:r>
    </w:p>
    <w:p w:rsidRPr="007A7F1B" w:rsidR="00F82496" w:rsidRDefault="00F82496" w14:paraId="20CBBDB0" w14:textId="77777777">
      <w:pPr>
        <w:ind w:left="0" w:firstLine="0"/>
      </w:pPr>
    </w:p>
    <w:p w:rsidRPr="007A7F1B" w:rsidR="00F82496" w:rsidP="0005126D" w:rsidRDefault="00F82496" w14:paraId="4338D48A" w14:textId="1E14C612">
      <w:pPr>
        <w:pStyle w:val="ListParagraph"/>
        <w:numPr>
          <w:ilvl w:val="0"/>
          <w:numId w:val="34"/>
        </w:numPr>
      </w:pPr>
      <w:r w:rsidRPr="007A7F1B">
        <w:t xml:space="preserve">The collector </w:t>
      </w:r>
      <w:r w:rsidR="00C81142">
        <w:t>should</w:t>
      </w:r>
      <w:r w:rsidRPr="007A7F1B">
        <w:t xml:space="preserve"> document on the Federal CCF that the donor failed to provide a specimen of sufficient volume and then shall notify the FFD program manager or the MRO of the failed collection attempt (</w:t>
      </w:r>
      <w:r>
        <w:t>10 CFR </w:t>
      </w:r>
      <w:r w:rsidRPr="007A7F1B">
        <w:t>26.109(b)(3))</w:t>
      </w:r>
      <w:r w:rsidR="00E66C5A">
        <w:t>. The collector may use another documentation method consistent with the collection procedures of the licensee or other entity if additional information on the collection event cannot be documented on the Federal CCF</w:t>
      </w:r>
      <w:r w:rsidRPr="007A7F1B">
        <w:t>.</w:t>
      </w:r>
    </w:p>
    <w:p w:rsidRPr="007A7F1B" w:rsidR="00F82496" w:rsidP="00A15192" w:rsidRDefault="00F82496" w14:paraId="763E9689" w14:textId="77777777"/>
    <w:p w:rsidRPr="007A7F1B" w:rsidR="00F82496" w:rsidP="0005126D" w:rsidRDefault="00F82496" w14:paraId="5A21EEE5" w14:textId="7F95EE15">
      <w:pPr>
        <w:pStyle w:val="ListParagraph"/>
        <w:numPr>
          <w:ilvl w:val="0"/>
          <w:numId w:val="34"/>
        </w:numPr>
      </w:pPr>
      <w:r w:rsidRPr="007A7F1B">
        <w:t>If</w:t>
      </w:r>
      <w:r>
        <w:t>,</w:t>
      </w:r>
      <w:r w:rsidRPr="007A7F1B">
        <w:t xml:space="preserve"> during the collection process, the donor</w:t>
      </w:r>
      <w:r>
        <w:t xml:space="preserve"> provided a specimen</w:t>
      </w:r>
      <w:r w:rsidRPr="007A7F1B">
        <w:t xml:space="preserve"> that the collector had reason to be</w:t>
      </w:r>
      <w:r>
        <w:t>lieve</w:t>
      </w:r>
      <w:r w:rsidRPr="007A7F1B">
        <w:t xml:space="preserve"> was diluted, adulterated, substituted, or otherwise tampered with, the specimen should be sent to the HHS-certified laboratory for testing (</w:t>
      </w:r>
      <w:r>
        <w:t>10 CFR </w:t>
      </w:r>
      <w:r w:rsidRPr="007A7F1B">
        <w:t>26.109(b)(4)).</w:t>
      </w:r>
    </w:p>
    <w:p w:rsidRPr="007A7F1B" w:rsidR="00F82496" w:rsidP="00A15192" w:rsidRDefault="00F82496" w14:paraId="62D69B09" w14:textId="77777777"/>
    <w:p w:rsidR="00735C0E" w:rsidP="00A15192" w:rsidRDefault="00F82496" w14:paraId="7BC31194" w14:textId="34149915">
      <w:pPr>
        <w:keepNext/>
        <w:rPr>
          <w:b/>
        </w:rPr>
      </w:pPr>
      <w:r w:rsidRPr="007A7F1B">
        <w:rPr>
          <w:b/>
        </w:rPr>
        <w:lastRenderedPageBreak/>
        <w:t>2.</w:t>
      </w:r>
      <w:r w:rsidRPr="007A7F1B">
        <w:rPr>
          <w:b/>
        </w:rPr>
        <w:tab/>
      </w:r>
      <w:r>
        <w:rPr>
          <w:b/>
        </w:rPr>
        <w:t>Using</w:t>
      </w:r>
      <w:r w:rsidRPr="007A7F1B">
        <w:rPr>
          <w:b/>
        </w:rPr>
        <w:t xml:space="preserve"> mirrors during specimen collections under direct observation </w:t>
      </w:r>
      <w:r>
        <w:rPr>
          <w:b/>
        </w:rPr>
        <w:t>(10 CFR </w:t>
      </w:r>
      <w:r w:rsidRPr="007A7F1B">
        <w:rPr>
          <w:b/>
        </w:rPr>
        <w:t>26.115</w:t>
      </w:r>
      <w:r>
        <w:rPr>
          <w:b/>
        </w:rPr>
        <w:t xml:space="preserve">, “Collecting a </w:t>
      </w:r>
      <w:r w:rsidR="000A3F7B">
        <w:rPr>
          <w:b/>
        </w:rPr>
        <w:t>u</w:t>
      </w:r>
      <w:r>
        <w:rPr>
          <w:b/>
        </w:rPr>
        <w:t xml:space="preserve">rine </w:t>
      </w:r>
      <w:r w:rsidR="000A3F7B">
        <w:rPr>
          <w:b/>
        </w:rPr>
        <w:t>s</w:t>
      </w:r>
      <w:r>
        <w:rPr>
          <w:b/>
        </w:rPr>
        <w:t xml:space="preserve">pecimen under </w:t>
      </w:r>
      <w:r w:rsidR="000A3F7B">
        <w:rPr>
          <w:b/>
        </w:rPr>
        <w:t>d</w:t>
      </w:r>
      <w:r>
        <w:rPr>
          <w:b/>
        </w:rPr>
        <w:t xml:space="preserve">irect </w:t>
      </w:r>
      <w:r w:rsidR="000A3F7B">
        <w:rPr>
          <w:b/>
        </w:rPr>
        <w:t>o</w:t>
      </w:r>
      <w:r>
        <w:rPr>
          <w:b/>
        </w:rPr>
        <w:t>bservation”</w:t>
      </w:r>
      <w:r w:rsidRPr="007A7F1B">
        <w:rPr>
          <w:b/>
        </w:rPr>
        <w:t>)</w:t>
      </w:r>
    </w:p>
    <w:p w:rsidR="005D6E31" w:rsidP="00A15192" w:rsidRDefault="005D6E31" w14:paraId="4E2D4996" w14:textId="77777777">
      <w:pPr>
        <w:keepNext/>
        <w:rPr>
          <w:b/>
        </w:rPr>
      </w:pPr>
    </w:p>
    <w:p w:rsidRPr="00A053E9" w:rsidR="00F328A8" w:rsidRDefault="00F328A8" w14:paraId="5D5ADAB4" w14:textId="20BC9EAD">
      <w:pPr>
        <w:keepNext/>
        <w:rPr>
          <w:b/>
        </w:rPr>
      </w:pPr>
      <w:r w:rsidRPr="00A053E9">
        <w:rPr>
          <w:b/>
        </w:rPr>
        <w:t xml:space="preserve">A. </w:t>
      </w:r>
      <w:r w:rsidR="00A053E9">
        <w:rPr>
          <w:b/>
        </w:rPr>
        <w:tab/>
      </w:r>
      <w:r w:rsidRPr="00A053E9">
        <w:rPr>
          <w:b/>
        </w:rPr>
        <w:t>General guidance</w:t>
      </w:r>
    </w:p>
    <w:p w:rsidR="00F328A8" w:rsidP="001B0E73" w:rsidRDefault="00F328A8" w14:paraId="6A6AF478" w14:textId="77777777">
      <w:pPr>
        <w:keepNext/>
        <w:keepLines/>
      </w:pPr>
    </w:p>
    <w:p w:rsidR="00F82496" w:rsidRDefault="00F82496" w14:paraId="03EB908A" w14:textId="01851B0A">
      <w:pPr>
        <w:keepNext/>
        <w:keepLines/>
        <w:ind w:left="0" w:firstLine="720"/>
      </w:pPr>
      <w:r w:rsidRPr="008D77DC">
        <w:t>Note the following</w:t>
      </w:r>
      <w:r w:rsidRPr="00987365">
        <w:t>:</w:t>
      </w:r>
    </w:p>
    <w:p w:rsidRPr="00987365" w:rsidR="003B4A3D" w:rsidP="001B0E73" w:rsidRDefault="003B4A3D" w14:paraId="10636BD1" w14:textId="77777777">
      <w:pPr>
        <w:keepNext/>
        <w:keepLines/>
      </w:pPr>
    </w:p>
    <w:p w:rsidRPr="007A7F1B" w:rsidR="00F82496" w:rsidP="00D6565F" w:rsidRDefault="00F82496" w14:paraId="57CC00E5" w14:textId="35ADCC7D">
      <w:pPr>
        <w:pStyle w:val="ListParagraph"/>
        <w:keepNext/>
        <w:numPr>
          <w:ilvl w:val="0"/>
          <w:numId w:val="35"/>
        </w:numPr>
        <w:ind w:left="1440"/>
      </w:pPr>
      <w:r w:rsidRPr="007A7F1B">
        <w:t xml:space="preserve">The preferred direct observation technique is to see the urine exit directly from the donor’s body into the specimen collection container without the use of a mirror; however, a directly observed collection can be conducted with the use of </w:t>
      </w:r>
      <w:r w:rsidR="005B647B">
        <w:t>one or more re</w:t>
      </w:r>
      <w:r w:rsidR="003634DC">
        <w:t xml:space="preserve">flective </w:t>
      </w:r>
      <w:r w:rsidRPr="007A7F1B">
        <w:t>mirror</w:t>
      </w:r>
      <w:r w:rsidR="005B647B">
        <w:t>s</w:t>
      </w:r>
      <w:r w:rsidRPr="007A7F1B">
        <w:t xml:space="preserve"> </w:t>
      </w:r>
      <w:r w:rsidR="003634DC">
        <w:t xml:space="preserve">(i.e., </w:t>
      </w:r>
      <w:r w:rsidR="00691D30">
        <w:t xml:space="preserve">not two </w:t>
      </w:r>
      <w:r w:rsidR="003634DC">
        <w:t xml:space="preserve">way) </w:t>
      </w:r>
      <w:r w:rsidRPr="007A7F1B">
        <w:t>to help ensure the effectiveness of the directly observed collection (</w:t>
      </w:r>
      <w:r>
        <w:t>10 CFR </w:t>
      </w:r>
      <w:r w:rsidRPr="007A7F1B">
        <w:t>26.115(f)(2)).</w:t>
      </w:r>
    </w:p>
    <w:p w:rsidRPr="007A7F1B" w:rsidR="00F82496" w:rsidP="00A15192" w:rsidRDefault="00F82496" w14:paraId="484B35D2" w14:textId="77777777"/>
    <w:p w:rsidRPr="007A7F1B" w:rsidR="00F82496" w:rsidP="00D6565F" w:rsidRDefault="00F82496" w14:paraId="085C90F5" w14:textId="32F54B84">
      <w:pPr>
        <w:pStyle w:val="ListParagraph"/>
        <w:keepNext/>
        <w:keepLines/>
        <w:numPr>
          <w:ilvl w:val="0"/>
          <w:numId w:val="35"/>
        </w:numPr>
        <w:ind w:left="1440"/>
      </w:pPr>
      <w:r w:rsidRPr="007A7F1B">
        <w:t>During urination, the observation of all sides of the donor’s body at the same time is not required</w:t>
      </w:r>
      <w:r w:rsidR="003C60DD">
        <w:t xml:space="preserve">. </w:t>
      </w:r>
      <w:r w:rsidRPr="007A7F1B">
        <w:t xml:space="preserve">However, the collector or observer’s ability to view all sides must be immediate and unfettered to assess whether </w:t>
      </w:r>
      <w:r w:rsidR="00675E05">
        <w:t xml:space="preserve">any </w:t>
      </w:r>
      <w:r w:rsidRPr="007A7F1B">
        <w:t>subversi</w:t>
      </w:r>
      <w:r w:rsidR="00675E05">
        <w:t>on</w:t>
      </w:r>
      <w:r w:rsidRPr="007A7F1B">
        <w:t xml:space="preserve"> paraphernalia </w:t>
      </w:r>
      <w:r w:rsidR="00675E05">
        <w:t>is</w:t>
      </w:r>
      <w:r w:rsidRPr="007A7F1B">
        <w:t xml:space="preserve"> present (</w:t>
      </w:r>
      <w:r>
        <w:t>10 CFR </w:t>
      </w:r>
      <w:r w:rsidRPr="007A7F1B">
        <w:t>26.115(f)(1)).</w:t>
      </w:r>
    </w:p>
    <w:p w:rsidRPr="007A7F1B" w:rsidR="00F82496" w:rsidP="00A15192" w:rsidRDefault="00F82496" w14:paraId="6231CE69" w14:textId="77777777"/>
    <w:p w:rsidRPr="007A7F1B" w:rsidR="00F82496" w:rsidP="00D6565F" w:rsidRDefault="00F82496" w14:paraId="2BC86FF5" w14:textId="060B1CEC">
      <w:pPr>
        <w:pStyle w:val="ListParagraph"/>
        <w:keepNext/>
        <w:keepLines/>
        <w:numPr>
          <w:ilvl w:val="0"/>
          <w:numId w:val="35"/>
        </w:numPr>
        <w:ind w:left="1440"/>
      </w:pPr>
      <w:r w:rsidRPr="007A7F1B">
        <w:t xml:space="preserve">The use of the word “mirror” or “mirrors” in this </w:t>
      </w:r>
      <w:r>
        <w:t>RG</w:t>
      </w:r>
      <w:r w:rsidRPr="007A7F1B">
        <w:t xml:space="preserve"> refer</w:t>
      </w:r>
      <w:r>
        <w:t>s</w:t>
      </w:r>
      <w:r w:rsidRPr="007A7F1B">
        <w:t xml:space="preserve"> to those used for directly observed collections</w:t>
      </w:r>
      <w:r>
        <w:t xml:space="preserve">, </w:t>
      </w:r>
      <w:r w:rsidRPr="007A7F1B">
        <w:t xml:space="preserve">not </w:t>
      </w:r>
      <w:r>
        <w:t xml:space="preserve">to </w:t>
      </w:r>
      <w:r w:rsidRPr="007A7F1B">
        <w:t>the mirrors placed on walls</w:t>
      </w:r>
      <w:r>
        <w:t xml:space="preserve"> or </w:t>
      </w:r>
      <w:r w:rsidRPr="007A7F1B">
        <w:t>doors for vanity purposes.</w:t>
      </w:r>
    </w:p>
    <w:p w:rsidRPr="007A7F1B" w:rsidR="00F82496" w:rsidP="00A15192" w:rsidRDefault="00F82496" w14:paraId="437BCD5D" w14:textId="77777777"/>
    <w:p w:rsidRPr="007A7F1B" w:rsidR="00F82496" w:rsidP="00EA5491" w:rsidRDefault="00D13CAC" w14:paraId="7F824DEF" w14:textId="6980CE78">
      <w:r>
        <w:t>(1)</w:t>
      </w:r>
      <w:r w:rsidRPr="007A7F1B" w:rsidR="00F82496">
        <w:tab/>
        <w:t xml:space="preserve">The licensee or </w:t>
      </w:r>
      <w:r w:rsidR="00BE791C">
        <w:t xml:space="preserve">other </w:t>
      </w:r>
      <w:r w:rsidRPr="007A7F1B" w:rsidR="00F82496">
        <w:t xml:space="preserve">entity should establish </w:t>
      </w:r>
      <w:r w:rsidR="00F82496">
        <w:t>a</w:t>
      </w:r>
      <w:r w:rsidRPr="007A7F1B" w:rsidR="00F82496">
        <w:t xml:space="preserve"> procedure </w:t>
      </w:r>
      <w:r w:rsidR="00F82496">
        <w:t xml:space="preserve">for </w:t>
      </w:r>
      <w:r w:rsidRPr="007A7F1B" w:rsidR="00F82496">
        <w:t xml:space="preserve">the use of permanent mirrors or temporary </w:t>
      </w:r>
      <w:r w:rsidRPr="005E134F" w:rsidR="00F82496">
        <w:t>mirrors (i.e., those needed based on a case</w:t>
      </w:r>
      <w:r w:rsidRPr="005E134F" w:rsidR="00F82496">
        <w:noBreakHyphen/>
        <w:t>by</w:t>
      </w:r>
      <w:r w:rsidRPr="00FA18A2" w:rsidR="00F82496">
        <w:noBreakHyphen/>
        <w:t>case determination</w:t>
      </w:r>
      <w:r w:rsidRPr="00DB6C1E" w:rsidR="00F82496">
        <w:t>)</w:t>
      </w:r>
      <w:r w:rsidRPr="00372918" w:rsidR="003C60DD">
        <w:t xml:space="preserve">. </w:t>
      </w:r>
      <w:r w:rsidRPr="00372918" w:rsidR="00F82496">
        <w:t>(See paragraphs 2</w:t>
      </w:r>
      <w:r w:rsidRPr="00AB5CE0" w:rsidR="00475BC4">
        <w:t>(A</w:t>
      </w:r>
      <w:r w:rsidRPr="00AB5CE0" w:rsidR="00F82496">
        <w:t>)</w:t>
      </w:r>
      <w:r w:rsidRPr="00AB5CE0" w:rsidR="00BB6B81">
        <w:t>(6)</w:t>
      </w:r>
      <w:r w:rsidRPr="00AB5CE0" w:rsidR="00F82496">
        <w:t xml:space="preserve"> </w:t>
      </w:r>
      <w:r w:rsidRPr="005E134F" w:rsidR="00F82496">
        <w:t>and 2</w:t>
      </w:r>
      <w:r w:rsidRPr="005E134F" w:rsidR="008C1408">
        <w:t>(A</w:t>
      </w:r>
      <w:r w:rsidRPr="005E134F" w:rsidR="00F82496">
        <w:t>)</w:t>
      </w:r>
      <w:r w:rsidRPr="005E134F" w:rsidR="00BB6B81">
        <w:t>(</w:t>
      </w:r>
      <w:r w:rsidRPr="005E134F" w:rsidR="005E134F">
        <w:t>10</w:t>
      </w:r>
      <w:r w:rsidRPr="005E134F" w:rsidR="00BB6B81">
        <w:t>)</w:t>
      </w:r>
      <w:r w:rsidR="00656041">
        <w:t xml:space="preserve"> </w:t>
      </w:r>
      <w:r w:rsidRPr="00E511B9" w:rsidR="00656041">
        <w:t>of this RG</w:t>
      </w:r>
      <w:r w:rsidRPr="00E511B9" w:rsidR="00F82496">
        <w:t>.)</w:t>
      </w:r>
    </w:p>
    <w:p w:rsidRPr="007A7F1B" w:rsidR="00F82496" w:rsidRDefault="00F82496" w14:paraId="44F4D245" w14:textId="77777777"/>
    <w:p w:rsidRPr="007A7F1B" w:rsidR="00F82496" w:rsidRDefault="00A053E9" w14:paraId="7F33720F" w14:textId="4CCFF8B2">
      <w:r>
        <w:t>(2)</w:t>
      </w:r>
      <w:r w:rsidRPr="007A7F1B" w:rsidR="00F82496">
        <w:tab/>
        <w:t xml:space="preserve">The FFD program manager or an individual designated by the licensee </w:t>
      </w:r>
      <w:r w:rsidR="00CC16BB">
        <w:t xml:space="preserve">should </w:t>
      </w:r>
      <w:r w:rsidRPr="007A7F1B" w:rsidR="00F82496">
        <w:t>approve the positioning of any permanent mirror within the room, stall, or private area used to collect a urine specimen from a donor</w:t>
      </w:r>
      <w:r w:rsidR="003C60DD">
        <w:t xml:space="preserve">. </w:t>
      </w:r>
      <w:r w:rsidRPr="007A7F1B" w:rsidR="00F82496">
        <w:t xml:space="preserve">The positioning of a mirror shall not infringe upon </w:t>
      </w:r>
      <w:r w:rsidR="00F82496">
        <w:t>the privacy of a</w:t>
      </w:r>
      <w:r w:rsidRPr="007A7F1B" w:rsidR="00F82496">
        <w:t xml:space="preserve"> donor who is </w:t>
      </w:r>
      <w:r w:rsidR="00F82496">
        <w:t xml:space="preserve">providing a specimen during </w:t>
      </w:r>
      <w:r w:rsidRPr="007A7F1B" w:rsidR="00F82496">
        <w:t>a normal collection</w:t>
      </w:r>
      <w:r w:rsidR="003C60DD">
        <w:t xml:space="preserve">. </w:t>
      </w:r>
      <w:r w:rsidR="00F82496">
        <w:t>(</w:t>
      </w:r>
      <w:r w:rsidRPr="0001151A" w:rsidR="00F82496">
        <w:t xml:space="preserve">See </w:t>
      </w:r>
      <w:r w:rsidRPr="00027A55" w:rsidR="00F82496">
        <w:t>paragraph</w:t>
      </w:r>
      <w:r w:rsidRPr="0001151A" w:rsidR="00F82496">
        <w:t> 2(</w:t>
      </w:r>
      <w:r w:rsidRPr="0001151A" w:rsidR="00475BC4">
        <w:t>A</w:t>
      </w:r>
      <w:r w:rsidRPr="0001151A" w:rsidR="00F82496">
        <w:t>)</w:t>
      </w:r>
      <w:r w:rsidRPr="0001151A" w:rsidR="00475BC4">
        <w:t>(10)</w:t>
      </w:r>
      <w:r w:rsidR="00C03F65">
        <w:t xml:space="preserve"> </w:t>
      </w:r>
      <w:r w:rsidRPr="00E511B9" w:rsidR="00C03F65">
        <w:t xml:space="preserve">of this </w:t>
      </w:r>
      <w:r w:rsidRPr="00E511B9" w:rsidR="00656041">
        <w:t>RG</w:t>
      </w:r>
      <w:r w:rsidRPr="0001151A" w:rsidR="00960520">
        <w:t>)</w:t>
      </w:r>
      <w:r w:rsidRPr="007A7F1B" w:rsidR="00F82496">
        <w:t xml:space="preserve"> (</w:t>
      </w:r>
      <w:r w:rsidR="00F82496">
        <w:t>10 CFR </w:t>
      </w:r>
      <w:r w:rsidRPr="007A7F1B" w:rsidR="00F82496">
        <w:t xml:space="preserve">26.87(b) and </w:t>
      </w:r>
      <w:r w:rsidR="00F82496">
        <w:t>10 CFR </w:t>
      </w:r>
      <w:r w:rsidRPr="007A7F1B" w:rsidR="00F82496">
        <w:t>26.107(a)(1)</w:t>
      </w:r>
      <w:r w:rsidR="00F82496">
        <w:t>.</w:t>
      </w:r>
      <w:r w:rsidRPr="007A7F1B" w:rsidR="00F82496">
        <w:t>)</w:t>
      </w:r>
    </w:p>
    <w:p w:rsidRPr="007A7F1B" w:rsidR="00F82496" w:rsidRDefault="00F82496" w14:paraId="73ABB736" w14:textId="77777777"/>
    <w:p w:rsidRPr="007A7F1B" w:rsidR="00F82496" w:rsidRDefault="00A053E9" w14:paraId="1DA085EF" w14:textId="1CBEA7F4">
      <w:r>
        <w:t>(3)</w:t>
      </w:r>
      <w:r w:rsidRPr="007A7F1B" w:rsidR="00F82496">
        <w:tab/>
        <w:t>A two-way mirror, hand</w:t>
      </w:r>
      <w:r w:rsidR="00F82496">
        <w:noBreakHyphen/>
      </w:r>
      <w:r w:rsidRPr="007A7F1B" w:rsidR="00F82496">
        <w:t>held mirror, or installation of a mirror within the bowl of a toilet or other urine collection apparatus exceeds the reasonable expected loss of privacy associated with a directly observed collection and should not be used.</w:t>
      </w:r>
    </w:p>
    <w:p w:rsidRPr="007A7F1B" w:rsidR="00F82496" w:rsidRDefault="00F82496" w14:paraId="323EEA48" w14:textId="77777777"/>
    <w:p w:rsidRPr="007A7F1B" w:rsidR="00F82496" w:rsidRDefault="00A053E9" w14:paraId="32AE986F" w14:textId="21A2010F">
      <w:r>
        <w:t>(4)</w:t>
      </w:r>
      <w:r w:rsidRPr="007A7F1B" w:rsidR="00F82496">
        <w:tab/>
        <w:t>All mirrors should be sufficiently affixed or secured to a wall or structure to prevent injury to the occupants in the room, stall, or private area.</w:t>
      </w:r>
    </w:p>
    <w:p w:rsidRPr="007A7F1B" w:rsidR="00F82496" w:rsidRDefault="00F82496" w14:paraId="6F1AB0B7" w14:textId="77777777"/>
    <w:p w:rsidRPr="007A7F1B" w:rsidR="00F82496" w:rsidRDefault="00A053E9" w14:paraId="6DFA46E0" w14:textId="2BB4F96C">
      <w:r>
        <w:t>(5)</w:t>
      </w:r>
      <w:r w:rsidRPr="007A7F1B" w:rsidR="00F82496">
        <w:tab/>
        <w:t>The collector or observer for the assigned donor may incrementally adjust the position of a mirror for a particular donor or the particular collection area</w:t>
      </w:r>
      <w:r w:rsidR="00F82496">
        <w:t>, or both</w:t>
      </w:r>
      <w:r w:rsidRPr="007A7F1B" w:rsidR="00F82496">
        <w:t>.</w:t>
      </w:r>
    </w:p>
    <w:p w:rsidRPr="007A7F1B" w:rsidR="00F82496" w:rsidRDefault="00F82496" w14:paraId="357DFCE2" w14:textId="77777777"/>
    <w:p w:rsidRPr="007A7F1B" w:rsidR="00F82496" w:rsidRDefault="00A053E9" w14:paraId="3D5B272B" w14:textId="3DA1529C">
      <w:r>
        <w:t>(6)</w:t>
      </w:r>
      <w:r w:rsidRPr="007A7F1B" w:rsidR="00F82496">
        <w:tab/>
        <w:t>Unless all directly observed collections use a mirror(s), the collector or observer should determine whether the use of a mirror is necessary to conduct a directly observed collection for a particular individual (i.e.,</w:t>
      </w:r>
      <w:r w:rsidR="00F82496">
        <w:t> </w:t>
      </w:r>
      <w:r w:rsidRPr="007A7F1B" w:rsidR="00F82496">
        <w:t>a case</w:t>
      </w:r>
      <w:r w:rsidR="00F82496">
        <w:noBreakHyphen/>
      </w:r>
      <w:r w:rsidRPr="007A7F1B" w:rsidR="00F82496">
        <w:t>by</w:t>
      </w:r>
      <w:r w:rsidR="00F82496">
        <w:noBreakHyphen/>
      </w:r>
      <w:r w:rsidRPr="007A7F1B" w:rsidR="00F82496">
        <w:t>case determination).</w:t>
      </w:r>
    </w:p>
    <w:p w:rsidRPr="007A7F1B" w:rsidR="00F82496" w:rsidRDefault="00F82496" w14:paraId="6CFA77E2" w14:textId="77777777"/>
    <w:p w:rsidRPr="007A7F1B" w:rsidR="00F82496" w:rsidRDefault="00A053E9" w14:paraId="5FD5FC15" w14:textId="33C9994A">
      <w:r>
        <w:t>(7)</w:t>
      </w:r>
      <w:r w:rsidRPr="007A7F1B" w:rsidR="00F82496">
        <w:tab/>
        <w:t>The case</w:t>
      </w:r>
      <w:r w:rsidR="00F82496">
        <w:noBreakHyphen/>
      </w:r>
      <w:r w:rsidRPr="007A7F1B" w:rsidR="00F82496">
        <w:t>by</w:t>
      </w:r>
      <w:r w:rsidR="00F82496">
        <w:noBreakHyphen/>
      </w:r>
      <w:r w:rsidRPr="007A7F1B" w:rsidR="00F82496">
        <w:t>case determination for use of a mirror or mirrors is met if the collector or observer cannot</w:t>
      </w:r>
      <w:r w:rsidR="00F82496">
        <w:t xml:space="preserve"> do the following</w:t>
      </w:r>
      <w:r w:rsidRPr="007A7F1B" w:rsidR="00F82496">
        <w:t>:</w:t>
      </w:r>
    </w:p>
    <w:p w:rsidRPr="007A7F1B" w:rsidR="00F82496" w:rsidRDefault="00F82496" w14:paraId="2F348985" w14:textId="77777777">
      <w:pPr>
        <w:keepNext/>
        <w:keepLines/>
      </w:pPr>
    </w:p>
    <w:p w:rsidRPr="007A7F1B" w:rsidR="00F82496" w:rsidP="0038042F" w:rsidRDefault="00F82496" w14:paraId="0D8C8FA2" w14:textId="59222A93">
      <w:pPr>
        <w:pStyle w:val="ListParagraph"/>
        <w:keepNext/>
        <w:keepLines/>
        <w:numPr>
          <w:ilvl w:val="0"/>
          <w:numId w:val="36"/>
        </w:numPr>
      </w:pPr>
      <w:r w:rsidRPr="007A7F1B">
        <w:t xml:space="preserve">Implement </w:t>
      </w:r>
      <w:r>
        <w:t>10 CFR </w:t>
      </w:r>
      <w:r w:rsidRPr="007A7F1B">
        <w:t xml:space="preserve">26.115(f) by observing the urine exit directly from the donor’s body into the collection container and </w:t>
      </w:r>
      <w:r>
        <w:t xml:space="preserve">by </w:t>
      </w:r>
      <w:r w:rsidRPr="007A7F1B">
        <w:t>observing the area between the donor’s waist and knees</w:t>
      </w:r>
      <w:r>
        <w:t>.</w:t>
      </w:r>
    </w:p>
    <w:p w:rsidRPr="007A7F1B" w:rsidR="00F82496" w:rsidP="00A15192" w:rsidRDefault="00F82496" w14:paraId="646EE4EF" w14:textId="77777777"/>
    <w:p w:rsidRPr="007A7F1B" w:rsidR="00F82496" w:rsidP="0038042F" w:rsidRDefault="00F82496" w14:paraId="0D518FAD" w14:textId="33861F83">
      <w:pPr>
        <w:pStyle w:val="ListParagraph"/>
        <w:keepNext/>
        <w:keepLines/>
        <w:numPr>
          <w:ilvl w:val="0"/>
          <w:numId w:val="36"/>
        </w:numPr>
      </w:pPr>
      <w:r w:rsidRPr="007A7F1B">
        <w:t xml:space="preserve">Implement </w:t>
      </w:r>
      <w:r>
        <w:t>10 CFR </w:t>
      </w:r>
      <w:r w:rsidRPr="007A7F1B">
        <w:t xml:space="preserve">26.107(b) and </w:t>
      </w:r>
      <w:r>
        <w:t>10 CFR </w:t>
      </w:r>
      <w:r w:rsidRPr="007A7F1B">
        <w:t>26.115(f) to ensure that the donor is not attempting to subvert the testing process by observing all sides of the donor’s body between the waist and knees (i.e.,</w:t>
      </w:r>
      <w:r>
        <w:t> </w:t>
      </w:r>
      <w:r w:rsidRPr="007A7F1B">
        <w:t>front, back, and sides).</w:t>
      </w:r>
    </w:p>
    <w:p w:rsidRPr="007A7F1B" w:rsidR="00F82496" w:rsidP="00A15192" w:rsidRDefault="00F82496" w14:paraId="0D019413" w14:textId="77777777"/>
    <w:p w:rsidRPr="007A7F1B" w:rsidR="00F82496" w:rsidP="00EA5491" w:rsidRDefault="007A782A" w14:paraId="109A6789" w14:textId="0E95841F">
      <w:r>
        <w:t>(8)</w:t>
      </w:r>
      <w:r w:rsidRPr="007A7F1B" w:rsidR="00F82496">
        <w:tab/>
        <w:t>If a directly observed collection cannot be performed</w:t>
      </w:r>
      <w:r w:rsidR="00416873">
        <w:t>,</w:t>
      </w:r>
      <w:r w:rsidRPr="007A7F1B" w:rsidR="00F82496">
        <w:t xml:space="preserve"> the collector or observer for that particular collection should timely inform the FFD program manager or MRO (</w:t>
      </w:r>
      <w:r w:rsidR="00F82496">
        <w:t>10 CFR </w:t>
      </w:r>
      <w:r w:rsidRPr="007A7F1B" w:rsidR="00F82496">
        <w:t>26.115(b)) and the following should be considered:</w:t>
      </w:r>
    </w:p>
    <w:p w:rsidRPr="007A7F1B" w:rsidR="00F82496" w:rsidRDefault="00F82496" w14:paraId="0E82A2F4" w14:textId="77777777"/>
    <w:p w:rsidRPr="006B700E" w:rsidR="00F82496" w:rsidP="004B7BF8" w:rsidRDefault="00F82496" w14:paraId="44B21640" w14:textId="4E5D6B7B">
      <w:pPr>
        <w:pStyle w:val="ListParagraph"/>
        <w:numPr>
          <w:ilvl w:val="0"/>
          <w:numId w:val="37"/>
        </w:numPr>
      </w:pPr>
      <w:r w:rsidRPr="006B700E">
        <w:t>This situation could represent a rare occurrence in which the size and spatial relationship between the individual, urine collection area, and collector/observer do not facilitate an effective directly observed collection.</w:t>
      </w:r>
    </w:p>
    <w:p w:rsidRPr="006B700E" w:rsidR="00F82496" w:rsidP="00A15192" w:rsidRDefault="00F82496" w14:paraId="7F0C6425" w14:textId="77777777"/>
    <w:p w:rsidR="00F82496" w:rsidP="00A15192" w:rsidRDefault="00F82496" w14:paraId="196AE9E9" w14:textId="798141B6">
      <w:pPr>
        <w:pStyle w:val="ListParagraph"/>
        <w:numPr>
          <w:ilvl w:val="0"/>
          <w:numId w:val="37"/>
        </w:numPr>
      </w:pPr>
      <w:r w:rsidRPr="007A7F1B">
        <w:t>The licensee should afford</w:t>
      </w:r>
      <w:r>
        <w:t xml:space="preserve"> an</w:t>
      </w:r>
      <w:r w:rsidRPr="007A7F1B">
        <w:t xml:space="preserve"> accommodation above that considered for a directly observed collection</w:t>
      </w:r>
      <w:r w:rsidR="003C60DD">
        <w:t xml:space="preserve">. </w:t>
      </w:r>
      <w:r w:rsidRPr="007A7F1B">
        <w:t xml:space="preserve">This accommodation, in part, implements the requirements of </w:t>
      </w:r>
      <w:r>
        <w:t>10 CFR </w:t>
      </w:r>
      <w:r w:rsidRPr="007A7F1B">
        <w:t>26.31(d)(5)(i) and should be conducted with approval by the FFD program manager, as authorized by the MRO (</w:t>
      </w:r>
      <w:r>
        <w:t>10 CFR </w:t>
      </w:r>
      <w:r w:rsidRPr="007A7F1B">
        <w:t>26.31(d)(5)(i)).</w:t>
      </w:r>
    </w:p>
    <w:p w:rsidRPr="007A7F1B" w:rsidR="00A15192" w:rsidP="0038042F" w:rsidRDefault="00A15192" w14:paraId="3372F5BE" w14:textId="77777777">
      <w:pPr>
        <w:pStyle w:val="ListParagraph"/>
        <w:ind w:left="1440" w:firstLine="0"/>
      </w:pPr>
    </w:p>
    <w:p w:rsidRPr="007A7F1B" w:rsidR="00F82496" w:rsidP="00A15192" w:rsidRDefault="007A782A" w14:paraId="4AA4A172" w14:textId="0CCFA159">
      <w:r>
        <w:t>(9)</w:t>
      </w:r>
      <w:r w:rsidRPr="007A7F1B" w:rsidR="00F82496">
        <w:tab/>
        <w:t>If the directly observed collection cannot be performed because the collector/observer cannot observe the urine exit directly from the donor’s body into the collection container</w:t>
      </w:r>
      <w:r w:rsidR="00456A37">
        <w:t xml:space="preserve"> </w:t>
      </w:r>
      <w:r w:rsidRPr="007A7F1B" w:rsidR="00F82496">
        <w:t>because the individual requires the use of a urostomy bag (or other similar medical appliance)</w:t>
      </w:r>
      <w:r w:rsidR="00F82496">
        <w:t>, the following apply</w:t>
      </w:r>
      <w:r w:rsidRPr="007A7F1B" w:rsidR="00F82496">
        <w:t>:</w:t>
      </w:r>
    </w:p>
    <w:p w:rsidRPr="007A7F1B" w:rsidR="00F82496" w:rsidRDefault="00F82496" w14:paraId="28D26D9B" w14:textId="77777777"/>
    <w:p w:rsidRPr="006B700E" w:rsidR="00F82496" w:rsidP="0038042F" w:rsidRDefault="00F82496" w14:paraId="2BC388F5" w14:textId="31A2C702">
      <w:pPr>
        <w:pStyle w:val="ListParagraph"/>
        <w:numPr>
          <w:ilvl w:val="0"/>
          <w:numId w:val="38"/>
        </w:numPr>
      </w:pPr>
      <w:r w:rsidRPr="006B700E">
        <w:t>This situation represents a medical condition, and an attached urostomy bag is an extension of the individual’s urinary tract.</w:t>
      </w:r>
    </w:p>
    <w:p w:rsidRPr="00154CE8" w:rsidR="00F82496" w:rsidP="00A15192" w:rsidRDefault="00F82496" w14:paraId="0769FAF2" w14:textId="77777777">
      <w:pPr>
        <w:ind w:left="1440"/>
      </w:pPr>
    </w:p>
    <w:p w:rsidRPr="006B700E" w:rsidR="008B69E1" w:rsidP="0038042F" w:rsidRDefault="00221E61" w14:paraId="5F67E2D7" w14:textId="146D7EDE">
      <w:pPr>
        <w:pStyle w:val="ListParagraph"/>
        <w:numPr>
          <w:ilvl w:val="0"/>
          <w:numId w:val="38"/>
        </w:numPr>
      </w:pPr>
      <w:r w:rsidRPr="006B700E">
        <w:t xml:space="preserve">If a </w:t>
      </w:r>
      <w:r w:rsidRPr="006B700E" w:rsidR="008B69E1">
        <w:t xml:space="preserve">funnel is </w:t>
      </w:r>
      <w:r w:rsidRPr="006B700E">
        <w:t xml:space="preserve">used to facilitate the collection, it is </w:t>
      </w:r>
      <w:r w:rsidRPr="006B700E" w:rsidR="008B69E1">
        <w:t>part of the collection container</w:t>
      </w:r>
      <w:r w:rsidRPr="006B700E">
        <w:t>.</w:t>
      </w:r>
    </w:p>
    <w:p w:rsidRPr="00154CE8" w:rsidR="008B69E1" w:rsidP="00A15192" w:rsidRDefault="008B69E1" w14:paraId="654C9FE4" w14:textId="77777777">
      <w:pPr>
        <w:ind w:left="1440"/>
      </w:pPr>
    </w:p>
    <w:p w:rsidRPr="007A7F1B" w:rsidR="00F82496" w:rsidP="0038042F" w:rsidRDefault="00F82496" w14:paraId="07CCC486" w14:textId="47A8D294">
      <w:pPr>
        <w:pStyle w:val="ListParagraph"/>
        <w:numPr>
          <w:ilvl w:val="0"/>
          <w:numId w:val="38"/>
        </w:numPr>
      </w:pPr>
      <w:r w:rsidRPr="007A7F1B">
        <w:t>The collector</w:t>
      </w:r>
      <w:r w:rsidR="008A0479">
        <w:t xml:space="preserve"> or </w:t>
      </w:r>
      <w:r w:rsidR="0070524F">
        <w:t>observer</w:t>
      </w:r>
      <w:r w:rsidRPr="007A7F1B">
        <w:t xml:space="preserve"> shall observe the donor pour urine directly from the urostomy bag into the collection container</w:t>
      </w:r>
      <w:r w:rsidR="003C60DD">
        <w:t xml:space="preserve">. </w:t>
      </w:r>
      <w:r w:rsidRPr="007A7F1B">
        <w:t xml:space="preserve">For this situation, the temperature requirement </w:t>
      </w:r>
      <w:r>
        <w:t>in</w:t>
      </w:r>
      <w:r w:rsidRPr="007A7F1B">
        <w:t xml:space="preserve"> </w:t>
      </w:r>
      <w:r>
        <w:t>10 CFR </w:t>
      </w:r>
      <w:r w:rsidRPr="007A7F1B">
        <w:t xml:space="preserve">26.111(a) would not </w:t>
      </w:r>
      <w:r>
        <w:t>apply</w:t>
      </w:r>
      <w:r w:rsidRPr="007A7F1B">
        <w:t xml:space="preserve"> because this accommodation implements the requirements of </w:t>
      </w:r>
      <w:r>
        <w:t>10 CFR </w:t>
      </w:r>
      <w:r w:rsidRPr="007A7F1B">
        <w:t>26.31(d)(5)(i)</w:t>
      </w:r>
      <w:r>
        <w:t>,</w:t>
      </w:r>
      <w:r w:rsidRPr="007A7F1B">
        <w:t xml:space="preserve"> as authorized by the MRO</w:t>
      </w:r>
      <w:r w:rsidR="003C60DD">
        <w:t xml:space="preserve">. </w:t>
      </w:r>
      <w:r w:rsidRPr="007A7F1B">
        <w:t xml:space="preserve">The collector should document the temperature consideration and use of the urostomy bag on the </w:t>
      </w:r>
      <w:r>
        <w:t xml:space="preserve">Federal </w:t>
      </w:r>
      <w:r w:rsidRPr="007A7F1B">
        <w:t>CCF.</w:t>
      </w:r>
    </w:p>
    <w:p w:rsidRPr="007A7F1B" w:rsidR="00F82496" w:rsidP="00A15192" w:rsidRDefault="00F82496" w14:paraId="559BFB68" w14:textId="77777777"/>
    <w:p w:rsidRPr="007A7F1B" w:rsidR="00F82496" w:rsidP="00EA5491" w:rsidRDefault="007A782A" w14:paraId="5C089D7F" w14:textId="2901A646">
      <w:r>
        <w:t>(10)</w:t>
      </w:r>
      <w:r w:rsidRPr="007A7F1B" w:rsidR="00F82496">
        <w:tab/>
        <w:t>If the stall, room, or private area has a mirror installed and it is also used for normal collections (i.e.,</w:t>
      </w:r>
      <w:r w:rsidR="00F82496">
        <w:t> </w:t>
      </w:r>
      <w:r w:rsidRPr="007A7F1B" w:rsidR="00F82496">
        <w:t>collections not under direct observation)</w:t>
      </w:r>
      <w:r w:rsidR="00F82496">
        <w:t>, the following applies</w:t>
      </w:r>
      <w:r w:rsidRPr="007A7F1B" w:rsidR="00F82496">
        <w:t>:</w:t>
      </w:r>
    </w:p>
    <w:p w:rsidRPr="007A7F1B" w:rsidR="00F82496" w:rsidRDefault="00F82496" w14:paraId="518EED5F" w14:textId="77777777"/>
    <w:p w:rsidRPr="007A7F1B" w:rsidR="00F82496" w:rsidP="0038042F" w:rsidRDefault="00F82496" w14:paraId="7335465A" w14:textId="70D75E3F">
      <w:pPr>
        <w:pStyle w:val="ListParagraph"/>
        <w:numPr>
          <w:ilvl w:val="0"/>
          <w:numId w:val="39"/>
        </w:numPr>
      </w:pPr>
      <w:r w:rsidRPr="007A7F1B">
        <w:t>The mirror(s) shall be installed in such a way that the enclosure provides the same privacy as an enclosure without a mirror (</w:t>
      </w:r>
      <w:r>
        <w:t>10 CFR </w:t>
      </w:r>
      <w:r w:rsidRPr="007A7F1B">
        <w:t>26.87(b) and</w:t>
      </w:r>
      <w:r>
        <w:t>10 CFR </w:t>
      </w:r>
      <w:r w:rsidRPr="007A7F1B">
        <w:t>26.107(a)(1)).</w:t>
      </w:r>
    </w:p>
    <w:p w:rsidRPr="007A7F1B" w:rsidR="00F82496" w:rsidP="00A15192" w:rsidRDefault="00F82496" w14:paraId="5DD8D9AA" w14:textId="77777777"/>
    <w:p w:rsidRPr="007A7F1B" w:rsidR="00F82496" w:rsidRDefault="00F82496" w14:paraId="6323290B" w14:textId="77777777">
      <w:pPr>
        <w:rPr>
          <w:b/>
        </w:rPr>
      </w:pPr>
      <w:r w:rsidRPr="007A7F1B">
        <w:rPr>
          <w:b/>
        </w:rPr>
        <w:t>3.</w:t>
      </w:r>
      <w:r w:rsidRPr="007A7F1B">
        <w:rPr>
          <w:b/>
        </w:rPr>
        <w:tab/>
      </w:r>
      <w:r>
        <w:rPr>
          <w:b/>
        </w:rPr>
        <w:t>MRO</w:t>
      </w:r>
      <w:r w:rsidRPr="007A7F1B">
        <w:rPr>
          <w:b/>
        </w:rPr>
        <w:t xml:space="preserve"> consideration of time and temperature for </w:t>
      </w:r>
      <w:r>
        <w:rPr>
          <w:b/>
        </w:rPr>
        <w:t xml:space="preserve">urine </w:t>
      </w:r>
      <w:r w:rsidRPr="007A7F1B">
        <w:rPr>
          <w:b/>
        </w:rPr>
        <w:t xml:space="preserve">specimens with invalid </w:t>
      </w:r>
      <w:r>
        <w:rPr>
          <w:b/>
        </w:rPr>
        <w:t xml:space="preserve">test results due to </w:t>
      </w:r>
      <w:r w:rsidRPr="007A7F1B">
        <w:rPr>
          <w:b/>
        </w:rPr>
        <w:t>pH in the range of 9.0 to 9.5 (</w:t>
      </w:r>
      <w:r>
        <w:rPr>
          <w:b/>
        </w:rPr>
        <w:t>10 CFR </w:t>
      </w:r>
      <w:r w:rsidRPr="007A7F1B">
        <w:rPr>
          <w:b/>
        </w:rPr>
        <w:t>26.185(f)(3))</w:t>
      </w:r>
    </w:p>
    <w:p w:rsidRPr="007A7F1B" w:rsidR="00F82496" w:rsidRDefault="00F82496" w14:paraId="56EA867A" w14:textId="77777777"/>
    <w:p w:rsidRPr="007A7F1B" w:rsidR="00F82496" w:rsidRDefault="00F82496" w14:paraId="7E35DD58" w14:textId="77777777">
      <w:r w:rsidRPr="00D6565F">
        <w:rPr>
          <w:b/>
          <w:bCs/>
        </w:rPr>
        <w:t>A.</w:t>
      </w:r>
      <w:r w:rsidRPr="007A7F1B">
        <w:tab/>
        <w:t>If an MRO receives a</w:t>
      </w:r>
      <w:r>
        <w:t>n</w:t>
      </w:r>
      <w:r w:rsidRPr="007A7F1B">
        <w:t xml:space="preserve"> </w:t>
      </w:r>
      <w:r>
        <w:t xml:space="preserve">invalid </w:t>
      </w:r>
      <w:r w:rsidRPr="007A7F1B">
        <w:t xml:space="preserve">test result </w:t>
      </w:r>
      <w:r>
        <w:t xml:space="preserve">from the HHS-certified laboratory due to </w:t>
      </w:r>
      <w:r w:rsidRPr="007A7F1B">
        <w:t xml:space="preserve">high pH (9.0 to 9.5) and if the MRO and laboratory agree that further testing would not be useful and </w:t>
      </w:r>
      <w:r>
        <w:t xml:space="preserve">that no technical explanation exists for </w:t>
      </w:r>
      <w:r w:rsidRPr="007A7F1B">
        <w:t>the</w:t>
      </w:r>
      <w:r>
        <w:t xml:space="preserve"> result</w:t>
      </w:r>
      <w:r w:rsidRPr="007A7F1B">
        <w:t>, the MRO shall question the donor to determine whether the donor can provide an acceptable medical explanation for this test result (</w:t>
      </w:r>
      <w:r>
        <w:t>10 CFR </w:t>
      </w:r>
      <w:r w:rsidRPr="007A7F1B">
        <w:t>26.185(c)).</w:t>
      </w:r>
    </w:p>
    <w:p w:rsidRPr="007A7F1B" w:rsidR="00F82496" w:rsidRDefault="00F82496" w14:paraId="73796FCD" w14:textId="77777777"/>
    <w:p w:rsidRPr="007A7F1B" w:rsidR="00F82496" w:rsidP="00D6565F" w:rsidRDefault="00F82496" w14:paraId="14C30EFA" w14:textId="2C2844B8">
      <w:pPr>
        <w:pStyle w:val="ListParagraph"/>
        <w:numPr>
          <w:ilvl w:val="0"/>
          <w:numId w:val="39"/>
        </w:numPr>
      </w:pPr>
      <w:r w:rsidRPr="007A7F1B">
        <w:t>If the donor cannot provide such an explanation, the MRO shall consider whether elapsed time between the collection and testing of the specimen</w:t>
      </w:r>
      <w:r>
        <w:t xml:space="preserve"> </w:t>
      </w:r>
      <w:r w:rsidRPr="007A7F1B">
        <w:t xml:space="preserve">or exposure of the specimen to high temperatures during this elapsed time, </w:t>
      </w:r>
      <w:r>
        <w:t xml:space="preserve">or both, </w:t>
      </w:r>
      <w:r w:rsidRPr="007A7F1B">
        <w:t>might have caused the high pH test result (</w:t>
      </w:r>
      <w:r>
        <w:t>10 CFR </w:t>
      </w:r>
      <w:r w:rsidRPr="007A7F1B">
        <w:t>26.185(f)(3)).</w:t>
      </w:r>
    </w:p>
    <w:p w:rsidRPr="007A7F1B" w:rsidR="00F82496" w:rsidP="00A15192" w:rsidRDefault="00F82496" w14:paraId="1A2237E8" w14:textId="77777777">
      <w:pPr>
        <w:ind w:left="0" w:firstLine="0"/>
      </w:pPr>
    </w:p>
    <w:p w:rsidRPr="007A7F1B" w:rsidR="00F82496" w:rsidP="00A15192" w:rsidRDefault="00F82496" w14:paraId="2DC783C4" w14:textId="77777777">
      <w:r w:rsidRPr="00D6565F">
        <w:rPr>
          <w:b/>
          <w:bCs/>
        </w:rPr>
        <w:t>B.</w:t>
      </w:r>
      <w:r w:rsidRPr="007A7F1B">
        <w:tab/>
        <w:t>To determine whether sufficient objective information exists to conclude that time or temperature</w:t>
      </w:r>
      <w:r>
        <w:t>, or both,</w:t>
      </w:r>
      <w:r w:rsidRPr="007A7F1B">
        <w:t xml:space="preserve"> might be the cause of high pH in a specimen with an invalid validity test result, the MRO or MRO staff (</w:t>
      </w:r>
      <w:r>
        <w:t>10 CFR </w:t>
      </w:r>
      <w:r w:rsidRPr="007A7F1B">
        <w:t>26.183(d)) should contact the licensee or other entity, collection site, transportation company, licensee testing facility, or HHS-certified laboratory to obtain information necessary to determine the time</w:t>
      </w:r>
      <w:r>
        <w:noBreakHyphen/>
      </w:r>
      <w:r w:rsidRPr="007A7F1B">
        <w:t>temperature profile that the specimen was exposed to during the period between collection and the completion of the pH test.</w:t>
      </w:r>
    </w:p>
    <w:p w:rsidRPr="007A7F1B" w:rsidR="00F82496" w:rsidRDefault="00F82496" w14:paraId="5A16D0CA" w14:textId="77777777"/>
    <w:p w:rsidRPr="007A7F1B" w:rsidR="00F82496" w:rsidP="00D6565F" w:rsidRDefault="00F82496" w14:paraId="3854C660" w14:textId="77777777">
      <w:r w:rsidRPr="007A7F1B">
        <w:t>(1)</w:t>
      </w:r>
      <w:r w:rsidRPr="007A7F1B">
        <w:tab/>
        <w:t xml:space="preserve">The MRO is the only individual who may evaluate the information </w:t>
      </w:r>
      <w:r>
        <w:t>on</w:t>
      </w:r>
      <w:r w:rsidRPr="007A7F1B">
        <w:t xml:space="preserve"> elapsed time and temperature to assess a high pH test result (</w:t>
      </w:r>
      <w:r>
        <w:t>10 CFR </w:t>
      </w:r>
      <w:r w:rsidRPr="007A7F1B">
        <w:t>26.185(a)).</w:t>
      </w:r>
    </w:p>
    <w:p w:rsidRPr="007A7F1B" w:rsidR="00F82496" w:rsidP="00A15192" w:rsidRDefault="00F82496" w14:paraId="274B276B" w14:textId="77777777"/>
    <w:p w:rsidRPr="007A7F1B" w:rsidR="00F82496" w:rsidP="00D6565F" w:rsidRDefault="00F82496" w14:paraId="093405D9" w14:textId="257B863C">
      <w:r w:rsidRPr="007A7F1B">
        <w:t>(2)</w:t>
      </w:r>
      <w:r w:rsidRPr="007A7F1B">
        <w:tab/>
        <w:t>Personnel at collection sites (</w:t>
      </w:r>
      <w:r>
        <w:t>10 CFR </w:t>
      </w:r>
      <w:r w:rsidRPr="007A7F1B">
        <w:t>26.117(j)), licensee testing facilities (</w:t>
      </w:r>
      <w:r>
        <w:t>10 CFR </w:t>
      </w:r>
      <w:r w:rsidRPr="007A7F1B">
        <w:t>26.129(f)), and HHS</w:t>
      </w:r>
      <w:r>
        <w:noBreakHyphen/>
      </w:r>
      <w:r w:rsidRPr="007A7F1B">
        <w:t>certified laboratories (</w:t>
      </w:r>
      <w:r>
        <w:t>10 CFR </w:t>
      </w:r>
      <w:r w:rsidRPr="007A7F1B">
        <w:t>26.159(h)) are required to take appropriate and prudent actions to minimize false negative results from specimen degradation, such as promptly inspecting, testing, or refrigerating specimens</w:t>
      </w:r>
      <w:r w:rsidR="003C60DD">
        <w:t xml:space="preserve">. </w:t>
      </w:r>
      <w:r w:rsidRPr="007A7F1B">
        <w:t>As a result, personnel at these facilities could know of conditions, such as delays, high temperatures, or other information</w:t>
      </w:r>
      <w:r>
        <w:t>,</w:t>
      </w:r>
      <w:r w:rsidRPr="007A7F1B">
        <w:t xml:space="preserve"> useful to the MRO’s evaluation</w:t>
      </w:r>
      <w:r>
        <w:t xml:space="preserve"> and should communicate this information to the MRO</w:t>
      </w:r>
      <w:r w:rsidRPr="007A7F1B">
        <w:t>.</w:t>
      </w:r>
    </w:p>
    <w:p w:rsidRPr="007A7F1B" w:rsidR="00F82496" w:rsidP="00A15192" w:rsidRDefault="00F82496" w14:paraId="2BD0FE5F" w14:textId="77777777"/>
    <w:p w:rsidRPr="007A7F1B" w:rsidR="00F82496" w:rsidP="00A15192" w:rsidRDefault="00F82496" w14:paraId="0BBB4042" w14:textId="0ED979F3">
      <w:r w:rsidRPr="00D6565F">
        <w:rPr>
          <w:b/>
          <w:bCs/>
        </w:rPr>
        <w:t>C.</w:t>
      </w:r>
      <w:r w:rsidRPr="007A7F1B">
        <w:tab/>
        <w:t>The MRO should consider test results from other specimens that were subject to the reasonably equivalent collection, transportation, storage, and temperature conditions if results from other such specimens are available</w:t>
      </w:r>
      <w:r w:rsidR="003C60DD">
        <w:t xml:space="preserve">. </w:t>
      </w:r>
      <w:r w:rsidRPr="007A7F1B">
        <w:t>For example</w:t>
      </w:r>
      <w:r w:rsidRPr="00034AC8">
        <w:t>, if other specimens collected at the same collection site were transported to the HHS</w:t>
      </w:r>
      <w:r w:rsidRPr="00034AC8">
        <w:noBreakHyphen/>
        <w:t>certified laboratory in the same package or different packages but in the same transport vehicle, or in a different</w:t>
      </w:r>
      <w:r w:rsidRPr="007A7F1B">
        <w:t xml:space="preserve"> transport vehicle </w:t>
      </w:r>
      <w:r>
        <w:t>by</w:t>
      </w:r>
      <w:r w:rsidRPr="007A7F1B">
        <w:t xml:space="preserve"> the same company during reasonably equivalent weather/environmental conditions</w:t>
      </w:r>
      <w:r>
        <w:t>,</w:t>
      </w:r>
      <w:r w:rsidRPr="007A7F1B">
        <w:t xml:space="preserve"> </w:t>
      </w:r>
      <w:r>
        <w:t xml:space="preserve">and the specimens </w:t>
      </w:r>
      <w:r w:rsidRPr="007A7F1B">
        <w:t xml:space="preserve">yielded </w:t>
      </w:r>
      <w:r>
        <w:t xml:space="preserve">invalid test </w:t>
      </w:r>
      <w:r w:rsidRPr="007A7F1B">
        <w:t xml:space="preserve">results </w:t>
      </w:r>
      <w:r>
        <w:t xml:space="preserve">due to </w:t>
      </w:r>
      <w:r w:rsidRPr="007A7F1B">
        <w:t>pH in the range of 9.0 to 9.5, the MRO could have sufficient objective evidence to conclude that donor action was not responsible for the invalid result.</w:t>
      </w:r>
    </w:p>
    <w:p w:rsidRPr="007A7F1B" w:rsidR="00F82496" w:rsidRDefault="00F82496" w14:paraId="299CCADE" w14:textId="77777777"/>
    <w:p w:rsidRPr="007A7F1B" w:rsidR="00F82496" w:rsidRDefault="00F82496" w14:paraId="7F1F6489" w14:textId="57E05E8A">
      <w:r w:rsidRPr="00D6565F">
        <w:rPr>
          <w:b/>
          <w:bCs/>
        </w:rPr>
        <w:t>D.</w:t>
      </w:r>
      <w:r w:rsidRPr="007A7F1B">
        <w:tab/>
        <w:t xml:space="preserve">As described in the </w:t>
      </w:r>
      <w:r>
        <w:t>“</w:t>
      </w:r>
      <w:r w:rsidRPr="00987365">
        <w:t>Medical Review Officer Handbook</w:t>
      </w:r>
      <w:r>
        <w:t>”</w:t>
      </w:r>
      <w:r w:rsidRPr="007A7F1B">
        <w:t xml:space="preserve"> (Ref.</w:t>
      </w:r>
      <w:r>
        <w:t> </w:t>
      </w:r>
      <w:r w:rsidR="00115E0B">
        <w:t>1</w:t>
      </w:r>
      <w:r w:rsidR="00150736">
        <w:t>1</w:t>
      </w:r>
      <w:r w:rsidRPr="007A7F1B">
        <w:t>)</w:t>
      </w:r>
      <w:r>
        <w:t>,</w:t>
      </w:r>
      <w:r w:rsidRPr="007A7F1B">
        <w:t xml:space="preserve"> the MRO may use, but is not limited to, the following guidelines in evaluating elapsed time between specimen collection and pH testing</w:t>
      </w:r>
      <w:r>
        <w:t xml:space="preserve"> for specimens with invalid test results due to pH (9.0 to 9.5)</w:t>
      </w:r>
      <w:r w:rsidRPr="007A7F1B">
        <w:t>:</w:t>
      </w:r>
    </w:p>
    <w:p w:rsidRPr="007A7F1B" w:rsidR="00F82496" w:rsidRDefault="00F82496" w14:paraId="7260DD51" w14:textId="77777777"/>
    <w:p w:rsidRPr="007A7F1B" w:rsidR="00F82496" w:rsidP="0038042F" w:rsidRDefault="00F82496" w14:paraId="09176EE1" w14:textId="77777777">
      <w:r w:rsidRPr="007A7F1B">
        <w:t>(1)</w:t>
      </w:r>
      <w:r w:rsidRPr="007A7F1B">
        <w:tab/>
        <w:t xml:space="preserve">For </w:t>
      </w:r>
      <w:r>
        <w:t xml:space="preserve">an </w:t>
      </w:r>
      <w:r w:rsidRPr="007A7F1B">
        <w:t xml:space="preserve">elapsed </w:t>
      </w:r>
      <w:proofErr w:type="gramStart"/>
      <w:r w:rsidRPr="007A7F1B">
        <w:t>time</w:t>
      </w:r>
      <w:proofErr w:type="gramEnd"/>
      <w:r w:rsidRPr="007A7F1B">
        <w:t xml:space="preserve"> greater than 48</w:t>
      </w:r>
      <w:r>
        <w:t> </w:t>
      </w:r>
      <w:r w:rsidRPr="007A7F1B">
        <w:t>hours, consider cancelling the test and requir</w:t>
      </w:r>
      <w:r>
        <w:t>ing</w:t>
      </w:r>
      <w:r w:rsidRPr="007A7F1B">
        <w:t xml:space="preserve"> a second unannounced collection (not observed) (</w:t>
      </w:r>
      <w:r>
        <w:t>10 CFR </w:t>
      </w:r>
      <w:r w:rsidRPr="007A7F1B">
        <w:t>26.185(f)(2)).</w:t>
      </w:r>
    </w:p>
    <w:p w:rsidRPr="007A7F1B" w:rsidR="00F82496" w:rsidP="00A15192" w:rsidRDefault="00F82496" w14:paraId="63056A5A" w14:textId="77777777"/>
    <w:p w:rsidRPr="007A7F1B" w:rsidR="00F82496" w:rsidP="0038042F" w:rsidRDefault="00F82496" w14:paraId="61CDFCDF" w14:textId="77777777">
      <w:r w:rsidRPr="007A7F1B">
        <w:t>(2)</w:t>
      </w:r>
      <w:r w:rsidRPr="007A7F1B">
        <w:tab/>
        <w:t xml:space="preserve">For </w:t>
      </w:r>
      <w:r>
        <w:t xml:space="preserve">an </w:t>
      </w:r>
      <w:r w:rsidRPr="007A7F1B">
        <w:t>elapsed time between 24 and 48</w:t>
      </w:r>
      <w:r>
        <w:t> </w:t>
      </w:r>
      <w:r w:rsidRPr="007A7F1B">
        <w:t>hours, when the urine was transferred or stored at a temperature greater than 98</w:t>
      </w:r>
      <w:r>
        <w:t> </w:t>
      </w:r>
      <w:r w:rsidRPr="007A7F1B">
        <w:t>degrees Fahrenheit, consider cancelling the test and requir</w:t>
      </w:r>
      <w:r>
        <w:t>ing</w:t>
      </w:r>
      <w:r w:rsidRPr="007A7F1B">
        <w:t xml:space="preserve"> a second unannounced collection (not observed) (</w:t>
      </w:r>
      <w:r>
        <w:t>10 CFR </w:t>
      </w:r>
      <w:r w:rsidRPr="007A7F1B">
        <w:t>26.185(f)(2)).</w:t>
      </w:r>
    </w:p>
    <w:p w:rsidRPr="007A7F1B" w:rsidR="00F82496" w:rsidP="00A15192" w:rsidRDefault="00F82496" w14:paraId="366AF2B8" w14:textId="77777777"/>
    <w:p w:rsidRPr="007A7F1B" w:rsidR="00F82496" w:rsidP="0038042F" w:rsidRDefault="00F82496" w14:paraId="3FEE526A" w14:textId="77777777">
      <w:r w:rsidRPr="007A7F1B">
        <w:t>(3)</w:t>
      </w:r>
      <w:r w:rsidRPr="007A7F1B">
        <w:tab/>
        <w:t xml:space="preserve">For </w:t>
      </w:r>
      <w:r>
        <w:t xml:space="preserve">an </w:t>
      </w:r>
      <w:r w:rsidRPr="007A7F1B">
        <w:t>elapsed time less than 24</w:t>
      </w:r>
      <w:r>
        <w:t> </w:t>
      </w:r>
      <w:r w:rsidRPr="007A7F1B">
        <w:t>hours, consider cancelling the test and requir</w:t>
      </w:r>
      <w:r>
        <w:t>ing</w:t>
      </w:r>
      <w:r w:rsidRPr="007A7F1B">
        <w:t xml:space="preserve"> a second unannounced collection under direct observation (</w:t>
      </w:r>
      <w:r>
        <w:t>10 CFR </w:t>
      </w:r>
      <w:r w:rsidRPr="007A7F1B">
        <w:t>26.185(f)(4)).</w:t>
      </w:r>
    </w:p>
    <w:p w:rsidRPr="007A7F1B" w:rsidR="00F82496" w:rsidP="00A15192" w:rsidRDefault="00F82496" w14:paraId="34DC709E" w14:textId="77777777"/>
    <w:p w:rsidRPr="007A7F1B" w:rsidR="00F82496" w:rsidP="00A15192" w:rsidRDefault="00F82496" w14:paraId="07D93B83" w14:textId="726C66FE">
      <w:r w:rsidRPr="0038042F">
        <w:rPr>
          <w:b/>
          <w:bCs/>
        </w:rPr>
        <w:t>E.</w:t>
      </w:r>
      <w:r w:rsidRPr="007A7F1B">
        <w:tab/>
        <w:t xml:space="preserve">The MRO may also use the guidance in the </w:t>
      </w:r>
      <w:r>
        <w:t>HHS</w:t>
      </w:r>
      <w:r w:rsidRPr="007A7F1B">
        <w:t xml:space="preserve"> </w:t>
      </w:r>
      <w:r>
        <w:t>“</w:t>
      </w:r>
      <w:r w:rsidRPr="007A7F1B">
        <w:t>Medical Review Officer Manual for Federal Workplace Drug Testing Programs</w:t>
      </w:r>
      <w:r>
        <w:t>,”</w:t>
      </w:r>
      <w:r w:rsidRPr="007A7F1B">
        <w:t xml:space="preserve"> </w:t>
      </w:r>
      <w:r w:rsidRPr="008C4190">
        <w:t xml:space="preserve">effective </w:t>
      </w:r>
      <w:r w:rsidRPr="008C4190" w:rsidR="00193447">
        <w:t>October</w:t>
      </w:r>
      <w:r w:rsidRPr="008C4190">
        <w:t> 1, 201</w:t>
      </w:r>
      <w:r w:rsidRPr="008C4190" w:rsidR="00193447">
        <w:t>7</w:t>
      </w:r>
      <w:r w:rsidR="00206878">
        <w:t xml:space="preserve">, revised </w:t>
      </w:r>
      <w:r w:rsidR="005E3938">
        <w:t>March 2018</w:t>
      </w:r>
      <w:r w:rsidRPr="008C4190">
        <w:t>, or later</w:t>
      </w:r>
      <w:r w:rsidRPr="007A7F1B">
        <w:t xml:space="preserve"> (Ref.</w:t>
      </w:r>
      <w:r>
        <w:t> </w:t>
      </w:r>
      <w:r w:rsidRPr="007A7F1B" w:rsidR="00115E0B">
        <w:t>1</w:t>
      </w:r>
      <w:r w:rsidR="00150736">
        <w:t>2</w:t>
      </w:r>
      <w:r w:rsidRPr="007A7F1B">
        <w:t>)</w:t>
      </w:r>
      <w:r w:rsidR="005E3938">
        <w:t xml:space="preserve"> and the HHS “Medical Review Officer Case Studies</w:t>
      </w:r>
      <w:r w:rsidR="00B346CF">
        <w:t>,</w:t>
      </w:r>
      <w:r w:rsidR="005E3938">
        <w:t>”</w:t>
      </w:r>
      <w:r w:rsidR="005A285A">
        <w:t xml:space="preserve"> March 201</w:t>
      </w:r>
      <w:r w:rsidR="00766D39">
        <w:t>8</w:t>
      </w:r>
      <w:r w:rsidR="00597FD2">
        <w:t xml:space="preserve">, </w:t>
      </w:r>
      <w:r w:rsidR="005E3938">
        <w:t xml:space="preserve">or later </w:t>
      </w:r>
      <w:r w:rsidRPr="00D95D76" w:rsidR="005E3938">
        <w:t>(Ref.</w:t>
      </w:r>
      <w:r w:rsidR="005A285A">
        <w:t> </w:t>
      </w:r>
      <w:r w:rsidRPr="00D95D76" w:rsidR="007B76A8">
        <w:t>1</w:t>
      </w:r>
      <w:r w:rsidR="00150736">
        <w:t>3</w:t>
      </w:r>
      <w:r w:rsidR="005E3938">
        <w:t>)</w:t>
      </w:r>
      <w:r w:rsidRPr="007A7F1B">
        <w:t>.</w:t>
      </w:r>
    </w:p>
    <w:p w:rsidRPr="007A7F1B" w:rsidR="00F82496" w:rsidP="00EA5491" w:rsidRDefault="00F82496" w14:paraId="33CCC976" w14:textId="77777777"/>
    <w:p w:rsidRPr="007A7F1B" w:rsidR="00F82496" w:rsidP="00EA5491" w:rsidRDefault="00F82496" w14:paraId="52598889" w14:textId="77777777">
      <w:r w:rsidRPr="0038042F">
        <w:rPr>
          <w:b/>
          <w:bCs/>
        </w:rPr>
        <w:lastRenderedPageBreak/>
        <w:t>F.</w:t>
      </w:r>
      <w:r w:rsidRPr="007A7F1B">
        <w:tab/>
        <w:t xml:space="preserve">If the MRO concludes that an acceptable nonmedical explanation exists for </w:t>
      </w:r>
      <w:r>
        <w:t>an invalid</w:t>
      </w:r>
      <w:r w:rsidRPr="007A7F1B">
        <w:t xml:space="preserve"> test result </w:t>
      </w:r>
      <w:r>
        <w:t xml:space="preserve">due to high </w:t>
      </w:r>
      <w:r w:rsidRPr="007A7F1B">
        <w:t>pH, the MRO should report a cancelled test result and direct the licensee or other entity to collect a second urine specimen from the donor as soon as reasonably practicable (</w:t>
      </w:r>
      <w:r>
        <w:t>10 CFR </w:t>
      </w:r>
      <w:r w:rsidRPr="007A7F1B">
        <w:t>26.185(f)(3)).</w:t>
      </w:r>
    </w:p>
    <w:p w:rsidRPr="007A7F1B" w:rsidR="00F82496" w:rsidRDefault="00F82496" w14:paraId="4FD7D359" w14:textId="77777777"/>
    <w:p w:rsidRPr="007A7F1B" w:rsidR="00F82496" w:rsidRDefault="00F82496" w14:paraId="25D3E689" w14:textId="147FFEFC">
      <w:r w:rsidRPr="0038042F">
        <w:rPr>
          <w:b/>
          <w:bCs/>
        </w:rPr>
        <w:t>G.</w:t>
      </w:r>
      <w:r w:rsidRPr="007A7F1B">
        <w:tab/>
        <w:t xml:space="preserve">The </w:t>
      </w:r>
      <w:r>
        <w:t>MR</w:t>
      </w:r>
      <w:r w:rsidR="005B338A">
        <w:t>O</w:t>
      </w:r>
      <w:r>
        <w:t xml:space="preserve"> shall document the </w:t>
      </w:r>
      <w:r w:rsidRPr="007A7F1B">
        <w:t xml:space="preserve">information </w:t>
      </w:r>
      <w:r>
        <w:t xml:space="preserve">that </w:t>
      </w:r>
      <w:r w:rsidR="00CE6CAA">
        <w:t>the MRO</w:t>
      </w:r>
      <w:r>
        <w:t xml:space="preserve"> </w:t>
      </w:r>
      <w:r w:rsidRPr="007A7F1B">
        <w:t>used in making a determination on pH (</w:t>
      </w:r>
      <w:r>
        <w:t>10 CFR </w:t>
      </w:r>
      <w:r w:rsidRPr="007A7F1B">
        <w:t>26.185(p))</w:t>
      </w:r>
      <w:r w:rsidR="003C60DD">
        <w:t xml:space="preserve">. </w:t>
      </w:r>
      <w:r w:rsidRPr="007A7F1B">
        <w:t>The MRO should provide sufficient information to enable reconstruction of the situation(s) that resulted in the determination.</w:t>
      </w:r>
    </w:p>
    <w:p w:rsidR="00EC0F34" w:rsidP="009153ED" w:rsidRDefault="00EC0F34" w14:paraId="4D3FCA25" w14:textId="77777777">
      <w:r>
        <w:br w:type="page"/>
      </w:r>
    </w:p>
    <w:p w:rsidRPr="007A7F1B" w:rsidR="00F82496" w:rsidP="006B6582" w:rsidRDefault="00F82496" w14:paraId="233AC602" w14:textId="18D7109B">
      <w:pPr>
        <w:jc w:val="center"/>
        <w:rPr>
          <w:b/>
          <w:sz w:val="28"/>
        </w:rPr>
      </w:pPr>
      <w:r w:rsidRPr="007A7F1B">
        <w:rPr>
          <w:b/>
          <w:sz w:val="28"/>
        </w:rPr>
        <w:lastRenderedPageBreak/>
        <w:t>D.  IMPLEMENTATION</w:t>
      </w:r>
    </w:p>
    <w:p w:rsidRPr="007A7F1B" w:rsidR="00F82496" w:rsidP="006B6582" w:rsidRDefault="00F82496" w14:paraId="20CB0907" w14:textId="77777777"/>
    <w:p w:rsidRPr="00DD3882" w:rsidR="00592075" w:rsidP="00A15192" w:rsidRDefault="00592075" w14:paraId="40BEFAE6" w14:textId="5304116F">
      <w:pPr>
        <w:pStyle w:val="BodyText"/>
        <w:suppressAutoHyphens w:val="0"/>
        <w:spacing w:before="0"/>
        <w:rPr>
          <w:rFonts w:eastAsia="Calibri"/>
        </w:rPr>
      </w:pPr>
      <w:r w:rsidRPr="00A975A5">
        <w:rPr>
          <w:rFonts w:eastAsia="Calibri"/>
        </w:rPr>
        <w:t>The NRC staff may use this regulatory guide as a reference in its regulatory processes, such as licensing, inspection, or enforcement. However, the NRC staff does not intend to use the guidance in this regulatory guide to support NRC staff actions in a manner that would constitute backfitting as that term is defined in 10</w:t>
      </w:r>
      <w:r>
        <w:rPr>
          <w:rFonts w:eastAsia="Calibri"/>
        </w:rPr>
        <w:t> </w:t>
      </w:r>
      <w:r w:rsidRPr="00A975A5">
        <w:rPr>
          <w:rFonts w:eastAsia="Calibri"/>
        </w:rPr>
        <w:t>CFR</w:t>
      </w:r>
      <w:r>
        <w:rPr>
          <w:rFonts w:eastAsia="Calibri"/>
        </w:rPr>
        <w:t> </w:t>
      </w:r>
      <w:r w:rsidRPr="00A975A5">
        <w:rPr>
          <w:rFonts w:eastAsia="Calibri"/>
        </w:rPr>
        <w:t>50.109, “Backfitting,” and as described in NRC Management Directive 8.4, “Management of Backfitting, Forward Fitting, Issue Finality, and Information Requests</w:t>
      </w:r>
      <w:r>
        <w:rPr>
          <w:rFonts w:eastAsia="Calibri"/>
        </w:rPr>
        <w:t>,</w:t>
      </w:r>
      <w:r w:rsidRPr="00A975A5">
        <w:rPr>
          <w:rFonts w:eastAsia="Calibri"/>
        </w:rPr>
        <w:t>” (Ref.</w:t>
      </w:r>
      <w:r>
        <w:rPr>
          <w:rFonts w:eastAsia="Calibri"/>
        </w:rPr>
        <w:t> </w:t>
      </w:r>
      <w:r w:rsidR="00115E0B">
        <w:rPr>
          <w:rFonts w:eastAsia="Calibri"/>
        </w:rPr>
        <w:t>1</w:t>
      </w:r>
      <w:r w:rsidR="00150736">
        <w:rPr>
          <w:rFonts w:eastAsia="Calibri"/>
        </w:rPr>
        <w:t>4</w:t>
      </w:r>
      <w:r w:rsidRPr="00A975A5">
        <w:rPr>
          <w:rFonts w:eastAsia="Calibri"/>
        </w:rPr>
        <w:t>), nor does the NRC staff intend to use the guidance to affect the issue finality of an approval under 10</w:t>
      </w:r>
      <w:r>
        <w:rPr>
          <w:rFonts w:eastAsia="Calibri"/>
        </w:rPr>
        <w:t> </w:t>
      </w:r>
      <w:r w:rsidRPr="00A975A5">
        <w:rPr>
          <w:rFonts w:eastAsia="Calibri"/>
        </w:rPr>
        <w:t>CFR</w:t>
      </w:r>
      <w:r>
        <w:rPr>
          <w:rFonts w:eastAsia="Calibri"/>
        </w:rPr>
        <w:t> </w:t>
      </w:r>
      <w:r w:rsidRPr="00A975A5">
        <w:rPr>
          <w:rFonts w:eastAsia="Calibri"/>
        </w:rPr>
        <w:t>Part</w:t>
      </w:r>
      <w:r>
        <w:rPr>
          <w:rFonts w:eastAsia="Calibri"/>
        </w:rPr>
        <w:t> </w:t>
      </w:r>
      <w:r w:rsidRPr="00A975A5">
        <w:rPr>
          <w:rFonts w:eastAsia="Calibri"/>
        </w:rPr>
        <w:t>52, “Licenses, Certifications, and Approvals for Nuclear Power Plants.” The staff also does not intend to use the guidance to support NRC staff actions in a manner that constitutes forward fitting as that term is defined and described in Management Directive</w:t>
      </w:r>
      <w:r>
        <w:rPr>
          <w:rFonts w:eastAsia="Calibri"/>
        </w:rPr>
        <w:t> </w:t>
      </w:r>
      <w:r w:rsidRPr="00A975A5">
        <w:rPr>
          <w:rFonts w:eastAsia="Calibri"/>
        </w:rPr>
        <w:t>8.4. If a licensee believes that the NRC is using this regulatory guide in a manner inconsistent with the discussion in this Implementation section, then the licensee may file a backfitting or forward fitting appeal with the NRC in accordance with the process in Management Directive</w:t>
      </w:r>
      <w:r>
        <w:rPr>
          <w:rFonts w:eastAsia="Calibri"/>
        </w:rPr>
        <w:t> </w:t>
      </w:r>
      <w:r w:rsidRPr="00A975A5">
        <w:rPr>
          <w:rFonts w:eastAsia="Calibri"/>
        </w:rPr>
        <w:t>8.4.</w:t>
      </w:r>
    </w:p>
    <w:p w:rsidRPr="007A7F1B" w:rsidR="00F82496" w:rsidP="006B6582" w:rsidRDefault="00F82496" w14:paraId="548F0D97" w14:textId="77777777">
      <w:pPr>
        <w:ind w:left="0" w:firstLine="0"/>
      </w:pPr>
      <w:r w:rsidRPr="007A7F1B">
        <w:br w:type="page"/>
      </w:r>
    </w:p>
    <w:p w:rsidRPr="007A7F1B" w:rsidR="00F82496" w:rsidP="006B6582" w:rsidRDefault="00F82496" w14:paraId="0F09350C" w14:textId="77777777">
      <w:pPr>
        <w:jc w:val="center"/>
        <w:rPr>
          <w:b/>
          <w:sz w:val="28"/>
        </w:rPr>
      </w:pPr>
      <w:r w:rsidRPr="007A7F1B">
        <w:rPr>
          <w:b/>
          <w:sz w:val="28"/>
        </w:rPr>
        <w:lastRenderedPageBreak/>
        <w:t>REFERENCES</w:t>
      </w:r>
      <w:r w:rsidRPr="007A7F1B">
        <w:rPr>
          <w:rStyle w:val="FootnoteReference"/>
          <w:b/>
          <w:sz w:val="28"/>
        </w:rPr>
        <w:footnoteReference w:id="2"/>
      </w:r>
    </w:p>
    <w:p w:rsidRPr="007A7F1B" w:rsidR="00F82496" w:rsidP="006B6582" w:rsidRDefault="00F82496" w14:paraId="3BF9FFAA" w14:textId="77777777"/>
    <w:p w:rsidRPr="007A7F1B" w:rsidR="00F82496" w:rsidP="00A15192" w:rsidRDefault="00F82496" w14:paraId="00D1F1CE" w14:textId="77777777">
      <w:pPr>
        <w:pStyle w:val="ListParagraph"/>
        <w:numPr>
          <w:ilvl w:val="0"/>
          <w:numId w:val="17"/>
        </w:numPr>
        <w:ind w:hanging="720"/>
      </w:pPr>
      <w:r w:rsidRPr="007A7F1B">
        <w:rPr>
          <w:i/>
        </w:rPr>
        <w:t xml:space="preserve">U.S. Code of Federal Regulations </w:t>
      </w:r>
      <w:r w:rsidRPr="007A7F1B">
        <w:t>(CFR), “Fitness for Duty Programs,” Part</w:t>
      </w:r>
      <w:r>
        <w:t> </w:t>
      </w:r>
      <w:r w:rsidRPr="007A7F1B">
        <w:t>26, Chapter</w:t>
      </w:r>
      <w:r>
        <w:t> </w:t>
      </w:r>
      <w:r w:rsidRPr="007A7F1B">
        <w:t>1, Title</w:t>
      </w:r>
      <w:r>
        <w:t> </w:t>
      </w:r>
      <w:r w:rsidRPr="007A7F1B">
        <w:t>10, “Energy</w:t>
      </w:r>
      <w:r>
        <w:t>.</w:t>
      </w:r>
      <w:r w:rsidRPr="007A7F1B">
        <w:t>”</w:t>
      </w:r>
    </w:p>
    <w:p w:rsidRPr="007A7F1B" w:rsidR="00F82496" w:rsidRDefault="00F82496" w14:paraId="11362589" w14:textId="77777777">
      <w:pPr>
        <w:pStyle w:val="ListParagraph"/>
        <w:ind w:firstLine="0"/>
      </w:pPr>
    </w:p>
    <w:p w:rsidRPr="007A7F1B" w:rsidR="00F82496" w:rsidP="007C2102" w:rsidRDefault="00F82496" w14:paraId="654AA700" w14:textId="77777777">
      <w:pPr>
        <w:pStyle w:val="ListParagraph"/>
        <w:numPr>
          <w:ilvl w:val="0"/>
          <w:numId w:val="17"/>
        </w:numPr>
        <w:ind w:hanging="720"/>
      </w:pPr>
      <w:r w:rsidRPr="007A7F1B">
        <w:t>U.S.</w:t>
      </w:r>
      <w:r>
        <w:t> </w:t>
      </w:r>
      <w:r w:rsidRPr="007A7F1B">
        <w:t>Nuclear Regulatory Commission (NRC), Regulatory Guide</w:t>
      </w:r>
      <w:r>
        <w:t> </w:t>
      </w:r>
      <w:r w:rsidRPr="007A7F1B">
        <w:t xml:space="preserve">5.84, “Fitness-For-Duty Programs </w:t>
      </w:r>
      <w:r>
        <w:t>a</w:t>
      </w:r>
      <w:r w:rsidRPr="007A7F1B">
        <w:t>t New Reactor Constructions Sites,” Washington, DC.</w:t>
      </w:r>
    </w:p>
    <w:p w:rsidRPr="007A7F1B" w:rsidR="00F82496" w:rsidRDefault="00F82496" w14:paraId="7BF5931C" w14:textId="77777777">
      <w:pPr>
        <w:pStyle w:val="ListParagraph"/>
      </w:pPr>
    </w:p>
    <w:p w:rsidRPr="007A7F1B" w:rsidR="00F82496" w:rsidP="007C2102" w:rsidRDefault="00F82496" w14:paraId="1719951B" w14:textId="1DB26845">
      <w:pPr>
        <w:pStyle w:val="ListParagraph"/>
        <w:numPr>
          <w:ilvl w:val="0"/>
          <w:numId w:val="17"/>
        </w:numPr>
        <w:ind w:hanging="720"/>
      </w:pPr>
      <w:r w:rsidRPr="007A7F1B">
        <w:t>Nuclear Energy Institute (NEI),</w:t>
      </w:r>
      <w:r w:rsidRPr="007A7F1B">
        <w:rPr>
          <w:rStyle w:val="FootnoteReference"/>
        </w:rPr>
        <w:footnoteReference w:id="3"/>
      </w:r>
      <w:r w:rsidRPr="007A7F1B">
        <w:t xml:space="preserve"> Document 06</w:t>
      </w:r>
      <w:r>
        <w:noBreakHyphen/>
      </w:r>
      <w:r w:rsidRPr="007A7F1B">
        <w:t>06, “Fitness-for-Duty Program Guidance for New Nuclear Power Plant Construction Sites,” Revision</w:t>
      </w:r>
      <w:r>
        <w:t> </w:t>
      </w:r>
      <w:r w:rsidRPr="007A7F1B">
        <w:t>6, Washington, DC, April</w:t>
      </w:r>
      <w:r>
        <w:t> </w:t>
      </w:r>
      <w:r w:rsidRPr="007A7F1B">
        <w:t>2013</w:t>
      </w:r>
      <w:r w:rsidR="003C60DD">
        <w:t xml:space="preserve">. </w:t>
      </w:r>
      <w:r w:rsidRPr="007A7F1B">
        <w:t xml:space="preserve">(ADAMS Accession </w:t>
      </w:r>
      <w:r>
        <w:t>No. ML15083A412</w:t>
      </w:r>
      <w:r w:rsidRPr="007A7F1B">
        <w:t>)</w:t>
      </w:r>
    </w:p>
    <w:p w:rsidRPr="007A7F1B" w:rsidR="00F82496" w:rsidRDefault="00F82496" w14:paraId="2022053A" w14:textId="77777777">
      <w:pPr>
        <w:pStyle w:val="ListParagraph"/>
      </w:pPr>
    </w:p>
    <w:p w:rsidR="00F82496" w:rsidP="007C2102" w:rsidRDefault="00F82496" w14:paraId="542F32B3" w14:textId="41474AA6">
      <w:pPr>
        <w:pStyle w:val="ListParagraph"/>
        <w:numPr>
          <w:ilvl w:val="0"/>
          <w:numId w:val="17"/>
        </w:numPr>
        <w:ind w:hanging="720"/>
      </w:pPr>
      <w:r w:rsidRPr="00170F83">
        <w:t xml:space="preserve">U.S. Department of Health and Human Services (HHS), “Substance Abuse and Mental Health Services Administration, Mandatory Guidelines for Federal Workplace Drug Testing Programs,” </w:t>
      </w:r>
      <w:r w:rsidRPr="00170F83">
        <w:rPr>
          <w:i/>
        </w:rPr>
        <w:t>Federal Register</w:t>
      </w:r>
      <w:r w:rsidRPr="00170F83">
        <w:t>, Vol. </w:t>
      </w:r>
      <w:r w:rsidRPr="00170F83" w:rsidR="00CA3A31">
        <w:t>82</w:t>
      </w:r>
      <w:r w:rsidRPr="00170F83">
        <w:t xml:space="preserve">, pp. </w:t>
      </w:r>
      <w:r w:rsidR="009E4284">
        <w:t>7920</w:t>
      </w:r>
      <w:r w:rsidRPr="00170F83">
        <w:t>–</w:t>
      </w:r>
      <w:r w:rsidR="0079344E">
        <w:t>7970</w:t>
      </w:r>
      <w:r w:rsidRPr="00170F83">
        <w:t xml:space="preserve">, Washington, DC, </w:t>
      </w:r>
      <w:r w:rsidRPr="00170F83" w:rsidR="00587A02">
        <w:t>January 23, 2017</w:t>
      </w:r>
      <w:r w:rsidRPr="00170F83">
        <w:t>.</w:t>
      </w:r>
      <w:r w:rsidRPr="00170F83">
        <w:rPr>
          <w:rStyle w:val="FootnoteReference"/>
        </w:rPr>
        <w:footnoteReference w:id="4"/>
      </w:r>
    </w:p>
    <w:p w:rsidR="003C6EC5" w:rsidRDefault="003C6EC5" w14:paraId="4ADB4256" w14:textId="77777777">
      <w:pPr>
        <w:pStyle w:val="ListParagraph"/>
        <w:ind w:firstLine="0"/>
      </w:pPr>
    </w:p>
    <w:p w:rsidRPr="00177A43" w:rsidR="003C6EC5" w:rsidP="007C2102" w:rsidRDefault="003C6EC5" w14:paraId="54504CD0" w14:textId="677437F9">
      <w:pPr>
        <w:pStyle w:val="ListParagraph"/>
        <w:numPr>
          <w:ilvl w:val="0"/>
          <w:numId w:val="17"/>
        </w:numPr>
        <w:tabs>
          <w:tab w:val="left" w:pos="-1440"/>
        </w:tabs>
        <w:ind w:hanging="720"/>
      </w:pPr>
      <w:r w:rsidRPr="00177A43">
        <w:t>NRC, “Nuclear Regulatory Commission International Policy Statement,” Federal Register, Vol.</w:t>
      </w:r>
      <w:r w:rsidR="006D2FBA">
        <w:t> </w:t>
      </w:r>
      <w:r w:rsidRPr="00177A43">
        <w:t>79, No. 132, July 10, 2014, pp. 39415-39418.</w:t>
      </w:r>
    </w:p>
    <w:p w:rsidRPr="00DE6B5A" w:rsidR="003C6EC5" w:rsidRDefault="003C6EC5" w14:paraId="279FA4A0" w14:textId="77777777">
      <w:pPr>
        <w:pStyle w:val="ListParagraph"/>
        <w:tabs>
          <w:tab w:val="left" w:pos="-1440"/>
        </w:tabs>
      </w:pPr>
    </w:p>
    <w:p w:rsidRPr="00A75E1D" w:rsidR="003C6EC5" w:rsidP="007C2102" w:rsidRDefault="003C6EC5" w14:paraId="327B5888" w14:textId="77777777">
      <w:pPr>
        <w:pStyle w:val="ListParagraph"/>
        <w:numPr>
          <w:ilvl w:val="0"/>
          <w:numId w:val="17"/>
        </w:numPr>
        <w:tabs>
          <w:tab w:val="left" w:pos="-1440"/>
        </w:tabs>
        <w:ind w:hanging="720"/>
        <w:rPr>
          <w:szCs w:val="22"/>
        </w:rPr>
      </w:pPr>
      <w:r w:rsidRPr="00DE6B5A">
        <w:t>NRC, Management Directive (MD) 6.6, “Regulatory Guides,” Washington, DC, May 2, 2016 (ADAMS Accession No. ML18073A170).</w:t>
      </w:r>
    </w:p>
    <w:p w:rsidR="00F82496" w:rsidRDefault="00F82496" w14:paraId="1A6E3BF4" w14:textId="77777777">
      <w:pPr>
        <w:pStyle w:val="ListParagraph"/>
      </w:pPr>
    </w:p>
    <w:p w:rsidRPr="007A7F1B" w:rsidR="00F82496" w:rsidP="007C2102" w:rsidRDefault="00F82496" w14:paraId="11FEBFA2" w14:textId="77777777">
      <w:pPr>
        <w:pStyle w:val="ListParagraph"/>
        <w:numPr>
          <w:ilvl w:val="0"/>
          <w:numId w:val="17"/>
        </w:numPr>
        <w:ind w:hanging="720"/>
      </w:pPr>
      <w:r>
        <w:t>International</w:t>
      </w:r>
      <w:r w:rsidRPr="008B5AB7">
        <w:t xml:space="preserve"> Atomic Energy Agency (IAEA)</w:t>
      </w:r>
      <w:r>
        <w:t>,</w:t>
      </w:r>
      <w:r>
        <w:rPr>
          <w:rStyle w:val="FootnoteReference"/>
        </w:rPr>
        <w:footnoteReference w:id="5"/>
      </w:r>
      <w:r>
        <w:t xml:space="preserve"> </w:t>
      </w:r>
      <w:r w:rsidRPr="008B5AB7">
        <w:t>Safety Guide No.</w:t>
      </w:r>
      <w:r>
        <w:t> </w:t>
      </w:r>
      <w:r w:rsidRPr="008B5AB7">
        <w:t>NS</w:t>
      </w:r>
      <w:r>
        <w:noBreakHyphen/>
      </w:r>
      <w:r w:rsidRPr="008B5AB7">
        <w:t>G</w:t>
      </w:r>
      <w:r>
        <w:noBreakHyphen/>
      </w:r>
      <w:r w:rsidRPr="008B5AB7">
        <w:t>2.8</w:t>
      </w:r>
      <w:r>
        <w:t>,</w:t>
      </w:r>
      <w:r w:rsidRPr="008B5AB7">
        <w:t xml:space="preserve"> </w:t>
      </w:r>
      <w:r>
        <w:t>“</w:t>
      </w:r>
      <w:r w:rsidRPr="008B5AB7">
        <w:t>Recruitment, Qualification and Training of Personnel for Nuclear Power Plants,”</w:t>
      </w:r>
      <w:r>
        <w:t xml:space="preserve"> Vienna, Austria, 2004.</w:t>
      </w:r>
    </w:p>
    <w:p w:rsidRPr="007A7F1B" w:rsidR="00F82496" w:rsidRDefault="00F82496" w14:paraId="2A5D692C" w14:textId="77777777">
      <w:pPr>
        <w:pStyle w:val="ListParagraph"/>
      </w:pPr>
    </w:p>
    <w:p w:rsidRPr="007A7F1B" w:rsidR="00F82496" w:rsidP="007C2102" w:rsidRDefault="00F82496" w14:paraId="5C987D0C" w14:textId="46F8C7A7">
      <w:pPr>
        <w:pStyle w:val="ListParagraph"/>
        <w:keepNext/>
        <w:keepLines/>
        <w:numPr>
          <w:ilvl w:val="0"/>
          <w:numId w:val="17"/>
        </w:numPr>
        <w:ind w:hanging="720"/>
      </w:pPr>
      <w:r w:rsidRPr="007A7F1B">
        <w:t>National Institutes of Health</w:t>
      </w:r>
      <w:r>
        <w:t xml:space="preserve"> (NIH)</w:t>
      </w:r>
      <w:r w:rsidRPr="007A7F1B">
        <w:t>, National Institute of Diabetes and Digestive and Kidney Diseases</w:t>
      </w:r>
      <w:r>
        <w:t xml:space="preserve">, NIH Publication </w:t>
      </w:r>
      <w:r w:rsidRPr="007A7F1B">
        <w:t>No.</w:t>
      </w:r>
      <w:r>
        <w:t> </w:t>
      </w:r>
      <w:r w:rsidRPr="007A7F1B">
        <w:t>14</w:t>
      </w:r>
      <w:r>
        <w:noBreakHyphen/>
      </w:r>
      <w:r w:rsidRPr="007A7F1B">
        <w:t>3195, “The Kidneys and How They Work,” May</w:t>
      </w:r>
      <w:r>
        <w:t> </w:t>
      </w:r>
      <w:r w:rsidRPr="007A7F1B">
        <w:t>21,</w:t>
      </w:r>
      <w:r>
        <w:t> </w:t>
      </w:r>
      <w:r w:rsidRPr="007A7F1B">
        <w:t>2014</w:t>
      </w:r>
      <w:r w:rsidR="003C60DD">
        <w:t xml:space="preserve">. </w:t>
      </w:r>
      <w:r w:rsidRPr="007A7F1B" w:rsidR="005C220E">
        <w:t>(</w:t>
      </w:r>
      <w:r w:rsidR="005C220E">
        <w:t>ADAMS Accession No. ML1921</w:t>
      </w:r>
      <w:r w:rsidR="000E7D7F">
        <w:t>9</w:t>
      </w:r>
      <w:r w:rsidR="005C220E">
        <w:t>A</w:t>
      </w:r>
      <w:r w:rsidRPr="00AE73CC" w:rsidR="000E7D7F">
        <w:t>004</w:t>
      </w:r>
      <w:r w:rsidR="005C220E">
        <w:t>)</w:t>
      </w:r>
    </w:p>
    <w:p w:rsidRPr="007A7F1B" w:rsidR="00F82496" w:rsidRDefault="00F82496" w14:paraId="61021AD0" w14:textId="77777777">
      <w:pPr>
        <w:pStyle w:val="ListParagraph"/>
        <w:ind w:firstLine="0"/>
      </w:pPr>
    </w:p>
    <w:p w:rsidRPr="007A7F1B" w:rsidR="00F82496" w:rsidP="007C2102" w:rsidRDefault="00F82496" w14:paraId="28CB7528" w14:textId="7888124F">
      <w:pPr>
        <w:pStyle w:val="ListParagraph"/>
        <w:numPr>
          <w:ilvl w:val="0"/>
          <w:numId w:val="17"/>
        </w:numPr>
        <w:ind w:hanging="720"/>
      </w:pPr>
      <w:proofErr w:type="spellStart"/>
      <w:r w:rsidRPr="007A7F1B">
        <w:t>Lukacz</w:t>
      </w:r>
      <w:proofErr w:type="spellEnd"/>
      <w:r>
        <w:t>,</w:t>
      </w:r>
      <w:r w:rsidRPr="007A7F1B">
        <w:t xml:space="preserve"> E</w:t>
      </w:r>
      <w:r>
        <w:t>.</w:t>
      </w:r>
      <w:r w:rsidRPr="007A7F1B">
        <w:t>S</w:t>
      </w:r>
      <w:r>
        <w:t>.</w:t>
      </w:r>
      <w:r w:rsidRPr="007A7F1B">
        <w:t>,</w:t>
      </w:r>
      <w:r>
        <w:t xml:space="preserve"> and</w:t>
      </w:r>
      <w:r w:rsidRPr="007A7F1B">
        <w:t xml:space="preserve"> </w:t>
      </w:r>
      <w:proofErr w:type="spellStart"/>
      <w:r w:rsidRPr="007A7F1B">
        <w:t>Sampselle</w:t>
      </w:r>
      <w:proofErr w:type="spellEnd"/>
      <w:r>
        <w:t>,</w:t>
      </w:r>
      <w:r w:rsidRPr="007A7F1B">
        <w:t xml:space="preserve"> C</w:t>
      </w:r>
      <w:r>
        <w:t>.</w:t>
      </w:r>
      <w:r w:rsidRPr="007A7F1B">
        <w:t xml:space="preserve">, “A Healthy Bladder: A Consensus Statement,” </w:t>
      </w:r>
      <w:r w:rsidRPr="00987365">
        <w:rPr>
          <w:i/>
        </w:rPr>
        <w:t>International Journal of Clinical Practice</w:t>
      </w:r>
      <w:r w:rsidRPr="007A7F1B">
        <w:t xml:space="preserve"> 65(1):1026–1036</w:t>
      </w:r>
      <w:r>
        <w:t>, October 2011</w:t>
      </w:r>
      <w:r w:rsidR="003C60DD">
        <w:t xml:space="preserve">. </w:t>
      </w:r>
      <w:r w:rsidRPr="007A7F1B" w:rsidR="005C220E">
        <w:t>(</w:t>
      </w:r>
      <w:r w:rsidR="005C220E">
        <w:t>ADAMS Accession No. ML1921</w:t>
      </w:r>
      <w:r w:rsidR="00F95DA1">
        <w:t>9</w:t>
      </w:r>
      <w:r w:rsidR="005C220E">
        <w:t>A</w:t>
      </w:r>
      <w:r w:rsidRPr="00AE73CC" w:rsidR="00F95DA1">
        <w:t>005</w:t>
      </w:r>
      <w:r w:rsidR="005C220E">
        <w:t>)</w:t>
      </w:r>
    </w:p>
    <w:p w:rsidRPr="007A7F1B" w:rsidR="00F82496" w:rsidRDefault="00F82496" w14:paraId="205A3FF9" w14:textId="77777777">
      <w:pPr>
        <w:pStyle w:val="ListParagraph"/>
        <w:ind w:firstLine="0"/>
      </w:pPr>
    </w:p>
    <w:p w:rsidRPr="007A7F1B" w:rsidR="00F82496" w:rsidP="007C2102" w:rsidRDefault="00F82496" w14:paraId="4154EF06" w14:textId="17336600">
      <w:pPr>
        <w:pStyle w:val="ListParagraph"/>
        <w:numPr>
          <w:ilvl w:val="0"/>
          <w:numId w:val="17"/>
        </w:numPr>
        <w:ind w:hanging="720"/>
        <w:rPr>
          <w:szCs w:val="22"/>
        </w:rPr>
      </w:pPr>
      <w:proofErr w:type="spellStart"/>
      <w:r w:rsidRPr="007A7F1B">
        <w:rPr>
          <w:szCs w:val="22"/>
        </w:rPr>
        <w:lastRenderedPageBreak/>
        <w:t>Riebl</w:t>
      </w:r>
      <w:proofErr w:type="spellEnd"/>
      <w:r>
        <w:rPr>
          <w:szCs w:val="22"/>
        </w:rPr>
        <w:t>,</w:t>
      </w:r>
      <w:r w:rsidRPr="007A7F1B">
        <w:rPr>
          <w:szCs w:val="22"/>
        </w:rPr>
        <w:t xml:space="preserve"> S</w:t>
      </w:r>
      <w:r>
        <w:rPr>
          <w:szCs w:val="22"/>
        </w:rPr>
        <w:t>.</w:t>
      </w:r>
      <w:r w:rsidRPr="007A7F1B">
        <w:rPr>
          <w:szCs w:val="22"/>
        </w:rPr>
        <w:t>K</w:t>
      </w:r>
      <w:r>
        <w:rPr>
          <w:szCs w:val="22"/>
        </w:rPr>
        <w:t>.</w:t>
      </w:r>
      <w:r w:rsidRPr="007A7F1B">
        <w:rPr>
          <w:szCs w:val="22"/>
        </w:rPr>
        <w:t xml:space="preserve">, </w:t>
      </w:r>
      <w:r>
        <w:rPr>
          <w:szCs w:val="22"/>
        </w:rPr>
        <w:t xml:space="preserve">and </w:t>
      </w:r>
      <w:r w:rsidRPr="007A7F1B">
        <w:rPr>
          <w:szCs w:val="22"/>
        </w:rPr>
        <w:t>Davy</w:t>
      </w:r>
      <w:r>
        <w:rPr>
          <w:szCs w:val="22"/>
        </w:rPr>
        <w:t>,</w:t>
      </w:r>
      <w:r w:rsidRPr="007A7F1B">
        <w:rPr>
          <w:szCs w:val="22"/>
        </w:rPr>
        <w:t xml:space="preserve"> B</w:t>
      </w:r>
      <w:r>
        <w:rPr>
          <w:szCs w:val="22"/>
        </w:rPr>
        <w:t>.</w:t>
      </w:r>
      <w:r w:rsidRPr="007A7F1B">
        <w:rPr>
          <w:szCs w:val="22"/>
        </w:rPr>
        <w:t>M</w:t>
      </w:r>
      <w:r>
        <w:rPr>
          <w:szCs w:val="22"/>
        </w:rPr>
        <w:t>.</w:t>
      </w:r>
      <w:r w:rsidRPr="007A7F1B">
        <w:rPr>
          <w:szCs w:val="22"/>
        </w:rPr>
        <w:t xml:space="preserve">, “The Hydration Equation: Update on Water Balance and Cognitive Performance,” </w:t>
      </w:r>
      <w:r>
        <w:rPr>
          <w:color w:val="000000"/>
          <w:szCs w:val="22"/>
          <w:shd w:val="clear" w:color="auto" w:fill="FFFFFF"/>
        </w:rPr>
        <w:t>American College of Sports Medicine,</w:t>
      </w:r>
      <w:r w:rsidRPr="007A7F1B">
        <w:rPr>
          <w:color w:val="000000"/>
          <w:szCs w:val="22"/>
          <w:shd w:val="clear" w:color="auto" w:fill="FFFFFF"/>
        </w:rPr>
        <w:t xml:space="preserve"> </w:t>
      </w:r>
      <w:r w:rsidRPr="00987365">
        <w:rPr>
          <w:i/>
          <w:color w:val="000000"/>
          <w:szCs w:val="22"/>
          <w:shd w:val="clear" w:color="auto" w:fill="FFFFFF"/>
        </w:rPr>
        <w:t>Health and Fitness Journal</w:t>
      </w:r>
      <w:r w:rsidRPr="007A7F1B">
        <w:rPr>
          <w:color w:val="000000"/>
          <w:szCs w:val="22"/>
          <w:shd w:val="clear" w:color="auto" w:fill="FFFFFF"/>
        </w:rPr>
        <w:t xml:space="preserve"> 17(6):21–28</w:t>
      </w:r>
      <w:r>
        <w:rPr>
          <w:color w:val="000000"/>
          <w:szCs w:val="22"/>
          <w:shd w:val="clear" w:color="auto" w:fill="FFFFFF"/>
        </w:rPr>
        <w:t xml:space="preserve">, </w:t>
      </w:r>
      <w:r w:rsidRPr="007A7F1B">
        <w:rPr>
          <w:color w:val="000000"/>
          <w:szCs w:val="22"/>
          <w:shd w:val="clear" w:color="auto" w:fill="FFFFFF"/>
        </w:rPr>
        <w:t>November/December</w:t>
      </w:r>
      <w:r>
        <w:rPr>
          <w:color w:val="000000"/>
          <w:szCs w:val="22"/>
          <w:shd w:val="clear" w:color="auto" w:fill="FFFFFF"/>
        </w:rPr>
        <w:t> 2013</w:t>
      </w:r>
      <w:r w:rsidR="003C60DD">
        <w:rPr>
          <w:color w:val="000000"/>
          <w:szCs w:val="22"/>
          <w:shd w:val="clear" w:color="auto" w:fill="FFFFFF"/>
        </w:rPr>
        <w:t xml:space="preserve">. </w:t>
      </w:r>
      <w:r w:rsidRPr="007A7F1B" w:rsidR="003C3A7F">
        <w:t>(</w:t>
      </w:r>
      <w:r w:rsidR="003C3A7F">
        <w:t>ADAMS Accession No. ML1921</w:t>
      </w:r>
      <w:r w:rsidR="00F95DA1">
        <w:t>9</w:t>
      </w:r>
      <w:r w:rsidR="003C3A7F">
        <w:t>A</w:t>
      </w:r>
      <w:r w:rsidRPr="00AE73CC" w:rsidR="00F95DA1">
        <w:t>006</w:t>
      </w:r>
      <w:r w:rsidR="003C3A7F">
        <w:t>)</w:t>
      </w:r>
    </w:p>
    <w:p w:rsidRPr="007A7F1B" w:rsidR="00F82496" w:rsidRDefault="00F82496" w14:paraId="7262A287" w14:textId="77777777">
      <w:pPr>
        <w:pStyle w:val="ListParagraph"/>
        <w:ind w:firstLine="0"/>
      </w:pPr>
    </w:p>
    <w:p w:rsidRPr="007A7F1B" w:rsidR="00F82496" w:rsidP="007C2102" w:rsidRDefault="00F82496" w14:paraId="4D01FDB8" w14:textId="77777777">
      <w:pPr>
        <w:pStyle w:val="ListParagraph"/>
        <w:numPr>
          <w:ilvl w:val="0"/>
          <w:numId w:val="17"/>
        </w:numPr>
        <w:ind w:hanging="720"/>
      </w:pPr>
      <w:r w:rsidRPr="007A7F1B">
        <w:t>Shults, T</w:t>
      </w:r>
      <w:r>
        <w:t>.</w:t>
      </w:r>
      <w:r w:rsidRPr="007A7F1B">
        <w:t>F., “Medical Review Officer Handbook,” 10th Edition, Quadrangle Research, April</w:t>
      </w:r>
      <w:r>
        <w:t> </w:t>
      </w:r>
      <w:r w:rsidRPr="007A7F1B">
        <w:t>2014.</w:t>
      </w:r>
      <w:r w:rsidRPr="007A7F1B">
        <w:rPr>
          <w:rStyle w:val="FootnoteReference"/>
        </w:rPr>
        <w:footnoteReference w:id="6"/>
      </w:r>
    </w:p>
    <w:p w:rsidRPr="007A7F1B" w:rsidR="00F82496" w:rsidRDefault="00F82496" w14:paraId="28CCBC8B" w14:textId="77777777">
      <w:pPr>
        <w:ind w:left="0" w:firstLine="0"/>
      </w:pPr>
    </w:p>
    <w:p w:rsidR="00196971" w:rsidP="007C2102" w:rsidRDefault="00F82496" w14:paraId="73304A46" w14:textId="216DEA77">
      <w:pPr>
        <w:pStyle w:val="ListParagraph"/>
        <w:numPr>
          <w:ilvl w:val="0"/>
          <w:numId w:val="17"/>
        </w:numPr>
        <w:ind w:hanging="720"/>
      </w:pPr>
      <w:r w:rsidRPr="00650DF0">
        <w:t>HHS, Substance Abuse and</w:t>
      </w:r>
      <w:r w:rsidRPr="007A7F1B">
        <w:t xml:space="preserve"> Mental Health Services Administration, Center for Substance Abuse Prevention, “Medical Review Officer Manual for Federal Workplace Drug Testing Programs,” </w:t>
      </w:r>
      <w:r w:rsidR="00F95DA1">
        <w:t>October</w:t>
      </w:r>
      <w:r>
        <w:t> </w:t>
      </w:r>
      <w:r w:rsidRPr="007A7F1B">
        <w:t>1,</w:t>
      </w:r>
      <w:r>
        <w:t> </w:t>
      </w:r>
      <w:r w:rsidRPr="007A7F1B">
        <w:t>201</w:t>
      </w:r>
      <w:r w:rsidR="00F95DA1">
        <w:t>7</w:t>
      </w:r>
      <w:r w:rsidR="00E84470">
        <w:t>, revised March 2018</w:t>
      </w:r>
      <w:r w:rsidR="003C60DD">
        <w:t xml:space="preserve">. </w:t>
      </w:r>
      <w:r w:rsidRPr="007A7F1B">
        <w:t>(</w:t>
      </w:r>
      <w:r>
        <w:t>A</w:t>
      </w:r>
      <w:r w:rsidR="005C220E">
        <w:t>DAMS Accession No.</w:t>
      </w:r>
      <w:r w:rsidR="00851D7E">
        <w:t xml:space="preserve"> </w:t>
      </w:r>
      <w:r w:rsidR="00FC28F0">
        <w:t>ML</w:t>
      </w:r>
      <w:r w:rsidR="003B1B37">
        <w:t>21119A058</w:t>
      </w:r>
      <w:r w:rsidR="005C220E">
        <w:t>)</w:t>
      </w:r>
    </w:p>
    <w:p w:rsidR="00BF784A" w:rsidRDefault="00BF784A" w14:paraId="200DCFB8" w14:textId="77777777">
      <w:pPr>
        <w:pStyle w:val="ListParagraph"/>
        <w:ind w:firstLine="0"/>
      </w:pPr>
    </w:p>
    <w:p w:rsidRPr="003F6B94" w:rsidR="00196971" w:rsidP="007C2102" w:rsidRDefault="00B646C6" w14:paraId="76EEDC37" w14:textId="60DE9802">
      <w:pPr>
        <w:pStyle w:val="ListParagraph"/>
        <w:numPr>
          <w:ilvl w:val="0"/>
          <w:numId w:val="17"/>
        </w:numPr>
        <w:ind w:hanging="720"/>
      </w:pPr>
      <w:r w:rsidRPr="00B646C6">
        <w:t>HHS, Substance Abuse and Mental Health Services Administration, Center for Substance Abuse Prevention, “</w:t>
      </w:r>
      <w:r w:rsidRPr="003577D7">
        <w:t xml:space="preserve">Medical Review Officer </w:t>
      </w:r>
      <w:r w:rsidRPr="003577D7" w:rsidR="00C60316">
        <w:t>Case Studies</w:t>
      </w:r>
      <w:r w:rsidRPr="003577D7">
        <w:t>,” March 2</w:t>
      </w:r>
      <w:r w:rsidR="000456A7">
        <w:t>0</w:t>
      </w:r>
      <w:r w:rsidRPr="003577D7">
        <w:t>18.</w:t>
      </w:r>
      <w:r w:rsidRPr="00B646C6">
        <w:t xml:space="preserve"> </w:t>
      </w:r>
      <w:r w:rsidRPr="003F6B94">
        <w:t>(ADAMS Accession No.</w:t>
      </w:r>
      <w:r w:rsidRPr="003F6B94" w:rsidR="003F6B94">
        <w:t xml:space="preserve"> ML21119A054</w:t>
      </w:r>
      <w:r w:rsidRPr="003F6B94" w:rsidR="00E57742">
        <w:t>)</w:t>
      </w:r>
    </w:p>
    <w:p w:rsidRPr="007A7F1B" w:rsidR="00F82496" w:rsidRDefault="00F82496" w14:paraId="66F82678" w14:textId="77777777">
      <w:pPr>
        <w:ind w:left="0" w:firstLine="0"/>
      </w:pPr>
    </w:p>
    <w:p w:rsidRPr="00F82496" w:rsidR="00E072B9" w:rsidP="00D76489" w:rsidRDefault="00255ADD" w14:paraId="0B4C1987" w14:textId="2412C6F5">
      <w:pPr>
        <w:pStyle w:val="ListParagraph"/>
        <w:numPr>
          <w:ilvl w:val="0"/>
          <w:numId w:val="17"/>
        </w:numPr>
        <w:ind w:hanging="720"/>
        <w:contextualSpacing w:val="0"/>
      </w:pPr>
      <w:r w:rsidRPr="00DD3882">
        <w:rPr>
          <w:szCs w:val="22"/>
        </w:rPr>
        <w:t>NRC, Management Directive (MD)</w:t>
      </w:r>
      <w:r>
        <w:rPr>
          <w:szCs w:val="22"/>
        </w:rPr>
        <w:t> </w:t>
      </w:r>
      <w:r w:rsidRPr="00DD3882">
        <w:rPr>
          <w:szCs w:val="22"/>
        </w:rPr>
        <w:t>8.4, “Management of Facility-Specific Backfitting and Information Collection,” Washington,</w:t>
      </w:r>
      <w:r>
        <w:rPr>
          <w:szCs w:val="22"/>
        </w:rPr>
        <w:t> </w:t>
      </w:r>
      <w:r w:rsidRPr="00DD3882">
        <w:rPr>
          <w:szCs w:val="22"/>
        </w:rPr>
        <w:t>DC</w:t>
      </w:r>
      <w:r>
        <w:rPr>
          <w:szCs w:val="22"/>
        </w:rPr>
        <w:t xml:space="preserve">, September 20, 2019. </w:t>
      </w:r>
      <w:r w:rsidRPr="004777A1">
        <w:rPr>
          <w:szCs w:val="22"/>
        </w:rPr>
        <w:t xml:space="preserve">(ADAMS </w:t>
      </w:r>
      <w:r>
        <w:rPr>
          <w:szCs w:val="22"/>
        </w:rPr>
        <w:t>Accession No.</w:t>
      </w:r>
      <w:r w:rsidR="005C41B5">
        <w:rPr>
          <w:szCs w:val="22"/>
        </w:rPr>
        <w:t xml:space="preserve"> </w:t>
      </w:r>
      <w:r w:rsidRPr="004777A1">
        <w:rPr>
          <w:szCs w:val="22"/>
        </w:rPr>
        <w:t>ML18093B087)</w:t>
      </w:r>
    </w:p>
    <w:sectPr w:rsidRPr="00F82496" w:rsidR="00E072B9" w:rsidSect="005E54AD">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0BD8" w14:textId="77777777" w:rsidR="005830B6" w:rsidRDefault="005830B6" w:rsidP="00E66A8A">
      <w:r>
        <w:separator/>
      </w:r>
    </w:p>
  </w:endnote>
  <w:endnote w:type="continuationSeparator" w:id="0">
    <w:p w14:paraId="0780719A" w14:textId="77777777" w:rsidR="005830B6" w:rsidRDefault="005830B6" w:rsidP="00E66A8A">
      <w:r>
        <w:continuationSeparator/>
      </w:r>
    </w:p>
  </w:endnote>
  <w:endnote w:type="continuationNotice" w:id="1">
    <w:p w14:paraId="4BCC91D7" w14:textId="77777777" w:rsidR="005830B6" w:rsidRDefault="00583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B8FD" w14:textId="778034E9" w:rsidR="009153ED" w:rsidRPr="000D0CBB" w:rsidRDefault="004A7000" w:rsidP="000D0CBB">
    <w:pPr>
      <w:pStyle w:val="Footer"/>
      <w:jc w:val="center"/>
      <w:rPr>
        <w:sz w:val="20"/>
        <w:szCs w:val="20"/>
      </w:rPr>
    </w:pPr>
    <w:r>
      <w:rPr>
        <w:sz w:val="20"/>
      </w:rPr>
      <w:t>RG 5.</w:t>
    </w:r>
    <w:r w:rsidR="00521B78">
      <w:rPr>
        <w:sz w:val="20"/>
      </w:rPr>
      <w:t>89</w:t>
    </w:r>
    <w:r w:rsidRPr="007F6245">
      <w:rPr>
        <w:sz w:val="20"/>
      </w:rPr>
      <w:t>,</w:t>
    </w:r>
    <w:r w:rsidR="00307060" w:rsidRPr="00307060">
      <w:rPr>
        <w:sz w:val="20"/>
      </w:rPr>
      <w:t xml:space="preserve"> </w:t>
    </w:r>
    <w:r w:rsidR="00307060">
      <w:rPr>
        <w:sz w:val="20"/>
      </w:rPr>
      <w:t>Rev. 0</w:t>
    </w:r>
    <w:r w:rsidR="00307060" w:rsidRPr="007F6245">
      <w:rPr>
        <w:sz w:val="20"/>
      </w:rPr>
      <w:t>,</w:t>
    </w:r>
    <w:r w:rsidR="009153ED" w:rsidRPr="000D0CBB">
      <w:rPr>
        <w:sz w:val="20"/>
        <w:szCs w:val="20"/>
      </w:rPr>
      <w:t xml:space="preserve"> Page </w:t>
    </w:r>
    <w:sdt>
      <w:sdtPr>
        <w:rPr>
          <w:sz w:val="20"/>
          <w:szCs w:val="20"/>
        </w:rPr>
        <w:id w:val="558910915"/>
        <w:docPartObj>
          <w:docPartGallery w:val="Page Numbers (Bottom of Page)"/>
          <w:docPartUnique/>
        </w:docPartObj>
      </w:sdtPr>
      <w:sdtEndPr>
        <w:rPr>
          <w:noProof/>
        </w:rPr>
      </w:sdtEndPr>
      <w:sdtContent>
        <w:r w:rsidR="009153ED" w:rsidRPr="000D0CBB">
          <w:rPr>
            <w:sz w:val="20"/>
            <w:szCs w:val="20"/>
          </w:rPr>
          <w:fldChar w:fldCharType="begin"/>
        </w:r>
        <w:r w:rsidR="009153ED" w:rsidRPr="000D0CBB">
          <w:rPr>
            <w:sz w:val="20"/>
            <w:szCs w:val="20"/>
          </w:rPr>
          <w:instrText xml:space="preserve"> PAGE   \* MERGEFORMAT </w:instrText>
        </w:r>
        <w:r w:rsidR="009153ED" w:rsidRPr="000D0CBB">
          <w:rPr>
            <w:sz w:val="20"/>
            <w:szCs w:val="20"/>
          </w:rPr>
          <w:fldChar w:fldCharType="separate"/>
        </w:r>
        <w:r w:rsidR="009153ED">
          <w:rPr>
            <w:noProof/>
            <w:sz w:val="20"/>
            <w:szCs w:val="20"/>
          </w:rPr>
          <w:t>14</w:t>
        </w:r>
        <w:r w:rsidR="009153ED" w:rsidRPr="000D0CBB">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E631" w14:textId="77777777" w:rsidR="009153ED" w:rsidRDefault="009153ED"/>
  <w:tbl>
    <w:tblPr>
      <w:tblStyle w:val="TableGrid"/>
      <w:tblW w:w="0" w:type="auto"/>
      <w:tblBorders>
        <w:left w:val="none" w:sz="0" w:space="0" w:color="auto"/>
        <w:right w:val="none" w:sz="0" w:space="0" w:color="auto"/>
      </w:tblBorders>
      <w:tblCellMar>
        <w:top w:w="58" w:type="dxa"/>
        <w:left w:w="0" w:type="dxa"/>
        <w:bottom w:w="58" w:type="dxa"/>
        <w:right w:w="0" w:type="dxa"/>
      </w:tblCellMar>
      <w:tblLook w:val="04A0" w:firstRow="1" w:lastRow="0" w:firstColumn="1" w:lastColumn="0" w:noHBand="0" w:noVBand="1"/>
    </w:tblPr>
    <w:tblGrid>
      <w:gridCol w:w="9360"/>
    </w:tblGrid>
    <w:tr w:rsidR="009153ED" w14:paraId="6F98BD74" w14:textId="77777777" w:rsidTr="00D14AE2">
      <w:tc>
        <w:tcPr>
          <w:tcW w:w="9360" w:type="dxa"/>
        </w:tcPr>
        <w:p w14:paraId="5EDF2CDD" w14:textId="6729E8AB" w:rsidR="005B1504" w:rsidRPr="00E228DD" w:rsidRDefault="005B1504" w:rsidP="00521B78">
          <w:pPr>
            <w:ind w:left="0" w:firstLine="0"/>
            <w:rPr>
              <w:sz w:val="18"/>
              <w:szCs w:val="18"/>
            </w:rPr>
          </w:pPr>
          <w:r w:rsidRPr="00E228DD">
            <w:rPr>
              <w:sz w:val="18"/>
              <w:szCs w:val="18"/>
            </w:rPr>
            <w:t>Written suggestions regarding this guide or development of new guides may be submitted through the NRC’s public Web site in</w:t>
          </w:r>
          <w:r w:rsidR="001076D7" w:rsidRPr="00E228DD">
            <w:rPr>
              <w:sz w:val="18"/>
              <w:szCs w:val="18"/>
            </w:rPr>
            <w:t xml:space="preserve"> </w:t>
          </w:r>
          <w:r w:rsidRPr="00E228DD">
            <w:rPr>
              <w:sz w:val="18"/>
              <w:szCs w:val="18"/>
            </w:rPr>
            <w:t xml:space="preserve">the NRC Library at </w:t>
          </w:r>
          <w:hyperlink r:id="rId1" w:history="1">
            <w:r w:rsidRPr="00E228DD">
              <w:rPr>
                <w:rStyle w:val="Hyperlink"/>
                <w:sz w:val="18"/>
                <w:szCs w:val="18"/>
              </w:rPr>
              <w:t>https://nrcweb.nrc.gov/reading-rm/doc-collections/reg-guides/</w:t>
            </w:r>
          </w:hyperlink>
          <w:r w:rsidRPr="00E228DD">
            <w:rPr>
              <w:sz w:val="18"/>
              <w:szCs w:val="18"/>
            </w:rPr>
            <w:t xml:space="preserve">, under Document Collections, in Regulatory Guides, at </w:t>
          </w:r>
          <w:hyperlink r:id="rId2" w:history="1">
            <w:r w:rsidRPr="00E228DD">
              <w:rPr>
                <w:rStyle w:val="Hyperlink"/>
                <w:sz w:val="18"/>
                <w:szCs w:val="18"/>
              </w:rPr>
              <w:t>https://nrcweb.nrc.gov/reading-rm/doc-collections/reg-guides/contactus.html</w:t>
            </w:r>
          </w:hyperlink>
          <w:r w:rsidRPr="00E228DD">
            <w:rPr>
              <w:sz w:val="18"/>
              <w:szCs w:val="18"/>
            </w:rPr>
            <w:t>.</w:t>
          </w:r>
        </w:p>
        <w:p w14:paraId="32C90F40" w14:textId="4DCFDE0F" w:rsidR="005B1504" w:rsidRPr="002F4DD3" w:rsidRDefault="005B1504" w:rsidP="005B1504">
          <w:pPr>
            <w:rPr>
              <w:sz w:val="18"/>
            </w:rPr>
          </w:pPr>
        </w:p>
        <w:p w14:paraId="0D78D53A" w14:textId="5DD59205" w:rsidR="009153ED" w:rsidRPr="003D46A7" w:rsidRDefault="005B1504" w:rsidP="001076D7">
          <w:pPr>
            <w:pStyle w:val="Footer"/>
            <w:ind w:left="0" w:firstLine="0"/>
            <w:rPr>
              <w:sz w:val="16"/>
              <w:szCs w:val="16"/>
            </w:rPr>
          </w:pPr>
          <w:r w:rsidRPr="002F4DD3">
            <w:rPr>
              <w:sz w:val="18"/>
            </w:rPr>
            <w:t xml:space="preserve">Electronic copies of this </w:t>
          </w:r>
          <w:r>
            <w:rPr>
              <w:sz w:val="18"/>
            </w:rPr>
            <w:t>RG</w:t>
          </w:r>
          <w:r w:rsidRPr="002F4DD3">
            <w:rPr>
              <w:sz w:val="18"/>
            </w:rPr>
            <w:t xml:space="preserve">, </w:t>
          </w:r>
          <w:r w:rsidRPr="00406F34">
            <w:rPr>
              <w:sz w:val="18"/>
              <w:szCs w:val="18"/>
            </w:rPr>
            <w:t xml:space="preserve">previous versions of RGs, and other recently issued guides are also available through the NRC’s public Web site in the NRC Library at </w:t>
          </w:r>
          <w:hyperlink r:id="rId3" w:history="1">
            <w:r w:rsidRPr="00406F34">
              <w:rPr>
                <w:rStyle w:val="Hyperlink"/>
                <w:sz w:val="18"/>
                <w:szCs w:val="18"/>
              </w:rPr>
              <w:t>https://nrcweb.nrc.gov/reading-rm/doc-collections/reg-guides/</w:t>
            </w:r>
          </w:hyperlink>
          <w:r w:rsidRPr="00406F34">
            <w:rPr>
              <w:sz w:val="18"/>
              <w:szCs w:val="18"/>
            </w:rPr>
            <w:t xml:space="preserve">, under Document </w:t>
          </w:r>
          <w:r w:rsidRPr="00262D3C">
            <w:rPr>
              <w:sz w:val="18"/>
              <w:szCs w:val="18"/>
            </w:rPr>
            <w:t xml:space="preserve">Collections, in Regulatory Guides. This RG is also available through the NRC’s Agencywide Documents Access and Management System (ADAMS) at </w:t>
          </w:r>
          <w:hyperlink r:id="rId4" w:history="1">
            <w:r w:rsidRPr="00262D3C">
              <w:rPr>
                <w:rStyle w:val="Hyperlink"/>
                <w:sz w:val="18"/>
                <w:szCs w:val="18"/>
              </w:rPr>
              <w:t>http://www.nrc.gov/reading-rm/adams.html</w:t>
            </w:r>
          </w:hyperlink>
          <w:r w:rsidRPr="00262D3C">
            <w:rPr>
              <w:sz w:val="18"/>
              <w:szCs w:val="18"/>
            </w:rPr>
            <w:t>, under ADAMS</w:t>
          </w:r>
          <w:r w:rsidRPr="00262D3C">
            <w:rPr>
              <w:sz w:val="18"/>
            </w:rPr>
            <w:t xml:space="preserve"> Accession Number (No.) </w:t>
          </w:r>
          <w:r w:rsidR="001969F6" w:rsidRPr="00262D3C">
            <w:rPr>
              <w:sz w:val="18"/>
            </w:rPr>
            <w:t>ML</w:t>
          </w:r>
          <w:r w:rsidR="00DC457A" w:rsidRPr="00262D3C">
            <w:rPr>
              <w:sz w:val="18"/>
            </w:rPr>
            <w:t>20143A034</w:t>
          </w:r>
          <w:r w:rsidRPr="00262D3C">
            <w:rPr>
              <w:sz w:val="18"/>
            </w:rPr>
            <w:t xml:space="preserve">. </w:t>
          </w:r>
          <w:r w:rsidR="001076D7" w:rsidRPr="00262D3C">
            <w:rPr>
              <w:sz w:val="18"/>
              <w:szCs w:val="18"/>
            </w:rPr>
            <w:t>The regulatory analysis for the rule encompasses the RG and may be found in ADAMS under Accession No.</w:t>
          </w:r>
          <w:r w:rsidR="004E3909">
            <w:rPr>
              <w:sz w:val="18"/>
              <w:szCs w:val="18"/>
            </w:rPr>
            <w:t> </w:t>
          </w:r>
          <w:r w:rsidR="0030567D" w:rsidRPr="00262D3C">
            <w:rPr>
              <w:sz w:val="18"/>
            </w:rPr>
            <w:t>ML</w:t>
          </w:r>
          <w:r w:rsidR="008E7DCB">
            <w:rPr>
              <w:sz w:val="18"/>
            </w:rPr>
            <w:t>22133A044</w:t>
          </w:r>
          <w:r w:rsidR="001076D7" w:rsidRPr="00262D3C">
            <w:rPr>
              <w:sz w:val="18"/>
              <w:szCs w:val="18"/>
            </w:rPr>
            <w:t>.</w:t>
          </w:r>
          <w:r w:rsidRPr="00262D3C">
            <w:rPr>
              <w:sz w:val="18"/>
            </w:rPr>
            <w:t xml:space="preserve"> The associated draft guide DG-</w:t>
          </w:r>
          <w:r w:rsidR="001076D7" w:rsidRPr="00262D3C">
            <w:rPr>
              <w:sz w:val="18"/>
            </w:rPr>
            <w:t>5040</w:t>
          </w:r>
          <w:r w:rsidRPr="00262D3C">
            <w:rPr>
              <w:sz w:val="18"/>
            </w:rPr>
            <w:t xml:space="preserve"> may be found in ADAMS under Accession No. ML19116A077, and the staff responses to the public comments on DG-</w:t>
          </w:r>
          <w:r w:rsidR="001076D7" w:rsidRPr="00262D3C">
            <w:rPr>
              <w:sz w:val="18"/>
            </w:rPr>
            <w:t>5040</w:t>
          </w:r>
          <w:r w:rsidRPr="00262D3C">
            <w:rPr>
              <w:sz w:val="18"/>
            </w:rPr>
            <w:t xml:space="preserve"> </w:t>
          </w:r>
          <w:r w:rsidRPr="00641028">
            <w:rPr>
              <w:sz w:val="18"/>
            </w:rPr>
            <w:t xml:space="preserve">may be found under ADAMS Accession No. </w:t>
          </w:r>
          <w:r w:rsidR="00A5463A" w:rsidRPr="00262D3C">
            <w:rPr>
              <w:sz w:val="18"/>
            </w:rPr>
            <w:t>ML</w:t>
          </w:r>
          <w:r w:rsidR="00CA46BD">
            <w:rPr>
              <w:sz w:val="18"/>
            </w:rPr>
            <w:t>22133A</w:t>
          </w:r>
          <w:r w:rsidR="00AF2857">
            <w:rPr>
              <w:sz w:val="18"/>
            </w:rPr>
            <w:t>052</w:t>
          </w:r>
          <w:r w:rsidRPr="00262D3C">
            <w:rPr>
              <w:sz w:val="18"/>
            </w:rPr>
            <w:t>.</w:t>
          </w:r>
        </w:p>
      </w:tc>
    </w:tr>
  </w:tbl>
  <w:p w14:paraId="51A8EB7F" w14:textId="77777777" w:rsidR="009153ED" w:rsidRDefault="00915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16D3" w14:textId="77777777" w:rsidR="005830B6" w:rsidRDefault="005830B6" w:rsidP="00E66A8A">
      <w:r>
        <w:separator/>
      </w:r>
    </w:p>
  </w:footnote>
  <w:footnote w:type="continuationSeparator" w:id="0">
    <w:p w14:paraId="0963E57A" w14:textId="77777777" w:rsidR="005830B6" w:rsidRDefault="005830B6" w:rsidP="00E66A8A">
      <w:r>
        <w:continuationSeparator/>
      </w:r>
    </w:p>
  </w:footnote>
  <w:footnote w:type="continuationNotice" w:id="1">
    <w:p w14:paraId="0BDA8101" w14:textId="77777777" w:rsidR="005830B6" w:rsidRDefault="005830B6"/>
  </w:footnote>
  <w:footnote w:id="2">
    <w:p w14:paraId="2C007431" w14:textId="0A57F89F" w:rsidR="009153ED" w:rsidRPr="00F46437" w:rsidRDefault="009153ED" w:rsidP="006D2FBA">
      <w:pPr>
        <w:pStyle w:val="FootnoteText"/>
        <w:ind w:left="360" w:hanging="360"/>
        <w:rPr>
          <w:sz w:val="18"/>
          <w:szCs w:val="18"/>
        </w:rPr>
      </w:pPr>
      <w:r w:rsidRPr="00F46437">
        <w:rPr>
          <w:rStyle w:val="FootnoteReference"/>
          <w:sz w:val="18"/>
          <w:szCs w:val="18"/>
          <w:vertAlign w:val="baseline"/>
        </w:rPr>
        <w:footnoteRef/>
      </w:r>
      <w:r w:rsidRPr="00F46437">
        <w:rPr>
          <w:sz w:val="18"/>
          <w:szCs w:val="18"/>
        </w:rPr>
        <w:t xml:space="preserve"> </w:t>
      </w:r>
      <w:r w:rsidRPr="00F46437">
        <w:rPr>
          <w:sz w:val="18"/>
          <w:szCs w:val="18"/>
        </w:rPr>
        <w:tab/>
        <w:t xml:space="preserve">Publicly available NRC published documents are available electronically through the NRC Library on the NRC’s public Web site at </w:t>
      </w:r>
      <w:hyperlink r:id="rId1" w:history="1">
        <w:r w:rsidR="00E654AD" w:rsidRPr="00E654AD">
          <w:rPr>
            <w:rStyle w:val="Hyperlink"/>
            <w:sz w:val="18"/>
            <w:szCs w:val="18"/>
          </w:rPr>
          <w:t>https://www.nrc.gov/reading-rm/doc-collections/</w:t>
        </w:r>
      </w:hyperlink>
      <w:r w:rsidRPr="00F46437">
        <w:rPr>
          <w:rStyle w:val="Hyperlink"/>
          <w:sz w:val="18"/>
          <w:szCs w:val="18"/>
          <w:u w:val="none"/>
        </w:rPr>
        <w:t xml:space="preserve"> </w:t>
      </w:r>
      <w:r w:rsidRPr="00F46437">
        <w:rPr>
          <w:rStyle w:val="Hyperlink"/>
          <w:color w:val="auto"/>
          <w:sz w:val="18"/>
          <w:szCs w:val="18"/>
          <w:u w:val="none"/>
        </w:rPr>
        <w:t xml:space="preserve">and </w:t>
      </w:r>
      <w:r w:rsidRPr="00F46437">
        <w:rPr>
          <w:sz w:val="18"/>
          <w:szCs w:val="18"/>
        </w:rPr>
        <w:t xml:space="preserve">through the NRC’s Agencywide Documents Access and Management System (ADAMS) at </w:t>
      </w:r>
      <w:hyperlink r:id="rId2" w:history="1">
        <w:r w:rsidR="00E654AD" w:rsidRPr="00E654AD">
          <w:rPr>
            <w:rStyle w:val="Hyperlink"/>
            <w:sz w:val="18"/>
            <w:szCs w:val="18"/>
          </w:rPr>
          <w:t>https://www.nrc.gov/reading-rm/adams.html</w:t>
        </w:r>
      </w:hyperlink>
      <w:r w:rsidR="003C60DD">
        <w:rPr>
          <w:rStyle w:val="Hyperlink"/>
          <w:color w:val="auto"/>
          <w:sz w:val="18"/>
          <w:szCs w:val="18"/>
        </w:rPr>
        <w:t xml:space="preserve">. </w:t>
      </w:r>
      <w:r w:rsidRPr="00F46437">
        <w:rPr>
          <w:sz w:val="18"/>
          <w:szCs w:val="18"/>
        </w:rPr>
        <w:t>The documents can also be viewed online or printed for a fee in the NRC’s Public Document Room (PDR) at 11555 Rockville Pike, Rockville, MD</w:t>
      </w:r>
      <w:r w:rsidR="00CB7F65">
        <w:rPr>
          <w:sz w:val="18"/>
          <w:szCs w:val="18"/>
        </w:rPr>
        <w:t xml:space="preserve"> 20852</w:t>
      </w:r>
      <w:r w:rsidR="003C60DD">
        <w:rPr>
          <w:sz w:val="18"/>
          <w:szCs w:val="18"/>
        </w:rPr>
        <w:t xml:space="preserve">. </w:t>
      </w:r>
      <w:r w:rsidRPr="00F46437">
        <w:rPr>
          <w:sz w:val="18"/>
          <w:szCs w:val="18"/>
        </w:rPr>
        <w:t>For problems with ADAMS, contact the PDR staff at 301</w:t>
      </w:r>
      <w:r w:rsidRPr="00F46437">
        <w:rPr>
          <w:sz w:val="18"/>
          <w:szCs w:val="18"/>
        </w:rPr>
        <w:noBreakHyphen/>
        <w:t>415</w:t>
      </w:r>
      <w:r w:rsidRPr="00F46437">
        <w:rPr>
          <w:sz w:val="18"/>
          <w:szCs w:val="18"/>
        </w:rPr>
        <w:noBreakHyphen/>
        <w:t>4737 or (800) 397</w:t>
      </w:r>
      <w:r w:rsidRPr="00F46437">
        <w:rPr>
          <w:sz w:val="18"/>
          <w:szCs w:val="18"/>
        </w:rPr>
        <w:noBreakHyphen/>
        <w:t>4209; fax (301) 415</w:t>
      </w:r>
      <w:r w:rsidRPr="00F46437">
        <w:rPr>
          <w:sz w:val="18"/>
          <w:szCs w:val="18"/>
        </w:rPr>
        <w:noBreakHyphen/>
        <w:t>3548; or e</w:t>
      </w:r>
      <w:r w:rsidRPr="00F46437">
        <w:rPr>
          <w:sz w:val="18"/>
          <w:szCs w:val="18"/>
        </w:rPr>
        <w:noBreakHyphen/>
        <w:t xml:space="preserve">mail </w:t>
      </w:r>
      <w:hyperlink r:id="rId3" w:history="1">
        <w:r w:rsidRPr="00F46437">
          <w:rPr>
            <w:rStyle w:val="Hyperlink"/>
            <w:sz w:val="18"/>
            <w:szCs w:val="18"/>
          </w:rPr>
          <w:t>pdr.resource@nrc.gov</w:t>
        </w:r>
      </w:hyperlink>
      <w:r w:rsidRPr="00F46437">
        <w:rPr>
          <w:sz w:val="18"/>
          <w:szCs w:val="18"/>
        </w:rPr>
        <w:t>.</w:t>
      </w:r>
    </w:p>
    <w:p w14:paraId="28764F46" w14:textId="77777777" w:rsidR="009153ED" w:rsidRPr="00F46437" w:rsidRDefault="009153ED" w:rsidP="00F82496">
      <w:pPr>
        <w:pStyle w:val="FootnoteText"/>
        <w:rPr>
          <w:sz w:val="18"/>
          <w:szCs w:val="18"/>
        </w:rPr>
      </w:pPr>
    </w:p>
  </w:footnote>
  <w:footnote w:id="3">
    <w:p w14:paraId="5DCBF13E" w14:textId="35032EBA" w:rsidR="009153ED" w:rsidRPr="00F46437" w:rsidRDefault="009153ED" w:rsidP="006D2FBA">
      <w:pPr>
        <w:pStyle w:val="FootnoteText"/>
        <w:ind w:left="360" w:hanging="360"/>
        <w:rPr>
          <w:sz w:val="18"/>
          <w:szCs w:val="18"/>
        </w:rPr>
      </w:pPr>
      <w:r w:rsidRPr="00251929">
        <w:rPr>
          <w:rStyle w:val="FootnoteReference"/>
          <w:sz w:val="18"/>
          <w:szCs w:val="18"/>
          <w:vertAlign w:val="baseline"/>
        </w:rPr>
        <w:footnoteRef/>
      </w:r>
      <w:r w:rsidRPr="00251929">
        <w:rPr>
          <w:sz w:val="18"/>
          <w:szCs w:val="18"/>
        </w:rPr>
        <w:t xml:space="preserve"> </w:t>
      </w:r>
      <w:r w:rsidRPr="00251929">
        <w:rPr>
          <w:sz w:val="18"/>
          <w:szCs w:val="18"/>
        </w:rPr>
        <w:tab/>
        <w:t>Copies of Nuclear Energy Institute (NEI</w:t>
      </w:r>
      <w:r w:rsidRPr="00C32CC2">
        <w:rPr>
          <w:sz w:val="18"/>
          <w:szCs w:val="18"/>
          <w:highlight w:val="cyan"/>
        </w:rPr>
        <w:t>)</w:t>
      </w:r>
      <w:r w:rsidRPr="00F46437">
        <w:rPr>
          <w:sz w:val="18"/>
          <w:szCs w:val="18"/>
        </w:rPr>
        <w:t xml:space="preserve"> documents may be obtained through its Web site at </w:t>
      </w:r>
      <w:hyperlink r:id="rId4" w:history="1">
        <w:r w:rsidR="00A5250B" w:rsidRPr="00A5250B">
          <w:rPr>
            <w:rStyle w:val="Hyperlink"/>
            <w:sz w:val="18"/>
            <w:szCs w:val="18"/>
          </w:rPr>
          <w:t>http</w:t>
        </w:r>
        <w:r w:rsidR="00A5250B" w:rsidRPr="00D43139">
          <w:rPr>
            <w:rStyle w:val="Hyperlink"/>
            <w:sz w:val="18"/>
            <w:szCs w:val="18"/>
          </w:rPr>
          <w:t>s://www.nei.org/</w:t>
        </w:r>
      </w:hyperlink>
      <w:r w:rsidRPr="00F46437">
        <w:rPr>
          <w:sz w:val="18"/>
          <w:szCs w:val="18"/>
        </w:rPr>
        <w:t xml:space="preserve"> or by contacting the headquarters at Nuclear Energy Institute, 1201 F Street NW, Suite 1100, Washington DC 20004-1218; telephone 202</w:t>
      </w:r>
      <w:r w:rsidRPr="00F46437">
        <w:rPr>
          <w:sz w:val="18"/>
          <w:szCs w:val="18"/>
        </w:rPr>
        <w:noBreakHyphen/>
        <w:t>739</w:t>
      </w:r>
      <w:r w:rsidRPr="00F46437">
        <w:rPr>
          <w:sz w:val="18"/>
          <w:szCs w:val="18"/>
        </w:rPr>
        <w:noBreakHyphen/>
        <w:t>8000.</w:t>
      </w:r>
    </w:p>
    <w:p w14:paraId="73F2B5EE" w14:textId="77777777" w:rsidR="009153ED" w:rsidRPr="00F46437" w:rsidRDefault="009153ED" w:rsidP="00F82496">
      <w:pPr>
        <w:pStyle w:val="FootnoteText"/>
        <w:rPr>
          <w:sz w:val="18"/>
          <w:szCs w:val="18"/>
        </w:rPr>
      </w:pPr>
    </w:p>
  </w:footnote>
  <w:footnote w:id="4">
    <w:p w14:paraId="413A6692" w14:textId="13B7F191" w:rsidR="009153ED" w:rsidRPr="00F46437" w:rsidRDefault="009153ED" w:rsidP="006D2FBA">
      <w:pPr>
        <w:pStyle w:val="FootnoteText"/>
        <w:ind w:left="360" w:hanging="360"/>
        <w:rPr>
          <w:sz w:val="18"/>
          <w:szCs w:val="18"/>
        </w:rPr>
      </w:pPr>
      <w:r w:rsidRPr="00F46437">
        <w:rPr>
          <w:rStyle w:val="FootnoteReference"/>
          <w:sz w:val="18"/>
          <w:szCs w:val="18"/>
          <w:vertAlign w:val="baseline"/>
        </w:rPr>
        <w:footnoteRef/>
      </w:r>
      <w:r w:rsidRPr="00F46437">
        <w:rPr>
          <w:sz w:val="18"/>
          <w:szCs w:val="18"/>
        </w:rPr>
        <w:t xml:space="preserve"> </w:t>
      </w:r>
      <w:r w:rsidRPr="00F46437">
        <w:rPr>
          <w:sz w:val="18"/>
          <w:szCs w:val="18"/>
        </w:rPr>
        <w:tab/>
        <w:t xml:space="preserve">U.S. Department of Health and Human Services (HHS) guidelines are available online at </w:t>
      </w:r>
      <w:hyperlink r:id="rId5" w:anchor="HHS" w:history="1">
        <w:r w:rsidR="00614254" w:rsidRPr="00614254">
          <w:rPr>
            <w:rStyle w:val="Hyperlink"/>
            <w:sz w:val="18"/>
            <w:szCs w:val="18"/>
          </w:rPr>
          <w:t>https://www.samhsa.gov/workplace/drug-testing#HHS</w:t>
        </w:r>
      </w:hyperlink>
      <w:r w:rsidRPr="00F46437">
        <w:rPr>
          <w:sz w:val="18"/>
          <w:szCs w:val="18"/>
        </w:rPr>
        <w:t>.</w:t>
      </w:r>
    </w:p>
    <w:p w14:paraId="787DB34C" w14:textId="77777777" w:rsidR="009153ED" w:rsidRPr="00F46437" w:rsidRDefault="009153ED" w:rsidP="00F82496">
      <w:pPr>
        <w:pStyle w:val="FootnoteText"/>
        <w:rPr>
          <w:sz w:val="18"/>
          <w:szCs w:val="18"/>
        </w:rPr>
      </w:pPr>
    </w:p>
  </w:footnote>
  <w:footnote w:id="5">
    <w:p w14:paraId="095456A9" w14:textId="789C6EC0" w:rsidR="009153ED" w:rsidRPr="00F46437" w:rsidRDefault="009153ED" w:rsidP="006D2FBA">
      <w:pPr>
        <w:pStyle w:val="FootnoteText"/>
        <w:ind w:left="360" w:hanging="360"/>
        <w:rPr>
          <w:sz w:val="18"/>
          <w:szCs w:val="18"/>
        </w:rPr>
      </w:pPr>
      <w:r w:rsidRPr="00F46437">
        <w:rPr>
          <w:rStyle w:val="FootnoteReference"/>
          <w:sz w:val="18"/>
          <w:szCs w:val="18"/>
          <w:vertAlign w:val="baseline"/>
        </w:rPr>
        <w:footnoteRef/>
      </w:r>
      <w:r w:rsidRPr="00F46437">
        <w:rPr>
          <w:sz w:val="18"/>
          <w:szCs w:val="18"/>
        </w:rPr>
        <w:t xml:space="preserve"> </w:t>
      </w:r>
      <w:r w:rsidRPr="00F46437">
        <w:rPr>
          <w:sz w:val="18"/>
          <w:szCs w:val="18"/>
        </w:rPr>
        <w:tab/>
        <w:t xml:space="preserve">Copies of International Atomic Energy Agency (IAEA) documents may be obtained through its Web site at </w:t>
      </w:r>
      <w:r w:rsidR="00A31770">
        <w:rPr>
          <w:sz w:val="18"/>
          <w:szCs w:val="18"/>
        </w:rPr>
        <w:t>https://</w:t>
      </w:r>
      <w:hyperlink r:id="rId6" w:history="1">
        <w:r w:rsidR="00A31770" w:rsidRPr="00A31770">
          <w:rPr>
            <w:rStyle w:val="Hyperlink"/>
            <w:sz w:val="18"/>
            <w:szCs w:val="18"/>
          </w:rPr>
          <w:t>WWW.IAEA.Org/</w:t>
        </w:r>
      </w:hyperlink>
      <w:r w:rsidRPr="00F46437">
        <w:rPr>
          <w:sz w:val="18"/>
          <w:szCs w:val="18"/>
        </w:rPr>
        <w:t xml:space="preserve"> or by writing the International Atomic Energy Agency, P.O. Box 100, Wagramer Strasse 5, A</w:t>
      </w:r>
      <w:r w:rsidRPr="00F46437">
        <w:rPr>
          <w:sz w:val="18"/>
          <w:szCs w:val="18"/>
        </w:rPr>
        <w:noBreakHyphen/>
        <w:t>1400 Vienna, Austria; telephone (+431) 2600</w:t>
      </w:r>
      <w:r w:rsidRPr="00F46437">
        <w:rPr>
          <w:sz w:val="18"/>
          <w:szCs w:val="18"/>
        </w:rPr>
        <w:noBreakHyphen/>
        <w:t>0; fax (+431) 2600-7; or e</w:t>
      </w:r>
      <w:r w:rsidRPr="00F46437">
        <w:rPr>
          <w:sz w:val="18"/>
          <w:szCs w:val="18"/>
        </w:rPr>
        <w:noBreakHyphen/>
        <w:t xml:space="preserve">mail at </w:t>
      </w:r>
      <w:hyperlink r:id="rId7" w:history="1">
        <w:r w:rsidRPr="00F46437">
          <w:rPr>
            <w:rStyle w:val="Hyperlink"/>
            <w:sz w:val="18"/>
            <w:szCs w:val="18"/>
          </w:rPr>
          <w:t>Official.Mail@IAEA.Org</w:t>
        </w:r>
      </w:hyperlink>
      <w:r w:rsidRPr="00F46437">
        <w:rPr>
          <w:sz w:val="18"/>
          <w:szCs w:val="18"/>
        </w:rPr>
        <w:t>.</w:t>
      </w:r>
    </w:p>
    <w:p w14:paraId="038D422D" w14:textId="77777777" w:rsidR="009153ED" w:rsidRPr="00476DA3" w:rsidRDefault="009153ED" w:rsidP="00F82496">
      <w:pPr>
        <w:pStyle w:val="FootnoteText"/>
        <w:rPr>
          <w:sz w:val="18"/>
          <w:szCs w:val="18"/>
        </w:rPr>
      </w:pPr>
    </w:p>
  </w:footnote>
  <w:footnote w:id="6">
    <w:p w14:paraId="5D307556" w14:textId="77777777" w:rsidR="009153ED" w:rsidRPr="007F7D62" w:rsidRDefault="009153ED" w:rsidP="0031066F">
      <w:pPr>
        <w:pStyle w:val="FootnoteText"/>
        <w:ind w:left="360" w:hanging="360"/>
        <w:rPr>
          <w:sz w:val="18"/>
          <w:szCs w:val="18"/>
        </w:rPr>
      </w:pPr>
      <w:r w:rsidRPr="00476DA3">
        <w:rPr>
          <w:rStyle w:val="FootnoteReference"/>
          <w:sz w:val="18"/>
          <w:szCs w:val="18"/>
          <w:vertAlign w:val="baseline"/>
        </w:rPr>
        <w:footnoteRef/>
      </w:r>
      <w:r w:rsidRPr="00476DA3">
        <w:rPr>
          <w:sz w:val="18"/>
          <w:szCs w:val="18"/>
        </w:rPr>
        <w:t xml:space="preserve"> </w:t>
      </w:r>
      <w:r w:rsidRPr="00476DA3">
        <w:rPr>
          <w:sz w:val="18"/>
          <w:szCs w:val="18"/>
        </w:rPr>
        <w:tab/>
        <w:t xml:space="preserve">The </w:t>
      </w:r>
      <w:r w:rsidRPr="00987365">
        <w:rPr>
          <w:sz w:val="18"/>
          <w:szCs w:val="18"/>
        </w:rPr>
        <w:t>Medical Review Officer Handbook</w:t>
      </w:r>
      <w:r w:rsidRPr="00476DA3">
        <w:rPr>
          <w:sz w:val="18"/>
          <w:szCs w:val="18"/>
        </w:rPr>
        <w:t xml:space="preserve"> is available for a fee from the American Association of Medical Review Officers (AAMRO), P.O. Box</w:t>
      </w:r>
      <w:r>
        <w:rPr>
          <w:sz w:val="18"/>
          <w:szCs w:val="18"/>
        </w:rPr>
        <w:t> </w:t>
      </w:r>
      <w:r w:rsidRPr="00476DA3">
        <w:rPr>
          <w:sz w:val="18"/>
          <w:szCs w:val="18"/>
        </w:rPr>
        <w:t>12873, Research Triangle Park, NC, 27709</w:t>
      </w:r>
      <w:r>
        <w:rPr>
          <w:sz w:val="18"/>
          <w:szCs w:val="18"/>
        </w:rPr>
        <w:t>;</w:t>
      </w:r>
      <w:r w:rsidRPr="00476DA3">
        <w:rPr>
          <w:sz w:val="18"/>
          <w:szCs w:val="18"/>
        </w:rPr>
        <w:t xml:space="preserve"> telephone (800) 489</w:t>
      </w:r>
      <w:r>
        <w:rPr>
          <w:sz w:val="18"/>
          <w:szCs w:val="18"/>
        </w:rPr>
        <w:noBreakHyphen/>
      </w:r>
      <w:r w:rsidRPr="00476DA3">
        <w:rPr>
          <w:sz w:val="18"/>
          <w:szCs w:val="18"/>
        </w:rPr>
        <w:t>1839; fax (919) 490</w:t>
      </w:r>
      <w:r>
        <w:rPr>
          <w:sz w:val="18"/>
          <w:szCs w:val="18"/>
        </w:rPr>
        <w:noBreakHyphen/>
      </w:r>
      <w:r w:rsidRPr="00476DA3">
        <w:rPr>
          <w:sz w:val="18"/>
          <w:szCs w:val="18"/>
        </w:rPr>
        <w:t xml:space="preserve">1010; or via </w:t>
      </w:r>
      <w:r>
        <w:rPr>
          <w:sz w:val="18"/>
          <w:szCs w:val="18"/>
        </w:rPr>
        <w:t>its</w:t>
      </w:r>
      <w:r w:rsidRPr="00476DA3">
        <w:rPr>
          <w:sz w:val="18"/>
          <w:szCs w:val="18"/>
        </w:rPr>
        <w:t xml:space="preserve"> online store</w:t>
      </w:r>
      <w:r>
        <w:rPr>
          <w:sz w:val="18"/>
          <w:szCs w:val="18"/>
        </w:rPr>
        <w:t xml:space="preserve"> at</w:t>
      </w:r>
      <w:r w:rsidRPr="00476DA3">
        <w:rPr>
          <w:sz w:val="18"/>
          <w:szCs w:val="18"/>
        </w:rPr>
        <w:t xml:space="preserve"> </w:t>
      </w:r>
      <w:hyperlink r:id="rId8" w:history="1">
        <w:r w:rsidRPr="00476DA3">
          <w:rPr>
            <w:rStyle w:val="Hyperlink"/>
            <w:sz w:val="18"/>
            <w:szCs w:val="18"/>
          </w:rPr>
          <w:t>https://www.aamro.com/mro-store.aspx</w:t>
        </w:r>
      </w:hyperlink>
      <w:r w:rsidRPr="00476DA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8F6C24" w:rsidRPr="007E728B" w14:paraId="28A17F87" w14:textId="77777777" w:rsidTr="3DF0AEE0">
      <w:trPr>
        <w:jc w:val="center"/>
      </w:trPr>
      <w:tc>
        <w:tcPr>
          <w:tcW w:w="9350" w:type="dxa"/>
          <w:gridSpan w:val="3"/>
        </w:tcPr>
        <w:p w14:paraId="35F58FFC" w14:textId="77777777" w:rsidR="008F6C24" w:rsidRPr="00D14A86" w:rsidRDefault="008F6C24" w:rsidP="008F6C24">
          <w:pPr>
            <w:jc w:val="center"/>
            <w:rPr>
              <w:sz w:val="36"/>
              <w:szCs w:val="36"/>
            </w:rPr>
          </w:pPr>
          <w:r w:rsidRPr="00D14A86">
            <w:rPr>
              <w:rFonts w:ascii="Arial" w:hAnsi="Arial" w:cs="Arial"/>
              <w:b/>
              <w:bCs/>
              <w:color w:val="000000"/>
              <w:sz w:val="36"/>
              <w:szCs w:val="36"/>
            </w:rPr>
            <w:t>U.S. NUCLEAR REGULATORY COMMISSION</w:t>
          </w:r>
        </w:p>
      </w:tc>
    </w:tr>
    <w:tr w:rsidR="008F6C24" w:rsidRPr="007E728B" w14:paraId="7FD5BA7F" w14:textId="77777777" w:rsidTr="3DF0AEE0">
      <w:trPr>
        <w:jc w:val="center"/>
      </w:trPr>
      <w:tc>
        <w:tcPr>
          <w:tcW w:w="1435" w:type="dxa"/>
          <w:vMerge w:val="restart"/>
        </w:tcPr>
        <w:p w14:paraId="56A634BC" w14:textId="77777777" w:rsidR="008F6C24" w:rsidRPr="007E728B" w:rsidRDefault="3DF0AEE0" w:rsidP="008F6C24">
          <w:pPr>
            <w:rPr>
              <w:sz w:val="40"/>
            </w:rPr>
          </w:pPr>
          <w:r>
            <w:rPr>
              <w:noProof/>
            </w:rPr>
            <w:drawing>
              <wp:inline distT="0" distB="0" distL="0" distR="0" wp14:anchorId="753D196D" wp14:editId="16DC8B15">
                <wp:extent cx="914400" cy="899160"/>
                <wp:effectExtent l="0" t="0" r="0" b="0"/>
                <wp:docPr id="4" name="Picture 4"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14:paraId="4141F035" w14:textId="1D56DE04" w:rsidR="008F6C24" w:rsidRPr="00F766D8" w:rsidRDefault="008F6C24" w:rsidP="008F6C24">
          <w:pPr>
            <w:jc w:val="center"/>
            <w:rPr>
              <w:sz w:val="28"/>
              <w:szCs w:val="28"/>
            </w:rPr>
          </w:pPr>
          <w:r>
            <w:rPr>
              <w:rFonts w:ascii="Arial" w:hAnsi="Arial" w:cs="Arial"/>
              <w:b/>
              <w:bCs/>
              <w:sz w:val="28"/>
              <w:szCs w:val="28"/>
            </w:rPr>
            <w:t xml:space="preserve">REGULATORY </w:t>
          </w:r>
          <w:r w:rsidRPr="00D948CD">
            <w:rPr>
              <w:rFonts w:ascii="Arial" w:hAnsi="Arial" w:cs="Arial"/>
              <w:b/>
              <w:bCs/>
              <w:sz w:val="28"/>
              <w:szCs w:val="28"/>
            </w:rPr>
            <w:t xml:space="preserve">GUIDE </w:t>
          </w:r>
          <w:r w:rsidR="00521B78">
            <w:rPr>
              <w:rFonts w:ascii="Arial" w:hAnsi="Arial" w:cs="Arial"/>
              <w:b/>
              <w:bCs/>
              <w:sz w:val="28"/>
              <w:szCs w:val="28"/>
            </w:rPr>
            <w:t>5.89</w:t>
          </w:r>
          <w:r>
            <w:rPr>
              <w:rFonts w:ascii="Arial" w:hAnsi="Arial" w:cs="Arial"/>
              <w:b/>
              <w:bCs/>
              <w:sz w:val="28"/>
              <w:szCs w:val="28"/>
            </w:rPr>
            <w:t>, REVISION 0</w:t>
          </w:r>
        </w:p>
      </w:tc>
      <w:tc>
        <w:tcPr>
          <w:tcW w:w="1345" w:type="dxa"/>
        </w:tcPr>
        <w:p w14:paraId="19A8E7EA" w14:textId="77777777" w:rsidR="008F6C24" w:rsidRPr="008B423E" w:rsidRDefault="008F6C24" w:rsidP="008F6C24">
          <w:pPr>
            <w:jc w:val="center"/>
            <w:rPr>
              <w:sz w:val="36"/>
              <w:szCs w:val="36"/>
            </w:rPr>
          </w:pPr>
        </w:p>
      </w:tc>
    </w:tr>
    <w:tr w:rsidR="008F6C24" w:rsidRPr="00A855EA" w14:paraId="7B5B363F" w14:textId="77777777" w:rsidTr="3DF0AEE0">
      <w:trPr>
        <w:trHeight w:val="1113"/>
        <w:jc w:val="center"/>
      </w:trPr>
      <w:tc>
        <w:tcPr>
          <w:tcW w:w="1435" w:type="dxa"/>
          <w:vMerge/>
        </w:tcPr>
        <w:p w14:paraId="456086B5" w14:textId="77777777" w:rsidR="008F6C24" w:rsidRPr="007A0E90" w:rsidRDefault="008F6C24" w:rsidP="008F6C24">
          <w:pPr>
            <w:rPr>
              <w:sz w:val="2"/>
            </w:rPr>
          </w:pPr>
        </w:p>
      </w:tc>
      <w:tc>
        <w:tcPr>
          <w:tcW w:w="7915" w:type="dxa"/>
          <w:gridSpan w:val="2"/>
        </w:tcPr>
        <w:p w14:paraId="231CAF3D" w14:textId="1CABDD01" w:rsidR="008F6C24" w:rsidRPr="00A855EA" w:rsidRDefault="008F6C24" w:rsidP="008F6C24">
          <w:pPr>
            <w:tabs>
              <w:tab w:val="left" w:pos="3807"/>
            </w:tabs>
            <w:jc w:val="right"/>
            <w:rPr>
              <w:rFonts w:ascii="Arial" w:hAnsi="Arial" w:cs="Arial"/>
              <w:b/>
              <w:sz w:val="18"/>
              <w:szCs w:val="18"/>
            </w:rPr>
          </w:pPr>
          <w:r w:rsidRPr="00A855EA">
            <w:rPr>
              <w:rFonts w:ascii="Arial" w:hAnsi="Arial" w:cs="Arial"/>
              <w:b/>
              <w:sz w:val="18"/>
              <w:szCs w:val="18"/>
            </w:rPr>
            <w:t xml:space="preserve">Issue Date: </w:t>
          </w:r>
          <w:r w:rsidR="00865453">
            <w:rPr>
              <w:rFonts w:ascii="Arial" w:hAnsi="Arial" w:cs="Arial"/>
              <w:b/>
              <w:sz w:val="18"/>
              <w:szCs w:val="18"/>
            </w:rPr>
            <w:t>September</w:t>
          </w:r>
          <w:r w:rsidR="009D4653">
            <w:rPr>
              <w:rFonts w:ascii="Arial" w:hAnsi="Arial" w:cs="Arial"/>
              <w:b/>
              <w:sz w:val="18"/>
              <w:szCs w:val="18"/>
            </w:rPr>
            <w:t xml:space="preserve"> </w:t>
          </w:r>
          <w:r w:rsidR="00A855EA" w:rsidRPr="00C84307">
            <w:rPr>
              <w:rFonts w:ascii="Arial" w:hAnsi="Arial" w:cs="Arial"/>
              <w:b/>
              <w:sz w:val="18"/>
              <w:szCs w:val="18"/>
            </w:rPr>
            <w:t>202</w:t>
          </w:r>
          <w:r w:rsidR="00E63F8E">
            <w:rPr>
              <w:rFonts w:ascii="Arial" w:hAnsi="Arial" w:cs="Arial"/>
              <w:b/>
              <w:sz w:val="18"/>
              <w:szCs w:val="18"/>
            </w:rPr>
            <w:t>2</w:t>
          </w:r>
        </w:p>
        <w:p w14:paraId="1E7B76B4" w14:textId="08FE41FB" w:rsidR="008F6C24" w:rsidRPr="00A855EA" w:rsidRDefault="008F6C24" w:rsidP="008F6C24">
          <w:pPr>
            <w:tabs>
              <w:tab w:val="left" w:pos="3807"/>
            </w:tabs>
            <w:jc w:val="right"/>
            <w:rPr>
              <w:rFonts w:ascii="Arial" w:hAnsi="Arial" w:cs="Arial"/>
              <w:b/>
              <w:sz w:val="18"/>
              <w:szCs w:val="18"/>
            </w:rPr>
          </w:pPr>
          <w:r w:rsidRPr="00A855EA">
            <w:rPr>
              <w:rFonts w:ascii="Arial" w:hAnsi="Arial" w:cs="Arial"/>
              <w:b/>
              <w:sz w:val="18"/>
              <w:szCs w:val="18"/>
            </w:rPr>
            <w:t xml:space="preserve">Technical Lead: </w:t>
          </w:r>
          <w:r w:rsidR="00714084" w:rsidRPr="00A855EA">
            <w:rPr>
              <w:rFonts w:ascii="Arial" w:hAnsi="Arial" w:cs="Arial"/>
              <w:b/>
              <w:sz w:val="18"/>
              <w:szCs w:val="18"/>
            </w:rPr>
            <w:t>Paul Harris</w:t>
          </w:r>
        </w:p>
        <w:p w14:paraId="01858C12" w14:textId="77777777" w:rsidR="008F6C24" w:rsidRPr="00A855EA" w:rsidRDefault="008F6C24" w:rsidP="008F6C24">
          <w:pPr>
            <w:jc w:val="right"/>
            <w:rPr>
              <w:rFonts w:ascii="Arial" w:hAnsi="Arial" w:cs="Arial"/>
              <w:b/>
              <w:sz w:val="32"/>
              <w:szCs w:val="32"/>
            </w:rPr>
          </w:pPr>
        </w:p>
      </w:tc>
    </w:tr>
  </w:tbl>
  <w:p w14:paraId="66DCDE3C" w14:textId="4FC9C76C" w:rsidR="009153ED" w:rsidRDefault="00915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singleLevel"/>
    <w:tmpl w:val="0000002B"/>
    <w:name w:val="WW8Num106"/>
    <w:lvl w:ilvl="0">
      <w:start w:val="1"/>
      <w:numFmt w:val="lowerLetter"/>
      <w:pStyle w:val="NRCListLetter"/>
      <w:lvlText w:val="%1."/>
      <w:lvlJc w:val="left"/>
      <w:pPr>
        <w:tabs>
          <w:tab w:val="num" w:pos="720"/>
        </w:tabs>
        <w:ind w:left="720" w:hanging="720"/>
      </w:pPr>
      <w:rPr>
        <w:rFonts w:ascii="Symbol" w:hAnsi="Symbol"/>
      </w:rPr>
    </w:lvl>
  </w:abstractNum>
  <w:abstractNum w:abstractNumId="1" w15:restartNumberingAfterBreak="0">
    <w:nsid w:val="03F861AE"/>
    <w:multiLevelType w:val="hybridMultilevel"/>
    <w:tmpl w:val="9822CBC4"/>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62744"/>
    <w:multiLevelType w:val="hybridMultilevel"/>
    <w:tmpl w:val="16B202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A13285"/>
    <w:multiLevelType w:val="hybridMultilevel"/>
    <w:tmpl w:val="D11A86C4"/>
    <w:lvl w:ilvl="0" w:tplc="5436281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B07738"/>
    <w:multiLevelType w:val="hybridMultilevel"/>
    <w:tmpl w:val="048843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A4E3F"/>
    <w:multiLevelType w:val="hybridMultilevel"/>
    <w:tmpl w:val="EE7CB630"/>
    <w:lvl w:ilvl="0" w:tplc="A6EE6E68">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A93"/>
    <w:multiLevelType w:val="hybridMultilevel"/>
    <w:tmpl w:val="A4BE81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7A5576"/>
    <w:multiLevelType w:val="hybridMultilevel"/>
    <w:tmpl w:val="56124FA0"/>
    <w:lvl w:ilvl="0" w:tplc="543628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536D6"/>
    <w:multiLevelType w:val="hybridMultilevel"/>
    <w:tmpl w:val="F74E3416"/>
    <w:lvl w:ilvl="0" w:tplc="0409001B">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15B80"/>
    <w:multiLevelType w:val="hybridMultilevel"/>
    <w:tmpl w:val="DF3CC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09623B"/>
    <w:multiLevelType w:val="hybridMultilevel"/>
    <w:tmpl w:val="9EF488D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44BDF"/>
    <w:multiLevelType w:val="hybridMultilevel"/>
    <w:tmpl w:val="EDD49876"/>
    <w:lvl w:ilvl="0" w:tplc="CFF22CA4">
      <w:start w:val="1"/>
      <w:numFmt w:val="decimal"/>
      <w:lvlText w:val="(%1)"/>
      <w:lvlJc w:val="left"/>
      <w:pPr>
        <w:ind w:left="720" w:hanging="72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D309E8"/>
    <w:multiLevelType w:val="hybridMultilevel"/>
    <w:tmpl w:val="8CA2C9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65310A"/>
    <w:multiLevelType w:val="hybridMultilevel"/>
    <w:tmpl w:val="1EAADDA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D84883"/>
    <w:multiLevelType w:val="hybridMultilevel"/>
    <w:tmpl w:val="37320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BA0267"/>
    <w:multiLevelType w:val="hybridMultilevel"/>
    <w:tmpl w:val="D22ECA1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42C31B8"/>
    <w:multiLevelType w:val="hybridMultilevel"/>
    <w:tmpl w:val="2C98316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581659"/>
    <w:multiLevelType w:val="hybridMultilevel"/>
    <w:tmpl w:val="FE20DB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7204FC"/>
    <w:multiLevelType w:val="hybridMultilevel"/>
    <w:tmpl w:val="B294815C"/>
    <w:lvl w:ilvl="0" w:tplc="0409001B">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464790"/>
    <w:multiLevelType w:val="hybridMultilevel"/>
    <w:tmpl w:val="32CE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975"/>
    <w:multiLevelType w:val="hybridMultilevel"/>
    <w:tmpl w:val="A3B4C8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737B21"/>
    <w:multiLevelType w:val="hybridMultilevel"/>
    <w:tmpl w:val="F178096A"/>
    <w:lvl w:ilvl="0" w:tplc="0409001B">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64CD0"/>
    <w:multiLevelType w:val="hybridMultilevel"/>
    <w:tmpl w:val="031CA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714F19"/>
    <w:multiLevelType w:val="hybridMultilevel"/>
    <w:tmpl w:val="53DC70EE"/>
    <w:lvl w:ilvl="0" w:tplc="0409001B">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A5B70"/>
    <w:multiLevelType w:val="hybridMultilevel"/>
    <w:tmpl w:val="1E2246FA"/>
    <w:lvl w:ilvl="0" w:tplc="0409001B">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6C7165"/>
    <w:multiLevelType w:val="hybridMultilevel"/>
    <w:tmpl w:val="EF1A42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561898"/>
    <w:multiLevelType w:val="hybridMultilevel"/>
    <w:tmpl w:val="A96050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D55C3"/>
    <w:multiLevelType w:val="hybridMultilevel"/>
    <w:tmpl w:val="CA4A2BCA"/>
    <w:lvl w:ilvl="0" w:tplc="49FEF1B6">
      <w:start w:val="1"/>
      <w:numFmt w:val="decimal"/>
      <w:lvlText w:val="%1."/>
      <w:lvlJc w:val="left"/>
      <w:pPr>
        <w:tabs>
          <w:tab w:val="num" w:pos="84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956C2"/>
    <w:multiLevelType w:val="hybridMultilevel"/>
    <w:tmpl w:val="908005B8"/>
    <w:lvl w:ilvl="0" w:tplc="0409001B">
      <w:start w:val="1"/>
      <w:numFmt w:val="decimal"/>
      <w:lvlText w:val="(%1)"/>
      <w:lvlJc w:val="left"/>
      <w:pPr>
        <w:ind w:left="1440" w:hanging="360"/>
      </w:pPr>
      <w:rPr>
        <w:rFonts w:cs="Times New Roman" w:hint="default"/>
      </w:rPr>
    </w:lvl>
    <w:lvl w:ilvl="1" w:tplc="B5FE79D0">
      <w:start w:val="1"/>
      <w:numFmt w:val="lowerRoman"/>
      <w:lvlText w:val="%2."/>
      <w:lvlJc w:val="right"/>
      <w:pPr>
        <w:ind w:left="360" w:firstLine="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FF4858"/>
    <w:multiLevelType w:val="hybridMultilevel"/>
    <w:tmpl w:val="0DCE1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125B3"/>
    <w:multiLevelType w:val="hybridMultilevel"/>
    <w:tmpl w:val="B4AEFBAC"/>
    <w:lvl w:ilvl="0" w:tplc="0409001B">
      <w:start w:val="1"/>
      <w:numFmt w:val="decimal"/>
      <w:lvlText w:val="(%1)"/>
      <w:lvlJc w:val="left"/>
      <w:pPr>
        <w:ind w:left="720" w:hanging="360"/>
      </w:pPr>
      <w:rPr>
        <w:rFonts w:cs="Times New Roman" w:hint="default"/>
      </w:rPr>
    </w:lvl>
    <w:lvl w:ilvl="1" w:tplc="E32EF474">
      <w:start w:val="1"/>
      <w:numFmt w:val="lowerRoman"/>
      <w:lvlText w:val="%2."/>
      <w:lvlJc w:val="left"/>
      <w:pPr>
        <w:ind w:left="1800" w:hanging="720"/>
      </w:pPr>
      <w:rPr>
        <w:rFonts w:hint="default"/>
      </w:rPr>
    </w:lvl>
    <w:lvl w:ilvl="2" w:tplc="8D7EB4C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92D37"/>
    <w:multiLevelType w:val="hybridMultilevel"/>
    <w:tmpl w:val="A034726A"/>
    <w:lvl w:ilvl="0" w:tplc="BEC40F2C">
      <w:start w:val="1"/>
      <w:numFmt w:val="decimal"/>
      <w:lvlText w:val="%1."/>
      <w:lvlJc w:val="left"/>
      <w:pPr>
        <w:ind w:left="720" w:hanging="360"/>
      </w:pPr>
      <w:rPr>
        <w:rFonts w:ascii="Times New Roman" w:hAnsi="Times New Roman" w:hint="default"/>
        <w:b w:val="0"/>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75AB4"/>
    <w:multiLevelType w:val="hybridMultilevel"/>
    <w:tmpl w:val="59DE1FF6"/>
    <w:lvl w:ilvl="0" w:tplc="BEC40F2C">
      <w:start w:val="1"/>
      <w:numFmt w:val="decimal"/>
      <w:lvlText w:val="%1."/>
      <w:lvlJc w:val="left"/>
      <w:pPr>
        <w:ind w:left="72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649D1"/>
    <w:multiLevelType w:val="hybridMultilevel"/>
    <w:tmpl w:val="1658B312"/>
    <w:lvl w:ilvl="0" w:tplc="5436281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D27C48"/>
    <w:multiLevelType w:val="hybridMultilevel"/>
    <w:tmpl w:val="ADC84F7C"/>
    <w:lvl w:ilvl="0" w:tplc="08C8647E">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111D8"/>
    <w:multiLevelType w:val="hybridMultilevel"/>
    <w:tmpl w:val="7C427A2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BF0604"/>
    <w:multiLevelType w:val="hybridMultilevel"/>
    <w:tmpl w:val="0CC098FA"/>
    <w:lvl w:ilvl="0" w:tplc="04090011">
      <w:start w:val="1"/>
      <w:numFmt w:val="decimal"/>
      <w:lvlText w:val="%1)"/>
      <w:lvlJc w:val="left"/>
      <w:pPr>
        <w:ind w:left="720" w:hanging="360"/>
      </w:pPr>
      <w:rPr>
        <w:rFonts w:hint="default"/>
      </w:rPr>
    </w:lvl>
    <w:lvl w:ilvl="1" w:tplc="54362810">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20C85"/>
    <w:multiLevelType w:val="hybridMultilevel"/>
    <w:tmpl w:val="A3F8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94E12"/>
    <w:multiLevelType w:val="hybridMultilevel"/>
    <w:tmpl w:val="9E9C718C"/>
    <w:lvl w:ilvl="0" w:tplc="0409001B">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DD1A03"/>
    <w:multiLevelType w:val="hybridMultilevel"/>
    <w:tmpl w:val="31C49C98"/>
    <w:lvl w:ilvl="0" w:tplc="54D01752">
      <w:start w:val="6"/>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8"/>
  </w:num>
  <w:num w:numId="3">
    <w:abstractNumId w:val="24"/>
  </w:num>
  <w:num w:numId="4">
    <w:abstractNumId w:val="15"/>
  </w:num>
  <w:num w:numId="5">
    <w:abstractNumId w:val="35"/>
  </w:num>
  <w:num w:numId="6">
    <w:abstractNumId w:val="13"/>
  </w:num>
  <w:num w:numId="7">
    <w:abstractNumId w:val="38"/>
  </w:num>
  <w:num w:numId="8">
    <w:abstractNumId w:val="23"/>
  </w:num>
  <w:num w:numId="9">
    <w:abstractNumId w:val="39"/>
  </w:num>
  <w:num w:numId="10">
    <w:abstractNumId w:val="30"/>
  </w:num>
  <w:num w:numId="11">
    <w:abstractNumId w:val="8"/>
  </w:num>
  <w:num w:numId="12">
    <w:abstractNumId w:val="21"/>
  </w:num>
  <w:num w:numId="13">
    <w:abstractNumId w:val="10"/>
  </w:num>
  <w:num w:numId="14">
    <w:abstractNumId w:val="4"/>
  </w:num>
  <w:num w:numId="15">
    <w:abstractNumId w:val="31"/>
  </w:num>
  <w:num w:numId="16">
    <w:abstractNumId w:val="17"/>
  </w:num>
  <w:num w:numId="17">
    <w:abstractNumId w:val="32"/>
  </w:num>
  <w:num w:numId="18">
    <w:abstractNumId w:val="18"/>
  </w:num>
  <w:num w:numId="19">
    <w:abstractNumId w:val="34"/>
  </w:num>
  <w:num w:numId="20">
    <w:abstractNumId w:val="22"/>
  </w:num>
  <w:num w:numId="21">
    <w:abstractNumId w:val="37"/>
  </w:num>
  <w:num w:numId="22">
    <w:abstractNumId w:val="26"/>
  </w:num>
  <w:num w:numId="23">
    <w:abstractNumId w:val="36"/>
  </w:num>
  <w:num w:numId="24">
    <w:abstractNumId w:val="7"/>
  </w:num>
  <w:num w:numId="25">
    <w:abstractNumId w:val="3"/>
  </w:num>
  <w:num w:numId="26">
    <w:abstractNumId w:val="33"/>
  </w:num>
  <w:num w:numId="27">
    <w:abstractNumId w:val="29"/>
  </w:num>
  <w:num w:numId="28">
    <w:abstractNumId w:val="1"/>
  </w:num>
  <w:num w:numId="29">
    <w:abstractNumId w:val="0"/>
  </w:num>
  <w:num w:numId="30">
    <w:abstractNumId w:val="14"/>
  </w:num>
  <w:num w:numId="31">
    <w:abstractNumId w:val="27"/>
  </w:num>
  <w:num w:numId="32">
    <w:abstractNumId w:val="5"/>
  </w:num>
  <w:num w:numId="33">
    <w:abstractNumId w:val="16"/>
  </w:num>
  <w:num w:numId="34">
    <w:abstractNumId w:val="2"/>
  </w:num>
  <w:num w:numId="35">
    <w:abstractNumId w:val="20"/>
  </w:num>
  <w:num w:numId="36">
    <w:abstractNumId w:val="12"/>
  </w:num>
  <w:num w:numId="37">
    <w:abstractNumId w:val="25"/>
  </w:num>
  <w:num w:numId="38">
    <w:abstractNumId w:val="6"/>
  </w:num>
  <w:num w:numId="39">
    <w:abstractNumId w:val="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8A"/>
    <w:rsid w:val="00001C49"/>
    <w:rsid w:val="000020B7"/>
    <w:rsid w:val="00002853"/>
    <w:rsid w:val="00002D9B"/>
    <w:rsid w:val="00004106"/>
    <w:rsid w:val="0001151A"/>
    <w:rsid w:val="000144CA"/>
    <w:rsid w:val="000165C2"/>
    <w:rsid w:val="00016C72"/>
    <w:rsid w:val="0002158A"/>
    <w:rsid w:val="00021C58"/>
    <w:rsid w:val="000254E8"/>
    <w:rsid w:val="00025766"/>
    <w:rsid w:val="000273DA"/>
    <w:rsid w:val="00027A55"/>
    <w:rsid w:val="00027BBF"/>
    <w:rsid w:val="00027E8C"/>
    <w:rsid w:val="00030D15"/>
    <w:rsid w:val="0003376D"/>
    <w:rsid w:val="00035E61"/>
    <w:rsid w:val="00040D18"/>
    <w:rsid w:val="0004109E"/>
    <w:rsid w:val="000428FB"/>
    <w:rsid w:val="00042C8F"/>
    <w:rsid w:val="00044079"/>
    <w:rsid w:val="000456A7"/>
    <w:rsid w:val="000460A4"/>
    <w:rsid w:val="00046E93"/>
    <w:rsid w:val="00047208"/>
    <w:rsid w:val="000476E3"/>
    <w:rsid w:val="000505FC"/>
    <w:rsid w:val="0005126D"/>
    <w:rsid w:val="00051F76"/>
    <w:rsid w:val="00052146"/>
    <w:rsid w:val="00052F19"/>
    <w:rsid w:val="00054555"/>
    <w:rsid w:val="0005529A"/>
    <w:rsid w:val="000622FA"/>
    <w:rsid w:val="0006396A"/>
    <w:rsid w:val="00065B8F"/>
    <w:rsid w:val="00067212"/>
    <w:rsid w:val="0006757E"/>
    <w:rsid w:val="0006765A"/>
    <w:rsid w:val="00070EC2"/>
    <w:rsid w:val="0007331A"/>
    <w:rsid w:val="00074114"/>
    <w:rsid w:val="000801A3"/>
    <w:rsid w:val="000832BE"/>
    <w:rsid w:val="00084499"/>
    <w:rsid w:val="00084AF1"/>
    <w:rsid w:val="000900DA"/>
    <w:rsid w:val="00090D36"/>
    <w:rsid w:val="00090E4F"/>
    <w:rsid w:val="00091679"/>
    <w:rsid w:val="000918F6"/>
    <w:rsid w:val="00092B00"/>
    <w:rsid w:val="00093FAC"/>
    <w:rsid w:val="00094053"/>
    <w:rsid w:val="000A082B"/>
    <w:rsid w:val="000A1FD2"/>
    <w:rsid w:val="000A2D68"/>
    <w:rsid w:val="000A33FD"/>
    <w:rsid w:val="000A3F7B"/>
    <w:rsid w:val="000A412B"/>
    <w:rsid w:val="000A4F32"/>
    <w:rsid w:val="000A5716"/>
    <w:rsid w:val="000A6103"/>
    <w:rsid w:val="000A7A50"/>
    <w:rsid w:val="000B2625"/>
    <w:rsid w:val="000B3DE2"/>
    <w:rsid w:val="000B5E14"/>
    <w:rsid w:val="000B6CEC"/>
    <w:rsid w:val="000C305B"/>
    <w:rsid w:val="000C37A7"/>
    <w:rsid w:val="000C4B54"/>
    <w:rsid w:val="000C5494"/>
    <w:rsid w:val="000C5A15"/>
    <w:rsid w:val="000C5E90"/>
    <w:rsid w:val="000D03E6"/>
    <w:rsid w:val="000D0CBB"/>
    <w:rsid w:val="000D0F4A"/>
    <w:rsid w:val="000D1849"/>
    <w:rsid w:val="000D1E23"/>
    <w:rsid w:val="000D23C9"/>
    <w:rsid w:val="000D54C2"/>
    <w:rsid w:val="000D5921"/>
    <w:rsid w:val="000D6D2A"/>
    <w:rsid w:val="000E003D"/>
    <w:rsid w:val="000E52E5"/>
    <w:rsid w:val="000E5E0D"/>
    <w:rsid w:val="000E7318"/>
    <w:rsid w:val="000E739E"/>
    <w:rsid w:val="000E7BFB"/>
    <w:rsid w:val="000E7D7F"/>
    <w:rsid w:val="000F082C"/>
    <w:rsid w:val="000F0F30"/>
    <w:rsid w:val="000F3651"/>
    <w:rsid w:val="000F4B3D"/>
    <w:rsid w:val="000F5007"/>
    <w:rsid w:val="000F5A57"/>
    <w:rsid w:val="000F74FC"/>
    <w:rsid w:val="000F7C8B"/>
    <w:rsid w:val="001028F0"/>
    <w:rsid w:val="00102D6A"/>
    <w:rsid w:val="001063B0"/>
    <w:rsid w:val="0010650F"/>
    <w:rsid w:val="00106EEA"/>
    <w:rsid w:val="001076D7"/>
    <w:rsid w:val="00110A64"/>
    <w:rsid w:val="00110C19"/>
    <w:rsid w:val="00112A15"/>
    <w:rsid w:val="001142AA"/>
    <w:rsid w:val="00114729"/>
    <w:rsid w:val="001147F2"/>
    <w:rsid w:val="00114CA2"/>
    <w:rsid w:val="00115BF7"/>
    <w:rsid w:val="00115E0B"/>
    <w:rsid w:val="00116AA4"/>
    <w:rsid w:val="0011709B"/>
    <w:rsid w:val="00117242"/>
    <w:rsid w:val="0012236E"/>
    <w:rsid w:val="00122D11"/>
    <w:rsid w:val="0012363B"/>
    <w:rsid w:val="00126175"/>
    <w:rsid w:val="00131B0C"/>
    <w:rsid w:val="0013271A"/>
    <w:rsid w:val="00132C30"/>
    <w:rsid w:val="0013524D"/>
    <w:rsid w:val="00137C58"/>
    <w:rsid w:val="00137E24"/>
    <w:rsid w:val="00140A15"/>
    <w:rsid w:val="001416EC"/>
    <w:rsid w:val="00143EF4"/>
    <w:rsid w:val="00144205"/>
    <w:rsid w:val="0014436E"/>
    <w:rsid w:val="00144DF2"/>
    <w:rsid w:val="00144F27"/>
    <w:rsid w:val="00146E18"/>
    <w:rsid w:val="00147865"/>
    <w:rsid w:val="00150736"/>
    <w:rsid w:val="0015126E"/>
    <w:rsid w:val="0015212C"/>
    <w:rsid w:val="001522ED"/>
    <w:rsid w:val="001534FE"/>
    <w:rsid w:val="00154CE8"/>
    <w:rsid w:val="001568D5"/>
    <w:rsid w:val="00164710"/>
    <w:rsid w:val="00166A13"/>
    <w:rsid w:val="001670AF"/>
    <w:rsid w:val="00170F83"/>
    <w:rsid w:val="001716FC"/>
    <w:rsid w:val="00174C65"/>
    <w:rsid w:val="00176300"/>
    <w:rsid w:val="00176827"/>
    <w:rsid w:val="00176DFF"/>
    <w:rsid w:val="00177624"/>
    <w:rsid w:val="0018081D"/>
    <w:rsid w:val="00182F6C"/>
    <w:rsid w:val="001858D3"/>
    <w:rsid w:val="00186268"/>
    <w:rsid w:val="00186D09"/>
    <w:rsid w:val="00192277"/>
    <w:rsid w:val="00192327"/>
    <w:rsid w:val="00193447"/>
    <w:rsid w:val="00195CA1"/>
    <w:rsid w:val="00195DA7"/>
    <w:rsid w:val="00196971"/>
    <w:rsid w:val="001969F6"/>
    <w:rsid w:val="001A0D25"/>
    <w:rsid w:val="001A1526"/>
    <w:rsid w:val="001A42B7"/>
    <w:rsid w:val="001A7F58"/>
    <w:rsid w:val="001B0762"/>
    <w:rsid w:val="001B0E73"/>
    <w:rsid w:val="001B1E2D"/>
    <w:rsid w:val="001B1F54"/>
    <w:rsid w:val="001B32F6"/>
    <w:rsid w:val="001C0FE1"/>
    <w:rsid w:val="001C27F4"/>
    <w:rsid w:val="001C3370"/>
    <w:rsid w:val="001C3CF4"/>
    <w:rsid w:val="001C4F61"/>
    <w:rsid w:val="001C6A50"/>
    <w:rsid w:val="001C7AD5"/>
    <w:rsid w:val="001D0555"/>
    <w:rsid w:val="001D061B"/>
    <w:rsid w:val="001D2FE7"/>
    <w:rsid w:val="001D4BD3"/>
    <w:rsid w:val="001D7194"/>
    <w:rsid w:val="001D7EAA"/>
    <w:rsid w:val="001E4B4A"/>
    <w:rsid w:val="001E5A15"/>
    <w:rsid w:val="001E5E19"/>
    <w:rsid w:val="001F02BA"/>
    <w:rsid w:val="001F1639"/>
    <w:rsid w:val="001F2AEB"/>
    <w:rsid w:val="001F65AF"/>
    <w:rsid w:val="001F6F3E"/>
    <w:rsid w:val="001F7CF1"/>
    <w:rsid w:val="00200A52"/>
    <w:rsid w:val="00201582"/>
    <w:rsid w:val="002030C5"/>
    <w:rsid w:val="00203368"/>
    <w:rsid w:val="00203A24"/>
    <w:rsid w:val="00204E39"/>
    <w:rsid w:val="00205968"/>
    <w:rsid w:val="00206878"/>
    <w:rsid w:val="0020711E"/>
    <w:rsid w:val="0020726A"/>
    <w:rsid w:val="002107D3"/>
    <w:rsid w:val="00211AD5"/>
    <w:rsid w:val="00211F9E"/>
    <w:rsid w:val="0021280D"/>
    <w:rsid w:val="0021386F"/>
    <w:rsid w:val="00214B14"/>
    <w:rsid w:val="00215F0E"/>
    <w:rsid w:val="002201B3"/>
    <w:rsid w:val="00220C91"/>
    <w:rsid w:val="00221E61"/>
    <w:rsid w:val="0022352A"/>
    <w:rsid w:val="00226DF5"/>
    <w:rsid w:val="002310C7"/>
    <w:rsid w:val="00232345"/>
    <w:rsid w:val="00235D24"/>
    <w:rsid w:val="00235FB3"/>
    <w:rsid w:val="00236715"/>
    <w:rsid w:val="0023768A"/>
    <w:rsid w:val="00242E4D"/>
    <w:rsid w:val="0024494B"/>
    <w:rsid w:val="00245E44"/>
    <w:rsid w:val="00250EF8"/>
    <w:rsid w:val="0025155D"/>
    <w:rsid w:val="002517B1"/>
    <w:rsid w:val="00251929"/>
    <w:rsid w:val="00252405"/>
    <w:rsid w:val="00255ADD"/>
    <w:rsid w:val="002600AF"/>
    <w:rsid w:val="00262151"/>
    <w:rsid w:val="00262D3C"/>
    <w:rsid w:val="0026499B"/>
    <w:rsid w:val="00265048"/>
    <w:rsid w:val="002665D7"/>
    <w:rsid w:val="00267E33"/>
    <w:rsid w:val="00271A78"/>
    <w:rsid w:val="00271A9F"/>
    <w:rsid w:val="00271C0A"/>
    <w:rsid w:val="0027342F"/>
    <w:rsid w:val="00274B48"/>
    <w:rsid w:val="002758AD"/>
    <w:rsid w:val="002808B6"/>
    <w:rsid w:val="002817DF"/>
    <w:rsid w:val="00281F1F"/>
    <w:rsid w:val="00286A49"/>
    <w:rsid w:val="00286A54"/>
    <w:rsid w:val="00286D1A"/>
    <w:rsid w:val="002878AF"/>
    <w:rsid w:val="00292A54"/>
    <w:rsid w:val="00294A07"/>
    <w:rsid w:val="00297393"/>
    <w:rsid w:val="00297B6E"/>
    <w:rsid w:val="002A14BE"/>
    <w:rsid w:val="002A36FF"/>
    <w:rsid w:val="002A412A"/>
    <w:rsid w:val="002B6420"/>
    <w:rsid w:val="002B6687"/>
    <w:rsid w:val="002B7A4A"/>
    <w:rsid w:val="002C033F"/>
    <w:rsid w:val="002C2552"/>
    <w:rsid w:val="002C34C8"/>
    <w:rsid w:val="002C4A40"/>
    <w:rsid w:val="002C5491"/>
    <w:rsid w:val="002C5E4A"/>
    <w:rsid w:val="002C5F61"/>
    <w:rsid w:val="002D1D14"/>
    <w:rsid w:val="002D2164"/>
    <w:rsid w:val="002D2E9B"/>
    <w:rsid w:val="002D5440"/>
    <w:rsid w:val="002D6AD9"/>
    <w:rsid w:val="002E04C0"/>
    <w:rsid w:val="002E1263"/>
    <w:rsid w:val="002E316E"/>
    <w:rsid w:val="002E47CD"/>
    <w:rsid w:val="002E554D"/>
    <w:rsid w:val="002E69C2"/>
    <w:rsid w:val="002E74CB"/>
    <w:rsid w:val="002F21F2"/>
    <w:rsid w:val="002F22D2"/>
    <w:rsid w:val="002F279F"/>
    <w:rsid w:val="002F2CEC"/>
    <w:rsid w:val="002F6797"/>
    <w:rsid w:val="00301A07"/>
    <w:rsid w:val="00302F39"/>
    <w:rsid w:val="0030390F"/>
    <w:rsid w:val="00303BD2"/>
    <w:rsid w:val="003046AC"/>
    <w:rsid w:val="00304960"/>
    <w:rsid w:val="003052EC"/>
    <w:rsid w:val="0030567D"/>
    <w:rsid w:val="00306C7B"/>
    <w:rsid w:val="00307060"/>
    <w:rsid w:val="00307413"/>
    <w:rsid w:val="0031066F"/>
    <w:rsid w:val="00311AE0"/>
    <w:rsid w:val="003123A3"/>
    <w:rsid w:val="00316D5C"/>
    <w:rsid w:val="00316D7D"/>
    <w:rsid w:val="00317BF3"/>
    <w:rsid w:val="00320104"/>
    <w:rsid w:val="00320CE7"/>
    <w:rsid w:val="00321E02"/>
    <w:rsid w:val="0032263F"/>
    <w:rsid w:val="00322832"/>
    <w:rsid w:val="0032514C"/>
    <w:rsid w:val="0033014F"/>
    <w:rsid w:val="00330A9B"/>
    <w:rsid w:val="003318BE"/>
    <w:rsid w:val="00333D89"/>
    <w:rsid w:val="00335A4A"/>
    <w:rsid w:val="0033697C"/>
    <w:rsid w:val="00340DCC"/>
    <w:rsid w:val="00341B53"/>
    <w:rsid w:val="003442B2"/>
    <w:rsid w:val="003474B3"/>
    <w:rsid w:val="00351EA3"/>
    <w:rsid w:val="003532BA"/>
    <w:rsid w:val="003543CF"/>
    <w:rsid w:val="0035490A"/>
    <w:rsid w:val="003577D7"/>
    <w:rsid w:val="0035789C"/>
    <w:rsid w:val="00357F17"/>
    <w:rsid w:val="003601D8"/>
    <w:rsid w:val="00360CC4"/>
    <w:rsid w:val="00361A22"/>
    <w:rsid w:val="003634DC"/>
    <w:rsid w:val="00364D04"/>
    <w:rsid w:val="00364E24"/>
    <w:rsid w:val="00366BBD"/>
    <w:rsid w:val="0037057F"/>
    <w:rsid w:val="00372742"/>
    <w:rsid w:val="00372918"/>
    <w:rsid w:val="00372AE7"/>
    <w:rsid w:val="00375BB3"/>
    <w:rsid w:val="0037627A"/>
    <w:rsid w:val="0038042F"/>
    <w:rsid w:val="00380EB8"/>
    <w:rsid w:val="00381F28"/>
    <w:rsid w:val="00382093"/>
    <w:rsid w:val="00382E9A"/>
    <w:rsid w:val="00383F6E"/>
    <w:rsid w:val="00384EC9"/>
    <w:rsid w:val="00385389"/>
    <w:rsid w:val="003857AB"/>
    <w:rsid w:val="003901E4"/>
    <w:rsid w:val="00396BF3"/>
    <w:rsid w:val="003A261F"/>
    <w:rsid w:val="003A2CCB"/>
    <w:rsid w:val="003A3F6B"/>
    <w:rsid w:val="003A430B"/>
    <w:rsid w:val="003A45DF"/>
    <w:rsid w:val="003A7344"/>
    <w:rsid w:val="003A7352"/>
    <w:rsid w:val="003B04F1"/>
    <w:rsid w:val="003B1B37"/>
    <w:rsid w:val="003B2CD4"/>
    <w:rsid w:val="003B352A"/>
    <w:rsid w:val="003B40AA"/>
    <w:rsid w:val="003B4A3D"/>
    <w:rsid w:val="003B64B4"/>
    <w:rsid w:val="003B76F2"/>
    <w:rsid w:val="003C18CD"/>
    <w:rsid w:val="003C1CA2"/>
    <w:rsid w:val="003C3A7F"/>
    <w:rsid w:val="003C484E"/>
    <w:rsid w:val="003C5400"/>
    <w:rsid w:val="003C5B82"/>
    <w:rsid w:val="003C60DD"/>
    <w:rsid w:val="003C6A4A"/>
    <w:rsid w:val="003C6EC5"/>
    <w:rsid w:val="003D0041"/>
    <w:rsid w:val="003D16B4"/>
    <w:rsid w:val="003D28BD"/>
    <w:rsid w:val="003D2B4C"/>
    <w:rsid w:val="003D38BB"/>
    <w:rsid w:val="003D45AC"/>
    <w:rsid w:val="003D46A7"/>
    <w:rsid w:val="003E1069"/>
    <w:rsid w:val="003E39F8"/>
    <w:rsid w:val="003E3F39"/>
    <w:rsid w:val="003E4C61"/>
    <w:rsid w:val="003E4F2A"/>
    <w:rsid w:val="003F021E"/>
    <w:rsid w:val="003F160C"/>
    <w:rsid w:val="003F2BBC"/>
    <w:rsid w:val="003F4F53"/>
    <w:rsid w:val="003F6B94"/>
    <w:rsid w:val="004009EB"/>
    <w:rsid w:val="004015C5"/>
    <w:rsid w:val="004017B3"/>
    <w:rsid w:val="00401825"/>
    <w:rsid w:val="00401DAC"/>
    <w:rsid w:val="00406F34"/>
    <w:rsid w:val="00406FE8"/>
    <w:rsid w:val="00414D92"/>
    <w:rsid w:val="00414E89"/>
    <w:rsid w:val="0041599D"/>
    <w:rsid w:val="00416852"/>
    <w:rsid w:val="00416873"/>
    <w:rsid w:val="00421676"/>
    <w:rsid w:val="0042226C"/>
    <w:rsid w:val="00422DA0"/>
    <w:rsid w:val="00422EB8"/>
    <w:rsid w:val="004234AA"/>
    <w:rsid w:val="00424EA9"/>
    <w:rsid w:val="004261DA"/>
    <w:rsid w:val="00430E51"/>
    <w:rsid w:val="0043195F"/>
    <w:rsid w:val="00431FF1"/>
    <w:rsid w:val="00433953"/>
    <w:rsid w:val="00434B91"/>
    <w:rsid w:val="0043620D"/>
    <w:rsid w:val="00436337"/>
    <w:rsid w:val="00436C48"/>
    <w:rsid w:val="00436EDF"/>
    <w:rsid w:val="00440B28"/>
    <w:rsid w:val="004426FA"/>
    <w:rsid w:val="0044446D"/>
    <w:rsid w:val="004503B6"/>
    <w:rsid w:val="004555FC"/>
    <w:rsid w:val="00455BB9"/>
    <w:rsid w:val="00456A37"/>
    <w:rsid w:val="004573CF"/>
    <w:rsid w:val="00457AE2"/>
    <w:rsid w:val="00457DE6"/>
    <w:rsid w:val="004601C6"/>
    <w:rsid w:val="00460B82"/>
    <w:rsid w:val="00461E45"/>
    <w:rsid w:val="00463326"/>
    <w:rsid w:val="00465FDB"/>
    <w:rsid w:val="00466461"/>
    <w:rsid w:val="004700CB"/>
    <w:rsid w:val="00470BF4"/>
    <w:rsid w:val="00472B12"/>
    <w:rsid w:val="004752EB"/>
    <w:rsid w:val="00475BC4"/>
    <w:rsid w:val="004761FA"/>
    <w:rsid w:val="0047662D"/>
    <w:rsid w:val="00476DA3"/>
    <w:rsid w:val="00480E45"/>
    <w:rsid w:val="00481198"/>
    <w:rsid w:val="00482E47"/>
    <w:rsid w:val="00483196"/>
    <w:rsid w:val="0048346E"/>
    <w:rsid w:val="004846F7"/>
    <w:rsid w:val="00484D71"/>
    <w:rsid w:val="00484E80"/>
    <w:rsid w:val="004869A4"/>
    <w:rsid w:val="00487A3B"/>
    <w:rsid w:val="00494617"/>
    <w:rsid w:val="0049738C"/>
    <w:rsid w:val="004A1292"/>
    <w:rsid w:val="004A137A"/>
    <w:rsid w:val="004A1568"/>
    <w:rsid w:val="004A2170"/>
    <w:rsid w:val="004A295B"/>
    <w:rsid w:val="004A34E6"/>
    <w:rsid w:val="004A5633"/>
    <w:rsid w:val="004A5B5C"/>
    <w:rsid w:val="004A7000"/>
    <w:rsid w:val="004A77A1"/>
    <w:rsid w:val="004B08FA"/>
    <w:rsid w:val="004B10F2"/>
    <w:rsid w:val="004B1225"/>
    <w:rsid w:val="004B254F"/>
    <w:rsid w:val="004B2B1E"/>
    <w:rsid w:val="004B38CC"/>
    <w:rsid w:val="004B40C6"/>
    <w:rsid w:val="004B6844"/>
    <w:rsid w:val="004B7BF8"/>
    <w:rsid w:val="004C02B3"/>
    <w:rsid w:val="004C11F2"/>
    <w:rsid w:val="004C11F5"/>
    <w:rsid w:val="004C14DD"/>
    <w:rsid w:val="004C1CEE"/>
    <w:rsid w:val="004C2B8B"/>
    <w:rsid w:val="004C347A"/>
    <w:rsid w:val="004C4870"/>
    <w:rsid w:val="004C4B76"/>
    <w:rsid w:val="004C75D4"/>
    <w:rsid w:val="004D180F"/>
    <w:rsid w:val="004D4BEC"/>
    <w:rsid w:val="004D4F63"/>
    <w:rsid w:val="004D5883"/>
    <w:rsid w:val="004E2914"/>
    <w:rsid w:val="004E3909"/>
    <w:rsid w:val="004E4911"/>
    <w:rsid w:val="004E6B60"/>
    <w:rsid w:val="00500D9B"/>
    <w:rsid w:val="005029D8"/>
    <w:rsid w:val="00505940"/>
    <w:rsid w:val="00510663"/>
    <w:rsid w:val="00511F27"/>
    <w:rsid w:val="0051226F"/>
    <w:rsid w:val="00521B0F"/>
    <w:rsid w:val="00521B78"/>
    <w:rsid w:val="0052443C"/>
    <w:rsid w:val="005260DB"/>
    <w:rsid w:val="005270AD"/>
    <w:rsid w:val="00530B36"/>
    <w:rsid w:val="005319FE"/>
    <w:rsid w:val="005320BF"/>
    <w:rsid w:val="005323DB"/>
    <w:rsid w:val="005333BD"/>
    <w:rsid w:val="0053375F"/>
    <w:rsid w:val="00535E36"/>
    <w:rsid w:val="005363A3"/>
    <w:rsid w:val="00537927"/>
    <w:rsid w:val="0054298D"/>
    <w:rsid w:val="00543211"/>
    <w:rsid w:val="00545F28"/>
    <w:rsid w:val="00550391"/>
    <w:rsid w:val="00550A4C"/>
    <w:rsid w:val="00552E46"/>
    <w:rsid w:val="005550CF"/>
    <w:rsid w:val="00557557"/>
    <w:rsid w:val="00562E67"/>
    <w:rsid w:val="00565D81"/>
    <w:rsid w:val="00570B0B"/>
    <w:rsid w:val="00571DF7"/>
    <w:rsid w:val="00572F86"/>
    <w:rsid w:val="005742B3"/>
    <w:rsid w:val="005748DA"/>
    <w:rsid w:val="0057563F"/>
    <w:rsid w:val="00580D2B"/>
    <w:rsid w:val="00581AFB"/>
    <w:rsid w:val="00582785"/>
    <w:rsid w:val="005830B6"/>
    <w:rsid w:val="00583611"/>
    <w:rsid w:val="00583D8D"/>
    <w:rsid w:val="00583E82"/>
    <w:rsid w:val="005866F3"/>
    <w:rsid w:val="00587A02"/>
    <w:rsid w:val="00587D6C"/>
    <w:rsid w:val="00590EA0"/>
    <w:rsid w:val="00591A4A"/>
    <w:rsid w:val="00592075"/>
    <w:rsid w:val="0059228A"/>
    <w:rsid w:val="00592F6C"/>
    <w:rsid w:val="005940D4"/>
    <w:rsid w:val="0059558A"/>
    <w:rsid w:val="00595709"/>
    <w:rsid w:val="00595D7D"/>
    <w:rsid w:val="005970F2"/>
    <w:rsid w:val="00597FD2"/>
    <w:rsid w:val="005A11E6"/>
    <w:rsid w:val="005A1677"/>
    <w:rsid w:val="005A20E3"/>
    <w:rsid w:val="005A2510"/>
    <w:rsid w:val="005A285A"/>
    <w:rsid w:val="005A3DFC"/>
    <w:rsid w:val="005A427F"/>
    <w:rsid w:val="005A44A2"/>
    <w:rsid w:val="005A540B"/>
    <w:rsid w:val="005A689C"/>
    <w:rsid w:val="005A7C50"/>
    <w:rsid w:val="005B1504"/>
    <w:rsid w:val="005B1587"/>
    <w:rsid w:val="005B1760"/>
    <w:rsid w:val="005B22B8"/>
    <w:rsid w:val="005B23EC"/>
    <w:rsid w:val="005B338A"/>
    <w:rsid w:val="005B4F7B"/>
    <w:rsid w:val="005B647B"/>
    <w:rsid w:val="005B73F9"/>
    <w:rsid w:val="005B7F9D"/>
    <w:rsid w:val="005C16B6"/>
    <w:rsid w:val="005C220E"/>
    <w:rsid w:val="005C24E6"/>
    <w:rsid w:val="005C41B5"/>
    <w:rsid w:val="005C4B28"/>
    <w:rsid w:val="005C7055"/>
    <w:rsid w:val="005D2127"/>
    <w:rsid w:val="005D3D3A"/>
    <w:rsid w:val="005D45FE"/>
    <w:rsid w:val="005D4978"/>
    <w:rsid w:val="005D504C"/>
    <w:rsid w:val="005D6535"/>
    <w:rsid w:val="005D67BA"/>
    <w:rsid w:val="005D6E31"/>
    <w:rsid w:val="005D7210"/>
    <w:rsid w:val="005D79B1"/>
    <w:rsid w:val="005E134F"/>
    <w:rsid w:val="005E2B47"/>
    <w:rsid w:val="005E374C"/>
    <w:rsid w:val="005E3938"/>
    <w:rsid w:val="005E3FF3"/>
    <w:rsid w:val="005E54AD"/>
    <w:rsid w:val="005E5BFB"/>
    <w:rsid w:val="005E5C59"/>
    <w:rsid w:val="005E7BA3"/>
    <w:rsid w:val="005E7FDA"/>
    <w:rsid w:val="005F0530"/>
    <w:rsid w:val="005F2169"/>
    <w:rsid w:val="005F233C"/>
    <w:rsid w:val="005F29EE"/>
    <w:rsid w:val="005F2BB5"/>
    <w:rsid w:val="005F3558"/>
    <w:rsid w:val="005F5FD0"/>
    <w:rsid w:val="005F7153"/>
    <w:rsid w:val="00601B04"/>
    <w:rsid w:val="0060281F"/>
    <w:rsid w:val="00602ADD"/>
    <w:rsid w:val="00603F59"/>
    <w:rsid w:val="006068EB"/>
    <w:rsid w:val="00607392"/>
    <w:rsid w:val="006119D1"/>
    <w:rsid w:val="00612118"/>
    <w:rsid w:val="0061353E"/>
    <w:rsid w:val="00614254"/>
    <w:rsid w:val="00616C2E"/>
    <w:rsid w:val="00617B13"/>
    <w:rsid w:val="00620BA5"/>
    <w:rsid w:val="00621DEC"/>
    <w:rsid w:val="0062665F"/>
    <w:rsid w:val="00627AA6"/>
    <w:rsid w:val="00630878"/>
    <w:rsid w:val="0063097F"/>
    <w:rsid w:val="00631ECD"/>
    <w:rsid w:val="00631FC9"/>
    <w:rsid w:val="00635ADF"/>
    <w:rsid w:val="00636326"/>
    <w:rsid w:val="006363BA"/>
    <w:rsid w:val="00640ECB"/>
    <w:rsid w:val="00641028"/>
    <w:rsid w:val="00642861"/>
    <w:rsid w:val="00642D9C"/>
    <w:rsid w:val="00645E0C"/>
    <w:rsid w:val="00646BC2"/>
    <w:rsid w:val="00646C60"/>
    <w:rsid w:val="006477B0"/>
    <w:rsid w:val="00650207"/>
    <w:rsid w:val="006518FD"/>
    <w:rsid w:val="00651D71"/>
    <w:rsid w:val="00652501"/>
    <w:rsid w:val="00652FEC"/>
    <w:rsid w:val="00654111"/>
    <w:rsid w:val="00654BFD"/>
    <w:rsid w:val="00654FB4"/>
    <w:rsid w:val="00655459"/>
    <w:rsid w:val="00656041"/>
    <w:rsid w:val="00656476"/>
    <w:rsid w:val="00656E28"/>
    <w:rsid w:val="0065707B"/>
    <w:rsid w:val="00657757"/>
    <w:rsid w:val="00657901"/>
    <w:rsid w:val="00660307"/>
    <w:rsid w:val="00660790"/>
    <w:rsid w:val="006611DA"/>
    <w:rsid w:val="006652D8"/>
    <w:rsid w:val="0066565D"/>
    <w:rsid w:val="0066635A"/>
    <w:rsid w:val="0066694C"/>
    <w:rsid w:val="006707B0"/>
    <w:rsid w:val="0067184B"/>
    <w:rsid w:val="00671D1F"/>
    <w:rsid w:val="00671F0F"/>
    <w:rsid w:val="00675E05"/>
    <w:rsid w:val="00680DEE"/>
    <w:rsid w:val="00683461"/>
    <w:rsid w:val="006852FA"/>
    <w:rsid w:val="00687A3C"/>
    <w:rsid w:val="00690E63"/>
    <w:rsid w:val="00691D30"/>
    <w:rsid w:val="006929F1"/>
    <w:rsid w:val="00693088"/>
    <w:rsid w:val="006947D0"/>
    <w:rsid w:val="006969B7"/>
    <w:rsid w:val="006A05FE"/>
    <w:rsid w:val="006A2FEB"/>
    <w:rsid w:val="006A5850"/>
    <w:rsid w:val="006A5FFE"/>
    <w:rsid w:val="006A680D"/>
    <w:rsid w:val="006A75E4"/>
    <w:rsid w:val="006B263A"/>
    <w:rsid w:val="006B5E48"/>
    <w:rsid w:val="006B619D"/>
    <w:rsid w:val="006B6582"/>
    <w:rsid w:val="006B700E"/>
    <w:rsid w:val="006C105D"/>
    <w:rsid w:val="006C1162"/>
    <w:rsid w:val="006C1BA0"/>
    <w:rsid w:val="006C3D2E"/>
    <w:rsid w:val="006C5768"/>
    <w:rsid w:val="006D09E1"/>
    <w:rsid w:val="006D110D"/>
    <w:rsid w:val="006D16D6"/>
    <w:rsid w:val="006D198D"/>
    <w:rsid w:val="006D1A68"/>
    <w:rsid w:val="006D20A3"/>
    <w:rsid w:val="006D2337"/>
    <w:rsid w:val="006D2596"/>
    <w:rsid w:val="006D2FBA"/>
    <w:rsid w:val="006D33E9"/>
    <w:rsid w:val="006D38E5"/>
    <w:rsid w:val="006D3FE5"/>
    <w:rsid w:val="006D4709"/>
    <w:rsid w:val="006D4BAC"/>
    <w:rsid w:val="006D6247"/>
    <w:rsid w:val="006F0A50"/>
    <w:rsid w:val="006F2745"/>
    <w:rsid w:val="006F354B"/>
    <w:rsid w:val="006F477D"/>
    <w:rsid w:val="006F4F74"/>
    <w:rsid w:val="006F60E7"/>
    <w:rsid w:val="006F7030"/>
    <w:rsid w:val="006F7ACE"/>
    <w:rsid w:val="00703838"/>
    <w:rsid w:val="00704FA4"/>
    <w:rsid w:val="0070524F"/>
    <w:rsid w:val="00706A51"/>
    <w:rsid w:val="00713614"/>
    <w:rsid w:val="00714084"/>
    <w:rsid w:val="00714EE8"/>
    <w:rsid w:val="00723BF8"/>
    <w:rsid w:val="00723FF0"/>
    <w:rsid w:val="00725016"/>
    <w:rsid w:val="00725549"/>
    <w:rsid w:val="007271EB"/>
    <w:rsid w:val="00727F52"/>
    <w:rsid w:val="00730009"/>
    <w:rsid w:val="00731A54"/>
    <w:rsid w:val="007324B1"/>
    <w:rsid w:val="007333B0"/>
    <w:rsid w:val="007344DC"/>
    <w:rsid w:val="00735C0E"/>
    <w:rsid w:val="00736EDF"/>
    <w:rsid w:val="007370BC"/>
    <w:rsid w:val="0074093D"/>
    <w:rsid w:val="007413ED"/>
    <w:rsid w:val="00742CF1"/>
    <w:rsid w:val="007438EE"/>
    <w:rsid w:val="0074470E"/>
    <w:rsid w:val="00744AFB"/>
    <w:rsid w:val="007465CA"/>
    <w:rsid w:val="00746BEF"/>
    <w:rsid w:val="0074763F"/>
    <w:rsid w:val="00747693"/>
    <w:rsid w:val="00747C4A"/>
    <w:rsid w:val="00751347"/>
    <w:rsid w:val="00752491"/>
    <w:rsid w:val="007529B6"/>
    <w:rsid w:val="00753FFA"/>
    <w:rsid w:val="0075657A"/>
    <w:rsid w:val="007570F9"/>
    <w:rsid w:val="00757D56"/>
    <w:rsid w:val="00762274"/>
    <w:rsid w:val="007640B5"/>
    <w:rsid w:val="00766D39"/>
    <w:rsid w:val="00772770"/>
    <w:rsid w:val="007740D4"/>
    <w:rsid w:val="00776593"/>
    <w:rsid w:val="007772F0"/>
    <w:rsid w:val="007802B0"/>
    <w:rsid w:val="007803B9"/>
    <w:rsid w:val="00782DE6"/>
    <w:rsid w:val="0079094D"/>
    <w:rsid w:val="00791B78"/>
    <w:rsid w:val="007930E3"/>
    <w:rsid w:val="0079344E"/>
    <w:rsid w:val="007934F6"/>
    <w:rsid w:val="007940E4"/>
    <w:rsid w:val="00796EE5"/>
    <w:rsid w:val="00797469"/>
    <w:rsid w:val="007A08AD"/>
    <w:rsid w:val="007A2FCF"/>
    <w:rsid w:val="007A52EF"/>
    <w:rsid w:val="007A5987"/>
    <w:rsid w:val="007A782A"/>
    <w:rsid w:val="007A7F1B"/>
    <w:rsid w:val="007B0347"/>
    <w:rsid w:val="007B2F9E"/>
    <w:rsid w:val="007B2FC1"/>
    <w:rsid w:val="007B4BC2"/>
    <w:rsid w:val="007B56F5"/>
    <w:rsid w:val="007B59AC"/>
    <w:rsid w:val="007B76A8"/>
    <w:rsid w:val="007C15C9"/>
    <w:rsid w:val="007C2102"/>
    <w:rsid w:val="007C2ECF"/>
    <w:rsid w:val="007C36FA"/>
    <w:rsid w:val="007C4035"/>
    <w:rsid w:val="007C4072"/>
    <w:rsid w:val="007C5D4D"/>
    <w:rsid w:val="007C69B3"/>
    <w:rsid w:val="007C7DCF"/>
    <w:rsid w:val="007D30F7"/>
    <w:rsid w:val="007D3C13"/>
    <w:rsid w:val="007D4F8E"/>
    <w:rsid w:val="007D56CA"/>
    <w:rsid w:val="007D5885"/>
    <w:rsid w:val="007D716C"/>
    <w:rsid w:val="007E1B29"/>
    <w:rsid w:val="007E264B"/>
    <w:rsid w:val="007E43B2"/>
    <w:rsid w:val="007E5F2B"/>
    <w:rsid w:val="007E656E"/>
    <w:rsid w:val="007F034E"/>
    <w:rsid w:val="007F2747"/>
    <w:rsid w:val="007F5462"/>
    <w:rsid w:val="007F68EC"/>
    <w:rsid w:val="007F73C1"/>
    <w:rsid w:val="007F7D62"/>
    <w:rsid w:val="00800111"/>
    <w:rsid w:val="008009CF"/>
    <w:rsid w:val="00800FEB"/>
    <w:rsid w:val="0080265C"/>
    <w:rsid w:val="00803CEF"/>
    <w:rsid w:val="00804601"/>
    <w:rsid w:val="00806562"/>
    <w:rsid w:val="008067DD"/>
    <w:rsid w:val="0080783A"/>
    <w:rsid w:val="00807C56"/>
    <w:rsid w:val="008102FE"/>
    <w:rsid w:val="0081125A"/>
    <w:rsid w:val="00812AA0"/>
    <w:rsid w:val="00812EAC"/>
    <w:rsid w:val="008130C2"/>
    <w:rsid w:val="008154E6"/>
    <w:rsid w:val="008163F1"/>
    <w:rsid w:val="008215A8"/>
    <w:rsid w:val="00822034"/>
    <w:rsid w:val="008224A3"/>
    <w:rsid w:val="00822BF9"/>
    <w:rsid w:val="00824EF3"/>
    <w:rsid w:val="00825F0E"/>
    <w:rsid w:val="00826C0B"/>
    <w:rsid w:val="00827240"/>
    <w:rsid w:val="00832A37"/>
    <w:rsid w:val="00832D7E"/>
    <w:rsid w:val="00833D4F"/>
    <w:rsid w:val="0083547B"/>
    <w:rsid w:val="008400B5"/>
    <w:rsid w:val="00840C79"/>
    <w:rsid w:val="00841B97"/>
    <w:rsid w:val="00842E18"/>
    <w:rsid w:val="008440C1"/>
    <w:rsid w:val="008447D0"/>
    <w:rsid w:val="008509C6"/>
    <w:rsid w:val="00851D7E"/>
    <w:rsid w:val="00852DD0"/>
    <w:rsid w:val="008540E6"/>
    <w:rsid w:val="0085685F"/>
    <w:rsid w:val="00856BA3"/>
    <w:rsid w:val="00857312"/>
    <w:rsid w:val="008575E5"/>
    <w:rsid w:val="00860716"/>
    <w:rsid w:val="00860A7E"/>
    <w:rsid w:val="00861AD0"/>
    <w:rsid w:val="00864991"/>
    <w:rsid w:val="00864B04"/>
    <w:rsid w:val="008653B2"/>
    <w:rsid w:val="00865453"/>
    <w:rsid w:val="00865BE2"/>
    <w:rsid w:val="008673B5"/>
    <w:rsid w:val="0086768D"/>
    <w:rsid w:val="00867D34"/>
    <w:rsid w:val="00870B24"/>
    <w:rsid w:val="008758DF"/>
    <w:rsid w:val="00883129"/>
    <w:rsid w:val="008864E5"/>
    <w:rsid w:val="00887B42"/>
    <w:rsid w:val="00890057"/>
    <w:rsid w:val="00894AA7"/>
    <w:rsid w:val="00896E89"/>
    <w:rsid w:val="008976BB"/>
    <w:rsid w:val="00897D61"/>
    <w:rsid w:val="008A0479"/>
    <w:rsid w:val="008A1D97"/>
    <w:rsid w:val="008A2652"/>
    <w:rsid w:val="008A2705"/>
    <w:rsid w:val="008A3785"/>
    <w:rsid w:val="008A3B79"/>
    <w:rsid w:val="008A4DCC"/>
    <w:rsid w:val="008A581C"/>
    <w:rsid w:val="008A594D"/>
    <w:rsid w:val="008A64D9"/>
    <w:rsid w:val="008A7A55"/>
    <w:rsid w:val="008B13F7"/>
    <w:rsid w:val="008B2D3C"/>
    <w:rsid w:val="008B2E81"/>
    <w:rsid w:val="008B5AB7"/>
    <w:rsid w:val="008B69E1"/>
    <w:rsid w:val="008B7B22"/>
    <w:rsid w:val="008C13CE"/>
    <w:rsid w:val="008C1408"/>
    <w:rsid w:val="008C3AFC"/>
    <w:rsid w:val="008C4190"/>
    <w:rsid w:val="008C434F"/>
    <w:rsid w:val="008D52AB"/>
    <w:rsid w:val="008E0B9E"/>
    <w:rsid w:val="008E0DF6"/>
    <w:rsid w:val="008E1304"/>
    <w:rsid w:val="008E1BC1"/>
    <w:rsid w:val="008E6104"/>
    <w:rsid w:val="008E7DCB"/>
    <w:rsid w:val="008F0848"/>
    <w:rsid w:val="008F0EE8"/>
    <w:rsid w:val="008F148A"/>
    <w:rsid w:val="008F2392"/>
    <w:rsid w:val="008F60EF"/>
    <w:rsid w:val="008F6C24"/>
    <w:rsid w:val="008F7A77"/>
    <w:rsid w:val="00900D30"/>
    <w:rsid w:val="00900D9D"/>
    <w:rsid w:val="00901AE6"/>
    <w:rsid w:val="00905DC3"/>
    <w:rsid w:val="00907D1D"/>
    <w:rsid w:val="00913521"/>
    <w:rsid w:val="00914A63"/>
    <w:rsid w:val="009153ED"/>
    <w:rsid w:val="0091595B"/>
    <w:rsid w:val="009200FD"/>
    <w:rsid w:val="00921CD6"/>
    <w:rsid w:val="00927C39"/>
    <w:rsid w:val="00930802"/>
    <w:rsid w:val="00931F69"/>
    <w:rsid w:val="009347FD"/>
    <w:rsid w:val="009348C3"/>
    <w:rsid w:val="00934DD3"/>
    <w:rsid w:val="00936765"/>
    <w:rsid w:val="00937D11"/>
    <w:rsid w:val="00937F66"/>
    <w:rsid w:val="009425F0"/>
    <w:rsid w:val="009448B3"/>
    <w:rsid w:val="009458DC"/>
    <w:rsid w:val="00945B94"/>
    <w:rsid w:val="0094645F"/>
    <w:rsid w:val="0094683B"/>
    <w:rsid w:val="009555CD"/>
    <w:rsid w:val="00960520"/>
    <w:rsid w:val="009628F7"/>
    <w:rsid w:val="0097001A"/>
    <w:rsid w:val="00973B3B"/>
    <w:rsid w:val="00974109"/>
    <w:rsid w:val="00975342"/>
    <w:rsid w:val="00977BBD"/>
    <w:rsid w:val="009800B6"/>
    <w:rsid w:val="00980437"/>
    <w:rsid w:val="009821F0"/>
    <w:rsid w:val="009838C3"/>
    <w:rsid w:val="009873CC"/>
    <w:rsid w:val="00990B32"/>
    <w:rsid w:val="00991DB0"/>
    <w:rsid w:val="00995293"/>
    <w:rsid w:val="00996965"/>
    <w:rsid w:val="00997196"/>
    <w:rsid w:val="009A5350"/>
    <w:rsid w:val="009B01EA"/>
    <w:rsid w:val="009B2B68"/>
    <w:rsid w:val="009B358A"/>
    <w:rsid w:val="009B5547"/>
    <w:rsid w:val="009B5D4D"/>
    <w:rsid w:val="009C1264"/>
    <w:rsid w:val="009C2132"/>
    <w:rsid w:val="009C3C5F"/>
    <w:rsid w:val="009C419F"/>
    <w:rsid w:val="009C44E0"/>
    <w:rsid w:val="009C5AF2"/>
    <w:rsid w:val="009C7914"/>
    <w:rsid w:val="009D0B94"/>
    <w:rsid w:val="009D218C"/>
    <w:rsid w:val="009D2B2C"/>
    <w:rsid w:val="009D4653"/>
    <w:rsid w:val="009D4702"/>
    <w:rsid w:val="009D47F3"/>
    <w:rsid w:val="009D4BA0"/>
    <w:rsid w:val="009D5189"/>
    <w:rsid w:val="009D5C0A"/>
    <w:rsid w:val="009D6530"/>
    <w:rsid w:val="009D7BD9"/>
    <w:rsid w:val="009E03D7"/>
    <w:rsid w:val="009E091E"/>
    <w:rsid w:val="009E1C33"/>
    <w:rsid w:val="009E2C2C"/>
    <w:rsid w:val="009E2C3D"/>
    <w:rsid w:val="009E4284"/>
    <w:rsid w:val="009E6899"/>
    <w:rsid w:val="009E74FA"/>
    <w:rsid w:val="009F0B6D"/>
    <w:rsid w:val="009F22E8"/>
    <w:rsid w:val="009F6418"/>
    <w:rsid w:val="009F6F62"/>
    <w:rsid w:val="009F6F7E"/>
    <w:rsid w:val="009F7683"/>
    <w:rsid w:val="00A00B88"/>
    <w:rsid w:val="00A0119A"/>
    <w:rsid w:val="00A01480"/>
    <w:rsid w:val="00A0536D"/>
    <w:rsid w:val="00A053E9"/>
    <w:rsid w:val="00A05474"/>
    <w:rsid w:val="00A05FB9"/>
    <w:rsid w:val="00A10020"/>
    <w:rsid w:val="00A10D24"/>
    <w:rsid w:val="00A11C27"/>
    <w:rsid w:val="00A125D3"/>
    <w:rsid w:val="00A13C36"/>
    <w:rsid w:val="00A142A9"/>
    <w:rsid w:val="00A142B8"/>
    <w:rsid w:val="00A15192"/>
    <w:rsid w:val="00A15EFA"/>
    <w:rsid w:val="00A1631D"/>
    <w:rsid w:val="00A16F2C"/>
    <w:rsid w:val="00A17DA3"/>
    <w:rsid w:val="00A208B0"/>
    <w:rsid w:val="00A26799"/>
    <w:rsid w:val="00A30179"/>
    <w:rsid w:val="00A31714"/>
    <w:rsid w:val="00A31770"/>
    <w:rsid w:val="00A33BD9"/>
    <w:rsid w:val="00A33C5B"/>
    <w:rsid w:val="00A33E64"/>
    <w:rsid w:val="00A34C73"/>
    <w:rsid w:val="00A350AF"/>
    <w:rsid w:val="00A351AD"/>
    <w:rsid w:val="00A35204"/>
    <w:rsid w:val="00A36E27"/>
    <w:rsid w:val="00A41FB3"/>
    <w:rsid w:val="00A43058"/>
    <w:rsid w:val="00A4331C"/>
    <w:rsid w:val="00A45474"/>
    <w:rsid w:val="00A45B86"/>
    <w:rsid w:val="00A5108E"/>
    <w:rsid w:val="00A51EE8"/>
    <w:rsid w:val="00A5250B"/>
    <w:rsid w:val="00A5463A"/>
    <w:rsid w:val="00A61C0E"/>
    <w:rsid w:val="00A61F5D"/>
    <w:rsid w:val="00A62350"/>
    <w:rsid w:val="00A63AF5"/>
    <w:rsid w:val="00A649D9"/>
    <w:rsid w:val="00A64F92"/>
    <w:rsid w:val="00A65C91"/>
    <w:rsid w:val="00A67FEA"/>
    <w:rsid w:val="00A70F56"/>
    <w:rsid w:val="00A71CA8"/>
    <w:rsid w:val="00A745CE"/>
    <w:rsid w:val="00A75083"/>
    <w:rsid w:val="00A75125"/>
    <w:rsid w:val="00A75D3C"/>
    <w:rsid w:val="00A77FCB"/>
    <w:rsid w:val="00A8033F"/>
    <w:rsid w:val="00A80347"/>
    <w:rsid w:val="00A80E07"/>
    <w:rsid w:val="00A81500"/>
    <w:rsid w:val="00A819C3"/>
    <w:rsid w:val="00A81FE0"/>
    <w:rsid w:val="00A82322"/>
    <w:rsid w:val="00A855EA"/>
    <w:rsid w:val="00A869AB"/>
    <w:rsid w:val="00A87AED"/>
    <w:rsid w:val="00A94599"/>
    <w:rsid w:val="00A949F8"/>
    <w:rsid w:val="00A97BC3"/>
    <w:rsid w:val="00AA2F66"/>
    <w:rsid w:val="00AA4928"/>
    <w:rsid w:val="00AB1330"/>
    <w:rsid w:val="00AB144E"/>
    <w:rsid w:val="00AB3FF1"/>
    <w:rsid w:val="00AB4D82"/>
    <w:rsid w:val="00AB5CE0"/>
    <w:rsid w:val="00AC48A5"/>
    <w:rsid w:val="00AC61E6"/>
    <w:rsid w:val="00AC7050"/>
    <w:rsid w:val="00AD084D"/>
    <w:rsid w:val="00AD1B2C"/>
    <w:rsid w:val="00AD23EB"/>
    <w:rsid w:val="00AD38AD"/>
    <w:rsid w:val="00AD3FD9"/>
    <w:rsid w:val="00AD5762"/>
    <w:rsid w:val="00AE15CE"/>
    <w:rsid w:val="00AE30B7"/>
    <w:rsid w:val="00AE3D88"/>
    <w:rsid w:val="00AE55A4"/>
    <w:rsid w:val="00AE5B41"/>
    <w:rsid w:val="00AE73CC"/>
    <w:rsid w:val="00AF2600"/>
    <w:rsid w:val="00AF2857"/>
    <w:rsid w:val="00AF3153"/>
    <w:rsid w:val="00AF4400"/>
    <w:rsid w:val="00AF49AE"/>
    <w:rsid w:val="00AF746B"/>
    <w:rsid w:val="00AF78FA"/>
    <w:rsid w:val="00B0265A"/>
    <w:rsid w:val="00B02BD3"/>
    <w:rsid w:val="00B04EA7"/>
    <w:rsid w:val="00B05A31"/>
    <w:rsid w:val="00B06CBF"/>
    <w:rsid w:val="00B10124"/>
    <w:rsid w:val="00B11D91"/>
    <w:rsid w:val="00B12F53"/>
    <w:rsid w:val="00B14AC1"/>
    <w:rsid w:val="00B15403"/>
    <w:rsid w:val="00B1662B"/>
    <w:rsid w:val="00B202B9"/>
    <w:rsid w:val="00B22B11"/>
    <w:rsid w:val="00B234C4"/>
    <w:rsid w:val="00B24861"/>
    <w:rsid w:val="00B3025C"/>
    <w:rsid w:val="00B306FF"/>
    <w:rsid w:val="00B3136C"/>
    <w:rsid w:val="00B322CC"/>
    <w:rsid w:val="00B32B57"/>
    <w:rsid w:val="00B33167"/>
    <w:rsid w:val="00B3378B"/>
    <w:rsid w:val="00B345AD"/>
    <w:rsid w:val="00B346CF"/>
    <w:rsid w:val="00B3686C"/>
    <w:rsid w:val="00B36C04"/>
    <w:rsid w:val="00B41E1E"/>
    <w:rsid w:val="00B425EE"/>
    <w:rsid w:val="00B4518D"/>
    <w:rsid w:val="00B45A5E"/>
    <w:rsid w:val="00B477EC"/>
    <w:rsid w:val="00B5064C"/>
    <w:rsid w:val="00B5161E"/>
    <w:rsid w:val="00B54D80"/>
    <w:rsid w:val="00B553C6"/>
    <w:rsid w:val="00B56009"/>
    <w:rsid w:val="00B6219C"/>
    <w:rsid w:val="00B633F1"/>
    <w:rsid w:val="00B646C6"/>
    <w:rsid w:val="00B64757"/>
    <w:rsid w:val="00B66D60"/>
    <w:rsid w:val="00B67196"/>
    <w:rsid w:val="00B70379"/>
    <w:rsid w:val="00B71254"/>
    <w:rsid w:val="00B73A56"/>
    <w:rsid w:val="00B73BD7"/>
    <w:rsid w:val="00B73CF7"/>
    <w:rsid w:val="00B80265"/>
    <w:rsid w:val="00B804C3"/>
    <w:rsid w:val="00B8057E"/>
    <w:rsid w:val="00B80E84"/>
    <w:rsid w:val="00B8141F"/>
    <w:rsid w:val="00B8484C"/>
    <w:rsid w:val="00B84EC5"/>
    <w:rsid w:val="00B878E9"/>
    <w:rsid w:val="00B91CEC"/>
    <w:rsid w:val="00B954DB"/>
    <w:rsid w:val="00B96B96"/>
    <w:rsid w:val="00BA057C"/>
    <w:rsid w:val="00BA167B"/>
    <w:rsid w:val="00BA2A5E"/>
    <w:rsid w:val="00BA3125"/>
    <w:rsid w:val="00BA519E"/>
    <w:rsid w:val="00BA61DF"/>
    <w:rsid w:val="00BA65D3"/>
    <w:rsid w:val="00BA6AB8"/>
    <w:rsid w:val="00BB2999"/>
    <w:rsid w:val="00BB54A2"/>
    <w:rsid w:val="00BB6507"/>
    <w:rsid w:val="00BB6B81"/>
    <w:rsid w:val="00BB6D8B"/>
    <w:rsid w:val="00BB6F70"/>
    <w:rsid w:val="00BC0891"/>
    <w:rsid w:val="00BC0925"/>
    <w:rsid w:val="00BC260B"/>
    <w:rsid w:val="00BC34A4"/>
    <w:rsid w:val="00BC74F1"/>
    <w:rsid w:val="00BD0F5F"/>
    <w:rsid w:val="00BD3483"/>
    <w:rsid w:val="00BD35DF"/>
    <w:rsid w:val="00BD3B6F"/>
    <w:rsid w:val="00BD400C"/>
    <w:rsid w:val="00BD44D7"/>
    <w:rsid w:val="00BD4772"/>
    <w:rsid w:val="00BE0EC9"/>
    <w:rsid w:val="00BE13B1"/>
    <w:rsid w:val="00BE5D5C"/>
    <w:rsid w:val="00BE791C"/>
    <w:rsid w:val="00BE7F85"/>
    <w:rsid w:val="00BF24D8"/>
    <w:rsid w:val="00BF3CB1"/>
    <w:rsid w:val="00BF483F"/>
    <w:rsid w:val="00BF4F7D"/>
    <w:rsid w:val="00BF5B79"/>
    <w:rsid w:val="00BF784A"/>
    <w:rsid w:val="00BF7D86"/>
    <w:rsid w:val="00C0000F"/>
    <w:rsid w:val="00C03F65"/>
    <w:rsid w:val="00C0489C"/>
    <w:rsid w:val="00C054E3"/>
    <w:rsid w:val="00C056DE"/>
    <w:rsid w:val="00C06BEF"/>
    <w:rsid w:val="00C10E02"/>
    <w:rsid w:val="00C10FC1"/>
    <w:rsid w:val="00C11E5E"/>
    <w:rsid w:val="00C14FD2"/>
    <w:rsid w:val="00C16624"/>
    <w:rsid w:val="00C16AB6"/>
    <w:rsid w:val="00C175BA"/>
    <w:rsid w:val="00C17D38"/>
    <w:rsid w:val="00C228BF"/>
    <w:rsid w:val="00C23349"/>
    <w:rsid w:val="00C3278D"/>
    <w:rsid w:val="00C32CC2"/>
    <w:rsid w:val="00C33079"/>
    <w:rsid w:val="00C34471"/>
    <w:rsid w:val="00C363D1"/>
    <w:rsid w:val="00C36422"/>
    <w:rsid w:val="00C37C8F"/>
    <w:rsid w:val="00C37E2E"/>
    <w:rsid w:val="00C411D8"/>
    <w:rsid w:val="00C41E21"/>
    <w:rsid w:val="00C423EB"/>
    <w:rsid w:val="00C42970"/>
    <w:rsid w:val="00C437E8"/>
    <w:rsid w:val="00C4422C"/>
    <w:rsid w:val="00C449B8"/>
    <w:rsid w:val="00C45092"/>
    <w:rsid w:val="00C47DC1"/>
    <w:rsid w:val="00C51DA1"/>
    <w:rsid w:val="00C5249A"/>
    <w:rsid w:val="00C5343B"/>
    <w:rsid w:val="00C53D2C"/>
    <w:rsid w:val="00C556BD"/>
    <w:rsid w:val="00C561F1"/>
    <w:rsid w:val="00C5697A"/>
    <w:rsid w:val="00C56E1E"/>
    <w:rsid w:val="00C60316"/>
    <w:rsid w:val="00C60DFC"/>
    <w:rsid w:val="00C63C1F"/>
    <w:rsid w:val="00C648A1"/>
    <w:rsid w:val="00C65827"/>
    <w:rsid w:val="00C71DE0"/>
    <w:rsid w:val="00C727EF"/>
    <w:rsid w:val="00C75507"/>
    <w:rsid w:val="00C75FD6"/>
    <w:rsid w:val="00C77FAD"/>
    <w:rsid w:val="00C81142"/>
    <w:rsid w:val="00C819D0"/>
    <w:rsid w:val="00C84307"/>
    <w:rsid w:val="00C84D4A"/>
    <w:rsid w:val="00C8683A"/>
    <w:rsid w:val="00C93187"/>
    <w:rsid w:val="00C931FA"/>
    <w:rsid w:val="00C935D3"/>
    <w:rsid w:val="00C95396"/>
    <w:rsid w:val="00C96315"/>
    <w:rsid w:val="00CA0C33"/>
    <w:rsid w:val="00CA14A5"/>
    <w:rsid w:val="00CA167D"/>
    <w:rsid w:val="00CA2952"/>
    <w:rsid w:val="00CA3614"/>
    <w:rsid w:val="00CA3A31"/>
    <w:rsid w:val="00CA46BD"/>
    <w:rsid w:val="00CA69CA"/>
    <w:rsid w:val="00CB1371"/>
    <w:rsid w:val="00CB1AFF"/>
    <w:rsid w:val="00CB30D2"/>
    <w:rsid w:val="00CB50B7"/>
    <w:rsid w:val="00CB7BAD"/>
    <w:rsid w:val="00CB7F65"/>
    <w:rsid w:val="00CC16BB"/>
    <w:rsid w:val="00CC1C51"/>
    <w:rsid w:val="00CC27A1"/>
    <w:rsid w:val="00CC2F3C"/>
    <w:rsid w:val="00CC32DE"/>
    <w:rsid w:val="00CC474C"/>
    <w:rsid w:val="00CD09D0"/>
    <w:rsid w:val="00CD1CB8"/>
    <w:rsid w:val="00CD443D"/>
    <w:rsid w:val="00CD5895"/>
    <w:rsid w:val="00CD6212"/>
    <w:rsid w:val="00CD6D48"/>
    <w:rsid w:val="00CE1E75"/>
    <w:rsid w:val="00CE3D90"/>
    <w:rsid w:val="00CE4EC5"/>
    <w:rsid w:val="00CE51AE"/>
    <w:rsid w:val="00CE5BCB"/>
    <w:rsid w:val="00CE61CB"/>
    <w:rsid w:val="00CE6C29"/>
    <w:rsid w:val="00CE6CAA"/>
    <w:rsid w:val="00CF09F7"/>
    <w:rsid w:val="00CF0A4A"/>
    <w:rsid w:val="00CF5720"/>
    <w:rsid w:val="00CF5C6F"/>
    <w:rsid w:val="00CF703E"/>
    <w:rsid w:val="00CF7C19"/>
    <w:rsid w:val="00D00906"/>
    <w:rsid w:val="00D027A5"/>
    <w:rsid w:val="00D02E15"/>
    <w:rsid w:val="00D02F67"/>
    <w:rsid w:val="00D031D0"/>
    <w:rsid w:val="00D04975"/>
    <w:rsid w:val="00D06443"/>
    <w:rsid w:val="00D13CAC"/>
    <w:rsid w:val="00D146E1"/>
    <w:rsid w:val="00D14AE2"/>
    <w:rsid w:val="00D15FB0"/>
    <w:rsid w:val="00D20512"/>
    <w:rsid w:val="00D2285A"/>
    <w:rsid w:val="00D2430D"/>
    <w:rsid w:val="00D24C8B"/>
    <w:rsid w:val="00D24E16"/>
    <w:rsid w:val="00D26FE3"/>
    <w:rsid w:val="00D34B63"/>
    <w:rsid w:val="00D37E7B"/>
    <w:rsid w:val="00D40B91"/>
    <w:rsid w:val="00D43139"/>
    <w:rsid w:val="00D445DC"/>
    <w:rsid w:val="00D44F59"/>
    <w:rsid w:val="00D44F62"/>
    <w:rsid w:val="00D457E7"/>
    <w:rsid w:val="00D522EB"/>
    <w:rsid w:val="00D551A2"/>
    <w:rsid w:val="00D571C1"/>
    <w:rsid w:val="00D57227"/>
    <w:rsid w:val="00D576D9"/>
    <w:rsid w:val="00D63067"/>
    <w:rsid w:val="00D631D6"/>
    <w:rsid w:val="00D636AB"/>
    <w:rsid w:val="00D6396C"/>
    <w:rsid w:val="00D6446C"/>
    <w:rsid w:val="00D65500"/>
    <w:rsid w:val="00D6565F"/>
    <w:rsid w:val="00D66A92"/>
    <w:rsid w:val="00D70310"/>
    <w:rsid w:val="00D70AC5"/>
    <w:rsid w:val="00D71311"/>
    <w:rsid w:val="00D73D9F"/>
    <w:rsid w:val="00D74058"/>
    <w:rsid w:val="00D74320"/>
    <w:rsid w:val="00D749A8"/>
    <w:rsid w:val="00D75DB1"/>
    <w:rsid w:val="00D76489"/>
    <w:rsid w:val="00D834CA"/>
    <w:rsid w:val="00D839D4"/>
    <w:rsid w:val="00D83BA3"/>
    <w:rsid w:val="00D83BF4"/>
    <w:rsid w:val="00D84284"/>
    <w:rsid w:val="00D842D4"/>
    <w:rsid w:val="00D84C91"/>
    <w:rsid w:val="00D857F8"/>
    <w:rsid w:val="00D8613C"/>
    <w:rsid w:val="00D863FA"/>
    <w:rsid w:val="00D91CE3"/>
    <w:rsid w:val="00D93564"/>
    <w:rsid w:val="00D948CD"/>
    <w:rsid w:val="00D95452"/>
    <w:rsid w:val="00D95D76"/>
    <w:rsid w:val="00D9765B"/>
    <w:rsid w:val="00DA039D"/>
    <w:rsid w:val="00DA26BF"/>
    <w:rsid w:val="00DA74A6"/>
    <w:rsid w:val="00DA7FD0"/>
    <w:rsid w:val="00DB2192"/>
    <w:rsid w:val="00DB2325"/>
    <w:rsid w:val="00DB6978"/>
    <w:rsid w:val="00DB6C1E"/>
    <w:rsid w:val="00DB79A0"/>
    <w:rsid w:val="00DC0CB9"/>
    <w:rsid w:val="00DC0E77"/>
    <w:rsid w:val="00DC457A"/>
    <w:rsid w:val="00DD022F"/>
    <w:rsid w:val="00DD054D"/>
    <w:rsid w:val="00DD17B4"/>
    <w:rsid w:val="00DD459C"/>
    <w:rsid w:val="00DD55DB"/>
    <w:rsid w:val="00DD660E"/>
    <w:rsid w:val="00DE1D89"/>
    <w:rsid w:val="00DE7D0B"/>
    <w:rsid w:val="00DF2DEB"/>
    <w:rsid w:val="00DF2DEC"/>
    <w:rsid w:val="00DF3165"/>
    <w:rsid w:val="00DF51BF"/>
    <w:rsid w:val="00E01419"/>
    <w:rsid w:val="00E034AC"/>
    <w:rsid w:val="00E03B7F"/>
    <w:rsid w:val="00E03D96"/>
    <w:rsid w:val="00E06616"/>
    <w:rsid w:val="00E072B9"/>
    <w:rsid w:val="00E075F4"/>
    <w:rsid w:val="00E076B9"/>
    <w:rsid w:val="00E0779A"/>
    <w:rsid w:val="00E13463"/>
    <w:rsid w:val="00E14B9B"/>
    <w:rsid w:val="00E154E3"/>
    <w:rsid w:val="00E159DB"/>
    <w:rsid w:val="00E16874"/>
    <w:rsid w:val="00E22829"/>
    <w:rsid w:val="00E228DD"/>
    <w:rsid w:val="00E22B27"/>
    <w:rsid w:val="00E24EA9"/>
    <w:rsid w:val="00E2650D"/>
    <w:rsid w:val="00E3058E"/>
    <w:rsid w:val="00E31E59"/>
    <w:rsid w:val="00E35B26"/>
    <w:rsid w:val="00E36CC0"/>
    <w:rsid w:val="00E36DF2"/>
    <w:rsid w:val="00E4050E"/>
    <w:rsid w:val="00E43ECA"/>
    <w:rsid w:val="00E46DBB"/>
    <w:rsid w:val="00E471A6"/>
    <w:rsid w:val="00E47262"/>
    <w:rsid w:val="00E511B9"/>
    <w:rsid w:val="00E52371"/>
    <w:rsid w:val="00E52B2B"/>
    <w:rsid w:val="00E54C68"/>
    <w:rsid w:val="00E556C1"/>
    <w:rsid w:val="00E56262"/>
    <w:rsid w:val="00E56890"/>
    <w:rsid w:val="00E56FE0"/>
    <w:rsid w:val="00E57742"/>
    <w:rsid w:val="00E60D93"/>
    <w:rsid w:val="00E61430"/>
    <w:rsid w:val="00E61A4D"/>
    <w:rsid w:val="00E638C1"/>
    <w:rsid w:val="00E63F8E"/>
    <w:rsid w:val="00E654AD"/>
    <w:rsid w:val="00E663CD"/>
    <w:rsid w:val="00E66A8A"/>
    <w:rsid w:val="00E66C5A"/>
    <w:rsid w:val="00E70A9C"/>
    <w:rsid w:val="00E72A97"/>
    <w:rsid w:val="00E72ADF"/>
    <w:rsid w:val="00E767C9"/>
    <w:rsid w:val="00E7694B"/>
    <w:rsid w:val="00E80F71"/>
    <w:rsid w:val="00E817AF"/>
    <w:rsid w:val="00E81B86"/>
    <w:rsid w:val="00E8201B"/>
    <w:rsid w:val="00E82869"/>
    <w:rsid w:val="00E83197"/>
    <w:rsid w:val="00E83284"/>
    <w:rsid w:val="00E83767"/>
    <w:rsid w:val="00E84470"/>
    <w:rsid w:val="00E84934"/>
    <w:rsid w:val="00E86831"/>
    <w:rsid w:val="00E874D2"/>
    <w:rsid w:val="00E9054F"/>
    <w:rsid w:val="00E91991"/>
    <w:rsid w:val="00E94A01"/>
    <w:rsid w:val="00E94EB6"/>
    <w:rsid w:val="00E9651C"/>
    <w:rsid w:val="00E97BA8"/>
    <w:rsid w:val="00EA12F5"/>
    <w:rsid w:val="00EA2764"/>
    <w:rsid w:val="00EA4A13"/>
    <w:rsid w:val="00EA5491"/>
    <w:rsid w:val="00EB035B"/>
    <w:rsid w:val="00EB2E33"/>
    <w:rsid w:val="00EB42F2"/>
    <w:rsid w:val="00EB4647"/>
    <w:rsid w:val="00EB4C95"/>
    <w:rsid w:val="00EB6E8D"/>
    <w:rsid w:val="00EC0F34"/>
    <w:rsid w:val="00EC2DED"/>
    <w:rsid w:val="00EC2E3D"/>
    <w:rsid w:val="00EC476B"/>
    <w:rsid w:val="00EC61C2"/>
    <w:rsid w:val="00EC7073"/>
    <w:rsid w:val="00ED05C4"/>
    <w:rsid w:val="00ED05D8"/>
    <w:rsid w:val="00ED4696"/>
    <w:rsid w:val="00ED7BEF"/>
    <w:rsid w:val="00EE15AC"/>
    <w:rsid w:val="00EE5264"/>
    <w:rsid w:val="00EE5740"/>
    <w:rsid w:val="00EE5D28"/>
    <w:rsid w:val="00EE6657"/>
    <w:rsid w:val="00EE6B66"/>
    <w:rsid w:val="00EE741E"/>
    <w:rsid w:val="00EF0B5C"/>
    <w:rsid w:val="00EF309B"/>
    <w:rsid w:val="00EF312C"/>
    <w:rsid w:val="00EF3AE3"/>
    <w:rsid w:val="00EF40A1"/>
    <w:rsid w:val="00EF5054"/>
    <w:rsid w:val="00EF52D4"/>
    <w:rsid w:val="00EF5B55"/>
    <w:rsid w:val="00F011AE"/>
    <w:rsid w:val="00F0389E"/>
    <w:rsid w:val="00F04EEC"/>
    <w:rsid w:val="00F056D1"/>
    <w:rsid w:val="00F06B07"/>
    <w:rsid w:val="00F06FCC"/>
    <w:rsid w:val="00F11001"/>
    <w:rsid w:val="00F12961"/>
    <w:rsid w:val="00F13A6E"/>
    <w:rsid w:val="00F15A32"/>
    <w:rsid w:val="00F16BE7"/>
    <w:rsid w:val="00F212C5"/>
    <w:rsid w:val="00F250F6"/>
    <w:rsid w:val="00F25FCB"/>
    <w:rsid w:val="00F26C9D"/>
    <w:rsid w:val="00F310C7"/>
    <w:rsid w:val="00F328A8"/>
    <w:rsid w:val="00F32BBF"/>
    <w:rsid w:val="00F33C2D"/>
    <w:rsid w:val="00F342D4"/>
    <w:rsid w:val="00F34B59"/>
    <w:rsid w:val="00F357D5"/>
    <w:rsid w:val="00F40B30"/>
    <w:rsid w:val="00F41837"/>
    <w:rsid w:val="00F41AEA"/>
    <w:rsid w:val="00F42A0C"/>
    <w:rsid w:val="00F42AFD"/>
    <w:rsid w:val="00F443AB"/>
    <w:rsid w:val="00F4441D"/>
    <w:rsid w:val="00F459FC"/>
    <w:rsid w:val="00F46437"/>
    <w:rsid w:val="00F46DB3"/>
    <w:rsid w:val="00F47929"/>
    <w:rsid w:val="00F51DEA"/>
    <w:rsid w:val="00F51E7A"/>
    <w:rsid w:val="00F52AEC"/>
    <w:rsid w:val="00F52B02"/>
    <w:rsid w:val="00F52C73"/>
    <w:rsid w:val="00F53A76"/>
    <w:rsid w:val="00F53AD6"/>
    <w:rsid w:val="00F53E23"/>
    <w:rsid w:val="00F54355"/>
    <w:rsid w:val="00F5444C"/>
    <w:rsid w:val="00F54530"/>
    <w:rsid w:val="00F55D9E"/>
    <w:rsid w:val="00F56054"/>
    <w:rsid w:val="00F56F19"/>
    <w:rsid w:val="00F5790B"/>
    <w:rsid w:val="00F57A5E"/>
    <w:rsid w:val="00F6221A"/>
    <w:rsid w:val="00F62534"/>
    <w:rsid w:val="00F6501B"/>
    <w:rsid w:val="00F658CB"/>
    <w:rsid w:val="00F67FB0"/>
    <w:rsid w:val="00F7077E"/>
    <w:rsid w:val="00F717C1"/>
    <w:rsid w:val="00F73FE6"/>
    <w:rsid w:val="00F74139"/>
    <w:rsid w:val="00F748CC"/>
    <w:rsid w:val="00F75B0A"/>
    <w:rsid w:val="00F76C00"/>
    <w:rsid w:val="00F76FF2"/>
    <w:rsid w:val="00F8051A"/>
    <w:rsid w:val="00F82496"/>
    <w:rsid w:val="00F84E6A"/>
    <w:rsid w:val="00F8501E"/>
    <w:rsid w:val="00F875BB"/>
    <w:rsid w:val="00F9346C"/>
    <w:rsid w:val="00F95DA1"/>
    <w:rsid w:val="00F97AAC"/>
    <w:rsid w:val="00FA18A2"/>
    <w:rsid w:val="00FA2524"/>
    <w:rsid w:val="00FA4F41"/>
    <w:rsid w:val="00FA656E"/>
    <w:rsid w:val="00FA7517"/>
    <w:rsid w:val="00FA778B"/>
    <w:rsid w:val="00FB2FCE"/>
    <w:rsid w:val="00FB4EAE"/>
    <w:rsid w:val="00FB5EC1"/>
    <w:rsid w:val="00FB6305"/>
    <w:rsid w:val="00FB67BE"/>
    <w:rsid w:val="00FC2759"/>
    <w:rsid w:val="00FC28F0"/>
    <w:rsid w:val="00FC31B0"/>
    <w:rsid w:val="00FC53F8"/>
    <w:rsid w:val="00FC5F6E"/>
    <w:rsid w:val="00FC7470"/>
    <w:rsid w:val="00FD092B"/>
    <w:rsid w:val="00FD3FA7"/>
    <w:rsid w:val="00FD635C"/>
    <w:rsid w:val="00FD7D8A"/>
    <w:rsid w:val="00FE0A94"/>
    <w:rsid w:val="00FE1487"/>
    <w:rsid w:val="00FE17A4"/>
    <w:rsid w:val="00FE37C7"/>
    <w:rsid w:val="00FE3A11"/>
    <w:rsid w:val="00FE3A28"/>
    <w:rsid w:val="00FE6186"/>
    <w:rsid w:val="00FE64E8"/>
    <w:rsid w:val="00FF091B"/>
    <w:rsid w:val="00FF2A07"/>
    <w:rsid w:val="00FF3E4C"/>
    <w:rsid w:val="00FF5577"/>
    <w:rsid w:val="00FF625B"/>
    <w:rsid w:val="00FF689F"/>
    <w:rsid w:val="00FF6F10"/>
    <w:rsid w:val="00FF7CF5"/>
    <w:rsid w:val="05ED57BF"/>
    <w:rsid w:val="0D6EACA9"/>
    <w:rsid w:val="3931EC53"/>
    <w:rsid w:val="3DF0AEE0"/>
    <w:rsid w:val="4CFF8EF3"/>
    <w:rsid w:val="5177907C"/>
    <w:rsid w:val="63A2839A"/>
    <w:rsid w:val="7170D34A"/>
    <w:rsid w:val="741772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6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8"/>
        <w:lang w:val="en-US"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A8A"/>
    <w:pPr>
      <w:tabs>
        <w:tab w:val="center" w:pos="4680"/>
        <w:tab w:val="right" w:pos="9360"/>
      </w:tabs>
    </w:pPr>
  </w:style>
  <w:style w:type="character" w:customStyle="1" w:styleId="HeaderChar">
    <w:name w:val="Header Char"/>
    <w:basedOn w:val="DefaultParagraphFont"/>
    <w:link w:val="Header"/>
    <w:uiPriority w:val="99"/>
    <w:rsid w:val="00E66A8A"/>
  </w:style>
  <w:style w:type="paragraph" w:styleId="Footer">
    <w:name w:val="footer"/>
    <w:basedOn w:val="Normal"/>
    <w:link w:val="FooterChar"/>
    <w:uiPriority w:val="99"/>
    <w:unhideWhenUsed/>
    <w:rsid w:val="00E66A8A"/>
    <w:pPr>
      <w:tabs>
        <w:tab w:val="center" w:pos="4680"/>
        <w:tab w:val="right" w:pos="9360"/>
      </w:tabs>
    </w:pPr>
  </w:style>
  <w:style w:type="character" w:customStyle="1" w:styleId="FooterChar">
    <w:name w:val="Footer Char"/>
    <w:basedOn w:val="DefaultParagraphFont"/>
    <w:link w:val="Footer"/>
    <w:uiPriority w:val="99"/>
    <w:rsid w:val="00E66A8A"/>
  </w:style>
  <w:style w:type="paragraph" w:styleId="BalloonText">
    <w:name w:val="Balloon Text"/>
    <w:basedOn w:val="Normal"/>
    <w:link w:val="BalloonTextChar"/>
    <w:uiPriority w:val="99"/>
    <w:semiHidden/>
    <w:unhideWhenUsed/>
    <w:rsid w:val="00E66A8A"/>
    <w:rPr>
      <w:rFonts w:ascii="Tahoma" w:hAnsi="Tahoma" w:cs="Tahoma"/>
      <w:sz w:val="16"/>
      <w:szCs w:val="16"/>
    </w:rPr>
  </w:style>
  <w:style w:type="character" w:customStyle="1" w:styleId="BalloonTextChar">
    <w:name w:val="Balloon Text Char"/>
    <w:basedOn w:val="DefaultParagraphFont"/>
    <w:link w:val="BalloonText"/>
    <w:uiPriority w:val="99"/>
    <w:semiHidden/>
    <w:rsid w:val="00E66A8A"/>
    <w:rPr>
      <w:rFonts w:ascii="Tahoma" w:hAnsi="Tahoma" w:cs="Tahoma"/>
      <w:sz w:val="16"/>
      <w:szCs w:val="16"/>
    </w:rPr>
  </w:style>
  <w:style w:type="table" w:styleId="TableGrid">
    <w:name w:val="Table Grid"/>
    <w:basedOn w:val="TableNormal"/>
    <w:uiPriority w:val="59"/>
    <w:rsid w:val="005E5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54AD"/>
    <w:rPr>
      <w:color w:val="0000FF" w:themeColor="hyperlink"/>
      <w:u w:val="single"/>
    </w:rPr>
  </w:style>
  <w:style w:type="paragraph" w:styleId="FootnoteText">
    <w:name w:val="footnote text"/>
    <w:basedOn w:val="Normal"/>
    <w:link w:val="FootnoteTextChar"/>
    <w:uiPriority w:val="99"/>
    <w:unhideWhenUsed/>
    <w:rsid w:val="000D0CBB"/>
    <w:rPr>
      <w:sz w:val="20"/>
      <w:szCs w:val="20"/>
    </w:rPr>
  </w:style>
  <w:style w:type="character" w:customStyle="1" w:styleId="FootnoteTextChar">
    <w:name w:val="Footnote Text Char"/>
    <w:basedOn w:val="DefaultParagraphFont"/>
    <w:link w:val="FootnoteText"/>
    <w:uiPriority w:val="99"/>
    <w:rsid w:val="000D0CBB"/>
    <w:rPr>
      <w:sz w:val="20"/>
      <w:szCs w:val="20"/>
    </w:rPr>
  </w:style>
  <w:style w:type="character" w:styleId="FootnoteReference">
    <w:name w:val="footnote reference"/>
    <w:basedOn w:val="DefaultParagraphFont"/>
    <w:uiPriority w:val="99"/>
    <w:semiHidden/>
    <w:unhideWhenUsed/>
    <w:rsid w:val="000D0CBB"/>
    <w:rPr>
      <w:vertAlign w:val="superscript"/>
    </w:rPr>
  </w:style>
  <w:style w:type="character" w:styleId="CommentReference">
    <w:name w:val="annotation reference"/>
    <w:basedOn w:val="DefaultParagraphFont"/>
    <w:uiPriority w:val="99"/>
    <w:semiHidden/>
    <w:unhideWhenUsed/>
    <w:rsid w:val="00A125D3"/>
    <w:rPr>
      <w:sz w:val="16"/>
      <w:szCs w:val="16"/>
    </w:rPr>
  </w:style>
  <w:style w:type="paragraph" w:styleId="CommentText">
    <w:name w:val="annotation text"/>
    <w:basedOn w:val="Normal"/>
    <w:link w:val="CommentTextChar"/>
    <w:uiPriority w:val="99"/>
    <w:unhideWhenUsed/>
    <w:rsid w:val="00A125D3"/>
    <w:rPr>
      <w:sz w:val="20"/>
      <w:szCs w:val="20"/>
    </w:rPr>
  </w:style>
  <w:style w:type="character" w:customStyle="1" w:styleId="CommentTextChar">
    <w:name w:val="Comment Text Char"/>
    <w:basedOn w:val="DefaultParagraphFont"/>
    <w:link w:val="CommentText"/>
    <w:uiPriority w:val="99"/>
    <w:rsid w:val="00A125D3"/>
    <w:rPr>
      <w:sz w:val="20"/>
      <w:szCs w:val="20"/>
    </w:rPr>
  </w:style>
  <w:style w:type="paragraph" w:styleId="CommentSubject">
    <w:name w:val="annotation subject"/>
    <w:basedOn w:val="CommentText"/>
    <w:next w:val="CommentText"/>
    <w:link w:val="CommentSubjectChar"/>
    <w:uiPriority w:val="99"/>
    <w:semiHidden/>
    <w:unhideWhenUsed/>
    <w:rsid w:val="00A125D3"/>
    <w:rPr>
      <w:b/>
      <w:bCs/>
    </w:rPr>
  </w:style>
  <w:style w:type="character" w:customStyle="1" w:styleId="CommentSubjectChar">
    <w:name w:val="Comment Subject Char"/>
    <w:basedOn w:val="CommentTextChar"/>
    <w:link w:val="CommentSubject"/>
    <w:uiPriority w:val="99"/>
    <w:semiHidden/>
    <w:rsid w:val="00A125D3"/>
    <w:rPr>
      <w:b/>
      <w:bCs/>
      <w:sz w:val="20"/>
      <w:szCs w:val="20"/>
    </w:rPr>
  </w:style>
  <w:style w:type="paragraph" w:styleId="ListParagraph">
    <w:name w:val="List Paragraph"/>
    <w:basedOn w:val="Normal"/>
    <w:link w:val="ListParagraphChar"/>
    <w:qFormat/>
    <w:rsid w:val="00931F69"/>
    <w:pPr>
      <w:contextualSpacing/>
    </w:pPr>
  </w:style>
  <w:style w:type="paragraph" w:styleId="Revision">
    <w:name w:val="Revision"/>
    <w:hidden/>
    <w:uiPriority w:val="99"/>
    <w:semiHidden/>
    <w:rsid w:val="004A5633"/>
    <w:pPr>
      <w:ind w:left="0" w:firstLine="0"/>
    </w:pPr>
  </w:style>
  <w:style w:type="character" w:styleId="FollowedHyperlink">
    <w:name w:val="FollowedHyperlink"/>
    <w:basedOn w:val="DefaultParagraphFont"/>
    <w:uiPriority w:val="99"/>
    <w:semiHidden/>
    <w:unhideWhenUsed/>
    <w:rsid w:val="003D46A7"/>
    <w:rPr>
      <w:color w:val="800080" w:themeColor="followedHyperlink"/>
      <w:u w:val="single"/>
    </w:rPr>
  </w:style>
  <w:style w:type="table" w:customStyle="1" w:styleId="TableGrid2">
    <w:name w:val="Table Grid2"/>
    <w:basedOn w:val="TableNormal"/>
    <w:next w:val="TableGrid"/>
    <w:uiPriority w:val="39"/>
    <w:rsid w:val="0037057F"/>
    <w:pPr>
      <w:ind w:left="0" w:firstLine="0"/>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6">
    <w:name w:val="CM36"/>
    <w:basedOn w:val="Normal"/>
    <w:next w:val="Normal"/>
    <w:semiHidden/>
    <w:rsid w:val="005B1504"/>
    <w:pPr>
      <w:widowControl w:val="0"/>
      <w:autoSpaceDE w:val="0"/>
      <w:autoSpaceDN w:val="0"/>
      <w:adjustRightInd w:val="0"/>
      <w:ind w:left="0" w:firstLine="0"/>
    </w:pPr>
    <w:rPr>
      <w:rFonts w:ascii="Arial" w:hAnsi="Arial"/>
      <w:sz w:val="24"/>
      <w:szCs w:val="24"/>
    </w:rPr>
  </w:style>
  <w:style w:type="character" w:styleId="UnresolvedMention">
    <w:name w:val="Unresolved Mention"/>
    <w:basedOn w:val="DefaultParagraphFont"/>
    <w:uiPriority w:val="99"/>
    <w:semiHidden/>
    <w:unhideWhenUsed/>
    <w:rsid w:val="00235FB3"/>
    <w:rPr>
      <w:color w:val="605E5C"/>
      <w:shd w:val="clear" w:color="auto" w:fill="E1DFDD"/>
    </w:rPr>
  </w:style>
  <w:style w:type="paragraph" w:customStyle="1" w:styleId="NRCListLetter">
    <w:name w:val="NRC List Letter"/>
    <w:basedOn w:val="Normal"/>
    <w:rsid w:val="00535E36"/>
    <w:pPr>
      <w:numPr>
        <w:numId w:val="29"/>
      </w:numPr>
      <w:suppressAutoHyphens/>
      <w:spacing w:before="240"/>
    </w:pPr>
    <w:rPr>
      <w:szCs w:val="24"/>
      <w:lang w:eastAsia="ar-SA"/>
    </w:rPr>
  </w:style>
  <w:style w:type="character" w:customStyle="1" w:styleId="ListParagraphChar">
    <w:name w:val="List Paragraph Char"/>
    <w:basedOn w:val="DefaultParagraphFont"/>
    <w:link w:val="ListParagraph"/>
    <w:rsid w:val="00535E36"/>
  </w:style>
  <w:style w:type="paragraph" w:styleId="BodyText">
    <w:name w:val="Body Text"/>
    <w:basedOn w:val="Normal"/>
    <w:link w:val="BodyTextChar"/>
    <w:rsid w:val="00592075"/>
    <w:pPr>
      <w:suppressAutoHyphens/>
      <w:spacing w:before="240"/>
      <w:ind w:left="0" w:firstLine="720"/>
    </w:pPr>
    <w:rPr>
      <w:szCs w:val="22"/>
      <w:lang w:eastAsia="ar-SA"/>
    </w:rPr>
  </w:style>
  <w:style w:type="character" w:customStyle="1" w:styleId="BodyTextChar">
    <w:name w:val="Body Text Char"/>
    <w:basedOn w:val="DefaultParagraphFont"/>
    <w:link w:val="BodyText"/>
    <w:rsid w:val="00592075"/>
    <w:rPr>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ira_submission@omb.eop.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cts.Resource@nr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nrcweb.nrc.gov/reading-rm/doc-collections/reg-guides/"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 Id="rId4" Type="http://schemas.openxmlformats.org/officeDocument/2006/relationships/hyperlink" Target="http://www.nrc.gov/reading-rm/adam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amro.com/mro-store.aspx" TargetMode="External"/><Relationship Id="rId3" Type="http://schemas.openxmlformats.org/officeDocument/2006/relationships/hyperlink" Target="mailto:pdr.resource@nrc.gov" TargetMode="External"/><Relationship Id="rId7" Type="http://schemas.openxmlformats.org/officeDocument/2006/relationships/hyperlink" Target="mailto:Official.Mail@IAEA.Org" TargetMode="External"/><Relationship Id="rId2" Type="http://schemas.openxmlformats.org/officeDocument/2006/relationships/hyperlink" Target="https://www.nrc.gov/reading-rm/adams.html" TargetMode="External"/><Relationship Id="rId1" Type="http://schemas.openxmlformats.org/officeDocument/2006/relationships/hyperlink" Target="https://www.nrc.gov/reading-rm/doc-collections/" TargetMode="External"/><Relationship Id="rId6" Type="http://schemas.openxmlformats.org/officeDocument/2006/relationships/hyperlink" Target="http://WWW.IAEA.Org/" TargetMode="External"/><Relationship Id="rId5" Type="http://schemas.openxmlformats.org/officeDocument/2006/relationships/hyperlink" Target="https://www.samhsa.gov/workplace/drug-testing" TargetMode="External"/><Relationship Id="rId4" Type="http://schemas.openxmlformats.org/officeDocument/2006/relationships/hyperlink" Target="https://www.ne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15A792D05BDB4DAAA6D0CC36665938" ma:contentTypeVersion="9" ma:contentTypeDescription="Create a new document." ma:contentTypeScope="" ma:versionID="3dc4f3c20fc112140663df6bf19c3b33">
  <xsd:schema xmlns:xsd="http://www.w3.org/2001/XMLSchema" xmlns:xs="http://www.w3.org/2001/XMLSchema" xmlns:p="http://schemas.microsoft.com/office/2006/metadata/properties" xmlns:ns2="7796f059-9437-4c2a-b3dc-44cf910467de" xmlns:ns3="6f993661-a1fa-4447-bab1-8691ca827f56" targetNamespace="http://schemas.microsoft.com/office/2006/metadata/properties" ma:root="true" ma:fieldsID="c285c55f29e2d61897feb0fbe19276fc" ns2:_="" ns3:_="">
    <xsd:import namespace="7796f059-9437-4c2a-b3dc-44cf910467de"/>
    <xsd:import namespace="6f993661-a1fa-4447-bab1-8691ca827f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viewComple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6f059-9437-4c2a-b3dc-44cf91046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Complete" ma:index="12" nillable="true" ma:displayName="Review Complete" ma:default="0" ma:format="Dropdown" ma:internalName="ReviewComplete">
      <xsd:simpleType>
        <xsd:restriction base="dms:Boolean"/>
      </xsd:simpleType>
    </xsd:element>
    <xsd:element name="Complete" ma:index="13" nillable="true" ma:displayName="Complete" ma:default="0" ma:internalName="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993661-a1fa-4447-bab1-8691ca827f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plete xmlns="7796f059-9437-4c2a-b3dc-44cf910467de">false</Complete>
    <ReviewComplete xmlns="7796f059-9437-4c2a-b3dc-44cf910467de">false</ReviewComplete>
  </documentManagement>
</p:properties>
</file>

<file path=customXml/itemProps1.xml><?xml version="1.0" encoding="utf-8"?>
<ds:datastoreItem xmlns:ds="http://schemas.openxmlformats.org/officeDocument/2006/customXml" ds:itemID="{5B6EAB77-7FD9-441A-8FF8-43C90D247ACC}">
  <ds:schemaRefs>
    <ds:schemaRef ds:uri="http://schemas.openxmlformats.org/officeDocument/2006/bibliography"/>
  </ds:schemaRefs>
</ds:datastoreItem>
</file>

<file path=customXml/itemProps2.xml><?xml version="1.0" encoding="utf-8"?>
<ds:datastoreItem xmlns:ds="http://schemas.openxmlformats.org/officeDocument/2006/customXml" ds:itemID="{FA0884F8-084E-4C8D-BB13-1FC5FE869FFD}">
  <ds:schemaRefs>
    <ds:schemaRef ds:uri="http://schemas.microsoft.com/sharepoint/v3/contenttype/forms"/>
  </ds:schemaRefs>
</ds:datastoreItem>
</file>

<file path=customXml/itemProps3.xml><?xml version="1.0" encoding="utf-8"?>
<ds:datastoreItem xmlns:ds="http://schemas.openxmlformats.org/officeDocument/2006/customXml" ds:itemID="{A77A0676-8AE1-469E-8B80-9CF08973D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6f059-9437-4c2a-b3dc-44cf910467de"/>
    <ds:schemaRef ds:uri="6f993661-a1fa-4447-bab1-8691ca827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82F17-369B-405F-871C-2AFFCBFC2B36}">
  <ds:schemaRefs>
    <ds:schemaRef ds:uri="http://schemas.microsoft.com/office/2006/metadata/properties"/>
    <ds:schemaRef ds:uri="http://schemas.microsoft.com/office/infopath/2007/PartnerControls"/>
    <ds:schemaRef ds:uri="7796f059-9437-4c2a-b3dc-44cf910467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4872</Words>
  <Characters>27776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32583</CharactersWithSpaces>
  <SharedDoc>false</SharedDoc>
  <HLinks>
    <vt:vector size="96" baseType="variant">
      <vt:variant>
        <vt:i4>4521995</vt:i4>
      </vt:variant>
      <vt:variant>
        <vt:i4>3</vt:i4>
      </vt:variant>
      <vt:variant>
        <vt:i4>0</vt:i4>
      </vt:variant>
      <vt:variant>
        <vt:i4>5</vt:i4>
      </vt:variant>
      <vt:variant>
        <vt:lpwstr>mailto:oira_submission@omb.eop.gov</vt:lpwstr>
      </vt:variant>
      <vt:variant>
        <vt:lpwstr/>
      </vt:variant>
      <vt:variant>
        <vt:i4>6029372</vt:i4>
      </vt:variant>
      <vt:variant>
        <vt:i4>0</vt:i4>
      </vt:variant>
      <vt:variant>
        <vt:i4>0</vt:i4>
      </vt:variant>
      <vt:variant>
        <vt:i4>5</vt:i4>
      </vt:variant>
      <vt:variant>
        <vt:lpwstr>mailto:Infocollects.Resource@nrc.gov</vt:lpwstr>
      </vt:variant>
      <vt:variant>
        <vt:lpwstr/>
      </vt:variant>
      <vt:variant>
        <vt:i4>4784199</vt:i4>
      </vt:variant>
      <vt:variant>
        <vt:i4>21</vt:i4>
      </vt:variant>
      <vt:variant>
        <vt:i4>0</vt:i4>
      </vt:variant>
      <vt:variant>
        <vt:i4>5</vt:i4>
      </vt:variant>
      <vt:variant>
        <vt:lpwstr>https://www.aamro.com/mro-store.aspx</vt:lpwstr>
      </vt:variant>
      <vt:variant>
        <vt:lpwstr/>
      </vt:variant>
      <vt:variant>
        <vt:i4>1704043</vt:i4>
      </vt:variant>
      <vt:variant>
        <vt:i4>18</vt:i4>
      </vt:variant>
      <vt:variant>
        <vt:i4>0</vt:i4>
      </vt:variant>
      <vt:variant>
        <vt:i4>5</vt:i4>
      </vt:variant>
      <vt:variant>
        <vt:lpwstr>mailto:Official.Mail@IAEA.Org</vt:lpwstr>
      </vt:variant>
      <vt:variant>
        <vt:lpwstr/>
      </vt:variant>
      <vt:variant>
        <vt:i4>5505112</vt:i4>
      </vt:variant>
      <vt:variant>
        <vt:i4>15</vt:i4>
      </vt:variant>
      <vt:variant>
        <vt:i4>0</vt:i4>
      </vt:variant>
      <vt:variant>
        <vt:i4>5</vt:i4>
      </vt:variant>
      <vt:variant>
        <vt:lpwstr>http://www.iaea.org/</vt:lpwstr>
      </vt:variant>
      <vt:variant>
        <vt:lpwstr/>
      </vt:variant>
      <vt:variant>
        <vt:i4>7864435</vt:i4>
      </vt:variant>
      <vt:variant>
        <vt:i4>12</vt:i4>
      </vt:variant>
      <vt:variant>
        <vt:i4>0</vt:i4>
      </vt:variant>
      <vt:variant>
        <vt:i4>5</vt:i4>
      </vt:variant>
      <vt:variant>
        <vt:lpwstr>http://www.samhsa.gov/workplace/drug-testing</vt:lpwstr>
      </vt:variant>
      <vt:variant>
        <vt:lpwstr>HHS</vt:lpwstr>
      </vt:variant>
      <vt:variant>
        <vt:i4>2359401</vt:i4>
      </vt:variant>
      <vt:variant>
        <vt:i4>9</vt:i4>
      </vt:variant>
      <vt:variant>
        <vt:i4>0</vt:i4>
      </vt:variant>
      <vt:variant>
        <vt:i4>5</vt:i4>
      </vt:variant>
      <vt:variant>
        <vt:lpwstr>http://www.nei.org/</vt:lpwstr>
      </vt:variant>
      <vt:variant>
        <vt:lpwstr/>
      </vt:variant>
      <vt:variant>
        <vt:i4>262263</vt:i4>
      </vt:variant>
      <vt:variant>
        <vt:i4>6</vt:i4>
      </vt:variant>
      <vt:variant>
        <vt:i4>0</vt:i4>
      </vt:variant>
      <vt:variant>
        <vt:i4>5</vt:i4>
      </vt:variant>
      <vt:variant>
        <vt:lpwstr>mailto:pdr.resource@nrc.gov</vt:lpwstr>
      </vt:variant>
      <vt:variant>
        <vt:lpwstr/>
      </vt:variant>
      <vt:variant>
        <vt:i4>4718613</vt:i4>
      </vt:variant>
      <vt:variant>
        <vt:i4>3</vt:i4>
      </vt:variant>
      <vt:variant>
        <vt:i4>0</vt:i4>
      </vt:variant>
      <vt:variant>
        <vt:i4>5</vt:i4>
      </vt:variant>
      <vt:variant>
        <vt:lpwstr>http://www.nrc.gov/reading-rm/adams.html</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12</vt:i4>
      </vt:variant>
      <vt:variant>
        <vt:i4>0</vt:i4>
      </vt:variant>
      <vt:variant>
        <vt:i4>5</vt:i4>
      </vt:variant>
      <vt:variant>
        <vt:lpwstr>http://www.nrc.gov/reading-rm/adams.html</vt:lpwstr>
      </vt:variant>
      <vt:variant>
        <vt:lpwstr/>
      </vt:variant>
      <vt:variant>
        <vt:i4>655438</vt:i4>
      </vt:variant>
      <vt:variant>
        <vt:i4>9</vt:i4>
      </vt:variant>
      <vt:variant>
        <vt:i4>0</vt:i4>
      </vt:variant>
      <vt:variant>
        <vt:i4>5</vt:i4>
      </vt:variant>
      <vt:variant>
        <vt:lpwstr>https://nrcweb.nrc.gov/reading-rm/doc-collections/reg-guides/</vt:lpwstr>
      </vt:variant>
      <vt:variant>
        <vt:lpwstr/>
      </vt:variant>
      <vt:variant>
        <vt:i4>6553654</vt:i4>
      </vt:variant>
      <vt:variant>
        <vt:i4>6</vt:i4>
      </vt:variant>
      <vt:variant>
        <vt:i4>0</vt:i4>
      </vt:variant>
      <vt:variant>
        <vt:i4>5</vt:i4>
      </vt:variant>
      <vt:variant>
        <vt:lpwstr>https://nrcweb.nrc.gov/reading-rm/doc-collections/reg-guides/contactus.html</vt:lpwstr>
      </vt:variant>
      <vt:variant>
        <vt:lpwstr/>
      </vt:variant>
      <vt:variant>
        <vt:i4>655438</vt:i4>
      </vt:variant>
      <vt:variant>
        <vt:i4>3</vt:i4>
      </vt:variant>
      <vt:variant>
        <vt:i4>0</vt:i4>
      </vt:variant>
      <vt:variant>
        <vt:i4>5</vt:i4>
      </vt:variant>
      <vt:variant>
        <vt:lpwstr>https://nrcweb.nrc.gov/reading-rm/doc-collections/reg-guides/</vt:lpwstr>
      </vt:variant>
      <vt:variant>
        <vt:lpwstr/>
      </vt:variant>
      <vt:variant>
        <vt:i4>5374018</vt:i4>
      </vt:variant>
      <vt:variant>
        <vt:i4>3</vt:i4>
      </vt:variant>
      <vt:variant>
        <vt:i4>0</vt:i4>
      </vt:variant>
      <vt:variant>
        <vt:i4>5</vt:i4>
      </vt:variant>
      <vt:variant>
        <vt:lpwstr>https://www.samhsa.gov/sites/default/files/workplace/mro_case_studies_508_final_march_2018.pdf</vt:lpwstr>
      </vt:variant>
      <vt:variant>
        <vt:lpwstr/>
      </vt:variant>
      <vt:variant>
        <vt:i4>3145783</vt:i4>
      </vt:variant>
      <vt:variant>
        <vt:i4>0</vt:i4>
      </vt:variant>
      <vt:variant>
        <vt:i4>0</vt:i4>
      </vt:variant>
      <vt:variant>
        <vt:i4>5</vt:i4>
      </vt:variant>
      <vt:variant>
        <vt:lpwstr>https://www.samhsa.gov/sites/default/files/workplace/mro_guidance_manual_508_final_march_2018.pdf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2022-07-12T17:53:00Z</dcterms:created>
  <dcterms:modified xsi:type="dcterms:W3CDTF">2022-07-12T17:53:00Z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0x010100E915A792D05BDB4DAAA6D0CC36665938</vt:lpwstr>
  </property>
</Properties>
</file>