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rto="http://schemas.microsoft.com/office/word/2006/arto" xmlns:a14="http://schemas.microsoft.com/office/drawing/2010/main" xmlns:mv="urn:schemas-microsoft-com:mac:vml" xmlns:mo="http://schemas.microsoft.com/office/mac/office/2008/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4884" w:rsidP="00AF2F02" w:rsidRDefault="003E4884" w14:paraId="108E0F3F" w14:textId="2C3F365B">
      <w:pPr>
        <w:jc w:val="center"/>
        <w:rPr>
          <w:rFonts w:cs="Arial"/>
          <w:sz w:val="24"/>
          <w:szCs w:val="24"/>
          <w:lang w:val="en-CA"/>
        </w:rPr>
      </w:pPr>
    </w:p>
    <w:p w:rsidR="00D520BD" w:rsidP="00D520BD" w:rsidRDefault="00D520BD" w14:paraId="467467B7" w14:textId="77777777">
      <w:pPr>
        <w:jc w:val="center"/>
        <w:rPr>
          <w:rFonts w:cs="Arial"/>
          <w:sz w:val="24"/>
          <w:szCs w:val="24"/>
          <w:lang w:val="en-CA"/>
        </w:rPr>
      </w:pPr>
    </w:p>
    <w:p w:rsidR="00D520BD" w:rsidP="00D520BD" w:rsidRDefault="00D520BD" w14:paraId="7ABBB3B7" w14:textId="77777777">
      <w:pPr>
        <w:jc w:val="center"/>
        <w:rPr>
          <w:rFonts w:cs="Arial"/>
          <w:sz w:val="24"/>
          <w:szCs w:val="24"/>
          <w:lang w:val="en-CA"/>
        </w:rPr>
      </w:pPr>
    </w:p>
    <w:p w:rsidR="00D520BD" w:rsidP="00D520BD" w:rsidRDefault="00D520BD" w14:paraId="0DEA6453" w14:textId="77777777">
      <w:pPr>
        <w:jc w:val="center"/>
        <w:rPr>
          <w:rFonts w:cs="Arial"/>
          <w:sz w:val="24"/>
          <w:szCs w:val="24"/>
          <w:lang w:val="en-CA"/>
        </w:rPr>
      </w:pPr>
    </w:p>
    <w:p w:rsidR="00D520BD" w:rsidP="00D520BD" w:rsidRDefault="00D520BD" w14:paraId="74178CE8" w14:textId="77777777">
      <w:pPr>
        <w:jc w:val="center"/>
        <w:rPr>
          <w:rFonts w:cs="Arial"/>
          <w:sz w:val="24"/>
          <w:szCs w:val="24"/>
          <w:lang w:val="en-CA"/>
        </w:rPr>
      </w:pPr>
    </w:p>
    <w:p w:rsidR="00D520BD" w:rsidP="00D520BD" w:rsidRDefault="00D520BD" w14:paraId="4685886E" w14:textId="77777777">
      <w:pPr>
        <w:jc w:val="center"/>
        <w:rPr>
          <w:rFonts w:cs="Arial"/>
          <w:sz w:val="24"/>
          <w:szCs w:val="24"/>
          <w:lang w:val="en-CA"/>
        </w:rPr>
      </w:pPr>
    </w:p>
    <w:p w:rsidR="00D520BD" w:rsidP="00D520BD" w:rsidRDefault="00D520BD" w14:paraId="0BCFD063" w14:textId="77777777">
      <w:pPr>
        <w:jc w:val="center"/>
        <w:rPr>
          <w:rFonts w:cs="Arial"/>
          <w:sz w:val="24"/>
          <w:szCs w:val="24"/>
          <w:lang w:val="en-CA"/>
        </w:rPr>
      </w:pPr>
    </w:p>
    <w:p w:rsidR="00D520BD" w:rsidP="00D520BD" w:rsidRDefault="00D520BD" w14:paraId="3E7A1312" w14:textId="5B00D487">
      <w:pPr>
        <w:jc w:val="center"/>
        <w:rPr>
          <w:rFonts w:cs="Arial"/>
          <w:sz w:val="24"/>
          <w:szCs w:val="24"/>
          <w:lang w:val="en-CA"/>
        </w:rPr>
      </w:pPr>
    </w:p>
    <w:p w:rsidRPr="005A5966" w:rsidR="00D520BD" w:rsidP="00D520BD" w:rsidRDefault="00D520BD" w14:paraId="1B68CAE5" w14:textId="0338E00E">
      <w:pPr>
        <w:jc w:val="center"/>
        <w:rPr>
          <w:b/>
          <w:bCs/>
          <w:sz w:val="32"/>
          <w:szCs w:val="32"/>
        </w:rPr>
      </w:pPr>
      <w:r w:rsidRPr="005A5966">
        <w:rPr>
          <w:b/>
          <w:bCs/>
          <w:sz w:val="32"/>
          <w:szCs w:val="32"/>
        </w:rPr>
        <w:t xml:space="preserve">Regulatory Analysis </w:t>
      </w:r>
      <w:r w:rsidR="00B361BC">
        <w:rPr>
          <w:b/>
          <w:bCs/>
          <w:sz w:val="32"/>
          <w:szCs w:val="32"/>
        </w:rPr>
        <w:t>for the</w:t>
      </w:r>
    </w:p>
    <w:p w:rsidRPr="005A5966" w:rsidR="00D520BD" w:rsidP="00D520BD" w:rsidRDefault="00D520BD" w14:paraId="0D780897" w14:textId="1A4C5CBC">
      <w:pPr>
        <w:jc w:val="center"/>
        <w:rPr>
          <w:b/>
          <w:bCs/>
          <w:sz w:val="22"/>
          <w:szCs w:val="22"/>
        </w:rPr>
      </w:pPr>
      <w:r>
        <w:rPr>
          <w:b/>
          <w:bCs/>
          <w:sz w:val="32"/>
          <w:szCs w:val="32"/>
        </w:rPr>
        <w:t>10 CFR Part 26</w:t>
      </w:r>
      <w:r w:rsidR="00B361BC">
        <w:rPr>
          <w:b/>
          <w:bCs/>
          <w:sz w:val="32"/>
          <w:szCs w:val="32"/>
        </w:rPr>
        <w:t xml:space="preserve"> </w:t>
      </w:r>
      <w:r>
        <w:rPr>
          <w:b/>
          <w:bCs/>
          <w:sz w:val="32"/>
          <w:szCs w:val="32"/>
        </w:rPr>
        <w:t>Fitness for Duty Drug Testing Requirements</w:t>
      </w:r>
      <w:r w:rsidR="00B361BC">
        <w:rPr>
          <w:b/>
          <w:bCs/>
          <w:sz w:val="32"/>
          <w:szCs w:val="32"/>
        </w:rPr>
        <w:t xml:space="preserve"> Final Rule</w:t>
      </w:r>
    </w:p>
    <w:p w:rsidRPr="000A5D06" w:rsidR="00D520BD" w:rsidP="00D520BD" w:rsidRDefault="00D520BD" w14:paraId="50EE4792" w14:textId="77777777">
      <w:pPr>
        <w:jc w:val="center"/>
        <w:rPr>
          <w:bCs/>
          <w:sz w:val="24"/>
          <w:szCs w:val="22"/>
        </w:rPr>
      </w:pPr>
      <w:r>
        <w:rPr>
          <w:bCs/>
          <w:sz w:val="24"/>
          <w:szCs w:val="22"/>
        </w:rPr>
        <w:t xml:space="preserve">[Docket ID </w:t>
      </w:r>
      <w:r w:rsidRPr="000A5D06">
        <w:rPr>
          <w:bCs/>
          <w:sz w:val="24"/>
          <w:szCs w:val="22"/>
        </w:rPr>
        <w:t>NRC-2009-0225</w:t>
      </w:r>
      <w:r w:rsidRPr="001570F7">
        <w:rPr>
          <w:bCs/>
          <w:sz w:val="24"/>
          <w:szCs w:val="22"/>
        </w:rPr>
        <w:t>]</w:t>
      </w:r>
    </w:p>
    <w:p w:rsidRPr="005A5966" w:rsidR="00D520BD" w:rsidP="00D520BD" w:rsidRDefault="00D520BD" w14:paraId="603C8726" w14:textId="77777777">
      <w:pPr>
        <w:jc w:val="center"/>
        <w:rPr>
          <w:b/>
          <w:bCs/>
          <w:sz w:val="22"/>
          <w:szCs w:val="22"/>
        </w:rPr>
      </w:pPr>
    </w:p>
    <w:p w:rsidRPr="005A5966" w:rsidR="00D520BD" w:rsidP="00D520BD" w:rsidRDefault="00D520BD" w14:paraId="0D19B837" w14:textId="77777777">
      <w:pPr>
        <w:jc w:val="center"/>
        <w:rPr>
          <w:b/>
          <w:bCs/>
          <w:sz w:val="22"/>
          <w:szCs w:val="22"/>
        </w:rPr>
      </w:pPr>
    </w:p>
    <w:p w:rsidRPr="005A5966" w:rsidR="00D520BD" w:rsidP="00D520BD" w:rsidRDefault="00D520BD" w14:paraId="2EBCCFAD" w14:textId="77777777">
      <w:pPr>
        <w:pBdr>
          <w:bottom w:val="single" w:color="auto" w:sz="18" w:space="1"/>
        </w:pBdr>
        <w:jc w:val="center"/>
        <w:rPr>
          <w:sz w:val="22"/>
          <w:szCs w:val="22"/>
        </w:rPr>
      </w:pPr>
    </w:p>
    <w:p w:rsidRPr="005A5966" w:rsidR="00D520BD" w:rsidP="00D520BD" w:rsidRDefault="00D520BD" w14:paraId="1C77F472" w14:textId="77777777">
      <w:pPr>
        <w:jc w:val="center"/>
        <w:rPr>
          <w:sz w:val="22"/>
          <w:szCs w:val="22"/>
        </w:rPr>
      </w:pPr>
      <w:r>
        <w:rPr>
          <w:noProof/>
        </w:rPr>
        <mc:AlternateContent>
          <mc:Choice Requires="wps">
            <w:drawing>
              <wp:anchor distT="4294967293" distB="4294967293" distL="114296" distR="114296" simplePos="0" relativeHeight="251658240" behindDoc="0" locked="0" layoutInCell="0" allowOverlap="1" wp14:editId="277F012B" wp14:anchorId="6C26CC78">
                <wp:simplePos x="0" y="0"/>
                <wp:positionH relativeFrom="margin">
                  <wp:posOffset>-1</wp:posOffset>
                </wp:positionH>
                <wp:positionV relativeFrom="paragraph">
                  <wp:posOffset>-1</wp:posOffset>
                </wp:positionV>
                <wp:extent cx="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pic="http://schemas.openxmlformats.org/drawingml/2006/picture">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240;visibility:visible;mso-wrap-style:square;mso-width-percent:0;mso-height-percent:0;mso-wrap-distance-left:3.17489mm;mso-wrap-distance-top:-8e-5mm;mso-wrap-distance-right:3.17489mm;mso-wrap-distance-bottom:-8e-5mm;mso-position-horizontal:absolute;mso-position-horizontal-relative:margin;mso-position-vertical:absolute;mso-position-vertical-relative:text;mso-width-percent:0;mso-height-percent:0;mso-width-relative:page;mso-height-relative:page" o:spid="_x0000_s1026" o:allowincell="f" strokecolor="#020000" strokeweight=".96pt" from="0,0" to="0,0" w14:anchorId="7F21EB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">
                <w10:wrap anchorx="margin"/>
              </v:line>
            </w:pict>
          </mc:Fallback>
        </mc:AlternateContent>
      </w:r>
    </w:p>
    <w:p w:rsidRPr="005A5966" w:rsidR="00D520BD" w:rsidP="00D520BD" w:rsidRDefault="00D520BD" w14:paraId="40E96FAA" w14:textId="77777777">
      <w:pPr>
        <w:jc w:val="center"/>
        <w:rPr>
          <w:sz w:val="22"/>
          <w:szCs w:val="22"/>
        </w:rPr>
      </w:pPr>
    </w:p>
    <w:p w:rsidR="00D520BD" w:rsidP="00D520BD" w:rsidRDefault="00D520BD" w14:paraId="566D93B7" w14:textId="2A40EC24">
      <w:pPr>
        <w:rPr>
          <w:sz w:val="22"/>
          <w:szCs w:val="22"/>
        </w:rPr>
      </w:pPr>
    </w:p>
    <w:p w:rsidRPr="005A5966" w:rsidR="00B957CA" w:rsidP="00D520BD" w:rsidRDefault="00B957CA" w14:paraId="17AFF78C" w14:textId="77777777">
      <w:pPr>
        <w:rPr>
          <w:sz w:val="22"/>
          <w:szCs w:val="22"/>
        </w:rPr>
      </w:pPr>
    </w:p>
    <w:p w:rsidRPr="005A5966" w:rsidR="00D520BD" w:rsidP="00D520BD" w:rsidRDefault="00D520BD" w14:paraId="44C8ADD8" w14:textId="77777777">
      <w:pPr>
        <w:rPr>
          <w:sz w:val="30"/>
          <w:szCs w:val="30"/>
        </w:rPr>
      </w:pPr>
      <w:r w:rsidRPr="005A5966">
        <w:rPr>
          <w:b/>
          <w:bCs/>
          <w:sz w:val="30"/>
          <w:szCs w:val="30"/>
        </w:rPr>
        <w:t>U.S. Nuclear Regulatory Commission</w:t>
      </w:r>
    </w:p>
    <w:p w:rsidRPr="009B5F34" w:rsidR="008F2CFA" w:rsidP="008F2CFA" w:rsidRDefault="008F2CFA" w14:paraId="1A2AB368" w14:textId="77777777">
      <w:pPr>
        <w:rPr>
          <w:sz w:val="28"/>
        </w:rPr>
      </w:pPr>
      <w:r w:rsidRPr="009B5F34">
        <w:rPr>
          <w:sz w:val="28"/>
        </w:rPr>
        <w:t>Office of Nuclear Material Safety and Safeguards</w:t>
      </w:r>
    </w:p>
    <w:p w:rsidR="00D520BD" w:rsidP="008F2CFA" w:rsidRDefault="008F2CFA" w14:paraId="61C2138E" w14:textId="096EC162">
      <w:pPr>
        <w:rPr>
          <w:sz w:val="30"/>
          <w:szCs w:val="30"/>
        </w:rPr>
      </w:pPr>
      <w:r w:rsidRPr="009B5F34">
        <w:rPr>
          <w:sz w:val="28"/>
          <w:szCs w:val="28"/>
        </w:rPr>
        <w:t>Division of Rulemaking</w:t>
      </w:r>
      <w:r w:rsidR="00646A79">
        <w:rPr>
          <w:sz w:val="28"/>
          <w:szCs w:val="28"/>
        </w:rPr>
        <w:t>,</w:t>
      </w:r>
      <w:r w:rsidRPr="009B5F34">
        <w:rPr>
          <w:sz w:val="28"/>
          <w:szCs w:val="28"/>
        </w:rPr>
        <w:t xml:space="preserve"> Environmental</w:t>
      </w:r>
      <w:r w:rsidR="00646A79">
        <w:rPr>
          <w:sz w:val="28"/>
          <w:szCs w:val="28"/>
        </w:rPr>
        <w:t>,</w:t>
      </w:r>
      <w:r w:rsidRPr="009B5F34">
        <w:rPr>
          <w:sz w:val="28"/>
          <w:szCs w:val="28"/>
        </w:rPr>
        <w:t xml:space="preserve"> and Financial Support</w:t>
      </w:r>
    </w:p>
    <w:p w:rsidRPr="005A5966" w:rsidR="00D520BD" w:rsidP="00D520BD" w:rsidRDefault="00D520BD" w14:paraId="3F2CDF9F" w14:textId="77777777">
      <w:pPr>
        <w:rPr>
          <w:sz w:val="30"/>
          <w:szCs w:val="30"/>
        </w:rPr>
      </w:pPr>
    </w:p>
    <w:p w:rsidRPr="005A5966" w:rsidR="00D520BD" w:rsidP="00D520BD" w:rsidRDefault="001E777C" w14:paraId="378BB04D" w14:textId="0AA5E338">
      <w:pPr>
        <w:rPr>
          <w:sz w:val="24"/>
          <w:szCs w:val="24"/>
        </w:rPr>
      </w:pPr>
      <w:r>
        <w:rPr>
          <w:sz w:val="32"/>
          <w:szCs w:val="32"/>
        </w:rPr>
        <w:t>[</w:t>
      </w:r>
      <w:r w:rsidRPr="00AF2F02">
        <w:rPr>
          <w:sz w:val="32"/>
          <w:szCs w:val="32"/>
          <w:highlight w:val="yellow"/>
        </w:rPr>
        <w:t>ENTER DATE WHEN READY TO ISSUE</w:t>
      </w:r>
      <w:r>
        <w:rPr>
          <w:sz w:val="32"/>
          <w:szCs w:val="32"/>
        </w:rPr>
        <w:t>]</w:t>
      </w:r>
    </w:p>
    <w:p w:rsidRPr="005A5966" w:rsidR="00D520BD" w:rsidP="00D520BD" w:rsidRDefault="00D520BD" w14:paraId="04F75623" w14:textId="77777777">
      <w:pPr>
        <w:rPr>
          <w:sz w:val="22"/>
          <w:szCs w:val="22"/>
        </w:rPr>
      </w:pPr>
    </w:p>
    <w:p w:rsidR="00D520BD" w:rsidP="00D520BD" w:rsidRDefault="00D520BD" w14:paraId="1FB0403A" w14:textId="1C36F04D">
      <w:pPr>
        <w:rPr>
          <w:sz w:val="22"/>
          <w:szCs w:val="22"/>
        </w:rPr>
      </w:pPr>
    </w:p>
    <w:p w:rsidR="001774B2" w:rsidP="00D520BD" w:rsidRDefault="001774B2" w14:paraId="02AD7C70" w14:textId="548B8C95">
      <w:pPr>
        <w:rPr>
          <w:sz w:val="22"/>
          <w:szCs w:val="22"/>
        </w:rPr>
      </w:pPr>
    </w:p>
    <w:p w:rsidRPr="00FE6EFE" w:rsidR="001774B2" w:rsidP="00D520BD" w:rsidRDefault="001774B2" w14:paraId="089D1D4E" w14:textId="55A2ED9D">
      <w:pPr>
        <w:rPr>
          <w:sz w:val="22"/>
          <w:szCs w:val="22"/>
        </w:rPr>
      </w:pPr>
    </w:p>
    <w:p w:rsidRPr="007508A4" w:rsidR="001774B2" w:rsidP="00D520BD" w:rsidRDefault="001774B2" w14:paraId="77EEA8AD" w14:textId="46411967">
      <w:pPr>
        <w:rPr>
          <w:b/>
          <w:bCs/>
          <w:sz w:val="22"/>
          <w:szCs w:val="22"/>
        </w:rPr>
      </w:pPr>
    </w:p>
    <w:p w:rsidR="001774B2" w:rsidP="00D520BD" w:rsidRDefault="001774B2" w14:paraId="752975B0" w14:textId="5294E39D">
      <w:pPr>
        <w:rPr>
          <w:sz w:val="22"/>
          <w:szCs w:val="22"/>
        </w:rPr>
      </w:pPr>
    </w:p>
    <w:p w:rsidR="001774B2" w:rsidP="00D520BD" w:rsidRDefault="001774B2" w14:paraId="34ECCF7C" w14:textId="7BE08C87">
      <w:pPr>
        <w:rPr>
          <w:sz w:val="22"/>
          <w:szCs w:val="22"/>
        </w:rPr>
      </w:pPr>
    </w:p>
    <w:p w:rsidR="001774B2" w:rsidP="00D520BD" w:rsidRDefault="001774B2" w14:paraId="707C17FE" w14:textId="63B15C57">
      <w:pPr>
        <w:rPr>
          <w:sz w:val="22"/>
          <w:szCs w:val="22"/>
        </w:rPr>
      </w:pPr>
    </w:p>
    <w:p w:rsidR="001774B2" w:rsidP="00D520BD" w:rsidRDefault="001774B2" w14:paraId="26305331" w14:textId="26F4539F">
      <w:pPr>
        <w:rPr>
          <w:sz w:val="22"/>
          <w:szCs w:val="22"/>
        </w:rPr>
      </w:pPr>
    </w:p>
    <w:p w:rsidR="001774B2" w:rsidP="00D520BD" w:rsidRDefault="001774B2" w14:paraId="0638C5EB" w14:textId="4B0D82F7">
      <w:pPr>
        <w:rPr>
          <w:sz w:val="22"/>
          <w:szCs w:val="22"/>
        </w:rPr>
      </w:pPr>
    </w:p>
    <w:p w:rsidR="001774B2" w:rsidP="00D520BD" w:rsidRDefault="001774B2" w14:paraId="60661937" w14:textId="77777777">
      <w:pPr>
        <w:rPr>
          <w:sz w:val="22"/>
          <w:szCs w:val="22"/>
        </w:rPr>
      </w:pPr>
    </w:p>
    <w:p w:rsidR="00BE0812" w:rsidP="00D520BD" w:rsidRDefault="3948EE8D" w14:paraId="403D81BD" w14:textId="0B8495DF">
      <w:pPr>
        <w:rPr>
          <w:sz w:val="22"/>
          <w:szCs w:val="22"/>
        </w:rPr>
      </w:pPr>
      <w:r>
        <w:rPr>
          <w:noProof/>
        </w:rPr>
        <w:drawing>
          <wp:inline distT="0" distB="0" distL="0" distR="0" wp14:anchorId="4E80D537" wp14:editId="1416A8AE">
            <wp:extent cx="1828800"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p w:rsidR="00BE0812" w:rsidP="00D520BD" w:rsidRDefault="00BE0812" w14:paraId="29F3E9E7" w14:textId="0D61096E">
      <w:pPr>
        <w:rPr>
          <w:sz w:val="22"/>
          <w:szCs w:val="22"/>
        </w:rPr>
      </w:pPr>
    </w:p>
    <w:p w:rsidRPr="00646A79" w:rsidR="00D520BD" w:rsidP="007508A4" w:rsidRDefault="00D520BD" w14:paraId="4AAA6F74" w14:textId="77777777">
      <w:pPr>
        <w:jc w:val="center"/>
        <w:rPr>
          <w:sz w:val="22"/>
          <w:szCs w:val="22"/>
        </w:rPr>
      </w:pPr>
      <w:bookmarkStart w:name="_Toc199932302" w:id="0"/>
      <w:bookmarkStart w:name="_Toc199932390" w:id="1"/>
      <w:bookmarkStart w:name="_Toc199932465" w:id="2"/>
      <w:bookmarkStart w:name="_Toc199932634" w:id="3"/>
      <w:r w:rsidRPr="00646A79">
        <w:rPr>
          <w:sz w:val="22"/>
          <w:szCs w:val="22"/>
        </w:rPr>
        <w:t>[Page Intentionally Blank]</w:t>
      </w:r>
    </w:p>
    <w:p w:rsidRPr="00646A79" w:rsidR="008A0C8E" w:rsidP="007508A4" w:rsidRDefault="008A0C8E" w14:paraId="1614E3F1" w14:textId="77777777">
      <w:pPr>
        <w:rPr>
          <w:sz w:val="22"/>
          <w:szCs w:val="22"/>
        </w:rPr>
      </w:pPr>
    </w:p>
    <w:p w:rsidRPr="00646A79" w:rsidR="007508A4" w:rsidP="007508A4" w:rsidRDefault="007508A4" w14:paraId="123383FB" w14:textId="1D5D0EFE">
      <w:pPr>
        <w:rPr>
          <w:sz w:val="22"/>
          <w:szCs w:val="22"/>
        </w:rPr>
        <w:sectPr w:rsidRPr="00646A79" w:rsidR="007508A4" w:rsidSect="00153AFA">
          <w:headerReference w:type="even" r:id="rId13"/>
          <w:pgSz w:w="12240" w:h="15840" w:code="1"/>
          <w:pgMar w:top="1440" w:right="1440" w:bottom="1440" w:left="1440" w:header="720" w:footer="720" w:gutter="0"/>
          <w:cols w:space="720"/>
          <w:vAlign w:val="center"/>
          <w:noEndnote/>
        </w:sectPr>
      </w:pPr>
    </w:p>
    <w:p w:rsidRPr="00192AED" w:rsidR="00D520BD" w:rsidP="00D520BD" w:rsidRDefault="00D520BD" w14:paraId="5D5AE257" w14:textId="77777777">
      <w:pPr>
        <w:rPr>
          <w:b/>
          <w:sz w:val="32"/>
          <w:szCs w:val="32"/>
        </w:rPr>
      </w:pPr>
      <w:bookmarkStart w:name="_Toc331681521" w:id="4"/>
      <w:r w:rsidRPr="00192AED">
        <w:rPr>
          <w:b/>
          <w:sz w:val="32"/>
          <w:szCs w:val="32"/>
        </w:rPr>
        <w:lastRenderedPageBreak/>
        <w:t>Contents</w:t>
      </w:r>
      <w:bookmarkEnd w:id="4"/>
    </w:p>
    <w:bookmarkEnd w:id="0"/>
    <w:bookmarkEnd w:id="1"/>
    <w:bookmarkEnd w:id="2"/>
    <w:bookmarkEnd w:id="3"/>
    <w:p w:rsidRPr="005A63D0" w:rsidR="00D520BD" w:rsidP="00200F02" w:rsidRDefault="00D520BD" w14:paraId="02AA1041" w14:textId="77777777">
      <w:pPr>
        <w:pStyle w:val="TOC1"/>
      </w:pPr>
    </w:p>
    <w:p w:rsidR="002544BB" w:rsidRDefault="00D520BD" w14:paraId="50DD45E1" w14:textId="3E0EC481">
      <w:pPr>
        <w:pStyle w:val="TOC1"/>
        <w:rPr>
          <w:rFonts w:asciiTheme="minorHAnsi" w:hAnsiTheme="minorHAnsi" w:eastAsiaTheme="minorEastAsia" w:cstheme="minorBidi"/>
          <w:noProof/>
          <w:sz w:val="22"/>
          <w:szCs w:val="22"/>
        </w:rPr>
      </w:pPr>
      <w:r w:rsidRPr="005A5966">
        <w:rPr>
          <w:bCs/>
          <w:sz w:val="26"/>
          <w:szCs w:val="26"/>
        </w:rPr>
        <w:fldChar w:fldCharType="begin"/>
      </w:r>
      <w:r w:rsidRPr="005A5966">
        <w:rPr>
          <w:bCs/>
          <w:sz w:val="26"/>
          <w:szCs w:val="26"/>
        </w:rPr>
        <w:instrText xml:space="preserve"> TOC \o "1-3" \h \z \u </w:instrText>
      </w:r>
      <w:r w:rsidRPr="005A5966">
        <w:rPr>
          <w:bCs/>
          <w:sz w:val="26"/>
          <w:szCs w:val="26"/>
        </w:rPr>
        <w:fldChar w:fldCharType="separate"/>
      </w:r>
      <w:hyperlink w:history="1" w:anchor="_Toc105681479">
        <w:r w:rsidRPr="009931BC" w:rsidR="002544BB">
          <w:rPr>
            <w:rStyle w:val="Hyperlink"/>
            <w:noProof/>
          </w:rPr>
          <w:t>Abbreviations and Acronyms</w:t>
        </w:r>
        <w:r w:rsidR="002544BB">
          <w:rPr>
            <w:noProof/>
            <w:webHidden/>
          </w:rPr>
          <w:tab/>
        </w:r>
        <w:r w:rsidR="002544BB">
          <w:rPr>
            <w:noProof/>
            <w:webHidden/>
          </w:rPr>
          <w:fldChar w:fldCharType="begin"/>
        </w:r>
        <w:r w:rsidR="002544BB">
          <w:rPr>
            <w:noProof/>
            <w:webHidden/>
          </w:rPr>
          <w:instrText xml:space="preserve"> PAGEREF _Toc105681479 \h </w:instrText>
        </w:r>
        <w:r w:rsidR="002544BB">
          <w:rPr>
            <w:noProof/>
            <w:webHidden/>
          </w:rPr>
        </w:r>
        <w:r w:rsidR="002544BB">
          <w:rPr>
            <w:noProof/>
            <w:webHidden/>
          </w:rPr>
          <w:fldChar w:fldCharType="separate"/>
        </w:r>
        <w:r w:rsidR="002544BB">
          <w:rPr>
            <w:noProof/>
            <w:webHidden/>
          </w:rPr>
          <w:t>iii</w:t>
        </w:r>
        <w:r w:rsidR="002544BB">
          <w:rPr>
            <w:noProof/>
            <w:webHidden/>
          </w:rPr>
          <w:fldChar w:fldCharType="end"/>
        </w:r>
      </w:hyperlink>
    </w:p>
    <w:p w:rsidR="002544BB" w:rsidRDefault="00C96E7A" w14:paraId="53CEACEB" w14:textId="65D54004">
      <w:pPr>
        <w:pStyle w:val="TOC1"/>
        <w:rPr>
          <w:rFonts w:asciiTheme="minorHAnsi" w:hAnsiTheme="minorHAnsi" w:eastAsiaTheme="minorEastAsia" w:cstheme="minorBidi"/>
          <w:noProof/>
          <w:sz w:val="22"/>
          <w:szCs w:val="22"/>
        </w:rPr>
      </w:pPr>
      <w:hyperlink w:history="1" w:anchor="_Toc105681480">
        <w:r w:rsidRPr="009931BC" w:rsidR="002544BB">
          <w:rPr>
            <w:rStyle w:val="Hyperlink"/>
            <w:noProof/>
          </w:rPr>
          <w:t>Abstract</w:t>
        </w:r>
        <w:r w:rsidR="002544BB">
          <w:rPr>
            <w:noProof/>
            <w:webHidden/>
          </w:rPr>
          <w:tab/>
        </w:r>
        <w:r w:rsidR="002544BB">
          <w:rPr>
            <w:noProof/>
            <w:webHidden/>
          </w:rPr>
          <w:fldChar w:fldCharType="begin"/>
        </w:r>
        <w:r w:rsidR="002544BB">
          <w:rPr>
            <w:noProof/>
            <w:webHidden/>
          </w:rPr>
          <w:instrText xml:space="preserve"> PAGEREF _Toc105681480 \h </w:instrText>
        </w:r>
        <w:r w:rsidR="002544BB">
          <w:rPr>
            <w:noProof/>
            <w:webHidden/>
          </w:rPr>
        </w:r>
        <w:r w:rsidR="002544BB">
          <w:rPr>
            <w:noProof/>
            <w:webHidden/>
          </w:rPr>
          <w:fldChar w:fldCharType="separate"/>
        </w:r>
        <w:r w:rsidR="002544BB">
          <w:rPr>
            <w:noProof/>
            <w:webHidden/>
          </w:rPr>
          <w:t>iv</w:t>
        </w:r>
        <w:r w:rsidR="002544BB">
          <w:rPr>
            <w:noProof/>
            <w:webHidden/>
          </w:rPr>
          <w:fldChar w:fldCharType="end"/>
        </w:r>
      </w:hyperlink>
    </w:p>
    <w:p w:rsidR="002544BB" w:rsidRDefault="00C96E7A" w14:paraId="3ACC8797" w14:textId="3E24AF8E">
      <w:pPr>
        <w:pStyle w:val="TOC1"/>
        <w:rPr>
          <w:rFonts w:asciiTheme="minorHAnsi" w:hAnsiTheme="minorHAnsi" w:eastAsiaTheme="minorEastAsia" w:cstheme="minorBidi"/>
          <w:noProof/>
          <w:sz w:val="22"/>
          <w:szCs w:val="22"/>
        </w:rPr>
      </w:pPr>
      <w:hyperlink w:history="1" w:anchor="_Toc105681481">
        <w:r w:rsidRPr="009931BC" w:rsidR="002544BB">
          <w:rPr>
            <w:rStyle w:val="Hyperlink"/>
            <w:noProof/>
          </w:rPr>
          <w:t>Executive Summary</w:t>
        </w:r>
        <w:r w:rsidR="002544BB">
          <w:rPr>
            <w:noProof/>
            <w:webHidden/>
          </w:rPr>
          <w:tab/>
        </w:r>
        <w:r w:rsidR="002544BB">
          <w:rPr>
            <w:noProof/>
            <w:webHidden/>
          </w:rPr>
          <w:fldChar w:fldCharType="begin"/>
        </w:r>
        <w:r w:rsidR="002544BB">
          <w:rPr>
            <w:noProof/>
            <w:webHidden/>
          </w:rPr>
          <w:instrText xml:space="preserve"> PAGEREF _Toc105681481 \h </w:instrText>
        </w:r>
        <w:r w:rsidR="002544BB">
          <w:rPr>
            <w:noProof/>
            <w:webHidden/>
          </w:rPr>
        </w:r>
        <w:r w:rsidR="002544BB">
          <w:rPr>
            <w:noProof/>
            <w:webHidden/>
          </w:rPr>
          <w:fldChar w:fldCharType="separate"/>
        </w:r>
        <w:r w:rsidR="002544BB">
          <w:rPr>
            <w:noProof/>
            <w:webHidden/>
          </w:rPr>
          <w:t>vi</w:t>
        </w:r>
        <w:r w:rsidR="002544BB">
          <w:rPr>
            <w:noProof/>
            <w:webHidden/>
          </w:rPr>
          <w:fldChar w:fldCharType="end"/>
        </w:r>
      </w:hyperlink>
    </w:p>
    <w:p w:rsidR="002544BB" w:rsidRDefault="00C96E7A" w14:paraId="537A8BFD" w14:textId="5D5C425D">
      <w:pPr>
        <w:pStyle w:val="TOC1"/>
        <w:rPr>
          <w:rFonts w:asciiTheme="minorHAnsi" w:hAnsiTheme="minorHAnsi" w:eastAsiaTheme="minorEastAsia" w:cstheme="minorBidi"/>
          <w:noProof/>
          <w:sz w:val="22"/>
          <w:szCs w:val="22"/>
        </w:rPr>
      </w:pPr>
      <w:hyperlink w:history="1" w:anchor="_Toc105681482">
        <w:r w:rsidRPr="009931BC" w:rsidR="002544BB">
          <w:rPr>
            <w:rStyle w:val="Hyperlink"/>
            <w:noProof/>
          </w:rPr>
          <w:t>1.</w:t>
        </w:r>
        <w:r w:rsidR="002544BB">
          <w:rPr>
            <w:rFonts w:asciiTheme="minorHAnsi" w:hAnsiTheme="minorHAnsi" w:eastAsiaTheme="minorEastAsia" w:cstheme="minorBidi"/>
            <w:noProof/>
            <w:sz w:val="22"/>
            <w:szCs w:val="22"/>
          </w:rPr>
          <w:tab/>
        </w:r>
        <w:r w:rsidRPr="009931BC" w:rsidR="002544BB">
          <w:rPr>
            <w:rStyle w:val="Hyperlink"/>
            <w:noProof/>
          </w:rPr>
          <w:t>Introduction</w:t>
        </w:r>
        <w:r w:rsidR="002544BB">
          <w:rPr>
            <w:noProof/>
            <w:webHidden/>
          </w:rPr>
          <w:tab/>
        </w:r>
        <w:r w:rsidR="002544BB">
          <w:rPr>
            <w:noProof/>
            <w:webHidden/>
          </w:rPr>
          <w:fldChar w:fldCharType="begin"/>
        </w:r>
        <w:r w:rsidR="002544BB">
          <w:rPr>
            <w:noProof/>
            <w:webHidden/>
          </w:rPr>
          <w:instrText xml:space="preserve"> PAGEREF _Toc105681482 \h </w:instrText>
        </w:r>
        <w:r w:rsidR="002544BB">
          <w:rPr>
            <w:noProof/>
            <w:webHidden/>
          </w:rPr>
        </w:r>
        <w:r w:rsidR="002544BB">
          <w:rPr>
            <w:noProof/>
            <w:webHidden/>
          </w:rPr>
          <w:fldChar w:fldCharType="separate"/>
        </w:r>
        <w:r w:rsidR="002544BB">
          <w:rPr>
            <w:noProof/>
            <w:webHidden/>
          </w:rPr>
          <w:t>1</w:t>
        </w:r>
        <w:r w:rsidR="002544BB">
          <w:rPr>
            <w:noProof/>
            <w:webHidden/>
          </w:rPr>
          <w:fldChar w:fldCharType="end"/>
        </w:r>
      </w:hyperlink>
    </w:p>
    <w:p w:rsidR="002544BB" w:rsidRDefault="00C96E7A" w14:paraId="1F59447A" w14:textId="25C77545">
      <w:pPr>
        <w:pStyle w:val="TOC2"/>
        <w:rPr>
          <w:rFonts w:asciiTheme="minorHAnsi" w:hAnsiTheme="minorHAnsi" w:eastAsiaTheme="minorEastAsia" w:cstheme="minorBidi"/>
          <w:noProof/>
          <w:sz w:val="22"/>
          <w:szCs w:val="22"/>
        </w:rPr>
      </w:pPr>
      <w:hyperlink w:history="1" w:anchor="_Toc105681483">
        <w:r w:rsidRPr="009931BC" w:rsidR="002544BB">
          <w:rPr>
            <w:rStyle w:val="Hyperlink"/>
            <w:noProof/>
          </w:rPr>
          <w:t>1.1</w:t>
        </w:r>
        <w:r w:rsidR="002544BB">
          <w:rPr>
            <w:rFonts w:asciiTheme="minorHAnsi" w:hAnsiTheme="minorHAnsi" w:eastAsiaTheme="minorEastAsia" w:cstheme="minorBidi"/>
            <w:noProof/>
            <w:sz w:val="22"/>
            <w:szCs w:val="22"/>
          </w:rPr>
          <w:tab/>
        </w:r>
        <w:r w:rsidRPr="009931BC" w:rsidR="002544BB">
          <w:rPr>
            <w:rStyle w:val="Hyperlink"/>
            <w:noProof/>
          </w:rPr>
          <w:t>Background</w:t>
        </w:r>
        <w:r w:rsidR="002544BB">
          <w:rPr>
            <w:noProof/>
            <w:webHidden/>
          </w:rPr>
          <w:tab/>
        </w:r>
        <w:r w:rsidR="002544BB">
          <w:rPr>
            <w:noProof/>
            <w:webHidden/>
          </w:rPr>
          <w:fldChar w:fldCharType="begin"/>
        </w:r>
        <w:r w:rsidR="002544BB">
          <w:rPr>
            <w:noProof/>
            <w:webHidden/>
          </w:rPr>
          <w:instrText xml:space="preserve"> PAGEREF _Toc105681483 \h </w:instrText>
        </w:r>
        <w:r w:rsidR="002544BB">
          <w:rPr>
            <w:noProof/>
            <w:webHidden/>
          </w:rPr>
        </w:r>
        <w:r w:rsidR="002544BB">
          <w:rPr>
            <w:noProof/>
            <w:webHidden/>
          </w:rPr>
          <w:fldChar w:fldCharType="separate"/>
        </w:r>
        <w:r w:rsidR="002544BB">
          <w:rPr>
            <w:noProof/>
            <w:webHidden/>
          </w:rPr>
          <w:t>1</w:t>
        </w:r>
        <w:r w:rsidR="002544BB">
          <w:rPr>
            <w:noProof/>
            <w:webHidden/>
          </w:rPr>
          <w:fldChar w:fldCharType="end"/>
        </w:r>
      </w:hyperlink>
    </w:p>
    <w:p w:rsidR="002544BB" w:rsidRDefault="00C96E7A" w14:paraId="3EA4AE73" w14:textId="76A9D75C">
      <w:pPr>
        <w:pStyle w:val="TOC2"/>
        <w:rPr>
          <w:rFonts w:asciiTheme="minorHAnsi" w:hAnsiTheme="minorHAnsi" w:eastAsiaTheme="minorEastAsia" w:cstheme="minorBidi"/>
          <w:noProof/>
          <w:sz w:val="22"/>
          <w:szCs w:val="22"/>
        </w:rPr>
      </w:pPr>
      <w:hyperlink w:history="1" w:anchor="_Toc105681484">
        <w:r w:rsidRPr="009931BC" w:rsidR="002544BB">
          <w:rPr>
            <w:rStyle w:val="Hyperlink"/>
            <w:noProof/>
          </w:rPr>
          <w:t>1.2</w:t>
        </w:r>
        <w:r w:rsidR="002544BB">
          <w:rPr>
            <w:rFonts w:asciiTheme="minorHAnsi" w:hAnsiTheme="minorHAnsi" w:eastAsiaTheme="minorEastAsia" w:cstheme="minorBidi"/>
            <w:noProof/>
            <w:sz w:val="22"/>
            <w:szCs w:val="22"/>
          </w:rPr>
          <w:tab/>
        </w:r>
        <w:r w:rsidRPr="009931BC" w:rsidR="002544BB">
          <w:rPr>
            <w:rStyle w:val="Hyperlink"/>
            <w:noProof/>
          </w:rPr>
          <w:t>Statement of the Problem and U.S. Nuclear Regulatory Commission Objectives for the Rulemaking</w:t>
        </w:r>
        <w:r w:rsidR="002544BB">
          <w:rPr>
            <w:noProof/>
            <w:webHidden/>
          </w:rPr>
          <w:tab/>
        </w:r>
        <w:r w:rsidR="002544BB">
          <w:rPr>
            <w:noProof/>
            <w:webHidden/>
          </w:rPr>
          <w:fldChar w:fldCharType="begin"/>
        </w:r>
        <w:r w:rsidR="002544BB">
          <w:rPr>
            <w:noProof/>
            <w:webHidden/>
          </w:rPr>
          <w:instrText xml:space="preserve"> PAGEREF _Toc105681484 \h </w:instrText>
        </w:r>
        <w:r w:rsidR="002544BB">
          <w:rPr>
            <w:noProof/>
            <w:webHidden/>
          </w:rPr>
        </w:r>
        <w:r w:rsidR="002544BB">
          <w:rPr>
            <w:noProof/>
            <w:webHidden/>
          </w:rPr>
          <w:fldChar w:fldCharType="separate"/>
        </w:r>
        <w:r w:rsidR="002544BB">
          <w:rPr>
            <w:noProof/>
            <w:webHidden/>
          </w:rPr>
          <w:t>3</w:t>
        </w:r>
        <w:r w:rsidR="002544BB">
          <w:rPr>
            <w:noProof/>
            <w:webHidden/>
          </w:rPr>
          <w:fldChar w:fldCharType="end"/>
        </w:r>
      </w:hyperlink>
    </w:p>
    <w:p w:rsidR="002544BB" w:rsidRDefault="00C96E7A" w14:paraId="4EC5391C" w14:textId="28342C15">
      <w:pPr>
        <w:pStyle w:val="TOC1"/>
        <w:rPr>
          <w:rFonts w:asciiTheme="minorHAnsi" w:hAnsiTheme="minorHAnsi" w:eastAsiaTheme="minorEastAsia" w:cstheme="minorBidi"/>
          <w:noProof/>
          <w:sz w:val="22"/>
          <w:szCs w:val="22"/>
        </w:rPr>
      </w:pPr>
      <w:hyperlink w:history="1" w:anchor="_Toc105681485">
        <w:r w:rsidRPr="009931BC" w:rsidR="002544BB">
          <w:rPr>
            <w:rStyle w:val="Hyperlink"/>
            <w:noProof/>
          </w:rPr>
          <w:t>2.</w:t>
        </w:r>
        <w:r w:rsidR="002544BB">
          <w:rPr>
            <w:rFonts w:asciiTheme="minorHAnsi" w:hAnsiTheme="minorHAnsi" w:eastAsiaTheme="minorEastAsia" w:cstheme="minorBidi"/>
            <w:noProof/>
            <w:sz w:val="22"/>
            <w:szCs w:val="22"/>
          </w:rPr>
          <w:tab/>
        </w:r>
        <w:r w:rsidRPr="009931BC" w:rsidR="002544BB">
          <w:rPr>
            <w:rStyle w:val="Hyperlink"/>
            <w:noProof/>
          </w:rPr>
          <w:t>Identification and Preliminary Analysis of Alternative Approaches</w:t>
        </w:r>
        <w:r w:rsidR="002544BB">
          <w:rPr>
            <w:noProof/>
            <w:webHidden/>
          </w:rPr>
          <w:tab/>
        </w:r>
        <w:r w:rsidR="002544BB">
          <w:rPr>
            <w:noProof/>
            <w:webHidden/>
          </w:rPr>
          <w:fldChar w:fldCharType="begin"/>
        </w:r>
        <w:r w:rsidR="002544BB">
          <w:rPr>
            <w:noProof/>
            <w:webHidden/>
          </w:rPr>
          <w:instrText xml:space="preserve"> PAGEREF _Toc105681485 \h </w:instrText>
        </w:r>
        <w:r w:rsidR="002544BB">
          <w:rPr>
            <w:noProof/>
            <w:webHidden/>
          </w:rPr>
        </w:r>
        <w:r w:rsidR="002544BB">
          <w:rPr>
            <w:noProof/>
            <w:webHidden/>
          </w:rPr>
          <w:fldChar w:fldCharType="separate"/>
        </w:r>
        <w:r w:rsidR="002544BB">
          <w:rPr>
            <w:noProof/>
            <w:webHidden/>
          </w:rPr>
          <w:t>6</w:t>
        </w:r>
        <w:r w:rsidR="002544BB">
          <w:rPr>
            <w:noProof/>
            <w:webHidden/>
          </w:rPr>
          <w:fldChar w:fldCharType="end"/>
        </w:r>
      </w:hyperlink>
    </w:p>
    <w:p w:rsidR="002544BB" w:rsidRDefault="00C96E7A" w14:paraId="7F2CBE03" w14:textId="084FAE0A">
      <w:pPr>
        <w:pStyle w:val="TOC2"/>
        <w:rPr>
          <w:rFonts w:asciiTheme="minorHAnsi" w:hAnsiTheme="minorHAnsi" w:eastAsiaTheme="minorEastAsia" w:cstheme="minorBidi"/>
          <w:noProof/>
          <w:sz w:val="22"/>
          <w:szCs w:val="22"/>
        </w:rPr>
      </w:pPr>
      <w:hyperlink w:history="1" w:anchor="_Toc105681486">
        <w:r w:rsidRPr="009931BC" w:rsidR="002544BB">
          <w:rPr>
            <w:rStyle w:val="Hyperlink"/>
            <w:noProof/>
          </w:rPr>
          <w:t>2.1</w:t>
        </w:r>
        <w:r w:rsidR="002544BB">
          <w:rPr>
            <w:rFonts w:asciiTheme="minorHAnsi" w:hAnsiTheme="minorHAnsi" w:eastAsiaTheme="minorEastAsia" w:cstheme="minorBidi"/>
            <w:noProof/>
            <w:sz w:val="22"/>
            <w:szCs w:val="22"/>
          </w:rPr>
          <w:tab/>
        </w:r>
        <w:r w:rsidRPr="009931BC" w:rsidR="002544BB">
          <w:rPr>
            <w:rStyle w:val="Hyperlink"/>
            <w:noProof/>
          </w:rPr>
          <w:t>Alternative 1:  Take No Action</w:t>
        </w:r>
        <w:r w:rsidR="002544BB">
          <w:rPr>
            <w:noProof/>
            <w:webHidden/>
          </w:rPr>
          <w:tab/>
        </w:r>
        <w:r w:rsidR="002544BB">
          <w:rPr>
            <w:noProof/>
            <w:webHidden/>
          </w:rPr>
          <w:fldChar w:fldCharType="begin"/>
        </w:r>
        <w:r w:rsidR="002544BB">
          <w:rPr>
            <w:noProof/>
            <w:webHidden/>
          </w:rPr>
          <w:instrText xml:space="preserve"> PAGEREF _Toc105681486 \h </w:instrText>
        </w:r>
        <w:r w:rsidR="002544BB">
          <w:rPr>
            <w:noProof/>
            <w:webHidden/>
          </w:rPr>
        </w:r>
        <w:r w:rsidR="002544BB">
          <w:rPr>
            <w:noProof/>
            <w:webHidden/>
          </w:rPr>
          <w:fldChar w:fldCharType="separate"/>
        </w:r>
        <w:r w:rsidR="002544BB">
          <w:rPr>
            <w:noProof/>
            <w:webHidden/>
          </w:rPr>
          <w:t>6</w:t>
        </w:r>
        <w:r w:rsidR="002544BB">
          <w:rPr>
            <w:noProof/>
            <w:webHidden/>
          </w:rPr>
          <w:fldChar w:fldCharType="end"/>
        </w:r>
      </w:hyperlink>
    </w:p>
    <w:p w:rsidR="002544BB" w:rsidRDefault="00C96E7A" w14:paraId="728266EF" w14:textId="3F619FC7">
      <w:pPr>
        <w:pStyle w:val="TOC2"/>
        <w:rPr>
          <w:rFonts w:asciiTheme="minorHAnsi" w:hAnsiTheme="minorHAnsi" w:eastAsiaTheme="minorEastAsia" w:cstheme="minorBidi"/>
          <w:noProof/>
          <w:sz w:val="22"/>
          <w:szCs w:val="22"/>
        </w:rPr>
      </w:pPr>
      <w:hyperlink w:history="1" w:anchor="_Toc105681487">
        <w:r w:rsidRPr="009931BC" w:rsidR="002544BB">
          <w:rPr>
            <w:rStyle w:val="Hyperlink"/>
            <w:noProof/>
          </w:rPr>
          <w:t>2.2</w:t>
        </w:r>
        <w:r w:rsidR="002544BB">
          <w:rPr>
            <w:rFonts w:asciiTheme="minorHAnsi" w:hAnsiTheme="minorHAnsi" w:eastAsiaTheme="minorEastAsia" w:cstheme="minorBidi"/>
            <w:noProof/>
            <w:sz w:val="22"/>
            <w:szCs w:val="22"/>
          </w:rPr>
          <w:tab/>
        </w:r>
        <w:r w:rsidRPr="009931BC" w:rsidR="002544BB">
          <w:rPr>
            <w:rStyle w:val="Hyperlink"/>
            <w:noProof/>
          </w:rPr>
          <w:t>Alternative 2:  Amend 10 CFR Part 26</w:t>
        </w:r>
        <w:r w:rsidR="002544BB">
          <w:rPr>
            <w:noProof/>
            <w:webHidden/>
          </w:rPr>
          <w:tab/>
        </w:r>
        <w:r w:rsidR="002544BB">
          <w:rPr>
            <w:noProof/>
            <w:webHidden/>
          </w:rPr>
          <w:fldChar w:fldCharType="begin"/>
        </w:r>
        <w:r w:rsidR="002544BB">
          <w:rPr>
            <w:noProof/>
            <w:webHidden/>
          </w:rPr>
          <w:instrText xml:space="preserve"> PAGEREF _Toc105681487 \h </w:instrText>
        </w:r>
        <w:r w:rsidR="002544BB">
          <w:rPr>
            <w:noProof/>
            <w:webHidden/>
          </w:rPr>
        </w:r>
        <w:r w:rsidR="002544BB">
          <w:rPr>
            <w:noProof/>
            <w:webHidden/>
          </w:rPr>
          <w:fldChar w:fldCharType="separate"/>
        </w:r>
        <w:r w:rsidR="002544BB">
          <w:rPr>
            <w:noProof/>
            <w:webHidden/>
          </w:rPr>
          <w:t>7</w:t>
        </w:r>
        <w:r w:rsidR="002544BB">
          <w:rPr>
            <w:noProof/>
            <w:webHidden/>
          </w:rPr>
          <w:fldChar w:fldCharType="end"/>
        </w:r>
      </w:hyperlink>
    </w:p>
    <w:p w:rsidR="002544BB" w:rsidRDefault="00C96E7A" w14:paraId="0FB3C3C2" w14:textId="3500C36D">
      <w:pPr>
        <w:pStyle w:val="TOC2"/>
        <w:rPr>
          <w:rFonts w:asciiTheme="minorHAnsi" w:hAnsiTheme="minorHAnsi" w:eastAsiaTheme="minorEastAsia" w:cstheme="minorBidi"/>
          <w:noProof/>
          <w:sz w:val="22"/>
          <w:szCs w:val="22"/>
        </w:rPr>
      </w:pPr>
      <w:hyperlink w:history="1" w:anchor="_Toc105681488">
        <w:r w:rsidRPr="009931BC" w:rsidR="002544BB">
          <w:rPr>
            <w:rStyle w:val="Hyperlink"/>
            <w:noProof/>
          </w:rPr>
          <w:t>2.3</w:t>
        </w:r>
        <w:r w:rsidR="002544BB">
          <w:rPr>
            <w:rFonts w:asciiTheme="minorHAnsi" w:hAnsiTheme="minorHAnsi" w:eastAsiaTheme="minorEastAsia" w:cstheme="minorBidi"/>
            <w:noProof/>
            <w:sz w:val="22"/>
            <w:szCs w:val="22"/>
          </w:rPr>
          <w:tab/>
        </w:r>
        <w:r w:rsidRPr="009931BC" w:rsidR="002544BB">
          <w:rPr>
            <w:rStyle w:val="Hyperlink"/>
            <w:noProof/>
          </w:rPr>
          <w:t>Alternative 3:  Address Issues Without Rulemaking</w:t>
        </w:r>
        <w:r w:rsidR="002544BB">
          <w:rPr>
            <w:noProof/>
            <w:webHidden/>
          </w:rPr>
          <w:tab/>
        </w:r>
        <w:r w:rsidR="002544BB">
          <w:rPr>
            <w:noProof/>
            <w:webHidden/>
          </w:rPr>
          <w:fldChar w:fldCharType="begin"/>
        </w:r>
        <w:r w:rsidR="002544BB">
          <w:rPr>
            <w:noProof/>
            <w:webHidden/>
          </w:rPr>
          <w:instrText xml:space="preserve"> PAGEREF _Toc105681488 \h </w:instrText>
        </w:r>
        <w:r w:rsidR="002544BB">
          <w:rPr>
            <w:noProof/>
            <w:webHidden/>
          </w:rPr>
        </w:r>
        <w:r w:rsidR="002544BB">
          <w:rPr>
            <w:noProof/>
            <w:webHidden/>
          </w:rPr>
          <w:fldChar w:fldCharType="separate"/>
        </w:r>
        <w:r w:rsidR="002544BB">
          <w:rPr>
            <w:noProof/>
            <w:webHidden/>
          </w:rPr>
          <w:t>8</w:t>
        </w:r>
        <w:r w:rsidR="002544BB">
          <w:rPr>
            <w:noProof/>
            <w:webHidden/>
          </w:rPr>
          <w:fldChar w:fldCharType="end"/>
        </w:r>
      </w:hyperlink>
    </w:p>
    <w:p w:rsidR="002544BB" w:rsidRDefault="00C96E7A" w14:paraId="7E69905C" w14:textId="6E28210C">
      <w:pPr>
        <w:pStyle w:val="TOC1"/>
        <w:rPr>
          <w:rFonts w:asciiTheme="minorHAnsi" w:hAnsiTheme="minorHAnsi" w:eastAsiaTheme="minorEastAsia" w:cstheme="minorBidi"/>
          <w:noProof/>
          <w:sz w:val="22"/>
          <w:szCs w:val="22"/>
        </w:rPr>
      </w:pPr>
      <w:hyperlink w:history="1" w:anchor="_Toc105681489">
        <w:r w:rsidRPr="009931BC" w:rsidR="002544BB">
          <w:rPr>
            <w:rStyle w:val="Hyperlink"/>
            <w:noProof/>
          </w:rPr>
          <w:t>3.</w:t>
        </w:r>
        <w:r w:rsidR="002544BB">
          <w:rPr>
            <w:rFonts w:asciiTheme="minorHAnsi" w:hAnsiTheme="minorHAnsi" w:eastAsiaTheme="minorEastAsia" w:cstheme="minorBidi"/>
            <w:noProof/>
            <w:sz w:val="22"/>
            <w:szCs w:val="22"/>
          </w:rPr>
          <w:tab/>
        </w:r>
        <w:r w:rsidRPr="009931BC" w:rsidR="002544BB">
          <w:rPr>
            <w:rStyle w:val="Hyperlink"/>
            <w:noProof/>
          </w:rPr>
          <w:t>Safety Goal Evaluation</w:t>
        </w:r>
        <w:r w:rsidR="002544BB">
          <w:rPr>
            <w:noProof/>
            <w:webHidden/>
          </w:rPr>
          <w:tab/>
        </w:r>
        <w:r w:rsidR="002544BB">
          <w:rPr>
            <w:noProof/>
            <w:webHidden/>
          </w:rPr>
          <w:fldChar w:fldCharType="begin"/>
        </w:r>
        <w:r w:rsidR="002544BB">
          <w:rPr>
            <w:noProof/>
            <w:webHidden/>
          </w:rPr>
          <w:instrText xml:space="preserve"> PAGEREF _Toc105681489 \h </w:instrText>
        </w:r>
        <w:r w:rsidR="002544BB">
          <w:rPr>
            <w:noProof/>
            <w:webHidden/>
          </w:rPr>
        </w:r>
        <w:r w:rsidR="002544BB">
          <w:rPr>
            <w:noProof/>
            <w:webHidden/>
          </w:rPr>
          <w:fldChar w:fldCharType="separate"/>
        </w:r>
        <w:r w:rsidR="002544BB">
          <w:rPr>
            <w:noProof/>
            <w:webHidden/>
          </w:rPr>
          <w:t>10</w:t>
        </w:r>
        <w:r w:rsidR="002544BB">
          <w:rPr>
            <w:noProof/>
            <w:webHidden/>
          </w:rPr>
          <w:fldChar w:fldCharType="end"/>
        </w:r>
      </w:hyperlink>
    </w:p>
    <w:p w:rsidR="002544BB" w:rsidRDefault="00C96E7A" w14:paraId="32D4240A" w14:textId="0827EC1E">
      <w:pPr>
        <w:pStyle w:val="TOC1"/>
        <w:rPr>
          <w:rFonts w:asciiTheme="minorHAnsi" w:hAnsiTheme="minorHAnsi" w:eastAsiaTheme="minorEastAsia" w:cstheme="minorBidi"/>
          <w:noProof/>
          <w:sz w:val="22"/>
          <w:szCs w:val="22"/>
        </w:rPr>
      </w:pPr>
      <w:hyperlink w:history="1" w:anchor="_Toc105681490">
        <w:r w:rsidRPr="009931BC" w:rsidR="002544BB">
          <w:rPr>
            <w:rStyle w:val="Hyperlink"/>
            <w:noProof/>
          </w:rPr>
          <w:t>4.</w:t>
        </w:r>
        <w:r w:rsidR="002544BB">
          <w:rPr>
            <w:rFonts w:asciiTheme="minorHAnsi" w:hAnsiTheme="minorHAnsi" w:eastAsiaTheme="minorEastAsia" w:cstheme="minorBidi"/>
            <w:noProof/>
            <w:sz w:val="22"/>
            <w:szCs w:val="22"/>
          </w:rPr>
          <w:tab/>
        </w:r>
        <w:r w:rsidRPr="009931BC" w:rsidR="002544BB">
          <w:rPr>
            <w:rStyle w:val="Hyperlink"/>
            <w:noProof/>
          </w:rPr>
          <w:t>Evaluation of Benefits and Costs</w:t>
        </w:r>
        <w:r w:rsidR="002544BB">
          <w:rPr>
            <w:noProof/>
            <w:webHidden/>
          </w:rPr>
          <w:tab/>
        </w:r>
        <w:r w:rsidR="002544BB">
          <w:rPr>
            <w:noProof/>
            <w:webHidden/>
          </w:rPr>
          <w:fldChar w:fldCharType="begin"/>
        </w:r>
        <w:r w:rsidR="002544BB">
          <w:rPr>
            <w:noProof/>
            <w:webHidden/>
          </w:rPr>
          <w:instrText xml:space="preserve"> PAGEREF _Toc105681490 \h </w:instrText>
        </w:r>
        <w:r w:rsidR="002544BB">
          <w:rPr>
            <w:noProof/>
            <w:webHidden/>
          </w:rPr>
        </w:r>
        <w:r w:rsidR="002544BB">
          <w:rPr>
            <w:noProof/>
            <w:webHidden/>
          </w:rPr>
          <w:fldChar w:fldCharType="separate"/>
        </w:r>
        <w:r w:rsidR="002544BB">
          <w:rPr>
            <w:noProof/>
            <w:webHidden/>
          </w:rPr>
          <w:t>13</w:t>
        </w:r>
        <w:r w:rsidR="002544BB">
          <w:rPr>
            <w:noProof/>
            <w:webHidden/>
          </w:rPr>
          <w:fldChar w:fldCharType="end"/>
        </w:r>
      </w:hyperlink>
    </w:p>
    <w:p w:rsidR="002544BB" w:rsidRDefault="00C96E7A" w14:paraId="0F776EF9" w14:textId="512AB8F0">
      <w:pPr>
        <w:pStyle w:val="TOC2"/>
        <w:rPr>
          <w:rFonts w:asciiTheme="minorHAnsi" w:hAnsiTheme="minorHAnsi" w:eastAsiaTheme="minorEastAsia" w:cstheme="minorBidi"/>
          <w:noProof/>
          <w:sz w:val="22"/>
          <w:szCs w:val="22"/>
        </w:rPr>
      </w:pPr>
      <w:hyperlink w:history="1" w:anchor="_Toc105681491">
        <w:r w:rsidRPr="009931BC" w:rsidR="002544BB">
          <w:rPr>
            <w:rStyle w:val="Hyperlink"/>
            <w:noProof/>
          </w:rPr>
          <w:t>4.1</w:t>
        </w:r>
        <w:r w:rsidR="002544BB">
          <w:rPr>
            <w:rFonts w:asciiTheme="minorHAnsi" w:hAnsiTheme="minorHAnsi" w:eastAsiaTheme="minorEastAsia" w:cstheme="minorBidi"/>
            <w:noProof/>
            <w:sz w:val="22"/>
            <w:szCs w:val="22"/>
          </w:rPr>
          <w:tab/>
        </w:r>
        <w:r w:rsidRPr="009931BC" w:rsidR="002544BB">
          <w:rPr>
            <w:rStyle w:val="Hyperlink"/>
            <w:noProof/>
          </w:rPr>
          <w:t>Identification of Affected Attributes</w:t>
        </w:r>
        <w:r w:rsidR="002544BB">
          <w:rPr>
            <w:noProof/>
            <w:webHidden/>
          </w:rPr>
          <w:tab/>
        </w:r>
        <w:r w:rsidR="002544BB">
          <w:rPr>
            <w:noProof/>
            <w:webHidden/>
          </w:rPr>
          <w:fldChar w:fldCharType="begin"/>
        </w:r>
        <w:r w:rsidR="002544BB">
          <w:rPr>
            <w:noProof/>
            <w:webHidden/>
          </w:rPr>
          <w:instrText xml:space="preserve"> PAGEREF _Toc105681491 \h </w:instrText>
        </w:r>
        <w:r w:rsidR="002544BB">
          <w:rPr>
            <w:noProof/>
            <w:webHidden/>
          </w:rPr>
        </w:r>
        <w:r w:rsidR="002544BB">
          <w:rPr>
            <w:noProof/>
            <w:webHidden/>
          </w:rPr>
          <w:fldChar w:fldCharType="separate"/>
        </w:r>
        <w:r w:rsidR="002544BB">
          <w:rPr>
            <w:noProof/>
            <w:webHidden/>
          </w:rPr>
          <w:t>13</w:t>
        </w:r>
        <w:r w:rsidR="002544BB">
          <w:rPr>
            <w:noProof/>
            <w:webHidden/>
          </w:rPr>
          <w:fldChar w:fldCharType="end"/>
        </w:r>
      </w:hyperlink>
    </w:p>
    <w:p w:rsidR="002544BB" w:rsidRDefault="00C96E7A" w14:paraId="73E90A0A" w14:textId="7A556CDF">
      <w:pPr>
        <w:pStyle w:val="TOC2"/>
        <w:rPr>
          <w:rFonts w:asciiTheme="minorHAnsi" w:hAnsiTheme="minorHAnsi" w:eastAsiaTheme="minorEastAsia" w:cstheme="minorBidi"/>
          <w:noProof/>
          <w:sz w:val="22"/>
          <w:szCs w:val="22"/>
        </w:rPr>
      </w:pPr>
      <w:hyperlink w:history="1" w:anchor="_Toc105681492">
        <w:r w:rsidRPr="009931BC" w:rsidR="002544BB">
          <w:rPr>
            <w:rStyle w:val="Hyperlink"/>
            <w:noProof/>
          </w:rPr>
          <w:t>4.2</w:t>
        </w:r>
        <w:r w:rsidR="002544BB">
          <w:rPr>
            <w:rFonts w:asciiTheme="minorHAnsi" w:hAnsiTheme="minorHAnsi" w:eastAsiaTheme="minorEastAsia" w:cstheme="minorBidi"/>
            <w:noProof/>
            <w:sz w:val="22"/>
            <w:szCs w:val="22"/>
          </w:rPr>
          <w:tab/>
        </w:r>
        <w:r w:rsidRPr="009931BC" w:rsidR="002544BB">
          <w:rPr>
            <w:rStyle w:val="Hyperlink"/>
            <w:noProof/>
          </w:rPr>
          <w:t>Analytical Methodology</w:t>
        </w:r>
        <w:r w:rsidR="002544BB">
          <w:rPr>
            <w:noProof/>
            <w:webHidden/>
          </w:rPr>
          <w:tab/>
        </w:r>
        <w:r w:rsidR="002544BB">
          <w:rPr>
            <w:noProof/>
            <w:webHidden/>
          </w:rPr>
          <w:fldChar w:fldCharType="begin"/>
        </w:r>
        <w:r w:rsidR="002544BB">
          <w:rPr>
            <w:noProof/>
            <w:webHidden/>
          </w:rPr>
          <w:instrText xml:space="preserve"> PAGEREF _Toc105681492 \h </w:instrText>
        </w:r>
        <w:r w:rsidR="002544BB">
          <w:rPr>
            <w:noProof/>
            <w:webHidden/>
          </w:rPr>
        </w:r>
        <w:r w:rsidR="002544BB">
          <w:rPr>
            <w:noProof/>
            <w:webHidden/>
          </w:rPr>
          <w:fldChar w:fldCharType="separate"/>
        </w:r>
        <w:r w:rsidR="002544BB">
          <w:rPr>
            <w:noProof/>
            <w:webHidden/>
          </w:rPr>
          <w:t>17</w:t>
        </w:r>
        <w:r w:rsidR="002544BB">
          <w:rPr>
            <w:noProof/>
            <w:webHidden/>
          </w:rPr>
          <w:fldChar w:fldCharType="end"/>
        </w:r>
      </w:hyperlink>
    </w:p>
    <w:p w:rsidR="002544BB" w:rsidRDefault="00C96E7A" w14:paraId="4E331BB1" w14:textId="70D3318D">
      <w:pPr>
        <w:pStyle w:val="TOC3"/>
        <w:rPr>
          <w:rFonts w:asciiTheme="minorHAnsi" w:hAnsiTheme="minorHAnsi" w:eastAsiaTheme="minorEastAsia" w:cstheme="minorBidi"/>
          <w:noProof/>
          <w:sz w:val="22"/>
          <w:szCs w:val="22"/>
        </w:rPr>
      </w:pPr>
      <w:hyperlink w:history="1" w:anchor="_Toc105681493">
        <w:r w:rsidRPr="009931BC" w:rsidR="002544BB">
          <w:rPr>
            <w:rStyle w:val="Hyperlink"/>
            <w:noProof/>
          </w:rPr>
          <w:t>4.2.1</w:t>
        </w:r>
        <w:r w:rsidR="002544BB">
          <w:rPr>
            <w:rFonts w:asciiTheme="minorHAnsi" w:hAnsiTheme="minorHAnsi" w:eastAsiaTheme="minorEastAsia" w:cstheme="minorBidi"/>
            <w:noProof/>
            <w:sz w:val="22"/>
            <w:szCs w:val="22"/>
          </w:rPr>
          <w:tab/>
        </w:r>
        <w:r w:rsidRPr="009931BC" w:rsidR="002544BB">
          <w:rPr>
            <w:rStyle w:val="Hyperlink"/>
            <w:noProof/>
          </w:rPr>
          <w:t>Baseline for Analysis</w:t>
        </w:r>
        <w:r w:rsidR="002544BB">
          <w:rPr>
            <w:noProof/>
            <w:webHidden/>
          </w:rPr>
          <w:tab/>
        </w:r>
        <w:r w:rsidR="002544BB">
          <w:rPr>
            <w:noProof/>
            <w:webHidden/>
          </w:rPr>
          <w:fldChar w:fldCharType="begin"/>
        </w:r>
        <w:r w:rsidR="002544BB">
          <w:rPr>
            <w:noProof/>
            <w:webHidden/>
          </w:rPr>
          <w:instrText xml:space="preserve"> PAGEREF _Toc105681493 \h </w:instrText>
        </w:r>
        <w:r w:rsidR="002544BB">
          <w:rPr>
            <w:noProof/>
            <w:webHidden/>
          </w:rPr>
        </w:r>
        <w:r w:rsidR="002544BB">
          <w:rPr>
            <w:noProof/>
            <w:webHidden/>
          </w:rPr>
          <w:fldChar w:fldCharType="separate"/>
        </w:r>
        <w:r w:rsidR="002544BB">
          <w:rPr>
            <w:noProof/>
            <w:webHidden/>
          </w:rPr>
          <w:t>19</w:t>
        </w:r>
        <w:r w:rsidR="002544BB">
          <w:rPr>
            <w:noProof/>
            <w:webHidden/>
          </w:rPr>
          <w:fldChar w:fldCharType="end"/>
        </w:r>
      </w:hyperlink>
    </w:p>
    <w:p w:rsidR="002544BB" w:rsidRDefault="00C96E7A" w14:paraId="19BA2B19" w14:textId="196BDB8D">
      <w:pPr>
        <w:pStyle w:val="TOC3"/>
        <w:rPr>
          <w:rFonts w:asciiTheme="minorHAnsi" w:hAnsiTheme="minorHAnsi" w:eastAsiaTheme="minorEastAsia" w:cstheme="minorBidi"/>
          <w:noProof/>
          <w:sz w:val="22"/>
          <w:szCs w:val="22"/>
        </w:rPr>
      </w:pPr>
      <w:hyperlink w:history="1" w:anchor="_Toc105681494">
        <w:r w:rsidRPr="009931BC" w:rsidR="002544BB">
          <w:rPr>
            <w:rStyle w:val="Hyperlink"/>
            <w:noProof/>
          </w:rPr>
          <w:t>4.2.2</w:t>
        </w:r>
        <w:r w:rsidR="002544BB">
          <w:rPr>
            <w:rFonts w:asciiTheme="minorHAnsi" w:hAnsiTheme="minorHAnsi" w:eastAsiaTheme="minorEastAsia" w:cstheme="minorBidi"/>
            <w:noProof/>
            <w:sz w:val="22"/>
            <w:szCs w:val="22"/>
          </w:rPr>
          <w:tab/>
        </w:r>
        <w:r w:rsidRPr="009931BC" w:rsidR="002544BB">
          <w:rPr>
            <w:rStyle w:val="Hyperlink"/>
            <w:noProof/>
          </w:rPr>
          <w:t>Affected Entities (Sites and Fitness for Duty Programs)</w:t>
        </w:r>
        <w:r w:rsidR="002544BB">
          <w:rPr>
            <w:noProof/>
            <w:webHidden/>
          </w:rPr>
          <w:tab/>
        </w:r>
        <w:r w:rsidR="002544BB">
          <w:rPr>
            <w:noProof/>
            <w:webHidden/>
          </w:rPr>
          <w:fldChar w:fldCharType="begin"/>
        </w:r>
        <w:r w:rsidR="002544BB">
          <w:rPr>
            <w:noProof/>
            <w:webHidden/>
          </w:rPr>
          <w:instrText xml:space="preserve"> PAGEREF _Toc105681494 \h </w:instrText>
        </w:r>
        <w:r w:rsidR="002544BB">
          <w:rPr>
            <w:noProof/>
            <w:webHidden/>
          </w:rPr>
        </w:r>
        <w:r w:rsidR="002544BB">
          <w:rPr>
            <w:noProof/>
            <w:webHidden/>
          </w:rPr>
          <w:fldChar w:fldCharType="separate"/>
        </w:r>
        <w:r w:rsidR="002544BB">
          <w:rPr>
            <w:noProof/>
            <w:webHidden/>
          </w:rPr>
          <w:t>19</w:t>
        </w:r>
        <w:r w:rsidR="002544BB">
          <w:rPr>
            <w:noProof/>
            <w:webHidden/>
          </w:rPr>
          <w:fldChar w:fldCharType="end"/>
        </w:r>
      </w:hyperlink>
    </w:p>
    <w:p w:rsidR="002544BB" w:rsidRDefault="00C96E7A" w14:paraId="161410BD" w14:textId="43BE8D82">
      <w:pPr>
        <w:pStyle w:val="TOC3"/>
        <w:rPr>
          <w:rFonts w:asciiTheme="minorHAnsi" w:hAnsiTheme="minorHAnsi" w:eastAsiaTheme="minorEastAsia" w:cstheme="minorBidi"/>
          <w:noProof/>
          <w:sz w:val="22"/>
          <w:szCs w:val="22"/>
        </w:rPr>
      </w:pPr>
      <w:hyperlink w:history="1" w:anchor="_Toc105681495">
        <w:r w:rsidRPr="009931BC" w:rsidR="002544BB">
          <w:rPr>
            <w:rStyle w:val="Hyperlink"/>
            <w:noProof/>
          </w:rPr>
          <w:t>4.2.3</w:t>
        </w:r>
        <w:r w:rsidR="002544BB">
          <w:rPr>
            <w:rFonts w:asciiTheme="minorHAnsi" w:hAnsiTheme="minorHAnsi" w:eastAsiaTheme="minorEastAsia" w:cstheme="minorBidi"/>
            <w:noProof/>
            <w:sz w:val="22"/>
            <w:szCs w:val="22"/>
          </w:rPr>
          <w:tab/>
        </w:r>
        <w:r w:rsidRPr="009931BC" w:rsidR="002544BB">
          <w:rPr>
            <w:rStyle w:val="Hyperlink"/>
            <w:noProof/>
          </w:rPr>
          <w:t>Cost and Benefit Calculations</w:t>
        </w:r>
        <w:r w:rsidR="002544BB">
          <w:rPr>
            <w:noProof/>
            <w:webHidden/>
          </w:rPr>
          <w:tab/>
        </w:r>
        <w:r w:rsidR="002544BB">
          <w:rPr>
            <w:noProof/>
            <w:webHidden/>
          </w:rPr>
          <w:fldChar w:fldCharType="begin"/>
        </w:r>
        <w:r w:rsidR="002544BB">
          <w:rPr>
            <w:noProof/>
            <w:webHidden/>
          </w:rPr>
          <w:instrText xml:space="preserve"> PAGEREF _Toc105681495 \h </w:instrText>
        </w:r>
        <w:r w:rsidR="002544BB">
          <w:rPr>
            <w:noProof/>
            <w:webHidden/>
          </w:rPr>
        </w:r>
        <w:r w:rsidR="002544BB">
          <w:rPr>
            <w:noProof/>
            <w:webHidden/>
          </w:rPr>
          <w:fldChar w:fldCharType="separate"/>
        </w:r>
        <w:r w:rsidR="002544BB">
          <w:rPr>
            <w:noProof/>
            <w:webHidden/>
          </w:rPr>
          <w:t>20</w:t>
        </w:r>
        <w:r w:rsidR="002544BB">
          <w:rPr>
            <w:noProof/>
            <w:webHidden/>
          </w:rPr>
          <w:fldChar w:fldCharType="end"/>
        </w:r>
      </w:hyperlink>
    </w:p>
    <w:p w:rsidR="002544BB" w:rsidRDefault="00C96E7A" w14:paraId="1AD2CE0C" w14:textId="551A1932">
      <w:pPr>
        <w:pStyle w:val="TOC3"/>
        <w:rPr>
          <w:rFonts w:asciiTheme="minorHAnsi" w:hAnsiTheme="minorHAnsi" w:eastAsiaTheme="minorEastAsia" w:cstheme="minorBidi"/>
          <w:noProof/>
          <w:sz w:val="22"/>
          <w:szCs w:val="22"/>
        </w:rPr>
      </w:pPr>
      <w:hyperlink w:history="1" w:anchor="_Toc105681496">
        <w:r w:rsidRPr="009931BC" w:rsidR="002544BB">
          <w:rPr>
            <w:rStyle w:val="Hyperlink"/>
            <w:noProof/>
          </w:rPr>
          <w:t>4.2.4</w:t>
        </w:r>
        <w:r w:rsidR="002544BB">
          <w:rPr>
            <w:rFonts w:asciiTheme="minorHAnsi" w:hAnsiTheme="minorHAnsi" w:eastAsiaTheme="minorEastAsia" w:cstheme="minorBidi"/>
            <w:noProof/>
            <w:sz w:val="22"/>
            <w:szCs w:val="22"/>
          </w:rPr>
          <w:tab/>
        </w:r>
        <w:r w:rsidRPr="009931BC" w:rsidR="002544BB">
          <w:rPr>
            <w:rStyle w:val="Hyperlink"/>
            <w:noProof/>
          </w:rPr>
          <w:t>Incremental Requirements in the Final Rule</w:t>
        </w:r>
        <w:r w:rsidR="002544BB">
          <w:rPr>
            <w:noProof/>
            <w:webHidden/>
          </w:rPr>
          <w:tab/>
        </w:r>
        <w:r w:rsidR="002544BB">
          <w:rPr>
            <w:noProof/>
            <w:webHidden/>
          </w:rPr>
          <w:fldChar w:fldCharType="begin"/>
        </w:r>
        <w:r w:rsidR="002544BB">
          <w:rPr>
            <w:noProof/>
            <w:webHidden/>
          </w:rPr>
          <w:instrText xml:space="preserve"> PAGEREF _Toc105681496 \h </w:instrText>
        </w:r>
        <w:r w:rsidR="002544BB">
          <w:rPr>
            <w:noProof/>
            <w:webHidden/>
          </w:rPr>
        </w:r>
        <w:r w:rsidR="002544BB">
          <w:rPr>
            <w:noProof/>
            <w:webHidden/>
          </w:rPr>
          <w:fldChar w:fldCharType="separate"/>
        </w:r>
        <w:r w:rsidR="002544BB">
          <w:rPr>
            <w:noProof/>
            <w:webHidden/>
          </w:rPr>
          <w:t>24</w:t>
        </w:r>
        <w:r w:rsidR="002544BB">
          <w:rPr>
            <w:noProof/>
            <w:webHidden/>
          </w:rPr>
          <w:fldChar w:fldCharType="end"/>
        </w:r>
      </w:hyperlink>
    </w:p>
    <w:p w:rsidR="002544BB" w:rsidRDefault="00C96E7A" w14:paraId="24375C5B" w14:textId="0E61D868">
      <w:pPr>
        <w:pStyle w:val="TOC3"/>
        <w:rPr>
          <w:rFonts w:asciiTheme="minorHAnsi" w:hAnsiTheme="minorHAnsi" w:eastAsiaTheme="minorEastAsia" w:cstheme="minorBidi"/>
          <w:noProof/>
          <w:sz w:val="22"/>
          <w:szCs w:val="22"/>
        </w:rPr>
      </w:pPr>
      <w:hyperlink w:history="1" w:anchor="_Toc105681497">
        <w:r w:rsidRPr="009931BC" w:rsidR="002544BB">
          <w:rPr>
            <w:rStyle w:val="Hyperlink"/>
            <w:noProof/>
          </w:rPr>
          <w:t>4.2.5</w:t>
        </w:r>
        <w:r w:rsidR="002544BB">
          <w:rPr>
            <w:rFonts w:asciiTheme="minorHAnsi" w:hAnsiTheme="minorHAnsi" w:eastAsiaTheme="minorEastAsia" w:cstheme="minorBidi"/>
            <w:noProof/>
            <w:sz w:val="22"/>
            <w:szCs w:val="22"/>
          </w:rPr>
          <w:tab/>
        </w:r>
        <w:r w:rsidRPr="009931BC" w:rsidR="002544BB">
          <w:rPr>
            <w:rStyle w:val="Hyperlink"/>
            <w:noProof/>
          </w:rPr>
          <w:t>Data Sources</w:t>
        </w:r>
        <w:r w:rsidR="002544BB">
          <w:rPr>
            <w:noProof/>
            <w:webHidden/>
          </w:rPr>
          <w:tab/>
        </w:r>
        <w:r w:rsidR="002544BB">
          <w:rPr>
            <w:noProof/>
            <w:webHidden/>
          </w:rPr>
          <w:fldChar w:fldCharType="begin"/>
        </w:r>
        <w:r w:rsidR="002544BB">
          <w:rPr>
            <w:noProof/>
            <w:webHidden/>
          </w:rPr>
          <w:instrText xml:space="preserve"> PAGEREF _Toc105681497 \h </w:instrText>
        </w:r>
        <w:r w:rsidR="002544BB">
          <w:rPr>
            <w:noProof/>
            <w:webHidden/>
          </w:rPr>
        </w:r>
        <w:r w:rsidR="002544BB">
          <w:rPr>
            <w:noProof/>
            <w:webHidden/>
          </w:rPr>
          <w:fldChar w:fldCharType="separate"/>
        </w:r>
        <w:r w:rsidR="002544BB">
          <w:rPr>
            <w:noProof/>
            <w:webHidden/>
          </w:rPr>
          <w:t>29</w:t>
        </w:r>
        <w:r w:rsidR="002544BB">
          <w:rPr>
            <w:noProof/>
            <w:webHidden/>
          </w:rPr>
          <w:fldChar w:fldCharType="end"/>
        </w:r>
      </w:hyperlink>
    </w:p>
    <w:p w:rsidR="002544BB" w:rsidRDefault="00C96E7A" w14:paraId="7ADED929" w14:textId="5B13D8AC">
      <w:pPr>
        <w:pStyle w:val="TOC3"/>
        <w:rPr>
          <w:rFonts w:asciiTheme="minorHAnsi" w:hAnsiTheme="minorHAnsi" w:eastAsiaTheme="minorEastAsia" w:cstheme="minorBidi"/>
          <w:noProof/>
          <w:sz w:val="22"/>
          <w:szCs w:val="22"/>
        </w:rPr>
      </w:pPr>
      <w:hyperlink w:history="1" w:anchor="_Toc105681498">
        <w:r w:rsidRPr="009931BC" w:rsidR="002544BB">
          <w:rPr>
            <w:rStyle w:val="Hyperlink"/>
            <w:noProof/>
          </w:rPr>
          <w:t>4.2.6</w:t>
        </w:r>
        <w:r w:rsidR="002544BB">
          <w:rPr>
            <w:rFonts w:asciiTheme="minorHAnsi" w:hAnsiTheme="minorHAnsi" w:eastAsiaTheme="minorEastAsia" w:cstheme="minorBidi"/>
            <w:noProof/>
            <w:sz w:val="22"/>
            <w:szCs w:val="22"/>
          </w:rPr>
          <w:tab/>
        </w:r>
        <w:r w:rsidRPr="009931BC" w:rsidR="002544BB">
          <w:rPr>
            <w:rStyle w:val="Hyperlink"/>
            <w:noProof/>
          </w:rPr>
          <w:t>Assumptions</w:t>
        </w:r>
        <w:r w:rsidR="002544BB">
          <w:rPr>
            <w:noProof/>
            <w:webHidden/>
          </w:rPr>
          <w:tab/>
        </w:r>
        <w:r w:rsidR="002544BB">
          <w:rPr>
            <w:noProof/>
            <w:webHidden/>
          </w:rPr>
          <w:fldChar w:fldCharType="begin"/>
        </w:r>
        <w:r w:rsidR="002544BB">
          <w:rPr>
            <w:noProof/>
            <w:webHidden/>
          </w:rPr>
          <w:instrText xml:space="preserve"> PAGEREF _Toc105681498 \h </w:instrText>
        </w:r>
        <w:r w:rsidR="002544BB">
          <w:rPr>
            <w:noProof/>
            <w:webHidden/>
          </w:rPr>
        </w:r>
        <w:r w:rsidR="002544BB">
          <w:rPr>
            <w:noProof/>
            <w:webHidden/>
          </w:rPr>
          <w:fldChar w:fldCharType="separate"/>
        </w:r>
        <w:r w:rsidR="002544BB">
          <w:rPr>
            <w:noProof/>
            <w:webHidden/>
          </w:rPr>
          <w:t>32</w:t>
        </w:r>
        <w:r w:rsidR="002544BB">
          <w:rPr>
            <w:noProof/>
            <w:webHidden/>
          </w:rPr>
          <w:fldChar w:fldCharType="end"/>
        </w:r>
      </w:hyperlink>
    </w:p>
    <w:p w:rsidR="002544BB" w:rsidRDefault="00C96E7A" w14:paraId="523DEC62" w14:textId="12F0099A">
      <w:pPr>
        <w:pStyle w:val="TOC1"/>
        <w:rPr>
          <w:rFonts w:asciiTheme="minorHAnsi" w:hAnsiTheme="minorHAnsi" w:eastAsiaTheme="minorEastAsia" w:cstheme="minorBidi"/>
          <w:noProof/>
          <w:sz w:val="22"/>
          <w:szCs w:val="22"/>
        </w:rPr>
      </w:pPr>
      <w:hyperlink w:history="1" w:anchor="_Toc105681499">
        <w:r w:rsidRPr="009931BC" w:rsidR="002544BB">
          <w:rPr>
            <w:rStyle w:val="Hyperlink"/>
            <w:noProof/>
          </w:rPr>
          <w:t>5.</w:t>
        </w:r>
        <w:r w:rsidR="002544BB">
          <w:rPr>
            <w:rFonts w:asciiTheme="minorHAnsi" w:hAnsiTheme="minorHAnsi" w:eastAsiaTheme="minorEastAsia" w:cstheme="minorBidi"/>
            <w:noProof/>
            <w:sz w:val="22"/>
            <w:szCs w:val="22"/>
          </w:rPr>
          <w:tab/>
        </w:r>
        <w:r w:rsidRPr="009931BC" w:rsidR="002544BB">
          <w:rPr>
            <w:rStyle w:val="Hyperlink"/>
            <w:noProof/>
          </w:rPr>
          <w:t>Results</w:t>
        </w:r>
        <w:r w:rsidR="002544BB">
          <w:rPr>
            <w:noProof/>
            <w:webHidden/>
          </w:rPr>
          <w:tab/>
        </w:r>
        <w:r w:rsidR="002544BB">
          <w:rPr>
            <w:noProof/>
            <w:webHidden/>
          </w:rPr>
          <w:fldChar w:fldCharType="begin"/>
        </w:r>
        <w:r w:rsidR="002544BB">
          <w:rPr>
            <w:noProof/>
            <w:webHidden/>
          </w:rPr>
          <w:instrText xml:space="preserve"> PAGEREF _Toc105681499 \h </w:instrText>
        </w:r>
        <w:r w:rsidR="002544BB">
          <w:rPr>
            <w:noProof/>
            <w:webHidden/>
          </w:rPr>
        </w:r>
        <w:r w:rsidR="002544BB">
          <w:rPr>
            <w:noProof/>
            <w:webHidden/>
          </w:rPr>
          <w:fldChar w:fldCharType="separate"/>
        </w:r>
        <w:r w:rsidR="002544BB">
          <w:rPr>
            <w:noProof/>
            <w:webHidden/>
          </w:rPr>
          <w:t>34</w:t>
        </w:r>
        <w:r w:rsidR="002544BB">
          <w:rPr>
            <w:noProof/>
            <w:webHidden/>
          </w:rPr>
          <w:fldChar w:fldCharType="end"/>
        </w:r>
      </w:hyperlink>
    </w:p>
    <w:p w:rsidR="002544BB" w:rsidRDefault="00C96E7A" w14:paraId="2CA25A6C" w14:textId="54AC69BA">
      <w:pPr>
        <w:pStyle w:val="TOC2"/>
        <w:rPr>
          <w:rFonts w:asciiTheme="minorHAnsi" w:hAnsiTheme="minorHAnsi" w:eastAsiaTheme="minorEastAsia" w:cstheme="minorBidi"/>
          <w:noProof/>
          <w:sz w:val="22"/>
          <w:szCs w:val="22"/>
        </w:rPr>
      </w:pPr>
      <w:hyperlink w:history="1" w:anchor="_Toc105681500">
        <w:r w:rsidRPr="009931BC" w:rsidR="002544BB">
          <w:rPr>
            <w:rStyle w:val="Hyperlink"/>
            <w:noProof/>
          </w:rPr>
          <w:t>5.1</w:t>
        </w:r>
        <w:r w:rsidR="002544BB">
          <w:rPr>
            <w:rFonts w:asciiTheme="minorHAnsi" w:hAnsiTheme="minorHAnsi" w:eastAsiaTheme="minorEastAsia" w:cstheme="minorBidi"/>
            <w:noProof/>
            <w:sz w:val="22"/>
            <w:szCs w:val="22"/>
          </w:rPr>
          <w:tab/>
        </w:r>
        <w:r w:rsidRPr="009931BC" w:rsidR="002544BB">
          <w:rPr>
            <w:rStyle w:val="Hyperlink"/>
            <w:noProof/>
          </w:rPr>
          <w:t>Benefits and Costs of the Final Rule</w:t>
        </w:r>
        <w:r w:rsidR="002544BB">
          <w:rPr>
            <w:noProof/>
            <w:webHidden/>
          </w:rPr>
          <w:tab/>
        </w:r>
        <w:r w:rsidR="002544BB">
          <w:rPr>
            <w:noProof/>
            <w:webHidden/>
          </w:rPr>
          <w:fldChar w:fldCharType="begin"/>
        </w:r>
        <w:r w:rsidR="002544BB">
          <w:rPr>
            <w:noProof/>
            <w:webHidden/>
          </w:rPr>
          <w:instrText xml:space="preserve"> PAGEREF _Toc105681500 \h </w:instrText>
        </w:r>
        <w:r w:rsidR="002544BB">
          <w:rPr>
            <w:noProof/>
            <w:webHidden/>
          </w:rPr>
        </w:r>
        <w:r w:rsidR="002544BB">
          <w:rPr>
            <w:noProof/>
            <w:webHidden/>
          </w:rPr>
          <w:fldChar w:fldCharType="separate"/>
        </w:r>
        <w:r w:rsidR="002544BB">
          <w:rPr>
            <w:noProof/>
            <w:webHidden/>
          </w:rPr>
          <w:t>34</w:t>
        </w:r>
        <w:r w:rsidR="002544BB">
          <w:rPr>
            <w:noProof/>
            <w:webHidden/>
          </w:rPr>
          <w:fldChar w:fldCharType="end"/>
        </w:r>
      </w:hyperlink>
    </w:p>
    <w:p w:rsidR="002544BB" w:rsidRDefault="00C96E7A" w14:paraId="6B73AD82" w14:textId="5ECB0DB8">
      <w:pPr>
        <w:pStyle w:val="TOC3"/>
        <w:rPr>
          <w:rFonts w:asciiTheme="minorHAnsi" w:hAnsiTheme="minorHAnsi" w:eastAsiaTheme="minorEastAsia" w:cstheme="minorBidi"/>
          <w:noProof/>
          <w:sz w:val="22"/>
          <w:szCs w:val="22"/>
        </w:rPr>
      </w:pPr>
      <w:hyperlink w:history="1" w:anchor="_Toc105681501">
        <w:r w:rsidRPr="009931BC" w:rsidR="002544BB">
          <w:rPr>
            <w:rStyle w:val="Hyperlink"/>
            <w:noProof/>
          </w:rPr>
          <w:t>5.1.1</w:t>
        </w:r>
        <w:r w:rsidR="002544BB">
          <w:rPr>
            <w:rFonts w:asciiTheme="minorHAnsi" w:hAnsiTheme="minorHAnsi" w:eastAsiaTheme="minorEastAsia" w:cstheme="minorBidi"/>
            <w:noProof/>
            <w:sz w:val="22"/>
            <w:szCs w:val="22"/>
          </w:rPr>
          <w:tab/>
        </w:r>
        <w:r w:rsidRPr="009931BC" w:rsidR="002544BB">
          <w:rPr>
            <w:rStyle w:val="Hyperlink"/>
            <w:noProof/>
          </w:rPr>
          <w:t>One-Time Policy, Procedure, and Training Costs</w:t>
        </w:r>
        <w:r w:rsidR="002544BB">
          <w:rPr>
            <w:noProof/>
            <w:webHidden/>
          </w:rPr>
          <w:tab/>
        </w:r>
        <w:r w:rsidR="002544BB">
          <w:rPr>
            <w:noProof/>
            <w:webHidden/>
          </w:rPr>
          <w:fldChar w:fldCharType="begin"/>
        </w:r>
        <w:r w:rsidR="002544BB">
          <w:rPr>
            <w:noProof/>
            <w:webHidden/>
          </w:rPr>
          <w:instrText xml:space="preserve"> PAGEREF _Toc105681501 \h </w:instrText>
        </w:r>
        <w:r w:rsidR="002544BB">
          <w:rPr>
            <w:noProof/>
            <w:webHidden/>
          </w:rPr>
        </w:r>
        <w:r w:rsidR="002544BB">
          <w:rPr>
            <w:noProof/>
            <w:webHidden/>
          </w:rPr>
          <w:fldChar w:fldCharType="separate"/>
        </w:r>
        <w:r w:rsidR="002544BB">
          <w:rPr>
            <w:noProof/>
            <w:webHidden/>
          </w:rPr>
          <w:t>38</w:t>
        </w:r>
        <w:r w:rsidR="002544BB">
          <w:rPr>
            <w:noProof/>
            <w:webHidden/>
          </w:rPr>
          <w:fldChar w:fldCharType="end"/>
        </w:r>
      </w:hyperlink>
    </w:p>
    <w:p w:rsidR="002544BB" w:rsidRDefault="00C96E7A" w14:paraId="4FD450FB" w14:textId="6264790F">
      <w:pPr>
        <w:pStyle w:val="TOC3"/>
        <w:rPr>
          <w:rFonts w:asciiTheme="minorHAnsi" w:hAnsiTheme="minorHAnsi" w:eastAsiaTheme="minorEastAsia" w:cstheme="minorBidi"/>
          <w:noProof/>
          <w:sz w:val="22"/>
          <w:szCs w:val="22"/>
        </w:rPr>
      </w:pPr>
      <w:hyperlink w:history="1" w:anchor="_Toc105681502">
        <w:r w:rsidRPr="009931BC" w:rsidR="002544BB">
          <w:rPr>
            <w:rStyle w:val="Hyperlink"/>
            <w:noProof/>
          </w:rPr>
          <w:t>5.1.2</w:t>
        </w:r>
        <w:r w:rsidR="002544BB">
          <w:rPr>
            <w:rFonts w:asciiTheme="minorHAnsi" w:hAnsiTheme="minorHAnsi" w:eastAsiaTheme="minorEastAsia" w:cstheme="minorBidi"/>
            <w:noProof/>
            <w:sz w:val="22"/>
            <w:szCs w:val="22"/>
          </w:rPr>
          <w:tab/>
        </w:r>
        <w:r w:rsidRPr="009931BC" w:rsidR="002544BB">
          <w:rPr>
            <w:rStyle w:val="Hyperlink"/>
            <w:noProof/>
          </w:rPr>
          <w:t>Lowered Initial and Confirmatory Drug Testing Cutoff Levels for Amphetamines and Cocaine Metabolites</w:t>
        </w:r>
        <w:r w:rsidR="002544BB">
          <w:rPr>
            <w:noProof/>
            <w:webHidden/>
          </w:rPr>
          <w:tab/>
        </w:r>
        <w:r w:rsidR="002544BB">
          <w:rPr>
            <w:noProof/>
            <w:webHidden/>
          </w:rPr>
          <w:fldChar w:fldCharType="begin"/>
        </w:r>
        <w:r w:rsidR="002544BB">
          <w:rPr>
            <w:noProof/>
            <w:webHidden/>
          </w:rPr>
          <w:instrText xml:space="preserve"> PAGEREF _Toc105681502 \h </w:instrText>
        </w:r>
        <w:r w:rsidR="002544BB">
          <w:rPr>
            <w:noProof/>
            <w:webHidden/>
          </w:rPr>
        </w:r>
        <w:r w:rsidR="002544BB">
          <w:rPr>
            <w:noProof/>
            <w:webHidden/>
          </w:rPr>
          <w:fldChar w:fldCharType="separate"/>
        </w:r>
        <w:r w:rsidR="002544BB">
          <w:rPr>
            <w:noProof/>
            <w:webHidden/>
          </w:rPr>
          <w:t>39</w:t>
        </w:r>
        <w:r w:rsidR="002544BB">
          <w:rPr>
            <w:noProof/>
            <w:webHidden/>
          </w:rPr>
          <w:fldChar w:fldCharType="end"/>
        </w:r>
      </w:hyperlink>
    </w:p>
    <w:p w:rsidR="002544BB" w:rsidRDefault="00C96E7A" w14:paraId="1F3397A9" w14:textId="09A3BBDE">
      <w:pPr>
        <w:pStyle w:val="TOC3"/>
        <w:rPr>
          <w:rFonts w:asciiTheme="minorHAnsi" w:hAnsiTheme="minorHAnsi" w:eastAsiaTheme="minorEastAsia" w:cstheme="minorBidi"/>
          <w:noProof/>
          <w:sz w:val="22"/>
          <w:szCs w:val="22"/>
        </w:rPr>
      </w:pPr>
      <w:hyperlink w:history="1" w:anchor="_Toc105681503">
        <w:r w:rsidRPr="009931BC" w:rsidR="002544BB">
          <w:rPr>
            <w:rStyle w:val="Hyperlink"/>
            <w:noProof/>
          </w:rPr>
          <w:t>5.1.3</w:t>
        </w:r>
        <w:r w:rsidR="002544BB">
          <w:rPr>
            <w:rFonts w:asciiTheme="minorHAnsi" w:hAnsiTheme="minorHAnsi" w:eastAsiaTheme="minorEastAsia" w:cstheme="minorBidi"/>
            <w:noProof/>
            <w:sz w:val="22"/>
            <w:szCs w:val="22"/>
          </w:rPr>
          <w:tab/>
        </w:r>
        <w:r w:rsidRPr="009931BC" w:rsidR="002544BB">
          <w:rPr>
            <w:rStyle w:val="Hyperlink"/>
            <w:noProof/>
          </w:rPr>
          <w:t>Expanded Initial Drug Testing Panel to Include 6-AM and Revised Confirmatory Testing Cutoff Level for 6-AM</w:t>
        </w:r>
        <w:r w:rsidR="002544BB">
          <w:rPr>
            <w:noProof/>
            <w:webHidden/>
          </w:rPr>
          <w:tab/>
        </w:r>
        <w:r w:rsidR="002544BB">
          <w:rPr>
            <w:noProof/>
            <w:webHidden/>
          </w:rPr>
          <w:fldChar w:fldCharType="begin"/>
        </w:r>
        <w:r w:rsidR="002544BB">
          <w:rPr>
            <w:noProof/>
            <w:webHidden/>
          </w:rPr>
          <w:instrText xml:space="preserve"> PAGEREF _Toc105681503 \h </w:instrText>
        </w:r>
        <w:r w:rsidR="002544BB">
          <w:rPr>
            <w:noProof/>
            <w:webHidden/>
          </w:rPr>
        </w:r>
        <w:r w:rsidR="002544BB">
          <w:rPr>
            <w:noProof/>
            <w:webHidden/>
          </w:rPr>
          <w:fldChar w:fldCharType="separate"/>
        </w:r>
        <w:r w:rsidR="002544BB">
          <w:rPr>
            <w:noProof/>
            <w:webHidden/>
          </w:rPr>
          <w:t>40</w:t>
        </w:r>
        <w:r w:rsidR="002544BB">
          <w:rPr>
            <w:noProof/>
            <w:webHidden/>
          </w:rPr>
          <w:fldChar w:fldCharType="end"/>
        </w:r>
      </w:hyperlink>
    </w:p>
    <w:p w:rsidR="002544BB" w:rsidRDefault="00C96E7A" w14:paraId="194DE625" w14:textId="17D661C6">
      <w:pPr>
        <w:pStyle w:val="TOC3"/>
        <w:rPr>
          <w:rFonts w:asciiTheme="minorHAnsi" w:hAnsiTheme="minorHAnsi" w:eastAsiaTheme="minorEastAsia" w:cstheme="minorBidi"/>
          <w:noProof/>
          <w:sz w:val="22"/>
          <w:szCs w:val="22"/>
        </w:rPr>
      </w:pPr>
      <w:hyperlink w:history="1" w:anchor="_Toc105681504">
        <w:r w:rsidRPr="009931BC" w:rsidR="002544BB">
          <w:rPr>
            <w:rStyle w:val="Hyperlink"/>
            <w:noProof/>
          </w:rPr>
          <w:t>5.1.4</w:t>
        </w:r>
        <w:r w:rsidR="002544BB">
          <w:rPr>
            <w:rFonts w:asciiTheme="minorHAnsi" w:hAnsiTheme="minorHAnsi" w:eastAsiaTheme="minorEastAsia" w:cstheme="minorBidi"/>
            <w:noProof/>
            <w:sz w:val="22"/>
            <w:szCs w:val="22"/>
          </w:rPr>
          <w:tab/>
        </w:r>
        <w:r w:rsidRPr="009931BC" w:rsidR="002544BB">
          <w:rPr>
            <w:rStyle w:val="Hyperlink"/>
            <w:noProof/>
          </w:rPr>
          <w:t>Expanded Initial and Confirmatory Drug Testing Panels to Include Ecstasy</w:t>
        </w:r>
        <w:r w:rsidR="002544BB">
          <w:rPr>
            <w:noProof/>
            <w:webHidden/>
          </w:rPr>
          <w:tab/>
        </w:r>
        <w:r w:rsidR="002544BB">
          <w:rPr>
            <w:noProof/>
            <w:webHidden/>
          </w:rPr>
          <w:fldChar w:fldCharType="begin"/>
        </w:r>
        <w:r w:rsidR="002544BB">
          <w:rPr>
            <w:noProof/>
            <w:webHidden/>
          </w:rPr>
          <w:instrText xml:space="preserve"> PAGEREF _Toc105681504 \h </w:instrText>
        </w:r>
        <w:r w:rsidR="002544BB">
          <w:rPr>
            <w:noProof/>
            <w:webHidden/>
          </w:rPr>
        </w:r>
        <w:r w:rsidR="002544BB">
          <w:rPr>
            <w:noProof/>
            <w:webHidden/>
          </w:rPr>
          <w:fldChar w:fldCharType="separate"/>
        </w:r>
        <w:r w:rsidR="002544BB">
          <w:rPr>
            <w:noProof/>
            <w:webHidden/>
          </w:rPr>
          <w:t>41</w:t>
        </w:r>
        <w:r w:rsidR="002544BB">
          <w:rPr>
            <w:noProof/>
            <w:webHidden/>
          </w:rPr>
          <w:fldChar w:fldCharType="end"/>
        </w:r>
      </w:hyperlink>
    </w:p>
    <w:p w:rsidR="002544BB" w:rsidRDefault="00C96E7A" w14:paraId="5C82D250" w14:textId="111EB2B8">
      <w:pPr>
        <w:pStyle w:val="TOC3"/>
        <w:rPr>
          <w:rFonts w:asciiTheme="minorHAnsi" w:hAnsiTheme="minorHAnsi" w:eastAsiaTheme="minorEastAsia" w:cstheme="minorBidi"/>
          <w:noProof/>
          <w:sz w:val="22"/>
          <w:szCs w:val="22"/>
        </w:rPr>
      </w:pPr>
      <w:hyperlink w:history="1" w:anchor="_Toc105681505">
        <w:r w:rsidRPr="009931BC" w:rsidR="002544BB">
          <w:rPr>
            <w:rStyle w:val="Hyperlink"/>
            <w:noProof/>
          </w:rPr>
          <w:t>5.1.5</w:t>
        </w:r>
        <w:r w:rsidR="002544BB">
          <w:rPr>
            <w:rFonts w:asciiTheme="minorHAnsi" w:hAnsiTheme="minorHAnsi" w:eastAsiaTheme="minorEastAsia" w:cstheme="minorBidi"/>
            <w:noProof/>
            <w:sz w:val="22"/>
            <w:szCs w:val="22"/>
          </w:rPr>
          <w:tab/>
        </w:r>
        <w:r w:rsidRPr="009931BC" w:rsidR="002544BB">
          <w:rPr>
            <w:rStyle w:val="Hyperlink"/>
            <w:noProof/>
          </w:rPr>
          <w:t>Expand the Initial and Confirmatory Drug Testing Panels to Include Four Opioids</w:t>
        </w:r>
        <w:r w:rsidR="002544BB">
          <w:rPr>
            <w:noProof/>
            <w:webHidden/>
          </w:rPr>
          <w:tab/>
        </w:r>
        <w:r w:rsidR="002544BB">
          <w:rPr>
            <w:noProof/>
            <w:webHidden/>
          </w:rPr>
          <w:fldChar w:fldCharType="begin"/>
        </w:r>
        <w:r w:rsidR="002544BB">
          <w:rPr>
            <w:noProof/>
            <w:webHidden/>
          </w:rPr>
          <w:instrText xml:space="preserve"> PAGEREF _Toc105681505 \h </w:instrText>
        </w:r>
        <w:r w:rsidR="002544BB">
          <w:rPr>
            <w:noProof/>
            <w:webHidden/>
          </w:rPr>
        </w:r>
        <w:r w:rsidR="002544BB">
          <w:rPr>
            <w:noProof/>
            <w:webHidden/>
          </w:rPr>
          <w:fldChar w:fldCharType="separate"/>
        </w:r>
        <w:r w:rsidR="002544BB">
          <w:rPr>
            <w:noProof/>
            <w:webHidden/>
          </w:rPr>
          <w:t>42</w:t>
        </w:r>
        <w:r w:rsidR="002544BB">
          <w:rPr>
            <w:noProof/>
            <w:webHidden/>
          </w:rPr>
          <w:fldChar w:fldCharType="end"/>
        </w:r>
      </w:hyperlink>
    </w:p>
    <w:p w:rsidR="002544BB" w:rsidRDefault="00C96E7A" w14:paraId="21CB1BBC" w14:textId="6E61C0F2">
      <w:pPr>
        <w:pStyle w:val="TOC3"/>
        <w:rPr>
          <w:rFonts w:asciiTheme="minorHAnsi" w:hAnsiTheme="minorHAnsi" w:eastAsiaTheme="minorEastAsia" w:cstheme="minorBidi"/>
          <w:noProof/>
          <w:sz w:val="22"/>
          <w:szCs w:val="22"/>
        </w:rPr>
      </w:pPr>
      <w:hyperlink w:history="1" w:anchor="_Toc105681506">
        <w:r w:rsidRPr="009931BC" w:rsidR="002544BB">
          <w:rPr>
            <w:rStyle w:val="Hyperlink"/>
            <w:noProof/>
          </w:rPr>
          <w:t>5.1.6</w:t>
        </w:r>
        <w:r w:rsidR="002544BB">
          <w:rPr>
            <w:rFonts w:asciiTheme="minorHAnsi" w:hAnsiTheme="minorHAnsi" w:eastAsiaTheme="minorEastAsia" w:cstheme="minorBidi"/>
            <w:noProof/>
            <w:sz w:val="22"/>
            <w:szCs w:val="22"/>
          </w:rPr>
          <w:tab/>
        </w:r>
        <w:r w:rsidRPr="009931BC" w:rsidR="002544BB">
          <w:rPr>
            <w:rStyle w:val="Hyperlink"/>
            <w:noProof/>
          </w:rPr>
          <w:t>Required Special Analyses Testing of Dilute Specimens and Specimens Collected during Suspected Subversion Attempts</w:t>
        </w:r>
        <w:r w:rsidR="002544BB">
          <w:rPr>
            <w:noProof/>
            <w:webHidden/>
          </w:rPr>
          <w:tab/>
        </w:r>
        <w:r w:rsidR="002544BB">
          <w:rPr>
            <w:noProof/>
            <w:webHidden/>
          </w:rPr>
          <w:fldChar w:fldCharType="begin"/>
        </w:r>
        <w:r w:rsidR="002544BB">
          <w:rPr>
            <w:noProof/>
            <w:webHidden/>
          </w:rPr>
          <w:instrText xml:space="preserve"> PAGEREF _Toc105681506 \h </w:instrText>
        </w:r>
        <w:r w:rsidR="002544BB">
          <w:rPr>
            <w:noProof/>
            <w:webHidden/>
          </w:rPr>
        </w:r>
        <w:r w:rsidR="002544BB">
          <w:rPr>
            <w:noProof/>
            <w:webHidden/>
          </w:rPr>
          <w:fldChar w:fldCharType="separate"/>
        </w:r>
        <w:r w:rsidR="002544BB">
          <w:rPr>
            <w:noProof/>
            <w:webHidden/>
          </w:rPr>
          <w:t>43</w:t>
        </w:r>
        <w:r w:rsidR="002544BB">
          <w:rPr>
            <w:noProof/>
            <w:webHidden/>
          </w:rPr>
          <w:fldChar w:fldCharType="end"/>
        </w:r>
      </w:hyperlink>
    </w:p>
    <w:p w:rsidR="002544BB" w:rsidRDefault="00C96E7A" w14:paraId="07F3B884" w14:textId="15A577E6">
      <w:pPr>
        <w:pStyle w:val="TOC3"/>
        <w:rPr>
          <w:rFonts w:asciiTheme="minorHAnsi" w:hAnsiTheme="minorHAnsi" w:eastAsiaTheme="minorEastAsia" w:cstheme="minorBidi"/>
          <w:noProof/>
          <w:sz w:val="22"/>
          <w:szCs w:val="22"/>
        </w:rPr>
      </w:pPr>
      <w:hyperlink w:history="1" w:anchor="_Toc105681507">
        <w:r w:rsidRPr="009931BC" w:rsidR="002544BB">
          <w:rPr>
            <w:rStyle w:val="Hyperlink"/>
            <w:noProof/>
          </w:rPr>
          <w:t>5.1.7</w:t>
        </w:r>
        <w:r w:rsidR="002544BB">
          <w:rPr>
            <w:rFonts w:asciiTheme="minorHAnsi" w:hAnsiTheme="minorHAnsi" w:eastAsiaTheme="minorEastAsia" w:cstheme="minorBidi"/>
            <w:noProof/>
            <w:sz w:val="22"/>
            <w:szCs w:val="22"/>
          </w:rPr>
          <w:tab/>
        </w:r>
        <w:r w:rsidRPr="009931BC" w:rsidR="002544BB">
          <w:rPr>
            <w:rStyle w:val="Hyperlink"/>
            <w:noProof/>
          </w:rPr>
          <w:t>Averted Costs</w:t>
        </w:r>
        <w:r w:rsidR="002544BB">
          <w:rPr>
            <w:noProof/>
            <w:webHidden/>
          </w:rPr>
          <w:tab/>
        </w:r>
        <w:r w:rsidR="002544BB">
          <w:rPr>
            <w:noProof/>
            <w:webHidden/>
          </w:rPr>
          <w:fldChar w:fldCharType="begin"/>
        </w:r>
        <w:r w:rsidR="002544BB">
          <w:rPr>
            <w:noProof/>
            <w:webHidden/>
          </w:rPr>
          <w:instrText xml:space="preserve"> PAGEREF _Toc105681507 \h </w:instrText>
        </w:r>
        <w:r w:rsidR="002544BB">
          <w:rPr>
            <w:noProof/>
            <w:webHidden/>
          </w:rPr>
        </w:r>
        <w:r w:rsidR="002544BB">
          <w:rPr>
            <w:noProof/>
            <w:webHidden/>
          </w:rPr>
          <w:fldChar w:fldCharType="separate"/>
        </w:r>
        <w:r w:rsidR="002544BB">
          <w:rPr>
            <w:noProof/>
            <w:webHidden/>
          </w:rPr>
          <w:t>44</w:t>
        </w:r>
        <w:r w:rsidR="002544BB">
          <w:rPr>
            <w:noProof/>
            <w:webHidden/>
          </w:rPr>
          <w:fldChar w:fldCharType="end"/>
        </w:r>
      </w:hyperlink>
    </w:p>
    <w:p w:rsidR="002544BB" w:rsidRDefault="00C96E7A" w14:paraId="2BFA62CA" w14:textId="428A190C">
      <w:pPr>
        <w:pStyle w:val="TOC3"/>
        <w:rPr>
          <w:rFonts w:asciiTheme="minorHAnsi" w:hAnsiTheme="minorHAnsi" w:eastAsiaTheme="minorEastAsia" w:cstheme="minorBidi"/>
          <w:noProof/>
          <w:sz w:val="22"/>
          <w:szCs w:val="22"/>
        </w:rPr>
      </w:pPr>
      <w:hyperlink w:history="1" w:anchor="_Toc105681508">
        <w:r w:rsidRPr="009931BC" w:rsidR="002544BB">
          <w:rPr>
            <w:rStyle w:val="Hyperlink"/>
            <w:noProof/>
          </w:rPr>
          <w:t>5.1.8</w:t>
        </w:r>
        <w:r w:rsidR="002544BB">
          <w:rPr>
            <w:rFonts w:asciiTheme="minorHAnsi" w:hAnsiTheme="minorHAnsi" w:eastAsiaTheme="minorEastAsia" w:cstheme="minorBidi"/>
            <w:noProof/>
            <w:sz w:val="22"/>
            <w:szCs w:val="22"/>
          </w:rPr>
          <w:tab/>
        </w:r>
        <w:r w:rsidRPr="009931BC" w:rsidR="002544BB">
          <w:rPr>
            <w:rStyle w:val="Hyperlink"/>
            <w:noProof/>
          </w:rPr>
          <w:t>Alternative Specimen (Oral Fluid) Drug Testing</w:t>
        </w:r>
        <w:r w:rsidR="002544BB">
          <w:rPr>
            <w:noProof/>
            <w:webHidden/>
          </w:rPr>
          <w:tab/>
        </w:r>
        <w:r w:rsidR="002544BB">
          <w:rPr>
            <w:noProof/>
            <w:webHidden/>
          </w:rPr>
          <w:fldChar w:fldCharType="begin"/>
        </w:r>
        <w:r w:rsidR="002544BB">
          <w:rPr>
            <w:noProof/>
            <w:webHidden/>
          </w:rPr>
          <w:instrText xml:space="preserve"> PAGEREF _Toc105681508 \h </w:instrText>
        </w:r>
        <w:r w:rsidR="002544BB">
          <w:rPr>
            <w:noProof/>
            <w:webHidden/>
          </w:rPr>
        </w:r>
        <w:r w:rsidR="002544BB">
          <w:rPr>
            <w:noProof/>
            <w:webHidden/>
          </w:rPr>
          <w:fldChar w:fldCharType="separate"/>
        </w:r>
        <w:r w:rsidR="002544BB">
          <w:rPr>
            <w:noProof/>
            <w:webHidden/>
          </w:rPr>
          <w:t>45</w:t>
        </w:r>
        <w:r w:rsidR="002544BB">
          <w:rPr>
            <w:noProof/>
            <w:webHidden/>
          </w:rPr>
          <w:fldChar w:fldCharType="end"/>
        </w:r>
      </w:hyperlink>
    </w:p>
    <w:p w:rsidR="002544BB" w:rsidRDefault="00C96E7A" w14:paraId="3FACBA1F" w14:textId="53F30258">
      <w:pPr>
        <w:pStyle w:val="TOC3"/>
        <w:rPr>
          <w:rFonts w:asciiTheme="minorHAnsi" w:hAnsiTheme="minorHAnsi" w:eastAsiaTheme="minorEastAsia" w:cstheme="minorBidi"/>
          <w:noProof/>
          <w:sz w:val="22"/>
          <w:szCs w:val="22"/>
        </w:rPr>
      </w:pPr>
      <w:hyperlink w:history="1" w:anchor="_Toc105681509">
        <w:r w:rsidRPr="009931BC" w:rsidR="002544BB">
          <w:rPr>
            <w:rStyle w:val="Hyperlink"/>
            <w:noProof/>
          </w:rPr>
          <w:t>5.1.9</w:t>
        </w:r>
        <w:r w:rsidR="002544BB">
          <w:rPr>
            <w:rFonts w:asciiTheme="minorHAnsi" w:hAnsiTheme="minorHAnsi" w:eastAsiaTheme="minorEastAsia" w:cstheme="minorBidi"/>
            <w:noProof/>
            <w:sz w:val="22"/>
            <w:szCs w:val="22"/>
          </w:rPr>
          <w:tab/>
        </w:r>
        <w:r w:rsidRPr="009931BC" w:rsidR="002544BB">
          <w:rPr>
            <w:rStyle w:val="Hyperlink"/>
            <w:noProof/>
          </w:rPr>
          <w:t>Workplace Free of Drugs and the Effects of Such Substances</w:t>
        </w:r>
        <w:r w:rsidR="002544BB">
          <w:rPr>
            <w:noProof/>
            <w:webHidden/>
          </w:rPr>
          <w:tab/>
        </w:r>
        <w:r w:rsidR="002544BB">
          <w:rPr>
            <w:noProof/>
            <w:webHidden/>
          </w:rPr>
          <w:fldChar w:fldCharType="begin"/>
        </w:r>
        <w:r w:rsidR="002544BB">
          <w:rPr>
            <w:noProof/>
            <w:webHidden/>
          </w:rPr>
          <w:instrText xml:space="preserve"> PAGEREF _Toc105681509 \h </w:instrText>
        </w:r>
        <w:r w:rsidR="002544BB">
          <w:rPr>
            <w:noProof/>
            <w:webHidden/>
          </w:rPr>
        </w:r>
        <w:r w:rsidR="002544BB">
          <w:rPr>
            <w:noProof/>
            <w:webHidden/>
          </w:rPr>
          <w:fldChar w:fldCharType="separate"/>
        </w:r>
        <w:r w:rsidR="002544BB">
          <w:rPr>
            <w:noProof/>
            <w:webHidden/>
          </w:rPr>
          <w:t>45</w:t>
        </w:r>
        <w:r w:rsidR="002544BB">
          <w:rPr>
            <w:noProof/>
            <w:webHidden/>
          </w:rPr>
          <w:fldChar w:fldCharType="end"/>
        </w:r>
      </w:hyperlink>
    </w:p>
    <w:p w:rsidR="002544BB" w:rsidRDefault="00C96E7A" w14:paraId="606D0FD3" w14:textId="575CB142">
      <w:pPr>
        <w:pStyle w:val="TOC3"/>
        <w:rPr>
          <w:rFonts w:asciiTheme="minorHAnsi" w:hAnsiTheme="minorHAnsi" w:eastAsiaTheme="minorEastAsia" w:cstheme="minorBidi"/>
          <w:noProof/>
          <w:sz w:val="22"/>
          <w:szCs w:val="22"/>
        </w:rPr>
      </w:pPr>
      <w:hyperlink w:history="1" w:anchor="_Toc105681510">
        <w:r w:rsidRPr="009931BC" w:rsidR="002544BB">
          <w:rPr>
            <w:rStyle w:val="Hyperlink"/>
            <w:noProof/>
          </w:rPr>
          <w:t>5.1.8</w:t>
        </w:r>
        <w:r w:rsidR="002544BB">
          <w:rPr>
            <w:rFonts w:asciiTheme="minorHAnsi" w:hAnsiTheme="minorHAnsi" w:eastAsiaTheme="minorEastAsia" w:cstheme="minorBidi"/>
            <w:noProof/>
            <w:sz w:val="22"/>
            <w:szCs w:val="22"/>
          </w:rPr>
          <w:tab/>
        </w:r>
        <w:r w:rsidRPr="009931BC" w:rsidR="002544BB">
          <w:rPr>
            <w:rStyle w:val="Hyperlink"/>
            <w:noProof/>
          </w:rPr>
          <w:t>Safety Vulnerability</w:t>
        </w:r>
        <w:r w:rsidR="002544BB">
          <w:rPr>
            <w:noProof/>
            <w:webHidden/>
          </w:rPr>
          <w:tab/>
        </w:r>
        <w:r w:rsidR="002544BB">
          <w:rPr>
            <w:noProof/>
            <w:webHidden/>
          </w:rPr>
          <w:fldChar w:fldCharType="begin"/>
        </w:r>
        <w:r w:rsidR="002544BB">
          <w:rPr>
            <w:noProof/>
            <w:webHidden/>
          </w:rPr>
          <w:instrText xml:space="preserve"> PAGEREF _Toc105681510 \h </w:instrText>
        </w:r>
        <w:r w:rsidR="002544BB">
          <w:rPr>
            <w:noProof/>
            <w:webHidden/>
          </w:rPr>
        </w:r>
        <w:r w:rsidR="002544BB">
          <w:rPr>
            <w:noProof/>
            <w:webHidden/>
          </w:rPr>
          <w:fldChar w:fldCharType="separate"/>
        </w:r>
        <w:r w:rsidR="002544BB">
          <w:rPr>
            <w:noProof/>
            <w:webHidden/>
          </w:rPr>
          <w:t>46</w:t>
        </w:r>
        <w:r w:rsidR="002544BB">
          <w:rPr>
            <w:noProof/>
            <w:webHidden/>
          </w:rPr>
          <w:fldChar w:fldCharType="end"/>
        </w:r>
      </w:hyperlink>
    </w:p>
    <w:p w:rsidR="002544BB" w:rsidRDefault="00C96E7A" w14:paraId="53050651" w14:textId="614F72FD">
      <w:pPr>
        <w:pStyle w:val="TOC3"/>
        <w:rPr>
          <w:rFonts w:asciiTheme="minorHAnsi" w:hAnsiTheme="minorHAnsi" w:eastAsiaTheme="minorEastAsia" w:cstheme="minorBidi"/>
          <w:noProof/>
          <w:sz w:val="22"/>
          <w:szCs w:val="22"/>
        </w:rPr>
      </w:pPr>
      <w:hyperlink w:history="1" w:anchor="_Toc105681511">
        <w:r w:rsidRPr="009931BC" w:rsidR="002544BB">
          <w:rPr>
            <w:rStyle w:val="Hyperlink"/>
            <w:noProof/>
          </w:rPr>
          <w:t>5.1.9</w:t>
        </w:r>
        <w:r w:rsidR="002544BB">
          <w:rPr>
            <w:rFonts w:asciiTheme="minorHAnsi" w:hAnsiTheme="minorHAnsi" w:eastAsiaTheme="minorEastAsia" w:cstheme="minorBidi"/>
            <w:noProof/>
            <w:sz w:val="22"/>
            <w:szCs w:val="22"/>
          </w:rPr>
          <w:tab/>
        </w:r>
        <w:r w:rsidRPr="009931BC" w:rsidR="002544BB">
          <w:rPr>
            <w:rStyle w:val="Hyperlink"/>
            <w:noProof/>
          </w:rPr>
          <w:t>Security Vulnerability</w:t>
        </w:r>
        <w:r w:rsidR="002544BB">
          <w:rPr>
            <w:noProof/>
            <w:webHidden/>
          </w:rPr>
          <w:tab/>
        </w:r>
        <w:r w:rsidR="002544BB">
          <w:rPr>
            <w:noProof/>
            <w:webHidden/>
          </w:rPr>
          <w:fldChar w:fldCharType="begin"/>
        </w:r>
        <w:r w:rsidR="002544BB">
          <w:rPr>
            <w:noProof/>
            <w:webHidden/>
          </w:rPr>
          <w:instrText xml:space="preserve"> PAGEREF _Toc105681511 \h </w:instrText>
        </w:r>
        <w:r w:rsidR="002544BB">
          <w:rPr>
            <w:noProof/>
            <w:webHidden/>
          </w:rPr>
        </w:r>
        <w:r w:rsidR="002544BB">
          <w:rPr>
            <w:noProof/>
            <w:webHidden/>
          </w:rPr>
          <w:fldChar w:fldCharType="separate"/>
        </w:r>
        <w:r w:rsidR="002544BB">
          <w:rPr>
            <w:noProof/>
            <w:webHidden/>
          </w:rPr>
          <w:t>47</w:t>
        </w:r>
        <w:r w:rsidR="002544BB">
          <w:rPr>
            <w:noProof/>
            <w:webHidden/>
          </w:rPr>
          <w:fldChar w:fldCharType="end"/>
        </w:r>
      </w:hyperlink>
    </w:p>
    <w:p w:rsidR="002544BB" w:rsidRDefault="00C96E7A" w14:paraId="02D02427" w14:textId="5EF97706">
      <w:pPr>
        <w:pStyle w:val="TOC3"/>
        <w:rPr>
          <w:rFonts w:asciiTheme="minorHAnsi" w:hAnsiTheme="minorHAnsi" w:eastAsiaTheme="minorEastAsia" w:cstheme="minorBidi"/>
          <w:noProof/>
          <w:sz w:val="22"/>
          <w:szCs w:val="22"/>
        </w:rPr>
      </w:pPr>
      <w:hyperlink w:history="1" w:anchor="_Toc105681512">
        <w:r w:rsidRPr="009931BC" w:rsidR="002544BB">
          <w:rPr>
            <w:rStyle w:val="Hyperlink"/>
            <w:noProof/>
          </w:rPr>
          <w:t>5.1.10</w:t>
        </w:r>
        <w:r w:rsidR="002544BB">
          <w:rPr>
            <w:rFonts w:asciiTheme="minorHAnsi" w:hAnsiTheme="minorHAnsi" w:eastAsiaTheme="minorEastAsia" w:cstheme="minorBidi"/>
            <w:noProof/>
            <w:sz w:val="22"/>
            <w:szCs w:val="22"/>
          </w:rPr>
          <w:tab/>
        </w:r>
        <w:r w:rsidRPr="009931BC" w:rsidR="002544BB">
          <w:rPr>
            <w:rStyle w:val="Hyperlink"/>
            <w:noProof/>
          </w:rPr>
          <w:t>Improve Subversion Detection</w:t>
        </w:r>
        <w:r w:rsidR="002544BB">
          <w:rPr>
            <w:noProof/>
            <w:webHidden/>
          </w:rPr>
          <w:tab/>
        </w:r>
        <w:r w:rsidR="002544BB">
          <w:rPr>
            <w:noProof/>
            <w:webHidden/>
          </w:rPr>
          <w:fldChar w:fldCharType="begin"/>
        </w:r>
        <w:r w:rsidR="002544BB">
          <w:rPr>
            <w:noProof/>
            <w:webHidden/>
          </w:rPr>
          <w:instrText xml:space="preserve"> PAGEREF _Toc105681512 \h </w:instrText>
        </w:r>
        <w:r w:rsidR="002544BB">
          <w:rPr>
            <w:noProof/>
            <w:webHidden/>
          </w:rPr>
        </w:r>
        <w:r w:rsidR="002544BB">
          <w:rPr>
            <w:noProof/>
            <w:webHidden/>
          </w:rPr>
          <w:fldChar w:fldCharType="separate"/>
        </w:r>
        <w:r w:rsidR="002544BB">
          <w:rPr>
            <w:noProof/>
            <w:webHidden/>
          </w:rPr>
          <w:t>48</w:t>
        </w:r>
        <w:r w:rsidR="002544BB">
          <w:rPr>
            <w:noProof/>
            <w:webHidden/>
          </w:rPr>
          <w:fldChar w:fldCharType="end"/>
        </w:r>
      </w:hyperlink>
    </w:p>
    <w:p w:rsidR="002544BB" w:rsidRDefault="00C96E7A" w14:paraId="06078DAA" w14:textId="554F5AD6">
      <w:pPr>
        <w:pStyle w:val="TOC2"/>
        <w:rPr>
          <w:rFonts w:asciiTheme="minorHAnsi" w:hAnsiTheme="minorHAnsi" w:eastAsiaTheme="minorEastAsia" w:cstheme="minorBidi"/>
          <w:noProof/>
          <w:sz w:val="22"/>
          <w:szCs w:val="22"/>
        </w:rPr>
      </w:pPr>
      <w:hyperlink w:history="1" w:anchor="_Toc105681513">
        <w:r w:rsidRPr="009931BC" w:rsidR="002544BB">
          <w:rPr>
            <w:rStyle w:val="Hyperlink"/>
            <w:noProof/>
          </w:rPr>
          <w:t>5.2</w:t>
        </w:r>
        <w:r w:rsidR="002544BB">
          <w:rPr>
            <w:rFonts w:asciiTheme="minorHAnsi" w:hAnsiTheme="minorHAnsi" w:eastAsiaTheme="minorEastAsia" w:cstheme="minorBidi"/>
            <w:noProof/>
            <w:sz w:val="22"/>
            <w:szCs w:val="22"/>
          </w:rPr>
          <w:tab/>
        </w:r>
        <w:r w:rsidRPr="009931BC" w:rsidR="002544BB">
          <w:rPr>
            <w:rStyle w:val="Hyperlink"/>
            <w:noProof/>
          </w:rPr>
          <w:t>Uncertainty Analysis</w:t>
        </w:r>
        <w:r w:rsidR="002544BB">
          <w:rPr>
            <w:noProof/>
            <w:webHidden/>
          </w:rPr>
          <w:tab/>
        </w:r>
        <w:r w:rsidR="002544BB">
          <w:rPr>
            <w:noProof/>
            <w:webHidden/>
          </w:rPr>
          <w:fldChar w:fldCharType="begin"/>
        </w:r>
        <w:r w:rsidR="002544BB">
          <w:rPr>
            <w:noProof/>
            <w:webHidden/>
          </w:rPr>
          <w:instrText xml:space="preserve"> PAGEREF _Toc105681513 \h </w:instrText>
        </w:r>
        <w:r w:rsidR="002544BB">
          <w:rPr>
            <w:noProof/>
            <w:webHidden/>
          </w:rPr>
        </w:r>
        <w:r w:rsidR="002544BB">
          <w:rPr>
            <w:noProof/>
            <w:webHidden/>
          </w:rPr>
          <w:fldChar w:fldCharType="separate"/>
        </w:r>
        <w:r w:rsidR="002544BB">
          <w:rPr>
            <w:noProof/>
            <w:webHidden/>
          </w:rPr>
          <w:t>49</w:t>
        </w:r>
        <w:r w:rsidR="002544BB">
          <w:rPr>
            <w:noProof/>
            <w:webHidden/>
          </w:rPr>
          <w:fldChar w:fldCharType="end"/>
        </w:r>
      </w:hyperlink>
    </w:p>
    <w:p w:rsidR="002544BB" w:rsidRDefault="00C96E7A" w14:paraId="6AD26DA7" w14:textId="08BBE558">
      <w:pPr>
        <w:pStyle w:val="TOC3"/>
        <w:rPr>
          <w:rFonts w:asciiTheme="minorHAnsi" w:hAnsiTheme="minorHAnsi" w:eastAsiaTheme="minorEastAsia" w:cstheme="minorBidi"/>
          <w:noProof/>
          <w:sz w:val="22"/>
          <w:szCs w:val="22"/>
        </w:rPr>
      </w:pPr>
      <w:hyperlink w:history="1" w:anchor="_Toc105681514">
        <w:r w:rsidRPr="009931BC" w:rsidR="002544BB">
          <w:rPr>
            <w:rStyle w:val="Hyperlink"/>
            <w:noProof/>
          </w:rPr>
          <w:t>5.2.1</w:t>
        </w:r>
        <w:r w:rsidR="002544BB">
          <w:rPr>
            <w:rFonts w:asciiTheme="minorHAnsi" w:hAnsiTheme="minorHAnsi" w:eastAsiaTheme="minorEastAsia" w:cstheme="minorBidi"/>
            <w:noProof/>
            <w:sz w:val="22"/>
            <w:szCs w:val="22"/>
          </w:rPr>
          <w:tab/>
        </w:r>
        <w:r w:rsidRPr="009931BC" w:rsidR="002544BB">
          <w:rPr>
            <w:rStyle w:val="Hyperlink"/>
            <w:noProof/>
          </w:rPr>
          <w:t>Uncertainty Analysis Results</w:t>
        </w:r>
        <w:r w:rsidR="002544BB">
          <w:rPr>
            <w:noProof/>
            <w:webHidden/>
          </w:rPr>
          <w:tab/>
        </w:r>
        <w:r w:rsidR="002544BB">
          <w:rPr>
            <w:noProof/>
            <w:webHidden/>
          </w:rPr>
          <w:fldChar w:fldCharType="begin"/>
        </w:r>
        <w:r w:rsidR="002544BB">
          <w:rPr>
            <w:noProof/>
            <w:webHidden/>
          </w:rPr>
          <w:instrText xml:space="preserve"> PAGEREF _Toc105681514 \h </w:instrText>
        </w:r>
        <w:r w:rsidR="002544BB">
          <w:rPr>
            <w:noProof/>
            <w:webHidden/>
          </w:rPr>
        </w:r>
        <w:r w:rsidR="002544BB">
          <w:rPr>
            <w:noProof/>
            <w:webHidden/>
          </w:rPr>
          <w:fldChar w:fldCharType="separate"/>
        </w:r>
        <w:r w:rsidR="002544BB">
          <w:rPr>
            <w:noProof/>
            <w:webHidden/>
          </w:rPr>
          <w:t>52</w:t>
        </w:r>
        <w:r w:rsidR="002544BB">
          <w:rPr>
            <w:noProof/>
            <w:webHidden/>
          </w:rPr>
          <w:fldChar w:fldCharType="end"/>
        </w:r>
      </w:hyperlink>
    </w:p>
    <w:p w:rsidR="002544BB" w:rsidRDefault="00C96E7A" w14:paraId="25C587A9" w14:textId="5DFDE201">
      <w:pPr>
        <w:pStyle w:val="TOC3"/>
        <w:rPr>
          <w:rFonts w:asciiTheme="minorHAnsi" w:hAnsiTheme="minorHAnsi" w:eastAsiaTheme="minorEastAsia" w:cstheme="minorBidi"/>
          <w:noProof/>
          <w:sz w:val="22"/>
          <w:szCs w:val="22"/>
        </w:rPr>
      </w:pPr>
      <w:hyperlink w:history="1" w:anchor="_Toc105681515">
        <w:r w:rsidRPr="009931BC" w:rsidR="002544BB">
          <w:rPr>
            <w:rStyle w:val="Hyperlink"/>
            <w:noProof/>
          </w:rPr>
          <w:t>5.2.2</w:t>
        </w:r>
        <w:r w:rsidR="002544BB">
          <w:rPr>
            <w:rFonts w:asciiTheme="minorHAnsi" w:hAnsiTheme="minorHAnsi" w:eastAsiaTheme="minorEastAsia" w:cstheme="minorBidi"/>
            <w:noProof/>
            <w:sz w:val="22"/>
            <w:szCs w:val="22"/>
          </w:rPr>
          <w:tab/>
        </w:r>
        <w:r w:rsidRPr="009931BC" w:rsidR="002544BB">
          <w:rPr>
            <w:rStyle w:val="Hyperlink"/>
            <w:noProof/>
          </w:rPr>
          <w:t>Summary of Uncertainty Analysis</w:t>
        </w:r>
        <w:r w:rsidR="002544BB">
          <w:rPr>
            <w:noProof/>
            <w:webHidden/>
          </w:rPr>
          <w:tab/>
        </w:r>
        <w:r w:rsidR="002544BB">
          <w:rPr>
            <w:noProof/>
            <w:webHidden/>
          </w:rPr>
          <w:fldChar w:fldCharType="begin"/>
        </w:r>
        <w:r w:rsidR="002544BB">
          <w:rPr>
            <w:noProof/>
            <w:webHidden/>
          </w:rPr>
          <w:instrText xml:space="preserve"> PAGEREF _Toc105681515 \h </w:instrText>
        </w:r>
        <w:r w:rsidR="002544BB">
          <w:rPr>
            <w:noProof/>
            <w:webHidden/>
          </w:rPr>
        </w:r>
        <w:r w:rsidR="002544BB">
          <w:rPr>
            <w:noProof/>
            <w:webHidden/>
          </w:rPr>
          <w:fldChar w:fldCharType="separate"/>
        </w:r>
        <w:r w:rsidR="002544BB">
          <w:rPr>
            <w:noProof/>
            <w:webHidden/>
          </w:rPr>
          <w:t>59</w:t>
        </w:r>
        <w:r w:rsidR="002544BB">
          <w:rPr>
            <w:noProof/>
            <w:webHidden/>
          </w:rPr>
          <w:fldChar w:fldCharType="end"/>
        </w:r>
      </w:hyperlink>
    </w:p>
    <w:p w:rsidR="002544BB" w:rsidRDefault="00C96E7A" w14:paraId="25F22D98" w14:textId="05B18F27">
      <w:pPr>
        <w:pStyle w:val="TOC2"/>
        <w:rPr>
          <w:rFonts w:asciiTheme="minorHAnsi" w:hAnsiTheme="minorHAnsi" w:eastAsiaTheme="minorEastAsia" w:cstheme="minorBidi"/>
          <w:noProof/>
          <w:sz w:val="22"/>
          <w:szCs w:val="22"/>
        </w:rPr>
      </w:pPr>
      <w:hyperlink w:history="1" w:anchor="_Toc105681516">
        <w:r w:rsidRPr="009931BC" w:rsidR="002544BB">
          <w:rPr>
            <w:rStyle w:val="Hyperlink"/>
            <w:noProof/>
          </w:rPr>
          <w:t>5.3</w:t>
        </w:r>
        <w:r w:rsidR="002544BB">
          <w:rPr>
            <w:rFonts w:asciiTheme="minorHAnsi" w:hAnsiTheme="minorHAnsi" w:eastAsiaTheme="minorEastAsia" w:cstheme="minorBidi"/>
            <w:noProof/>
            <w:sz w:val="22"/>
            <w:szCs w:val="22"/>
          </w:rPr>
          <w:tab/>
        </w:r>
        <w:r w:rsidRPr="009931BC" w:rsidR="002544BB">
          <w:rPr>
            <w:rStyle w:val="Hyperlink"/>
            <w:noProof/>
          </w:rPr>
          <w:t>Disaggregation</w:t>
        </w:r>
        <w:r w:rsidR="002544BB">
          <w:rPr>
            <w:noProof/>
            <w:webHidden/>
          </w:rPr>
          <w:tab/>
        </w:r>
        <w:r w:rsidR="002544BB">
          <w:rPr>
            <w:noProof/>
            <w:webHidden/>
          </w:rPr>
          <w:fldChar w:fldCharType="begin"/>
        </w:r>
        <w:r w:rsidR="002544BB">
          <w:rPr>
            <w:noProof/>
            <w:webHidden/>
          </w:rPr>
          <w:instrText xml:space="preserve"> PAGEREF _Toc105681516 \h </w:instrText>
        </w:r>
        <w:r w:rsidR="002544BB">
          <w:rPr>
            <w:noProof/>
            <w:webHidden/>
          </w:rPr>
        </w:r>
        <w:r w:rsidR="002544BB">
          <w:rPr>
            <w:noProof/>
            <w:webHidden/>
          </w:rPr>
          <w:fldChar w:fldCharType="separate"/>
        </w:r>
        <w:r w:rsidR="002544BB">
          <w:rPr>
            <w:noProof/>
            <w:webHidden/>
          </w:rPr>
          <w:t>59</w:t>
        </w:r>
        <w:r w:rsidR="002544BB">
          <w:rPr>
            <w:noProof/>
            <w:webHidden/>
          </w:rPr>
          <w:fldChar w:fldCharType="end"/>
        </w:r>
      </w:hyperlink>
    </w:p>
    <w:p w:rsidR="002544BB" w:rsidRDefault="00C96E7A" w14:paraId="56CBF9D5" w14:textId="4A1D126A">
      <w:pPr>
        <w:pStyle w:val="TOC2"/>
        <w:rPr>
          <w:rFonts w:asciiTheme="minorHAnsi" w:hAnsiTheme="minorHAnsi" w:eastAsiaTheme="minorEastAsia" w:cstheme="minorBidi"/>
          <w:noProof/>
          <w:sz w:val="22"/>
          <w:szCs w:val="22"/>
        </w:rPr>
      </w:pPr>
      <w:hyperlink w:history="1" w:anchor="_Toc105681517">
        <w:r w:rsidRPr="009931BC" w:rsidR="002544BB">
          <w:rPr>
            <w:rStyle w:val="Hyperlink"/>
            <w:noProof/>
          </w:rPr>
          <w:t>5.4</w:t>
        </w:r>
        <w:r w:rsidR="002544BB">
          <w:rPr>
            <w:rFonts w:asciiTheme="minorHAnsi" w:hAnsiTheme="minorHAnsi" w:eastAsiaTheme="minorEastAsia" w:cstheme="minorBidi"/>
            <w:noProof/>
            <w:sz w:val="22"/>
            <w:szCs w:val="22"/>
          </w:rPr>
          <w:tab/>
        </w:r>
        <w:r w:rsidRPr="009931BC" w:rsidR="002544BB">
          <w:rPr>
            <w:rStyle w:val="Hyperlink"/>
            <w:noProof/>
          </w:rPr>
          <w:t>Results for the Committee to Review Generic Requirements</w:t>
        </w:r>
        <w:r w:rsidR="002544BB">
          <w:rPr>
            <w:noProof/>
            <w:webHidden/>
          </w:rPr>
          <w:tab/>
        </w:r>
        <w:r w:rsidR="002544BB">
          <w:rPr>
            <w:noProof/>
            <w:webHidden/>
          </w:rPr>
          <w:fldChar w:fldCharType="begin"/>
        </w:r>
        <w:r w:rsidR="002544BB">
          <w:rPr>
            <w:noProof/>
            <w:webHidden/>
          </w:rPr>
          <w:instrText xml:space="preserve"> PAGEREF _Toc105681517 \h </w:instrText>
        </w:r>
        <w:r w:rsidR="002544BB">
          <w:rPr>
            <w:noProof/>
            <w:webHidden/>
          </w:rPr>
        </w:r>
        <w:r w:rsidR="002544BB">
          <w:rPr>
            <w:noProof/>
            <w:webHidden/>
          </w:rPr>
          <w:fldChar w:fldCharType="separate"/>
        </w:r>
        <w:r w:rsidR="002544BB">
          <w:rPr>
            <w:noProof/>
            <w:webHidden/>
          </w:rPr>
          <w:t>61</w:t>
        </w:r>
        <w:r w:rsidR="002544BB">
          <w:rPr>
            <w:noProof/>
            <w:webHidden/>
          </w:rPr>
          <w:fldChar w:fldCharType="end"/>
        </w:r>
      </w:hyperlink>
    </w:p>
    <w:p w:rsidR="002544BB" w:rsidRDefault="00C96E7A" w14:paraId="6A3C4382" w14:textId="53CE5046">
      <w:pPr>
        <w:pStyle w:val="TOC1"/>
        <w:rPr>
          <w:rFonts w:asciiTheme="minorHAnsi" w:hAnsiTheme="minorHAnsi" w:eastAsiaTheme="minorEastAsia" w:cstheme="minorBidi"/>
          <w:noProof/>
          <w:sz w:val="22"/>
          <w:szCs w:val="22"/>
        </w:rPr>
      </w:pPr>
      <w:hyperlink w:history="1" w:anchor="_Toc105681518">
        <w:r w:rsidRPr="009931BC" w:rsidR="002544BB">
          <w:rPr>
            <w:rStyle w:val="Hyperlink"/>
            <w:noProof/>
          </w:rPr>
          <w:t>6.</w:t>
        </w:r>
        <w:r w:rsidR="002544BB">
          <w:rPr>
            <w:rFonts w:asciiTheme="minorHAnsi" w:hAnsiTheme="minorHAnsi" w:eastAsiaTheme="minorEastAsia" w:cstheme="minorBidi"/>
            <w:noProof/>
            <w:sz w:val="22"/>
            <w:szCs w:val="22"/>
          </w:rPr>
          <w:tab/>
        </w:r>
        <w:r w:rsidRPr="009931BC" w:rsidR="002544BB">
          <w:rPr>
            <w:rStyle w:val="Hyperlink"/>
            <w:noProof/>
          </w:rPr>
          <w:t>Decision Rationale</w:t>
        </w:r>
        <w:r w:rsidR="002544BB">
          <w:rPr>
            <w:noProof/>
            <w:webHidden/>
          </w:rPr>
          <w:tab/>
        </w:r>
        <w:r w:rsidR="002544BB">
          <w:rPr>
            <w:noProof/>
            <w:webHidden/>
          </w:rPr>
          <w:fldChar w:fldCharType="begin"/>
        </w:r>
        <w:r w:rsidR="002544BB">
          <w:rPr>
            <w:noProof/>
            <w:webHidden/>
          </w:rPr>
          <w:instrText xml:space="preserve"> PAGEREF _Toc105681518 \h </w:instrText>
        </w:r>
        <w:r w:rsidR="002544BB">
          <w:rPr>
            <w:noProof/>
            <w:webHidden/>
          </w:rPr>
        </w:r>
        <w:r w:rsidR="002544BB">
          <w:rPr>
            <w:noProof/>
            <w:webHidden/>
          </w:rPr>
          <w:fldChar w:fldCharType="separate"/>
        </w:r>
        <w:r w:rsidR="002544BB">
          <w:rPr>
            <w:noProof/>
            <w:webHidden/>
          </w:rPr>
          <w:t>62</w:t>
        </w:r>
        <w:r w:rsidR="002544BB">
          <w:rPr>
            <w:noProof/>
            <w:webHidden/>
          </w:rPr>
          <w:fldChar w:fldCharType="end"/>
        </w:r>
      </w:hyperlink>
    </w:p>
    <w:p w:rsidR="002544BB" w:rsidRDefault="00C96E7A" w14:paraId="24F6B7FB" w14:textId="6D2BD7AC">
      <w:pPr>
        <w:pStyle w:val="TOC1"/>
        <w:rPr>
          <w:rFonts w:asciiTheme="minorHAnsi" w:hAnsiTheme="minorHAnsi" w:eastAsiaTheme="minorEastAsia" w:cstheme="minorBidi"/>
          <w:noProof/>
          <w:sz w:val="22"/>
          <w:szCs w:val="22"/>
        </w:rPr>
      </w:pPr>
      <w:hyperlink w:history="1" w:anchor="_Toc105681519">
        <w:r w:rsidRPr="009931BC" w:rsidR="002544BB">
          <w:rPr>
            <w:rStyle w:val="Hyperlink"/>
            <w:noProof/>
          </w:rPr>
          <w:t>7.</w:t>
        </w:r>
        <w:r w:rsidR="002544BB">
          <w:rPr>
            <w:rFonts w:asciiTheme="minorHAnsi" w:hAnsiTheme="minorHAnsi" w:eastAsiaTheme="minorEastAsia" w:cstheme="minorBidi"/>
            <w:noProof/>
            <w:sz w:val="22"/>
            <w:szCs w:val="22"/>
          </w:rPr>
          <w:tab/>
        </w:r>
        <w:r w:rsidRPr="009931BC" w:rsidR="002544BB">
          <w:rPr>
            <w:rStyle w:val="Hyperlink"/>
            <w:noProof/>
          </w:rPr>
          <w:t>Implementation</w:t>
        </w:r>
        <w:r w:rsidR="002544BB">
          <w:rPr>
            <w:noProof/>
            <w:webHidden/>
          </w:rPr>
          <w:tab/>
        </w:r>
        <w:r w:rsidR="002544BB">
          <w:rPr>
            <w:noProof/>
            <w:webHidden/>
          </w:rPr>
          <w:fldChar w:fldCharType="begin"/>
        </w:r>
        <w:r w:rsidR="002544BB">
          <w:rPr>
            <w:noProof/>
            <w:webHidden/>
          </w:rPr>
          <w:instrText xml:space="preserve"> PAGEREF _Toc105681519 \h </w:instrText>
        </w:r>
        <w:r w:rsidR="002544BB">
          <w:rPr>
            <w:noProof/>
            <w:webHidden/>
          </w:rPr>
        </w:r>
        <w:r w:rsidR="002544BB">
          <w:rPr>
            <w:noProof/>
            <w:webHidden/>
          </w:rPr>
          <w:fldChar w:fldCharType="separate"/>
        </w:r>
        <w:r w:rsidR="002544BB">
          <w:rPr>
            <w:noProof/>
            <w:webHidden/>
          </w:rPr>
          <w:t>65</w:t>
        </w:r>
        <w:r w:rsidR="002544BB">
          <w:rPr>
            <w:noProof/>
            <w:webHidden/>
          </w:rPr>
          <w:fldChar w:fldCharType="end"/>
        </w:r>
      </w:hyperlink>
    </w:p>
    <w:p w:rsidR="002544BB" w:rsidRDefault="00C96E7A" w14:paraId="27FCE549" w14:textId="44E9C707">
      <w:pPr>
        <w:pStyle w:val="TOC1"/>
        <w:rPr>
          <w:rFonts w:asciiTheme="minorHAnsi" w:hAnsiTheme="minorHAnsi" w:eastAsiaTheme="minorEastAsia" w:cstheme="minorBidi"/>
          <w:noProof/>
          <w:sz w:val="22"/>
          <w:szCs w:val="22"/>
        </w:rPr>
      </w:pPr>
      <w:hyperlink w:history="1" w:anchor="_Toc105681520">
        <w:r w:rsidRPr="009931BC" w:rsidR="002544BB">
          <w:rPr>
            <w:rStyle w:val="Hyperlink"/>
            <w:noProof/>
          </w:rPr>
          <w:t>8.</w:t>
        </w:r>
        <w:r w:rsidR="002544BB">
          <w:rPr>
            <w:rFonts w:asciiTheme="minorHAnsi" w:hAnsiTheme="minorHAnsi" w:eastAsiaTheme="minorEastAsia" w:cstheme="minorBidi"/>
            <w:noProof/>
            <w:sz w:val="22"/>
            <w:szCs w:val="22"/>
          </w:rPr>
          <w:tab/>
        </w:r>
        <w:r w:rsidRPr="009931BC" w:rsidR="002544BB">
          <w:rPr>
            <w:rStyle w:val="Hyperlink"/>
            <w:noProof/>
          </w:rPr>
          <w:t>References</w:t>
        </w:r>
        <w:r w:rsidR="002544BB">
          <w:rPr>
            <w:noProof/>
            <w:webHidden/>
          </w:rPr>
          <w:tab/>
        </w:r>
        <w:r w:rsidR="002544BB">
          <w:rPr>
            <w:noProof/>
            <w:webHidden/>
          </w:rPr>
          <w:fldChar w:fldCharType="begin"/>
        </w:r>
        <w:r w:rsidR="002544BB">
          <w:rPr>
            <w:noProof/>
            <w:webHidden/>
          </w:rPr>
          <w:instrText xml:space="preserve"> PAGEREF _Toc105681520 \h </w:instrText>
        </w:r>
        <w:r w:rsidR="002544BB">
          <w:rPr>
            <w:noProof/>
            <w:webHidden/>
          </w:rPr>
        </w:r>
        <w:r w:rsidR="002544BB">
          <w:rPr>
            <w:noProof/>
            <w:webHidden/>
          </w:rPr>
          <w:fldChar w:fldCharType="separate"/>
        </w:r>
        <w:r w:rsidR="002544BB">
          <w:rPr>
            <w:noProof/>
            <w:webHidden/>
          </w:rPr>
          <w:t>66</w:t>
        </w:r>
        <w:r w:rsidR="002544BB">
          <w:rPr>
            <w:noProof/>
            <w:webHidden/>
          </w:rPr>
          <w:fldChar w:fldCharType="end"/>
        </w:r>
      </w:hyperlink>
    </w:p>
    <w:p w:rsidRPr="00646A79" w:rsidR="00D520BD" w:rsidP="00D520BD" w:rsidRDefault="00D520BD" w14:paraId="66570BCF" w14:textId="69F111EF">
      <w:pPr>
        <w:rPr>
          <w:bCs/>
        </w:rPr>
      </w:pPr>
      <w:r w:rsidRPr="005A5966">
        <w:rPr>
          <w:bCs/>
          <w:sz w:val="26"/>
          <w:szCs w:val="26"/>
        </w:rPr>
        <w:fldChar w:fldCharType="end"/>
      </w:r>
    </w:p>
    <w:p w:rsidR="00D520BD" w:rsidP="00D520BD" w:rsidRDefault="00D520BD" w14:paraId="346CEFF2" w14:textId="5A95E9EB">
      <w:pPr>
        <w:tabs>
          <w:tab w:val="right" w:pos="9360"/>
        </w:tabs>
        <w:rPr>
          <w:bCs/>
        </w:rPr>
      </w:pPr>
      <w:r w:rsidRPr="005B2657">
        <w:rPr>
          <w:rFonts w:eastAsiaTheme="minorEastAsia"/>
        </w:rPr>
        <w:t>Appendix A:  Site-Specific Fitness</w:t>
      </w:r>
      <w:r w:rsidR="00015F15">
        <w:rPr>
          <w:rFonts w:eastAsiaTheme="minorEastAsia"/>
        </w:rPr>
        <w:t xml:space="preserve"> </w:t>
      </w:r>
      <w:r w:rsidRPr="005B2657">
        <w:rPr>
          <w:rFonts w:eastAsiaTheme="minorEastAsia"/>
        </w:rPr>
        <w:t>for</w:t>
      </w:r>
      <w:r w:rsidR="00015F15">
        <w:rPr>
          <w:rFonts w:eastAsiaTheme="minorEastAsia"/>
        </w:rPr>
        <w:t xml:space="preserve"> </w:t>
      </w:r>
      <w:r w:rsidRPr="005B2657">
        <w:rPr>
          <w:rFonts w:eastAsiaTheme="minorEastAsia"/>
        </w:rPr>
        <w:t>Duty Program Performance Data (Calendar Years 2009–201</w:t>
      </w:r>
      <w:r w:rsidRPr="005B2657" w:rsidR="00467D35">
        <w:rPr>
          <w:rFonts w:eastAsiaTheme="minorEastAsia"/>
        </w:rPr>
        <w:t>9</w:t>
      </w:r>
      <w:r w:rsidRPr="005B2657">
        <w:rPr>
          <w:rFonts w:eastAsiaTheme="minorEastAsia"/>
        </w:rPr>
        <w:t>)</w:t>
      </w:r>
    </w:p>
    <w:p w:rsidRPr="005A5966" w:rsidR="00D520BD" w:rsidP="00D520BD" w:rsidRDefault="00D520BD" w14:paraId="523DF865" w14:textId="77777777">
      <w:pPr>
        <w:tabs>
          <w:tab w:val="right" w:pos="9360"/>
        </w:tabs>
        <w:rPr>
          <w:bCs/>
        </w:rPr>
      </w:pPr>
      <w:r w:rsidRPr="005A5966">
        <w:rPr>
          <w:bCs/>
        </w:rPr>
        <w:t xml:space="preserve">Appendix </w:t>
      </w:r>
      <w:r>
        <w:rPr>
          <w:bCs/>
        </w:rPr>
        <w:t>B:  General</w:t>
      </w:r>
      <w:r w:rsidRPr="005A5966">
        <w:rPr>
          <w:bCs/>
        </w:rPr>
        <w:t xml:space="preserve"> Inputs</w:t>
      </w:r>
    </w:p>
    <w:p w:rsidRPr="005A5966" w:rsidR="00D520BD" w:rsidP="00D520BD" w:rsidRDefault="00D520BD" w14:paraId="2E6F2098" w14:textId="77777777">
      <w:pPr>
        <w:tabs>
          <w:tab w:val="right" w:pos="9360"/>
        </w:tabs>
        <w:rPr>
          <w:bCs/>
        </w:rPr>
      </w:pPr>
      <w:r w:rsidRPr="005A5966">
        <w:rPr>
          <w:bCs/>
        </w:rPr>
        <w:t>Appendix</w:t>
      </w:r>
      <w:r>
        <w:rPr>
          <w:bCs/>
        </w:rPr>
        <w:t xml:space="preserve"> C:  </w:t>
      </w:r>
      <w:r w:rsidRPr="005A5966">
        <w:rPr>
          <w:bCs/>
        </w:rPr>
        <w:t>Assumptions and Results by Regulatory Initiative</w:t>
      </w:r>
    </w:p>
    <w:p w:rsidR="00D520BD" w:rsidP="00D520BD" w:rsidRDefault="00D520BD" w14:paraId="78424241" w14:textId="77777777">
      <w:pPr>
        <w:tabs>
          <w:tab w:val="right" w:pos="9360"/>
        </w:tabs>
        <w:rPr>
          <w:rFonts w:eastAsiaTheme="minorEastAsia"/>
        </w:rPr>
      </w:pPr>
      <w:r w:rsidRPr="005A5966">
        <w:rPr>
          <w:rFonts w:eastAsiaTheme="minorEastAsia"/>
        </w:rPr>
        <w:t xml:space="preserve">Appendix </w:t>
      </w:r>
      <w:r>
        <w:rPr>
          <w:rFonts w:eastAsiaTheme="minorEastAsia"/>
        </w:rPr>
        <w:t xml:space="preserve">D:  Costs of </w:t>
      </w:r>
      <w:r w:rsidRPr="005A5966">
        <w:rPr>
          <w:rFonts w:eastAsiaTheme="minorEastAsia"/>
        </w:rPr>
        <w:t>Subsequent Actions</w:t>
      </w:r>
    </w:p>
    <w:p w:rsidRPr="00646A79" w:rsidR="00D520BD" w:rsidP="00D520BD" w:rsidRDefault="00D520BD" w14:paraId="6579530D" w14:textId="72E7FF6F">
      <w:pPr>
        <w:tabs>
          <w:tab w:val="right" w:pos="9360"/>
        </w:tabs>
        <w:rPr>
          <w:bCs/>
          <w:sz w:val="22"/>
          <w:szCs w:val="22"/>
        </w:rPr>
      </w:pPr>
      <w:r>
        <w:rPr>
          <w:rFonts w:eastAsiaTheme="minorEastAsia"/>
        </w:rPr>
        <w:t>Appendix E:  Averted Costs</w:t>
      </w:r>
    </w:p>
    <w:p w:rsidRPr="000C451F" w:rsidR="00D520BD" w:rsidP="00D520BD" w:rsidRDefault="000C451F" w14:paraId="59CE621F" w14:textId="1FB62F78">
      <w:pPr>
        <w:tabs>
          <w:tab w:val="right" w:pos="9360"/>
        </w:tabs>
        <w:rPr>
          <w:bCs/>
        </w:rPr>
      </w:pPr>
      <w:r w:rsidRPr="000C451F">
        <w:rPr>
          <w:bCs/>
        </w:rPr>
        <w:t xml:space="preserve">Appendix F:  Alternative Specimen </w:t>
      </w:r>
      <w:r w:rsidR="00101012">
        <w:rPr>
          <w:bCs/>
        </w:rPr>
        <w:t xml:space="preserve">(Oral Fluid) </w:t>
      </w:r>
      <w:r w:rsidRPr="000C451F">
        <w:rPr>
          <w:bCs/>
        </w:rPr>
        <w:t>Drug Testing</w:t>
      </w:r>
    </w:p>
    <w:p w:rsidRPr="004C2CEA" w:rsidR="000C451F" w:rsidP="00D520BD" w:rsidRDefault="000C451F" w14:paraId="7A73FBE0" w14:textId="04DAD29C">
      <w:pPr>
        <w:tabs>
          <w:tab w:val="right" w:pos="9360"/>
        </w:tabs>
        <w:rPr>
          <w:bCs/>
          <w:sz w:val="22"/>
          <w:szCs w:val="22"/>
        </w:rPr>
        <w:sectPr w:rsidRPr="004C2CEA" w:rsidR="000C451F" w:rsidSect="00153AFA">
          <w:headerReference w:type="default" r:id="rId14"/>
          <w:footerReference w:type="default" r:id="rId15"/>
          <w:pgSz w:w="12240" w:h="15840" w:code="1"/>
          <w:pgMar w:top="1440" w:right="1440" w:bottom="1440" w:left="1440" w:header="720" w:footer="720" w:gutter="0"/>
          <w:pgNumType w:fmt="lowerRoman" w:start="1"/>
          <w:cols w:space="720"/>
          <w:noEndnote/>
        </w:sectPr>
      </w:pPr>
    </w:p>
    <w:p w:rsidRPr="008A1B8C" w:rsidR="00D520BD" w:rsidP="00D520BD" w:rsidRDefault="00D520BD" w14:paraId="4E92BEA1" w14:textId="67227E83">
      <w:pPr>
        <w:rPr>
          <w:b/>
          <w:sz w:val="32"/>
          <w:szCs w:val="32"/>
        </w:rPr>
      </w:pPr>
      <w:bookmarkStart w:name="_Toc199932237" w:id="5"/>
      <w:bookmarkStart w:name="_Toc199932303" w:id="6"/>
      <w:bookmarkStart w:name="_Toc199932391" w:id="7"/>
      <w:bookmarkStart w:name="_Toc199932466" w:id="8"/>
      <w:bookmarkStart w:name="_Toc199932635" w:id="9"/>
      <w:r w:rsidRPr="008A1B8C">
        <w:rPr>
          <w:b/>
          <w:sz w:val="32"/>
          <w:szCs w:val="32"/>
        </w:rPr>
        <w:lastRenderedPageBreak/>
        <w:t xml:space="preserve">List of </w:t>
      </w:r>
      <w:r w:rsidR="00B858DB">
        <w:rPr>
          <w:b/>
          <w:sz w:val="32"/>
          <w:szCs w:val="32"/>
        </w:rPr>
        <w:t>Figures</w:t>
      </w:r>
    </w:p>
    <w:p w:rsidRPr="00646A79" w:rsidR="002310BA" w:rsidP="00D520BD" w:rsidRDefault="002310BA" w14:paraId="2456F26D" w14:textId="77777777">
      <w:pPr>
        <w:autoSpaceDE/>
        <w:autoSpaceDN/>
        <w:adjustRightInd/>
        <w:rPr>
          <w:sz w:val="22"/>
          <w:szCs w:val="22"/>
        </w:rPr>
      </w:pPr>
    </w:p>
    <w:p w:rsidR="002544BB" w:rsidRDefault="00BE4EA0" w14:paraId="5C06A91B" w14:textId="5E3DEA3C">
      <w:pPr>
        <w:pStyle w:val="TableofFigures"/>
        <w:tabs>
          <w:tab w:val="right" w:leader="dot" w:pos="9350"/>
        </w:tabs>
        <w:rPr>
          <w:rFonts w:asciiTheme="minorHAnsi" w:hAnsiTheme="minorHAnsi" w:eastAsiaTheme="minorEastAsia" w:cstheme="minorBidi"/>
          <w:b w:val="0"/>
          <w:noProof/>
          <w:szCs w:val="22"/>
        </w:rPr>
      </w:pPr>
      <w:r w:rsidRPr="00FD37BB">
        <w:rPr>
          <w:rFonts w:ascii="Arial" w:hAnsi="Arial" w:cs="Arial"/>
          <w:b w:val="0"/>
          <w:bCs/>
          <w:szCs w:val="22"/>
        </w:rPr>
        <w:fldChar w:fldCharType="begin"/>
      </w:r>
      <w:r w:rsidRPr="00FD37BB">
        <w:rPr>
          <w:rFonts w:ascii="Arial" w:hAnsi="Arial" w:cs="Arial"/>
          <w:b w:val="0"/>
          <w:bCs/>
          <w:szCs w:val="22"/>
        </w:rPr>
        <w:instrText xml:space="preserve"> TOC \h \z \c "Figure" </w:instrText>
      </w:r>
      <w:r w:rsidRPr="00FD37BB">
        <w:rPr>
          <w:rFonts w:ascii="Arial" w:hAnsi="Arial" w:cs="Arial"/>
          <w:b w:val="0"/>
          <w:bCs/>
          <w:szCs w:val="22"/>
        </w:rPr>
        <w:fldChar w:fldCharType="separate"/>
      </w:r>
      <w:hyperlink w:history="1" w:anchor="_Toc105681546">
        <w:r w:rsidRPr="0009482C" w:rsidR="002544BB">
          <w:rPr>
            <w:rStyle w:val="Hyperlink"/>
            <w:noProof/>
          </w:rPr>
          <w:t>Figure 5-1  Industry Implementation Costs</w:t>
        </w:r>
        <w:r w:rsidR="002544BB">
          <w:rPr>
            <w:noProof/>
            <w:webHidden/>
          </w:rPr>
          <w:tab/>
        </w:r>
        <w:r w:rsidR="002544BB">
          <w:rPr>
            <w:noProof/>
            <w:webHidden/>
          </w:rPr>
          <w:fldChar w:fldCharType="begin"/>
        </w:r>
        <w:r w:rsidR="002544BB">
          <w:rPr>
            <w:noProof/>
            <w:webHidden/>
          </w:rPr>
          <w:instrText xml:space="preserve"> PAGEREF _Toc105681546 \h </w:instrText>
        </w:r>
        <w:r w:rsidR="002544BB">
          <w:rPr>
            <w:noProof/>
            <w:webHidden/>
          </w:rPr>
        </w:r>
        <w:r w:rsidR="002544BB">
          <w:rPr>
            <w:noProof/>
            <w:webHidden/>
          </w:rPr>
          <w:fldChar w:fldCharType="separate"/>
        </w:r>
        <w:r w:rsidR="002544BB">
          <w:rPr>
            <w:noProof/>
            <w:webHidden/>
          </w:rPr>
          <w:t>53</w:t>
        </w:r>
        <w:r w:rsidR="002544BB">
          <w:rPr>
            <w:noProof/>
            <w:webHidden/>
          </w:rPr>
          <w:fldChar w:fldCharType="end"/>
        </w:r>
      </w:hyperlink>
    </w:p>
    <w:p w:rsidR="002544BB" w:rsidRDefault="00C96E7A" w14:paraId="06926447" w14:textId="77EE394D">
      <w:pPr>
        <w:pStyle w:val="TableofFigures"/>
        <w:tabs>
          <w:tab w:val="right" w:leader="dot" w:pos="9350"/>
        </w:tabs>
        <w:rPr>
          <w:rFonts w:asciiTheme="minorHAnsi" w:hAnsiTheme="minorHAnsi" w:eastAsiaTheme="minorEastAsia" w:cstheme="minorBidi"/>
          <w:b w:val="0"/>
          <w:noProof/>
          <w:szCs w:val="22"/>
        </w:rPr>
      </w:pPr>
      <w:hyperlink w:history="1" w:anchor="_Toc105681547">
        <w:r w:rsidRPr="0009482C" w:rsidR="002544BB">
          <w:rPr>
            <w:rStyle w:val="Hyperlink"/>
            <w:noProof/>
          </w:rPr>
          <w:t>Figure 5-2  Industry Operation Costs (7-Percent Discount Rate)</w:t>
        </w:r>
        <w:r w:rsidR="002544BB">
          <w:rPr>
            <w:noProof/>
            <w:webHidden/>
          </w:rPr>
          <w:tab/>
        </w:r>
        <w:r w:rsidR="002544BB">
          <w:rPr>
            <w:noProof/>
            <w:webHidden/>
          </w:rPr>
          <w:fldChar w:fldCharType="begin"/>
        </w:r>
        <w:r w:rsidR="002544BB">
          <w:rPr>
            <w:noProof/>
            <w:webHidden/>
          </w:rPr>
          <w:instrText xml:space="preserve"> PAGEREF _Toc105681547 \h </w:instrText>
        </w:r>
        <w:r w:rsidR="002544BB">
          <w:rPr>
            <w:noProof/>
            <w:webHidden/>
          </w:rPr>
        </w:r>
        <w:r w:rsidR="002544BB">
          <w:rPr>
            <w:noProof/>
            <w:webHidden/>
          </w:rPr>
          <w:fldChar w:fldCharType="separate"/>
        </w:r>
        <w:r w:rsidR="002544BB">
          <w:rPr>
            <w:noProof/>
            <w:webHidden/>
          </w:rPr>
          <w:t>53</w:t>
        </w:r>
        <w:r w:rsidR="002544BB">
          <w:rPr>
            <w:noProof/>
            <w:webHidden/>
          </w:rPr>
          <w:fldChar w:fldCharType="end"/>
        </w:r>
      </w:hyperlink>
    </w:p>
    <w:p w:rsidR="002544BB" w:rsidRDefault="00C96E7A" w14:paraId="391DB336" w14:textId="202A442F">
      <w:pPr>
        <w:pStyle w:val="TableofFigures"/>
        <w:tabs>
          <w:tab w:val="right" w:leader="dot" w:pos="9350"/>
        </w:tabs>
        <w:rPr>
          <w:rFonts w:asciiTheme="minorHAnsi" w:hAnsiTheme="minorHAnsi" w:eastAsiaTheme="minorEastAsia" w:cstheme="minorBidi"/>
          <w:b w:val="0"/>
          <w:noProof/>
          <w:szCs w:val="22"/>
        </w:rPr>
      </w:pPr>
      <w:hyperlink w:history="1" w:anchor="_Toc105681548">
        <w:r w:rsidRPr="0009482C" w:rsidR="002544BB">
          <w:rPr>
            <w:rStyle w:val="Hyperlink"/>
            <w:noProof/>
          </w:rPr>
          <w:t>Figure 5-3  Industry Operation Costs (3-Percent Discount Rate)</w:t>
        </w:r>
        <w:r w:rsidR="002544BB">
          <w:rPr>
            <w:noProof/>
            <w:webHidden/>
          </w:rPr>
          <w:tab/>
        </w:r>
        <w:r w:rsidR="002544BB">
          <w:rPr>
            <w:noProof/>
            <w:webHidden/>
          </w:rPr>
          <w:fldChar w:fldCharType="begin"/>
        </w:r>
        <w:r w:rsidR="002544BB">
          <w:rPr>
            <w:noProof/>
            <w:webHidden/>
          </w:rPr>
          <w:instrText xml:space="preserve"> PAGEREF _Toc105681548 \h </w:instrText>
        </w:r>
        <w:r w:rsidR="002544BB">
          <w:rPr>
            <w:noProof/>
            <w:webHidden/>
          </w:rPr>
        </w:r>
        <w:r w:rsidR="002544BB">
          <w:rPr>
            <w:noProof/>
            <w:webHidden/>
          </w:rPr>
          <w:fldChar w:fldCharType="separate"/>
        </w:r>
        <w:r w:rsidR="002544BB">
          <w:rPr>
            <w:noProof/>
            <w:webHidden/>
          </w:rPr>
          <w:t>54</w:t>
        </w:r>
        <w:r w:rsidR="002544BB">
          <w:rPr>
            <w:noProof/>
            <w:webHidden/>
          </w:rPr>
          <w:fldChar w:fldCharType="end"/>
        </w:r>
      </w:hyperlink>
    </w:p>
    <w:p w:rsidR="002544BB" w:rsidRDefault="00C96E7A" w14:paraId="4370FA08" w14:textId="331539CF">
      <w:pPr>
        <w:pStyle w:val="TableofFigures"/>
        <w:tabs>
          <w:tab w:val="right" w:leader="dot" w:pos="9350"/>
        </w:tabs>
        <w:rPr>
          <w:rFonts w:asciiTheme="minorHAnsi" w:hAnsiTheme="minorHAnsi" w:eastAsiaTheme="minorEastAsia" w:cstheme="minorBidi"/>
          <w:b w:val="0"/>
          <w:noProof/>
          <w:szCs w:val="22"/>
        </w:rPr>
      </w:pPr>
      <w:hyperlink w:history="1" w:anchor="_Toc105681549">
        <w:r w:rsidRPr="0009482C" w:rsidR="002544BB">
          <w:rPr>
            <w:rStyle w:val="Hyperlink"/>
            <w:noProof/>
          </w:rPr>
          <w:t>Figure 5-4  Total (7-Percent Discount Rate)</w:t>
        </w:r>
        <w:r w:rsidR="002544BB">
          <w:rPr>
            <w:noProof/>
            <w:webHidden/>
          </w:rPr>
          <w:tab/>
        </w:r>
        <w:r w:rsidR="002544BB">
          <w:rPr>
            <w:noProof/>
            <w:webHidden/>
          </w:rPr>
          <w:fldChar w:fldCharType="begin"/>
        </w:r>
        <w:r w:rsidR="002544BB">
          <w:rPr>
            <w:noProof/>
            <w:webHidden/>
          </w:rPr>
          <w:instrText xml:space="preserve"> PAGEREF _Toc105681549 \h </w:instrText>
        </w:r>
        <w:r w:rsidR="002544BB">
          <w:rPr>
            <w:noProof/>
            <w:webHidden/>
          </w:rPr>
        </w:r>
        <w:r w:rsidR="002544BB">
          <w:rPr>
            <w:noProof/>
            <w:webHidden/>
          </w:rPr>
          <w:fldChar w:fldCharType="separate"/>
        </w:r>
        <w:r w:rsidR="002544BB">
          <w:rPr>
            <w:noProof/>
            <w:webHidden/>
          </w:rPr>
          <w:t>54</w:t>
        </w:r>
        <w:r w:rsidR="002544BB">
          <w:rPr>
            <w:noProof/>
            <w:webHidden/>
          </w:rPr>
          <w:fldChar w:fldCharType="end"/>
        </w:r>
      </w:hyperlink>
    </w:p>
    <w:p w:rsidR="002544BB" w:rsidRDefault="00C96E7A" w14:paraId="6034CF75" w14:textId="12B61376">
      <w:pPr>
        <w:pStyle w:val="TableofFigures"/>
        <w:tabs>
          <w:tab w:val="right" w:leader="dot" w:pos="9350"/>
        </w:tabs>
        <w:rPr>
          <w:rFonts w:asciiTheme="minorHAnsi" w:hAnsiTheme="minorHAnsi" w:eastAsiaTheme="minorEastAsia" w:cstheme="minorBidi"/>
          <w:b w:val="0"/>
          <w:noProof/>
          <w:szCs w:val="22"/>
        </w:rPr>
      </w:pPr>
      <w:hyperlink w:history="1" w:anchor="_Toc105681550">
        <w:r w:rsidRPr="0009482C" w:rsidR="002544BB">
          <w:rPr>
            <w:rStyle w:val="Hyperlink"/>
            <w:noProof/>
          </w:rPr>
          <w:t>Figure 5-5  Total (3-Percent Discount Rate)</w:t>
        </w:r>
        <w:r w:rsidR="002544BB">
          <w:rPr>
            <w:noProof/>
            <w:webHidden/>
          </w:rPr>
          <w:tab/>
        </w:r>
        <w:r w:rsidR="002544BB">
          <w:rPr>
            <w:noProof/>
            <w:webHidden/>
          </w:rPr>
          <w:fldChar w:fldCharType="begin"/>
        </w:r>
        <w:r w:rsidR="002544BB">
          <w:rPr>
            <w:noProof/>
            <w:webHidden/>
          </w:rPr>
          <w:instrText xml:space="preserve"> PAGEREF _Toc105681550 \h </w:instrText>
        </w:r>
        <w:r w:rsidR="002544BB">
          <w:rPr>
            <w:noProof/>
            <w:webHidden/>
          </w:rPr>
        </w:r>
        <w:r w:rsidR="002544BB">
          <w:rPr>
            <w:noProof/>
            <w:webHidden/>
          </w:rPr>
          <w:fldChar w:fldCharType="separate"/>
        </w:r>
        <w:r w:rsidR="002544BB">
          <w:rPr>
            <w:noProof/>
            <w:webHidden/>
          </w:rPr>
          <w:t>55</w:t>
        </w:r>
        <w:r w:rsidR="002544BB">
          <w:rPr>
            <w:noProof/>
            <w:webHidden/>
          </w:rPr>
          <w:fldChar w:fldCharType="end"/>
        </w:r>
      </w:hyperlink>
    </w:p>
    <w:p w:rsidR="002544BB" w:rsidRDefault="00C96E7A" w14:paraId="6507B170" w14:textId="355ADD16">
      <w:pPr>
        <w:pStyle w:val="TableofFigures"/>
        <w:tabs>
          <w:tab w:val="right" w:leader="dot" w:pos="9350"/>
        </w:tabs>
        <w:rPr>
          <w:rFonts w:asciiTheme="minorHAnsi" w:hAnsiTheme="minorHAnsi" w:eastAsiaTheme="minorEastAsia" w:cstheme="minorBidi"/>
          <w:b w:val="0"/>
          <w:noProof/>
          <w:szCs w:val="22"/>
        </w:rPr>
      </w:pPr>
      <w:hyperlink w:history="1" w:anchor="_Toc105681551">
        <w:r w:rsidRPr="0009482C" w:rsidR="002544BB">
          <w:rPr>
            <w:rStyle w:val="Hyperlink"/>
            <w:noProof/>
          </w:rPr>
          <w:t>Figure 5-6  Key Variables Whose Uncertainty Drives the Largest Impact on Costs (7</w:t>
        </w:r>
        <w:r w:rsidRPr="0009482C" w:rsidR="002544BB">
          <w:rPr>
            <w:rStyle w:val="Hyperlink"/>
            <w:noProof/>
          </w:rPr>
          <w:noBreakHyphen/>
          <w:t>Percent Net Present Value)</w:t>
        </w:r>
        <w:r w:rsidR="002544BB">
          <w:rPr>
            <w:noProof/>
            <w:webHidden/>
          </w:rPr>
          <w:tab/>
        </w:r>
        <w:r w:rsidR="002544BB">
          <w:rPr>
            <w:noProof/>
            <w:webHidden/>
          </w:rPr>
          <w:fldChar w:fldCharType="begin"/>
        </w:r>
        <w:r w:rsidR="002544BB">
          <w:rPr>
            <w:noProof/>
            <w:webHidden/>
          </w:rPr>
          <w:instrText xml:space="preserve"> PAGEREF _Toc105681551 \h </w:instrText>
        </w:r>
        <w:r w:rsidR="002544BB">
          <w:rPr>
            <w:noProof/>
            <w:webHidden/>
          </w:rPr>
        </w:r>
        <w:r w:rsidR="002544BB">
          <w:rPr>
            <w:noProof/>
            <w:webHidden/>
          </w:rPr>
          <w:fldChar w:fldCharType="separate"/>
        </w:r>
        <w:r w:rsidR="002544BB">
          <w:rPr>
            <w:noProof/>
            <w:webHidden/>
          </w:rPr>
          <w:t>56</w:t>
        </w:r>
        <w:r w:rsidR="002544BB">
          <w:rPr>
            <w:noProof/>
            <w:webHidden/>
          </w:rPr>
          <w:fldChar w:fldCharType="end"/>
        </w:r>
      </w:hyperlink>
    </w:p>
    <w:p w:rsidR="002544BB" w:rsidRDefault="00C96E7A" w14:paraId="732F1224" w14:textId="486E0EA2">
      <w:pPr>
        <w:pStyle w:val="TableofFigures"/>
        <w:tabs>
          <w:tab w:val="right" w:leader="dot" w:pos="9350"/>
        </w:tabs>
        <w:rPr>
          <w:rFonts w:asciiTheme="minorHAnsi" w:hAnsiTheme="minorHAnsi" w:eastAsiaTheme="minorEastAsia" w:cstheme="minorBidi"/>
          <w:b w:val="0"/>
          <w:noProof/>
          <w:szCs w:val="22"/>
        </w:rPr>
      </w:pPr>
      <w:hyperlink w:history="1" w:anchor="_Toc105681552">
        <w:r w:rsidRPr="0009482C" w:rsidR="002544BB">
          <w:rPr>
            <w:rStyle w:val="Hyperlink"/>
            <w:noProof/>
          </w:rPr>
          <w:t>Figure 5-7  Variables Whose Uncertainty Drives the Largest Impact on Costs (3</w:t>
        </w:r>
        <w:r w:rsidRPr="0009482C" w:rsidR="002544BB">
          <w:rPr>
            <w:rStyle w:val="Hyperlink"/>
            <w:noProof/>
          </w:rPr>
          <w:noBreakHyphen/>
          <w:t>Percent Net Present Value)</w:t>
        </w:r>
        <w:r w:rsidR="002544BB">
          <w:rPr>
            <w:noProof/>
            <w:webHidden/>
          </w:rPr>
          <w:tab/>
        </w:r>
        <w:r w:rsidR="002544BB">
          <w:rPr>
            <w:noProof/>
            <w:webHidden/>
          </w:rPr>
          <w:fldChar w:fldCharType="begin"/>
        </w:r>
        <w:r w:rsidR="002544BB">
          <w:rPr>
            <w:noProof/>
            <w:webHidden/>
          </w:rPr>
          <w:instrText xml:space="preserve"> PAGEREF _Toc105681552 \h </w:instrText>
        </w:r>
        <w:r w:rsidR="002544BB">
          <w:rPr>
            <w:noProof/>
            <w:webHidden/>
          </w:rPr>
        </w:r>
        <w:r w:rsidR="002544BB">
          <w:rPr>
            <w:noProof/>
            <w:webHidden/>
          </w:rPr>
          <w:fldChar w:fldCharType="separate"/>
        </w:r>
        <w:r w:rsidR="002544BB">
          <w:rPr>
            <w:noProof/>
            <w:webHidden/>
          </w:rPr>
          <w:t>57</w:t>
        </w:r>
        <w:r w:rsidR="002544BB">
          <w:rPr>
            <w:noProof/>
            <w:webHidden/>
          </w:rPr>
          <w:fldChar w:fldCharType="end"/>
        </w:r>
      </w:hyperlink>
    </w:p>
    <w:p w:rsidR="002544BB" w:rsidRDefault="00C96E7A" w14:paraId="6FD7E3F7" w14:textId="6B960DAB">
      <w:pPr>
        <w:pStyle w:val="TableofFigures"/>
        <w:tabs>
          <w:tab w:val="right" w:leader="dot" w:pos="9350"/>
        </w:tabs>
        <w:rPr>
          <w:rFonts w:asciiTheme="minorHAnsi" w:hAnsiTheme="minorHAnsi" w:eastAsiaTheme="minorEastAsia" w:cstheme="minorBidi"/>
          <w:b w:val="0"/>
          <w:noProof/>
          <w:szCs w:val="22"/>
        </w:rPr>
      </w:pPr>
      <w:hyperlink w:history="1" w:anchor="_Toc105681553">
        <w:r w:rsidRPr="0009482C" w:rsidR="002544BB">
          <w:rPr>
            <w:rStyle w:val="Hyperlink"/>
            <w:noProof/>
          </w:rPr>
          <w:t>Figure 5-8  Distribution of Additional Positive Results Projected</w:t>
        </w:r>
        <w:r w:rsidR="002544BB">
          <w:rPr>
            <w:noProof/>
            <w:webHidden/>
          </w:rPr>
          <w:tab/>
        </w:r>
        <w:r w:rsidR="002544BB">
          <w:rPr>
            <w:noProof/>
            <w:webHidden/>
          </w:rPr>
          <w:fldChar w:fldCharType="begin"/>
        </w:r>
        <w:r w:rsidR="002544BB">
          <w:rPr>
            <w:noProof/>
            <w:webHidden/>
          </w:rPr>
          <w:instrText xml:space="preserve"> PAGEREF _Toc105681553 \h </w:instrText>
        </w:r>
        <w:r w:rsidR="002544BB">
          <w:rPr>
            <w:noProof/>
            <w:webHidden/>
          </w:rPr>
        </w:r>
        <w:r w:rsidR="002544BB">
          <w:rPr>
            <w:noProof/>
            <w:webHidden/>
          </w:rPr>
          <w:fldChar w:fldCharType="separate"/>
        </w:r>
        <w:r w:rsidR="002544BB">
          <w:rPr>
            <w:noProof/>
            <w:webHidden/>
          </w:rPr>
          <w:t>58</w:t>
        </w:r>
        <w:r w:rsidR="002544BB">
          <w:rPr>
            <w:noProof/>
            <w:webHidden/>
          </w:rPr>
          <w:fldChar w:fldCharType="end"/>
        </w:r>
      </w:hyperlink>
    </w:p>
    <w:p w:rsidR="002544BB" w:rsidRDefault="00C96E7A" w14:paraId="4851625B" w14:textId="40A25678">
      <w:pPr>
        <w:pStyle w:val="TableofFigures"/>
        <w:tabs>
          <w:tab w:val="right" w:leader="dot" w:pos="9350"/>
        </w:tabs>
        <w:rPr>
          <w:rFonts w:asciiTheme="minorHAnsi" w:hAnsiTheme="minorHAnsi" w:eastAsiaTheme="minorEastAsia" w:cstheme="minorBidi"/>
          <w:b w:val="0"/>
          <w:noProof/>
          <w:szCs w:val="22"/>
        </w:rPr>
      </w:pPr>
      <w:hyperlink w:history="1" w:anchor="_Toc105681554">
        <w:r w:rsidRPr="0009482C" w:rsidR="002544BB">
          <w:rPr>
            <w:rStyle w:val="Hyperlink"/>
            <w:noProof/>
          </w:rPr>
          <w:t>Figure 5-9  Relative Frequency of the Net Benefits of the Final Rule</w:t>
        </w:r>
        <w:r w:rsidR="002544BB">
          <w:rPr>
            <w:noProof/>
            <w:webHidden/>
          </w:rPr>
          <w:tab/>
        </w:r>
        <w:r w:rsidR="002544BB">
          <w:rPr>
            <w:noProof/>
            <w:webHidden/>
          </w:rPr>
          <w:fldChar w:fldCharType="begin"/>
        </w:r>
        <w:r w:rsidR="002544BB">
          <w:rPr>
            <w:noProof/>
            <w:webHidden/>
          </w:rPr>
          <w:instrText xml:space="preserve"> PAGEREF _Toc105681554 \h </w:instrText>
        </w:r>
        <w:r w:rsidR="002544BB">
          <w:rPr>
            <w:noProof/>
            <w:webHidden/>
          </w:rPr>
        </w:r>
        <w:r w:rsidR="002544BB">
          <w:rPr>
            <w:noProof/>
            <w:webHidden/>
          </w:rPr>
          <w:fldChar w:fldCharType="separate"/>
        </w:r>
        <w:r w:rsidR="002544BB">
          <w:rPr>
            <w:noProof/>
            <w:webHidden/>
          </w:rPr>
          <w:t>58</w:t>
        </w:r>
        <w:r w:rsidR="002544BB">
          <w:rPr>
            <w:noProof/>
            <w:webHidden/>
          </w:rPr>
          <w:fldChar w:fldCharType="end"/>
        </w:r>
      </w:hyperlink>
    </w:p>
    <w:p w:rsidRPr="00646A79" w:rsidR="00D520BD" w:rsidP="00D520BD" w:rsidRDefault="00BE4EA0" w14:paraId="69305CE1" w14:textId="75371EFD">
      <w:pPr>
        <w:rPr>
          <w:sz w:val="22"/>
          <w:szCs w:val="22"/>
        </w:rPr>
      </w:pPr>
      <w:r w:rsidRPr="00FD37BB">
        <w:rPr>
          <w:rFonts w:cs="Arial"/>
          <w:bCs/>
          <w:sz w:val="22"/>
          <w:szCs w:val="22"/>
        </w:rPr>
        <w:fldChar w:fldCharType="end"/>
      </w:r>
    </w:p>
    <w:p w:rsidRPr="00646A79" w:rsidR="00D520BD" w:rsidP="00D520BD" w:rsidRDefault="00D520BD" w14:paraId="7F68194C" w14:textId="77777777">
      <w:pPr>
        <w:rPr>
          <w:sz w:val="22"/>
          <w:szCs w:val="22"/>
        </w:rPr>
        <w:sectPr w:rsidRPr="00646A79" w:rsidR="00D520BD" w:rsidSect="00CD7E93">
          <w:pgSz w:w="12240" w:h="15840" w:code="1"/>
          <w:pgMar w:top="1440" w:right="1440" w:bottom="1440" w:left="1440" w:header="576" w:footer="576" w:gutter="0"/>
          <w:pgNumType w:fmt="lowerRoman"/>
          <w:cols w:space="720"/>
          <w:noEndnote/>
          <w:docGrid w:linePitch="272"/>
        </w:sectPr>
      </w:pPr>
    </w:p>
    <w:p w:rsidRPr="0096589A" w:rsidR="00D520BD" w:rsidP="00D520BD" w:rsidRDefault="00D520BD" w14:paraId="579F7896" w14:textId="656A8705">
      <w:pPr>
        <w:rPr>
          <w:b/>
          <w:sz w:val="32"/>
          <w:szCs w:val="32"/>
        </w:rPr>
      </w:pPr>
      <w:r>
        <w:rPr>
          <w:b/>
          <w:sz w:val="32"/>
          <w:szCs w:val="32"/>
        </w:rPr>
        <w:t>List</w:t>
      </w:r>
      <w:r w:rsidRPr="0096589A">
        <w:rPr>
          <w:b/>
          <w:sz w:val="32"/>
          <w:szCs w:val="32"/>
        </w:rPr>
        <w:t xml:space="preserve"> of </w:t>
      </w:r>
      <w:r w:rsidR="00B858DB">
        <w:rPr>
          <w:b/>
          <w:sz w:val="32"/>
          <w:szCs w:val="32"/>
        </w:rPr>
        <w:t>Tables</w:t>
      </w:r>
    </w:p>
    <w:p w:rsidRPr="00646A79" w:rsidR="00D520BD" w:rsidP="00D520BD" w:rsidRDefault="00D520BD" w14:paraId="1BE1F5A0" w14:textId="77777777">
      <w:pPr>
        <w:autoSpaceDE/>
        <w:autoSpaceDN/>
        <w:adjustRightInd/>
        <w:rPr>
          <w:sz w:val="22"/>
          <w:szCs w:val="22"/>
        </w:rPr>
      </w:pPr>
    </w:p>
    <w:p w:rsidR="002544BB" w:rsidRDefault="00B858DB" w14:paraId="397FB97B" w14:textId="1EECCF0E">
      <w:pPr>
        <w:pStyle w:val="TableofFigures"/>
        <w:tabs>
          <w:tab w:val="right" w:leader="dot" w:pos="9350"/>
        </w:tabs>
        <w:rPr>
          <w:rFonts w:asciiTheme="minorHAnsi" w:hAnsiTheme="minorHAnsi" w:eastAsiaTheme="minorEastAsia" w:cstheme="minorBidi"/>
          <w:b w:val="0"/>
          <w:noProof/>
          <w:szCs w:val="22"/>
        </w:rPr>
      </w:pPr>
      <w:r w:rsidRPr="008A3AEE">
        <w:rPr>
          <w:rStyle w:val="Hyperlink"/>
          <w:rFonts w:ascii="Arial" w:hAnsi="Arial" w:cs="Arial"/>
          <w:b w:val="0"/>
          <w:bCs/>
          <w:noProof/>
        </w:rPr>
        <w:fldChar w:fldCharType="begin"/>
      </w:r>
      <w:r w:rsidRPr="008A3AEE">
        <w:rPr>
          <w:rStyle w:val="Hyperlink"/>
          <w:rFonts w:ascii="Arial" w:hAnsi="Arial" w:cs="Arial"/>
          <w:b w:val="0"/>
          <w:bCs/>
          <w:noProof/>
        </w:rPr>
        <w:instrText xml:space="preserve"> TOC \h \z \c "Table" </w:instrText>
      </w:r>
      <w:r w:rsidRPr="008A3AEE">
        <w:rPr>
          <w:rStyle w:val="Hyperlink"/>
          <w:rFonts w:ascii="Arial" w:hAnsi="Arial" w:cs="Arial"/>
          <w:b w:val="0"/>
          <w:bCs/>
          <w:noProof/>
        </w:rPr>
        <w:fldChar w:fldCharType="separate"/>
      </w:r>
      <w:hyperlink w:history="1" w:anchor="_Toc105681555">
        <w:r w:rsidRPr="00CC74E0" w:rsidR="002544BB">
          <w:rPr>
            <w:rStyle w:val="Hyperlink"/>
            <w:noProof/>
          </w:rPr>
          <w:t>Table ES-1  Cost-Benefit Comparison of Alternative 2 (Amend 10 CFR Part 26)</w:t>
        </w:r>
        <w:r w:rsidR="002544BB">
          <w:rPr>
            <w:noProof/>
            <w:webHidden/>
          </w:rPr>
          <w:tab/>
        </w:r>
        <w:r w:rsidR="002544BB">
          <w:rPr>
            <w:noProof/>
            <w:webHidden/>
          </w:rPr>
          <w:fldChar w:fldCharType="begin"/>
        </w:r>
        <w:r w:rsidR="002544BB">
          <w:rPr>
            <w:noProof/>
            <w:webHidden/>
          </w:rPr>
          <w:instrText xml:space="preserve"> PAGEREF _Toc105681555 \h </w:instrText>
        </w:r>
        <w:r w:rsidR="002544BB">
          <w:rPr>
            <w:noProof/>
            <w:webHidden/>
          </w:rPr>
        </w:r>
        <w:r w:rsidR="002544BB">
          <w:rPr>
            <w:noProof/>
            <w:webHidden/>
          </w:rPr>
          <w:fldChar w:fldCharType="separate"/>
        </w:r>
        <w:r w:rsidR="002544BB">
          <w:rPr>
            <w:noProof/>
            <w:webHidden/>
          </w:rPr>
          <w:t>xiii</w:t>
        </w:r>
        <w:r w:rsidR="002544BB">
          <w:rPr>
            <w:noProof/>
            <w:webHidden/>
          </w:rPr>
          <w:fldChar w:fldCharType="end"/>
        </w:r>
      </w:hyperlink>
    </w:p>
    <w:p w:rsidR="002544BB" w:rsidRDefault="00C96E7A" w14:paraId="73FB7175" w14:textId="21AEC82F">
      <w:pPr>
        <w:pStyle w:val="TableofFigures"/>
        <w:tabs>
          <w:tab w:val="right" w:leader="dot" w:pos="9350"/>
        </w:tabs>
        <w:rPr>
          <w:rFonts w:asciiTheme="minorHAnsi" w:hAnsiTheme="minorHAnsi" w:eastAsiaTheme="minorEastAsia" w:cstheme="minorBidi"/>
          <w:b w:val="0"/>
          <w:noProof/>
          <w:szCs w:val="22"/>
        </w:rPr>
      </w:pPr>
      <w:hyperlink w:history="1" w:anchor="_Toc105681556">
        <w:r w:rsidRPr="00CC74E0" w:rsidR="002544BB">
          <w:rPr>
            <w:rStyle w:val="Hyperlink"/>
            <w:noProof/>
          </w:rPr>
          <w:t>Table 3-1  FFD Program Performance Data on Possible Impairment from Substance Use</w:t>
        </w:r>
        <w:r w:rsidR="002544BB">
          <w:rPr>
            <w:noProof/>
            <w:webHidden/>
          </w:rPr>
          <w:tab/>
        </w:r>
        <w:r w:rsidR="002544BB">
          <w:rPr>
            <w:noProof/>
            <w:webHidden/>
          </w:rPr>
          <w:fldChar w:fldCharType="begin"/>
        </w:r>
        <w:r w:rsidR="002544BB">
          <w:rPr>
            <w:noProof/>
            <w:webHidden/>
          </w:rPr>
          <w:instrText xml:space="preserve"> PAGEREF _Toc105681556 \h </w:instrText>
        </w:r>
        <w:r w:rsidR="002544BB">
          <w:rPr>
            <w:noProof/>
            <w:webHidden/>
          </w:rPr>
        </w:r>
        <w:r w:rsidR="002544BB">
          <w:rPr>
            <w:noProof/>
            <w:webHidden/>
          </w:rPr>
          <w:fldChar w:fldCharType="separate"/>
        </w:r>
        <w:r w:rsidR="002544BB">
          <w:rPr>
            <w:noProof/>
            <w:webHidden/>
          </w:rPr>
          <w:t>11</w:t>
        </w:r>
        <w:r w:rsidR="002544BB">
          <w:rPr>
            <w:noProof/>
            <w:webHidden/>
          </w:rPr>
          <w:fldChar w:fldCharType="end"/>
        </w:r>
      </w:hyperlink>
    </w:p>
    <w:p w:rsidR="002544BB" w:rsidRDefault="00C96E7A" w14:paraId="103C842D" w14:textId="1041B31B">
      <w:pPr>
        <w:pStyle w:val="TableofFigures"/>
        <w:tabs>
          <w:tab w:val="right" w:leader="dot" w:pos="9350"/>
        </w:tabs>
        <w:rPr>
          <w:rFonts w:asciiTheme="minorHAnsi" w:hAnsiTheme="minorHAnsi" w:eastAsiaTheme="minorEastAsia" w:cstheme="minorBidi"/>
          <w:b w:val="0"/>
          <w:noProof/>
          <w:szCs w:val="22"/>
        </w:rPr>
      </w:pPr>
      <w:hyperlink w:history="1" w:anchor="_Toc105681557">
        <w:r w:rsidRPr="00CC74E0" w:rsidR="002544BB">
          <w:rPr>
            <w:rStyle w:val="Hyperlink"/>
            <w:noProof/>
          </w:rPr>
          <w:t>Table 4-1  Range of Testing Data by Facility Type (CYs 2009–2019)</w:t>
        </w:r>
        <w:r w:rsidR="002544BB">
          <w:rPr>
            <w:noProof/>
            <w:webHidden/>
          </w:rPr>
          <w:tab/>
        </w:r>
        <w:r w:rsidR="002544BB">
          <w:rPr>
            <w:noProof/>
            <w:webHidden/>
          </w:rPr>
          <w:fldChar w:fldCharType="begin"/>
        </w:r>
        <w:r w:rsidR="002544BB">
          <w:rPr>
            <w:noProof/>
            <w:webHidden/>
          </w:rPr>
          <w:instrText xml:space="preserve"> PAGEREF _Toc105681557 \h </w:instrText>
        </w:r>
        <w:r w:rsidR="002544BB">
          <w:rPr>
            <w:noProof/>
            <w:webHidden/>
          </w:rPr>
        </w:r>
        <w:r w:rsidR="002544BB">
          <w:rPr>
            <w:noProof/>
            <w:webHidden/>
          </w:rPr>
          <w:fldChar w:fldCharType="separate"/>
        </w:r>
        <w:r w:rsidR="002544BB">
          <w:rPr>
            <w:noProof/>
            <w:webHidden/>
          </w:rPr>
          <w:t>22</w:t>
        </w:r>
        <w:r w:rsidR="002544BB">
          <w:rPr>
            <w:noProof/>
            <w:webHidden/>
          </w:rPr>
          <w:fldChar w:fldCharType="end"/>
        </w:r>
      </w:hyperlink>
    </w:p>
    <w:p w:rsidR="002544BB" w:rsidRDefault="00C96E7A" w14:paraId="7CA770C2" w14:textId="0F9525C2">
      <w:pPr>
        <w:pStyle w:val="TableofFigures"/>
        <w:tabs>
          <w:tab w:val="right" w:leader="dot" w:pos="9350"/>
        </w:tabs>
        <w:rPr>
          <w:rFonts w:asciiTheme="minorHAnsi" w:hAnsiTheme="minorHAnsi" w:eastAsiaTheme="minorEastAsia" w:cstheme="minorBidi"/>
          <w:b w:val="0"/>
          <w:noProof/>
          <w:szCs w:val="22"/>
        </w:rPr>
      </w:pPr>
      <w:hyperlink w:history="1" w:anchor="_Toc105681558">
        <w:r w:rsidRPr="00CC74E0" w:rsidR="002544BB">
          <w:rPr>
            <w:rStyle w:val="Hyperlink"/>
            <w:noProof/>
          </w:rPr>
          <w:t>Table 4-2  Nominal Staffing Levels for Future Nuclear Facilities</w:t>
        </w:r>
        <w:r w:rsidR="002544BB">
          <w:rPr>
            <w:noProof/>
            <w:webHidden/>
          </w:rPr>
          <w:tab/>
        </w:r>
        <w:r w:rsidR="002544BB">
          <w:rPr>
            <w:noProof/>
            <w:webHidden/>
          </w:rPr>
          <w:fldChar w:fldCharType="begin"/>
        </w:r>
        <w:r w:rsidR="002544BB">
          <w:rPr>
            <w:noProof/>
            <w:webHidden/>
          </w:rPr>
          <w:instrText xml:space="preserve"> PAGEREF _Toc105681558 \h </w:instrText>
        </w:r>
        <w:r w:rsidR="002544BB">
          <w:rPr>
            <w:noProof/>
            <w:webHidden/>
          </w:rPr>
        </w:r>
        <w:r w:rsidR="002544BB">
          <w:rPr>
            <w:noProof/>
            <w:webHidden/>
          </w:rPr>
          <w:fldChar w:fldCharType="separate"/>
        </w:r>
        <w:r w:rsidR="002544BB">
          <w:rPr>
            <w:noProof/>
            <w:webHidden/>
          </w:rPr>
          <w:t>23</w:t>
        </w:r>
        <w:r w:rsidR="002544BB">
          <w:rPr>
            <w:noProof/>
            <w:webHidden/>
          </w:rPr>
          <w:fldChar w:fldCharType="end"/>
        </w:r>
      </w:hyperlink>
    </w:p>
    <w:p w:rsidR="002544BB" w:rsidRDefault="00C96E7A" w14:paraId="3E9DCE71" w14:textId="4774DEBF">
      <w:pPr>
        <w:pStyle w:val="TableofFigures"/>
        <w:tabs>
          <w:tab w:val="right" w:leader="dot" w:pos="9350"/>
        </w:tabs>
        <w:rPr>
          <w:rFonts w:asciiTheme="minorHAnsi" w:hAnsiTheme="minorHAnsi" w:eastAsiaTheme="minorEastAsia" w:cstheme="minorBidi"/>
          <w:b w:val="0"/>
          <w:noProof/>
          <w:szCs w:val="22"/>
        </w:rPr>
      </w:pPr>
      <w:hyperlink w:history="1" w:anchor="_Toc105681559">
        <w:r w:rsidRPr="00CC74E0" w:rsidR="002544BB">
          <w:rPr>
            <w:rStyle w:val="Hyperlink"/>
            <w:noProof/>
          </w:rPr>
          <w:t>Table 4-3  Suspect Specimens Collected Under Direct Observation</w:t>
        </w:r>
        <w:r w:rsidR="002544BB">
          <w:rPr>
            <w:noProof/>
            <w:webHidden/>
          </w:rPr>
          <w:tab/>
        </w:r>
        <w:r w:rsidR="002544BB">
          <w:rPr>
            <w:noProof/>
            <w:webHidden/>
          </w:rPr>
          <w:fldChar w:fldCharType="begin"/>
        </w:r>
        <w:r w:rsidR="002544BB">
          <w:rPr>
            <w:noProof/>
            <w:webHidden/>
          </w:rPr>
          <w:instrText xml:space="preserve"> PAGEREF _Toc105681559 \h </w:instrText>
        </w:r>
        <w:r w:rsidR="002544BB">
          <w:rPr>
            <w:noProof/>
            <w:webHidden/>
          </w:rPr>
        </w:r>
        <w:r w:rsidR="002544BB">
          <w:rPr>
            <w:noProof/>
            <w:webHidden/>
          </w:rPr>
          <w:fldChar w:fldCharType="separate"/>
        </w:r>
        <w:r w:rsidR="002544BB">
          <w:rPr>
            <w:noProof/>
            <w:webHidden/>
          </w:rPr>
          <w:t>32</w:t>
        </w:r>
        <w:r w:rsidR="002544BB">
          <w:rPr>
            <w:noProof/>
            <w:webHidden/>
          </w:rPr>
          <w:fldChar w:fldCharType="end"/>
        </w:r>
      </w:hyperlink>
    </w:p>
    <w:p w:rsidR="002544BB" w:rsidRDefault="00C96E7A" w14:paraId="4705AA94" w14:textId="654E3C76">
      <w:pPr>
        <w:pStyle w:val="TableofFigures"/>
        <w:tabs>
          <w:tab w:val="right" w:leader="dot" w:pos="9350"/>
        </w:tabs>
        <w:rPr>
          <w:rFonts w:asciiTheme="minorHAnsi" w:hAnsiTheme="minorHAnsi" w:eastAsiaTheme="minorEastAsia" w:cstheme="minorBidi"/>
          <w:b w:val="0"/>
          <w:noProof/>
          <w:szCs w:val="22"/>
        </w:rPr>
      </w:pPr>
      <w:hyperlink w:history="1" w:anchor="_Toc105681560">
        <w:r w:rsidRPr="00CC74E0" w:rsidR="002544BB">
          <w:rPr>
            <w:rStyle w:val="Hyperlink"/>
            <w:noProof/>
          </w:rPr>
          <w:t>Table 5-1  Summary of Overall Benefits and Costs (Quantitative and Qualitative), Alternative 2 (Amend 10 CFR Part 26)</w:t>
        </w:r>
        <w:r w:rsidR="002544BB">
          <w:rPr>
            <w:noProof/>
            <w:webHidden/>
          </w:rPr>
          <w:tab/>
        </w:r>
        <w:r w:rsidR="002544BB">
          <w:rPr>
            <w:noProof/>
            <w:webHidden/>
          </w:rPr>
          <w:fldChar w:fldCharType="begin"/>
        </w:r>
        <w:r w:rsidR="002544BB">
          <w:rPr>
            <w:noProof/>
            <w:webHidden/>
          </w:rPr>
          <w:instrText xml:space="preserve"> PAGEREF _Toc105681560 \h </w:instrText>
        </w:r>
        <w:r w:rsidR="002544BB">
          <w:rPr>
            <w:noProof/>
            <w:webHidden/>
          </w:rPr>
        </w:r>
        <w:r w:rsidR="002544BB">
          <w:rPr>
            <w:noProof/>
            <w:webHidden/>
          </w:rPr>
          <w:fldChar w:fldCharType="separate"/>
        </w:r>
        <w:r w:rsidR="002544BB">
          <w:rPr>
            <w:noProof/>
            <w:webHidden/>
          </w:rPr>
          <w:t>36</w:t>
        </w:r>
        <w:r w:rsidR="002544BB">
          <w:rPr>
            <w:noProof/>
            <w:webHidden/>
          </w:rPr>
          <w:fldChar w:fldCharType="end"/>
        </w:r>
      </w:hyperlink>
    </w:p>
    <w:p w:rsidR="002544BB" w:rsidRDefault="00C96E7A" w14:paraId="3F6DCE53" w14:textId="24AAE182">
      <w:pPr>
        <w:pStyle w:val="TableofFigures"/>
        <w:tabs>
          <w:tab w:val="right" w:leader="dot" w:pos="9350"/>
        </w:tabs>
        <w:rPr>
          <w:rFonts w:asciiTheme="minorHAnsi" w:hAnsiTheme="minorHAnsi" w:eastAsiaTheme="minorEastAsia" w:cstheme="minorBidi"/>
          <w:b w:val="0"/>
          <w:noProof/>
          <w:szCs w:val="22"/>
        </w:rPr>
      </w:pPr>
      <w:hyperlink w:history="1" w:anchor="_Toc105681561">
        <w:r w:rsidRPr="00CC74E0" w:rsidR="002544BB">
          <w:rPr>
            <w:rStyle w:val="Hyperlink"/>
            <w:noProof/>
          </w:rPr>
          <w:t>Table 5-2  Summary of Total Benefits and Costs to Industry (One-Time and Annual)</w:t>
        </w:r>
        <w:r w:rsidR="002544BB">
          <w:rPr>
            <w:noProof/>
            <w:webHidden/>
          </w:rPr>
          <w:tab/>
        </w:r>
        <w:r w:rsidR="002544BB">
          <w:rPr>
            <w:noProof/>
            <w:webHidden/>
          </w:rPr>
          <w:fldChar w:fldCharType="begin"/>
        </w:r>
        <w:r w:rsidR="002544BB">
          <w:rPr>
            <w:noProof/>
            <w:webHidden/>
          </w:rPr>
          <w:instrText xml:space="preserve"> PAGEREF _Toc105681561 \h </w:instrText>
        </w:r>
        <w:r w:rsidR="002544BB">
          <w:rPr>
            <w:noProof/>
            <w:webHidden/>
          </w:rPr>
        </w:r>
        <w:r w:rsidR="002544BB">
          <w:rPr>
            <w:noProof/>
            <w:webHidden/>
          </w:rPr>
          <w:fldChar w:fldCharType="separate"/>
        </w:r>
        <w:r w:rsidR="002544BB">
          <w:rPr>
            <w:noProof/>
            <w:webHidden/>
          </w:rPr>
          <w:t>37</w:t>
        </w:r>
        <w:r w:rsidR="002544BB">
          <w:rPr>
            <w:noProof/>
            <w:webHidden/>
          </w:rPr>
          <w:fldChar w:fldCharType="end"/>
        </w:r>
      </w:hyperlink>
    </w:p>
    <w:p w:rsidR="002544BB" w:rsidRDefault="00C96E7A" w14:paraId="729128D5" w14:textId="10D169F6">
      <w:pPr>
        <w:pStyle w:val="TableofFigures"/>
        <w:tabs>
          <w:tab w:val="right" w:leader="dot" w:pos="9350"/>
        </w:tabs>
        <w:rPr>
          <w:rFonts w:asciiTheme="minorHAnsi" w:hAnsiTheme="minorHAnsi" w:eastAsiaTheme="minorEastAsia" w:cstheme="minorBidi"/>
          <w:b w:val="0"/>
          <w:noProof/>
          <w:szCs w:val="22"/>
        </w:rPr>
      </w:pPr>
      <w:hyperlink w:history="1" w:anchor="_Toc105681562">
        <w:r w:rsidRPr="00CC74E0" w:rsidR="002544BB">
          <w:rPr>
            <w:rStyle w:val="Hyperlink"/>
            <w:noProof/>
          </w:rPr>
          <w:t>Table 5-3  Summary of One-Time and Annual Benefits and Costs to Industry, by Regulatory Initiative</w:t>
        </w:r>
        <w:r w:rsidR="002544BB">
          <w:rPr>
            <w:noProof/>
            <w:webHidden/>
          </w:rPr>
          <w:tab/>
        </w:r>
        <w:r w:rsidR="002544BB">
          <w:rPr>
            <w:noProof/>
            <w:webHidden/>
          </w:rPr>
          <w:fldChar w:fldCharType="begin"/>
        </w:r>
        <w:r w:rsidR="002544BB">
          <w:rPr>
            <w:noProof/>
            <w:webHidden/>
          </w:rPr>
          <w:instrText xml:space="preserve"> PAGEREF _Toc105681562 \h </w:instrText>
        </w:r>
        <w:r w:rsidR="002544BB">
          <w:rPr>
            <w:noProof/>
            <w:webHidden/>
          </w:rPr>
        </w:r>
        <w:r w:rsidR="002544BB">
          <w:rPr>
            <w:noProof/>
            <w:webHidden/>
          </w:rPr>
          <w:fldChar w:fldCharType="separate"/>
        </w:r>
        <w:r w:rsidR="002544BB">
          <w:rPr>
            <w:noProof/>
            <w:webHidden/>
          </w:rPr>
          <w:t>37</w:t>
        </w:r>
        <w:r w:rsidR="002544BB">
          <w:rPr>
            <w:noProof/>
            <w:webHidden/>
          </w:rPr>
          <w:fldChar w:fldCharType="end"/>
        </w:r>
      </w:hyperlink>
    </w:p>
    <w:p w:rsidR="002544BB" w:rsidRDefault="00C96E7A" w14:paraId="45D855AF" w14:textId="5884267D">
      <w:pPr>
        <w:pStyle w:val="TableofFigures"/>
        <w:tabs>
          <w:tab w:val="right" w:leader="dot" w:pos="9350"/>
        </w:tabs>
        <w:rPr>
          <w:rFonts w:asciiTheme="minorHAnsi" w:hAnsiTheme="minorHAnsi" w:eastAsiaTheme="minorEastAsia" w:cstheme="minorBidi"/>
          <w:b w:val="0"/>
          <w:noProof/>
          <w:szCs w:val="22"/>
        </w:rPr>
      </w:pPr>
      <w:hyperlink w:history="1" w:anchor="_Toc105681563">
        <w:r w:rsidRPr="00CC74E0" w:rsidR="002544BB">
          <w:rPr>
            <w:rStyle w:val="Hyperlink"/>
            <w:noProof/>
          </w:rPr>
          <w:t>Table 5-4  Projected One-Time and Annual Costs to Future Nuclear Facilities</w:t>
        </w:r>
        <w:r w:rsidR="002544BB">
          <w:rPr>
            <w:noProof/>
            <w:webHidden/>
          </w:rPr>
          <w:tab/>
        </w:r>
        <w:r w:rsidR="002544BB">
          <w:rPr>
            <w:noProof/>
            <w:webHidden/>
          </w:rPr>
          <w:fldChar w:fldCharType="begin"/>
        </w:r>
        <w:r w:rsidR="002544BB">
          <w:rPr>
            <w:noProof/>
            <w:webHidden/>
          </w:rPr>
          <w:instrText xml:space="preserve"> PAGEREF _Toc105681563 \h </w:instrText>
        </w:r>
        <w:r w:rsidR="002544BB">
          <w:rPr>
            <w:noProof/>
            <w:webHidden/>
          </w:rPr>
        </w:r>
        <w:r w:rsidR="002544BB">
          <w:rPr>
            <w:noProof/>
            <w:webHidden/>
          </w:rPr>
          <w:fldChar w:fldCharType="separate"/>
        </w:r>
        <w:r w:rsidR="002544BB">
          <w:rPr>
            <w:noProof/>
            <w:webHidden/>
          </w:rPr>
          <w:t>38</w:t>
        </w:r>
        <w:r w:rsidR="002544BB">
          <w:rPr>
            <w:noProof/>
            <w:webHidden/>
          </w:rPr>
          <w:fldChar w:fldCharType="end"/>
        </w:r>
      </w:hyperlink>
    </w:p>
    <w:p w:rsidR="002544BB" w:rsidRDefault="00C96E7A" w14:paraId="175C0068" w14:textId="1656183D">
      <w:pPr>
        <w:pStyle w:val="TableofFigures"/>
        <w:tabs>
          <w:tab w:val="right" w:leader="dot" w:pos="9350"/>
        </w:tabs>
        <w:rPr>
          <w:rFonts w:asciiTheme="minorHAnsi" w:hAnsiTheme="minorHAnsi" w:eastAsiaTheme="minorEastAsia" w:cstheme="minorBidi"/>
          <w:b w:val="0"/>
          <w:noProof/>
          <w:szCs w:val="22"/>
        </w:rPr>
      </w:pPr>
      <w:hyperlink w:history="1" w:anchor="_Toc105681564">
        <w:r w:rsidRPr="00CC74E0" w:rsidR="002544BB">
          <w:rPr>
            <w:rStyle w:val="Hyperlink"/>
            <w:noProof/>
          </w:rPr>
          <w:t>Table 5-5  One-Time Implementation Costs</w:t>
        </w:r>
        <w:r w:rsidR="002544BB">
          <w:rPr>
            <w:noProof/>
            <w:webHidden/>
          </w:rPr>
          <w:tab/>
        </w:r>
        <w:r w:rsidR="002544BB">
          <w:rPr>
            <w:noProof/>
            <w:webHidden/>
          </w:rPr>
          <w:fldChar w:fldCharType="begin"/>
        </w:r>
        <w:r w:rsidR="002544BB">
          <w:rPr>
            <w:noProof/>
            <w:webHidden/>
          </w:rPr>
          <w:instrText xml:space="preserve"> PAGEREF _Toc105681564 \h </w:instrText>
        </w:r>
        <w:r w:rsidR="002544BB">
          <w:rPr>
            <w:noProof/>
            <w:webHidden/>
          </w:rPr>
        </w:r>
        <w:r w:rsidR="002544BB">
          <w:rPr>
            <w:noProof/>
            <w:webHidden/>
          </w:rPr>
          <w:fldChar w:fldCharType="separate"/>
        </w:r>
        <w:r w:rsidR="002544BB">
          <w:rPr>
            <w:noProof/>
            <w:webHidden/>
          </w:rPr>
          <w:t>39</w:t>
        </w:r>
        <w:r w:rsidR="002544BB">
          <w:rPr>
            <w:noProof/>
            <w:webHidden/>
          </w:rPr>
          <w:fldChar w:fldCharType="end"/>
        </w:r>
      </w:hyperlink>
    </w:p>
    <w:p w:rsidR="002544BB" w:rsidRDefault="00C96E7A" w14:paraId="3F88437D" w14:textId="43AC2D71">
      <w:pPr>
        <w:pStyle w:val="TableofFigures"/>
        <w:tabs>
          <w:tab w:val="right" w:leader="dot" w:pos="9350"/>
        </w:tabs>
        <w:rPr>
          <w:rFonts w:asciiTheme="minorHAnsi" w:hAnsiTheme="minorHAnsi" w:eastAsiaTheme="minorEastAsia" w:cstheme="minorBidi"/>
          <w:b w:val="0"/>
          <w:noProof/>
          <w:szCs w:val="22"/>
        </w:rPr>
      </w:pPr>
      <w:hyperlink w:history="1" w:anchor="_Toc105681565">
        <w:r w:rsidRPr="00CC74E0" w:rsidR="002544BB">
          <w:rPr>
            <w:rStyle w:val="Hyperlink"/>
            <w:noProof/>
          </w:rPr>
          <w:t>Table 5-6  Additional Amphetamines and Cocaine Positives from Lower Testing Cutoff Levels (Estimated Total for All Sites)</w:t>
        </w:r>
        <w:r w:rsidR="002544BB">
          <w:rPr>
            <w:noProof/>
            <w:webHidden/>
          </w:rPr>
          <w:tab/>
        </w:r>
        <w:r w:rsidR="002544BB">
          <w:rPr>
            <w:noProof/>
            <w:webHidden/>
          </w:rPr>
          <w:fldChar w:fldCharType="begin"/>
        </w:r>
        <w:r w:rsidR="002544BB">
          <w:rPr>
            <w:noProof/>
            <w:webHidden/>
          </w:rPr>
          <w:instrText xml:space="preserve"> PAGEREF _Toc105681565 \h </w:instrText>
        </w:r>
        <w:r w:rsidR="002544BB">
          <w:rPr>
            <w:noProof/>
            <w:webHidden/>
          </w:rPr>
        </w:r>
        <w:r w:rsidR="002544BB">
          <w:rPr>
            <w:noProof/>
            <w:webHidden/>
          </w:rPr>
          <w:fldChar w:fldCharType="separate"/>
        </w:r>
        <w:r w:rsidR="002544BB">
          <w:rPr>
            <w:noProof/>
            <w:webHidden/>
          </w:rPr>
          <w:t>40</w:t>
        </w:r>
        <w:r w:rsidR="002544BB">
          <w:rPr>
            <w:noProof/>
            <w:webHidden/>
          </w:rPr>
          <w:fldChar w:fldCharType="end"/>
        </w:r>
      </w:hyperlink>
    </w:p>
    <w:p w:rsidR="002544BB" w:rsidRDefault="00C96E7A" w14:paraId="6991E49B" w14:textId="78DFAE1B">
      <w:pPr>
        <w:pStyle w:val="TableofFigures"/>
        <w:tabs>
          <w:tab w:val="right" w:leader="dot" w:pos="9350"/>
        </w:tabs>
        <w:rPr>
          <w:rFonts w:asciiTheme="minorHAnsi" w:hAnsiTheme="minorHAnsi" w:eastAsiaTheme="minorEastAsia" w:cstheme="minorBidi"/>
          <w:b w:val="0"/>
          <w:noProof/>
          <w:szCs w:val="22"/>
        </w:rPr>
      </w:pPr>
      <w:hyperlink w:history="1" w:anchor="_Toc105681566">
        <w:r w:rsidRPr="00CC74E0" w:rsidR="002544BB">
          <w:rPr>
            <w:rStyle w:val="Hyperlink"/>
            <w:noProof/>
          </w:rPr>
          <w:t>Table 5-7  Additional Amphetamines and Cocaine Positives from Lower Testing Cutoff Levels by Future Nuclear Facilities</w:t>
        </w:r>
        <w:r w:rsidR="002544BB">
          <w:rPr>
            <w:noProof/>
            <w:webHidden/>
          </w:rPr>
          <w:tab/>
        </w:r>
        <w:r w:rsidR="002544BB">
          <w:rPr>
            <w:noProof/>
            <w:webHidden/>
          </w:rPr>
          <w:fldChar w:fldCharType="begin"/>
        </w:r>
        <w:r w:rsidR="002544BB">
          <w:rPr>
            <w:noProof/>
            <w:webHidden/>
          </w:rPr>
          <w:instrText xml:space="preserve"> PAGEREF _Toc105681566 \h </w:instrText>
        </w:r>
        <w:r w:rsidR="002544BB">
          <w:rPr>
            <w:noProof/>
            <w:webHidden/>
          </w:rPr>
        </w:r>
        <w:r w:rsidR="002544BB">
          <w:rPr>
            <w:noProof/>
            <w:webHidden/>
          </w:rPr>
          <w:fldChar w:fldCharType="separate"/>
        </w:r>
        <w:r w:rsidR="002544BB">
          <w:rPr>
            <w:noProof/>
            <w:webHidden/>
          </w:rPr>
          <w:t>40</w:t>
        </w:r>
        <w:r w:rsidR="002544BB">
          <w:rPr>
            <w:noProof/>
            <w:webHidden/>
          </w:rPr>
          <w:fldChar w:fldCharType="end"/>
        </w:r>
      </w:hyperlink>
    </w:p>
    <w:p w:rsidR="002544BB" w:rsidRDefault="00C96E7A" w14:paraId="1CFBF21E" w14:textId="3D163D39">
      <w:pPr>
        <w:pStyle w:val="TableofFigures"/>
        <w:tabs>
          <w:tab w:val="right" w:leader="dot" w:pos="9350"/>
        </w:tabs>
        <w:rPr>
          <w:rFonts w:asciiTheme="minorHAnsi" w:hAnsiTheme="minorHAnsi" w:eastAsiaTheme="minorEastAsia" w:cstheme="minorBidi"/>
          <w:b w:val="0"/>
          <w:noProof/>
          <w:szCs w:val="22"/>
        </w:rPr>
      </w:pPr>
      <w:hyperlink w:history="1" w:anchor="_Toc105681567">
        <w:r w:rsidRPr="00CC74E0" w:rsidR="002544BB">
          <w:rPr>
            <w:rStyle w:val="Hyperlink"/>
            <w:noProof/>
          </w:rPr>
          <w:t>Table 5-8  Additional 6-AM Positive Results from Drug Testing Panel Changes  (Estimated Total for All Sites)</w:t>
        </w:r>
        <w:r w:rsidR="002544BB">
          <w:rPr>
            <w:noProof/>
            <w:webHidden/>
          </w:rPr>
          <w:tab/>
        </w:r>
        <w:r w:rsidR="002544BB">
          <w:rPr>
            <w:noProof/>
            <w:webHidden/>
          </w:rPr>
          <w:fldChar w:fldCharType="begin"/>
        </w:r>
        <w:r w:rsidR="002544BB">
          <w:rPr>
            <w:noProof/>
            <w:webHidden/>
          </w:rPr>
          <w:instrText xml:space="preserve"> PAGEREF _Toc105681567 \h </w:instrText>
        </w:r>
        <w:r w:rsidR="002544BB">
          <w:rPr>
            <w:noProof/>
            <w:webHidden/>
          </w:rPr>
        </w:r>
        <w:r w:rsidR="002544BB">
          <w:rPr>
            <w:noProof/>
            <w:webHidden/>
          </w:rPr>
          <w:fldChar w:fldCharType="separate"/>
        </w:r>
        <w:r w:rsidR="002544BB">
          <w:rPr>
            <w:noProof/>
            <w:webHidden/>
          </w:rPr>
          <w:t>41</w:t>
        </w:r>
        <w:r w:rsidR="002544BB">
          <w:rPr>
            <w:noProof/>
            <w:webHidden/>
          </w:rPr>
          <w:fldChar w:fldCharType="end"/>
        </w:r>
      </w:hyperlink>
    </w:p>
    <w:p w:rsidR="002544BB" w:rsidRDefault="00C96E7A" w14:paraId="08841A48" w14:textId="5058099C">
      <w:pPr>
        <w:pStyle w:val="TableofFigures"/>
        <w:tabs>
          <w:tab w:val="right" w:leader="dot" w:pos="9350"/>
        </w:tabs>
        <w:rPr>
          <w:rFonts w:asciiTheme="minorHAnsi" w:hAnsiTheme="minorHAnsi" w:eastAsiaTheme="minorEastAsia" w:cstheme="minorBidi"/>
          <w:b w:val="0"/>
          <w:noProof/>
          <w:szCs w:val="22"/>
        </w:rPr>
      </w:pPr>
      <w:hyperlink w:history="1" w:anchor="_Toc105681568">
        <w:r w:rsidRPr="00CC74E0" w:rsidR="002544BB">
          <w:rPr>
            <w:rStyle w:val="Hyperlink"/>
            <w:noProof/>
          </w:rPr>
          <w:t>Table 5-9  Additional 6-AM Positive Results from Drug Testing Panel Changes  by Future Nuclear Facilities</w:t>
        </w:r>
        <w:r w:rsidR="002544BB">
          <w:rPr>
            <w:noProof/>
            <w:webHidden/>
          </w:rPr>
          <w:tab/>
        </w:r>
        <w:r w:rsidR="002544BB">
          <w:rPr>
            <w:noProof/>
            <w:webHidden/>
          </w:rPr>
          <w:fldChar w:fldCharType="begin"/>
        </w:r>
        <w:r w:rsidR="002544BB">
          <w:rPr>
            <w:noProof/>
            <w:webHidden/>
          </w:rPr>
          <w:instrText xml:space="preserve"> PAGEREF _Toc105681568 \h </w:instrText>
        </w:r>
        <w:r w:rsidR="002544BB">
          <w:rPr>
            <w:noProof/>
            <w:webHidden/>
          </w:rPr>
        </w:r>
        <w:r w:rsidR="002544BB">
          <w:rPr>
            <w:noProof/>
            <w:webHidden/>
          </w:rPr>
          <w:fldChar w:fldCharType="separate"/>
        </w:r>
        <w:r w:rsidR="002544BB">
          <w:rPr>
            <w:noProof/>
            <w:webHidden/>
          </w:rPr>
          <w:t>41</w:t>
        </w:r>
        <w:r w:rsidR="002544BB">
          <w:rPr>
            <w:noProof/>
            <w:webHidden/>
          </w:rPr>
          <w:fldChar w:fldCharType="end"/>
        </w:r>
      </w:hyperlink>
    </w:p>
    <w:p w:rsidR="002544BB" w:rsidRDefault="00C96E7A" w14:paraId="4EF0E42B" w14:textId="5B40B076">
      <w:pPr>
        <w:pStyle w:val="TableofFigures"/>
        <w:tabs>
          <w:tab w:val="right" w:leader="dot" w:pos="9350"/>
        </w:tabs>
        <w:rPr>
          <w:rFonts w:asciiTheme="minorHAnsi" w:hAnsiTheme="minorHAnsi" w:eastAsiaTheme="minorEastAsia" w:cstheme="minorBidi"/>
          <w:b w:val="0"/>
          <w:noProof/>
          <w:szCs w:val="22"/>
        </w:rPr>
      </w:pPr>
      <w:hyperlink w:history="1" w:anchor="_Toc105681569">
        <w:r w:rsidRPr="00CC74E0" w:rsidR="002544BB">
          <w:rPr>
            <w:rStyle w:val="Hyperlink"/>
            <w:noProof/>
          </w:rPr>
          <w:t>Table 5-10  Projected Ecstasy Positive Results from Expanded Drug Testing Panel (Estimated Total for All Sites)</w:t>
        </w:r>
        <w:r w:rsidR="002544BB">
          <w:rPr>
            <w:noProof/>
            <w:webHidden/>
          </w:rPr>
          <w:tab/>
        </w:r>
        <w:r w:rsidR="002544BB">
          <w:rPr>
            <w:noProof/>
            <w:webHidden/>
          </w:rPr>
          <w:fldChar w:fldCharType="begin"/>
        </w:r>
        <w:r w:rsidR="002544BB">
          <w:rPr>
            <w:noProof/>
            <w:webHidden/>
          </w:rPr>
          <w:instrText xml:space="preserve"> PAGEREF _Toc105681569 \h </w:instrText>
        </w:r>
        <w:r w:rsidR="002544BB">
          <w:rPr>
            <w:noProof/>
            <w:webHidden/>
          </w:rPr>
        </w:r>
        <w:r w:rsidR="002544BB">
          <w:rPr>
            <w:noProof/>
            <w:webHidden/>
          </w:rPr>
          <w:fldChar w:fldCharType="separate"/>
        </w:r>
        <w:r w:rsidR="002544BB">
          <w:rPr>
            <w:noProof/>
            <w:webHidden/>
          </w:rPr>
          <w:t>42</w:t>
        </w:r>
        <w:r w:rsidR="002544BB">
          <w:rPr>
            <w:noProof/>
            <w:webHidden/>
          </w:rPr>
          <w:fldChar w:fldCharType="end"/>
        </w:r>
      </w:hyperlink>
    </w:p>
    <w:p w:rsidR="002544BB" w:rsidRDefault="00C96E7A" w14:paraId="0A6E1F50" w14:textId="47FD33D2">
      <w:pPr>
        <w:pStyle w:val="TableofFigures"/>
        <w:tabs>
          <w:tab w:val="right" w:leader="dot" w:pos="9350"/>
        </w:tabs>
        <w:rPr>
          <w:rFonts w:asciiTheme="minorHAnsi" w:hAnsiTheme="minorHAnsi" w:eastAsiaTheme="minorEastAsia" w:cstheme="minorBidi"/>
          <w:b w:val="0"/>
          <w:noProof/>
          <w:szCs w:val="22"/>
        </w:rPr>
      </w:pPr>
      <w:hyperlink w:history="1" w:anchor="_Toc105681570">
        <w:r w:rsidRPr="00CC74E0" w:rsidR="002544BB">
          <w:rPr>
            <w:rStyle w:val="Hyperlink"/>
            <w:noProof/>
          </w:rPr>
          <w:t>Table 5-11  Projected Ecstasy Positive Results from Expanded Drug Testing Panel by Future Nuclear Facilities</w:t>
        </w:r>
        <w:r w:rsidR="002544BB">
          <w:rPr>
            <w:noProof/>
            <w:webHidden/>
          </w:rPr>
          <w:tab/>
        </w:r>
        <w:r w:rsidR="002544BB">
          <w:rPr>
            <w:noProof/>
            <w:webHidden/>
          </w:rPr>
          <w:fldChar w:fldCharType="begin"/>
        </w:r>
        <w:r w:rsidR="002544BB">
          <w:rPr>
            <w:noProof/>
            <w:webHidden/>
          </w:rPr>
          <w:instrText xml:space="preserve"> PAGEREF _Toc105681570 \h </w:instrText>
        </w:r>
        <w:r w:rsidR="002544BB">
          <w:rPr>
            <w:noProof/>
            <w:webHidden/>
          </w:rPr>
        </w:r>
        <w:r w:rsidR="002544BB">
          <w:rPr>
            <w:noProof/>
            <w:webHidden/>
          </w:rPr>
          <w:fldChar w:fldCharType="separate"/>
        </w:r>
        <w:r w:rsidR="002544BB">
          <w:rPr>
            <w:noProof/>
            <w:webHidden/>
          </w:rPr>
          <w:t>42</w:t>
        </w:r>
        <w:r w:rsidR="002544BB">
          <w:rPr>
            <w:noProof/>
            <w:webHidden/>
          </w:rPr>
          <w:fldChar w:fldCharType="end"/>
        </w:r>
      </w:hyperlink>
    </w:p>
    <w:p w:rsidR="002544BB" w:rsidRDefault="00C96E7A" w14:paraId="3DB403CC" w14:textId="54FC746E">
      <w:pPr>
        <w:pStyle w:val="TableofFigures"/>
        <w:tabs>
          <w:tab w:val="right" w:leader="dot" w:pos="9350"/>
        </w:tabs>
        <w:rPr>
          <w:rFonts w:asciiTheme="minorHAnsi" w:hAnsiTheme="minorHAnsi" w:eastAsiaTheme="minorEastAsia" w:cstheme="minorBidi"/>
          <w:b w:val="0"/>
          <w:noProof/>
          <w:szCs w:val="22"/>
        </w:rPr>
      </w:pPr>
      <w:hyperlink w:history="1" w:anchor="_Toc105681571">
        <w:r w:rsidRPr="00CC74E0" w:rsidR="002544BB">
          <w:rPr>
            <w:rStyle w:val="Hyperlink"/>
            <w:noProof/>
          </w:rPr>
          <w:t>Table 5-12  Projected Positive Results from Expanded Opioid Drug Testing Panel (Estimated Total for All Sites)</w:t>
        </w:r>
        <w:r w:rsidR="002544BB">
          <w:rPr>
            <w:noProof/>
            <w:webHidden/>
          </w:rPr>
          <w:tab/>
        </w:r>
        <w:r w:rsidR="002544BB">
          <w:rPr>
            <w:noProof/>
            <w:webHidden/>
          </w:rPr>
          <w:fldChar w:fldCharType="begin"/>
        </w:r>
        <w:r w:rsidR="002544BB">
          <w:rPr>
            <w:noProof/>
            <w:webHidden/>
          </w:rPr>
          <w:instrText xml:space="preserve"> PAGEREF _Toc105681571 \h </w:instrText>
        </w:r>
        <w:r w:rsidR="002544BB">
          <w:rPr>
            <w:noProof/>
            <w:webHidden/>
          </w:rPr>
        </w:r>
        <w:r w:rsidR="002544BB">
          <w:rPr>
            <w:noProof/>
            <w:webHidden/>
          </w:rPr>
          <w:fldChar w:fldCharType="separate"/>
        </w:r>
        <w:r w:rsidR="002544BB">
          <w:rPr>
            <w:noProof/>
            <w:webHidden/>
          </w:rPr>
          <w:t>43</w:t>
        </w:r>
        <w:r w:rsidR="002544BB">
          <w:rPr>
            <w:noProof/>
            <w:webHidden/>
          </w:rPr>
          <w:fldChar w:fldCharType="end"/>
        </w:r>
      </w:hyperlink>
    </w:p>
    <w:p w:rsidR="002544BB" w:rsidRDefault="00C96E7A" w14:paraId="3E028ABE" w14:textId="6021A4B0">
      <w:pPr>
        <w:pStyle w:val="TableofFigures"/>
        <w:tabs>
          <w:tab w:val="right" w:leader="dot" w:pos="9350"/>
        </w:tabs>
        <w:rPr>
          <w:rFonts w:asciiTheme="minorHAnsi" w:hAnsiTheme="minorHAnsi" w:eastAsiaTheme="minorEastAsia" w:cstheme="minorBidi"/>
          <w:b w:val="0"/>
          <w:noProof/>
          <w:szCs w:val="22"/>
        </w:rPr>
      </w:pPr>
      <w:hyperlink w:history="1" w:anchor="_Toc105681572">
        <w:r w:rsidRPr="00CC74E0" w:rsidR="002544BB">
          <w:rPr>
            <w:rStyle w:val="Hyperlink"/>
            <w:noProof/>
          </w:rPr>
          <w:t>Table 5-13  Projected Positive Results from Expanded Opioid Drug Testing Panel  by Future Nuclear Facilities</w:t>
        </w:r>
        <w:r w:rsidR="002544BB">
          <w:rPr>
            <w:noProof/>
            <w:webHidden/>
          </w:rPr>
          <w:tab/>
        </w:r>
        <w:r w:rsidR="002544BB">
          <w:rPr>
            <w:noProof/>
            <w:webHidden/>
          </w:rPr>
          <w:fldChar w:fldCharType="begin"/>
        </w:r>
        <w:r w:rsidR="002544BB">
          <w:rPr>
            <w:noProof/>
            <w:webHidden/>
          </w:rPr>
          <w:instrText xml:space="preserve"> PAGEREF _Toc105681572 \h </w:instrText>
        </w:r>
        <w:r w:rsidR="002544BB">
          <w:rPr>
            <w:noProof/>
            <w:webHidden/>
          </w:rPr>
        </w:r>
        <w:r w:rsidR="002544BB">
          <w:rPr>
            <w:noProof/>
            <w:webHidden/>
          </w:rPr>
          <w:fldChar w:fldCharType="separate"/>
        </w:r>
        <w:r w:rsidR="002544BB">
          <w:rPr>
            <w:noProof/>
            <w:webHidden/>
          </w:rPr>
          <w:t>43</w:t>
        </w:r>
        <w:r w:rsidR="002544BB">
          <w:rPr>
            <w:noProof/>
            <w:webHidden/>
          </w:rPr>
          <w:fldChar w:fldCharType="end"/>
        </w:r>
      </w:hyperlink>
    </w:p>
    <w:p w:rsidR="002544BB" w:rsidRDefault="00C96E7A" w14:paraId="02916881" w14:textId="613E9D13">
      <w:pPr>
        <w:pStyle w:val="TableofFigures"/>
        <w:tabs>
          <w:tab w:val="right" w:leader="dot" w:pos="9350"/>
        </w:tabs>
        <w:rPr>
          <w:rFonts w:asciiTheme="minorHAnsi" w:hAnsiTheme="minorHAnsi" w:eastAsiaTheme="minorEastAsia" w:cstheme="minorBidi"/>
          <w:b w:val="0"/>
          <w:noProof/>
          <w:szCs w:val="22"/>
        </w:rPr>
      </w:pPr>
      <w:hyperlink w:history="1" w:anchor="_Toc105681573">
        <w:r w:rsidRPr="00CC74E0" w:rsidR="002544BB">
          <w:rPr>
            <w:rStyle w:val="Hyperlink"/>
            <w:noProof/>
          </w:rPr>
          <w:t>Table 5-14  Additional Positive Results from Special Analyses Testing of Dilute  and Subversion Specimens (Estimated Total for All Sites)</w:t>
        </w:r>
        <w:r w:rsidR="002544BB">
          <w:rPr>
            <w:noProof/>
            <w:webHidden/>
          </w:rPr>
          <w:tab/>
        </w:r>
        <w:r w:rsidR="002544BB">
          <w:rPr>
            <w:noProof/>
            <w:webHidden/>
          </w:rPr>
          <w:fldChar w:fldCharType="begin"/>
        </w:r>
        <w:r w:rsidR="002544BB">
          <w:rPr>
            <w:noProof/>
            <w:webHidden/>
          </w:rPr>
          <w:instrText xml:space="preserve"> PAGEREF _Toc105681573 \h </w:instrText>
        </w:r>
        <w:r w:rsidR="002544BB">
          <w:rPr>
            <w:noProof/>
            <w:webHidden/>
          </w:rPr>
        </w:r>
        <w:r w:rsidR="002544BB">
          <w:rPr>
            <w:noProof/>
            <w:webHidden/>
          </w:rPr>
          <w:fldChar w:fldCharType="separate"/>
        </w:r>
        <w:r w:rsidR="002544BB">
          <w:rPr>
            <w:noProof/>
            <w:webHidden/>
          </w:rPr>
          <w:t>44</w:t>
        </w:r>
        <w:r w:rsidR="002544BB">
          <w:rPr>
            <w:noProof/>
            <w:webHidden/>
          </w:rPr>
          <w:fldChar w:fldCharType="end"/>
        </w:r>
      </w:hyperlink>
    </w:p>
    <w:p w:rsidR="002544BB" w:rsidRDefault="00C96E7A" w14:paraId="1F62C94C" w14:textId="0FF1DB53">
      <w:pPr>
        <w:pStyle w:val="TableofFigures"/>
        <w:tabs>
          <w:tab w:val="right" w:leader="dot" w:pos="9350"/>
        </w:tabs>
        <w:rPr>
          <w:rFonts w:asciiTheme="minorHAnsi" w:hAnsiTheme="minorHAnsi" w:eastAsiaTheme="minorEastAsia" w:cstheme="minorBidi"/>
          <w:b w:val="0"/>
          <w:noProof/>
          <w:szCs w:val="22"/>
        </w:rPr>
      </w:pPr>
      <w:hyperlink w:history="1" w:anchor="_Toc105681574">
        <w:r w:rsidRPr="00CC74E0" w:rsidR="002544BB">
          <w:rPr>
            <w:rStyle w:val="Hyperlink"/>
            <w:noProof/>
          </w:rPr>
          <w:t>Table 5-15  Additional Positive Results from Special Analyses Testing of Dilute  and Subversion Specimens by Future Nuclear Facilities</w:t>
        </w:r>
        <w:r w:rsidR="002544BB">
          <w:rPr>
            <w:noProof/>
            <w:webHidden/>
          </w:rPr>
          <w:tab/>
        </w:r>
        <w:r w:rsidR="002544BB">
          <w:rPr>
            <w:noProof/>
            <w:webHidden/>
          </w:rPr>
          <w:fldChar w:fldCharType="begin"/>
        </w:r>
        <w:r w:rsidR="002544BB">
          <w:rPr>
            <w:noProof/>
            <w:webHidden/>
          </w:rPr>
          <w:instrText xml:space="preserve"> PAGEREF _Toc105681574 \h </w:instrText>
        </w:r>
        <w:r w:rsidR="002544BB">
          <w:rPr>
            <w:noProof/>
            <w:webHidden/>
          </w:rPr>
        </w:r>
        <w:r w:rsidR="002544BB">
          <w:rPr>
            <w:noProof/>
            <w:webHidden/>
          </w:rPr>
          <w:fldChar w:fldCharType="separate"/>
        </w:r>
        <w:r w:rsidR="002544BB">
          <w:rPr>
            <w:noProof/>
            <w:webHidden/>
          </w:rPr>
          <w:t>44</w:t>
        </w:r>
        <w:r w:rsidR="002544BB">
          <w:rPr>
            <w:noProof/>
            <w:webHidden/>
          </w:rPr>
          <w:fldChar w:fldCharType="end"/>
        </w:r>
      </w:hyperlink>
    </w:p>
    <w:p w:rsidR="002544BB" w:rsidRDefault="00C96E7A" w14:paraId="2BD13770" w14:textId="637C96A0">
      <w:pPr>
        <w:pStyle w:val="TableofFigures"/>
        <w:tabs>
          <w:tab w:val="right" w:leader="dot" w:pos="9350"/>
        </w:tabs>
        <w:rPr>
          <w:rFonts w:asciiTheme="minorHAnsi" w:hAnsiTheme="minorHAnsi" w:eastAsiaTheme="minorEastAsia" w:cstheme="minorBidi"/>
          <w:b w:val="0"/>
          <w:noProof/>
          <w:szCs w:val="22"/>
        </w:rPr>
      </w:pPr>
      <w:hyperlink w:history="1" w:anchor="_Toc105681575">
        <w:r w:rsidRPr="00CC74E0" w:rsidR="002544BB">
          <w:rPr>
            <w:rStyle w:val="Hyperlink"/>
            <w:noProof/>
          </w:rPr>
          <w:t>Table 5-16  Variables Used in the Uncertainty Analysis</w:t>
        </w:r>
        <w:r w:rsidR="002544BB">
          <w:rPr>
            <w:noProof/>
            <w:webHidden/>
          </w:rPr>
          <w:tab/>
        </w:r>
        <w:r w:rsidR="002544BB">
          <w:rPr>
            <w:noProof/>
            <w:webHidden/>
          </w:rPr>
          <w:fldChar w:fldCharType="begin"/>
        </w:r>
        <w:r w:rsidR="002544BB">
          <w:rPr>
            <w:noProof/>
            <w:webHidden/>
          </w:rPr>
          <w:instrText xml:space="preserve"> PAGEREF _Toc105681575 \h </w:instrText>
        </w:r>
        <w:r w:rsidR="002544BB">
          <w:rPr>
            <w:noProof/>
            <w:webHidden/>
          </w:rPr>
        </w:r>
        <w:r w:rsidR="002544BB">
          <w:rPr>
            <w:noProof/>
            <w:webHidden/>
          </w:rPr>
          <w:fldChar w:fldCharType="separate"/>
        </w:r>
        <w:r w:rsidR="002544BB">
          <w:rPr>
            <w:noProof/>
            <w:webHidden/>
          </w:rPr>
          <w:t>50</w:t>
        </w:r>
        <w:r w:rsidR="002544BB">
          <w:rPr>
            <w:noProof/>
            <w:webHidden/>
          </w:rPr>
          <w:fldChar w:fldCharType="end"/>
        </w:r>
      </w:hyperlink>
    </w:p>
    <w:p w:rsidR="002544BB" w:rsidRDefault="00C96E7A" w14:paraId="14489177" w14:textId="7F9EA0DD">
      <w:pPr>
        <w:pStyle w:val="TableofFigures"/>
        <w:tabs>
          <w:tab w:val="right" w:leader="dot" w:pos="9350"/>
        </w:tabs>
        <w:rPr>
          <w:rFonts w:asciiTheme="minorHAnsi" w:hAnsiTheme="minorHAnsi" w:eastAsiaTheme="minorEastAsia" w:cstheme="minorBidi"/>
          <w:b w:val="0"/>
          <w:noProof/>
          <w:szCs w:val="22"/>
        </w:rPr>
      </w:pPr>
      <w:hyperlink w:history="1" w:anchor="_Toc105681576">
        <w:r w:rsidRPr="00CC74E0" w:rsidR="002544BB">
          <w:rPr>
            <w:rStyle w:val="Hyperlink"/>
            <w:noProof/>
          </w:rPr>
          <w:t>Table 5-17  Uncertainty Results Descriptive Statistics</w:t>
        </w:r>
        <w:r w:rsidR="002544BB">
          <w:rPr>
            <w:noProof/>
            <w:webHidden/>
          </w:rPr>
          <w:tab/>
        </w:r>
        <w:r w:rsidR="002544BB">
          <w:rPr>
            <w:noProof/>
            <w:webHidden/>
          </w:rPr>
          <w:fldChar w:fldCharType="begin"/>
        </w:r>
        <w:r w:rsidR="002544BB">
          <w:rPr>
            <w:noProof/>
            <w:webHidden/>
          </w:rPr>
          <w:instrText xml:space="preserve"> PAGEREF _Toc105681576 \h </w:instrText>
        </w:r>
        <w:r w:rsidR="002544BB">
          <w:rPr>
            <w:noProof/>
            <w:webHidden/>
          </w:rPr>
        </w:r>
        <w:r w:rsidR="002544BB">
          <w:rPr>
            <w:noProof/>
            <w:webHidden/>
          </w:rPr>
          <w:fldChar w:fldCharType="separate"/>
        </w:r>
        <w:r w:rsidR="002544BB">
          <w:rPr>
            <w:noProof/>
            <w:webHidden/>
          </w:rPr>
          <w:t>55</w:t>
        </w:r>
        <w:r w:rsidR="002544BB">
          <w:rPr>
            <w:noProof/>
            <w:webHidden/>
          </w:rPr>
          <w:fldChar w:fldCharType="end"/>
        </w:r>
      </w:hyperlink>
    </w:p>
    <w:p w:rsidR="002544BB" w:rsidRDefault="00C96E7A" w14:paraId="3F014A89" w14:textId="2187C3A7">
      <w:pPr>
        <w:pStyle w:val="TableofFigures"/>
        <w:tabs>
          <w:tab w:val="right" w:leader="dot" w:pos="9350"/>
        </w:tabs>
        <w:rPr>
          <w:rFonts w:asciiTheme="minorHAnsi" w:hAnsiTheme="minorHAnsi" w:eastAsiaTheme="minorEastAsia" w:cstheme="minorBidi"/>
          <w:b w:val="0"/>
          <w:noProof/>
          <w:szCs w:val="22"/>
        </w:rPr>
      </w:pPr>
      <w:hyperlink w:history="1" w:anchor="_Toc105681577">
        <w:r w:rsidRPr="00CC74E0" w:rsidR="002544BB">
          <w:rPr>
            <w:rStyle w:val="Hyperlink"/>
            <w:noProof/>
          </w:rPr>
          <w:t>Table 5-18  Estimated Number of Additional Confirmed Positives per Year</w:t>
        </w:r>
        <w:r w:rsidR="002544BB">
          <w:rPr>
            <w:noProof/>
            <w:webHidden/>
          </w:rPr>
          <w:tab/>
        </w:r>
        <w:r w:rsidR="002544BB">
          <w:rPr>
            <w:noProof/>
            <w:webHidden/>
          </w:rPr>
          <w:fldChar w:fldCharType="begin"/>
        </w:r>
        <w:r w:rsidR="002544BB">
          <w:rPr>
            <w:noProof/>
            <w:webHidden/>
          </w:rPr>
          <w:instrText xml:space="preserve"> PAGEREF _Toc105681577 \h </w:instrText>
        </w:r>
        <w:r w:rsidR="002544BB">
          <w:rPr>
            <w:noProof/>
            <w:webHidden/>
          </w:rPr>
        </w:r>
        <w:r w:rsidR="002544BB">
          <w:rPr>
            <w:noProof/>
            <w:webHidden/>
          </w:rPr>
          <w:fldChar w:fldCharType="separate"/>
        </w:r>
        <w:r w:rsidR="002544BB">
          <w:rPr>
            <w:noProof/>
            <w:webHidden/>
          </w:rPr>
          <w:t>57</w:t>
        </w:r>
        <w:r w:rsidR="002544BB">
          <w:rPr>
            <w:noProof/>
            <w:webHidden/>
          </w:rPr>
          <w:fldChar w:fldCharType="end"/>
        </w:r>
      </w:hyperlink>
    </w:p>
    <w:p w:rsidR="002544BB" w:rsidRDefault="00C96E7A" w14:paraId="2F954E79" w14:textId="3D88807F">
      <w:pPr>
        <w:pStyle w:val="TableofFigures"/>
        <w:tabs>
          <w:tab w:val="right" w:leader="dot" w:pos="9350"/>
        </w:tabs>
        <w:rPr>
          <w:rFonts w:asciiTheme="minorHAnsi" w:hAnsiTheme="minorHAnsi" w:eastAsiaTheme="minorEastAsia" w:cstheme="minorBidi"/>
          <w:b w:val="0"/>
          <w:noProof/>
          <w:szCs w:val="22"/>
        </w:rPr>
      </w:pPr>
      <w:hyperlink w:history="1" w:anchor="_Toc105681578">
        <w:r w:rsidRPr="00CC74E0" w:rsidR="002544BB">
          <w:rPr>
            <w:rStyle w:val="Hyperlink"/>
            <w:noProof/>
          </w:rPr>
          <w:t>Table 5-19  Disaggregation</w:t>
        </w:r>
        <w:r w:rsidR="002544BB">
          <w:rPr>
            <w:noProof/>
            <w:webHidden/>
          </w:rPr>
          <w:tab/>
        </w:r>
        <w:r w:rsidR="002544BB">
          <w:rPr>
            <w:noProof/>
            <w:webHidden/>
          </w:rPr>
          <w:fldChar w:fldCharType="begin"/>
        </w:r>
        <w:r w:rsidR="002544BB">
          <w:rPr>
            <w:noProof/>
            <w:webHidden/>
          </w:rPr>
          <w:instrText xml:space="preserve"> PAGEREF _Toc105681578 \h </w:instrText>
        </w:r>
        <w:r w:rsidR="002544BB">
          <w:rPr>
            <w:noProof/>
            <w:webHidden/>
          </w:rPr>
        </w:r>
        <w:r w:rsidR="002544BB">
          <w:rPr>
            <w:noProof/>
            <w:webHidden/>
          </w:rPr>
          <w:fldChar w:fldCharType="separate"/>
        </w:r>
        <w:r w:rsidR="002544BB">
          <w:rPr>
            <w:noProof/>
            <w:webHidden/>
          </w:rPr>
          <w:t>60</w:t>
        </w:r>
        <w:r w:rsidR="002544BB">
          <w:rPr>
            <w:noProof/>
            <w:webHidden/>
          </w:rPr>
          <w:fldChar w:fldCharType="end"/>
        </w:r>
      </w:hyperlink>
    </w:p>
    <w:p w:rsidR="002544BB" w:rsidRDefault="00C96E7A" w14:paraId="0DF05698" w14:textId="70250286">
      <w:pPr>
        <w:pStyle w:val="TableofFigures"/>
        <w:tabs>
          <w:tab w:val="right" w:leader="dot" w:pos="9350"/>
        </w:tabs>
        <w:rPr>
          <w:rFonts w:asciiTheme="minorHAnsi" w:hAnsiTheme="minorHAnsi" w:eastAsiaTheme="minorEastAsia" w:cstheme="minorBidi"/>
          <w:b w:val="0"/>
          <w:noProof/>
          <w:szCs w:val="22"/>
        </w:rPr>
      </w:pPr>
      <w:hyperlink w:history="1" w:anchor="_Toc105681579">
        <w:r w:rsidRPr="00CC74E0" w:rsidR="002544BB">
          <w:rPr>
            <w:rStyle w:val="Hyperlink"/>
            <w:noProof/>
          </w:rPr>
          <w:t>Table 5-20  Specific CRGR Regulatory Analysis Information Requirements</w:t>
        </w:r>
        <w:r w:rsidR="002544BB">
          <w:rPr>
            <w:noProof/>
            <w:webHidden/>
          </w:rPr>
          <w:tab/>
        </w:r>
        <w:r w:rsidR="002544BB">
          <w:rPr>
            <w:noProof/>
            <w:webHidden/>
          </w:rPr>
          <w:fldChar w:fldCharType="begin"/>
        </w:r>
        <w:r w:rsidR="002544BB">
          <w:rPr>
            <w:noProof/>
            <w:webHidden/>
          </w:rPr>
          <w:instrText xml:space="preserve"> PAGEREF _Toc105681579 \h </w:instrText>
        </w:r>
        <w:r w:rsidR="002544BB">
          <w:rPr>
            <w:noProof/>
            <w:webHidden/>
          </w:rPr>
        </w:r>
        <w:r w:rsidR="002544BB">
          <w:rPr>
            <w:noProof/>
            <w:webHidden/>
          </w:rPr>
          <w:fldChar w:fldCharType="separate"/>
        </w:r>
        <w:r w:rsidR="002544BB">
          <w:rPr>
            <w:noProof/>
            <w:webHidden/>
          </w:rPr>
          <w:t>61</w:t>
        </w:r>
        <w:r w:rsidR="002544BB">
          <w:rPr>
            <w:noProof/>
            <w:webHidden/>
          </w:rPr>
          <w:fldChar w:fldCharType="end"/>
        </w:r>
      </w:hyperlink>
    </w:p>
    <w:p w:rsidRPr="00CD4D83" w:rsidR="002310BA" w:rsidP="008754ED" w:rsidRDefault="00B858DB" w14:paraId="693823FC" w14:textId="5836C881">
      <w:pPr>
        <w:pStyle w:val="TableofFigures"/>
        <w:tabs>
          <w:tab w:val="right" w:leader="dot" w:pos="9350"/>
        </w:tabs>
        <w:rPr>
          <w:rFonts w:cs="Arial"/>
          <w:szCs w:val="22"/>
        </w:rPr>
      </w:pPr>
      <w:r w:rsidRPr="008A3AEE">
        <w:rPr>
          <w:rStyle w:val="Hyperlink"/>
          <w:rFonts w:ascii="Arial" w:hAnsi="Arial" w:cs="Arial"/>
          <w:b w:val="0"/>
          <w:bCs/>
          <w:noProof/>
        </w:rPr>
        <w:fldChar w:fldCharType="end"/>
      </w:r>
    </w:p>
    <w:p w:rsidRPr="00646A79" w:rsidR="00D520BD" w:rsidP="00D520BD" w:rsidRDefault="00D520BD" w14:paraId="51FBE555" w14:textId="5FE96E0F">
      <w:pPr>
        <w:spacing w:after="120"/>
        <w:rPr>
          <w:sz w:val="22"/>
          <w:szCs w:val="22"/>
        </w:rPr>
      </w:pPr>
      <w:r w:rsidRPr="00646A79">
        <w:rPr>
          <w:sz w:val="22"/>
          <w:szCs w:val="22"/>
        </w:rPr>
        <w:br w:type="page"/>
      </w:r>
    </w:p>
    <w:p w:rsidRPr="005A5966" w:rsidR="00D520BD" w:rsidP="00D520BD" w:rsidRDefault="00A81B34" w14:paraId="4799C7DE" w14:textId="2EC4D182">
      <w:pPr>
        <w:pStyle w:val="Heading1"/>
      </w:pPr>
      <w:bookmarkStart w:name="_Toc460412588" w:id="10"/>
      <w:bookmarkStart w:name="_Toc72840006" w:id="11"/>
      <w:r>
        <w:lastRenderedPageBreak/>
        <w:t xml:space="preserve"> </w:t>
      </w:r>
      <w:bookmarkStart w:name="_Toc105681479" w:id="12"/>
      <w:r w:rsidRPr="005A5966" w:rsidR="00D520BD">
        <w:t>Abbreviations</w:t>
      </w:r>
      <w:r w:rsidR="00D520BD">
        <w:t xml:space="preserve"> and Acronyms</w:t>
      </w:r>
      <w:bookmarkEnd w:id="10"/>
      <w:bookmarkEnd w:id="11"/>
      <w:bookmarkEnd w:id="12"/>
    </w:p>
    <w:p w:rsidRPr="005A5966" w:rsidR="00D520BD" w:rsidP="00D520BD" w:rsidRDefault="00D520BD" w14:paraId="71956F41" w14:textId="77777777">
      <w:pPr>
        <w:rPr>
          <w:sz w:val="22"/>
          <w:szCs w:val="22"/>
        </w:rPr>
      </w:pPr>
    </w:p>
    <w:p w:rsidRPr="005A5966" w:rsidR="00ED66A3" w:rsidP="00773487" w:rsidRDefault="00ED66A3" w14:paraId="158D60B5" w14:textId="77777777">
      <w:pPr>
        <w:ind w:left="2160" w:hanging="2160"/>
        <w:rPr>
          <w:rFonts w:cs="Arial"/>
          <w:sz w:val="22"/>
          <w:szCs w:val="22"/>
        </w:rPr>
      </w:pPr>
      <w:r w:rsidRPr="005A5966">
        <w:rPr>
          <w:rFonts w:cs="Arial"/>
          <w:color w:val="000000"/>
          <w:sz w:val="22"/>
          <w:szCs w:val="22"/>
        </w:rPr>
        <w:t>6-AM</w:t>
      </w:r>
      <w:r w:rsidRPr="005A5966">
        <w:rPr>
          <w:rFonts w:cs="Arial"/>
          <w:color w:val="000000"/>
          <w:sz w:val="22"/>
          <w:szCs w:val="22"/>
        </w:rPr>
        <w:tab/>
      </w:r>
      <w:r w:rsidRPr="005A5966">
        <w:rPr>
          <w:rFonts w:cs="Arial"/>
          <w:sz w:val="22"/>
          <w:szCs w:val="22"/>
        </w:rPr>
        <w:t>6-acetylmorphine</w:t>
      </w:r>
    </w:p>
    <w:p w:rsidR="00ED66A3" w:rsidP="00773487" w:rsidRDefault="00ED66A3" w14:paraId="6BC3CA28" w14:textId="6FBE80E2">
      <w:pPr>
        <w:ind w:left="2160" w:hanging="2160"/>
        <w:rPr>
          <w:rFonts w:cs="Arial"/>
          <w:sz w:val="22"/>
          <w:szCs w:val="22"/>
        </w:rPr>
      </w:pPr>
      <w:r w:rsidRPr="005A5966">
        <w:rPr>
          <w:rFonts w:cs="Arial"/>
          <w:color w:val="000000"/>
          <w:sz w:val="22"/>
          <w:szCs w:val="22"/>
        </w:rPr>
        <w:t>ADAMS</w:t>
      </w:r>
      <w:r w:rsidRPr="005A5966">
        <w:rPr>
          <w:rFonts w:cs="Arial"/>
          <w:color w:val="000000"/>
          <w:sz w:val="22"/>
          <w:szCs w:val="22"/>
        </w:rPr>
        <w:tab/>
      </w:r>
      <w:r w:rsidRPr="005A5966">
        <w:rPr>
          <w:rFonts w:cs="Arial"/>
          <w:sz w:val="22"/>
          <w:szCs w:val="22"/>
        </w:rPr>
        <w:t>Agencywide Documents Access and Management System</w:t>
      </w:r>
    </w:p>
    <w:p w:rsidRPr="005A5966" w:rsidR="00ED66A3" w:rsidP="00773487" w:rsidRDefault="00ED66A3" w14:paraId="1DFE67BE" w14:textId="77777777">
      <w:pPr>
        <w:ind w:left="2160" w:hanging="2160"/>
        <w:rPr>
          <w:rFonts w:cs="Arial"/>
          <w:color w:val="000000"/>
          <w:sz w:val="22"/>
          <w:szCs w:val="22"/>
        </w:rPr>
      </w:pPr>
      <w:r w:rsidRPr="005A5966">
        <w:rPr>
          <w:rFonts w:cs="Arial"/>
          <w:sz w:val="22"/>
          <w:szCs w:val="22"/>
        </w:rPr>
        <w:t>BPTS</w:t>
      </w:r>
      <w:r w:rsidRPr="005A5966">
        <w:rPr>
          <w:rFonts w:cs="Arial"/>
          <w:sz w:val="22"/>
          <w:szCs w:val="22"/>
        </w:rPr>
        <w:tab/>
      </w:r>
      <w:r>
        <w:rPr>
          <w:rFonts w:cs="Arial"/>
          <w:color w:val="000000"/>
          <w:sz w:val="22"/>
          <w:szCs w:val="22"/>
        </w:rPr>
        <w:t>b</w:t>
      </w:r>
      <w:r w:rsidRPr="005A5966">
        <w:rPr>
          <w:rFonts w:cs="Arial"/>
          <w:color w:val="000000"/>
          <w:sz w:val="22"/>
          <w:szCs w:val="22"/>
        </w:rPr>
        <w:t>lind performance test sample</w:t>
      </w:r>
    </w:p>
    <w:p w:rsidRPr="00B17183" w:rsidR="00ED66A3" w:rsidP="00773487" w:rsidRDefault="00ED66A3" w14:paraId="43DEB1CD" w14:textId="77777777">
      <w:pPr>
        <w:ind w:left="2160" w:hanging="2160"/>
        <w:rPr>
          <w:i/>
          <w:sz w:val="22"/>
          <w:szCs w:val="22"/>
        </w:rPr>
      </w:pPr>
      <w:r>
        <w:rPr>
          <w:sz w:val="22"/>
          <w:szCs w:val="22"/>
        </w:rPr>
        <w:t>CFR</w:t>
      </w:r>
      <w:r w:rsidRPr="005A5966">
        <w:rPr>
          <w:sz w:val="22"/>
          <w:szCs w:val="22"/>
        </w:rPr>
        <w:tab/>
      </w:r>
      <w:r>
        <w:rPr>
          <w:i/>
          <w:sz w:val="22"/>
          <w:szCs w:val="22"/>
        </w:rPr>
        <w:t>Code of Federal Regulations</w:t>
      </w:r>
    </w:p>
    <w:p w:rsidR="00190DF1" w:rsidP="00773487" w:rsidRDefault="00190DF1" w14:paraId="3CFC63BE" w14:textId="46BEEE89">
      <w:pPr>
        <w:ind w:left="2160" w:hanging="2160"/>
        <w:rPr>
          <w:sz w:val="22"/>
          <w:szCs w:val="22"/>
        </w:rPr>
      </w:pPr>
      <w:r>
        <w:rPr>
          <w:sz w:val="22"/>
          <w:szCs w:val="22"/>
        </w:rPr>
        <w:t>COL</w:t>
      </w:r>
      <w:r>
        <w:rPr>
          <w:sz w:val="22"/>
          <w:szCs w:val="22"/>
        </w:rPr>
        <w:tab/>
        <w:t>combined license</w:t>
      </w:r>
    </w:p>
    <w:p w:rsidRPr="005A5966" w:rsidR="00ED66A3" w:rsidP="00773487" w:rsidRDefault="00ED66A3" w14:paraId="5157CDC7" w14:textId="5722C995">
      <w:pPr>
        <w:ind w:left="2160" w:hanging="2160"/>
        <w:rPr>
          <w:sz w:val="22"/>
          <w:szCs w:val="22"/>
        </w:rPr>
      </w:pPr>
      <w:r>
        <w:rPr>
          <w:sz w:val="22"/>
          <w:szCs w:val="22"/>
        </w:rPr>
        <w:t>CPI-U</w:t>
      </w:r>
      <w:r w:rsidRPr="005A5966">
        <w:rPr>
          <w:sz w:val="22"/>
          <w:szCs w:val="22"/>
        </w:rPr>
        <w:tab/>
      </w:r>
      <w:r w:rsidR="00ED69AB">
        <w:rPr>
          <w:sz w:val="22"/>
          <w:szCs w:val="22"/>
        </w:rPr>
        <w:t>c</w:t>
      </w:r>
      <w:r>
        <w:rPr>
          <w:sz w:val="22"/>
          <w:szCs w:val="22"/>
        </w:rPr>
        <w:t xml:space="preserve">onsumer </w:t>
      </w:r>
      <w:r w:rsidR="00ED69AB">
        <w:rPr>
          <w:sz w:val="22"/>
          <w:szCs w:val="22"/>
        </w:rPr>
        <w:t>p</w:t>
      </w:r>
      <w:r>
        <w:rPr>
          <w:sz w:val="22"/>
          <w:szCs w:val="22"/>
        </w:rPr>
        <w:t xml:space="preserve">rice </w:t>
      </w:r>
      <w:r w:rsidR="00ED69AB">
        <w:rPr>
          <w:sz w:val="22"/>
          <w:szCs w:val="22"/>
        </w:rPr>
        <w:t>i</w:t>
      </w:r>
      <w:r>
        <w:rPr>
          <w:sz w:val="22"/>
          <w:szCs w:val="22"/>
        </w:rPr>
        <w:t>ndex for all urban consumers</w:t>
      </w:r>
    </w:p>
    <w:p w:rsidRPr="005A5966" w:rsidR="00ED66A3" w:rsidP="00773487" w:rsidRDefault="00ED66A3" w14:paraId="307E2FFF" w14:textId="77777777">
      <w:pPr>
        <w:ind w:left="2160" w:hanging="2160"/>
        <w:rPr>
          <w:rFonts w:cs="Arial"/>
          <w:color w:val="000000"/>
          <w:sz w:val="22"/>
          <w:szCs w:val="22"/>
        </w:rPr>
      </w:pPr>
      <w:r w:rsidRPr="005A5966">
        <w:rPr>
          <w:sz w:val="22"/>
          <w:szCs w:val="22"/>
        </w:rPr>
        <w:t>CRGR</w:t>
      </w:r>
      <w:r w:rsidRPr="005A5966">
        <w:rPr>
          <w:rFonts w:cs="Arial"/>
          <w:sz w:val="22"/>
          <w:szCs w:val="22"/>
        </w:rPr>
        <w:tab/>
      </w:r>
      <w:r w:rsidRPr="005A5966">
        <w:rPr>
          <w:sz w:val="22"/>
          <w:szCs w:val="22"/>
        </w:rPr>
        <w:t>Committee to Review Generic Requirements</w:t>
      </w:r>
    </w:p>
    <w:p w:rsidR="00ED66A3" w:rsidP="00773487" w:rsidRDefault="00ED66A3" w14:paraId="5E89C8B7" w14:textId="77777777">
      <w:pPr>
        <w:ind w:left="2160" w:hanging="2160"/>
        <w:rPr>
          <w:rFonts w:cs="Arial"/>
          <w:color w:val="000000"/>
          <w:sz w:val="22"/>
          <w:szCs w:val="22"/>
        </w:rPr>
      </w:pPr>
      <w:r w:rsidRPr="005A5966">
        <w:rPr>
          <w:rFonts w:cs="Arial"/>
          <w:sz w:val="22"/>
          <w:szCs w:val="22"/>
        </w:rPr>
        <w:t>C/V</w:t>
      </w:r>
      <w:r>
        <w:rPr>
          <w:rFonts w:cs="Arial"/>
          <w:sz w:val="22"/>
          <w:szCs w:val="22"/>
        </w:rPr>
        <w:tab/>
      </w:r>
      <w:r>
        <w:rPr>
          <w:rFonts w:cs="Arial"/>
          <w:color w:val="000000"/>
          <w:sz w:val="22"/>
          <w:szCs w:val="22"/>
        </w:rPr>
        <w:t>c</w:t>
      </w:r>
      <w:r w:rsidRPr="005A5966">
        <w:rPr>
          <w:rFonts w:cs="Arial"/>
          <w:color w:val="000000"/>
          <w:sz w:val="22"/>
          <w:szCs w:val="22"/>
        </w:rPr>
        <w:t>ontractor/vendor</w:t>
      </w:r>
    </w:p>
    <w:p w:rsidRPr="005A5966" w:rsidR="00ED66A3" w:rsidP="00773487" w:rsidRDefault="00ED66A3" w14:paraId="66E5F2D0" w14:textId="77777777">
      <w:pPr>
        <w:ind w:left="2160" w:hanging="2160"/>
        <w:rPr>
          <w:rFonts w:cs="Arial"/>
          <w:color w:val="000000"/>
          <w:sz w:val="22"/>
          <w:szCs w:val="22"/>
        </w:rPr>
      </w:pPr>
      <w:r>
        <w:rPr>
          <w:rFonts w:cs="Arial"/>
          <w:sz w:val="22"/>
          <w:szCs w:val="22"/>
        </w:rPr>
        <w:t>CY</w:t>
      </w:r>
      <w:r w:rsidRPr="005A5966">
        <w:rPr>
          <w:rFonts w:cs="Arial"/>
          <w:sz w:val="22"/>
          <w:szCs w:val="22"/>
        </w:rPr>
        <w:tab/>
      </w:r>
      <w:r>
        <w:rPr>
          <w:rFonts w:cs="Arial"/>
          <w:color w:val="000000"/>
          <w:sz w:val="22"/>
          <w:szCs w:val="22"/>
        </w:rPr>
        <w:t>calendar year</w:t>
      </w:r>
    </w:p>
    <w:p w:rsidRPr="005A5966" w:rsidR="00ED66A3" w:rsidP="00773487" w:rsidRDefault="00ED66A3" w14:paraId="22FE06B3" w14:textId="77777777">
      <w:pPr>
        <w:ind w:left="2160" w:hanging="2160"/>
        <w:rPr>
          <w:rFonts w:cs="Arial"/>
          <w:color w:val="000000"/>
          <w:sz w:val="22"/>
          <w:szCs w:val="22"/>
        </w:rPr>
      </w:pPr>
      <w:r w:rsidRPr="005A5966">
        <w:rPr>
          <w:rFonts w:cs="Arial"/>
          <w:sz w:val="22"/>
          <w:szCs w:val="22"/>
        </w:rPr>
        <w:t>dL</w:t>
      </w:r>
      <w:r w:rsidRPr="005A5966">
        <w:rPr>
          <w:rFonts w:cs="Arial"/>
          <w:sz w:val="22"/>
          <w:szCs w:val="22"/>
        </w:rPr>
        <w:tab/>
      </w:r>
      <w:r>
        <w:rPr>
          <w:rFonts w:cs="Arial"/>
          <w:color w:val="000000"/>
          <w:sz w:val="22"/>
          <w:szCs w:val="22"/>
        </w:rPr>
        <w:t>d</w:t>
      </w:r>
      <w:r w:rsidRPr="005A5966">
        <w:rPr>
          <w:rFonts w:cs="Arial"/>
          <w:color w:val="000000"/>
          <w:sz w:val="22"/>
          <w:szCs w:val="22"/>
        </w:rPr>
        <w:t>eciliter</w:t>
      </w:r>
      <w:r>
        <w:rPr>
          <w:rFonts w:cs="Arial"/>
          <w:color w:val="000000"/>
          <w:sz w:val="22"/>
          <w:szCs w:val="22"/>
        </w:rPr>
        <w:t>(s)</w:t>
      </w:r>
    </w:p>
    <w:p w:rsidRPr="005A5966" w:rsidR="00ED66A3" w:rsidP="00773487" w:rsidRDefault="00ED66A3" w14:paraId="0653BF5F" w14:textId="77777777">
      <w:pPr>
        <w:ind w:left="2160" w:hanging="2160"/>
        <w:rPr>
          <w:rFonts w:cs="Arial"/>
          <w:color w:val="000000"/>
          <w:sz w:val="22"/>
          <w:szCs w:val="22"/>
        </w:rPr>
      </w:pPr>
      <w:r w:rsidRPr="005A5966">
        <w:rPr>
          <w:rFonts w:cs="Arial"/>
          <w:sz w:val="22"/>
          <w:szCs w:val="22"/>
        </w:rPr>
        <w:t>DOT</w:t>
      </w:r>
      <w:r w:rsidRPr="005A5966">
        <w:rPr>
          <w:rFonts w:cs="Arial"/>
          <w:color w:val="000000"/>
          <w:sz w:val="22"/>
          <w:szCs w:val="22"/>
        </w:rPr>
        <w:tab/>
        <w:t>U.S. Department of Transportation</w:t>
      </w:r>
    </w:p>
    <w:p w:rsidR="00ED66A3" w:rsidP="00773487" w:rsidRDefault="00ED66A3" w14:paraId="40F17D4E" w14:textId="77777777">
      <w:pPr>
        <w:ind w:left="2160" w:hanging="2160"/>
        <w:rPr>
          <w:rFonts w:cs="Arial"/>
          <w:sz w:val="22"/>
          <w:szCs w:val="22"/>
        </w:rPr>
      </w:pPr>
      <w:r>
        <w:rPr>
          <w:rFonts w:cs="Arial"/>
          <w:sz w:val="22"/>
          <w:szCs w:val="22"/>
        </w:rPr>
        <w:t>FAA</w:t>
      </w:r>
      <w:r>
        <w:rPr>
          <w:rFonts w:cs="Arial"/>
          <w:sz w:val="22"/>
          <w:szCs w:val="22"/>
        </w:rPr>
        <w:tab/>
        <w:t>Federal Aviation Administration</w:t>
      </w:r>
    </w:p>
    <w:p w:rsidRPr="005A5966" w:rsidR="00ED66A3" w:rsidP="00773487" w:rsidRDefault="00ED66A3" w14:paraId="0B60F786" w14:textId="77777777">
      <w:pPr>
        <w:ind w:left="2160" w:hanging="2160"/>
        <w:rPr>
          <w:rFonts w:cs="Arial"/>
          <w:color w:val="000000"/>
          <w:sz w:val="22"/>
          <w:szCs w:val="22"/>
        </w:rPr>
      </w:pPr>
      <w:r w:rsidRPr="005A5966">
        <w:rPr>
          <w:rFonts w:cs="Arial"/>
          <w:sz w:val="22"/>
          <w:szCs w:val="22"/>
        </w:rPr>
        <w:t>FFD</w:t>
      </w:r>
      <w:r w:rsidRPr="005A5966">
        <w:rPr>
          <w:rFonts w:cs="Arial"/>
          <w:color w:val="000000"/>
          <w:sz w:val="22"/>
          <w:szCs w:val="22"/>
        </w:rPr>
        <w:tab/>
      </w:r>
      <w:r>
        <w:rPr>
          <w:rFonts w:cs="Arial"/>
          <w:color w:val="000000"/>
          <w:sz w:val="22"/>
          <w:szCs w:val="22"/>
        </w:rPr>
        <w:t>f</w:t>
      </w:r>
      <w:r w:rsidRPr="005A5966">
        <w:rPr>
          <w:rFonts w:cs="Arial"/>
          <w:color w:val="000000"/>
          <w:sz w:val="22"/>
          <w:szCs w:val="22"/>
        </w:rPr>
        <w:t>itness for duty</w:t>
      </w:r>
    </w:p>
    <w:p w:rsidRPr="005A5966" w:rsidR="00ED66A3" w:rsidP="00773487" w:rsidRDefault="00ED66A3" w14:paraId="22048F85" w14:textId="77777777">
      <w:pPr>
        <w:ind w:left="2160" w:hanging="2160"/>
        <w:rPr>
          <w:rFonts w:cs="Arial"/>
          <w:i/>
          <w:sz w:val="22"/>
          <w:szCs w:val="22"/>
        </w:rPr>
      </w:pPr>
      <w:r w:rsidRPr="005A5966">
        <w:rPr>
          <w:rFonts w:cs="Arial"/>
          <w:sz w:val="22"/>
          <w:szCs w:val="22"/>
        </w:rPr>
        <w:t>FR</w:t>
      </w:r>
      <w:r w:rsidRPr="005A5966">
        <w:rPr>
          <w:rFonts w:cs="Arial"/>
          <w:sz w:val="22"/>
          <w:szCs w:val="22"/>
        </w:rPr>
        <w:tab/>
      </w:r>
      <w:r w:rsidRPr="005A5966">
        <w:rPr>
          <w:rFonts w:cs="Arial"/>
          <w:i/>
          <w:sz w:val="22"/>
          <w:szCs w:val="22"/>
        </w:rPr>
        <w:t>Federal Register</w:t>
      </w:r>
    </w:p>
    <w:p w:rsidR="00ED66A3" w:rsidP="00773487" w:rsidRDefault="00ED66A3" w14:paraId="2402B1DE" w14:textId="77777777">
      <w:pPr>
        <w:ind w:left="2160" w:hanging="2160"/>
        <w:rPr>
          <w:rFonts w:cs="Arial"/>
          <w:color w:val="000000"/>
          <w:sz w:val="22"/>
          <w:szCs w:val="22"/>
        </w:rPr>
      </w:pPr>
      <w:r>
        <w:rPr>
          <w:rFonts w:cs="Arial"/>
          <w:sz w:val="22"/>
          <w:szCs w:val="22"/>
        </w:rPr>
        <w:t>FRA</w:t>
      </w:r>
      <w:r>
        <w:rPr>
          <w:rFonts w:cs="Arial"/>
          <w:sz w:val="22"/>
          <w:szCs w:val="22"/>
        </w:rPr>
        <w:tab/>
        <w:t>Federal Railroad Administration</w:t>
      </w:r>
    </w:p>
    <w:p w:rsidRPr="005A5966" w:rsidR="00ED66A3" w:rsidP="00773487" w:rsidRDefault="00ED66A3" w14:paraId="166E4F3E" w14:textId="77777777">
      <w:pPr>
        <w:ind w:left="2160" w:hanging="2160"/>
        <w:rPr>
          <w:rFonts w:cs="Arial"/>
          <w:i/>
          <w:sz w:val="22"/>
          <w:szCs w:val="22"/>
        </w:rPr>
      </w:pPr>
      <w:r>
        <w:rPr>
          <w:rFonts w:cs="Arial"/>
          <w:sz w:val="22"/>
          <w:szCs w:val="22"/>
        </w:rPr>
        <w:t>FTA</w:t>
      </w:r>
      <w:r w:rsidRPr="005A5966">
        <w:rPr>
          <w:rFonts w:cs="Arial"/>
          <w:sz w:val="22"/>
          <w:szCs w:val="22"/>
        </w:rPr>
        <w:tab/>
      </w:r>
      <w:r>
        <w:rPr>
          <w:rFonts w:cs="Arial"/>
          <w:color w:val="000000"/>
          <w:sz w:val="22"/>
          <w:szCs w:val="22"/>
        </w:rPr>
        <w:t>Federal Transit Administration</w:t>
      </w:r>
    </w:p>
    <w:p w:rsidR="00ED66A3" w:rsidP="00773487" w:rsidRDefault="00ED66A3" w14:paraId="35734A3D" w14:textId="26066344">
      <w:pPr>
        <w:ind w:left="2160" w:hanging="2160"/>
        <w:rPr>
          <w:rFonts w:cs="Arial"/>
          <w:sz w:val="22"/>
          <w:szCs w:val="22"/>
        </w:rPr>
      </w:pPr>
      <w:r w:rsidRPr="005A5966">
        <w:rPr>
          <w:rFonts w:cs="Arial"/>
          <w:sz w:val="22"/>
          <w:szCs w:val="22"/>
        </w:rPr>
        <w:t>HHS</w:t>
      </w:r>
      <w:r w:rsidRPr="005A5966">
        <w:rPr>
          <w:rFonts w:cs="Arial"/>
          <w:color w:val="000000"/>
          <w:sz w:val="22"/>
          <w:szCs w:val="22"/>
        </w:rPr>
        <w:tab/>
      </w:r>
      <w:r w:rsidRPr="005A5966">
        <w:rPr>
          <w:rFonts w:cs="Arial"/>
          <w:sz w:val="22"/>
          <w:szCs w:val="22"/>
        </w:rPr>
        <w:t>U.S. Department of Health and Human Services</w:t>
      </w:r>
    </w:p>
    <w:p w:rsidR="00F75C3D" w:rsidP="00773487" w:rsidRDefault="00F75C3D" w14:paraId="2C6887DE" w14:textId="29BB9239">
      <w:pPr>
        <w:ind w:left="2160" w:hanging="2160"/>
        <w:rPr>
          <w:rFonts w:cs="Arial"/>
          <w:sz w:val="22"/>
          <w:szCs w:val="22"/>
        </w:rPr>
      </w:pPr>
      <w:r>
        <w:rPr>
          <w:rFonts w:cs="Arial"/>
          <w:sz w:val="22"/>
          <w:szCs w:val="22"/>
        </w:rPr>
        <w:t>HYC</w:t>
      </w:r>
      <w:r>
        <w:rPr>
          <w:rFonts w:cs="Arial"/>
          <w:sz w:val="22"/>
          <w:szCs w:val="22"/>
        </w:rPr>
        <w:tab/>
        <w:t>hydrocodone</w:t>
      </w:r>
    </w:p>
    <w:p w:rsidR="00F75C3D" w:rsidP="00773487" w:rsidRDefault="00F75C3D" w14:paraId="1171275E" w14:textId="684A2DBC">
      <w:pPr>
        <w:ind w:left="2160" w:hanging="2160"/>
        <w:rPr>
          <w:rFonts w:cs="Arial"/>
          <w:sz w:val="22"/>
          <w:szCs w:val="22"/>
        </w:rPr>
      </w:pPr>
      <w:r>
        <w:rPr>
          <w:rFonts w:cs="Arial"/>
          <w:sz w:val="22"/>
          <w:szCs w:val="22"/>
        </w:rPr>
        <w:t>HYM</w:t>
      </w:r>
      <w:r>
        <w:rPr>
          <w:rFonts w:cs="Arial"/>
          <w:sz w:val="22"/>
          <w:szCs w:val="22"/>
        </w:rPr>
        <w:tab/>
        <w:t>hydromorphone</w:t>
      </w:r>
    </w:p>
    <w:p w:rsidRPr="005A5966" w:rsidR="00B11ABB" w:rsidP="00773487" w:rsidRDefault="00B11ABB" w14:paraId="5E1AE298" w14:textId="41310A9E">
      <w:pPr>
        <w:ind w:left="2160" w:hanging="2160"/>
        <w:rPr>
          <w:rFonts w:cs="Arial"/>
          <w:color w:val="000000"/>
          <w:sz w:val="22"/>
          <w:szCs w:val="22"/>
        </w:rPr>
      </w:pPr>
      <w:r>
        <w:rPr>
          <w:rFonts w:cs="Arial"/>
          <w:sz w:val="22"/>
          <w:szCs w:val="22"/>
        </w:rPr>
        <w:t>IAEA</w:t>
      </w:r>
      <w:r>
        <w:rPr>
          <w:rFonts w:cs="Arial"/>
          <w:sz w:val="22"/>
          <w:szCs w:val="22"/>
        </w:rPr>
        <w:tab/>
      </w:r>
      <w:r w:rsidR="005F28EC">
        <w:rPr>
          <w:rFonts w:cs="Arial"/>
          <w:sz w:val="22"/>
          <w:szCs w:val="22"/>
        </w:rPr>
        <w:t>International Atomic Energy Agency</w:t>
      </w:r>
    </w:p>
    <w:p w:rsidR="00ED66A3" w:rsidP="00773487" w:rsidRDefault="00ED66A3" w14:paraId="22F3E09A" w14:textId="77777777">
      <w:pPr>
        <w:ind w:left="2160" w:hanging="2160"/>
        <w:rPr>
          <w:rFonts w:cs="Arial"/>
          <w:color w:val="000000"/>
          <w:sz w:val="22"/>
          <w:szCs w:val="22"/>
        </w:rPr>
      </w:pPr>
      <w:r>
        <w:rPr>
          <w:rFonts w:cs="Arial"/>
          <w:color w:val="000000"/>
          <w:sz w:val="22"/>
          <w:szCs w:val="22"/>
        </w:rPr>
        <w:t>INPO</w:t>
      </w:r>
      <w:r w:rsidRPr="005A5966">
        <w:rPr>
          <w:rFonts w:cs="Arial"/>
          <w:color w:val="000000"/>
          <w:sz w:val="22"/>
          <w:szCs w:val="22"/>
        </w:rPr>
        <w:tab/>
      </w:r>
      <w:r>
        <w:rPr>
          <w:rFonts w:cs="Arial"/>
          <w:color w:val="000000"/>
          <w:sz w:val="22"/>
          <w:szCs w:val="22"/>
        </w:rPr>
        <w:t>Institute of Nuclear Power Operations</w:t>
      </w:r>
    </w:p>
    <w:p w:rsidRPr="005A5966" w:rsidR="00ED66A3" w:rsidP="00773487" w:rsidRDefault="00ED66A3" w14:paraId="00FC30A4" w14:textId="77777777">
      <w:pPr>
        <w:ind w:left="2160" w:hanging="2160"/>
        <w:rPr>
          <w:rFonts w:cs="Arial"/>
          <w:color w:val="000000"/>
          <w:sz w:val="22"/>
          <w:szCs w:val="22"/>
        </w:rPr>
      </w:pPr>
      <w:r w:rsidRPr="005A5966">
        <w:rPr>
          <w:rFonts w:cs="Arial"/>
          <w:color w:val="000000"/>
          <w:sz w:val="22"/>
          <w:szCs w:val="22"/>
        </w:rPr>
        <w:t>LOD</w:t>
      </w:r>
      <w:r w:rsidRPr="005A5966">
        <w:rPr>
          <w:rFonts w:cs="Arial"/>
          <w:color w:val="000000"/>
          <w:sz w:val="22"/>
          <w:szCs w:val="22"/>
        </w:rPr>
        <w:tab/>
      </w:r>
      <w:r>
        <w:rPr>
          <w:rFonts w:cs="Arial"/>
          <w:color w:val="000000"/>
          <w:sz w:val="22"/>
          <w:szCs w:val="22"/>
        </w:rPr>
        <w:t>l</w:t>
      </w:r>
      <w:r w:rsidRPr="005A5966">
        <w:rPr>
          <w:rFonts w:cs="Arial"/>
          <w:color w:val="000000"/>
          <w:sz w:val="22"/>
          <w:szCs w:val="22"/>
        </w:rPr>
        <w:t>imit of detection</w:t>
      </w:r>
    </w:p>
    <w:p w:rsidRPr="005A5966" w:rsidR="00ED66A3" w:rsidP="00773487" w:rsidRDefault="00ED66A3" w14:paraId="65E2BBFF" w14:textId="77777777">
      <w:pPr>
        <w:ind w:left="2160" w:hanging="2160"/>
        <w:rPr>
          <w:rFonts w:cs="Arial"/>
          <w:color w:val="000000"/>
          <w:sz w:val="22"/>
          <w:szCs w:val="22"/>
        </w:rPr>
      </w:pPr>
      <w:r w:rsidRPr="005A5966">
        <w:rPr>
          <w:rFonts w:cs="Arial"/>
          <w:color w:val="000000"/>
          <w:sz w:val="22"/>
          <w:szCs w:val="22"/>
        </w:rPr>
        <w:t>LOQ</w:t>
      </w:r>
      <w:r w:rsidRPr="005A5966">
        <w:rPr>
          <w:rFonts w:cs="Arial"/>
          <w:color w:val="000000"/>
          <w:sz w:val="22"/>
          <w:szCs w:val="22"/>
        </w:rPr>
        <w:tab/>
      </w:r>
      <w:r>
        <w:rPr>
          <w:rFonts w:cs="Arial"/>
          <w:color w:val="000000"/>
          <w:sz w:val="22"/>
          <w:szCs w:val="22"/>
        </w:rPr>
        <w:t>l</w:t>
      </w:r>
      <w:r w:rsidRPr="005A5966">
        <w:rPr>
          <w:rFonts w:cs="Arial"/>
          <w:color w:val="000000"/>
          <w:sz w:val="22"/>
          <w:szCs w:val="22"/>
        </w:rPr>
        <w:t>imit of quantitation</w:t>
      </w:r>
    </w:p>
    <w:p w:rsidRPr="005A5966" w:rsidR="00ED66A3" w:rsidP="00773487" w:rsidRDefault="00ED66A3" w14:paraId="46531D39" w14:textId="77777777">
      <w:pPr>
        <w:ind w:left="2160" w:hanging="2160"/>
        <w:rPr>
          <w:rFonts w:cs="Arial"/>
          <w:color w:val="000000"/>
          <w:sz w:val="22"/>
          <w:szCs w:val="22"/>
        </w:rPr>
      </w:pPr>
      <w:r w:rsidRPr="005A5966">
        <w:rPr>
          <w:rFonts w:cs="Arial"/>
          <w:color w:val="000000"/>
          <w:sz w:val="22"/>
          <w:szCs w:val="22"/>
        </w:rPr>
        <w:t>LTF</w:t>
      </w:r>
      <w:r w:rsidRPr="005A5966">
        <w:rPr>
          <w:rFonts w:cs="Arial"/>
          <w:color w:val="000000"/>
          <w:sz w:val="22"/>
          <w:szCs w:val="22"/>
        </w:rPr>
        <w:tab/>
      </w:r>
      <w:r>
        <w:rPr>
          <w:rFonts w:cs="Arial"/>
          <w:color w:val="000000"/>
          <w:sz w:val="22"/>
          <w:szCs w:val="22"/>
        </w:rPr>
        <w:t>l</w:t>
      </w:r>
      <w:r w:rsidRPr="005A5966">
        <w:rPr>
          <w:rFonts w:cs="Arial"/>
          <w:color w:val="000000"/>
          <w:sz w:val="22"/>
          <w:szCs w:val="22"/>
        </w:rPr>
        <w:t>icensee testing facility</w:t>
      </w:r>
    </w:p>
    <w:p w:rsidR="00ED66A3" w:rsidP="00773487" w:rsidRDefault="00ED66A3" w14:paraId="568C3878" w14:textId="0232D47E">
      <w:pPr>
        <w:ind w:left="2160" w:hanging="2160"/>
        <w:rPr>
          <w:rFonts w:cs="Arial"/>
          <w:sz w:val="22"/>
          <w:szCs w:val="22"/>
        </w:rPr>
      </w:pPr>
      <w:r w:rsidRPr="005A5966">
        <w:rPr>
          <w:rFonts w:cs="Arial"/>
          <w:color w:val="000000"/>
          <w:sz w:val="22"/>
          <w:szCs w:val="22"/>
        </w:rPr>
        <w:t>MDA</w:t>
      </w:r>
      <w:r w:rsidRPr="005A5966">
        <w:rPr>
          <w:rFonts w:cs="Arial"/>
          <w:color w:val="000000"/>
          <w:sz w:val="22"/>
          <w:szCs w:val="22"/>
        </w:rPr>
        <w:tab/>
      </w:r>
      <w:r w:rsidR="00441B85">
        <w:rPr>
          <w:rFonts w:cs="Arial"/>
          <w:color w:val="000000"/>
          <w:sz w:val="22"/>
          <w:szCs w:val="22"/>
        </w:rPr>
        <w:t>m</w:t>
      </w:r>
      <w:r w:rsidRPr="005A5966">
        <w:rPr>
          <w:rFonts w:cs="Arial"/>
          <w:sz w:val="22"/>
          <w:szCs w:val="22"/>
        </w:rPr>
        <w:t>ethylenedioxyamphetamine</w:t>
      </w:r>
    </w:p>
    <w:p w:rsidRPr="005A5966" w:rsidR="00441B85" w:rsidP="00773487" w:rsidRDefault="00441B85" w14:paraId="2EE5AD3C" w14:textId="1BFBA68C">
      <w:pPr>
        <w:ind w:left="2160" w:hanging="2160"/>
        <w:rPr>
          <w:rFonts w:cs="Arial"/>
          <w:color w:val="000000"/>
          <w:sz w:val="22"/>
          <w:szCs w:val="22"/>
        </w:rPr>
      </w:pPr>
      <w:r>
        <w:rPr>
          <w:rFonts w:cs="Arial"/>
          <w:color w:val="000000"/>
          <w:sz w:val="22"/>
          <w:szCs w:val="22"/>
        </w:rPr>
        <w:t>MDEA</w:t>
      </w:r>
      <w:r>
        <w:rPr>
          <w:rFonts w:cs="Arial"/>
          <w:color w:val="000000"/>
          <w:sz w:val="22"/>
          <w:szCs w:val="22"/>
        </w:rPr>
        <w:tab/>
      </w:r>
      <w:r>
        <w:rPr>
          <w:sz w:val="22"/>
          <w:szCs w:val="22"/>
        </w:rPr>
        <w:t>methylenedioxyethylamphetamine</w:t>
      </w:r>
    </w:p>
    <w:p w:rsidRPr="005A5966" w:rsidR="00ED66A3" w:rsidP="00773487" w:rsidRDefault="00ED66A3" w14:paraId="5C5F32D4" w14:textId="111D14CE">
      <w:pPr>
        <w:ind w:left="2160" w:hanging="2160"/>
        <w:rPr>
          <w:rFonts w:cs="Arial"/>
          <w:color w:val="000000"/>
          <w:sz w:val="22"/>
          <w:szCs w:val="22"/>
        </w:rPr>
      </w:pPr>
      <w:r w:rsidRPr="005A5966">
        <w:rPr>
          <w:rFonts w:cs="Arial"/>
          <w:color w:val="000000"/>
          <w:sz w:val="22"/>
          <w:szCs w:val="22"/>
        </w:rPr>
        <w:t>MDMA</w:t>
      </w:r>
      <w:r w:rsidRPr="005A5966">
        <w:rPr>
          <w:rFonts w:cs="Arial"/>
          <w:color w:val="000000"/>
          <w:sz w:val="22"/>
          <w:szCs w:val="22"/>
        </w:rPr>
        <w:tab/>
      </w:r>
      <w:r w:rsidR="00441B85">
        <w:rPr>
          <w:rFonts w:cs="Arial"/>
          <w:color w:val="000000"/>
          <w:sz w:val="22"/>
          <w:szCs w:val="22"/>
        </w:rPr>
        <w:t>m</w:t>
      </w:r>
      <w:r w:rsidRPr="005C411F">
        <w:rPr>
          <w:rFonts w:cs="Arial"/>
          <w:sz w:val="22"/>
          <w:szCs w:val="22"/>
        </w:rPr>
        <w:t>ethylenedioxymethamphe</w:t>
      </w:r>
      <w:r>
        <w:rPr>
          <w:rFonts w:cs="Arial"/>
          <w:sz w:val="22"/>
          <w:szCs w:val="22"/>
        </w:rPr>
        <w:t>ta</w:t>
      </w:r>
      <w:r w:rsidRPr="005C411F">
        <w:rPr>
          <w:rFonts w:cs="Arial"/>
          <w:sz w:val="22"/>
          <w:szCs w:val="22"/>
        </w:rPr>
        <w:t>mine</w:t>
      </w:r>
    </w:p>
    <w:p w:rsidRPr="005A5966" w:rsidR="00ED66A3" w:rsidP="00773487" w:rsidRDefault="00ED66A3" w14:paraId="4B2DC3AF" w14:textId="77777777">
      <w:pPr>
        <w:ind w:left="2160" w:hanging="2160"/>
        <w:rPr>
          <w:rFonts w:cs="Arial"/>
          <w:color w:val="000000"/>
          <w:sz w:val="22"/>
          <w:szCs w:val="22"/>
        </w:rPr>
      </w:pPr>
      <w:r w:rsidRPr="005A5966">
        <w:rPr>
          <w:rFonts w:cs="Arial"/>
          <w:color w:val="000000"/>
          <w:sz w:val="22"/>
          <w:szCs w:val="22"/>
        </w:rPr>
        <w:t>mg</w:t>
      </w:r>
      <w:r w:rsidRPr="005A5966">
        <w:rPr>
          <w:rFonts w:cs="Arial"/>
          <w:color w:val="000000"/>
          <w:sz w:val="22"/>
          <w:szCs w:val="22"/>
        </w:rPr>
        <w:tab/>
      </w:r>
      <w:r>
        <w:rPr>
          <w:rFonts w:cs="Arial"/>
          <w:color w:val="000000"/>
          <w:sz w:val="22"/>
          <w:szCs w:val="22"/>
        </w:rPr>
        <w:t>m</w:t>
      </w:r>
      <w:r w:rsidRPr="005A5966">
        <w:rPr>
          <w:rFonts w:cs="Arial"/>
          <w:color w:val="000000"/>
          <w:sz w:val="22"/>
          <w:szCs w:val="22"/>
        </w:rPr>
        <w:t>illigram</w:t>
      </w:r>
      <w:r>
        <w:rPr>
          <w:rFonts w:cs="Arial"/>
          <w:color w:val="000000"/>
          <w:sz w:val="22"/>
          <w:szCs w:val="22"/>
        </w:rPr>
        <w:t>(s)</w:t>
      </w:r>
    </w:p>
    <w:p w:rsidRPr="005A5966" w:rsidR="00ED66A3" w:rsidP="00773487" w:rsidRDefault="00ED66A3" w14:paraId="35B8F428" w14:textId="77777777">
      <w:pPr>
        <w:ind w:left="2160" w:hanging="2160"/>
        <w:rPr>
          <w:rFonts w:cs="Arial"/>
          <w:color w:val="000000"/>
          <w:sz w:val="22"/>
          <w:szCs w:val="22"/>
        </w:rPr>
      </w:pPr>
      <w:r w:rsidRPr="005A5966">
        <w:rPr>
          <w:rFonts w:cs="Arial"/>
          <w:color w:val="000000"/>
          <w:sz w:val="22"/>
          <w:szCs w:val="22"/>
        </w:rPr>
        <w:t>mL</w:t>
      </w:r>
      <w:r w:rsidRPr="005A5966">
        <w:rPr>
          <w:rFonts w:cs="Arial"/>
          <w:color w:val="000000"/>
          <w:sz w:val="22"/>
          <w:szCs w:val="22"/>
        </w:rPr>
        <w:tab/>
      </w:r>
      <w:r>
        <w:rPr>
          <w:rFonts w:cs="Arial"/>
          <w:color w:val="000000"/>
          <w:sz w:val="22"/>
          <w:szCs w:val="22"/>
        </w:rPr>
        <w:t>m</w:t>
      </w:r>
      <w:r w:rsidRPr="005A5966">
        <w:rPr>
          <w:rFonts w:cs="Arial"/>
          <w:color w:val="000000"/>
          <w:sz w:val="22"/>
          <w:szCs w:val="22"/>
        </w:rPr>
        <w:t>illiliter</w:t>
      </w:r>
      <w:r>
        <w:rPr>
          <w:rFonts w:cs="Arial"/>
          <w:color w:val="000000"/>
          <w:sz w:val="22"/>
          <w:szCs w:val="22"/>
        </w:rPr>
        <w:t>(s)</w:t>
      </w:r>
    </w:p>
    <w:p w:rsidR="00ED66A3" w:rsidP="00773487" w:rsidRDefault="00ED66A3" w14:paraId="137B655F" w14:textId="6B464DA2">
      <w:pPr>
        <w:ind w:left="2160" w:hanging="2160"/>
        <w:rPr>
          <w:rFonts w:cs="Arial"/>
          <w:color w:val="000000"/>
          <w:sz w:val="22"/>
          <w:szCs w:val="22"/>
        </w:rPr>
      </w:pPr>
      <w:r w:rsidRPr="005A5966">
        <w:rPr>
          <w:rFonts w:cs="Arial"/>
          <w:color w:val="000000"/>
          <w:sz w:val="22"/>
          <w:szCs w:val="22"/>
        </w:rPr>
        <w:t>MRO</w:t>
      </w:r>
      <w:r w:rsidRPr="005A5966">
        <w:rPr>
          <w:rFonts w:cs="Arial"/>
          <w:color w:val="000000"/>
          <w:sz w:val="22"/>
          <w:szCs w:val="22"/>
        </w:rPr>
        <w:tab/>
        <w:t>Medical Review Officer</w:t>
      </w:r>
    </w:p>
    <w:p w:rsidRPr="005A5966" w:rsidR="00FD300B" w:rsidP="00773487" w:rsidRDefault="00FD300B" w14:paraId="08704B22" w14:textId="5F165D98">
      <w:pPr>
        <w:ind w:left="2160" w:hanging="2160"/>
        <w:rPr>
          <w:rFonts w:cs="Arial"/>
          <w:color w:val="000000"/>
          <w:sz w:val="22"/>
          <w:szCs w:val="22"/>
        </w:rPr>
      </w:pPr>
      <w:r>
        <w:rPr>
          <w:rFonts w:cs="Arial"/>
          <w:color w:val="000000"/>
          <w:sz w:val="22"/>
          <w:szCs w:val="22"/>
        </w:rPr>
        <w:t>MWt</w:t>
      </w:r>
      <w:r>
        <w:rPr>
          <w:rFonts w:cs="Arial"/>
          <w:color w:val="000000"/>
          <w:sz w:val="22"/>
          <w:szCs w:val="22"/>
        </w:rPr>
        <w:tab/>
        <w:t>megawatt(s) thermal</w:t>
      </w:r>
    </w:p>
    <w:p w:rsidR="00ED66A3" w:rsidP="00773487" w:rsidRDefault="00ED66A3" w14:paraId="7FECA1E2" w14:textId="77777777">
      <w:pPr>
        <w:ind w:left="2160" w:hanging="2160"/>
        <w:rPr>
          <w:rFonts w:cs="Arial"/>
          <w:color w:val="000000"/>
          <w:sz w:val="22"/>
          <w:szCs w:val="22"/>
        </w:rPr>
      </w:pPr>
      <w:r>
        <w:rPr>
          <w:rFonts w:cs="Arial"/>
          <w:color w:val="000000"/>
          <w:sz w:val="22"/>
          <w:szCs w:val="22"/>
        </w:rPr>
        <w:t>NEI</w:t>
      </w:r>
      <w:r>
        <w:rPr>
          <w:rFonts w:cs="Arial"/>
          <w:color w:val="000000"/>
          <w:sz w:val="22"/>
          <w:szCs w:val="22"/>
        </w:rPr>
        <w:tab/>
        <w:t>Nuclear Energy Institute</w:t>
      </w:r>
    </w:p>
    <w:p w:rsidRPr="005A5966" w:rsidR="00ED66A3" w:rsidP="00773487" w:rsidRDefault="00ED66A3" w14:paraId="340B5A08" w14:textId="77777777">
      <w:pPr>
        <w:ind w:left="2160" w:hanging="2160"/>
        <w:rPr>
          <w:rFonts w:cs="Arial"/>
          <w:color w:val="000000"/>
          <w:sz w:val="22"/>
          <w:szCs w:val="22"/>
        </w:rPr>
      </w:pPr>
      <w:r>
        <w:rPr>
          <w:rFonts w:cs="Arial"/>
          <w:color w:val="000000"/>
          <w:sz w:val="22"/>
          <w:szCs w:val="22"/>
        </w:rPr>
        <w:t>ng</w:t>
      </w:r>
      <w:r w:rsidRPr="005A5966">
        <w:rPr>
          <w:rFonts w:cs="Arial"/>
          <w:color w:val="000000"/>
          <w:sz w:val="22"/>
          <w:szCs w:val="22"/>
        </w:rPr>
        <w:tab/>
      </w:r>
      <w:r>
        <w:rPr>
          <w:rFonts w:cs="Arial"/>
          <w:color w:val="000000"/>
          <w:sz w:val="22"/>
          <w:szCs w:val="22"/>
        </w:rPr>
        <w:t>nanogram(s)</w:t>
      </w:r>
    </w:p>
    <w:p w:rsidRPr="005041C9" w:rsidR="00ED66A3" w:rsidP="00773487" w:rsidRDefault="00ED66A3" w14:paraId="3289B35B" w14:textId="77777777">
      <w:pPr>
        <w:ind w:left="2160" w:hanging="2160"/>
        <w:rPr>
          <w:rFonts w:cs="Arial"/>
          <w:color w:val="000000"/>
          <w:sz w:val="22"/>
          <w:szCs w:val="22"/>
        </w:rPr>
      </w:pPr>
      <w:r w:rsidRPr="005041C9">
        <w:rPr>
          <w:rFonts w:cs="Arial"/>
          <w:color w:val="000000"/>
          <w:sz w:val="22"/>
          <w:szCs w:val="22"/>
        </w:rPr>
        <w:t>NLCP</w:t>
      </w:r>
      <w:r w:rsidRPr="005041C9">
        <w:rPr>
          <w:rFonts w:cs="Arial"/>
          <w:color w:val="000000"/>
          <w:sz w:val="22"/>
          <w:szCs w:val="22"/>
        </w:rPr>
        <w:tab/>
        <w:t>National Laboratory Certification Program</w:t>
      </w:r>
    </w:p>
    <w:p w:rsidRPr="005041C9" w:rsidR="00ED66A3" w:rsidP="00773487" w:rsidRDefault="00ED66A3" w14:paraId="67B28AB7" w14:textId="77777777">
      <w:pPr>
        <w:ind w:left="2160" w:hanging="2160"/>
        <w:rPr>
          <w:rFonts w:cs="Arial"/>
          <w:color w:val="000000"/>
          <w:sz w:val="22"/>
          <w:szCs w:val="22"/>
        </w:rPr>
      </w:pPr>
      <w:r w:rsidRPr="005041C9">
        <w:rPr>
          <w:rFonts w:cs="Arial"/>
          <w:color w:val="000000"/>
          <w:sz w:val="22"/>
          <w:szCs w:val="22"/>
        </w:rPr>
        <w:t>NPV</w:t>
      </w:r>
      <w:r w:rsidRPr="005041C9">
        <w:rPr>
          <w:rFonts w:cs="Arial"/>
          <w:color w:val="000000"/>
          <w:sz w:val="22"/>
          <w:szCs w:val="22"/>
        </w:rPr>
        <w:tab/>
      </w:r>
      <w:r>
        <w:rPr>
          <w:rFonts w:cs="Arial"/>
          <w:color w:val="000000"/>
          <w:sz w:val="22"/>
          <w:szCs w:val="22"/>
        </w:rPr>
        <w:t>n</w:t>
      </w:r>
      <w:r w:rsidRPr="005041C9">
        <w:rPr>
          <w:rFonts w:cs="Arial"/>
          <w:color w:val="000000"/>
          <w:sz w:val="22"/>
          <w:szCs w:val="22"/>
        </w:rPr>
        <w:t>et present value</w:t>
      </w:r>
    </w:p>
    <w:p w:rsidRPr="005041C9" w:rsidR="00ED66A3" w:rsidP="00773487" w:rsidRDefault="00ED66A3" w14:paraId="47807475" w14:textId="77777777">
      <w:pPr>
        <w:ind w:left="2160" w:hanging="2160"/>
        <w:rPr>
          <w:rFonts w:cs="Arial"/>
          <w:color w:val="000000"/>
          <w:sz w:val="22"/>
          <w:szCs w:val="22"/>
        </w:rPr>
      </w:pPr>
      <w:r w:rsidRPr="005041C9">
        <w:rPr>
          <w:rFonts w:cs="Arial"/>
          <w:color w:val="000000"/>
          <w:sz w:val="22"/>
          <w:szCs w:val="22"/>
        </w:rPr>
        <w:t>NRC</w:t>
      </w:r>
      <w:r w:rsidRPr="005041C9">
        <w:rPr>
          <w:rFonts w:cs="Arial"/>
          <w:color w:val="000000"/>
          <w:sz w:val="22"/>
          <w:szCs w:val="22"/>
        </w:rPr>
        <w:tab/>
        <w:t>U.S. Nuclear Regulatory Commission</w:t>
      </w:r>
    </w:p>
    <w:p w:rsidR="00ED66A3" w:rsidP="00773487" w:rsidRDefault="00ED66A3" w14:paraId="7E68018A" w14:textId="59F0FBD2">
      <w:pPr>
        <w:ind w:left="2160" w:hanging="2160"/>
        <w:rPr>
          <w:rStyle w:val="st1"/>
          <w:rFonts w:cs="Arial"/>
          <w:sz w:val="22"/>
          <w:szCs w:val="22"/>
        </w:rPr>
      </w:pPr>
      <w:r>
        <w:rPr>
          <w:rFonts w:cs="Arial"/>
          <w:sz w:val="22"/>
          <w:szCs w:val="22"/>
        </w:rPr>
        <w:t>OMB</w:t>
      </w:r>
      <w:r>
        <w:rPr>
          <w:rFonts w:cs="Arial"/>
          <w:sz w:val="22"/>
          <w:szCs w:val="22"/>
        </w:rPr>
        <w:tab/>
      </w:r>
      <w:r>
        <w:rPr>
          <w:rStyle w:val="st1"/>
          <w:rFonts w:cs="Arial"/>
          <w:sz w:val="22"/>
          <w:szCs w:val="22"/>
        </w:rPr>
        <w:t>Office of Management and Budget</w:t>
      </w:r>
    </w:p>
    <w:p w:rsidR="00773487" w:rsidP="00773487" w:rsidRDefault="00773487" w14:paraId="0CF97ECF" w14:textId="7C7670EA">
      <w:pPr>
        <w:ind w:left="2160" w:hanging="2160"/>
        <w:rPr>
          <w:rStyle w:val="st1"/>
          <w:rFonts w:cs="Arial"/>
          <w:sz w:val="22"/>
          <w:szCs w:val="22"/>
        </w:rPr>
      </w:pPr>
      <w:r>
        <w:rPr>
          <w:rStyle w:val="st1"/>
          <w:rFonts w:cs="Arial"/>
          <w:sz w:val="22"/>
          <w:szCs w:val="22"/>
        </w:rPr>
        <w:t>ONDCP</w:t>
      </w:r>
      <w:r>
        <w:rPr>
          <w:rStyle w:val="st1"/>
          <w:rFonts w:cs="Arial"/>
          <w:sz w:val="22"/>
          <w:szCs w:val="22"/>
        </w:rPr>
        <w:tab/>
        <w:t>Office of National Drug Control Policy</w:t>
      </w:r>
    </w:p>
    <w:p w:rsidRPr="008C4299" w:rsidR="00ED66A3" w:rsidP="00773487" w:rsidRDefault="00ED66A3" w14:paraId="7710160C" w14:textId="7811694E">
      <w:pPr>
        <w:ind w:left="2160" w:hanging="2160"/>
        <w:rPr>
          <w:rStyle w:val="st1"/>
        </w:rPr>
      </w:pPr>
      <w:r>
        <w:rPr>
          <w:rFonts w:cs="Arial"/>
          <w:sz w:val="22"/>
          <w:szCs w:val="22"/>
        </w:rPr>
        <w:t>OSHA</w:t>
      </w:r>
      <w:r>
        <w:rPr>
          <w:rFonts w:cs="Arial"/>
          <w:sz w:val="22"/>
          <w:szCs w:val="22"/>
        </w:rPr>
        <w:tab/>
      </w:r>
      <w:r>
        <w:rPr>
          <w:rStyle w:val="st1"/>
          <w:rFonts w:cs="Arial"/>
          <w:sz w:val="22"/>
          <w:szCs w:val="22"/>
        </w:rPr>
        <w:t>Occupational Safety and Health Administration</w:t>
      </w:r>
    </w:p>
    <w:p w:rsidR="00F75C3D" w:rsidP="00773487" w:rsidRDefault="00F75C3D" w14:paraId="6AF791BF" w14:textId="16859DAC">
      <w:pPr>
        <w:ind w:left="2160" w:hanging="2160"/>
        <w:rPr>
          <w:rFonts w:cs="Arial"/>
          <w:sz w:val="22"/>
          <w:szCs w:val="22"/>
        </w:rPr>
      </w:pPr>
      <w:r>
        <w:rPr>
          <w:rFonts w:cs="Arial"/>
          <w:sz w:val="22"/>
          <w:szCs w:val="22"/>
        </w:rPr>
        <w:t>OXYC</w:t>
      </w:r>
      <w:r>
        <w:rPr>
          <w:rFonts w:cs="Arial"/>
          <w:sz w:val="22"/>
          <w:szCs w:val="22"/>
        </w:rPr>
        <w:tab/>
        <w:t>oxycodone</w:t>
      </w:r>
    </w:p>
    <w:p w:rsidR="00F75C3D" w:rsidP="00773487" w:rsidRDefault="00F75C3D" w14:paraId="13116AD1" w14:textId="4B2EC65B">
      <w:pPr>
        <w:ind w:left="2160" w:hanging="2160"/>
        <w:rPr>
          <w:rFonts w:cs="Arial"/>
          <w:sz w:val="22"/>
          <w:szCs w:val="22"/>
        </w:rPr>
      </w:pPr>
      <w:r>
        <w:rPr>
          <w:rFonts w:cs="Arial"/>
          <w:sz w:val="22"/>
          <w:szCs w:val="22"/>
        </w:rPr>
        <w:t>OXYM</w:t>
      </w:r>
      <w:r>
        <w:rPr>
          <w:rFonts w:cs="Arial"/>
          <w:sz w:val="22"/>
          <w:szCs w:val="22"/>
        </w:rPr>
        <w:tab/>
        <w:t>oxymorphone</w:t>
      </w:r>
    </w:p>
    <w:p w:rsidRPr="008C4299" w:rsidR="00ED66A3" w:rsidP="00773487" w:rsidRDefault="00ED66A3" w14:paraId="3F2AC192" w14:textId="369F29C0">
      <w:pPr>
        <w:ind w:left="2160" w:hanging="2160"/>
        <w:rPr>
          <w:rStyle w:val="st1"/>
        </w:rPr>
      </w:pPr>
      <w:r>
        <w:rPr>
          <w:rFonts w:cs="Arial"/>
          <w:sz w:val="22"/>
          <w:szCs w:val="22"/>
        </w:rPr>
        <w:t>PERT</w:t>
      </w:r>
      <w:r w:rsidRPr="007C0495">
        <w:rPr>
          <w:rFonts w:cs="Arial"/>
          <w:sz w:val="22"/>
          <w:szCs w:val="22"/>
        </w:rPr>
        <w:tab/>
      </w:r>
      <w:r>
        <w:rPr>
          <w:rStyle w:val="st1"/>
          <w:rFonts w:cs="Arial"/>
          <w:sz w:val="22"/>
          <w:szCs w:val="22"/>
        </w:rPr>
        <w:t>program evaluation and review technique</w:t>
      </w:r>
    </w:p>
    <w:p w:rsidRPr="001C398F" w:rsidR="00ED66A3" w:rsidP="00773487" w:rsidRDefault="00ED66A3" w14:paraId="6650D794" w14:textId="77777777">
      <w:pPr>
        <w:ind w:left="2160" w:hanging="2160"/>
        <w:rPr>
          <w:rFonts w:cs="Arial"/>
          <w:sz w:val="22"/>
          <w:szCs w:val="22"/>
        </w:rPr>
      </w:pPr>
      <w:r w:rsidRPr="007C0495">
        <w:rPr>
          <w:rFonts w:cs="Arial"/>
          <w:sz w:val="22"/>
          <w:szCs w:val="22"/>
        </w:rPr>
        <w:t>pH</w:t>
      </w:r>
      <w:r w:rsidRPr="007C0495">
        <w:rPr>
          <w:rFonts w:cs="Arial"/>
          <w:sz w:val="22"/>
          <w:szCs w:val="22"/>
        </w:rPr>
        <w:tab/>
      </w:r>
      <w:r>
        <w:rPr>
          <w:rStyle w:val="st1"/>
          <w:rFonts w:cs="Arial"/>
          <w:sz w:val="22"/>
          <w:szCs w:val="22"/>
        </w:rPr>
        <w:t>a</w:t>
      </w:r>
      <w:r w:rsidRPr="007C0495">
        <w:rPr>
          <w:rStyle w:val="st1"/>
          <w:rFonts w:cs="Arial"/>
          <w:sz w:val="22"/>
          <w:szCs w:val="22"/>
        </w:rPr>
        <w:t xml:space="preserve"> measure of the acidity or basicity of an aqueous solution</w:t>
      </w:r>
    </w:p>
    <w:p w:rsidR="00A35999" w:rsidP="00773487" w:rsidRDefault="00A35999" w14:paraId="11797142" w14:textId="04084790">
      <w:pPr>
        <w:ind w:left="2160" w:hanging="2160"/>
        <w:rPr>
          <w:rFonts w:cs="Arial"/>
          <w:color w:val="000000"/>
          <w:sz w:val="22"/>
          <w:szCs w:val="22"/>
        </w:rPr>
      </w:pPr>
      <w:r>
        <w:rPr>
          <w:rFonts w:cs="Arial"/>
          <w:color w:val="000000"/>
          <w:sz w:val="22"/>
          <w:szCs w:val="22"/>
        </w:rPr>
        <w:t>SMR</w:t>
      </w:r>
      <w:r>
        <w:rPr>
          <w:rFonts w:cs="Arial"/>
          <w:color w:val="000000"/>
          <w:sz w:val="22"/>
          <w:szCs w:val="22"/>
        </w:rPr>
        <w:tab/>
        <w:t>small modular reactor</w:t>
      </w:r>
    </w:p>
    <w:p w:rsidRPr="005A5966" w:rsidR="00ED66A3" w:rsidP="00773487" w:rsidRDefault="00ED66A3" w14:paraId="6BAAFA2E" w14:textId="06B60F66">
      <w:pPr>
        <w:ind w:left="2160" w:hanging="2160"/>
        <w:rPr>
          <w:rFonts w:cs="Arial"/>
          <w:sz w:val="22"/>
          <w:szCs w:val="22"/>
        </w:rPr>
      </w:pPr>
      <w:r w:rsidRPr="005A5966">
        <w:rPr>
          <w:rFonts w:cs="Arial"/>
          <w:color w:val="000000"/>
          <w:sz w:val="22"/>
          <w:szCs w:val="22"/>
        </w:rPr>
        <w:t>SSC</w:t>
      </w:r>
      <w:r w:rsidRPr="005A5966">
        <w:rPr>
          <w:rFonts w:cs="Arial"/>
          <w:color w:val="000000"/>
          <w:sz w:val="22"/>
          <w:szCs w:val="22"/>
        </w:rPr>
        <w:tab/>
      </w:r>
      <w:r>
        <w:rPr>
          <w:rFonts w:cs="Arial"/>
          <w:sz w:val="22"/>
          <w:szCs w:val="22"/>
        </w:rPr>
        <w:t>s</w:t>
      </w:r>
      <w:r w:rsidRPr="005A5966">
        <w:rPr>
          <w:rFonts w:cs="Arial"/>
          <w:sz w:val="22"/>
          <w:szCs w:val="22"/>
        </w:rPr>
        <w:t>tructure</w:t>
      </w:r>
      <w:r w:rsidR="00646A79">
        <w:rPr>
          <w:rFonts w:cs="Arial"/>
          <w:sz w:val="22"/>
          <w:szCs w:val="22"/>
        </w:rPr>
        <w:t>,</w:t>
      </w:r>
      <w:r w:rsidRPr="005A5966">
        <w:rPr>
          <w:rFonts w:cs="Arial"/>
          <w:sz w:val="22"/>
          <w:szCs w:val="22"/>
        </w:rPr>
        <w:t xml:space="preserve"> system</w:t>
      </w:r>
      <w:r w:rsidR="00646A79">
        <w:rPr>
          <w:rFonts w:cs="Arial"/>
          <w:sz w:val="22"/>
          <w:szCs w:val="22"/>
        </w:rPr>
        <w:t>,</w:t>
      </w:r>
      <w:r w:rsidRPr="005A5966">
        <w:rPr>
          <w:rFonts w:cs="Arial"/>
          <w:sz w:val="22"/>
          <w:szCs w:val="22"/>
        </w:rPr>
        <w:t xml:space="preserve"> </w:t>
      </w:r>
      <w:r w:rsidR="00C71583">
        <w:rPr>
          <w:rFonts w:cs="Arial"/>
          <w:sz w:val="22"/>
          <w:szCs w:val="22"/>
        </w:rPr>
        <w:t>or</w:t>
      </w:r>
      <w:r w:rsidRPr="005A5966">
        <w:rPr>
          <w:rFonts w:cs="Arial"/>
          <w:sz w:val="22"/>
          <w:szCs w:val="22"/>
        </w:rPr>
        <w:t xml:space="preserve"> component</w:t>
      </w:r>
    </w:p>
    <w:p w:rsidR="00ED66A3" w:rsidP="00773487" w:rsidRDefault="00ED66A3" w14:paraId="194CB6EA" w14:textId="5DC5A7AF">
      <w:pPr>
        <w:ind w:left="2160" w:hanging="2160"/>
        <w:rPr>
          <w:rFonts w:cs="Arial"/>
          <w:sz w:val="22"/>
          <w:szCs w:val="22"/>
        </w:rPr>
      </w:pPr>
      <w:r w:rsidRPr="005A5966">
        <w:rPr>
          <w:rFonts w:cs="Arial"/>
          <w:color w:val="000000"/>
          <w:sz w:val="22"/>
          <w:szCs w:val="22"/>
        </w:rPr>
        <w:t>SSNM</w:t>
      </w:r>
      <w:r w:rsidRPr="005A5966">
        <w:rPr>
          <w:rFonts w:cs="Arial"/>
          <w:color w:val="000000"/>
          <w:sz w:val="22"/>
          <w:szCs w:val="22"/>
        </w:rPr>
        <w:tab/>
      </w:r>
      <w:r w:rsidR="00720285">
        <w:rPr>
          <w:rFonts w:cs="Arial"/>
          <w:color w:val="000000"/>
          <w:sz w:val="22"/>
          <w:szCs w:val="22"/>
        </w:rPr>
        <w:t xml:space="preserve">strategic </w:t>
      </w:r>
      <w:r>
        <w:rPr>
          <w:rFonts w:cs="Arial"/>
          <w:sz w:val="22"/>
          <w:szCs w:val="22"/>
        </w:rPr>
        <w:t>s</w:t>
      </w:r>
      <w:r w:rsidRPr="005A5966">
        <w:rPr>
          <w:rFonts w:cs="Arial"/>
          <w:sz w:val="22"/>
          <w:szCs w:val="22"/>
        </w:rPr>
        <w:t>pecial nuclear material</w:t>
      </w:r>
    </w:p>
    <w:p w:rsidR="00DE6ED4" w:rsidP="004D7CD6" w:rsidRDefault="00DE6ED4" w14:paraId="42AA2C5F" w14:textId="1E335C40">
      <w:pPr>
        <w:ind w:left="2160" w:hanging="2160"/>
        <w:rPr>
          <w:sz w:val="22"/>
          <w:szCs w:val="22"/>
        </w:rPr>
      </w:pPr>
      <w:r>
        <w:rPr>
          <w:sz w:val="22"/>
          <w:szCs w:val="22"/>
        </w:rPr>
        <w:t>U.S.</w:t>
      </w:r>
      <w:r>
        <w:rPr>
          <w:sz w:val="22"/>
          <w:szCs w:val="22"/>
        </w:rPr>
        <w:tab/>
        <w:t>United States</w:t>
      </w:r>
    </w:p>
    <w:p w:rsidRPr="004D7CD6" w:rsidR="004D7CD6" w:rsidP="004D7CD6" w:rsidRDefault="004D7CD6" w14:paraId="763A1F9F" w14:textId="216D2A48">
      <w:pPr>
        <w:ind w:left="2160" w:hanging="2160"/>
        <w:rPr>
          <w:sz w:val="22"/>
          <w:szCs w:val="22"/>
        </w:rPr>
      </w:pPr>
      <w:r>
        <w:rPr>
          <w:sz w:val="22"/>
          <w:szCs w:val="22"/>
        </w:rPr>
        <w:t>U.S.C</w:t>
      </w:r>
      <w:r w:rsidR="003A291D">
        <w:rPr>
          <w:sz w:val="22"/>
          <w:szCs w:val="22"/>
        </w:rPr>
        <w:t>.</w:t>
      </w:r>
      <w:r>
        <w:rPr>
          <w:sz w:val="22"/>
          <w:szCs w:val="22"/>
        </w:rPr>
        <w:tab/>
        <w:t>United States Code</w:t>
      </w:r>
    </w:p>
    <w:p w:rsidRPr="00CF58ED" w:rsidR="00D520BD" w:rsidP="00D520BD" w:rsidRDefault="00D520BD" w14:paraId="57306A53" w14:textId="29F34F68">
      <w:pPr>
        <w:pStyle w:val="Heading1"/>
      </w:pPr>
      <w:r w:rsidRPr="005A5966">
        <w:br w:type="page"/>
      </w:r>
      <w:bookmarkStart w:name="_Toc460412589" w:id="13"/>
      <w:bookmarkStart w:name="_Toc72840007" w:id="14"/>
      <w:bookmarkStart w:name="_Toc105681480" w:id="15"/>
      <w:r w:rsidRPr="00CF58ED">
        <w:lastRenderedPageBreak/>
        <w:t>Abstract</w:t>
      </w:r>
      <w:bookmarkEnd w:id="13"/>
      <w:bookmarkEnd w:id="14"/>
      <w:bookmarkEnd w:id="15"/>
    </w:p>
    <w:p w:rsidRPr="00646A79" w:rsidR="00D520BD" w:rsidP="00D520BD" w:rsidRDefault="00D520BD" w14:paraId="776BD8A7" w14:textId="77777777">
      <w:pPr>
        <w:autoSpaceDE/>
        <w:autoSpaceDN/>
        <w:adjustRightInd/>
        <w:rPr>
          <w:sz w:val="22"/>
          <w:szCs w:val="22"/>
        </w:rPr>
      </w:pPr>
    </w:p>
    <w:p w:rsidR="00D520BD" w:rsidP="00D520BD" w:rsidRDefault="00D520BD" w14:paraId="7F636B16" w14:textId="73CD5143">
      <w:pPr>
        <w:autoSpaceDE/>
        <w:autoSpaceDN/>
        <w:adjustRightInd/>
        <w:rPr>
          <w:sz w:val="22"/>
          <w:szCs w:val="22"/>
        </w:rPr>
      </w:pPr>
      <w:r w:rsidRPr="00362A6E">
        <w:rPr>
          <w:rFonts w:cs="Arial"/>
          <w:bCs/>
          <w:sz w:val="22"/>
          <w:szCs w:val="22"/>
        </w:rPr>
        <w:t xml:space="preserve">The </w:t>
      </w:r>
      <w:r>
        <w:rPr>
          <w:rFonts w:cs="Arial"/>
          <w:bCs/>
          <w:sz w:val="22"/>
          <w:szCs w:val="22"/>
        </w:rPr>
        <w:t>U.S. </w:t>
      </w:r>
      <w:r w:rsidRPr="00362A6E">
        <w:rPr>
          <w:rFonts w:cs="Arial"/>
          <w:bCs/>
          <w:sz w:val="22"/>
          <w:szCs w:val="22"/>
        </w:rPr>
        <w:t xml:space="preserve">Nuclear Regulatory Commission (NRC) </w:t>
      </w:r>
      <w:r>
        <w:rPr>
          <w:rFonts w:cs="Arial"/>
          <w:bCs/>
          <w:sz w:val="22"/>
          <w:szCs w:val="22"/>
        </w:rPr>
        <w:t>is amend</w:t>
      </w:r>
      <w:r w:rsidR="00D216EA">
        <w:rPr>
          <w:rFonts w:cs="Arial"/>
          <w:bCs/>
          <w:sz w:val="22"/>
          <w:szCs w:val="22"/>
        </w:rPr>
        <w:t>ing</w:t>
      </w:r>
      <w:r w:rsidRPr="00362A6E">
        <w:rPr>
          <w:sz w:val="22"/>
          <w:szCs w:val="22"/>
        </w:rPr>
        <w:t xml:space="preserve"> </w:t>
      </w:r>
      <w:r>
        <w:rPr>
          <w:sz w:val="22"/>
          <w:szCs w:val="22"/>
        </w:rPr>
        <w:t xml:space="preserve">its regulations in Title 10 of the </w:t>
      </w:r>
      <w:r w:rsidRPr="00B10C2E">
        <w:rPr>
          <w:i/>
          <w:sz w:val="22"/>
          <w:szCs w:val="22"/>
        </w:rPr>
        <w:t>Code of Federal Regulations</w:t>
      </w:r>
      <w:r>
        <w:rPr>
          <w:sz w:val="22"/>
          <w:szCs w:val="22"/>
        </w:rPr>
        <w:t xml:space="preserve"> (10 CFR) Part 26</w:t>
      </w:r>
      <w:r w:rsidR="00646A79">
        <w:rPr>
          <w:sz w:val="22"/>
          <w:szCs w:val="22"/>
        </w:rPr>
        <w:t>,</w:t>
      </w:r>
      <w:r>
        <w:rPr>
          <w:sz w:val="22"/>
          <w:szCs w:val="22"/>
        </w:rPr>
        <w:t xml:space="preserve"> </w:t>
      </w:r>
      <w:r w:rsidR="00646A79">
        <w:rPr>
          <w:sz w:val="22"/>
          <w:szCs w:val="22"/>
        </w:rPr>
        <w:t>“</w:t>
      </w:r>
      <w:r>
        <w:rPr>
          <w:sz w:val="22"/>
          <w:szCs w:val="22"/>
        </w:rPr>
        <w:t xml:space="preserve">Fitness for </w:t>
      </w:r>
      <w:r w:rsidR="00AC4EA2">
        <w:rPr>
          <w:sz w:val="22"/>
          <w:szCs w:val="22"/>
        </w:rPr>
        <w:t>d</w:t>
      </w:r>
      <w:r>
        <w:rPr>
          <w:sz w:val="22"/>
          <w:szCs w:val="22"/>
        </w:rPr>
        <w:t xml:space="preserve">uty </w:t>
      </w:r>
      <w:r w:rsidR="00AC4EA2">
        <w:rPr>
          <w:sz w:val="22"/>
          <w:szCs w:val="22"/>
        </w:rPr>
        <w:t>p</w:t>
      </w:r>
      <w:r>
        <w:rPr>
          <w:sz w:val="22"/>
          <w:szCs w:val="22"/>
        </w:rPr>
        <w:t>rograms</w:t>
      </w:r>
      <w:r w:rsidR="00646A79">
        <w:rPr>
          <w:sz w:val="22"/>
          <w:szCs w:val="22"/>
        </w:rPr>
        <w:t>,”</w:t>
      </w:r>
      <w:r>
        <w:rPr>
          <w:sz w:val="22"/>
          <w:szCs w:val="22"/>
        </w:rPr>
        <w:t xml:space="preserve"> </w:t>
      </w:r>
      <w:r w:rsidRPr="00362A6E">
        <w:rPr>
          <w:sz w:val="22"/>
          <w:szCs w:val="22"/>
        </w:rPr>
        <w:t xml:space="preserve">to </w:t>
      </w:r>
      <w:r>
        <w:rPr>
          <w:sz w:val="22"/>
          <w:szCs w:val="22"/>
        </w:rPr>
        <w:t xml:space="preserve">align the </w:t>
      </w:r>
      <w:r w:rsidRPr="00362A6E">
        <w:rPr>
          <w:sz w:val="22"/>
          <w:szCs w:val="22"/>
        </w:rPr>
        <w:t>NRC</w:t>
      </w:r>
      <w:r>
        <w:rPr>
          <w:sz w:val="22"/>
          <w:szCs w:val="22"/>
        </w:rPr>
        <w:t xml:space="preserve">’s </w:t>
      </w:r>
      <w:r w:rsidRPr="00362A6E">
        <w:rPr>
          <w:sz w:val="22"/>
          <w:szCs w:val="22"/>
        </w:rPr>
        <w:t xml:space="preserve">drug testing requirements </w:t>
      </w:r>
      <w:r w:rsidR="005A1ABC">
        <w:rPr>
          <w:sz w:val="22"/>
          <w:szCs w:val="22"/>
        </w:rPr>
        <w:t xml:space="preserve">more closely </w:t>
      </w:r>
      <w:r w:rsidRPr="00362A6E">
        <w:rPr>
          <w:sz w:val="22"/>
          <w:szCs w:val="22"/>
        </w:rPr>
        <w:t xml:space="preserve">with </w:t>
      </w:r>
      <w:r>
        <w:rPr>
          <w:sz w:val="22"/>
          <w:szCs w:val="22"/>
        </w:rPr>
        <w:t xml:space="preserve">updates made to </w:t>
      </w:r>
      <w:r w:rsidRPr="00362A6E">
        <w:rPr>
          <w:sz w:val="22"/>
          <w:szCs w:val="22"/>
        </w:rPr>
        <w:t xml:space="preserve">the </w:t>
      </w:r>
      <w:r>
        <w:rPr>
          <w:sz w:val="22"/>
          <w:szCs w:val="22"/>
        </w:rPr>
        <w:t>U.S. </w:t>
      </w:r>
      <w:r w:rsidRPr="00362A6E">
        <w:rPr>
          <w:rFonts w:cs="Arial"/>
          <w:sz w:val="22"/>
          <w:szCs w:val="22"/>
        </w:rPr>
        <w:t>Department of Health and Human Services</w:t>
      </w:r>
      <w:r w:rsidR="0052509C">
        <w:rPr>
          <w:rFonts w:cs="Arial"/>
          <w:sz w:val="22"/>
          <w:szCs w:val="22"/>
        </w:rPr>
        <w:t>’</w:t>
      </w:r>
      <w:r w:rsidRPr="00362A6E">
        <w:rPr>
          <w:rFonts w:cs="Arial"/>
          <w:sz w:val="22"/>
          <w:szCs w:val="22"/>
        </w:rPr>
        <w:t xml:space="preserve"> </w:t>
      </w:r>
      <w:r>
        <w:rPr>
          <w:rFonts w:cs="Arial"/>
          <w:sz w:val="22"/>
          <w:szCs w:val="22"/>
        </w:rPr>
        <w:t xml:space="preserve">(HHS) </w:t>
      </w:r>
      <w:r w:rsidR="00646A79">
        <w:rPr>
          <w:rFonts w:cs="Arial"/>
          <w:sz w:val="22"/>
          <w:szCs w:val="22"/>
        </w:rPr>
        <w:t>“</w:t>
      </w:r>
      <w:r w:rsidRPr="00362A6E">
        <w:rPr>
          <w:rFonts w:cs="Arial"/>
          <w:sz w:val="22"/>
          <w:szCs w:val="22"/>
        </w:rPr>
        <w:t>Mandatory Guidelines for Federal Workplace Drug Testing Programs</w:t>
      </w:r>
      <w:r w:rsidR="00646A79">
        <w:rPr>
          <w:rFonts w:cs="Arial"/>
          <w:sz w:val="22"/>
          <w:szCs w:val="22"/>
        </w:rPr>
        <w:t>”</w:t>
      </w:r>
      <w:r>
        <w:rPr>
          <w:rFonts w:cs="Arial"/>
          <w:sz w:val="22"/>
          <w:szCs w:val="22"/>
        </w:rPr>
        <w:t xml:space="preserve"> </w:t>
      </w:r>
      <w:r w:rsidRPr="00362A6E">
        <w:rPr>
          <w:rFonts w:cs="Arial"/>
          <w:sz w:val="22"/>
          <w:szCs w:val="22"/>
        </w:rPr>
        <w:t>(</w:t>
      </w:r>
      <w:r>
        <w:rPr>
          <w:rFonts w:cs="Arial"/>
          <w:sz w:val="22"/>
          <w:szCs w:val="22"/>
        </w:rPr>
        <w:t xml:space="preserve">HHS </w:t>
      </w:r>
      <w:r w:rsidRPr="00362A6E">
        <w:rPr>
          <w:rFonts w:cs="Arial"/>
          <w:sz w:val="22"/>
          <w:szCs w:val="22"/>
        </w:rPr>
        <w:t>Guidelines)</w:t>
      </w:r>
      <w:r>
        <w:rPr>
          <w:rFonts w:cs="Arial"/>
          <w:sz w:val="22"/>
          <w:szCs w:val="22"/>
        </w:rPr>
        <w:t xml:space="preserve">.  The </w:t>
      </w:r>
      <w:r w:rsidR="008861B1">
        <w:rPr>
          <w:rFonts w:cs="Arial"/>
          <w:sz w:val="22"/>
          <w:szCs w:val="22"/>
        </w:rPr>
        <w:t xml:space="preserve">final </w:t>
      </w:r>
      <w:r>
        <w:rPr>
          <w:rFonts w:cs="Arial"/>
          <w:sz w:val="22"/>
          <w:szCs w:val="22"/>
        </w:rPr>
        <w:t>rule enhance</w:t>
      </w:r>
      <w:r w:rsidR="00331B39">
        <w:rPr>
          <w:rFonts w:cs="Arial"/>
          <w:sz w:val="22"/>
          <w:szCs w:val="22"/>
        </w:rPr>
        <w:t>s</w:t>
      </w:r>
      <w:r>
        <w:rPr>
          <w:rFonts w:cs="Arial"/>
          <w:sz w:val="22"/>
          <w:szCs w:val="22"/>
        </w:rPr>
        <w:t xml:space="preserve"> the ability of licensees and other entities to identify additional individuals using </w:t>
      </w:r>
      <w:r w:rsidR="003E4AE5">
        <w:rPr>
          <w:rFonts w:cs="Arial"/>
          <w:sz w:val="22"/>
          <w:szCs w:val="22"/>
        </w:rPr>
        <w:t>illegal drug</w:t>
      </w:r>
      <w:r w:rsidR="009A1D94">
        <w:rPr>
          <w:rFonts w:cs="Arial"/>
          <w:sz w:val="22"/>
          <w:szCs w:val="22"/>
        </w:rPr>
        <w:t>s</w:t>
      </w:r>
      <w:r w:rsidR="003E4AE5">
        <w:rPr>
          <w:rFonts w:cs="Arial"/>
          <w:sz w:val="22"/>
          <w:szCs w:val="22"/>
        </w:rPr>
        <w:t xml:space="preserve"> and misusing legal </w:t>
      </w:r>
      <w:r>
        <w:rPr>
          <w:rFonts w:cs="Arial"/>
          <w:sz w:val="22"/>
          <w:szCs w:val="22"/>
        </w:rPr>
        <w:t>drugs</w:t>
      </w:r>
      <w:r w:rsidR="003E4AE5">
        <w:rPr>
          <w:rFonts w:cs="Arial"/>
          <w:sz w:val="22"/>
          <w:szCs w:val="22"/>
        </w:rPr>
        <w:t xml:space="preserve">.  </w:t>
      </w:r>
      <w:r w:rsidR="009A1D94">
        <w:rPr>
          <w:rFonts w:cs="Arial"/>
          <w:sz w:val="22"/>
          <w:szCs w:val="22"/>
        </w:rPr>
        <w:t>The final rule also</w:t>
      </w:r>
      <w:r>
        <w:rPr>
          <w:rFonts w:cs="Arial"/>
          <w:sz w:val="22"/>
          <w:szCs w:val="22"/>
        </w:rPr>
        <w:t xml:space="preserve"> incorporate</w:t>
      </w:r>
      <w:r w:rsidR="00331B39">
        <w:rPr>
          <w:rFonts w:cs="Arial"/>
          <w:sz w:val="22"/>
          <w:szCs w:val="22"/>
        </w:rPr>
        <w:t>s</w:t>
      </w:r>
      <w:r>
        <w:rPr>
          <w:rFonts w:cs="Arial"/>
          <w:sz w:val="22"/>
          <w:szCs w:val="22"/>
        </w:rPr>
        <w:t xml:space="preserve"> lessons learned from implementation of the 10 CFR Part 26 rule (published in </w:t>
      </w:r>
      <w:r w:rsidR="00AA4ED7">
        <w:rPr>
          <w:rFonts w:cs="Arial"/>
          <w:sz w:val="22"/>
          <w:szCs w:val="22"/>
        </w:rPr>
        <w:t>2008</w:t>
      </w:r>
      <w:r>
        <w:rPr>
          <w:rFonts w:cs="Arial"/>
          <w:sz w:val="22"/>
          <w:szCs w:val="22"/>
        </w:rPr>
        <w:t>) to include enhanced methods in identifying attempts to subvert the drug testing process.</w:t>
      </w:r>
    </w:p>
    <w:p w:rsidR="00D520BD" w:rsidP="00D520BD" w:rsidRDefault="00D520BD" w14:paraId="241024E7" w14:textId="77777777">
      <w:pPr>
        <w:autoSpaceDE/>
        <w:autoSpaceDN/>
        <w:adjustRightInd/>
        <w:rPr>
          <w:sz w:val="22"/>
          <w:szCs w:val="22"/>
        </w:rPr>
      </w:pPr>
    </w:p>
    <w:p w:rsidRPr="005A5966" w:rsidR="00D520BD" w:rsidP="00D520BD" w:rsidRDefault="00D520BD" w14:paraId="1A6479C7" w14:textId="6D6AA14E">
      <w:pPr>
        <w:rPr>
          <w:rFonts w:cs="Arial"/>
          <w:sz w:val="22"/>
          <w:szCs w:val="22"/>
        </w:rPr>
      </w:pPr>
      <w:r>
        <w:rPr>
          <w:rFonts w:cs="Arial"/>
          <w:sz w:val="22"/>
          <w:szCs w:val="22"/>
        </w:rPr>
        <w:t>The requirements of the 10 CFR Part 26 fitness</w:t>
      </w:r>
      <w:r w:rsidR="00971104">
        <w:rPr>
          <w:rFonts w:cs="Arial"/>
          <w:sz w:val="22"/>
          <w:szCs w:val="22"/>
        </w:rPr>
        <w:t xml:space="preserve"> </w:t>
      </w:r>
      <w:r>
        <w:rPr>
          <w:rFonts w:cs="Arial"/>
          <w:sz w:val="22"/>
          <w:szCs w:val="22"/>
        </w:rPr>
        <w:t>for</w:t>
      </w:r>
      <w:r w:rsidR="00971104">
        <w:rPr>
          <w:rFonts w:cs="Arial"/>
          <w:sz w:val="22"/>
          <w:szCs w:val="22"/>
        </w:rPr>
        <w:t xml:space="preserve"> </w:t>
      </w:r>
      <w:r>
        <w:rPr>
          <w:rFonts w:cs="Arial"/>
          <w:sz w:val="22"/>
          <w:szCs w:val="22"/>
        </w:rPr>
        <w:t>duty (</w:t>
      </w:r>
      <w:r w:rsidRPr="005A5966">
        <w:rPr>
          <w:rFonts w:cs="Arial"/>
          <w:sz w:val="22"/>
          <w:szCs w:val="22"/>
        </w:rPr>
        <w:t>FFD</w:t>
      </w:r>
      <w:r>
        <w:rPr>
          <w:rFonts w:cs="Arial"/>
          <w:sz w:val="22"/>
          <w:szCs w:val="22"/>
        </w:rPr>
        <w:t>)</w:t>
      </w:r>
      <w:r w:rsidRPr="005A5966">
        <w:rPr>
          <w:rFonts w:cs="Arial"/>
          <w:sz w:val="22"/>
          <w:szCs w:val="22"/>
        </w:rPr>
        <w:t xml:space="preserve"> program</w:t>
      </w:r>
      <w:r>
        <w:rPr>
          <w:rFonts w:cs="Arial"/>
          <w:sz w:val="22"/>
          <w:szCs w:val="22"/>
        </w:rPr>
        <w:t xml:space="preserve"> focus</w:t>
      </w:r>
      <w:r w:rsidR="00646A79">
        <w:rPr>
          <w:rFonts w:cs="Arial"/>
          <w:sz w:val="22"/>
          <w:szCs w:val="22"/>
        </w:rPr>
        <w:t>,</w:t>
      </w:r>
      <w:r>
        <w:rPr>
          <w:rFonts w:cs="Arial"/>
          <w:sz w:val="22"/>
          <w:szCs w:val="22"/>
        </w:rPr>
        <w:t xml:space="preserve"> in part</w:t>
      </w:r>
      <w:r w:rsidR="00646A79">
        <w:rPr>
          <w:rFonts w:cs="Arial"/>
          <w:sz w:val="22"/>
          <w:szCs w:val="22"/>
        </w:rPr>
        <w:t>,</w:t>
      </w:r>
      <w:r w:rsidRPr="005A5966">
        <w:rPr>
          <w:rFonts w:cs="Arial"/>
          <w:sz w:val="22"/>
          <w:szCs w:val="22"/>
        </w:rPr>
        <w:t xml:space="preserve"> on preventing and detecting impairment among personnel </w:t>
      </w:r>
      <w:r>
        <w:rPr>
          <w:rFonts w:cs="Arial"/>
          <w:sz w:val="22"/>
          <w:szCs w:val="22"/>
        </w:rPr>
        <w:t>subject to an FFD program by providing reasonable assurance that the workplace is free of drugs and the effects of such substances</w:t>
      </w:r>
      <w:r w:rsidRPr="005A5966">
        <w:rPr>
          <w:rFonts w:cs="Arial"/>
          <w:sz w:val="22"/>
          <w:szCs w:val="22"/>
        </w:rPr>
        <w:t>.  These requirements contribute to reasonable assurance that persons who have</w:t>
      </w:r>
      <w:r>
        <w:rPr>
          <w:rFonts w:cs="Arial"/>
          <w:sz w:val="22"/>
          <w:szCs w:val="22"/>
        </w:rPr>
        <w:t xml:space="preserve"> been granted</w:t>
      </w:r>
      <w:r w:rsidRPr="005A5966">
        <w:rPr>
          <w:rFonts w:cs="Arial"/>
          <w:sz w:val="22"/>
          <w:szCs w:val="22"/>
        </w:rPr>
        <w:t xml:space="preserve"> unescorted access to</w:t>
      </w:r>
      <w:r>
        <w:rPr>
          <w:rFonts w:cs="Arial"/>
          <w:sz w:val="22"/>
          <w:szCs w:val="22"/>
        </w:rPr>
        <w:t xml:space="preserve"> the </w:t>
      </w:r>
      <w:r w:rsidRPr="005A5966">
        <w:rPr>
          <w:rFonts w:cs="Arial"/>
          <w:sz w:val="22"/>
          <w:szCs w:val="22"/>
        </w:rPr>
        <w:t>protected areas of NRC</w:t>
      </w:r>
      <w:r>
        <w:rPr>
          <w:rFonts w:cs="Arial"/>
          <w:sz w:val="22"/>
          <w:szCs w:val="22"/>
        </w:rPr>
        <w:noBreakHyphen/>
        <w:t>licensed</w:t>
      </w:r>
      <w:r w:rsidRPr="005A5966">
        <w:rPr>
          <w:rFonts w:cs="Arial"/>
          <w:sz w:val="22"/>
          <w:szCs w:val="22"/>
        </w:rPr>
        <w:t xml:space="preserve"> facilities </w:t>
      </w:r>
      <w:r>
        <w:rPr>
          <w:rFonts w:cs="Arial"/>
          <w:sz w:val="22"/>
          <w:szCs w:val="22"/>
        </w:rPr>
        <w:t>(i.e.</w:t>
      </w:r>
      <w:r w:rsidR="00646A79">
        <w:rPr>
          <w:rFonts w:cs="Arial"/>
          <w:sz w:val="22"/>
          <w:szCs w:val="22"/>
        </w:rPr>
        <w:t>,</w:t>
      </w:r>
      <w:r>
        <w:rPr>
          <w:rFonts w:cs="Arial"/>
          <w:sz w:val="22"/>
          <w:szCs w:val="22"/>
        </w:rPr>
        <w:t> </w:t>
      </w:r>
      <w:r w:rsidRPr="00BF4E0D">
        <w:rPr>
          <w:rFonts w:cs="Arial"/>
          <w:sz w:val="22"/>
          <w:szCs w:val="22"/>
        </w:rPr>
        <w:t>operating nuclear power reactors</w:t>
      </w:r>
      <w:r w:rsidR="00646A79">
        <w:rPr>
          <w:rFonts w:cs="Arial"/>
          <w:sz w:val="22"/>
          <w:szCs w:val="22"/>
        </w:rPr>
        <w:t>,</w:t>
      </w:r>
      <w:r w:rsidRPr="00BF4E0D">
        <w:rPr>
          <w:rFonts w:cs="Arial"/>
          <w:sz w:val="22"/>
          <w:szCs w:val="22"/>
        </w:rPr>
        <w:t xml:space="preserve"> nuclear power reactors under construction</w:t>
      </w:r>
      <w:r w:rsidR="00646A79">
        <w:rPr>
          <w:rFonts w:cs="Arial"/>
          <w:sz w:val="22"/>
          <w:szCs w:val="22"/>
        </w:rPr>
        <w:t>,</w:t>
      </w:r>
      <w:r>
        <w:rPr>
          <w:rFonts w:cs="Arial"/>
          <w:sz w:val="22"/>
          <w:szCs w:val="22"/>
        </w:rPr>
        <w:t xml:space="preserve"> and</w:t>
      </w:r>
      <w:r w:rsidRPr="00BF4E0D">
        <w:rPr>
          <w:rFonts w:cs="Arial"/>
          <w:sz w:val="22"/>
          <w:szCs w:val="22"/>
        </w:rPr>
        <w:t xml:space="preserve"> Ca</w:t>
      </w:r>
      <w:r>
        <w:rPr>
          <w:rFonts w:cs="Arial"/>
          <w:sz w:val="22"/>
          <w:szCs w:val="22"/>
        </w:rPr>
        <w:t xml:space="preserve">tegory I </w:t>
      </w:r>
      <w:r w:rsidR="0088161E">
        <w:rPr>
          <w:rFonts w:cs="Arial"/>
          <w:sz w:val="22"/>
          <w:szCs w:val="22"/>
        </w:rPr>
        <w:t>special nuclear material licensee</w:t>
      </w:r>
      <w:r w:rsidR="00555E0C">
        <w:rPr>
          <w:rFonts w:cs="Arial"/>
          <w:sz w:val="22"/>
          <w:szCs w:val="22"/>
        </w:rPr>
        <w:t xml:space="preserve"> facilitie</w:t>
      </w:r>
      <w:r w:rsidR="0088161E">
        <w:rPr>
          <w:rFonts w:cs="Arial"/>
          <w:sz w:val="22"/>
          <w:szCs w:val="22"/>
        </w:rPr>
        <w:t>s</w:t>
      </w:r>
      <w:r>
        <w:rPr>
          <w:rFonts w:cs="Arial"/>
          <w:sz w:val="22"/>
          <w:szCs w:val="22"/>
        </w:rPr>
        <w:t>)</w:t>
      </w:r>
      <w:r w:rsidR="00646A79">
        <w:rPr>
          <w:rFonts w:cs="Arial"/>
          <w:sz w:val="22"/>
          <w:szCs w:val="22"/>
        </w:rPr>
        <w:t>,</w:t>
      </w:r>
      <w:r w:rsidRPr="00BF4E0D">
        <w:rPr>
          <w:rFonts w:cs="Arial"/>
          <w:sz w:val="22"/>
          <w:szCs w:val="22"/>
        </w:rPr>
        <w:t xml:space="preserve"> </w:t>
      </w:r>
      <w:r>
        <w:rPr>
          <w:rFonts w:cs="Arial"/>
          <w:sz w:val="22"/>
          <w:szCs w:val="22"/>
        </w:rPr>
        <w:t>who are required by a</w:t>
      </w:r>
      <w:r w:rsidRPr="00BF4E0D">
        <w:rPr>
          <w:rFonts w:cs="Arial"/>
          <w:sz w:val="22"/>
          <w:szCs w:val="22"/>
        </w:rPr>
        <w:t xml:space="preserve"> </w:t>
      </w:r>
      <w:r>
        <w:rPr>
          <w:rFonts w:cs="Arial"/>
          <w:sz w:val="22"/>
          <w:szCs w:val="22"/>
        </w:rPr>
        <w:t xml:space="preserve">licensee to physically report to other </w:t>
      </w:r>
      <w:r w:rsidRPr="00BF4E0D">
        <w:rPr>
          <w:rFonts w:cs="Arial"/>
          <w:sz w:val="22"/>
          <w:szCs w:val="22"/>
        </w:rPr>
        <w:t>locations (e.g.</w:t>
      </w:r>
      <w:r w:rsidR="00646A79">
        <w:rPr>
          <w:rFonts w:cs="Arial"/>
          <w:sz w:val="22"/>
          <w:szCs w:val="22"/>
        </w:rPr>
        <w:t>,</w:t>
      </w:r>
      <w:r>
        <w:rPr>
          <w:rFonts w:cs="Arial"/>
          <w:sz w:val="22"/>
          <w:szCs w:val="22"/>
        </w:rPr>
        <w:t> E</w:t>
      </w:r>
      <w:r>
        <w:rPr>
          <w:sz w:val="22"/>
          <w:szCs w:val="22"/>
        </w:rPr>
        <w:t>mergency Operations Facilities</w:t>
      </w:r>
      <w:r w:rsidR="00646A79">
        <w:rPr>
          <w:sz w:val="22"/>
          <w:szCs w:val="22"/>
        </w:rPr>
        <w:t>,</w:t>
      </w:r>
      <w:r>
        <w:rPr>
          <w:sz w:val="22"/>
          <w:szCs w:val="22"/>
        </w:rPr>
        <w:t xml:space="preserve"> Technical Support Centers</w:t>
      </w:r>
      <w:r w:rsidRPr="00BF4E0D">
        <w:rPr>
          <w:rFonts w:cs="Arial"/>
          <w:sz w:val="22"/>
          <w:szCs w:val="22"/>
        </w:rPr>
        <w:t>)</w:t>
      </w:r>
      <w:r w:rsidR="00646A79">
        <w:rPr>
          <w:rFonts w:cs="Arial"/>
          <w:sz w:val="22"/>
          <w:szCs w:val="22"/>
        </w:rPr>
        <w:t>,</w:t>
      </w:r>
      <w:r w:rsidRPr="00BF4E0D">
        <w:rPr>
          <w:rFonts w:cs="Arial"/>
          <w:sz w:val="22"/>
          <w:szCs w:val="22"/>
        </w:rPr>
        <w:t xml:space="preserve"> </w:t>
      </w:r>
      <w:r>
        <w:rPr>
          <w:rFonts w:cs="Arial"/>
          <w:sz w:val="22"/>
          <w:szCs w:val="22"/>
        </w:rPr>
        <w:t>or who have access to strategic special nuclear material or sensitive information</w:t>
      </w:r>
      <w:r w:rsidRPr="005A5966">
        <w:rPr>
          <w:rFonts w:cs="Arial"/>
          <w:sz w:val="22"/>
          <w:szCs w:val="22"/>
        </w:rPr>
        <w:t xml:space="preserve"> are trustworthy and reliable and can safely and competently perform </w:t>
      </w:r>
      <w:r>
        <w:rPr>
          <w:rFonts w:cs="Arial"/>
          <w:sz w:val="22"/>
          <w:szCs w:val="22"/>
        </w:rPr>
        <w:t xml:space="preserve">their </w:t>
      </w:r>
      <w:r w:rsidRPr="005A5966">
        <w:rPr>
          <w:rFonts w:cs="Arial"/>
          <w:sz w:val="22"/>
          <w:szCs w:val="22"/>
        </w:rPr>
        <w:t>assigned duties.</w:t>
      </w:r>
      <w:r w:rsidRPr="00BC7D93">
        <w:rPr>
          <w:rFonts w:cs="Arial"/>
          <w:sz w:val="22"/>
          <w:szCs w:val="22"/>
        </w:rPr>
        <w:t xml:space="preserve"> </w:t>
      </w:r>
      <w:r>
        <w:rPr>
          <w:rFonts w:cs="Arial"/>
          <w:sz w:val="22"/>
          <w:szCs w:val="22"/>
        </w:rPr>
        <w:t xml:space="preserve"> These regulations also </w:t>
      </w:r>
      <w:r w:rsidRPr="005A5966">
        <w:rPr>
          <w:rFonts w:cs="Arial"/>
          <w:sz w:val="22"/>
          <w:szCs w:val="22"/>
        </w:rPr>
        <w:t>establish due process to protect individual rights</w:t>
      </w:r>
      <w:r>
        <w:rPr>
          <w:rFonts w:cs="Arial"/>
          <w:sz w:val="22"/>
          <w:szCs w:val="22"/>
        </w:rPr>
        <w:t>.</w:t>
      </w:r>
    </w:p>
    <w:p w:rsidR="00D520BD" w:rsidP="00D520BD" w:rsidRDefault="00D520BD" w14:paraId="1BA08230" w14:textId="77777777">
      <w:pPr>
        <w:autoSpaceDE/>
        <w:autoSpaceDN/>
        <w:adjustRightInd/>
        <w:rPr>
          <w:rFonts w:cs="Arial"/>
          <w:sz w:val="22"/>
          <w:szCs w:val="22"/>
        </w:rPr>
      </w:pPr>
    </w:p>
    <w:p w:rsidR="00D520BD" w:rsidP="00D520BD" w:rsidRDefault="00D520BD" w14:paraId="77AF3C6F" w14:textId="20F5F932">
      <w:pPr>
        <w:rPr>
          <w:sz w:val="22"/>
          <w:szCs w:val="22"/>
        </w:rPr>
      </w:pPr>
      <w:r>
        <w:rPr>
          <w:sz w:val="22"/>
          <w:szCs w:val="22"/>
        </w:rPr>
        <w:t>The effectiveness of a d</w:t>
      </w:r>
      <w:r w:rsidRPr="00074E18">
        <w:rPr>
          <w:sz w:val="22"/>
          <w:szCs w:val="22"/>
        </w:rPr>
        <w:t xml:space="preserve">rug testing program may </w:t>
      </w:r>
      <w:r>
        <w:rPr>
          <w:sz w:val="22"/>
          <w:szCs w:val="22"/>
        </w:rPr>
        <w:t xml:space="preserve">weaken </w:t>
      </w:r>
      <w:r w:rsidRPr="00074E18">
        <w:rPr>
          <w:sz w:val="22"/>
          <w:szCs w:val="22"/>
        </w:rPr>
        <w:t>over time if</w:t>
      </w:r>
      <w:r>
        <w:rPr>
          <w:sz w:val="22"/>
          <w:szCs w:val="22"/>
        </w:rPr>
        <w:t xml:space="preserve"> individuals in the workplace (1) use</w:t>
      </w:r>
      <w:r w:rsidRPr="00074E18">
        <w:rPr>
          <w:sz w:val="22"/>
          <w:szCs w:val="22"/>
        </w:rPr>
        <w:t xml:space="preserve"> impairing substances not </w:t>
      </w:r>
      <w:r>
        <w:rPr>
          <w:sz w:val="22"/>
          <w:szCs w:val="22"/>
        </w:rPr>
        <w:t xml:space="preserve">included </w:t>
      </w:r>
      <w:r w:rsidRPr="00074E18">
        <w:rPr>
          <w:sz w:val="22"/>
          <w:szCs w:val="22"/>
        </w:rPr>
        <w:t xml:space="preserve">in the testing panel </w:t>
      </w:r>
      <w:r>
        <w:rPr>
          <w:sz w:val="22"/>
          <w:szCs w:val="22"/>
        </w:rPr>
        <w:t xml:space="preserve">or (2) use </w:t>
      </w:r>
      <w:r w:rsidRPr="00074E18">
        <w:rPr>
          <w:sz w:val="22"/>
          <w:szCs w:val="22"/>
        </w:rPr>
        <w:t>products and techniques to successfully subvert the drug testing process</w:t>
      </w:r>
      <w:r>
        <w:rPr>
          <w:sz w:val="22"/>
          <w:szCs w:val="22"/>
        </w:rPr>
        <w:t xml:space="preserve">.  Program effectiveness may also weaken </w:t>
      </w:r>
      <w:r w:rsidRPr="00074E18">
        <w:rPr>
          <w:sz w:val="22"/>
          <w:szCs w:val="22"/>
        </w:rPr>
        <w:t xml:space="preserve">if </w:t>
      </w:r>
      <w:r>
        <w:rPr>
          <w:sz w:val="22"/>
          <w:szCs w:val="22"/>
        </w:rPr>
        <w:t xml:space="preserve">the program does not incorporate </w:t>
      </w:r>
      <w:r w:rsidRPr="00074E18">
        <w:rPr>
          <w:sz w:val="22"/>
          <w:szCs w:val="22"/>
        </w:rPr>
        <w:t xml:space="preserve">technological advancements that enhance </w:t>
      </w:r>
      <w:r>
        <w:rPr>
          <w:sz w:val="22"/>
          <w:szCs w:val="22"/>
        </w:rPr>
        <w:t>the sensitivity of drug testing</w:t>
      </w:r>
      <w:r w:rsidRPr="00074E18">
        <w:rPr>
          <w:sz w:val="22"/>
          <w:szCs w:val="22"/>
        </w:rPr>
        <w:t xml:space="preserve">.  </w:t>
      </w:r>
      <w:r w:rsidR="00460913">
        <w:rPr>
          <w:sz w:val="22"/>
          <w:szCs w:val="22"/>
        </w:rPr>
        <w:t xml:space="preserve">The </w:t>
      </w:r>
      <w:r w:rsidRPr="005A5966">
        <w:rPr>
          <w:rFonts w:cs="Arial"/>
          <w:sz w:val="22"/>
          <w:szCs w:val="22"/>
        </w:rPr>
        <w:t xml:space="preserve">HHS is designated as the Federal agency responsible for </w:t>
      </w:r>
      <w:r>
        <w:rPr>
          <w:rFonts w:cs="Arial"/>
          <w:sz w:val="22"/>
          <w:szCs w:val="22"/>
        </w:rPr>
        <w:t xml:space="preserve">developing the scientific and technical guidelines for </w:t>
      </w:r>
      <w:r w:rsidRPr="005A5966">
        <w:rPr>
          <w:rFonts w:cs="Arial"/>
          <w:sz w:val="22"/>
          <w:szCs w:val="22"/>
        </w:rPr>
        <w:t xml:space="preserve">Federal </w:t>
      </w:r>
      <w:r>
        <w:rPr>
          <w:rFonts w:cs="Arial"/>
          <w:sz w:val="22"/>
          <w:szCs w:val="22"/>
        </w:rPr>
        <w:t xml:space="preserve">employee </w:t>
      </w:r>
      <w:r w:rsidRPr="005A5966">
        <w:rPr>
          <w:rFonts w:cs="Arial"/>
          <w:sz w:val="22"/>
          <w:szCs w:val="22"/>
        </w:rPr>
        <w:t xml:space="preserve">workplace drug testing </w:t>
      </w:r>
      <w:r>
        <w:rPr>
          <w:rFonts w:cs="Arial"/>
          <w:sz w:val="22"/>
          <w:szCs w:val="22"/>
        </w:rPr>
        <w:t>programs</w:t>
      </w:r>
      <w:r w:rsidRPr="005A5966">
        <w:rPr>
          <w:rFonts w:cs="Arial"/>
          <w:sz w:val="22"/>
          <w:szCs w:val="22"/>
        </w:rPr>
        <w:t xml:space="preserve">.  </w:t>
      </w:r>
      <w:r w:rsidR="00460913">
        <w:rPr>
          <w:rFonts w:cs="Arial"/>
          <w:sz w:val="22"/>
          <w:szCs w:val="22"/>
        </w:rPr>
        <w:t xml:space="preserve">The </w:t>
      </w:r>
      <w:r w:rsidRPr="005A5966">
        <w:rPr>
          <w:rFonts w:cs="Arial"/>
          <w:sz w:val="22"/>
          <w:szCs w:val="22"/>
        </w:rPr>
        <w:t xml:space="preserve">HHS is responsible for maintaining </w:t>
      </w:r>
      <w:r>
        <w:rPr>
          <w:rFonts w:cs="Arial"/>
          <w:sz w:val="22"/>
          <w:szCs w:val="22"/>
        </w:rPr>
        <w:t>its g</w:t>
      </w:r>
      <w:r w:rsidRPr="009C746D">
        <w:rPr>
          <w:sz w:val="22"/>
          <w:szCs w:val="22"/>
        </w:rPr>
        <w:t xml:space="preserve">uidelines </w:t>
      </w:r>
      <w:r w:rsidRPr="005A5966">
        <w:rPr>
          <w:rFonts w:cs="Arial"/>
          <w:sz w:val="22"/>
          <w:szCs w:val="22"/>
        </w:rPr>
        <w:t xml:space="preserve">based on the most recent research and lessons learned </w:t>
      </w:r>
      <w:r w:rsidRPr="004373A0">
        <w:rPr>
          <w:rFonts w:cs="Arial"/>
          <w:sz w:val="22"/>
          <w:szCs w:val="22"/>
        </w:rPr>
        <w:t xml:space="preserve">from Federal employee </w:t>
      </w:r>
      <w:r>
        <w:rPr>
          <w:rFonts w:cs="Arial"/>
          <w:sz w:val="22"/>
          <w:szCs w:val="22"/>
        </w:rPr>
        <w:t xml:space="preserve">workplace </w:t>
      </w:r>
      <w:r w:rsidRPr="004373A0">
        <w:rPr>
          <w:rFonts w:cs="Arial"/>
          <w:sz w:val="22"/>
          <w:szCs w:val="22"/>
        </w:rPr>
        <w:t>and Federal agency drug testing programs.</w:t>
      </w:r>
      <w:r w:rsidRPr="005A5966">
        <w:rPr>
          <w:rFonts w:cs="Arial"/>
          <w:sz w:val="22"/>
          <w:szCs w:val="22"/>
        </w:rPr>
        <w:t xml:space="preserve">  </w:t>
      </w:r>
      <w:r>
        <w:rPr>
          <w:sz w:val="22"/>
          <w:szCs w:val="22"/>
        </w:rPr>
        <w:t xml:space="preserve">The </w:t>
      </w:r>
      <w:r w:rsidR="00E86E86">
        <w:rPr>
          <w:sz w:val="22"/>
          <w:szCs w:val="22"/>
        </w:rPr>
        <w:t>2017</w:t>
      </w:r>
      <w:r>
        <w:rPr>
          <w:sz w:val="22"/>
          <w:szCs w:val="22"/>
        </w:rPr>
        <w:t xml:space="preserve"> HHS Guidelines are a national drug testing standard used by </w:t>
      </w:r>
      <w:r w:rsidRPr="00C70D0D">
        <w:rPr>
          <w:sz w:val="22"/>
          <w:szCs w:val="22"/>
        </w:rPr>
        <w:t xml:space="preserve">all </w:t>
      </w:r>
      <w:r w:rsidRPr="0086326D">
        <w:rPr>
          <w:sz w:val="22"/>
          <w:szCs w:val="22"/>
        </w:rPr>
        <w:t xml:space="preserve">Federal employee workplace drug testing programs </w:t>
      </w:r>
      <w:r>
        <w:rPr>
          <w:sz w:val="22"/>
          <w:szCs w:val="22"/>
        </w:rPr>
        <w:t xml:space="preserve">(more than 100 Federal agencies) </w:t>
      </w:r>
      <w:r w:rsidRPr="0086326D">
        <w:rPr>
          <w:sz w:val="22"/>
          <w:szCs w:val="22"/>
        </w:rPr>
        <w:t>and comparable Feder</w:t>
      </w:r>
      <w:r w:rsidRPr="00E040FF">
        <w:rPr>
          <w:sz w:val="22"/>
          <w:szCs w:val="22"/>
        </w:rPr>
        <w:t>al agency drug testing programs that test civilians in safety- and security</w:t>
      </w:r>
      <w:r w:rsidR="00D71BB1">
        <w:rPr>
          <w:sz w:val="22"/>
          <w:szCs w:val="22"/>
        </w:rPr>
        <w:noBreakHyphen/>
      </w:r>
      <w:r w:rsidRPr="00E040FF">
        <w:rPr>
          <w:sz w:val="22"/>
          <w:szCs w:val="22"/>
        </w:rPr>
        <w:t xml:space="preserve">sensitive positions.  The drug testing provisions in 10 CFR Part 26 should align with the national drug testing standard </w:t>
      </w:r>
      <w:r>
        <w:rPr>
          <w:sz w:val="22"/>
          <w:szCs w:val="22"/>
        </w:rPr>
        <w:t>(i.e.</w:t>
      </w:r>
      <w:r w:rsidR="00646A79">
        <w:rPr>
          <w:sz w:val="22"/>
          <w:szCs w:val="22"/>
        </w:rPr>
        <w:t>,</w:t>
      </w:r>
      <w:r>
        <w:rPr>
          <w:sz w:val="22"/>
          <w:szCs w:val="22"/>
        </w:rPr>
        <w:t> </w:t>
      </w:r>
      <w:r w:rsidRPr="00E040FF">
        <w:rPr>
          <w:sz w:val="22"/>
          <w:szCs w:val="22"/>
        </w:rPr>
        <w:t>the HHS Guidelines</w:t>
      </w:r>
      <w:r>
        <w:rPr>
          <w:sz w:val="22"/>
          <w:szCs w:val="22"/>
        </w:rPr>
        <w:t>)</w:t>
      </w:r>
      <w:r w:rsidRPr="00E040FF">
        <w:rPr>
          <w:sz w:val="22"/>
          <w:szCs w:val="22"/>
        </w:rPr>
        <w:t xml:space="preserve"> to maintain reasonable assurance of a drug</w:t>
      </w:r>
      <w:r w:rsidR="00D71BB1">
        <w:rPr>
          <w:sz w:val="22"/>
          <w:szCs w:val="22"/>
        </w:rPr>
        <w:noBreakHyphen/>
      </w:r>
      <w:r w:rsidRPr="00E040FF">
        <w:rPr>
          <w:sz w:val="22"/>
          <w:szCs w:val="22"/>
        </w:rPr>
        <w:t>free workplace.</w:t>
      </w:r>
    </w:p>
    <w:p w:rsidR="00D520BD" w:rsidP="00D520BD" w:rsidRDefault="00D520BD" w14:paraId="18AE55BA" w14:textId="77777777">
      <w:pPr>
        <w:autoSpaceDE/>
        <w:autoSpaceDN/>
        <w:adjustRightInd/>
        <w:rPr>
          <w:rFonts w:cs="Arial"/>
          <w:sz w:val="22"/>
          <w:szCs w:val="22"/>
        </w:rPr>
      </w:pPr>
    </w:p>
    <w:p w:rsidR="00D520BD" w:rsidP="00D520BD" w:rsidRDefault="00D520BD" w14:paraId="731B8D85" w14:textId="39BAD9BD">
      <w:pPr>
        <w:rPr>
          <w:sz w:val="22"/>
          <w:szCs w:val="22"/>
        </w:rPr>
      </w:pPr>
      <w:r w:rsidRPr="00074E18">
        <w:rPr>
          <w:sz w:val="22"/>
          <w:szCs w:val="22"/>
        </w:rPr>
        <w:t>The</w:t>
      </w:r>
      <w:r>
        <w:rPr>
          <w:sz w:val="22"/>
          <w:szCs w:val="22"/>
        </w:rPr>
        <w:t xml:space="preserve"> </w:t>
      </w:r>
      <w:r w:rsidR="008861B1">
        <w:rPr>
          <w:sz w:val="22"/>
          <w:szCs w:val="22"/>
        </w:rPr>
        <w:t xml:space="preserve">final </w:t>
      </w:r>
      <w:r>
        <w:rPr>
          <w:sz w:val="22"/>
          <w:szCs w:val="22"/>
        </w:rPr>
        <w:t>rule maintain</w:t>
      </w:r>
      <w:r w:rsidR="00331B39">
        <w:rPr>
          <w:sz w:val="22"/>
          <w:szCs w:val="22"/>
        </w:rPr>
        <w:t>s</w:t>
      </w:r>
      <w:r>
        <w:rPr>
          <w:sz w:val="22"/>
          <w:szCs w:val="22"/>
        </w:rPr>
        <w:t xml:space="preserve"> the </w:t>
      </w:r>
      <w:r w:rsidR="007B4E46">
        <w:rPr>
          <w:sz w:val="22"/>
          <w:szCs w:val="22"/>
        </w:rPr>
        <w:t xml:space="preserve">FFD program </w:t>
      </w:r>
      <w:r>
        <w:rPr>
          <w:sz w:val="22"/>
          <w:szCs w:val="22"/>
        </w:rPr>
        <w:t>performance objective</w:t>
      </w:r>
      <w:r w:rsidR="00F12BD5">
        <w:rPr>
          <w:sz w:val="22"/>
          <w:szCs w:val="22"/>
        </w:rPr>
        <w:t>s</w:t>
      </w:r>
      <w:r>
        <w:rPr>
          <w:sz w:val="22"/>
          <w:szCs w:val="22"/>
        </w:rPr>
        <w:t xml:space="preserve"> in 10 CFR 26.23(</w:t>
      </w:r>
      <w:r w:rsidR="00F12BD5">
        <w:rPr>
          <w:sz w:val="22"/>
          <w:szCs w:val="22"/>
        </w:rPr>
        <w:t>c)</w:t>
      </w:r>
      <w:r w:rsidR="00412AB8">
        <w:rPr>
          <w:sz w:val="22"/>
          <w:szCs w:val="22"/>
        </w:rPr>
        <w:t>,</w:t>
      </w:r>
      <w:r w:rsidR="00F12BD5">
        <w:rPr>
          <w:sz w:val="22"/>
          <w:szCs w:val="22"/>
        </w:rPr>
        <w:t xml:space="preserve"> to “provide reasonable measures for the early detection of individuals who are not fit to perform the duties</w:t>
      </w:r>
      <w:r>
        <w:rPr>
          <w:sz w:val="22"/>
          <w:szCs w:val="22"/>
        </w:rPr>
        <w:t xml:space="preserve"> that </w:t>
      </w:r>
      <w:r w:rsidR="00F12BD5">
        <w:rPr>
          <w:sz w:val="22"/>
          <w:szCs w:val="22"/>
        </w:rPr>
        <w:t>require them to be subject to the FFD program</w:t>
      </w:r>
      <w:r w:rsidR="00CF1946">
        <w:rPr>
          <w:sz w:val="22"/>
          <w:szCs w:val="22"/>
        </w:rPr>
        <w:t>,</w:t>
      </w:r>
      <w:r w:rsidR="00F12BD5">
        <w:rPr>
          <w:sz w:val="22"/>
          <w:szCs w:val="22"/>
        </w:rPr>
        <w:t>”</w:t>
      </w:r>
      <w:r w:rsidR="00774B1B">
        <w:rPr>
          <w:sz w:val="22"/>
          <w:szCs w:val="22"/>
        </w:rPr>
        <w:t xml:space="preserve"> and</w:t>
      </w:r>
      <w:r>
        <w:rPr>
          <w:sz w:val="22"/>
          <w:szCs w:val="22"/>
        </w:rPr>
        <w:t xml:space="preserve"> </w:t>
      </w:r>
      <w:r w:rsidR="00412AB8">
        <w:rPr>
          <w:sz w:val="22"/>
          <w:szCs w:val="22"/>
        </w:rPr>
        <w:t xml:space="preserve">in </w:t>
      </w:r>
      <w:r w:rsidR="00CF1946">
        <w:rPr>
          <w:sz w:val="22"/>
          <w:szCs w:val="22"/>
        </w:rPr>
        <w:t>1</w:t>
      </w:r>
      <w:r>
        <w:rPr>
          <w:sz w:val="22"/>
          <w:szCs w:val="22"/>
        </w:rPr>
        <w:t>0 CFR 26.23(d)</w:t>
      </w:r>
      <w:r w:rsidR="00CF1946">
        <w:rPr>
          <w:sz w:val="22"/>
          <w:szCs w:val="22"/>
        </w:rPr>
        <w:t>,</w:t>
      </w:r>
      <w:r>
        <w:rPr>
          <w:sz w:val="22"/>
          <w:szCs w:val="22"/>
        </w:rPr>
        <w:t xml:space="preserve"> to </w:t>
      </w:r>
      <w:r w:rsidR="00646A79">
        <w:rPr>
          <w:sz w:val="22"/>
          <w:szCs w:val="22"/>
        </w:rPr>
        <w:t>“</w:t>
      </w:r>
      <w:r w:rsidRPr="007C30A0">
        <w:rPr>
          <w:sz w:val="22"/>
          <w:szCs w:val="22"/>
        </w:rPr>
        <w:t>provide reasonable assurance that the workplaces subject to this part are free from the presence and effects of illegal drugs</w:t>
      </w:r>
      <w:r>
        <w:rPr>
          <w:sz w:val="22"/>
          <w:szCs w:val="22"/>
        </w:rPr>
        <w:t>.</w:t>
      </w:r>
      <w:r w:rsidR="00646A79">
        <w:rPr>
          <w:sz w:val="22"/>
          <w:szCs w:val="22"/>
        </w:rPr>
        <w:t>”</w:t>
      </w:r>
      <w:r>
        <w:rPr>
          <w:sz w:val="22"/>
          <w:szCs w:val="22"/>
        </w:rPr>
        <w:t xml:space="preserve">  </w:t>
      </w:r>
      <w:r>
        <w:rPr>
          <w:rFonts w:cs="Arial" w:eastAsiaTheme="minorHAnsi"/>
          <w:sz w:val="22"/>
          <w:szCs w:val="22"/>
        </w:rPr>
        <w:t xml:space="preserve">The </w:t>
      </w:r>
      <w:r w:rsidRPr="0014460C">
        <w:rPr>
          <w:rFonts w:cs="Arial" w:eastAsiaTheme="minorHAnsi"/>
          <w:sz w:val="22"/>
          <w:szCs w:val="22"/>
        </w:rPr>
        <w:t xml:space="preserve">NRC staff </w:t>
      </w:r>
      <w:r w:rsidR="000D786B">
        <w:rPr>
          <w:rFonts w:cs="Arial" w:eastAsiaTheme="minorHAnsi"/>
          <w:sz w:val="22"/>
          <w:szCs w:val="22"/>
        </w:rPr>
        <w:t xml:space="preserve">expects </w:t>
      </w:r>
      <w:r w:rsidRPr="0014460C">
        <w:rPr>
          <w:rFonts w:cs="Arial" w:eastAsiaTheme="minorHAnsi"/>
          <w:sz w:val="22"/>
          <w:szCs w:val="22"/>
        </w:rPr>
        <w:t>that the</w:t>
      </w:r>
      <w:r>
        <w:rPr>
          <w:rFonts w:cs="Arial" w:eastAsiaTheme="minorHAnsi"/>
          <w:sz w:val="22"/>
          <w:szCs w:val="22"/>
        </w:rPr>
        <w:t xml:space="preserve"> lower testing cutoff levels</w:t>
      </w:r>
      <w:r w:rsidR="00646A79">
        <w:rPr>
          <w:rFonts w:cs="Arial" w:eastAsiaTheme="minorHAnsi"/>
          <w:sz w:val="22"/>
          <w:szCs w:val="22"/>
        </w:rPr>
        <w:t>,</w:t>
      </w:r>
      <w:r>
        <w:rPr>
          <w:rFonts w:cs="Arial" w:eastAsiaTheme="minorHAnsi"/>
          <w:sz w:val="22"/>
          <w:szCs w:val="22"/>
        </w:rPr>
        <w:t xml:space="preserve"> expanded drug testing panel</w:t>
      </w:r>
      <w:r w:rsidR="00646A79">
        <w:rPr>
          <w:rFonts w:cs="Arial" w:eastAsiaTheme="minorHAnsi"/>
          <w:sz w:val="22"/>
          <w:szCs w:val="22"/>
        </w:rPr>
        <w:t>,</w:t>
      </w:r>
      <w:r>
        <w:rPr>
          <w:rFonts w:cs="Arial" w:eastAsiaTheme="minorHAnsi"/>
          <w:sz w:val="22"/>
          <w:szCs w:val="22"/>
        </w:rPr>
        <w:t xml:space="preserve"> and enhanced subversion detection methods</w:t>
      </w:r>
      <w:r w:rsidRPr="0014460C">
        <w:rPr>
          <w:rFonts w:cs="Arial" w:eastAsiaTheme="minorHAnsi"/>
          <w:sz w:val="22"/>
          <w:szCs w:val="22"/>
        </w:rPr>
        <w:t xml:space="preserve"> </w:t>
      </w:r>
      <w:r>
        <w:rPr>
          <w:rFonts w:cs="Arial" w:eastAsiaTheme="minorHAnsi"/>
          <w:sz w:val="22"/>
          <w:szCs w:val="22"/>
        </w:rPr>
        <w:t xml:space="preserve">in the </w:t>
      </w:r>
      <w:r w:rsidR="00C82438">
        <w:rPr>
          <w:rFonts w:cs="Arial" w:eastAsiaTheme="minorHAnsi"/>
          <w:sz w:val="22"/>
          <w:szCs w:val="22"/>
        </w:rPr>
        <w:t>final</w:t>
      </w:r>
      <w:r>
        <w:rPr>
          <w:rFonts w:cs="Arial" w:eastAsiaTheme="minorHAnsi"/>
          <w:sz w:val="22"/>
          <w:szCs w:val="22"/>
        </w:rPr>
        <w:t xml:space="preserve"> rule </w:t>
      </w:r>
      <w:r w:rsidR="009C1734">
        <w:rPr>
          <w:rFonts w:cs="Arial" w:eastAsiaTheme="minorHAnsi"/>
          <w:sz w:val="22"/>
          <w:szCs w:val="22"/>
        </w:rPr>
        <w:t xml:space="preserve">will </w:t>
      </w:r>
      <w:r>
        <w:rPr>
          <w:rFonts w:cs="Arial" w:eastAsiaTheme="minorHAnsi"/>
          <w:sz w:val="22"/>
          <w:szCs w:val="22"/>
        </w:rPr>
        <w:t>result in the detection of</w:t>
      </w:r>
      <w:r w:rsidRPr="0014460C">
        <w:rPr>
          <w:rFonts w:cs="Arial" w:eastAsiaTheme="minorHAnsi"/>
          <w:sz w:val="22"/>
          <w:szCs w:val="22"/>
        </w:rPr>
        <w:t xml:space="preserve"> </w:t>
      </w:r>
      <w:r>
        <w:rPr>
          <w:rFonts w:cs="Arial" w:eastAsiaTheme="minorHAnsi"/>
          <w:sz w:val="22"/>
          <w:szCs w:val="22"/>
        </w:rPr>
        <w:t>additional individuals (</w:t>
      </w:r>
      <w:r w:rsidRPr="00FE3AD1">
        <w:rPr>
          <w:rFonts w:cs="Arial" w:eastAsiaTheme="minorHAnsi"/>
          <w:sz w:val="22"/>
          <w:szCs w:val="22"/>
        </w:rPr>
        <w:t>potential employees and employees of licensees</w:t>
      </w:r>
      <w:r>
        <w:rPr>
          <w:rFonts w:cs="Arial" w:eastAsiaTheme="minorHAnsi"/>
          <w:sz w:val="22"/>
          <w:szCs w:val="22"/>
        </w:rPr>
        <w:t xml:space="preserve">) using </w:t>
      </w:r>
      <w:r w:rsidRPr="00FE3AD1">
        <w:rPr>
          <w:rFonts w:cs="Arial" w:eastAsiaTheme="minorHAnsi"/>
          <w:sz w:val="22"/>
          <w:szCs w:val="22"/>
        </w:rPr>
        <w:t>illegal drug</w:t>
      </w:r>
      <w:r>
        <w:rPr>
          <w:rFonts w:cs="Arial" w:eastAsiaTheme="minorHAnsi"/>
          <w:sz w:val="22"/>
          <w:szCs w:val="22"/>
        </w:rPr>
        <w:t>s</w:t>
      </w:r>
      <w:r w:rsidR="00646A79">
        <w:rPr>
          <w:rFonts w:cs="Arial" w:eastAsiaTheme="minorHAnsi"/>
          <w:sz w:val="22"/>
          <w:szCs w:val="22"/>
        </w:rPr>
        <w:t>,</w:t>
      </w:r>
      <w:r>
        <w:rPr>
          <w:rFonts w:cs="Arial" w:eastAsiaTheme="minorHAnsi"/>
          <w:sz w:val="22"/>
          <w:szCs w:val="22"/>
        </w:rPr>
        <w:t xml:space="preserve"> misusing </w:t>
      </w:r>
      <w:r w:rsidRPr="00FE3AD1">
        <w:rPr>
          <w:rFonts w:cs="Arial" w:eastAsiaTheme="minorHAnsi"/>
          <w:sz w:val="22"/>
          <w:szCs w:val="22"/>
        </w:rPr>
        <w:t>legal drug</w:t>
      </w:r>
      <w:r>
        <w:rPr>
          <w:rFonts w:cs="Arial" w:eastAsiaTheme="minorHAnsi"/>
          <w:sz w:val="22"/>
          <w:szCs w:val="22"/>
        </w:rPr>
        <w:t>s</w:t>
      </w:r>
      <w:r w:rsidR="00646A79">
        <w:rPr>
          <w:rFonts w:cs="Arial" w:eastAsiaTheme="minorHAnsi"/>
          <w:sz w:val="22"/>
          <w:szCs w:val="22"/>
        </w:rPr>
        <w:t>,</w:t>
      </w:r>
      <w:r>
        <w:rPr>
          <w:rFonts w:cs="Arial" w:eastAsiaTheme="minorHAnsi"/>
          <w:sz w:val="22"/>
          <w:szCs w:val="22"/>
        </w:rPr>
        <w:t xml:space="preserve"> or attempting to subvert the drug testing process.</w:t>
      </w:r>
      <w:r w:rsidRPr="00FE3AD1">
        <w:rPr>
          <w:rFonts w:cs="Arial" w:eastAsiaTheme="minorHAnsi"/>
          <w:sz w:val="22"/>
          <w:szCs w:val="22"/>
        </w:rPr>
        <w:t xml:space="preserve">  </w:t>
      </w:r>
      <w:r>
        <w:rPr>
          <w:rFonts w:cs="Arial" w:eastAsiaTheme="minorHAnsi"/>
          <w:sz w:val="22"/>
          <w:szCs w:val="22"/>
        </w:rPr>
        <w:t xml:space="preserve">The </w:t>
      </w:r>
      <w:r w:rsidR="004612A2">
        <w:rPr>
          <w:rFonts w:cs="Arial" w:eastAsiaTheme="minorHAnsi"/>
          <w:sz w:val="22"/>
          <w:szCs w:val="22"/>
        </w:rPr>
        <w:t xml:space="preserve">final </w:t>
      </w:r>
      <w:r w:rsidR="00E57EE3">
        <w:rPr>
          <w:rFonts w:cs="Arial" w:eastAsiaTheme="minorHAnsi"/>
          <w:sz w:val="22"/>
          <w:szCs w:val="22"/>
        </w:rPr>
        <w:t xml:space="preserve">rule </w:t>
      </w:r>
      <w:r>
        <w:rPr>
          <w:rFonts w:cs="Arial" w:eastAsiaTheme="minorHAnsi"/>
          <w:sz w:val="22"/>
          <w:szCs w:val="22"/>
        </w:rPr>
        <w:t xml:space="preserve">changes also </w:t>
      </w:r>
      <w:r w:rsidR="00C9702C">
        <w:rPr>
          <w:rFonts w:cs="Arial" w:eastAsiaTheme="minorHAnsi"/>
          <w:sz w:val="22"/>
          <w:szCs w:val="22"/>
        </w:rPr>
        <w:t>may</w:t>
      </w:r>
      <w:r w:rsidRPr="00FE3AD1">
        <w:rPr>
          <w:rFonts w:cs="Arial" w:eastAsiaTheme="minorHAnsi"/>
          <w:sz w:val="22"/>
          <w:szCs w:val="22"/>
        </w:rPr>
        <w:t xml:space="preserve"> deter </w:t>
      </w:r>
      <w:r>
        <w:rPr>
          <w:rFonts w:cs="Arial" w:eastAsiaTheme="minorHAnsi"/>
          <w:sz w:val="22"/>
          <w:szCs w:val="22"/>
        </w:rPr>
        <w:t>additional individuals using drugs from seeking employment in workplaces covered by 10 CFR Part 26</w:t>
      </w:r>
      <w:r w:rsidR="00C16580">
        <w:rPr>
          <w:rFonts w:cs="Arial" w:eastAsiaTheme="minorHAnsi"/>
          <w:sz w:val="22"/>
          <w:szCs w:val="22"/>
        </w:rPr>
        <w:t>,</w:t>
      </w:r>
      <w:r>
        <w:rPr>
          <w:rFonts w:cs="Arial" w:eastAsiaTheme="minorHAnsi"/>
          <w:sz w:val="22"/>
          <w:szCs w:val="22"/>
        </w:rPr>
        <w:t xml:space="preserve"> and could either deter existing employees from beginning to use drugs or encourage them to cease undetected use or seek medical assistance to address an addiction or misuse issue</w:t>
      </w:r>
      <w:r w:rsidR="00646A79">
        <w:rPr>
          <w:rFonts w:cs="Arial" w:eastAsiaTheme="minorHAnsi"/>
          <w:sz w:val="22"/>
          <w:szCs w:val="22"/>
        </w:rPr>
        <w:t>,</w:t>
      </w:r>
      <w:r>
        <w:rPr>
          <w:rFonts w:cs="Arial" w:eastAsiaTheme="minorHAnsi"/>
          <w:sz w:val="22"/>
          <w:szCs w:val="22"/>
        </w:rPr>
        <w:t xml:space="preserve"> or both.</w:t>
      </w:r>
    </w:p>
    <w:p w:rsidR="00D520BD" w:rsidP="003F4451" w:rsidRDefault="00D520BD" w14:paraId="41882945" w14:textId="57B7ED29">
      <w:pPr>
        <w:keepNext/>
        <w:keepLines/>
        <w:widowControl w:val="0"/>
        <w:autoSpaceDE/>
        <w:autoSpaceDN/>
        <w:adjustRightInd/>
        <w:spacing w:before="220"/>
        <w:rPr>
          <w:sz w:val="22"/>
          <w:szCs w:val="22"/>
        </w:rPr>
      </w:pPr>
      <w:r>
        <w:rPr>
          <w:sz w:val="22"/>
          <w:szCs w:val="22"/>
        </w:rPr>
        <w:lastRenderedPageBreak/>
        <w:t xml:space="preserve">This </w:t>
      </w:r>
      <w:r w:rsidR="00331B39">
        <w:rPr>
          <w:sz w:val="22"/>
          <w:szCs w:val="22"/>
        </w:rPr>
        <w:t xml:space="preserve">final </w:t>
      </w:r>
      <w:r>
        <w:rPr>
          <w:sz w:val="22"/>
          <w:szCs w:val="22"/>
        </w:rPr>
        <w:t>rule contribute</w:t>
      </w:r>
      <w:r w:rsidR="00331B39">
        <w:rPr>
          <w:sz w:val="22"/>
          <w:szCs w:val="22"/>
        </w:rPr>
        <w:t>s</w:t>
      </w:r>
      <w:r>
        <w:rPr>
          <w:sz w:val="22"/>
          <w:szCs w:val="22"/>
        </w:rPr>
        <w:t xml:space="preserve"> to a drug-free workplace by doing the following:</w:t>
      </w:r>
    </w:p>
    <w:p w:rsidR="00D520BD" w:rsidP="00D520BD" w:rsidRDefault="00D520BD" w14:paraId="1FA42485" w14:textId="77777777">
      <w:pPr>
        <w:keepNext/>
        <w:keepLines/>
        <w:widowControl w:val="0"/>
        <w:autoSpaceDE/>
        <w:autoSpaceDN/>
        <w:adjustRightInd/>
        <w:rPr>
          <w:sz w:val="22"/>
          <w:szCs w:val="22"/>
        </w:rPr>
      </w:pPr>
    </w:p>
    <w:p w:rsidR="00D520BD" w:rsidP="005C6BA3" w:rsidRDefault="00D520BD" w14:paraId="7719D4BC" w14:textId="5BFF4752">
      <w:pPr>
        <w:pStyle w:val="ListParagraph"/>
        <w:numPr>
          <w:ilvl w:val="0"/>
          <w:numId w:val="31"/>
        </w:numPr>
        <w:autoSpaceDE/>
        <w:autoSpaceDN/>
        <w:adjustRightInd/>
        <w:ind w:hanging="720"/>
        <w:rPr>
          <w:sz w:val="22"/>
          <w:szCs w:val="22"/>
        </w:rPr>
      </w:pPr>
      <w:r>
        <w:rPr>
          <w:sz w:val="22"/>
          <w:szCs w:val="22"/>
        </w:rPr>
        <w:t>enhancing the capabilities to detect drugs already in the testing panel (i.e.</w:t>
      </w:r>
      <w:r w:rsidR="00646A79">
        <w:rPr>
          <w:sz w:val="22"/>
          <w:szCs w:val="22"/>
        </w:rPr>
        <w:t>,</w:t>
      </w:r>
      <w:r>
        <w:rPr>
          <w:sz w:val="22"/>
          <w:szCs w:val="22"/>
        </w:rPr>
        <w:t> amphetamine</w:t>
      </w:r>
      <w:r w:rsidR="00646A79">
        <w:rPr>
          <w:sz w:val="22"/>
          <w:szCs w:val="22"/>
        </w:rPr>
        <w:t>,</w:t>
      </w:r>
      <w:r>
        <w:rPr>
          <w:sz w:val="22"/>
          <w:szCs w:val="22"/>
        </w:rPr>
        <w:t xml:space="preserve"> cocaine</w:t>
      </w:r>
      <w:r w:rsidR="00646A79">
        <w:rPr>
          <w:sz w:val="22"/>
          <w:szCs w:val="22"/>
        </w:rPr>
        <w:t>,</w:t>
      </w:r>
      <w:r>
        <w:rPr>
          <w:sz w:val="22"/>
          <w:szCs w:val="22"/>
        </w:rPr>
        <w:t xml:space="preserve"> the heroin metabolite (6-acetylmorphine)</w:t>
      </w:r>
      <w:r w:rsidR="00646A79">
        <w:rPr>
          <w:sz w:val="22"/>
          <w:szCs w:val="22"/>
        </w:rPr>
        <w:t>,</w:t>
      </w:r>
      <w:r>
        <w:rPr>
          <w:sz w:val="22"/>
          <w:szCs w:val="22"/>
        </w:rPr>
        <w:t xml:space="preserve"> and methamphetamine) and expanding the testing panel to include </w:t>
      </w:r>
      <w:r w:rsidR="002332D0">
        <w:rPr>
          <w:sz w:val="22"/>
          <w:szCs w:val="22"/>
        </w:rPr>
        <w:t xml:space="preserve">two </w:t>
      </w:r>
      <w:r>
        <w:rPr>
          <w:sz w:val="22"/>
          <w:szCs w:val="22"/>
        </w:rPr>
        <w:t>amphetamine</w:t>
      </w:r>
      <w:r>
        <w:rPr>
          <w:sz w:val="22"/>
          <w:szCs w:val="22"/>
        </w:rPr>
        <w:noBreakHyphen/>
        <w:t>based</w:t>
      </w:r>
      <w:r w:rsidRPr="00BD619F">
        <w:rPr>
          <w:sz w:val="22"/>
          <w:szCs w:val="22"/>
        </w:rPr>
        <w:t xml:space="preserve"> </w:t>
      </w:r>
      <w:r w:rsidRPr="00BD619F">
        <w:rPr>
          <w:sz w:val="22"/>
        </w:rPr>
        <w:t>Ecstasy</w:t>
      </w:r>
      <w:r w:rsidR="00D24A9A">
        <w:rPr>
          <w:sz w:val="22"/>
        </w:rPr>
        <w:t>-type</w:t>
      </w:r>
      <w:r w:rsidRPr="00BD619F">
        <w:rPr>
          <w:sz w:val="22"/>
          <w:szCs w:val="22"/>
        </w:rPr>
        <w:t xml:space="preserve"> </w:t>
      </w:r>
      <w:r w:rsidR="003B4F3A">
        <w:rPr>
          <w:sz w:val="22"/>
          <w:szCs w:val="22"/>
        </w:rPr>
        <w:t xml:space="preserve">drugs </w:t>
      </w:r>
      <w:r w:rsidR="00FF380E">
        <w:rPr>
          <w:sz w:val="22"/>
          <w:szCs w:val="22"/>
        </w:rPr>
        <w:t xml:space="preserve">and four </w:t>
      </w:r>
      <w:r w:rsidR="00B30C19">
        <w:rPr>
          <w:sz w:val="22"/>
          <w:szCs w:val="22"/>
        </w:rPr>
        <w:t xml:space="preserve">opioid </w:t>
      </w:r>
      <w:r>
        <w:rPr>
          <w:sz w:val="22"/>
          <w:szCs w:val="22"/>
        </w:rPr>
        <w:t>drugs</w:t>
      </w:r>
      <w:r w:rsidR="00627920">
        <w:rPr>
          <w:sz w:val="22"/>
          <w:szCs w:val="22"/>
        </w:rPr>
        <w:t xml:space="preserve"> (hydrocodone, hydromorphone, oxycodone, and oxymorphone)</w:t>
      </w:r>
    </w:p>
    <w:p w:rsidR="00D520BD" w:rsidP="00D520BD" w:rsidRDefault="00D520BD" w14:paraId="35032902" w14:textId="77777777">
      <w:pPr>
        <w:pStyle w:val="ListParagraph"/>
        <w:autoSpaceDE/>
        <w:autoSpaceDN/>
        <w:adjustRightInd/>
        <w:ind w:hanging="720"/>
        <w:rPr>
          <w:sz w:val="22"/>
          <w:szCs w:val="22"/>
        </w:rPr>
      </w:pPr>
    </w:p>
    <w:p w:rsidR="00D520BD" w:rsidP="005C6BA3" w:rsidRDefault="00D520BD" w14:paraId="5548FD2E" w14:textId="0046D437">
      <w:pPr>
        <w:pStyle w:val="ListParagraph"/>
        <w:numPr>
          <w:ilvl w:val="0"/>
          <w:numId w:val="31"/>
        </w:numPr>
        <w:autoSpaceDE/>
        <w:autoSpaceDN/>
        <w:adjustRightInd/>
        <w:ind w:hanging="720"/>
        <w:rPr>
          <w:sz w:val="22"/>
          <w:szCs w:val="22"/>
        </w:rPr>
      </w:pPr>
      <w:r w:rsidRPr="00AB5079">
        <w:rPr>
          <w:sz w:val="22"/>
          <w:szCs w:val="22"/>
        </w:rPr>
        <w:t xml:space="preserve">maintaining </w:t>
      </w:r>
      <w:r>
        <w:rPr>
          <w:sz w:val="22"/>
          <w:szCs w:val="22"/>
        </w:rPr>
        <w:t xml:space="preserve">alignment with the Federal employee workplace </w:t>
      </w:r>
      <w:r w:rsidRPr="00AB5079">
        <w:rPr>
          <w:sz w:val="22"/>
          <w:szCs w:val="22"/>
        </w:rPr>
        <w:t>drug testing program</w:t>
      </w:r>
      <w:r>
        <w:rPr>
          <w:sz w:val="22"/>
          <w:szCs w:val="22"/>
        </w:rPr>
        <w:t xml:space="preserve"> and those programs implemented by comparable </w:t>
      </w:r>
      <w:r w:rsidRPr="00AB5079">
        <w:rPr>
          <w:sz w:val="22"/>
          <w:szCs w:val="22"/>
        </w:rPr>
        <w:t>Federal agenc</w:t>
      </w:r>
      <w:r>
        <w:rPr>
          <w:sz w:val="22"/>
          <w:szCs w:val="22"/>
        </w:rPr>
        <w:t>ies that test civilians in safety- and security</w:t>
      </w:r>
      <w:r>
        <w:rPr>
          <w:sz w:val="22"/>
          <w:szCs w:val="22"/>
        </w:rPr>
        <w:noBreakHyphen/>
        <w:t>sensitive positions (e.g.</w:t>
      </w:r>
      <w:r w:rsidR="00646A79">
        <w:rPr>
          <w:sz w:val="22"/>
          <w:szCs w:val="22"/>
        </w:rPr>
        <w:t>,</w:t>
      </w:r>
      <w:r>
        <w:rPr>
          <w:sz w:val="22"/>
          <w:szCs w:val="22"/>
        </w:rPr>
        <w:t xml:space="preserve"> U.S. Department of Transportation) </w:t>
      </w:r>
    </w:p>
    <w:p w:rsidRPr="00AB5079" w:rsidR="00D520BD" w:rsidP="00D520BD" w:rsidRDefault="00D520BD" w14:paraId="6C25A42D" w14:textId="77777777">
      <w:pPr>
        <w:pStyle w:val="ListParagraph"/>
        <w:ind w:hanging="720"/>
        <w:rPr>
          <w:sz w:val="22"/>
          <w:szCs w:val="22"/>
        </w:rPr>
      </w:pPr>
    </w:p>
    <w:p w:rsidRPr="00EB37BF" w:rsidR="00D520BD" w:rsidP="005C6BA3" w:rsidRDefault="00D520BD" w14:paraId="7B1843B6" w14:textId="069DDA51">
      <w:pPr>
        <w:pStyle w:val="ListParagraph"/>
        <w:numPr>
          <w:ilvl w:val="0"/>
          <w:numId w:val="31"/>
        </w:numPr>
        <w:autoSpaceDE/>
        <w:autoSpaceDN/>
        <w:adjustRightInd/>
        <w:ind w:hanging="720"/>
        <w:rPr>
          <w:sz w:val="22"/>
          <w:szCs w:val="22"/>
        </w:rPr>
      </w:pPr>
      <w:r w:rsidRPr="00EB37BF">
        <w:rPr>
          <w:sz w:val="22"/>
          <w:szCs w:val="22"/>
        </w:rPr>
        <w:t>addressing</w:t>
      </w:r>
      <w:r>
        <w:rPr>
          <w:sz w:val="22"/>
          <w:szCs w:val="22"/>
        </w:rPr>
        <w:t xml:space="preserve"> trends in</w:t>
      </w:r>
      <w:r w:rsidRPr="00EB37BF">
        <w:rPr>
          <w:sz w:val="22"/>
          <w:szCs w:val="22"/>
        </w:rPr>
        <w:t xml:space="preserve"> societal drug use</w:t>
      </w:r>
      <w:r w:rsidRPr="0010624D">
        <w:rPr>
          <w:sz w:val="22"/>
          <w:szCs w:val="22"/>
        </w:rPr>
        <w:t xml:space="preserve"> </w:t>
      </w:r>
      <w:r>
        <w:rPr>
          <w:sz w:val="22"/>
          <w:szCs w:val="22"/>
        </w:rPr>
        <w:t xml:space="preserve">that </w:t>
      </w:r>
      <w:r w:rsidRPr="0010624D">
        <w:rPr>
          <w:sz w:val="22"/>
          <w:szCs w:val="22"/>
        </w:rPr>
        <w:t>demonstrat</w:t>
      </w:r>
      <w:r>
        <w:rPr>
          <w:sz w:val="22"/>
          <w:szCs w:val="22"/>
        </w:rPr>
        <w:t>e</w:t>
      </w:r>
      <w:r w:rsidRPr="0010624D">
        <w:rPr>
          <w:sz w:val="22"/>
          <w:szCs w:val="22"/>
        </w:rPr>
        <w:t xml:space="preserve"> </w:t>
      </w:r>
      <w:r>
        <w:rPr>
          <w:sz w:val="22"/>
          <w:szCs w:val="22"/>
        </w:rPr>
        <w:t xml:space="preserve">an </w:t>
      </w:r>
      <w:r w:rsidRPr="0010624D">
        <w:rPr>
          <w:sz w:val="22"/>
          <w:szCs w:val="22"/>
        </w:rPr>
        <w:t>increasing use of amphetamines</w:t>
      </w:r>
      <w:r w:rsidR="00646A79">
        <w:rPr>
          <w:sz w:val="22"/>
          <w:szCs w:val="22"/>
        </w:rPr>
        <w:t>,</w:t>
      </w:r>
      <w:r w:rsidRPr="0010624D">
        <w:rPr>
          <w:sz w:val="22"/>
          <w:szCs w:val="22"/>
        </w:rPr>
        <w:t xml:space="preserve"> methamphetamines</w:t>
      </w:r>
      <w:r w:rsidR="00646A79">
        <w:rPr>
          <w:sz w:val="22"/>
          <w:szCs w:val="22"/>
        </w:rPr>
        <w:t>,</w:t>
      </w:r>
      <w:r w:rsidRPr="0010624D">
        <w:rPr>
          <w:sz w:val="22"/>
          <w:szCs w:val="22"/>
        </w:rPr>
        <w:t xml:space="preserve"> and heroin</w:t>
      </w:r>
    </w:p>
    <w:p w:rsidRPr="00EB37BF" w:rsidR="00D520BD" w:rsidP="00D520BD" w:rsidRDefault="00D520BD" w14:paraId="6CEA9693" w14:textId="77777777">
      <w:pPr>
        <w:pStyle w:val="ListParagraph"/>
        <w:autoSpaceDE/>
        <w:autoSpaceDN/>
        <w:adjustRightInd/>
        <w:ind w:hanging="720"/>
        <w:rPr>
          <w:sz w:val="22"/>
          <w:szCs w:val="22"/>
        </w:rPr>
      </w:pPr>
    </w:p>
    <w:p w:rsidRPr="00CD4D83" w:rsidR="00D520BD" w:rsidP="005C6BA3" w:rsidRDefault="00D520BD" w14:paraId="7E9F702C" w14:textId="7CE14337">
      <w:pPr>
        <w:pStyle w:val="ListParagraph"/>
        <w:numPr>
          <w:ilvl w:val="0"/>
          <w:numId w:val="31"/>
        </w:numPr>
        <w:autoSpaceDE/>
        <w:autoSpaceDN/>
        <w:adjustRightInd/>
        <w:ind w:hanging="720"/>
        <w:rPr>
          <w:sz w:val="22"/>
          <w:szCs w:val="22"/>
        </w:rPr>
      </w:pPr>
      <w:r w:rsidRPr="00EB37BF">
        <w:rPr>
          <w:sz w:val="22"/>
          <w:szCs w:val="22"/>
        </w:rPr>
        <w:t xml:space="preserve">addressing the prevalence of </w:t>
      </w:r>
      <w:r>
        <w:rPr>
          <w:sz w:val="22"/>
          <w:szCs w:val="22"/>
        </w:rPr>
        <w:t>subversion attempts</w:t>
      </w:r>
      <w:r w:rsidRPr="00EB37BF">
        <w:rPr>
          <w:sz w:val="22"/>
          <w:szCs w:val="22"/>
        </w:rPr>
        <w:t xml:space="preserve"> reported </w:t>
      </w:r>
      <w:r>
        <w:rPr>
          <w:sz w:val="22"/>
          <w:szCs w:val="22"/>
        </w:rPr>
        <w:t>by</w:t>
      </w:r>
      <w:r w:rsidRPr="00EB37BF">
        <w:rPr>
          <w:sz w:val="22"/>
          <w:szCs w:val="22"/>
        </w:rPr>
        <w:t xml:space="preserve"> the </w:t>
      </w:r>
      <w:r>
        <w:rPr>
          <w:sz w:val="22"/>
          <w:szCs w:val="22"/>
        </w:rPr>
        <w:t>10 CFR Part 26</w:t>
      </w:r>
      <w:r w:rsidRPr="00EB37BF">
        <w:rPr>
          <w:sz w:val="22"/>
          <w:szCs w:val="22"/>
        </w:rPr>
        <w:t xml:space="preserve"> </w:t>
      </w:r>
      <w:r>
        <w:rPr>
          <w:sz w:val="22"/>
          <w:szCs w:val="22"/>
        </w:rPr>
        <w:t xml:space="preserve">drug </w:t>
      </w:r>
      <w:r w:rsidRPr="00EB37BF">
        <w:rPr>
          <w:sz w:val="22"/>
          <w:szCs w:val="22"/>
        </w:rPr>
        <w:t xml:space="preserve">testing programs </w:t>
      </w:r>
      <w:r w:rsidR="003035AA">
        <w:rPr>
          <w:sz w:val="22"/>
          <w:szCs w:val="22"/>
        </w:rPr>
        <w:t>from</w:t>
      </w:r>
      <w:r>
        <w:rPr>
          <w:sz w:val="22"/>
          <w:szCs w:val="22"/>
        </w:rPr>
        <w:t xml:space="preserve"> 2011</w:t>
      </w:r>
      <w:r w:rsidR="003035AA">
        <w:rPr>
          <w:sz w:val="22"/>
          <w:szCs w:val="22"/>
        </w:rPr>
        <w:t xml:space="preserve"> through </w:t>
      </w:r>
      <w:r w:rsidRPr="00CD4D83" w:rsidR="003035AA">
        <w:rPr>
          <w:sz w:val="22"/>
          <w:szCs w:val="22"/>
        </w:rPr>
        <w:t>2019</w:t>
      </w:r>
      <w:r w:rsidRPr="00CD4D83">
        <w:rPr>
          <w:sz w:val="22"/>
          <w:szCs w:val="22"/>
        </w:rPr>
        <w:t xml:space="preserve"> (</w:t>
      </w:r>
      <w:r w:rsidR="00CD4D83">
        <w:rPr>
          <w:sz w:val="22"/>
          <w:szCs w:val="22"/>
        </w:rPr>
        <w:t xml:space="preserve">ranging from </w:t>
      </w:r>
      <w:r w:rsidR="00D77E96">
        <w:rPr>
          <w:sz w:val="22"/>
          <w:szCs w:val="22"/>
        </w:rPr>
        <w:t>22.1</w:t>
      </w:r>
      <w:r w:rsidRPr="00CD4D83">
        <w:rPr>
          <w:sz w:val="22"/>
          <w:szCs w:val="22"/>
        </w:rPr>
        <w:t xml:space="preserve"> to </w:t>
      </w:r>
      <w:r w:rsidR="00D77E96">
        <w:rPr>
          <w:sz w:val="22"/>
          <w:szCs w:val="22"/>
        </w:rPr>
        <w:t>39.0</w:t>
      </w:r>
      <w:r w:rsidRPr="00CD4D83">
        <w:rPr>
          <w:sz w:val="22"/>
          <w:szCs w:val="22"/>
        </w:rPr>
        <w:t> percent of violations per year</w:t>
      </w:r>
      <w:r w:rsidR="00EA4E33">
        <w:rPr>
          <w:sz w:val="22"/>
          <w:szCs w:val="22"/>
        </w:rPr>
        <w:t>, by</w:t>
      </w:r>
      <w:r w:rsidRPr="00CD4D83">
        <w:rPr>
          <w:sz w:val="22"/>
          <w:szCs w:val="22"/>
        </w:rPr>
        <w:t xml:space="preserve"> 1</w:t>
      </w:r>
      <w:r w:rsidR="00D77E96">
        <w:rPr>
          <w:sz w:val="22"/>
          <w:szCs w:val="22"/>
        </w:rPr>
        <w:t>2</w:t>
      </w:r>
      <w:r w:rsidR="00CD4D83">
        <w:rPr>
          <w:sz w:val="22"/>
          <w:szCs w:val="22"/>
        </w:rPr>
        <w:t>8</w:t>
      </w:r>
      <w:r w:rsidRPr="00CD4D83">
        <w:rPr>
          <w:sz w:val="22"/>
          <w:szCs w:val="22"/>
        </w:rPr>
        <w:t xml:space="preserve"> to </w:t>
      </w:r>
      <w:r w:rsidR="00CD4D83">
        <w:rPr>
          <w:sz w:val="22"/>
          <w:szCs w:val="22"/>
        </w:rPr>
        <w:t>307</w:t>
      </w:r>
      <w:r w:rsidRPr="00CD4D83">
        <w:rPr>
          <w:sz w:val="22"/>
          <w:szCs w:val="22"/>
        </w:rPr>
        <w:t> individuals per year)</w:t>
      </w:r>
    </w:p>
    <w:p w:rsidR="00D520BD" w:rsidP="00D520BD" w:rsidRDefault="00D520BD" w14:paraId="459F420B" w14:textId="77777777">
      <w:pPr>
        <w:rPr>
          <w:sz w:val="22"/>
          <w:szCs w:val="22"/>
        </w:rPr>
      </w:pPr>
    </w:p>
    <w:p w:rsidRPr="00D20E21" w:rsidR="00D520BD" w:rsidP="00D520BD" w:rsidRDefault="00D520BD" w14:paraId="09B575CB" w14:textId="2B155B51">
      <w:pPr>
        <w:rPr>
          <w:sz w:val="22"/>
          <w:szCs w:val="22"/>
        </w:rPr>
      </w:pPr>
      <w:r w:rsidRPr="005A5228">
        <w:rPr>
          <w:rFonts w:cs="Arial"/>
          <w:sz w:val="22"/>
          <w:szCs w:val="22"/>
        </w:rPr>
        <w:t xml:space="preserve">Enhancing </w:t>
      </w:r>
      <w:r w:rsidR="00F81E78">
        <w:rPr>
          <w:rFonts w:cs="Arial"/>
          <w:sz w:val="22"/>
          <w:szCs w:val="22"/>
        </w:rPr>
        <w:t xml:space="preserve">the </w:t>
      </w:r>
      <w:r w:rsidRPr="005A5228">
        <w:rPr>
          <w:rFonts w:cs="Arial"/>
          <w:sz w:val="22"/>
          <w:szCs w:val="22"/>
        </w:rPr>
        <w:t xml:space="preserve">drug testing capabilities </w:t>
      </w:r>
      <w:r>
        <w:rPr>
          <w:rFonts w:cs="Arial"/>
          <w:sz w:val="22"/>
          <w:szCs w:val="22"/>
        </w:rPr>
        <w:t xml:space="preserve">of </w:t>
      </w:r>
      <w:r w:rsidRPr="005A5228">
        <w:rPr>
          <w:rFonts w:cs="Arial"/>
          <w:sz w:val="22"/>
          <w:szCs w:val="22"/>
        </w:rPr>
        <w:t>the FFD program maintain</w:t>
      </w:r>
      <w:r w:rsidR="00331B39">
        <w:rPr>
          <w:rFonts w:cs="Arial"/>
          <w:sz w:val="22"/>
          <w:szCs w:val="22"/>
        </w:rPr>
        <w:t>s</w:t>
      </w:r>
      <w:r w:rsidRPr="005A5228">
        <w:rPr>
          <w:rFonts w:cs="Arial"/>
          <w:sz w:val="22"/>
          <w:szCs w:val="22"/>
        </w:rPr>
        <w:t xml:space="preserve"> the effectiveness of </w:t>
      </w:r>
      <w:r>
        <w:rPr>
          <w:rFonts w:cs="Arial"/>
          <w:sz w:val="22"/>
          <w:szCs w:val="22"/>
        </w:rPr>
        <w:t>10 CFR </w:t>
      </w:r>
      <w:r w:rsidRPr="005A5228">
        <w:rPr>
          <w:rFonts w:cs="Arial"/>
          <w:sz w:val="22"/>
          <w:szCs w:val="22"/>
        </w:rPr>
        <w:t>Part </w:t>
      </w:r>
      <w:r>
        <w:rPr>
          <w:rFonts w:cs="Arial"/>
          <w:sz w:val="22"/>
          <w:szCs w:val="22"/>
        </w:rPr>
        <w:t xml:space="preserve">26 by identifying </w:t>
      </w:r>
      <w:r w:rsidRPr="00CD4D83">
        <w:rPr>
          <w:rFonts w:cs="Arial"/>
          <w:sz w:val="22"/>
          <w:szCs w:val="22"/>
        </w:rPr>
        <w:t xml:space="preserve">additional </w:t>
      </w:r>
      <w:r w:rsidRPr="00CD4D83">
        <w:rPr>
          <w:rFonts w:eastAsia="Calibri" w:cs="Arial"/>
          <w:sz w:val="22"/>
          <w:szCs w:val="22"/>
        </w:rPr>
        <w:t>individuals using drugs each year.  The enhancements</w:t>
      </w:r>
      <w:r w:rsidRPr="00CD4D83">
        <w:rPr>
          <w:sz w:val="22"/>
          <w:szCs w:val="22"/>
        </w:rPr>
        <w:t xml:space="preserve"> can be accomplished at low cost </w:t>
      </w:r>
      <w:r w:rsidR="00F90B8C">
        <w:rPr>
          <w:sz w:val="22"/>
          <w:szCs w:val="22"/>
        </w:rPr>
        <w:t>(</w:t>
      </w:r>
      <w:r w:rsidRPr="00CD4D83">
        <w:rPr>
          <w:sz w:val="22"/>
          <w:szCs w:val="22"/>
        </w:rPr>
        <w:t>i.e.</w:t>
      </w:r>
      <w:r w:rsidRPr="00CD4D83" w:rsidR="00646A79">
        <w:rPr>
          <w:sz w:val="22"/>
          <w:szCs w:val="22"/>
        </w:rPr>
        <w:t>,</w:t>
      </w:r>
      <w:r w:rsidRPr="00CD4D83">
        <w:rPr>
          <w:sz w:val="22"/>
          <w:szCs w:val="22"/>
        </w:rPr>
        <w:t xml:space="preserve"> an average one-time cost per site of </w:t>
      </w:r>
      <w:r w:rsidR="00CD4D83">
        <w:rPr>
          <w:sz w:val="22"/>
          <w:szCs w:val="22"/>
        </w:rPr>
        <w:t>(</w:t>
      </w:r>
      <w:r w:rsidRPr="00CD4D83">
        <w:rPr>
          <w:sz w:val="22"/>
          <w:szCs w:val="22"/>
        </w:rPr>
        <w:t>$</w:t>
      </w:r>
      <w:r w:rsidR="005C1117">
        <w:rPr>
          <w:sz w:val="22"/>
          <w:szCs w:val="22"/>
        </w:rPr>
        <w:t>2,321</w:t>
      </w:r>
      <w:r w:rsidR="00CD4D83">
        <w:rPr>
          <w:sz w:val="22"/>
          <w:szCs w:val="22"/>
        </w:rPr>
        <w:t>)</w:t>
      </w:r>
      <w:r w:rsidRPr="00CD4D83">
        <w:rPr>
          <w:sz w:val="22"/>
          <w:szCs w:val="22"/>
        </w:rPr>
        <w:t xml:space="preserve"> </w:t>
      </w:r>
      <w:r w:rsidRPr="007111F5">
        <w:rPr>
          <w:sz w:val="22"/>
          <w:szCs w:val="22"/>
          <w:shd w:val="clear" w:color="auto" w:fill="FFFFFF" w:themeFill="background1"/>
        </w:rPr>
        <w:t xml:space="preserve">and an average annual </w:t>
      </w:r>
      <w:r w:rsidRPr="007111F5" w:rsidR="00426B74">
        <w:rPr>
          <w:sz w:val="22"/>
          <w:szCs w:val="22"/>
          <w:shd w:val="clear" w:color="auto" w:fill="FFFFFF" w:themeFill="background1"/>
        </w:rPr>
        <w:t>savings</w:t>
      </w:r>
      <w:r w:rsidRPr="007111F5">
        <w:rPr>
          <w:sz w:val="22"/>
          <w:szCs w:val="22"/>
          <w:shd w:val="clear" w:color="auto" w:fill="FFFFFF" w:themeFill="background1"/>
        </w:rPr>
        <w:t xml:space="preserve"> per site of </w:t>
      </w:r>
      <w:r w:rsidRPr="007111F5" w:rsidR="00426B74">
        <w:rPr>
          <w:sz w:val="22"/>
          <w:szCs w:val="22"/>
          <w:shd w:val="clear" w:color="auto" w:fill="FFFFFF" w:themeFill="background1"/>
        </w:rPr>
        <w:t>$</w:t>
      </w:r>
      <w:r w:rsidR="008020A0">
        <w:rPr>
          <w:sz w:val="22"/>
          <w:szCs w:val="22"/>
          <w:shd w:val="clear" w:color="auto" w:fill="FFFFFF" w:themeFill="background1"/>
        </w:rPr>
        <w:t>808</w:t>
      </w:r>
      <w:r w:rsidR="00F90B8C">
        <w:rPr>
          <w:sz w:val="22"/>
          <w:szCs w:val="22"/>
          <w:shd w:val="clear" w:color="auto" w:fill="FFFFFF" w:themeFill="background1"/>
        </w:rPr>
        <w:t>)</w:t>
      </w:r>
      <w:r w:rsidRPr="007111F5">
        <w:rPr>
          <w:sz w:val="22"/>
          <w:szCs w:val="22"/>
          <w:shd w:val="clear" w:color="auto" w:fill="FFFFFF" w:themeFill="background1"/>
        </w:rPr>
        <w:t>.  As</w:t>
      </w:r>
      <w:r w:rsidRPr="00CD4D83">
        <w:rPr>
          <w:sz w:val="22"/>
          <w:szCs w:val="22"/>
        </w:rPr>
        <w:t xml:space="preserve"> a result</w:t>
      </w:r>
      <w:r w:rsidRPr="00CD4D83" w:rsidR="00646A79">
        <w:rPr>
          <w:sz w:val="22"/>
          <w:szCs w:val="22"/>
        </w:rPr>
        <w:t>,</w:t>
      </w:r>
      <w:r w:rsidRPr="00CD4D83">
        <w:rPr>
          <w:sz w:val="22"/>
          <w:szCs w:val="22"/>
        </w:rPr>
        <w:t xml:space="preserve"> the NRC</w:t>
      </w:r>
      <w:r w:rsidRPr="007C30A0">
        <w:rPr>
          <w:sz w:val="22"/>
          <w:szCs w:val="22"/>
        </w:rPr>
        <w:t xml:space="preserve"> </w:t>
      </w:r>
      <w:r w:rsidRPr="00D20E21">
        <w:rPr>
          <w:sz w:val="22"/>
          <w:szCs w:val="22"/>
        </w:rPr>
        <w:t xml:space="preserve">staff concludes that the improvements </w:t>
      </w:r>
      <w:r w:rsidR="00F90B8C">
        <w:rPr>
          <w:sz w:val="22"/>
          <w:szCs w:val="22"/>
        </w:rPr>
        <w:t xml:space="preserve">will </w:t>
      </w:r>
      <w:r w:rsidRPr="00D20E21">
        <w:rPr>
          <w:sz w:val="22"/>
          <w:szCs w:val="22"/>
        </w:rPr>
        <w:t xml:space="preserve">maintain </w:t>
      </w:r>
      <w:r w:rsidRPr="00D20889">
        <w:rPr>
          <w:sz w:val="22"/>
          <w:szCs w:val="22"/>
        </w:rPr>
        <w:t xml:space="preserve">the </w:t>
      </w:r>
      <w:r w:rsidR="00281F6C">
        <w:rPr>
          <w:sz w:val="22"/>
          <w:szCs w:val="22"/>
        </w:rPr>
        <w:t xml:space="preserve">FFD program </w:t>
      </w:r>
      <w:r w:rsidRPr="00D20E21">
        <w:rPr>
          <w:sz w:val="22"/>
          <w:szCs w:val="22"/>
        </w:rPr>
        <w:t>performance objective</w:t>
      </w:r>
      <w:r w:rsidR="00D92E21">
        <w:rPr>
          <w:sz w:val="22"/>
          <w:szCs w:val="22"/>
        </w:rPr>
        <w:t>s</w:t>
      </w:r>
      <w:r w:rsidRPr="00D20E21">
        <w:rPr>
          <w:sz w:val="22"/>
          <w:szCs w:val="22"/>
        </w:rPr>
        <w:t xml:space="preserve"> </w:t>
      </w:r>
      <w:r>
        <w:rPr>
          <w:sz w:val="22"/>
          <w:szCs w:val="22"/>
        </w:rPr>
        <w:t>in</w:t>
      </w:r>
      <w:r w:rsidRPr="00D20E21">
        <w:rPr>
          <w:sz w:val="22"/>
          <w:szCs w:val="22"/>
        </w:rPr>
        <w:t xml:space="preserve"> </w:t>
      </w:r>
      <w:r w:rsidRPr="00990733">
        <w:rPr>
          <w:sz w:val="22"/>
          <w:szCs w:val="22"/>
        </w:rPr>
        <w:t>10 CFR 26.23(</w:t>
      </w:r>
      <w:r w:rsidR="00D92E21">
        <w:rPr>
          <w:sz w:val="22"/>
          <w:szCs w:val="22"/>
        </w:rPr>
        <w:t>c)</w:t>
      </w:r>
      <w:r>
        <w:rPr>
          <w:sz w:val="22"/>
          <w:szCs w:val="22"/>
        </w:rPr>
        <w:t xml:space="preserve"> </w:t>
      </w:r>
      <w:r w:rsidRPr="00D20E21">
        <w:rPr>
          <w:sz w:val="22"/>
          <w:szCs w:val="22"/>
        </w:rPr>
        <w:t xml:space="preserve">and </w:t>
      </w:r>
      <w:r w:rsidRPr="00990733">
        <w:rPr>
          <w:sz w:val="22"/>
          <w:szCs w:val="22"/>
        </w:rPr>
        <w:t>(d)</w:t>
      </w:r>
      <w:r>
        <w:rPr>
          <w:sz w:val="22"/>
          <w:szCs w:val="22"/>
        </w:rPr>
        <w:t xml:space="preserve"> </w:t>
      </w:r>
      <w:r w:rsidRPr="00D20E21">
        <w:rPr>
          <w:sz w:val="22"/>
          <w:szCs w:val="22"/>
        </w:rPr>
        <w:t xml:space="preserve">and </w:t>
      </w:r>
      <w:r w:rsidR="007714FC">
        <w:rPr>
          <w:sz w:val="22"/>
          <w:szCs w:val="22"/>
        </w:rPr>
        <w:t xml:space="preserve">that the benefit </w:t>
      </w:r>
      <w:r w:rsidRPr="00D20E21">
        <w:rPr>
          <w:sz w:val="22"/>
          <w:szCs w:val="22"/>
        </w:rPr>
        <w:t>outweigh</w:t>
      </w:r>
      <w:r w:rsidR="00BD1105">
        <w:rPr>
          <w:sz w:val="22"/>
          <w:szCs w:val="22"/>
        </w:rPr>
        <w:t>s</w:t>
      </w:r>
      <w:r w:rsidRPr="00D20E21">
        <w:rPr>
          <w:sz w:val="22"/>
          <w:szCs w:val="22"/>
        </w:rPr>
        <w:t xml:space="preserve"> the low cost of implementation.</w:t>
      </w:r>
    </w:p>
    <w:p w:rsidR="00D520BD" w:rsidP="00D520BD" w:rsidRDefault="00D520BD" w14:paraId="11749F67" w14:textId="77777777">
      <w:pPr>
        <w:rPr>
          <w:sz w:val="22"/>
          <w:szCs w:val="22"/>
        </w:rPr>
      </w:pPr>
    </w:p>
    <w:p w:rsidR="00D520BD" w:rsidP="00D520BD" w:rsidRDefault="00D520BD" w14:paraId="0F30E1D5" w14:textId="02828132">
      <w:pPr>
        <w:autoSpaceDE/>
        <w:autoSpaceDN/>
        <w:adjustRightInd/>
        <w:rPr>
          <w:sz w:val="22"/>
          <w:szCs w:val="22"/>
        </w:rPr>
      </w:pPr>
      <w:r w:rsidRPr="00AB5079">
        <w:rPr>
          <w:sz w:val="22"/>
          <w:szCs w:val="22"/>
        </w:rPr>
        <w:t xml:space="preserve">This document is the </w:t>
      </w:r>
      <w:r>
        <w:rPr>
          <w:sz w:val="22"/>
          <w:szCs w:val="22"/>
        </w:rPr>
        <w:t>r</w:t>
      </w:r>
      <w:r w:rsidRPr="00AB5079">
        <w:rPr>
          <w:sz w:val="22"/>
          <w:szCs w:val="22"/>
        </w:rPr>
        <w:t xml:space="preserve">egulatory </w:t>
      </w:r>
      <w:r>
        <w:rPr>
          <w:sz w:val="22"/>
          <w:szCs w:val="22"/>
        </w:rPr>
        <w:t>a</w:t>
      </w:r>
      <w:r w:rsidRPr="00AB5079">
        <w:rPr>
          <w:sz w:val="22"/>
          <w:szCs w:val="22"/>
        </w:rPr>
        <w:t xml:space="preserve">nalysis </w:t>
      </w:r>
      <w:r>
        <w:rPr>
          <w:sz w:val="22"/>
          <w:szCs w:val="22"/>
        </w:rPr>
        <w:t>for</w:t>
      </w:r>
      <w:r w:rsidRPr="00AB5079">
        <w:rPr>
          <w:sz w:val="22"/>
          <w:szCs w:val="22"/>
        </w:rPr>
        <w:t xml:space="preserve"> the </w:t>
      </w:r>
      <w:r w:rsidR="00014FF1">
        <w:rPr>
          <w:sz w:val="22"/>
          <w:szCs w:val="22"/>
        </w:rPr>
        <w:t>final</w:t>
      </w:r>
      <w:r w:rsidRPr="00AB5079">
        <w:rPr>
          <w:sz w:val="22"/>
          <w:szCs w:val="22"/>
        </w:rPr>
        <w:t xml:space="preserve"> rule</w:t>
      </w:r>
      <w:r>
        <w:rPr>
          <w:sz w:val="22"/>
          <w:szCs w:val="22"/>
        </w:rPr>
        <w:t xml:space="preserve"> and the associated </w:t>
      </w:r>
      <w:bookmarkStart w:name="_Hlk73724998" w:id="16"/>
      <w:r>
        <w:rPr>
          <w:sz w:val="22"/>
          <w:szCs w:val="22"/>
        </w:rPr>
        <w:t>Regulatory Guide </w:t>
      </w:r>
      <w:r w:rsidR="00922B0C">
        <w:rPr>
          <w:sz w:val="22"/>
          <w:szCs w:val="22"/>
        </w:rPr>
        <w:t>5</w:t>
      </w:r>
      <w:r w:rsidR="00F63DB8">
        <w:rPr>
          <w:sz w:val="22"/>
          <w:szCs w:val="22"/>
        </w:rPr>
        <w:t>.</w:t>
      </w:r>
      <w:r w:rsidR="00922B0C">
        <w:rPr>
          <w:sz w:val="22"/>
          <w:szCs w:val="22"/>
        </w:rPr>
        <w:t>8</w:t>
      </w:r>
      <w:r w:rsidR="00F63DB8">
        <w:rPr>
          <w:sz w:val="22"/>
          <w:szCs w:val="22"/>
        </w:rPr>
        <w:t>9</w:t>
      </w:r>
      <w:r w:rsidR="00646A79">
        <w:rPr>
          <w:sz w:val="22"/>
          <w:szCs w:val="22"/>
        </w:rPr>
        <w:t>,</w:t>
      </w:r>
      <w:r>
        <w:rPr>
          <w:sz w:val="22"/>
          <w:szCs w:val="22"/>
        </w:rPr>
        <w:t xml:space="preserve"> </w:t>
      </w:r>
      <w:r w:rsidR="00646A79">
        <w:rPr>
          <w:sz w:val="22"/>
          <w:szCs w:val="22"/>
        </w:rPr>
        <w:t>“</w:t>
      </w:r>
      <w:bookmarkEnd w:id="16"/>
      <w:r w:rsidRPr="000D0DC8" w:rsidR="00F17FA3">
        <w:rPr>
          <w:rFonts w:cs="Arial"/>
          <w:sz w:val="22"/>
          <w:szCs w:val="22"/>
        </w:rPr>
        <w:t xml:space="preserve">Fitness-for-Duty Programs for Commercial Power Reactor and Category I </w:t>
      </w:r>
      <w:r w:rsidR="0088161E">
        <w:rPr>
          <w:rFonts w:cs="Arial"/>
          <w:sz w:val="22"/>
          <w:szCs w:val="22"/>
        </w:rPr>
        <w:t>Special Nuclear Material Licensees</w:t>
      </w:r>
      <w:r w:rsidR="00F17FA3">
        <w:rPr>
          <w:rFonts w:cs="Arial"/>
          <w:sz w:val="22"/>
          <w:szCs w:val="22"/>
        </w:rPr>
        <w:t>.</w:t>
      </w:r>
      <w:r w:rsidRPr="00087459" w:rsidR="00F17FA3">
        <w:rPr>
          <w:rFonts w:cs="Arial"/>
          <w:sz w:val="22"/>
          <w:szCs w:val="22"/>
        </w:rPr>
        <w:t>”</w:t>
      </w:r>
    </w:p>
    <w:p w:rsidR="00D520BD" w:rsidP="00D520BD" w:rsidRDefault="00D520BD" w14:paraId="6154727B" w14:textId="77777777">
      <w:pPr>
        <w:autoSpaceDE/>
        <w:autoSpaceDN/>
        <w:adjustRightInd/>
        <w:rPr>
          <w:rFonts w:cs="Arial"/>
          <w:b/>
          <w:bCs/>
          <w:kern w:val="32"/>
          <w:sz w:val="32"/>
          <w:szCs w:val="32"/>
        </w:rPr>
      </w:pPr>
      <w:r w:rsidRPr="00646A79">
        <w:rPr>
          <w:sz w:val="22"/>
          <w:szCs w:val="22"/>
        </w:rPr>
        <w:br w:type="page"/>
      </w:r>
    </w:p>
    <w:p w:rsidRPr="005A5966" w:rsidR="00D520BD" w:rsidP="00D520BD" w:rsidRDefault="00D520BD" w14:paraId="7FB8CB2C" w14:textId="6EAB4BBF">
      <w:pPr>
        <w:pStyle w:val="Heading1"/>
      </w:pPr>
      <w:bookmarkStart w:name="_Toc460412590" w:id="17"/>
      <w:bookmarkStart w:name="_Toc72840008" w:id="18"/>
      <w:bookmarkStart w:name="_Toc105681481" w:id="19"/>
      <w:r w:rsidRPr="005A5966">
        <w:lastRenderedPageBreak/>
        <w:t>Executive Summary</w:t>
      </w:r>
      <w:bookmarkEnd w:id="5"/>
      <w:bookmarkEnd w:id="6"/>
      <w:bookmarkEnd w:id="7"/>
      <w:bookmarkEnd w:id="8"/>
      <w:bookmarkEnd w:id="9"/>
      <w:bookmarkEnd w:id="17"/>
      <w:bookmarkEnd w:id="18"/>
      <w:bookmarkEnd w:id="19"/>
    </w:p>
    <w:p w:rsidRPr="005A5966" w:rsidR="00D520BD" w:rsidP="00D520BD" w:rsidRDefault="00D520BD" w14:paraId="6F5745CD" w14:textId="77777777">
      <w:pPr>
        <w:rPr>
          <w:sz w:val="22"/>
          <w:szCs w:val="22"/>
        </w:rPr>
      </w:pPr>
    </w:p>
    <w:p w:rsidR="00D520BD" w:rsidP="00D520BD" w:rsidRDefault="00D520BD" w14:paraId="021DBC31" w14:textId="1B8EA4D1">
      <w:pPr>
        <w:tabs>
          <w:tab w:val="left" w:pos="3150"/>
        </w:tabs>
        <w:rPr>
          <w:sz w:val="22"/>
          <w:szCs w:val="22"/>
        </w:rPr>
      </w:pPr>
      <w:r w:rsidRPr="005A5966">
        <w:rPr>
          <w:sz w:val="22"/>
          <w:szCs w:val="22"/>
        </w:rPr>
        <w:t xml:space="preserve">The </w:t>
      </w:r>
      <w:r>
        <w:rPr>
          <w:rFonts w:cs="Arial"/>
          <w:bCs/>
          <w:sz w:val="22"/>
          <w:szCs w:val="22"/>
        </w:rPr>
        <w:t>U.S. </w:t>
      </w:r>
      <w:r w:rsidRPr="00362A6E">
        <w:rPr>
          <w:rFonts w:cs="Arial"/>
          <w:bCs/>
          <w:sz w:val="22"/>
          <w:szCs w:val="22"/>
        </w:rPr>
        <w:t xml:space="preserve">Nuclear Regulatory Commission (NRC) </w:t>
      </w:r>
      <w:r w:rsidRPr="005A5966">
        <w:rPr>
          <w:sz w:val="22"/>
          <w:szCs w:val="22"/>
        </w:rPr>
        <w:t>is amend</w:t>
      </w:r>
      <w:r w:rsidR="004010D8">
        <w:rPr>
          <w:sz w:val="22"/>
          <w:szCs w:val="22"/>
        </w:rPr>
        <w:t>ing</w:t>
      </w:r>
      <w:r w:rsidRPr="005A5966">
        <w:rPr>
          <w:sz w:val="22"/>
          <w:szCs w:val="22"/>
        </w:rPr>
        <w:t xml:space="preserve"> </w:t>
      </w:r>
      <w:r>
        <w:rPr>
          <w:sz w:val="22"/>
          <w:szCs w:val="22"/>
        </w:rPr>
        <w:t xml:space="preserve">Title 10 of the </w:t>
      </w:r>
      <w:r w:rsidRPr="00B10C2E">
        <w:rPr>
          <w:i/>
          <w:sz w:val="22"/>
          <w:szCs w:val="22"/>
        </w:rPr>
        <w:t>Code of Federal Regulations</w:t>
      </w:r>
      <w:r>
        <w:rPr>
          <w:sz w:val="22"/>
          <w:szCs w:val="22"/>
        </w:rPr>
        <w:t xml:space="preserve"> (10 CFR) Part 26</w:t>
      </w:r>
      <w:r w:rsidR="00646A79">
        <w:rPr>
          <w:sz w:val="22"/>
          <w:szCs w:val="22"/>
        </w:rPr>
        <w:t>,</w:t>
      </w:r>
      <w:r w:rsidRPr="005A5966">
        <w:rPr>
          <w:sz w:val="22"/>
          <w:szCs w:val="22"/>
        </w:rPr>
        <w:t xml:space="preserve"> </w:t>
      </w:r>
      <w:r w:rsidR="00646A79">
        <w:rPr>
          <w:sz w:val="22"/>
          <w:szCs w:val="22"/>
        </w:rPr>
        <w:t>“</w:t>
      </w:r>
      <w:r w:rsidRPr="005A5966">
        <w:rPr>
          <w:sz w:val="22"/>
          <w:szCs w:val="22"/>
        </w:rPr>
        <w:t xml:space="preserve">Fitness for </w:t>
      </w:r>
      <w:r w:rsidR="007714FC">
        <w:rPr>
          <w:sz w:val="22"/>
          <w:szCs w:val="22"/>
        </w:rPr>
        <w:t>d</w:t>
      </w:r>
      <w:r w:rsidRPr="005A5966">
        <w:rPr>
          <w:sz w:val="22"/>
          <w:szCs w:val="22"/>
        </w:rPr>
        <w:t xml:space="preserve">uty </w:t>
      </w:r>
      <w:r w:rsidR="007714FC">
        <w:rPr>
          <w:sz w:val="22"/>
          <w:szCs w:val="22"/>
        </w:rPr>
        <w:t>p</w:t>
      </w:r>
      <w:r w:rsidRPr="005A5966">
        <w:rPr>
          <w:sz w:val="22"/>
          <w:szCs w:val="22"/>
        </w:rPr>
        <w:t>rograms</w:t>
      </w:r>
      <w:r w:rsidR="00646A79">
        <w:rPr>
          <w:sz w:val="22"/>
          <w:szCs w:val="22"/>
        </w:rPr>
        <w:t>,”</w:t>
      </w:r>
      <w:r w:rsidR="00154C98">
        <w:rPr>
          <w:sz w:val="22"/>
          <w:szCs w:val="22"/>
        </w:rPr>
        <w:t xml:space="preserve"> </w:t>
      </w:r>
      <w:r w:rsidRPr="005A5966">
        <w:rPr>
          <w:sz w:val="22"/>
          <w:szCs w:val="22"/>
        </w:rPr>
        <w:t>to accomplish three objectives:</w:t>
      </w:r>
    </w:p>
    <w:p w:rsidR="00D520BD" w:rsidP="00D520BD" w:rsidRDefault="00D520BD" w14:paraId="49C95ADF" w14:textId="77777777">
      <w:pPr>
        <w:tabs>
          <w:tab w:val="left" w:pos="3150"/>
        </w:tabs>
        <w:rPr>
          <w:sz w:val="22"/>
          <w:szCs w:val="22"/>
        </w:rPr>
      </w:pPr>
    </w:p>
    <w:p w:rsidR="00D520BD" w:rsidP="005C6BA3" w:rsidRDefault="002718D3" w14:paraId="4CB00A42" w14:textId="420DFA15">
      <w:pPr>
        <w:pStyle w:val="ListParagraph"/>
        <w:numPr>
          <w:ilvl w:val="0"/>
          <w:numId w:val="32"/>
        </w:numPr>
        <w:tabs>
          <w:tab w:val="left" w:pos="3150"/>
        </w:tabs>
        <w:ind w:hanging="720"/>
        <w:rPr>
          <w:sz w:val="22"/>
          <w:szCs w:val="22"/>
        </w:rPr>
      </w:pPr>
      <w:r>
        <w:rPr>
          <w:sz w:val="22"/>
          <w:szCs w:val="22"/>
        </w:rPr>
        <w:t>M</w:t>
      </w:r>
      <w:r w:rsidR="00467D35">
        <w:rPr>
          <w:sz w:val="22"/>
          <w:szCs w:val="22"/>
        </w:rPr>
        <w:t xml:space="preserve">aintain reasonable assurance of a drug-free workplace through the </w:t>
      </w:r>
      <w:r w:rsidR="00D520BD">
        <w:rPr>
          <w:sz w:val="22"/>
          <w:szCs w:val="22"/>
        </w:rPr>
        <w:t>enhance</w:t>
      </w:r>
      <w:r w:rsidR="00467D35">
        <w:rPr>
          <w:sz w:val="22"/>
          <w:szCs w:val="22"/>
        </w:rPr>
        <w:t>d</w:t>
      </w:r>
      <w:r w:rsidRPr="0028014C" w:rsidR="00D520BD">
        <w:rPr>
          <w:sz w:val="22"/>
          <w:szCs w:val="22"/>
        </w:rPr>
        <w:t xml:space="preserve"> detection of individuals who are not fit for duty because of illegal drug use</w:t>
      </w:r>
      <w:r w:rsidR="00646A79">
        <w:rPr>
          <w:sz w:val="22"/>
          <w:szCs w:val="22"/>
        </w:rPr>
        <w:t>,</w:t>
      </w:r>
      <w:r w:rsidRPr="0028014C" w:rsidR="00D520BD">
        <w:rPr>
          <w:sz w:val="22"/>
          <w:szCs w:val="22"/>
        </w:rPr>
        <w:t xml:space="preserve"> legal drug misuse</w:t>
      </w:r>
      <w:r w:rsidR="00646A79">
        <w:rPr>
          <w:sz w:val="22"/>
          <w:szCs w:val="22"/>
        </w:rPr>
        <w:t>,</w:t>
      </w:r>
      <w:r w:rsidRPr="0028014C" w:rsidR="00D520BD">
        <w:rPr>
          <w:sz w:val="22"/>
          <w:szCs w:val="22"/>
        </w:rPr>
        <w:t xml:space="preserve"> or an attempt to subvert the drug testing process</w:t>
      </w:r>
      <w:r>
        <w:rPr>
          <w:sz w:val="22"/>
          <w:szCs w:val="22"/>
        </w:rPr>
        <w:t>.</w:t>
      </w:r>
    </w:p>
    <w:p w:rsidRPr="00B10C2E" w:rsidR="00D520BD" w:rsidP="00D520BD" w:rsidRDefault="00D520BD" w14:paraId="18867061" w14:textId="77777777">
      <w:pPr>
        <w:pStyle w:val="ListParagraph"/>
        <w:tabs>
          <w:tab w:val="left" w:pos="3150"/>
        </w:tabs>
        <w:rPr>
          <w:sz w:val="22"/>
          <w:szCs w:val="22"/>
        </w:rPr>
      </w:pPr>
    </w:p>
    <w:p w:rsidR="00D520BD" w:rsidP="005C6BA3" w:rsidRDefault="002718D3" w14:paraId="7891EA03" w14:textId="5322E3A3">
      <w:pPr>
        <w:pStyle w:val="ListParagraph"/>
        <w:numPr>
          <w:ilvl w:val="0"/>
          <w:numId w:val="32"/>
        </w:numPr>
        <w:tabs>
          <w:tab w:val="left" w:pos="3150"/>
        </w:tabs>
        <w:ind w:hanging="720"/>
        <w:rPr>
          <w:sz w:val="22"/>
          <w:szCs w:val="22"/>
        </w:rPr>
      </w:pPr>
      <w:r>
        <w:rPr>
          <w:sz w:val="22"/>
          <w:szCs w:val="22"/>
        </w:rPr>
        <w:t>H</w:t>
      </w:r>
      <w:r w:rsidR="00D520BD">
        <w:rPr>
          <w:sz w:val="22"/>
          <w:szCs w:val="22"/>
        </w:rPr>
        <w:t xml:space="preserve">armonize select drug testing requirements under 10 CFR Part 26 with the </w:t>
      </w:r>
      <w:r w:rsidRPr="00D802B0" w:rsidR="00D520BD">
        <w:rPr>
          <w:sz w:val="22"/>
          <w:szCs w:val="22"/>
        </w:rPr>
        <w:t>U.S.</w:t>
      </w:r>
      <w:r w:rsidR="00CD4D83">
        <w:rPr>
          <w:sz w:val="22"/>
          <w:szCs w:val="22"/>
        </w:rPr>
        <w:t> </w:t>
      </w:r>
      <w:r w:rsidRPr="00D802B0" w:rsidR="00D520BD">
        <w:rPr>
          <w:sz w:val="22"/>
          <w:szCs w:val="22"/>
        </w:rPr>
        <w:t>Department of Health and Human Services</w:t>
      </w:r>
      <w:r w:rsidR="00AF3000">
        <w:rPr>
          <w:sz w:val="22"/>
          <w:szCs w:val="22"/>
        </w:rPr>
        <w:t>’</w:t>
      </w:r>
      <w:r w:rsidRPr="00D802B0" w:rsidR="00D520BD">
        <w:rPr>
          <w:sz w:val="22"/>
          <w:szCs w:val="22"/>
        </w:rPr>
        <w:t xml:space="preserve"> (HHS) </w:t>
      </w:r>
      <w:r w:rsidR="00646A79">
        <w:rPr>
          <w:sz w:val="22"/>
          <w:szCs w:val="22"/>
        </w:rPr>
        <w:t>“</w:t>
      </w:r>
      <w:r w:rsidRPr="00D802B0" w:rsidR="00D520BD">
        <w:rPr>
          <w:sz w:val="22"/>
          <w:szCs w:val="22"/>
        </w:rPr>
        <w:t>Mandatory Guidelines for Federal Workplace Drug Test</w:t>
      </w:r>
      <w:r w:rsidR="00D520BD">
        <w:rPr>
          <w:sz w:val="22"/>
          <w:szCs w:val="22"/>
        </w:rPr>
        <w:t>ing Programs</w:t>
      </w:r>
      <w:r w:rsidR="00646A79">
        <w:rPr>
          <w:sz w:val="22"/>
          <w:szCs w:val="22"/>
        </w:rPr>
        <w:t>”</w:t>
      </w:r>
      <w:r w:rsidR="00D520BD">
        <w:rPr>
          <w:sz w:val="22"/>
          <w:szCs w:val="22"/>
        </w:rPr>
        <w:t xml:space="preserve"> (HHS Guidelines)</w:t>
      </w:r>
      <w:r>
        <w:rPr>
          <w:sz w:val="22"/>
          <w:szCs w:val="22"/>
        </w:rPr>
        <w:t>.</w:t>
      </w:r>
    </w:p>
    <w:p w:rsidR="00D520BD" w:rsidP="00D520BD" w:rsidRDefault="00D520BD" w14:paraId="10CB7ED0" w14:textId="77777777">
      <w:pPr>
        <w:pStyle w:val="ListParagraph"/>
        <w:tabs>
          <w:tab w:val="left" w:pos="3150"/>
        </w:tabs>
        <w:rPr>
          <w:sz w:val="22"/>
          <w:szCs w:val="22"/>
        </w:rPr>
      </w:pPr>
    </w:p>
    <w:p w:rsidR="00D520BD" w:rsidP="005C6BA3" w:rsidRDefault="002718D3" w14:paraId="69CC9FA4" w14:textId="504F0E0D">
      <w:pPr>
        <w:pStyle w:val="ListParagraph"/>
        <w:numPr>
          <w:ilvl w:val="0"/>
          <w:numId w:val="32"/>
        </w:numPr>
        <w:tabs>
          <w:tab w:val="left" w:pos="3150"/>
        </w:tabs>
        <w:ind w:hanging="720"/>
        <w:rPr>
          <w:sz w:val="22"/>
          <w:szCs w:val="22"/>
        </w:rPr>
      </w:pPr>
      <w:r>
        <w:rPr>
          <w:sz w:val="22"/>
          <w:szCs w:val="22"/>
        </w:rPr>
        <w:t>E</w:t>
      </w:r>
      <w:r w:rsidRPr="00B10C2E" w:rsidR="00D520BD">
        <w:rPr>
          <w:sz w:val="22"/>
          <w:szCs w:val="22"/>
        </w:rPr>
        <w:t>nhance</w:t>
      </w:r>
      <w:r w:rsidR="00D520BD">
        <w:rPr>
          <w:sz w:val="22"/>
          <w:szCs w:val="22"/>
        </w:rPr>
        <w:t xml:space="preserve"> donor protection and due process requirements for individuals subject to drug testing</w:t>
      </w:r>
      <w:r>
        <w:rPr>
          <w:sz w:val="22"/>
          <w:szCs w:val="22"/>
        </w:rPr>
        <w:t>.</w:t>
      </w:r>
    </w:p>
    <w:p w:rsidR="00D520BD" w:rsidP="00D520BD" w:rsidRDefault="00D520BD" w14:paraId="6A154B9D" w14:textId="77777777">
      <w:pPr>
        <w:pStyle w:val="ListParagraph"/>
        <w:tabs>
          <w:tab w:val="left" w:pos="3150"/>
        </w:tabs>
        <w:rPr>
          <w:sz w:val="22"/>
          <w:szCs w:val="22"/>
        </w:rPr>
      </w:pPr>
    </w:p>
    <w:p w:rsidRPr="00B10C2E" w:rsidR="00D520BD" w:rsidP="00D520BD" w:rsidRDefault="00F93A7B" w14:paraId="4E02BB99" w14:textId="1765C391">
      <w:pPr>
        <w:tabs>
          <w:tab w:val="left" w:pos="3150"/>
        </w:tabs>
        <w:rPr>
          <w:sz w:val="22"/>
          <w:szCs w:val="22"/>
        </w:rPr>
      </w:pPr>
      <w:r>
        <w:rPr>
          <w:sz w:val="22"/>
          <w:szCs w:val="22"/>
        </w:rPr>
        <w:t>The HHS published u</w:t>
      </w:r>
      <w:r w:rsidRPr="00467D35" w:rsidR="00D520BD">
        <w:rPr>
          <w:sz w:val="22"/>
          <w:szCs w:val="22"/>
        </w:rPr>
        <w:t>pdates to the HHS Guidelines in Volume 73</w:t>
      </w:r>
      <w:r w:rsidRPr="002718D3" w:rsidR="002718D3">
        <w:rPr>
          <w:sz w:val="22"/>
          <w:szCs w:val="22"/>
        </w:rPr>
        <w:t xml:space="preserve"> </w:t>
      </w:r>
      <w:r w:rsidRPr="00467D35" w:rsidR="002718D3">
        <w:rPr>
          <w:sz w:val="22"/>
          <w:szCs w:val="22"/>
        </w:rPr>
        <w:t xml:space="preserve">of the </w:t>
      </w:r>
      <w:r w:rsidRPr="00467D35" w:rsidR="002718D3">
        <w:rPr>
          <w:i/>
          <w:sz w:val="22"/>
          <w:szCs w:val="22"/>
        </w:rPr>
        <w:t>Federal Register</w:t>
      </w:r>
      <w:r w:rsidR="002718D3">
        <w:rPr>
          <w:iCs/>
          <w:sz w:val="22"/>
          <w:szCs w:val="22"/>
        </w:rPr>
        <w:t xml:space="preserve"> (FR)</w:t>
      </w:r>
      <w:r w:rsidR="00646A79">
        <w:rPr>
          <w:sz w:val="22"/>
          <w:szCs w:val="22"/>
        </w:rPr>
        <w:t>,</w:t>
      </w:r>
      <w:r w:rsidRPr="00467D35" w:rsidR="00D520BD">
        <w:rPr>
          <w:sz w:val="22"/>
          <w:szCs w:val="22"/>
        </w:rPr>
        <w:t xml:space="preserve"> page 71858 (</w:t>
      </w:r>
      <w:r w:rsidRPr="00467D35" w:rsidR="00D520BD">
        <w:rPr>
          <w:rFonts w:cs="Arial"/>
          <w:color w:val="000000"/>
          <w:sz w:val="22"/>
          <w:szCs w:val="22"/>
        </w:rPr>
        <w:t xml:space="preserve">73 FR 71858; </w:t>
      </w:r>
      <w:r w:rsidRPr="00467D35" w:rsidR="007508A4">
        <w:rPr>
          <w:sz w:val="22"/>
          <w:szCs w:val="22"/>
        </w:rPr>
        <w:t>November 25</w:t>
      </w:r>
      <w:r w:rsidR="00646A79">
        <w:rPr>
          <w:sz w:val="22"/>
          <w:szCs w:val="22"/>
        </w:rPr>
        <w:t>,</w:t>
      </w:r>
      <w:r w:rsidRPr="00467D35" w:rsidR="007508A4">
        <w:rPr>
          <w:sz w:val="22"/>
          <w:szCs w:val="22"/>
        </w:rPr>
        <w:t> 2008</w:t>
      </w:r>
      <w:r w:rsidRPr="00467D35" w:rsidR="00D520BD">
        <w:rPr>
          <w:rFonts w:cs="Arial"/>
          <w:color w:val="000000"/>
          <w:sz w:val="22"/>
          <w:szCs w:val="22"/>
        </w:rPr>
        <w:t xml:space="preserve">) (hereafter referred to as </w:t>
      </w:r>
      <w:r w:rsidRPr="00467D35" w:rsidR="00D520BD">
        <w:rPr>
          <w:sz w:val="22"/>
          <w:szCs w:val="22"/>
        </w:rPr>
        <w:t xml:space="preserve">the </w:t>
      </w:r>
      <w:r w:rsidR="00646A79">
        <w:rPr>
          <w:sz w:val="22"/>
          <w:szCs w:val="22"/>
        </w:rPr>
        <w:t>“</w:t>
      </w:r>
      <w:r w:rsidRPr="00467D35" w:rsidR="00D520BD">
        <w:rPr>
          <w:sz w:val="22"/>
          <w:szCs w:val="22"/>
        </w:rPr>
        <w:t>2008 HHS Guidelines</w:t>
      </w:r>
      <w:r w:rsidR="00646A79">
        <w:rPr>
          <w:sz w:val="22"/>
          <w:szCs w:val="22"/>
        </w:rPr>
        <w:t>”</w:t>
      </w:r>
      <w:r w:rsidRPr="00467D35" w:rsidR="00D520BD">
        <w:rPr>
          <w:sz w:val="22"/>
          <w:szCs w:val="22"/>
        </w:rPr>
        <w:t>)</w:t>
      </w:r>
      <w:r w:rsidR="002718D3">
        <w:rPr>
          <w:sz w:val="22"/>
          <w:szCs w:val="22"/>
        </w:rPr>
        <w:t>,</w:t>
      </w:r>
      <w:r w:rsidRPr="00467D35" w:rsidR="001729D4">
        <w:rPr>
          <w:sz w:val="22"/>
          <w:szCs w:val="22"/>
        </w:rPr>
        <w:t xml:space="preserve"> and in 82 FR 7920 </w:t>
      </w:r>
      <w:r w:rsidR="00332A4D">
        <w:rPr>
          <w:sz w:val="22"/>
          <w:szCs w:val="22"/>
        </w:rPr>
        <w:t>(</w:t>
      </w:r>
      <w:r w:rsidRPr="00467D35" w:rsidR="007508A4">
        <w:rPr>
          <w:sz w:val="22"/>
          <w:szCs w:val="22"/>
        </w:rPr>
        <w:t>January 23</w:t>
      </w:r>
      <w:r w:rsidR="00646A79">
        <w:rPr>
          <w:sz w:val="22"/>
          <w:szCs w:val="22"/>
        </w:rPr>
        <w:t>,</w:t>
      </w:r>
      <w:r w:rsidR="007508A4">
        <w:rPr>
          <w:sz w:val="22"/>
          <w:szCs w:val="22"/>
        </w:rPr>
        <w:t> </w:t>
      </w:r>
      <w:r w:rsidRPr="00467D35" w:rsidR="007508A4">
        <w:rPr>
          <w:sz w:val="22"/>
          <w:szCs w:val="22"/>
        </w:rPr>
        <w:t>2017</w:t>
      </w:r>
      <w:r w:rsidRPr="00467D35" w:rsidR="001729D4">
        <w:rPr>
          <w:sz w:val="22"/>
          <w:szCs w:val="22"/>
        </w:rPr>
        <w:t>)</w:t>
      </w:r>
      <w:r w:rsidR="001A08C3">
        <w:rPr>
          <w:sz w:val="22"/>
          <w:szCs w:val="22"/>
        </w:rPr>
        <w:t xml:space="preserve"> </w:t>
      </w:r>
      <w:r w:rsidRPr="00467D35" w:rsidR="001A08C3">
        <w:rPr>
          <w:rFonts w:cs="Arial"/>
          <w:color w:val="000000"/>
          <w:sz w:val="22"/>
          <w:szCs w:val="22"/>
        </w:rPr>
        <w:t xml:space="preserve">(hereafter referred to as </w:t>
      </w:r>
      <w:r w:rsidRPr="00467D35" w:rsidR="001A08C3">
        <w:rPr>
          <w:sz w:val="22"/>
          <w:szCs w:val="22"/>
        </w:rPr>
        <w:t xml:space="preserve">the </w:t>
      </w:r>
      <w:r w:rsidR="001A08C3">
        <w:rPr>
          <w:sz w:val="22"/>
          <w:szCs w:val="22"/>
        </w:rPr>
        <w:t>“2017</w:t>
      </w:r>
      <w:r w:rsidRPr="00467D35" w:rsidR="001A08C3">
        <w:rPr>
          <w:sz w:val="22"/>
          <w:szCs w:val="22"/>
        </w:rPr>
        <w:t xml:space="preserve"> HHS Guidelines</w:t>
      </w:r>
      <w:r w:rsidR="001A08C3">
        <w:rPr>
          <w:sz w:val="22"/>
          <w:szCs w:val="22"/>
        </w:rPr>
        <w:t>”</w:t>
      </w:r>
      <w:r w:rsidRPr="00467D35" w:rsidR="001A08C3">
        <w:rPr>
          <w:sz w:val="22"/>
          <w:szCs w:val="22"/>
        </w:rPr>
        <w:t>)</w:t>
      </w:r>
      <w:r w:rsidRPr="00467D35" w:rsidR="00D520BD">
        <w:rPr>
          <w:sz w:val="22"/>
          <w:szCs w:val="22"/>
        </w:rPr>
        <w:t>.  The NRC has relied on the HHS Guidelines as the technical basis to establish and update the requirements in 10</w:t>
      </w:r>
      <w:r w:rsidR="00165B8E">
        <w:rPr>
          <w:sz w:val="22"/>
          <w:szCs w:val="22"/>
        </w:rPr>
        <w:t> </w:t>
      </w:r>
      <w:r w:rsidRPr="00467D35" w:rsidR="00D520BD">
        <w:rPr>
          <w:sz w:val="22"/>
          <w:szCs w:val="22"/>
        </w:rPr>
        <w:t>CFR</w:t>
      </w:r>
      <w:r w:rsidR="00165B8E">
        <w:rPr>
          <w:sz w:val="22"/>
          <w:szCs w:val="22"/>
        </w:rPr>
        <w:t> </w:t>
      </w:r>
      <w:r w:rsidRPr="00467D35" w:rsidR="00D520BD">
        <w:rPr>
          <w:sz w:val="22"/>
          <w:szCs w:val="22"/>
        </w:rPr>
        <w:t>Part 26 for urine specimen collection</w:t>
      </w:r>
      <w:r w:rsidR="00646A79">
        <w:rPr>
          <w:sz w:val="22"/>
          <w:szCs w:val="22"/>
        </w:rPr>
        <w:t>,</w:t>
      </w:r>
      <w:r w:rsidRPr="00467D35" w:rsidR="00D520BD">
        <w:rPr>
          <w:sz w:val="22"/>
          <w:szCs w:val="22"/>
        </w:rPr>
        <w:t xml:space="preserve"> laboratory testing</w:t>
      </w:r>
      <w:r w:rsidR="00646A79">
        <w:rPr>
          <w:sz w:val="22"/>
          <w:szCs w:val="22"/>
        </w:rPr>
        <w:t>,</w:t>
      </w:r>
      <w:r w:rsidRPr="00467D35" w:rsidR="00D520BD">
        <w:rPr>
          <w:sz w:val="22"/>
          <w:szCs w:val="22"/>
        </w:rPr>
        <w:t xml:space="preserve"> and results review.  In general</w:t>
      </w:r>
      <w:r w:rsidR="00646A79">
        <w:rPr>
          <w:sz w:val="22"/>
          <w:szCs w:val="22"/>
        </w:rPr>
        <w:t>,</w:t>
      </w:r>
      <w:r w:rsidRPr="00467D35" w:rsidR="00D520BD">
        <w:rPr>
          <w:sz w:val="22"/>
          <w:szCs w:val="22"/>
        </w:rPr>
        <w:t xml:space="preserve"> the NRC deviated from the HHS Guidelines </w:t>
      </w:r>
      <w:r w:rsidR="00E478A3">
        <w:rPr>
          <w:sz w:val="22"/>
          <w:szCs w:val="22"/>
        </w:rPr>
        <w:t xml:space="preserve">only </w:t>
      </w:r>
      <w:r w:rsidRPr="00467D35" w:rsidR="00D520BD">
        <w:rPr>
          <w:sz w:val="22"/>
          <w:szCs w:val="22"/>
        </w:rPr>
        <w:t xml:space="preserve">for considerations specific to the nuclear industry.  </w:t>
      </w:r>
      <w:r w:rsidR="00332A4D">
        <w:rPr>
          <w:sz w:val="22"/>
          <w:szCs w:val="22"/>
        </w:rPr>
        <w:t>When</w:t>
      </w:r>
      <w:r w:rsidRPr="00467D35" w:rsidR="00D520BD">
        <w:rPr>
          <w:sz w:val="22"/>
          <w:szCs w:val="22"/>
        </w:rPr>
        <w:t xml:space="preserve"> the 2008 HHS Guidelines</w:t>
      </w:r>
      <w:r w:rsidRPr="00467D35" w:rsidR="000E2A64">
        <w:rPr>
          <w:sz w:val="22"/>
          <w:szCs w:val="22"/>
        </w:rPr>
        <w:t xml:space="preserve"> were published</w:t>
      </w:r>
      <w:r w:rsidR="00646A79">
        <w:rPr>
          <w:sz w:val="22"/>
          <w:szCs w:val="22"/>
        </w:rPr>
        <w:t>,</w:t>
      </w:r>
      <w:r w:rsidRPr="00467D35" w:rsidR="00D520BD">
        <w:rPr>
          <w:sz w:val="22"/>
          <w:szCs w:val="22"/>
        </w:rPr>
        <w:t xml:space="preserve"> the NRC </w:t>
      </w:r>
      <w:r w:rsidRPr="00467D35" w:rsidR="000E2A64">
        <w:rPr>
          <w:sz w:val="22"/>
          <w:szCs w:val="22"/>
        </w:rPr>
        <w:t>had recently issued</w:t>
      </w:r>
      <w:r w:rsidRPr="00467D35" w:rsidR="00D520BD">
        <w:rPr>
          <w:sz w:val="22"/>
          <w:szCs w:val="22"/>
        </w:rPr>
        <w:t xml:space="preserve"> the 10 CFR Part 26 final rule </w:t>
      </w:r>
      <w:r w:rsidRPr="00467D35" w:rsidR="000E2A64">
        <w:rPr>
          <w:sz w:val="22"/>
          <w:szCs w:val="22"/>
        </w:rPr>
        <w:t>(</w:t>
      </w:r>
      <w:r w:rsidRPr="00467D35" w:rsidR="001841EA">
        <w:rPr>
          <w:rFonts w:cs="Arial"/>
          <w:sz w:val="22"/>
          <w:szCs w:val="22"/>
        </w:rPr>
        <w:t>73 FR 16966; March</w:t>
      </w:r>
      <w:r w:rsidR="00060F09">
        <w:rPr>
          <w:rFonts w:cs="Arial"/>
          <w:sz w:val="22"/>
          <w:szCs w:val="22"/>
        </w:rPr>
        <w:t> </w:t>
      </w:r>
      <w:r w:rsidRPr="00467D35" w:rsidR="001841EA">
        <w:rPr>
          <w:rFonts w:cs="Arial"/>
          <w:sz w:val="22"/>
          <w:szCs w:val="22"/>
        </w:rPr>
        <w:t>31</w:t>
      </w:r>
      <w:r w:rsidR="00646A79">
        <w:rPr>
          <w:rFonts w:cs="Arial"/>
          <w:sz w:val="22"/>
          <w:szCs w:val="22"/>
        </w:rPr>
        <w:t>,</w:t>
      </w:r>
      <w:r w:rsidR="00060F09">
        <w:rPr>
          <w:rFonts w:cs="Arial"/>
          <w:sz w:val="22"/>
          <w:szCs w:val="22"/>
        </w:rPr>
        <w:t> </w:t>
      </w:r>
      <w:r w:rsidRPr="00467D35" w:rsidR="001841EA">
        <w:rPr>
          <w:rFonts w:cs="Arial"/>
          <w:sz w:val="22"/>
          <w:szCs w:val="22"/>
        </w:rPr>
        <w:t>2008</w:t>
      </w:r>
      <w:r w:rsidRPr="00467D35" w:rsidR="00D520BD">
        <w:rPr>
          <w:sz w:val="22"/>
          <w:szCs w:val="22"/>
        </w:rPr>
        <w:t>)</w:t>
      </w:r>
      <w:r w:rsidR="00EE7D4E">
        <w:rPr>
          <w:sz w:val="22"/>
          <w:szCs w:val="22"/>
        </w:rPr>
        <w:t xml:space="preserve"> to align with the 2004 HHS Guidelines</w:t>
      </w:r>
      <w:r w:rsidR="00600287">
        <w:rPr>
          <w:sz w:val="22"/>
          <w:szCs w:val="22"/>
        </w:rPr>
        <w:t xml:space="preserve"> (</w:t>
      </w:r>
      <w:r w:rsidR="00600287">
        <w:rPr>
          <w:rFonts w:cs="Arial"/>
          <w:sz w:val="22"/>
          <w:szCs w:val="22"/>
        </w:rPr>
        <w:t>69 FR 19643)</w:t>
      </w:r>
      <w:r w:rsidRPr="00467D35" w:rsidR="000E2A64">
        <w:rPr>
          <w:sz w:val="22"/>
          <w:szCs w:val="22"/>
        </w:rPr>
        <w:t>.  Therefore</w:t>
      </w:r>
      <w:r w:rsidR="00646A79">
        <w:rPr>
          <w:sz w:val="22"/>
          <w:szCs w:val="22"/>
        </w:rPr>
        <w:t>,</w:t>
      </w:r>
      <w:r w:rsidRPr="00467D35" w:rsidR="000E2A64">
        <w:rPr>
          <w:sz w:val="22"/>
          <w:szCs w:val="22"/>
        </w:rPr>
        <w:t xml:space="preserve"> </w:t>
      </w:r>
      <w:bookmarkStart w:name="_Hlk78404119" w:id="20"/>
      <w:r w:rsidRPr="00467D35" w:rsidR="000E2A64">
        <w:rPr>
          <w:sz w:val="22"/>
          <w:szCs w:val="22"/>
        </w:rPr>
        <w:t>the NRC determined that</w:t>
      </w:r>
      <w:r w:rsidRPr="00467D35" w:rsidR="00D15AC2">
        <w:rPr>
          <w:sz w:val="22"/>
          <w:szCs w:val="22"/>
        </w:rPr>
        <w:t xml:space="preserve"> </w:t>
      </w:r>
      <w:r w:rsidRPr="00467D35" w:rsidR="000E2A64">
        <w:rPr>
          <w:sz w:val="22"/>
          <w:szCs w:val="22"/>
        </w:rPr>
        <w:t>p</w:t>
      </w:r>
      <w:r w:rsidRPr="00467D35" w:rsidR="00D520BD">
        <w:rPr>
          <w:sz w:val="22"/>
          <w:szCs w:val="22"/>
        </w:rPr>
        <w:t xml:space="preserve">ostponing </w:t>
      </w:r>
      <w:r w:rsidRPr="00467D35" w:rsidR="000E2A64">
        <w:rPr>
          <w:sz w:val="22"/>
          <w:szCs w:val="22"/>
        </w:rPr>
        <w:t xml:space="preserve">a </w:t>
      </w:r>
      <w:r w:rsidRPr="00467D35" w:rsidR="00D520BD">
        <w:rPr>
          <w:sz w:val="22"/>
          <w:szCs w:val="22"/>
        </w:rPr>
        <w:t xml:space="preserve">rulemaking </w:t>
      </w:r>
      <w:r w:rsidRPr="00467D35" w:rsidR="000E2A64">
        <w:rPr>
          <w:sz w:val="22"/>
          <w:szCs w:val="22"/>
        </w:rPr>
        <w:t>to adopt the 2008 HHS Guidelines promote</w:t>
      </w:r>
      <w:r w:rsidR="00464E15">
        <w:rPr>
          <w:sz w:val="22"/>
          <w:szCs w:val="22"/>
        </w:rPr>
        <w:t>d</w:t>
      </w:r>
      <w:r w:rsidRPr="00467D35" w:rsidR="000E2A64">
        <w:rPr>
          <w:sz w:val="22"/>
          <w:szCs w:val="22"/>
        </w:rPr>
        <w:t xml:space="preserve"> regulatory stability and provide</w:t>
      </w:r>
      <w:r w:rsidR="00464E15">
        <w:rPr>
          <w:sz w:val="22"/>
          <w:szCs w:val="22"/>
        </w:rPr>
        <w:t>d</w:t>
      </w:r>
      <w:r w:rsidRPr="00467D35" w:rsidR="00D520BD">
        <w:rPr>
          <w:sz w:val="22"/>
          <w:szCs w:val="22"/>
        </w:rPr>
        <w:t xml:space="preserve"> time </w:t>
      </w:r>
      <w:r w:rsidR="00A14D25">
        <w:rPr>
          <w:sz w:val="22"/>
          <w:szCs w:val="22"/>
        </w:rPr>
        <w:t>both</w:t>
      </w:r>
      <w:r w:rsidRPr="00467D35" w:rsidR="00D520BD">
        <w:rPr>
          <w:sz w:val="22"/>
          <w:szCs w:val="22"/>
        </w:rPr>
        <w:t xml:space="preserve"> to collect data on the</w:t>
      </w:r>
      <w:r w:rsidR="004A65B0">
        <w:rPr>
          <w:sz w:val="22"/>
          <w:szCs w:val="22"/>
        </w:rPr>
        <w:t xml:space="preserve"> effectiveness of the</w:t>
      </w:r>
      <w:r w:rsidRPr="00467D35" w:rsidR="00D520BD">
        <w:rPr>
          <w:sz w:val="22"/>
          <w:szCs w:val="22"/>
        </w:rPr>
        <w:t xml:space="preserve"> </w:t>
      </w:r>
      <w:r w:rsidR="00A14D25">
        <w:rPr>
          <w:sz w:val="22"/>
          <w:szCs w:val="22"/>
        </w:rPr>
        <w:t>2008 FFD final</w:t>
      </w:r>
      <w:r w:rsidRPr="00467D35" w:rsidR="00D520BD">
        <w:rPr>
          <w:sz w:val="22"/>
          <w:szCs w:val="22"/>
        </w:rPr>
        <w:t xml:space="preserve"> rule and assess lessons learned from rule </w:t>
      </w:r>
      <w:r w:rsidR="0088767F">
        <w:rPr>
          <w:sz w:val="22"/>
          <w:szCs w:val="22"/>
        </w:rPr>
        <w:t xml:space="preserve">implementation, </w:t>
      </w:r>
      <w:r w:rsidR="00C05ACF">
        <w:rPr>
          <w:sz w:val="22"/>
          <w:szCs w:val="22"/>
        </w:rPr>
        <w:t xml:space="preserve">as well as to </w:t>
      </w:r>
      <w:r w:rsidR="005F6C81">
        <w:rPr>
          <w:sz w:val="22"/>
          <w:szCs w:val="22"/>
        </w:rPr>
        <w:t>assess</w:t>
      </w:r>
      <w:r w:rsidRPr="00467D35" w:rsidR="00D520BD">
        <w:rPr>
          <w:sz w:val="22"/>
          <w:szCs w:val="22"/>
        </w:rPr>
        <w:t xml:space="preserve"> </w:t>
      </w:r>
      <w:r w:rsidR="007C2F4A">
        <w:rPr>
          <w:sz w:val="22"/>
          <w:szCs w:val="22"/>
        </w:rPr>
        <w:t xml:space="preserve">changes in the </w:t>
      </w:r>
      <w:r w:rsidRPr="00467D35" w:rsidR="00D520BD">
        <w:rPr>
          <w:sz w:val="22"/>
          <w:szCs w:val="22"/>
        </w:rPr>
        <w:t>2008 HHS Guidelines</w:t>
      </w:r>
      <w:r w:rsidR="00ED5009">
        <w:rPr>
          <w:sz w:val="22"/>
          <w:szCs w:val="22"/>
        </w:rPr>
        <w:t xml:space="preserve"> that </w:t>
      </w:r>
      <w:r w:rsidRPr="00467D35" w:rsidR="00D520BD">
        <w:rPr>
          <w:sz w:val="22"/>
          <w:szCs w:val="22"/>
        </w:rPr>
        <w:t xml:space="preserve">became effective in October 2010. </w:t>
      </w:r>
      <w:bookmarkEnd w:id="20"/>
      <w:r w:rsidRPr="00467D35" w:rsidR="00D520BD">
        <w:rPr>
          <w:sz w:val="22"/>
          <w:szCs w:val="22"/>
        </w:rPr>
        <w:t xml:space="preserve"> </w:t>
      </w:r>
      <w:r w:rsidR="007508A4">
        <w:rPr>
          <w:sz w:val="22"/>
          <w:szCs w:val="22"/>
        </w:rPr>
        <w:t>Subsequently</w:t>
      </w:r>
      <w:r w:rsidR="00646A79">
        <w:rPr>
          <w:sz w:val="22"/>
          <w:szCs w:val="22"/>
        </w:rPr>
        <w:t>,</w:t>
      </w:r>
      <w:r w:rsidR="007508A4">
        <w:rPr>
          <w:sz w:val="22"/>
          <w:szCs w:val="22"/>
        </w:rPr>
        <w:t xml:space="preserve"> </w:t>
      </w:r>
      <w:r w:rsidR="00460913">
        <w:rPr>
          <w:sz w:val="22"/>
          <w:szCs w:val="22"/>
        </w:rPr>
        <w:t xml:space="preserve">the </w:t>
      </w:r>
      <w:r w:rsidR="007508A4">
        <w:rPr>
          <w:sz w:val="22"/>
          <w:szCs w:val="22"/>
        </w:rPr>
        <w:t>HHS published the 2017 HHS Guidelines</w:t>
      </w:r>
      <w:r w:rsidR="00720285">
        <w:rPr>
          <w:sz w:val="22"/>
          <w:szCs w:val="22"/>
        </w:rPr>
        <w:t xml:space="preserve">.  </w:t>
      </w:r>
      <w:r w:rsidRPr="00467D35" w:rsidR="000E2A64">
        <w:rPr>
          <w:sz w:val="22"/>
          <w:szCs w:val="22"/>
        </w:rPr>
        <w:t>The</w:t>
      </w:r>
      <w:r w:rsidR="00720285">
        <w:rPr>
          <w:sz w:val="22"/>
          <w:szCs w:val="22"/>
        </w:rPr>
        <w:t xml:space="preserve"> NRC staff has collected data on the </w:t>
      </w:r>
      <w:r w:rsidR="007C2F4A">
        <w:rPr>
          <w:sz w:val="22"/>
          <w:szCs w:val="22"/>
        </w:rPr>
        <w:t xml:space="preserve">effectiveness of the </w:t>
      </w:r>
      <w:r w:rsidR="00720285">
        <w:rPr>
          <w:sz w:val="22"/>
          <w:szCs w:val="22"/>
        </w:rPr>
        <w:t>2008 FFD rule and on the 2008 and 2017 HHS Guidelines</w:t>
      </w:r>
      <w:r w:rsidR="00646A79">
        <w:rPr>
          <w:sz w:val="22"/>
          <w:szCs w:val="22"/>
        </w:rPr>
        <w:t>,</w:t>
      </w:r>
      <w:r w:rsidRPr="00467D35" w:rsidR="000E2A64">
        <w:rPr>
          <w:sz w:val="22"/>
          <w:szCs w:val="22"/>
        </w:rPr>
        <w:t xml:space="preserve"> such that it is appropriate to revis</w:t>
      </w:r>
      <w:r w:rsidR="00A30F98">
        <w:rPr>
          <w:sz w:val="22"/>
          <w:szCs w:val="22"/>
        </w:rPr>
        <w:t>e</w:t>
      </w:r>
      <w:r w:rsidRPr="00467D35" w:rsidR="000E2A64">
        <w:rPr>
          <w:sz w:val="22"/>
          <w:szCs w:val="22"/>
        </w:rPr>
        <w:t xml:space="preserve"> 10</w:t>
      </w:r>
      <w:r w:rsidR="00E162C2">
        <w:rPr>
          <w:sz w:val="22"/>
          <w:szCs w:val="22"/>
        </w:rPr>
        <w:t> </w:t>
      </w:r>
      <w:r w:rsidRPr="00467D35" w:rsidR="000E2A64">
        <w:rPr>
          <w:sz w:val="22"/>
          <w:szCs w:val="22"/>
        </w:rPr>
        <w:t>CFR</w:t>
      </w:r>
      <w:r w:rsidR="00E162C2">
        <w:rPr>
          <w:sz w:val="22"/>
          <w:szCs w:val="22"/>
        </w:rPr>
        <w:t> </w:t>
      </w:r>
      <w:r w:rsidRPr="00467D35" w:rsidR="000E2A64">
        <w:rPr>
          <w:sz w:val="22"/>
          <w:szCs w:val="22"/>
        </w:rPr>
        <w:t>Part</w:t>
      </w:r>
      <w:r w:rsidR="00E162C2">
        <w:rPr>
          <w:sz w:val="22"/>
          <w:szCs w:val="22"/>
        </w:rPr>
        <w:t> </w:t>
      </w:r>
      <w:r w:rsidRPr="00467D35" w:rsidR="000E2A64">
        <w:rPr>
          <w:sz w:val="22"/>
          <w:szCs w:val="22"/>
        </w:rPr>
        <w:t>26</w:t>
      </w:r>
      <w:r w:rsidR="007C2F4A">
        <w:rPr>
          <w:sz w:val="22"/>
          <w:szCs w:val="22"/>
        </w:rPr>
        <w:t xml:space="preserve"> at this time</w:t>
      </w:r>
      <w:r w:rsidRPr="00467D35" w:rsidR="000E2A64">
        <w:rPr>
          <w:sz w:val="22"/>
          <w:szCs w:val="22"/>
        </w:rPr>
        <w:t>.</w:t>
      </w:r>
      <w:r w:rsidR="00A81B34">
        <w:rPr>
          <w:sz w:val="22"/>
          <w:szCs w:val="22"/>
        </w:rPr>
        <w:t xml:space="preserve">  </w:t>
      </w:r>
      <w:r w:rsidRPr="00445AF5" w:rsidR="00A81B34">
        <w:rPr>
          <w:sz w:val="22"/>
          <w:szCs w:val="22"/>
        </w:rPr>
        <w:t xml:space="preserve">On </w:t>
      </w:r>
      <w:r w:rsidRPr="00FA1966" w:rsidR="00A81B34">
        <w:rPr>
          <w:rFonts w:cs="Arial"/>
          <w:sz w:val="22"/>
          <w:szCs w:val="22"/>
        </w:rPr>
        <w:t xml:space="preserve">October 25, 2019, </w:t>
      </w:r>
      <w:r w:rsidR="00A81B34">
        <w:rPr>
          <w:rFonts w:cs="Arial"/>
          <w:sz w:val="22"/>
          <w:szCs w:val="22"/>
        </w:rPr>
        <w:t xml:space="preserve">the </w:t>
      </w:r>
      <w:r w:rsidRPr="00FA1966" w:rsidR="00A81B34">
        <w:rPr>
          <w:rFonts w:cs="Arial"/>
          <w:sz w:val="22"/>
          <w:szCs w:val="22"/>
        </w:rPr>
        <w:t xml:space="preserve">HHS published </w:t>
      </w:r>
      <w:r w:rsidR="00A81B34">
        <w:rPr>
          <w:rFonts w:cs="Arial"/>
          <w:sz w:val="22"/>
          <w:szCs w:val="22"/>
        </w:rPr>
        <w:t>its</w:t>
      </w:r>
      <w:r w:rsidRPr="00FA1966" w:rsidR="00A81B34">
        <w:rPr>
          <w:rFonts w:cs="Arial"/>
          <w:sz w:val="22"/>
          <w:szCs w:val="22"/>
        </w:rPr>
        <w:t xml:space="preserve"> 2019 HHS Guidelines (84 FR 57554) for</w:t>
      </w:r>
      <w:r w:rsidRPr="00445AF5" w:rsidR="00A81B34">
        <w:rPr>
          <w:rFonts w:cs="Arial"/>
          <w:sz w:val="22"/>
          <w:szCs w:val="22"/>
        </w:rPr>
        <w:t xml:space="preserve"> </w:t>
      </w:r>
      <w:r w:rsidRPr="00FA1966" w:rsidR="00A81B34">
        <w:rPr>
          <w:rFonts w:cs="Arial"/>
          <w:sz w:val="22"/>
          <w:szCs w:val="22"/>
        </w:rPr>
        <w:t>allowing the collection and drug testing of an alternative specimen (i.e</w:t>
      </w:r>
      <w:r w:rsidRPr="00FA1966" w:rsidDel="009B6ABC" w:rsidR="00A81B34">
        <w:rPr>
          <w:rFonts w:cs="Arial"/>
          <w:sz w:val="22"/>
          <w:szCs w:val="22"/>
        </w:rPr>
        <w:t>.</w:t>
      </w:r>
      <w:r w:rsidRPr="00FA1966" w:rsidR="00A81B34">
        <w:rPr>
          <w:rFonts w:cs="Arial"/>
          <w:sz w:val="22"/>
          <w:szCs w:val="22"/>
        </w:rPr>
        <w:t>, oral fluid).</w:t>
      </w:r>
    </w:p>
    <w:p w:rsidR="00D520BD" w:rsidP="00D520BD" w:rsidRDefault="00D520BD" w14:paraId="59E3B632" w14:textId="77777777">
      <w:pPr>
        <w:rPr>
          <w:sz w:val="22"/>
          <w:szCs w:val="22"/>
        </w:rPr>
      </w:pPr>
    </w:p>
    <w:p w:rsidR="00D520BD" w:rsidP="00D520BD" w:rsidRDefault="002A766B" w14:paraId="0FD17F4C" w14:textId="762AA3F5">
      <w:pPr>
        <w:rPr>
          <w:sz w:val="22"/>
          <w:szCs w:val="22"/>
        </w:rPr>
      </w:pPr>
      <w:r>
        <w:rPr>
          <w:sz w:val="22"/>
          <w:szCs w:val="22"/>
        </w:rPr>
        <w:t>M</w:t>
      </w:r>
      <w:r w:rsidR="00D520BD">
        <w:rPr>
          <w:sz w:val="22"/>
          <w:szCs w:val="22"/>
        </w:rPr>
        <w:t xml:space="preserve">ajor </w:t>
      </w:r>
      <w:r>
        <w:rPr>
          <w:sz w:val="22"/>
          <w:szCs w:val="22"/>
        </w:rPr>
        <w:t>changes in</w:t>
      </w:r>
      <w:r w:rsidR="00D520BD">
        <w:rPr>
          <w:sz w:val="22"/>
          <w:szCs w:val="22"/>
        </w:rPr>
        <w:t xml:space="preserve"> the </w:t>
      </w:r>
      <w:r w:rsidR="00014FF1">
        <w:rPr>
          <w:sz w:val="22"/>
          <w:szCs w:val="22"/>
        </w:rPr>
        <w:t>final</w:t>
      </w:r>
      <w:r w:rsidR="00D520BD">
        <w:rPr>
          <w:sz w:val="22"/>
          <w:szCs w:val="22"/>
        </w:rPr>
        <w:t xml:space="preserve"> rule do the following:</w:t>
      </w:r>
    </w:p>
    <w:p w:rsidR="00D520BD" w:rsidP="00D520BD" w:rsidRDefault="00D520BD" w14:paraId="730D45FF" w14:textId="77777777">
      <w:pPr>
        <w:rPr>
          <w:sz w:val="22"/>
          <w:szCs w:val="22"/>
        </w:rPr>
      </w:pPr>
    </w:p>
    <w:p w:rsidR="00595B86" w:rsidP="00043886" w:rsidRDefault="00595B86" w14:paraId="091607AA" w14:textId="6E2D109A">
      <w:pPr>
        <w:pStyle w:val="ListParagraph"/>
        <w:numPr>
          <w:ilvl w:val="0"/>
          <w:numId w:val="26"/>
        </w:numPr>
        <w:spacing w:after="240"/>
        <w:ind w:hanging="720"/>
        <w:contextualSpacing w:val="0"/>
        <w:rPr>
          <w:sz w:val="22"/>
          <w:szCs w:val="22"/>
        </w:rPr>
      </w:pPr>
      <w:r w:rsidRPr="005103DC">
        <w:rPr>
          <w:sz w:val="22"/>
          <w:szCs w:val="22"/>
        </w:rPr>
        <w:t xml:space="preserve">Add initial and confirmatory drug testing for two </w:t>
      </w:r>
      <w:r>
        <w:rPr>
          <w:sz w:val="22"/>
          <w:szCs w:val="22"/>
        </w:rPr>
        <w:t xml:space="preserve">Schedule I </w:t>
      </w:r>
      <w:r w:rsidRPr="005103DC">
        <w:rPr>
          <w:sz w:val="22"/>
          <w:szCs w:val="22"/>
        </w:rPr>
        <w:t>amphetamine</w:t>
      </w:r>
      <w:r w:rsidRPr="005103DC">
        <w:rPr>
          <w:sz w:val="22"/>
          <w:szCs w:val="22"/>
        </w:rPr>
        <w:noBreakHyphen/>
        <w:t>based Ecstasy</w:t>
      </w:r>
      <w:r w:rsidRPr="005103DC">
        <w:rPr>
          <w:sz w:val="22"/>
          <w:szCs w:val="22"/>
        </w:rPr>
        <w:noBreakHyphen/>
        <w:t>type drugs</w:t>
      </w:r>
      <w:r w:rsidRPr="005103DC">
        <w:rPr>
          <w:rStyle w:val="FootnoteReference"/>
          <w:rFonts w:cs="Arial"/>
          <w:sz w:val="22"/>
          <w:szCs w:val="22"/>
        </w:rPr>
        <w:footnoteReference w:id="2"/>
      </w:r>
      <w:r w:rsidRPr="005103DC">
        <w:rPr>
          <w:sz w:val="22"/>
          <w:szCs w:val="22"/>
        </w:rPr>
        <w:t xml:space="preserve"> and four </w:t>
      </w:r>
      <w:r w:rsidRPr="005103DC">
        <w:rPr>
          <w:rFonts w:cs="Arial"/>
          <w:sz w:val="22"/>
          <w:szCs w:val="22"/>
        </w:rPr>
        <w:t>Schedule II</w:t>
      </w:r>
      <w:r>
        <w:rPr>
          <w:rFonts w:cs="Arial"/>
          <w:sz w:val="22"/>
          <w:szCs w:val="22"/>
        </w:rPr>
        <w:t xml:space="preserve"> opioid</w:t>
      </w:r>
      <w:r w:rsidRPr="005103DC">
        <w:rPr>
          <w:rFonts w:cs="Arial"/>
          <w:sz w:val="22"/>
          <w:szCs w:val="22"/>
        </w:rPr>
        <w:t xml:space="preserve"> drugs </w:t>
      </w:r>
      <w:r w:rsidRPr="005103DC">
        <w:rPr>
          <w:sz w:val="22"/>
          <w:szCs w:val="22"/>
        </w:rPr>
        <w:t>(i.e</w:t>
      </w:r>
      <w:r>
        <w:rPr>
          <w:sz w:val="22"/>
          <w:szCs w:val="22"/>
        </w:rPr>
        <w:t>.</w:t>
      </w:r>
      <w:r w:rsidRPr="005103DC">
        <w:rPr>
          <w:sz w:val="22"/>
          <w:szCs w:val="22"/>
        </w:rPr>
        <w:t>, oxycodone, oxymorphone, hydrocodone</w:t>
      </w:r>
      <w:r>
        <w:rPr>
          <w:sz w:val="22"/>
          <w:szCs w:val="22"/>
        </w:rPr>
        <w:t>,</w:t>
      </w:r>
      <w:r w:rsidRPr="005103DC">
        <w:rPr>
          <w:sz w:val="22"/>
          <w:szCs w:val="22"/>
        </w:rPr>
        <w:t xml:space="preserve"> and hydromorphone).</w:t>
      </w:r>
    </w:p>
    <w:p w:rsidRPr="00043886" w:rsidR="00043886" w:rsidP="00043886" w:rsidRDefault="00043886" w14:paraId="5F02A04E" w14:textId="0053A39D">
      <w:pPr>
        <w:pStyle w:val="ListParagraph"/>
        <w:numPr>
          <w:ilvl w:val="0"/>
          <w:numId w:val="26"/>
        </w:numPr>
        <w:spacing w:after="220"/>
        <w:ind w:hanging="720"/>
        <w:contextualSpacing w:val="0"/>
        <w:rPr>
          <w:sz w:val="22"/>
          <w:szCs w:val="22"/>
        </w:rPr>
      </w:pPr>
      <w:r>
        <w:rPr>
          <w:sz w:val="22"/>
          <w:szCs w:val="22"/>
        </w:rPr>
        <w:lastRenderedPageBreak/>
        <w:t>Add initial drug</w:t>
      </w:r>
      <w:r w:rsidRPr="007F3FED">
        <w:rPr>
          <w:sz w:val="22"/>
          <w:szCs w:val="22"/>
        </w:rPr>
        <w:t xml:space="preserve"> testing </w:t>
      </w:r>
      <w:r>
        <w:rPr>
          <w:sz w:val="22"/>
          <w:szCs w:val="22"/>
        </w:rPr>
        <w:t xml:space="preserve">for </w:t>
      </w:r>
      <w:r w:rsidRPr="007F3FED">
        <w:rPr>
          <w:sz w:val="22"/>
          <w:szCs w:val="22"/>
        </w:rPr>
        <w:t>6-acetylmorphine (6-AM)</w:t>
      </w:r>
      <w:r>
        <w:rPr>
          <w:sz w:val="22"/>
          <w:szCs w:val="22"/>
        </w:rPr>
        <w:t>, a metabolite of the illegal drug heroin, and update the confirmatory drug testing method for 6</w:t>
      </w:r>
      <w:r>
        <w:rPr>
          <w:sz w:val="22"/>
          <w:szCs w:val="22"/>
        </w:rPr>
        <w:noBreakHyphen/>
        <w:t>AM.</w:t>
      </w:r>
    </w:p>
    <w:p w:rsidRPr="008C1754" w:rsidR="00D520BD" w:rsidP="00A23EC3" w:rsidRDefault="00D520BD" w14:paraId="5F433B1A" w14:textId="0D6916E0">
      <w:pPr>
        <w:pStyle w:val="ListParagraph"/>
        <w:numPr>
          <w:ilvl w:val="0"/>
          <w:numId w:val="26"/>
        </w:numPr>
        <w:spacing w:after="240"/>
        <w:ind w:hanging="720"/>
        <w:contextualSpacing w:val="0"/>
        <w:rPr>
          <w:sz w:val="22"/>
          <w:szCs w:val="22"/>
        </w:rPr>
      </w:pPr>
      <w:r>
        <w:rPr>
          <w:sz w:val="22"/>
          <w:szCs w:val="22"/>
        </w:rPr>
        <w:t>L</w:t>
      </w:r>
      <w:r w:rsidRPr="007F3FED">
        <w:rPr>
          <w:sz w:val="22"/>
          <w:szCs w:val="22"/>
        </w:rPr>
        <w:t>ower the initial and confirmatory</w:t>
      </w:r>
      <w:r>
        <w:rPr>
          <w:sz w:val="22"/>
          <w:szCs w:val="22"/>
        </w:rPr>
        <w:t xml:space="preserve"> drug</w:t>
      </w:r>
      <w:r w:rsidRPr="007F3FED">
        <w:rPr>
          <w:sz w:val="22"/>
          <w:szCs w:val="22"/>
        </w:rPr>
        <w:t xml:space="preserve"> testing cutoff</w:t>
      </w:r>
      <w:r>
        <w:rPr>
          <w:sz w:val="22"/>
          <w:szCs w:val="22"/>
        </w:rPr>
        <w:t xml:space="preserve"> level</w:t>
      </w:r>
      <w:r w:rsidRPr="007F3FED">
        <w:rPr>
          <w:sz w:val="22"/>
          <w:szCs w:val="22"/>
        </w:rPr>
        <w:t>s for amphetamines</w:t>
      </w:r>
      <w:r>
        <w:rPr>
          <w:sz w:val="22"/>
          <w:szCs w:val="22"/>
        </w:rPr>
        <w:t xml:space="preserve"> (i.e.</w:t>
      </w:r>
      <w:r w:rsidR="00646A79">
        <w:rPr>
          <w:sz w:val="22"/>
          <w:szCs w:val="22"/>
        </w:rPr>
        <w:t>,</w:t>
      </w:r>
      <w:r>
        <w:rPr>
          <w:sz w:val="22"/>
          <w:szCs w:val="22"/>
        </w:rPr>
        <w:t> amphetamine and methamphetamine)</w:t>
      </w:r>
      <w:r w:rsidRPr="007F3FED">
        <w:rPr>
          <w:sz w:val="22"/>
          <w:szCs w:val="22"/>
        </w:rPr>
        <w:t xml:space="preserve"> and cocaine metabolites to increase the </w:t>
      </w:r>
      <w:r w:rsidR="00646A79">
        <w:rPr>
          <w:sz w:val="22"/>
          <w:szCs w:val="22"/>
        </w:rPr>
        <w:t>“</w:t>
      </w:r>
      <w:r w:rsidRPr="007F3FED">
        <w:rPr>
          <w:sz w:val="22"/>
          <w:szCs w:val="22"/>
        </w:rPr>
        <w:t xml:space="preserve">window of </w:t>
      </w:r>
      <w:r w:rsidRPr="008C1754">
        <w:rPr>
          <w:sz w:val="22"/>
          <w:szCs w:val="22"/>
        </w:rPr>
        <w:t>detection</w:t>
      </w:r>
      <w:r w:rsidR="00646A79">
        <w:rPr>
          <w:sz w:val="22"/>
          <w:szCs w:val="22"/>
        </w:rPr>
        <w:t>”</w:t>
      </w:r>
      <w:r w:rsidRPr="008C1754">
        <w:rPr>
          <w:rStyle w:val="FootnoteReference"/>
          <w:sz w:val="22"/>
          <w:szCs w:val="22"/>
        </w:rPr>
        <w:footnoteReference w:id="3"/>
      </w:r>
      <w:r>
        <w:rPr>
          <w:sz w:val="22"/>
          <w:szCs w:val="22"/>
        </w:rPr>
        <w:t xml:space="preserve"> for these substances.</w:t>
      </w:r>
    </w:p>
    <w:p w:rsidR="00D520BD" w:rsidP="00A23EC3" w:rsidRDefault="00A040E6" w14:paraId="4A6BC238" w14:textId="6C0722C4">
      <w:pPr>
        <w:pStyle w:val="ListParagraph"/>
        <w:numPr>
          <w:ilvl w:val="0"/>
          <w:numId w:val="26"/>
        </w:numPr>
        <w:spacing w:after="240"/>
        <w:ind w:hanging="720"/>
        <w:contextualSpacing w:val="0"/>
        <w:rPr>
          <w:sz w:val="22"/>
          <w:szCs w:val="22"/>
        </w:rPr>
      </w:pPr>
      <w:bookmarkStart w:name="_Hlk78403877" w:id="21"/>
      <w:r>
        <w:rPr>
          <w:sz w:val="22"/>
          <w:szCs w:val="22"/>
        </w:rPr>
        <w:t xml:space="preserve">Enhance the detection of </w:t>
      </w:r>
      <w:r w:rsidR="00D520BD">
        <w:rPr>
          <w:sz w:val="22"/>
          <w:szCs w:val="22"/>
        </w:rPr>
        <w:t xml:space="preserve">subversion attempts by </w:t>
      </w:r>
      <w:r w:rsidR="0096745F">
        <w:rPr>
          <w:sz w:val="22"/>
          <w:szCs w:val="22"/>
        </w:rPr>
        <w:t xml:space="preserve">strengthening </w:t>
      </w:r>
      <w:r w:rsidRPr="008C1754" w:rsidR="00D520BD">
        <w:rPr>
          <w:sz w:val="22"/>
          <w:szCs w:val="22"/>
        </w:rPr>
        <w:t xml:space="preserve">the testing </w:t>
      </w:r>
      <w:r w:rsidR="0096745F">
        <w:rPr>
          <w:sz w:val="22"/>
          <w:szCs w:val="22"/>
        </w:rPr>
        <w:t xml:space="preserve">methods </w:t>
      </w:r>
      <w:bookmarkEnd w:id="21"/>
      <w:r w:rsidR="0096745F">
        <w:rPr>
          <w:sz w:val="22"/>
          <w:szCs w:val="22"/>
        </w:rPr>
        <w:t>used</w:t>
      </w:r>
      <w:r w:rsidR="001C61FA">
        <w:rPr>
          <w:sz w:val="22"/>
          <w:szCs w:val="22"/>
        </w:rPr>
        <w:t xml:space="preserve"> to identify </w:t>
      </w:r>
      <w:r w:rsidRPr="008C1754" w:rsidR="00D520BD">
        <w:rPr>
          <w:sz w:val="22"/>
          <w:szCs w:val="22"/>
        </w:rPr>
        <w:t xml:space="preserve">drugs and drug metabolites in urine specimens with dilute validity test results and in specimens collected </w:t>
      </w:r>
      <w:r w:rsidR="00D520BD">
        <w:rPr>
          <w:sz w:val="22"/>
          <w:szCs w:val="22"/>
        </w:rPr>
        <w:t>under direct observation.</w:t>
      </w:r>
    </w:p>
    <w:p w:rsidRPr="008C1754" w:rsidR="00467D35" w:rsidP="00A23EC3" w:rsidRDefault="00E61CB1" w14:paraId="7E013999" w14:textId="14ABDE07">
      <w:pPr>
        <w:pStyle w:val="ListParagraph"/>
        <w:numPr>
          <w:ilvl w:val="0"/>
          <w:numId w:val="26"/>
        </w:numPr>
        <w:spacing w:after="240"/>
        <w:ind w:hanging="720"/>
        <w:contextualSpacing w:val="0"/>
        <w:rPr>
          <w:sz w:val="22"/>
          <w:szCs w:val="22"/>
        </w:rPr>
      </w:pPr>
      <w:bookmarkStart w:name="_Hlk78403889" w:id="22"/>
      <w:r w:rsidRPr="00FE51C9">
        <w:rPr>
          <w:rFonts w:cs="Arial"/>
          <w:sz w:val="22"/>
          <w:szCs w:val="22"/>
        </w:rPr>
        <w:t xml:space="preserve">Permit </w:t>
      </w:r>
      <w:r w:rsidR="00467D35">
        <w:rPr>
          <w:rFonts w:cs="Arial"/>
          <w:sz w:val="22"/>
          <w:szCs w:val="22"/>
        </w:rPr>
        <w:t>the</w:t>
      </w:r>
      <w:r w:rsidRPr="00F80750" w:rsidR="00467D35">
        <w:rPr>
          <w:rFonts w:cs="Arial"/>
          <w:sz w:val="22"/>
          <w:szCs w:val="22"/>
        </w:rPr>
        <w:t xml:space="preserve"> collection </w:t>
      </w:r>
      <w:r w:rsidR="00467D35">
        <w:rPr>
          <w:rFonts w:cs="Arial"/>
          <w:sz w:val="22"/>
          <w:szCs w:val="22"/>
        </w:rPr>
        <w:t xml:space="preserve">and </w:t>
      </w:r>
      <w:r w:rsidRPr="00EE1E04">
        <w:rPr>
          <w:rFonts w:cs="Arial"/>
          <w:sz w:val="22"/>
          <w:szCs w:val="22"/>
        </w:rPr>
        <w:t xml:space="preserve">drug </w:t>
      </w:r>
      <w:r w:rsidR="00467D35">
        <w:rPr>
          <w:rFonts w:cs="Arial"/>
          <w:sz w:val="22"/>
          <w:szCs w:val="22"/>
        </w:rPr>
        <w:t xml:space="preserve">testing </w:t>
      </w:r>
      <w:r w:rsidRPr="00F80750" w:rsidR="00467D35">
        <w:rPr>
          <w:rFonts w:cs="Arial"/>
          <w:sz w:val="22"/>
          <w:szCs w:val="22"/>
        </w:rPr>
        <w:t xml:space="preserve">of an </w:t>
      </w:r>
      <w:r w:rsidRPr="004B7856">
        <w:rPr>
          <w:rFonts w:cs="Arial"/>
          <w:sz w:val="22"/>
          <w:szCs w:val="22"/>
        </w:rPr>
        <w:t>oral fl</w:t>
      </w:r>
      <w:r w:rsidRPr="00270F50">
        <w:rPr>
          <w:rFonts w:cs="Arial"/>
          <w:sz w:val="22"/>
          <w:szCs w:val="22"/>
        </w:rPr>
        <w:t xml:space="preserve">uid </w:t>
      </w:r>
      <w:r w:rsidRPr="00F80750" w:rsidR="00467D35">
        <w:rPr>
          <w:rFonts w:cs="Arial"/>
          <w:sz w:val="22"/>
          <w:szCs w:val="22"/>
        </w:rPr>
        <w:t xml:space="preserve">specimen </w:t>
      </w:r>
      <w:r w:rsidRPr="00FE51C9" w:rsidR="00B329B8">
        <w:rPr>
          <w:rFonts w:cs="Arial"/>
          <w:sz w:val="22"/>
          <w:szCs w:val="22"/>
        </w:rPr>
        <w:t xml:space="preserve">as an alternative to the collection </w:t>
      </w:r>
      <w:r w:rsidR="001643B5">
        <w:rPr>
          <w:rFonts w:cs="Arial"/>
          <w:sz w:val="22"/>
          <w:szCs w:val="22"/>
        </w:rPr>
        <w:t>and t</w:t>
      </w:r>
      <w:r w:rsidR="00394F1E">
        <w:rPr>
          <w:rFonts w:cs="Arial"/>
          <w:sz w:val="22"/>
          <w:szCs w:val="22"/>
        </w:rPr>
        <w:t>e</w:t>
      </w:r>
      <w:r w:rsidR="001643B5">
        <w:rPr>
          <w:rFonts w:cs="Arial"/>
          <w:sz w:val="22"/>
          <w:szCs w:val="22"/>
        </w:rPr>
        <w:t xml:space="preserve">sting </w:t>
      </w:r>
      <w:r w:rsidRPr="00FE51C9" w:rsidR="00B329B8">
        <w:rPr>
          <w:rFonts w:cs="Arial"/>
          <w:sz w:val="22"/>
          <w:szCs w:val="22"/>
        </w:rPr>
        <w:t>of a</w:t>
      </w:r>
      <w:r w:rsidRPr="00FE51C9" w:rsidR="00FE51C9">
        <w:rPr>
          <w:rFonts w:cs="Arial"/>
          <w:sz w:val="22"/>
          <w:szCs w:val="22"/>
        </w:rPr>
        <w:t xml:space="preserve"> direct</w:t>
      </w:r>
      <w:r w:rsidR="00394F1E">
        <w:rPr>
          <w:rFonts w:cs="Arial"/>
          <w:sz w:val="22"/>
          <w:szCs w:val="22"/>
        </w:rPr>
        <w:t>ly</w:t>
      </w:r>
      <w:r w:rsidRPr="00FE51C9" w:rsidR="00B329B8">
        <w:rPr>
          <w:rFonts w:cs="Arial"/>
          <w:sz w:val="22"/>
          <w:szCs w:val="22"/>
        </w:rPr>
        <w:t xml:space="preserve"> </w:t>
      </w:r>
      <w:r w:rsidR="00073732">
        <w:rPr>
          <w:rFonts w:cs="Arial"/>
          <w:sz w:val="22"/>
          <w:szCs w:val="22"/>
        </w:rPr>
        <w:t>observ</w:t>
      </w:r>
      <w:r w:rsidR="000A20C1">
        <w:rPr>
          <w:rFonts w:cs="Arial"/>
          <w:sz w:val="22"/>
          <w:szCs w:val="22"/>
        </w:rPr>
        <w:t>ed urine specimen</w:t>
      </w:r>
      <w:bookmarkEnd w:id="22"/>
      <w:r w:rsidR="000A20C1">
        <w:rPr>
          <w:rFonts w:cs="Arial"/>
          <w:sz w:val="22"/>
          <w:szCs w:val="22"/>
        </w:rPr>
        <w:t>.</w:t>
      </w:r>
    </w:p>
    <w:p w:rsidR="00D520BD" w:rsidP="00A23EC3" w:rsidRDefault="00994F96" w14:paraId="2306C1B3" w14:textId="672A76E8">
      <w:pPr>
        <w:pStyle w:val="ListParagraph"/>
        <w:numPr>
          <w:ilvl w:val="0"/>
          <w:numId w:val="26"/>
        </w:numPr>
        <w:spacing w:after="240"/>
        <w:ind w:hanging="720"/>
        <w:contextualSpacing w:val="0"/>
        <w:rPr>
          <w:sz w:val="22"/>
          <w:szCs w:val="22"/>
        </w:rPr>
      </w:pPr>
      <w:r>
        <w:rPr>
          <w:sz w:val="22"/>
          <w:szCs w:val="22"/>
        </w:rPr>
        <w:t>Re</w:t>
      </w:r>
      <w:r w:rsidRPr="008C1754" w:rsidR="00D520BD">
        <w:rPr>
          <w:sz w:val="22"/>
          <w:szCs w:val="22"/>
        </w:rPr>
        <w:t>quir</w:t>
      </w:r>
      <w:r>
        <w:rPr>
          <w:sz w:val="22"/>
          <w:szCs w:val="22"/>
        </w:rPr>
        <w:t>e</w:t>
      </w:r>
      <w:r w:rsidR="00D520BD">
        <w:rPr>
          <w:sz w:val="22"/>
          <w:szCs w:val="22"/>
        </w:rPr>
        <w:t xml:space="preserve"> Medical Review O</w:t>
      </w:r>
      <w:r w:rsidRPr="008C1754" w:rsidR="00D520BD">
        <w:rPr>
          <w:sz w:val="22"/>
          <w:szCs w:val="22"/>
        </w:rPr>
        <w:t>fficer</w:t>
      </w:r>
      <w:r>
        <w:rPr>
          <w:sz w:val="22"/>
          <w:szCs w:val="22"/>
        </w:rPr>
        <w:t>s</w:t>
      </w:r>
      <w:r w:rsidRPr="008C1754" w:rsidR="00D520BD">
        <w:rPr>
          <w:sz w:val="22"/>
          <w:szCs w:val="22"/>
        </w:rPr>
        <w:t xml:space="preserve"> </w:t>
      </w:r>
      <w:r>
        <w:rPr>
          <w:sz w:val="22"/>
          <w:szCs w:val="22"/>
        </w:rPr>
        <w:t xml:space="preserve">to </w:t>
      </w:r>
      <w:r w:rsidRPr="008C1754" w:rsidR="00D520BD">
        <w:rPr>
          <w:sz w:val="22"/>
          <w:szCs w:val="22"/>
        </w:rPr>
        <w:t>evaluat</w:t>
      </w:r>
      <w:r>
        <w:rPr>
          <w:sz w:val="22"/>
          <w:szCs w:val="22"/>
        </w:rPr>
        <w:t>e</w:t>
      </w:r>
      <w:r w:rsidRPr="008C1754" w:rsidR="00D520BD">
        <w:rPr>
          <w:sz w:val="22"/>
          <w:szCs w:val="22"/>
        </w:rPr>
        <w:t xml:space="preserve"> </w:t>
      </w:r>
      <w:r>
        <w:rPr>
          <w:sz w:val="22"/>
          <w:szCs w:val="22"/>
        </w:rPr>
        <w:t>the</w:t>
      </w:r>
      <w:r w:rsidR="00D520BD">
        <w:rPr>
          <w:sz w:val="22"/>
          <w:szCs w:val="22"/>
        </w:rPr>
        <w:t xml:space="preserve"> </w:t>
      </w:r>
      <w:r w:rsidRPr="008C1754" w:rsidR="00D520BD">
        <w:rPr>
          <w:sz w:val="22"/>
          <w:szCs w:val="22"/>
        </w:rPr>
        <w:t>elapsed time from specimen collection to testing and exposure to high temperature</w:t>
      </w:r>
      <w:r w:rsidR="008A758A">
        <w:rPr>
          <w:sz w:val="22"/>
          <w:szCs w:val="22"/>
        </w:rPr>
        <w:t>,</w:t>
      </w:r>
      <w:r w:rsidRPr="008C1754" w:rsidR="00D520BD">
        <w:rPr>
          <w:sz w:val="22"/>
          <w:szCs w:val="22"/>
        </w:rPr>
        <w:t xml:space="preserve"> as possible causes </w:t>
      </w:r>
      <w:r w:rsidR="008A758A">
        <w:rPr>
          <w:sz w:val="22"/>
          <w:szCs w:val="22"/>
        </w:rPr>
        <w:t>o</w:t>
      </w:r>
      <w:r w:rsidRPr="008C1754" w:rsidR="00D520BD">
        <w:rPr>
          <w:sz w:val="22"/>
          <w:szCs w:val="22"/>
        </w:rPr>
        <w:t xml:space="preserve">f some </w:t>
      </w:r>
      <w:r w:rsidR="00D520BD">
        <w:rPr>
          <w:sz w:val="22"/>
          <w:szCs w:val="22"/>
        </w:rPr>
        <w:t xml:space="preserve">invalid </w:t>
      </w:r>
      <w:r w:rsidRPr="008C1754" w:rsidR="00D520BD">
        <w:rPr>
          <w:sz w:val="22"/>
          <w:szCs w:val="22"/>
        </w:rPr>
        <w:t xml:space="preserve">test results </w:t>
      </w:r>
      <w:r w:rsidR="00D520BD">
        <w:rPr>
          <w:sz w:val="22"/>
          <w:szCs w:val="22"/>
        </w:rPr>
        <w:t xml:space="preserve">due to </w:t>
      </w:r>
      <w:r w:rsidRPr="008C1754" w:rsidR="00D520BD">
        <w:rPr>
          <w:sz w:val="22"/>
          <w:szCs w:val="22"/>
        </w:rPr>
        <w:t>high solvated hydrogen ion concentration (i.e.</w:t>
      </w:r>
      <w:r w:rsidR="00646A79">
        <w:rPr>
          <w:sz w:val="22"/>
          <w:szCs w:val="22"/>
        </w:rPr>
        <w:t>,</w:t>
      </w:r>
      <w:r w:rsidR="00B36D1B">
        <w:rPr>
          <w:sz w:val="22"/>
          <w:szCs w:val="22"/>
        </w:rPr>
        <w:t> </w:t>
      </w:r>
      <w:r w:rsidRPr="008C1754" w:rsidR="00D520BD">
        <w:rPr>
          <w:sz w:val="22"/>
          <w:szCs w:val="22"/>
        </w:rPr>
        <w:t>pH)</w:t>
      </w:r>
      <w:r w:rsidR="00D520BD">
        <w:rPr>
          <w:sz w:val="22"/>
          <w:szCs w:val="22"/>
        </w:rPr>
        <w:t>.</w:t>
      </w:r>
    </w:p>
    <w:p w:rsidR="00D520BD" w:rsidP="00B40B40" w:rsidRDefault="00B40B40" w14:paraId="571564E4" w14:textId="3F1CB166">
      <w:pPr>
        <w:pStyle w:val="ListParagraph"/>
        <w:numPr>
          <w:ilvl w:val="0"/>
          <w:numId w:val="26"/>
        </w:numPr>
        <w:spacing w:after="240"/>
        <w:ind w:hanging="720"/>
        <w:contextualSpacing w:val="0"/>
        <w:rPr>
          <w:sz w:val="22"/>
          <w:szCs w:val="22"/>
        </w:rPr>
      </w:pPr>
      <w:r w:rsidRPr="00B40B40">
        <w:rPr>
          <w:sz w:val="22"/>
          <w:szCs w:val="22"/>
        </w:rPr>
        <w:t xml:space="preserve">Improve the clarity, consistency, and organization of 10 CFR </w:t>
      </w:r>
      <w:r w:rsidR="00E20B60">
        <w:rPr>
          <w:sz w:val="22"/>
          <w:szCs w:val="22"/>
        </w:rPr>
        <w:t>P</w:t>
      </w:r>
      <w:r w:rsidRPr="00B40B40">
        <w:rPr>
          <w:sz w:val="22"/>
          <w:szCs w:val="22"/>
        </w:rPr>
        <w:t xml:space="preserve">art 26 by adding and updating definitions; increase flexibility in the personnel who may monitor a donor that is hydrating during a shy-bladder situation; and enhance donor protections by providing additional instructions for same-gender observers used in observed collections and </w:t>
      </w:r>
      <w:r w:rsidR="00FC5DF6">
        <w:rPr>
          <w:sz w:val="22"/>
          <w:szCs w:val="22"/>
        </w:rPr>
        <w:t xml:space="preserve">affording </w:t>
      </w:r>
      <w:r w:rsidRPr="00B40B40">
        <w:rPr>
          <w:sz w:val="22"/>
          <w:szCs w:val="22"/>
        </w:rPr>
        <w:t>due process by requiring MROs to document the date and time that an oral request is received from a donor to initiate the retesting of a specimen.</w:t>
      </w:r>
    </w:p>
    <w:p w:rsidRPr="00CF5AAD" w:rsidR="007832BA" w:rsidP="00CF5AAD" w:rsidRDefault="00CF5AAD" w14:paraId="124C6557" w14:textId="07A45BBC">
      <w:pPr>
        <w:pStyle w:val="ListParagraph"/>
        <w:spacing w:after="240"/>
        <w:ind w:left="0"/>
        <w:contextualSpacing w:val="0"/>
        <w:rPr>
          <w:sz w:val="22"/>
          <w:szCs w:val="22"/>
        </w:rPr>
      </w:pPr>
      <w:r>
        <w:rPr>
          <w:sz w:val="22"/>
          <w:szCs w:val="22"/>
        </w:rPr>
        <w:t xml:space="preserve">In addition, the final rule </w:t>
      </w:r>
      <w:r w:rsidR="00361C77">
        <w:rPr>
          <w:sz w:val="22"/>
          <w:szCs w:val="22"/>
        </w:rPr>
        <w:t xml:space="preserve">addresses </w:t>
      </w:r>
      <w:r w:rsidRPr="00CF5AAD" w:rsidR="007832BA">
        <w:rPr>
          <w:sz w:val="22"/>
          <w:szCs w:val="22"/>
        </w:rPr>
        <w:t xml:space="preserve">two </w:t>
      </w:r>
      <w:r w:rsidR="00361C77">
        <w:rPr>
          <w:sz w:val="22"/>
          <w:szCs w:val="22"/>
        </w:rPr>
        <w:t xml:space="preserve">issues </w:t>
      </w:r>
      <w:r w:rsidR="00B0178D">
        <w:rPr>
          <w:sz w:val="22"/>
          <w:szCs w:val="22"/>
        </w:rPr>
        <w:t xml:space="preserve">associated </w:t>
      </w:r>
      <w:r w:rsidR="00AC1BCF">
        <w:rPr>
          <w:sz w:val="22"/>
          <w:szCs w:val="22"/>
        </w:rPr>
        <w:t xml:space="preserve">with </w:t>
      </w:r>
      <w:r w:rsidRPr="00CF5AAD" w:rsidR="007832BA">
        <w:rPr>
          <w:sz w:val="22"/>
          <w:szCs w:val="22"/>
        </w:rPr>
        <w:t xml:space="preserve">the </w:t>
      </w:r>
      <w:r w:rsidR="00B0178D">
        <w:rPr>
          <w:sz w:val="22"/>
          <w:szCs w:val="22"/>
        </w:rPr>
        <w:t xml:space="preserve">testing of </w:t>
      </w:r>
      <w:r w:rsidRPr="00CF5AAD" w:rsidR="007832BA">
        <w:rPr>
          <w:sz w:val="22"/>
          <w:szCs w:val="22"/>
        </w:rPr>
        <w:t>quality control sample</w:t>
      </w:r>
      <w:r w:rsidR="00B0178D">
        <w:rPr>
          <w:sz w:val="22"/>
          <w:szCs w:val="22"/>
        </w:rPr>
        <w:t>s</w:t>
      </w:r>
      <w:r w:rsidRPr="00CF5AAD" w:rsidR="007832BA">
        <w:rPr>
          <w:sz w:val="22"/>
          <w:szCs w:val="22"/>
        </w:rPr>
        <w:t xml:space="preserve"> </w:t>
      </w:r>
      <w:r w:rsidR="00F5634D">
        <w:rPr>
          <w:sz w:val="22"/>
          <w:szCs w:val="22"/>
        </w:rPr>
        <w:t xml:space="preserve">at licensee testing facilities </w:t>
      </w:r>
      <w:r w:rsidRPr="00CF5AAD" w:rsidR="007832BA">
        <w:rPr>
          <w:sz w:val="22"/>
          <w:szCs w:val="22"/>
        </w:rPr>
        <w:t>that were described in a March 31, 2009, “NRC Enforcement Guidance Memorandum – Dispositioning Violations of NRC Requirements for Initial Validity and Drug Tests at Licensee Testing Facilities” (EGM</w:t>
      </w:r>
      <w:r w:rsidR="00FA41E5">
        <w:rPr>
          <w:sz w:val="22"/>
          <w:szCs w:val="22"/>
        </w:rPr>
        <w:t> </w:t>
      </w:r>
      <w:r w:rsidRPr="00CF5AAD" w:rsidR="007832BA">
        <w:rPr>
          <w:sz w:val="22"/>
          <w:szCs w:val="22"/>
        </w:rPr>
        <w:t>09</w:t>
      </w:r>
      <w:r w:rsidR="00FA41E5">
        <w:rPr>
          <w:sz w:val="22"/>
          <w:szCs w:val="22"/>
        </w:rPr>
        <w:noBreakHyphen/>
      </w:r>
      <w:r w:rsidRPr="00CF5AAD" w:rsidR="007832BA">
        <w:rPr>
          <w:sz w:val="22"/>
          <w:szCs w:val="22"/>
        </w:rPr>
        <w:t xml:space="preserve">003).  The NRC will </w:t>
      </w:r>
      <w:r w:rsidR="00554BD6">
        <w:rPr>
          <w:sz w:val="22"/>
          <w:szCs w:val="22"/>
        </w:rPr>
        <w:t xml:space="preserve">withdraw </w:t>
      </w:r>
      <w:r w:rsidRPr="00CF5AAD" w:rsidR="007832BA">
        <w:rPr>
          <w:sz w:val="22"/>
          <w:szCs w:val="22"/>
        </w:rPr>
        <w:t>EGM</w:t>
      </w:r>
      <w:r w:rsidR="00FA41E5">
        <w:rPr>
          <w:sz w:val="22"/>
          <w:szCs w:val="22"/>
        </w:rPr>
        <w:t> </w:t>
      </w:r>
      <w:r w:rsidRPr="00CF5AAD" w:rsidR="007832BA">
        <w:rPr>
          <w:sz w:val="22"/>
          <w:szCs w:val="22"/>
        </w:rPr>
        <w:t>09</w:t>
      </w:r>
      <w:r w:rsidR="00FA41E5">
        <w:rPr>
          <w:sz w:val="22"/>
          <w:szCs w:val="22"/>
        </w:rPr>
        <w:noBreakHyphen/>
      </w:r>
      <w:r w:rsidRPr="00CF5AAD" w:rsidR="007832BA">
        <w:rPr>
          <w:sz w:val="22"/>
          <w:szCs w:val="22"/>
        </w:rPr>
        <w:t xml:space="preserve">003 upon </w:t>
      </w:r>
      <w:r w:rsidR="00BC064B">
        <w:rPr>
          <w:sz w:val="22"/>
          <w:szCs w:val="22"/>
        </w:rPr>
        <w:t xml:space="preserve">the effective date of </w:t>
      </w:r>
      <w:r w:rsidRPr="00CF5AAD" w:rsidR="007832BA">
        <w:rPr>
          <w:sz w:val="22"/>
          <w:szCs w:val="22"/>
        </w:rPr>
        <w:t>the final rule.</w:t>
      </w:r>
    </w:p>
    <w:p w:rsidR="00D520BD" w:rsidP="00D520BD" w:rsidRDefault="00D520BD" w14:paraId="6ACC5644" w14:textId="77777777">
      <w:pPr>
        <w:keepNext/>
        <w:rPr>
          <w:sz w:val="22"/>
          <w:szCs w:val="22"/>
          <w:u w:val="single"/>
        </w:rPr>
      </w:pPr>
      <w:r>
        <w:rPr>
          <w:sz w:val="22"/>
          <w:szCs w:val="22"/>
          <w:u w:val="single"/>
        </w:rPr>
        <w:t>Workplace</w:t>
      </w:r>
      <w:r w:rsidRPr="001D0EA0">
        <w:rPr>
          <w:sz w:val="22"/>
          <w:szCs w:val="22"/>
          <w:u w:val="single"/>
        </w:rPr>
        <w:t xml:space="preserve"> Free of </w:t>
      </w:r>
      <w:r>
        <w:rPr>
          <w:sz w:val="22"/>
          <w:szCs w:val="22"/>
          <w:u w:val="single"/>
        </w:rPr>
        <w:t>Drugs and the Effects of Such Substances</w:t>
      </w:r>
    </w:p>
    <w:p w:rsidR="00D520BD" w:rsidP="00D520BD" w:rsidRDefault="00D520BD" w14:paraId="3C166DEF" w14:textId="77777777">
      <w:pPr>
        <w:keepNext/>
        <w:rPr>
          <w:sz w:val="22"/>
          <w:szCs w:val="22"/>
          <w:u w:val="single"/>
        </w:rPr>
      </w:pPr>
    </w:p>
    <w:p w:rsidR="00D520BD" w:rsidP="00D520BD" w:rsidRDefault="00D520BD" w14:paraId="43842DC9" w14:textId="6DA74A5A">
      <w:pPr>
        <w:rPr>
          <w:rFonts w:cs="Arial"/>
          <w:sz w:val="22"/>
          <w:szCs w:val="22"/>
        </w:rPr>
      </w:pPr>
      <w:r>
        <w:rPr>
          <w:rFonts w:cs="Arial"/>
          <w:sz w:val="22"/>
          <w:szCs w:val="22"/>
        </w:rPr>
        <w:t xml:space="preserve">The general </w:t>
      </w:r>
      <w:r w:rsidRPr="00FC1BD5">
        <w:rPr>
          <w:rFonts w:cs="Arial"/>
          <w:sz w:val="22"/>
          <w:szCs w:val="22"/>
        </w:rPr>
        <w:t>performance</w:t>
      </w:r>
      <w:r>
        <w:rPr>
          <w:rFonts w:cs="Arial"/>
          <w:sz w:val="22"/>
          <w:szCs w:val="22"/>
        </w:rPr>
        <w:t xml:space="preserve"> objective of an FFD program</w:t>
      </w:r>
      <w:r w:rsidR="00646A79">
        <w:rPr>
          <w:rFonts w:cs="Arial"/>
          <w:sz w:val="22"/>
          <w:szCs w:val="22"/>
        </w:rPr>
        <w:t>,</w:t>
      </w:r>
      <w:r>
        <w:rPr>
          <w:rFonts w:cs="Arial"/>
          <w:sz w:val="22"/>
          <w:szCs w:val="22"/>
        </w:rPr>
        <w:t xml:space="preserve"> as described in the original 10 CFR Part 26 final rule (54 FR 24468; June 7</w:t>
      </w:r>
      <w:r w:rsidR="00646A79">
        <w:rPr>
          <w:rFonts w:cs="Arial"/>
          <w:sz w:val="22"/>
          <w:szCs w:val="22"/>
        </w:rPr>
        <w:t>,</w:t>
      </w:r>
      <w:r>
        <w:rPr>
          <w:rFonts w:cs="Arial"/>
          <w:sz w:val="22"/>
          <w:szCs w:val="22"/>
        </w:rPr>
        <w:t> 1989)</w:t>
      </w:r>
      <w:r w:rsidR="00646A79">
        <w:rPr>
          <w:rFonts w:cs="Arial"/>
          <w:sz w:val="22"/>
          <w:szCs w:val="22"/>
        </w:rPr>
        <w:t>,</w:t>
      </w:r>
      <w:r w:rsidR="00720285">
        <w:rPr>
          <w:rFonts w:cs="Arial"/>
          <w:sz w:val="22"/>
          <w:szCs w:val="22"/>
        </w:rPr>
        <w:t xml:space="preserve"> </w:t>
      </w:r>
      <w:r w:rsidR="00646A79">
        <w:rPr>
          <w:rFonts w:cs="Arial"/>
          <w:sz w:val="22"/>
          <w:szCs w:val="22"/>
        </w:rPr>
        <w:t>“</w:t>
      </w:r>
      <w:r>
        <w:rPr>
          <w:rFonts w:cs="Arial"/>
          <w:sz w:val="22"/>
          <w:szCs w:val="22"/>
        </w:rPr>
        <w:t>is to provide reasonable assurance that nuclear power plant personnel are reliable</w:t>
      </w:r>
      <w:r w:rsidR="00646A79">
        <w:rPr>
          <w:rFonts w:cs="Arial"/>
          <w:sz w:val="22"/>
          <w:szCs w:val="22"/>
        </w:rPr>
        <w:t>,</w:t>
      </w:r>
      <w:r>
        <w:rPr>
          <w:rFonts w:cs="Arial"/>
          <w:sz w:val="22"/>
          <w:szCs w:val="22"/>
        </w:rPr>
        <w:t xml:space="preserve"> trustworthy</w:t>
      </w:r>
      <w:r w:rsidR="00646A79">
        <w:rPr>
          <w:rFonts w:cs="Arial"/>
          <w:sz w:val="22"/>
          <w:szCs w:val="22"/>
        </w:rPr>
        <w:t>,</w:t>
      </w:r>
      <w:r>
        <w:rPr>
          <w:rFonts w:cs="Arial"/>
          <w:sz w:val="22"/>
          <w:szCs w:val="22"/>
        </w:rPr>
        <w:t xml:space="preserve"> and not under the influence of any substance</w:t>
      </w:r>
      <w:r w:rsidR="00646A79">
        <w:rPr>
          <w:rFonts w:cs="Arial"/>
          <w:sz w:val="22"/>
          <w:szCs w:val="22"/>
        </w:rPr>
        <w:t>,</w:t>
      </w:r>
      <w:r>
        <w:rPr>
          <w:rFonts w:cs="Arial"/>
          <w:sz w:val="22"/>
          <w:szCs w:val="22"/>
        </w:rPr>
        <w:t xml:space="preserve"> legal or illegal</w:t>
      </w:r>
      <w:r w:rsidR="00646A79">
        <w:rPr>
          <w:rFonts w:cs="Arial"/>
          <w:sz w:val="22"/>
          <w:szCs w:val="22"/>
        </w:rPr>
        <w:t>,</w:t>
      </w:r>
      <w:r>
        <w:rPr>
          <w:rFonts w:cs="Arial"/>
          <w:sz w:val="22"/>
          <w:szCs w:val="22"/>
        </w:rPr>
        <w:t xml:space="preserve"> or mentally or physically impaired from any cause</w:t>
      </w:r>
      <w:r w:rsidR="00646A79">
        <w:rPr>
          <w:rFonts w:cs="Arial"/>
          <w:sz w:val="22"/>
          <w:szCs w:val="22"/>
        </w:rPr>
        <w:t>,</w:t>
      </w:r>
      <w:r>
        <w:rPr>
          <w:rFonts w:cs="Arial"/>
          <w:sz w:val="22"/>
          <w:szCs w:val="22"/>
        </w:rPr>
        <w:t xml:space="preserve"> which in any way adversely affects their ability to safely and competently perform their duties.</w:t>
      </w:r>
      <w:r w:rsidR="00646A79">
        <w:rPr>
          <w:rFonts w:cs="Arial"/>
          <w:sz w:val="22"/>
          <w:szCs w:val="22"/>
        </w:rPr>
        <w:t>”</w:t>
      </w:r>
      <w:r w:rsidR="00720285">
        <w:rPr>
          <w:rFonts w:cs="Arial"/>
          <w:sz w:val="22"/>
          <w:szCs w:val="22"/>
        </w:rPr>
        <w:t xml:space="preserve">  </w:t>
      </w:r>
      <w:r>
        <w:rPr>
          <w:rFonts w:cs="Arial"/>
          <w:sz w:val="22"/>
          <w:szCs w:val="22"/>
        </w:rPr>
        <w:t xml:space="preserve">This 1989 final rule also stated that an </w:t>
      </w:r>
      <w:r w:rsidRPr="00953CF5">
        <w:rPr>
          <w:rFonts w:cs="Arial"/>
          <w:sz w:val="22"/>
          <w:szCs w:val="22"/>
        </w:rPr>
        <w:t xml:space="preserve">FFD program </w:t>
      </w:r>
      <w:r w:rsidR="00646A79">
        <w:rPr>
          <w:rFonts w:cs="Arial"/>
          <w:sz w:val="22"/>
          <w:szCs w:val="22"/>
        </w:rPr>
        <w:t>“</w:t>
      </w:r>
      <w:r w:rsidRPr="00953CF5">
        <w:rPr>
          <w:rFonts w:cs="Arial"/>
          <w:sz w:val="22"/>
          <w:szCs w:val="22"/>
        </w:rPr>
        <w:t>developed under the requirements of this rule is intended to create an environment which is free of drugs and the effects of such substances</w:t>
      </w:r>
      <w:r w:rsidR="00061ECE">
        <w:rPr>
          <w:rFonts w:cs="Arial"/>
          <w:sz w:val="22"/>
          <w:szCs w:val="22"/>
        </w:rPr>
        <w:t>.</w:t>
      </w:r>
      <w:r w:rsidR="00646A79">
        <w:rPr>
          <w:rFonts w:cs="Arial"/>
          <w:sz w:val="22"/>
          <w:szCs w:val="22"/>
        </w:rPr>
        <w:t>”</w:t>
      </w:r>
      <w:r w:rsidRPr="002F5E85">
        <w:rPr>
          <w:rFonts w:cs="Arial"/>
          <w:sz w:val="22"/>
          <w:szCs w:val="22"/>
        </w:rPr>
        <w:t xml:space="preserve"> </w:t>
      </w:r>
      <w:r>
        <w:rPr>
          <w:rFonts w:cs="Arial"/>
          <w:sz w:val="22"/>
          <w:szCs w:val="22"/>
        </w:rPr>
        <w:t xml:space="preserve"> The regulations in 10 CFR 26.23</w:t>
      </w:r>
      <w:r w:rsidR="00646A79">
        <w:rPr>
          <w:rFonts w:cs="Arial"/>
          <w:sz w:val="22"/>
          <w:szCs w:val="22"/>
        </w:rPr>
        <w:t>,</w:t>
      </w:r>
      <w:r>
        <w:rPr>
          <w:rFonts w:cs="Arial"/>
          <w:sz w:val="22"/>
          <w:szCs w:val="22"/>
        </w:rPr>
        <w:t xml:space="preserve"> </w:t>
      </w:r>
      <w:r w:rsidR="00646A79">
        <w:rPr>
          <w:rFonts w:cs="Arial"/>
          <w:sz w:val="22"/>
          <w:szCs w:val="22"/>
        </w:rPr>
        <w:t>“</w:t>
      </w:r>
      <w:r>
        <w:rPr>
          <w:rFonts w:cs="Arial"/>
          <w:sz w:val="22"/>
          <w:szCs w:val="22"/>
        </w:rPr>
        <w:t xml:space="preserve">Performance </w:t>
      </w:r>
      <w:r w:rsidR="000E2A64">
        <w:rPr>
          <w:rFonts w:cs="Arial"/>
          <w:sz w:val="22"/>
          <w:szCs w:val="22"/>
        </w:rPr>
        <w:t>o</w:t>
      </w:r>
      <w:r>
        <w:rPr>
          <w:rFonts w:cs="Arial"/>
          <w:sz w:val="22"/>
          <w:szCs w:val="22"/>
        </w:rPr>
        <w:t>bjectives</w:t>
      </w:r>
      <w:r w:rsidR="00646A79">
        <w:rPr>
          <w:rFonts w:cs="Arial"/>
          <w:sz w:val="22"/>
          <w:szCs w:val="22"/>
        </w:rPr>
        <w:t>,”</w:t>
      </w:r>
      <w:r>
        <w:rPr>
          <w:rFonts w:cs="Arial"/>
          <w:sz w:val="22"/>
          <w:szCs w:val="22"/>
        </w:rPr>
        <w:t xml:space="preserve"> establish these drug</w:t>
      </w:r>
      <w:r>
        <w:rPr>
          <w:rFonts w:cs="Arial"/>
          <w:sz w:val="22"/>
          <w:szCs w:val="22"/>
        </w:rPr>
        <w:noBreakHyphen/>
        <w:t>free workplace requirements</w:t>
      </w:r>
      <w:r w:rsidR="00281F6C">
        <w:rPr>
          <w:rFonts w:cs="Arial"/>
          <w:sz w:val="22"/>
          <w:szCs w:val="22"/>
        </w:rPr>
        <w:t xml:space="preserve"> for an FFD program</w:t>
      </w:r>
      <w:r>
        <w:rPr>
          <w:rFonts w:cs="Arial"/>
          <w:sz w:val="22"/>
          <w:szCs w:val="22"/>
        </w:rPr>
        <w:t>.  Specifically</w:t>
      </w:r>
      <w:r w:rsidR="00646A79">
        <w:rPr>
          <w:rFonts w:cs="Arial"/>
          <w:sz w:val="22"/>
          <w:szCs w:val="22"/>
        </w:rPr>
        <w:t>,</w:t>
      </w:r>
      <w:r>
        <w:rPr>
          <w:rFonts w:cs="Arial"/>
          <w:sz w:val="22"/>
          <w:szCs w:val="22"/>
        </w:rPr>
        <w:t xml:space="preserve"> </w:t>
      </w:r>
      <w:r w:rsidRPr="00D20913" w:rsidR="00530388">
        <w:rPr>
          <w:sz w:val="22"/>
          <w:szCs w:val="22"/>
        </w:rPr>
        <w:t>10 CFR 26.23</w:t>
      </w:r>
      <w:r w:rsidR="00530388">
        <w:rPr>
          <w:sz w:val="22"/>
          <w:szCs w:val="22"/>
        </w:rPr>
        <w:t xml:space="preserve">(c) </w:t>
      </w:r>
      <w:r w:rsidR="00240807">
        <w:rPr>
          <w:sz w:val="22"/>
          <w:szCs w:val="22"/>
        </w:rPr>
        <w:t>states that an FFD program must</w:t>
      </w:r>
      <w:r w:rsidR="00530388">
        <w:rPr>
          <w:sz w:val="22"/>
          <w:szCs w:val="22"/>
        </w:rPr>
        <w:t xml:space="preserve"> “provide reasonable measures for the early detection of individuals who are not fit to perform the duties that require them to be subject to the FFD program</w:t>
      </w:r>
      <w:r w:rsidR="00E10391">
        <w:rPr>
          <w:sz w:val="22"/>
          <w:szCs w:val="22"/>
        </w:rPr>
        <w:t>,</w:t>
      </w:r>
      <w:r w:rsidR="00530388">
        <w:rPr>
          <w:sz w:val="22"/>
          <w:szCs w:val="22"/>
        </w:rPr>
        <w:t>” and</w:t>
      </w:r>
      <w:r>
        <w:rPr>
          <w:sz w:val="22"/>
          <w:szCs w:val="22"/>
        </w:rPr>
        <w:t xml:space="preserve"> </w:t>
      </w:r>
      <w:r w:rsidRPr="00D60A31">
        <w:rPr>
          <w:rFonts w:cs="Arial"/>
          <w:sz w:val="22"/>
          <w:szCs w:val="22"/>
        </w:rPr>
        <w:t>10</w:t>
      </w:r>
      <w:r>
        <w:rPr>
          <w:rFonts w:cs="Arial"/>
          <w:sz w:val="22"/>
          <w:szCs w:val="22"/>
        </w:rPr>
        <w:t> </w:t>
      </w:r>
      <w:r w:rsidRPr="00D60A31">
        <w:rPr>
          <w:rFonts w:cs="Arial"/>
          <w:sz w:val="22"/>
          <w:szCs w:val="22"/>
        </w:rPr>
        <w:t>CFR</w:t>
      </w:r>
      <w:r>
        <w:rPr>
          <w:rFonts w:cs="Arial"/>
          <w:sz w:val="22"/>
          <w:szCs w:val="22"/>
        </w:rPr>
        <w:t> </w:t>
      </w:r>
      <w:r w:rsidRPr="00D60A31">
        <w:rPr>
          <w:rFonts w:cs="Arial"/>
          <w:sz w:val="22"/>
          <w:szCs w:val="22"/>
        </w:rPr>
        <w:t xml:space="preserve">26.23(d) </w:t>
      </w:r>
      <w:r>
        <w:rPr>
          <w:rFonts w:cs="Arial"/>
          <w:sz w:val="22"/>
          <w:szCs w:val="22"/>
        </w:rPr>
        <w:t xml:space="preserve">states that an FFD program must </w:t>
      </w:r>
      <w:r w:rsidR="00646A79">
        <w:rPr>
          <w:rFonts w:cs="Arial"/>
          <w:sz w:val="22"/>
          <w:szCs w:val="22"/>
        </w:rPr>
        <w:t>“</w:t>
      </w:r>
      <w:r w:rsidRPr="00D60A31">
        <w:rPr>
          <w:rFonts w:cs="Arial"/>
          <w:sz w:val="22"/>
          <w:szCs w:val="22"/>
        </w:rPr>
        <w:t>provide reasonable assurance that the workplaces subject to this part are free from the presence and effects of illegal</w:t>
      </w:r>
      <w:r>
        <w:rPr>
          <w:rStyle w:val="FootnoteReference"/>
          <w:rFonts w:cs="Arial"/>
          <w:sz w:val="22"/>
          <w:szCs w:val="22"/>
        </w:rPr>
        <w:footnoteReference w:id="4"/>
      </w:r>
      <w:r w:rsidRPr="00D60A31">
        <w:rPr>
          <w:rFonts w:cs="Arial"/>
          <w:sz w:val="22"/>
          <w:szCs w:val="22"/>
        </w:rPr>
        <w:t xml:space="preserve"> drugs</w:t>
      </w:r>
      <w:r>
        <w:rPr>
          <w:rFonts w:cs="Arial"/>
          <w:sz w:val="22"/>
          <w:szCs w:val="22"/>
        </w:rPr>
        <w:t>.</w:t>
      </w:r>
      <w:r w:rsidR="00646A79">
        <w:rPr>
          <w:rFonts w:cs="Arial"/>
          <w:sz w:val="22"/>
          <w:szCs w:val="22"/>
        </w:rPr>
        <w:t>”</w:t>
      </w:r>
      <w:r>
        <w:rPr>
          <w:rFonts w:cs="Arial"/>
          <w:sz w:val="22"/>
          <w:szCs w:val="22"/>
        </w:rPr>
        <w:t xml:space="preserve">  </w:t>
      </w:r>
      <w:r w:rsidRPr="002F5E85">
        <w:rPr>
          <w:rFonts w:cs="Arial"/>
          <w:sz w:val="22"/>
          <w:szCs w:val="22"/>
        </w:rPr>
        <w:t xml:space="preserve">Preventing and detecting </w:t>
      </w:r>
      <w:r w:rsidRPr="002F5E85">
        <w:rPr>
          <w:rFonts w:cs="Arial"/>
          <w:sz w:val="22"/>
          <w:szCs w:val="22"/>
        </w:rPr>
        <w:lastRenderedPageBreak/>
        <w:t xml:space="preserve">impairment among personnel </w:t>
      </w:r>
      <w:r>
        <w:rPr>
          <w:rFonts w:cs="Arial"/>
          <w:sz w:val="22"/>
          <w:szCs w:val="22"/>
        </w:rPr>
        <w:t xml:space="preserve">subject to an FFD program </w:t>
      </w:r>
      <w:r w:rsidRPr="002F5E85">
        <w:rPr>
          <w:rFonts w:cs="Arial"/>
          <w:sz w:val="22"/>
          <w:szCs w:val="22"/>
        </w:rPr>
        <w:t xml:space="preserve">by conducting drug testing </w:t>
      </w:r>
      <w:r>
        <w:rPr>
          <w:rFonts w:cs="Arial"/>
          <w:sz w:val="22"/>
          <w:szCs w:val="22"/>
        </w:rPr>
        <w:t xml:space="preserve">provides reasonable assurance </w:t>
      </w:r>
      <w:r w:rsidRPr="002F5E85">
        <w:rPr>
          <w:rFonts w:cs="Arial"/>
          <w:sz w:val="22"/>
          <w:szCs w:val="22"/>
        </w:rPr>
        <w:t xml:space="preserve">that the workplace is free of drugs and the effects of such substances.  An FFD program contributes to </w:t>
      </w:r>
      <w:r>
        <w:rPr>
          <w:rFonts w:cs="Arial"/>
          <w:sz w:val="22"/>
          <w:szCs w:val="22"/>
        </w:rPr>
        <w:t xml:space="preserve">the </w:t>
      </w:r>
      <w:r w:rsidRPr="002F5E85">
        <w:rPr>
          <w:rFonts w:cs="Arial"/>
          <w:sz w:val="22"/>
          <w:szCs w:val="22"/>
        </w:rPr>
        <w:t>reasonable assurance that persons who have been granted un</w:t>
      </w:r>
      <w:r w:rsidRPr="005A5966">
        <w:rPr>
          <w:rFonts w:cs="Arial"/>
          <w:sz w:val="22"/>
          <w:szCs w:val="22"/>
        </w:rPr>
        <w:t>escorted access to</w:t>
      </w:r>
      <w:r>
        <w:rPr>
          <w:rFonts w:cs="Arial"/>
          <w:sz w:val="22"/>
          <w:szCs w:val="22"/>
        </w:rPr>
        <w:t xml:space="preserve"> the </w:t>
      </w:r>
      <w:r w:rsidRPr="005A5966">
        <w:rPr>
          <w:rFonts w:cs="Arial"/>
          <w:sz w:val="22"/>
          <w:szCs w:val="22"/>
        </w:rPr>
        <w:t>protected areas of NRC</w:t>
      </w:r>
      <w:r>
        <w:rPr>
          <w:rFonts w:cs="Arial"/>
          <w:sz w:val="22"/>
          <w:szCs w:val="22"/>
        </w:rPr>
        <w:noBreakHyphen/>
        <w:t>licensed</w:t>
      </w:r>
      <w:r w:rsidRPr="005A5966">
        <w:rPr>
          <w:rFonts w:cs="Arial"/>
          <w:sz w:val="22"/>
          <w:szCs w:val="22"/>
        </w:rPr>
        <w:t xml:space="preserve"> facilities </w:t>
      </w:r>
      <w:r>
        <w:rPr>
          <w:rFonts w:cs="Arial"/>
          <w:sz w:val="22"/>
          <w:szCs w:val="22"/>
        </w:rPr>
        <w:t>(i.e.</w:t>
      </w:r>
      <w:r w:rsidR="00646A79">
        <w:rPr>
          <w:rFonts w:cs="Arial"/>
          <w:sz w:val="22"/>
          <w:szCs w:val="22"/>
        </w:rPr>
        <w:t>,</w:t>
      </w:r>
      <w:r>
        <w:rPr>
          <w:rFonts w:cs="Arial"/>
          <w:sz w:val="22"/>
          <w:szCs w:val="22"/>
        </w:rPr>
        <w:t> </w:t>
      </w:r>
      <w:r w:rsidRPr="00BF4E0D">
        <w:rPr>
          <w:rFonts w:cs="Arial"/>
          <w:sz w:val="22"/>
          <w:szCs w:val="22"/>
        </w:rPr>
        <w:t>operating nuclear power reactors</w:t>
      </w:r>
      <w:r w:rsidR="00646A79">
        <w:rPr>
          <w:rFonts w:cs="Arial"/>
          <w:sz w:val="22"/>
          <w:szCs w:val="22"/>
        </w:rPr>
        <w:t>,</w:t>
      </w:r>
      <w:r w:rsidRPr="00BF4E0D">
        <w:rPr>
          <w:rFonts w:cs="Arial"/>
          <w:sz w:val="22"/>
          <w:szCs w:val="22"/>
        </w:rPr>
        <w:t xml:space="preserve"> nuclear power reactors under construction</w:t>
      </w:r>
      <w:r w:rsidR="00646A79">
        <w:rPr>
          <w:rFonts w:cs="Arial"/>
          <w:sz w:val="22"/>
          <w:szCs w:val="22"/>
        </w:rPr>
        <w:t>,</w:t>
      </w:r>
      <w:r>
        <w:rPr>
          <w:rFonts w:cs="Arial"/>
          <w:sz w:val="22"/>
          <w:szCs w:val="22"/>
        </w:rPr>
        <w:t xml:space="preserve"> and</w:t>
      </w:r>
      <w:r w:rsidRPr="00BF4E0D">
        <w:rPr>
          <w:rFonts w:cs="Arial"/>
          <w:sz w:val="22"/>
          <w:szCs w:val="22"/>
        </w:rPr>
        <w:t xml:space="preserve"> Ca</w:t>
      </w:r>
      <w:r>
        <w:rPr>
          <w:rFonts w:cs="Arial"/>
          <w:sz w:val="22"/>
          <w:szCs w:val="22"/>
        </w:rPr>
        <w:t xml:space="preserve">tegory I </w:t>
      </w:r>
      <w:r w:rsidR="0088161E">
        <w:rPr>
          <w:rFonts w:cs="Arial"/>
          <w:sz w:val="22"/>
          <w:szCs w:val="22"/>
        </w:rPr>
        <w:t>special nuclear material licensee</w:t>
      </w:r>
      <w:r w:rsidR="00B95B57">
        <w:rPr>
          <w:rFonts w:cs="Arial"/>
          <w:sz w:val="22"/>
          <w:szCs w:val="22"/>
        </w:rPr>
        <w:t xml:space="preserve"> facilitie</w:t>
      </w:r>
      <w:r w:rsidR="0088161E">
        <w:rPr>
          <w:rFonts w:cs="Arial"/>
          <w:sz w:val="22"/>
          <w:szCs w:val="22"/>
        </w:rPr>
        <w:t>s</w:t>
      </w:r>
      <w:r>
        <w:rPr>
          <w:rFonts w:cs="Arial"/>
          <w:sz w:val="22"/>
          <w:szCs w:val="22"/>
        </w:rPr>
        <w:t>)</w:t>
      </w:r>
      <w:r w:rsidR="00646A79">
        <w:rPr>
          <w:rFonts w:cs="Arial"/>
          <w:sz w:val="22"/>
          <w:szCs w:val="22"/>
        </w:rPr>
        <w:t>,</w:t>
      </w:r>
      <w:r w:rsidRPr="00BF4E0D">
        <w:rPr>
          <w:rFonts w:cs="Arial"/>
          <w:sz w:val="22"/>
          <w:szCs w:val="22"/>
        </w:rPr>
        <w:t xml:space="preserve"> </w:t>
      </w:r>
      <w:r>
        <w:rPr>
          <w:rFonts w:cs="Arial"/>
          <w:sz w:val="22"/>
          <w:szCs w:val="22"/>
        </w:rPr>
        <w:t>who are required by a</w:t>
      </w:r>
      <w:r w:rsidRPr="00BF4E0D">
        <w:rPr>
          <w:rFonts w:cs="Arial"/>
          <w:sz w:val="22"/>
          <w:szCs w:val="22"/>
        </w:rPr>
        <w:t xml:space="preserve"> </w:t>
      </w:r>
      <w:r>
        <w:rPr>
          <w:rFonts w:cs="Arial"/>
          <w:sz w:val="22"/>
          <w:szCs w:val="22"/>
        </w:rPr>
        <w:t xml:space="preserve">licensee to physically report to other </w:t>
      </w:r>
      <w:r w:rsidRPr="00BF4E0D">
        <w:rPr>
          <w:rFonts w:cs="Arial"/>
          <w:sz w:val="22"/>
          <w:szCs w:val="22"/>
        </w:rPr>
        <w:t>locations (e.g.</w:t>
      </w:r>
      <w:r w:rsidR="00646A79">
        <w:rPr>
          <w:rFonts w:cs="Arial"/>
          <w:sz w:val="22"/>
          <w:szCs w:val="22"/>
        </w:rPr>
        <w:t>,</w:t>
      </w:r>
      <w:r>
        <w:rPr>
          <w:rFonts w:cs="Arial"/>
          <w:sz w:val="22"/>
          <w:szCs w:val="22"/>
        </w:rPr>
        <w:t> E</w:t>
      </w:r>
      <w:r>
        <w:rPr>
          <w:sz w:val="22"/>
          <w:szCs w:val="22"/>
        </w:rPr>
        <w:t>mergency Operations Facilities</w:t>
      </w:r>
      <w:r w:rsidR="00646A79">
        <w:rPr>
          <w:sz w:val="22"/>
          <w:szCs w:val="22"/>
        </w:rPr>
        <w:t>,</w:t>
      </w:r>
      <w:r>
        <w:rPr>
          <w:sz w:val="22"/>
          <w:szCs w:val="22"/>
        </w:rPr>
        <w:t xml:space="preserve"> Technical Support Centers</w:t>
      </w:r>
      <w:r w:rsidRPr="00BF4E0D">
        <w:rPr>
          <w:rFonts w:cs="Arial"/>
          <w:sz w:val="22"/>
          <w:szCs w:val="22"/>
        </w:rPr>
        <w:t>)</w:t>
      </w:r>
      <w:r w:rsidR="00646A79">
        <w:rPr>
          <w:rFonts w:cs="Arial"/>
          <w:sz w:val="22"/>
          <w:szCs w:val="22"/>
        </w:rPr>
        <w:t>,</w:t>
      </w:r>
      <w:r w:rsidRPr="00BF4E0D">
        <w:rPr>
          <w:rFonts w:cs="Arial"/>
          <w:sz w:val="22"/>
          <w:szCs w:val="22"/>
        </w:rPr>
        <w:t xml:space="preserve"> </w:t>
      </w:r>
      <w:r>
        <w:rPr>
          <w:rFonts w:cs="Arial"/>
          <w:sz w:val="22"/>
          <w:szCs w:val="22"/>
        </w:rPr>
        <w:t>or who have access to strategic special nuclear material (</w:t>
      </w:r>
      <w:r w:rsidRPr="005A5966">
        <w:rPr>
          <w:rFonts w:cs="Arial"/>
          <w:sz w:val="22"/>
          <w:szCs w:val="22"/>
        </w:rPr>
        <w:t>SSNM</w:t>
      </w:r>
      <w:r>
        <w:rPr>
          <w:rFonts w:cs="Arial"/>
          <w:sz w:val="22"/>
          <w:szCs w:val="22"/>
        </w:rPr>
        <w:t>) or sensitive information</w:t>
      </w:r>
      <w:r w:rsidRPr="005A5966">
        <w:rPr>
          <w:rFonts w:cs="Arial"/>
          <w:sz w:val="22"/>
          <w:szCs w:val="22"/>
        </w:rPr>
        <w:t xml:space="preserve"> are trustworthy and reliable and can safely and competently perform </w:t>
      </w:r>
      <w:r>
        <w:rPr>
          <w:rFonts w:cs="Arial"/>
          <w:sz w:val="22"/>
          <w:szCs w:val="22"/>
        </w:rPr>
        <w:t xml:space="preserve">their </w:t>
      </w:r>
      <w:r w:rsidRPr="005A5966">
        <w:rPr>
          <w:rFonts w:cs="Arial"/>
          <w:sz w:val="22"/>
          <w:szCs w:val="22"/>
        </w:rPr>
        <w:t>assigned duties.</w:t>
      </w:r>
    </w:p>
    <w:p w:rsidR="00D520BD" w:rsidP="00D520BD" w:rsidRDefault="00D520BD" w14:paraId="40DD4831" w14:textId="77777777">
      <w:pPr>
        <w:rPr>
          <w:rFonts w:cs="Arial"/>
          <w:sz w:val="22"/>
          <w:szCs w:val="22"/>
        </w:rPr>
      </w:pPr>
    </w:p>
    <w:p w:rsidR="00D520BD" w:rsidP="00D520BD" w:rsidRDefault="001A08C3" w14:paraId="04276748" w14:textId="661AA50F">
      <w:pPr>
        <w:rPr>
          <w:sz w:val="22"/>
          <w:szCs w:val="22"/>
        </w:rPr>
      </w:pPr>
      <w:r>
        <w:rPr>
          <w:rFonts w:cs="Arial"/>
          <w:sz w:val="22"/>
          <w:szCs w:val="22"/>
        </w:rPr>
        <w:t xml:space="preserve">The </w:t>
      </w:r>
      <w:r w:rsidRPr="005A5966" w:rsidR="00D520BD">
        <w:rPr>
          <w:rFonts w:cs="Arial"/>
          <w:sz w:val="22"/>
          <w:szCs w:val="22"/>
        </w:rPr>
        <w:t xml:space="preserve">HHS is designated as the Federal agency responsible for </w:t>
      </w:r>
      <w:r w:rsidR="00D520BD">
        <w:rPr>
          <w:rFonts w:cs="Arial"/>
          <w:sz w:val="22"/>
          <w:szCs w:val="22"/>
        </w:rPr>
        <w:t xml:space="preserve">developing the scientific and technical guidelines for </w:t>
      </w:r>
      <w:r w:rsidRPr="005A5966" w:rsidR="00D520BD">
        <w:rPr>
          <w:rFonts w:cs="Arial"/>
          <w:sz w:val="22"/>
          <w:szCs w:val="22"/>
        </w:rPr>
        <w:t xml:space="preserve">Federal </w:t>
      </w:r>
      <w:r w:rsidR="00D520BD">
        <w:rPr>
          <w:rFonts w:cs="Arial"/>
          <w:sz w:val="22"/>
          <w:szCs w:val="22"/>
        </w:rPr>
        <w:t xml:space="preserve">employee </w:t>
      </w:r>
      <w:r w:rsidRPr="005A5966" w:rsidR="00D520BD">
        <w:rPr>
          <w:rFonts w:cs="Arial"/>
          <w:sz w:val="22"/>
          <w:szCs w:val="22"/>
        </w:rPr>
        <w:t xml:space="preserve">workplace drug testing </w:t>
      </w:r>
      <w:r w:rsidR="00D520BD">
        <w:rPr>
          <w:rFonts w:cs="Arial"/>
          <w:sz w:val="22"/>
          <w:szCs w:val="22"/>
        </w:rPr>
        <w:t>programs</w:t>
      </w:r>
      <w:r>
        <w:rPr>
          <w:rFonts w:cs="Arial"/>
          <w:sz w:val="22"/>
          <w:szCs w:val="22"/>
        </w:rPr>
        <w:t xml:space="preserve"> and</w:t>
      </w:r>
      <w:r w:rsidR="008E2251">
        <w:rPr>
          <w:rFonts w:cs="Arial"/>
          <w:sz w:val="22"/>
          <w:szCs w:val="22"/>
        </w:rPr>
        <w:t xml:space="preserve"> </w:t>
      </w:r>
      <w:r w:rsidRPr="005A5966" w:rsidR="00D520BD">
        <w:rPr>
          <w:rFonts w:cs="Arial"/>
          <w:sz w:val="22"/>
          <w:szCs w:val="22"/>
        </w:rPr>
        <w:t xml:space="preserve">is responsible for maintaining </w:t>
      </w:r>
      <w:r w:rsidR="00D520BD">
        <w:rPr>
          <w:sz w:val="22"/>
          <w:szCs w:val="22"/>
        </w:rPr>
        <w:t>its g</w:t>
      </w:r>
      <w:r w:rsidRPr="009C746D" w:rsidR="00D520BD">
        <w:rPr>
          <w:sz w:val="22"/>
          <w:szCs w:val="22"/>
        </w:rPr>
        <w:t xml:space="preserve">uidelines </w:t>
      </w:r>
      <w:r w:rsidRPr="005A5966" w:rsidR="00D520BD">
        <w:rPr>
          <w:rFonts w:cs="Arial"/>
          <w:sz w:val="22"/>
          <w:szCs w:val="22"/>
        </w:rPr>
        <w:t xml:space="preserve">based on the most recent research and lessons learned </w:t>
      </w:r>
      <w:r w:rsidRPr="004373A0" w:rsidR="00D520BD">
        <w:rPr>
          <w:rFonts w:cs="Arial"/>
          <w:sz w:val="22"/>
          <w:szCs w:val="22"/>
        </w:rPr>
        <w:t xml:space="preserve">from Federal employee </w:t>
      </w:r>
      <w:r w:rsidR="00D520BD">
        <w:rPr>
          <w:rFonts w:cs="Arial"/>
          <w:sz w:val="22"/>
          <w:szCs w:val="22"/>
        </w:rPr>
        <w:t xml:space="preserve">workplace </w:t>
      </w:r>
      <w:r w:rsidRPr="004373A0" w:rsidR="00D520BD">
        <w:rPr>
          <w:rFonts w:cs="Arial"/>
          <w:sz w:val="22"/>
          <w:szCs w:val="22"/>
        </w:rPr>
        <w:t>and Federal agency drug testing programs.</w:t>
      </w:r>
      <w:r w:rsidRPr="005A5966" w:rsidR="00D520BD">
        <w:rPr>
          <w:rFonts w:cs="Arial"/>
          <w:sz w:val="22"/>
          <w:szCs w:val="22"/>
        </w:rPr>
        <w:t xml:space="preserve">  </w:t>
      </w:r>
      <w:r w:rsidR="00D520BD">
        <w:rPr>
          <w:sz w:val="22"/>
          <w:szCs w:val="22"/>
        </w:rPr>
        <w:t xml:space="preserve">The </w:t>
      </w:r>
      <w:r w:rsidR="00E86E86">
        <w:rPr>
          <w:sz w:val="22"/>
          <w:szCs w:val="22"/>
        </w:rPr>
        <w:t>2017</w:t>
      </w:r>
      <w:r w:rsidR="00D520BD">
        <w:rPr>
          <w:sz w:val="22"/>
          <w:szCs w:val="22"/>
        </w:rPr>
        <w:t xml:space="preserve"> HHS Guidelines are a national drug testing standard used by </w:t>
      </w:r>
      <w:r w:rsidRPr="00C70D0D" w:rsidR="00D520BD">
        <w:rPr>
          <w:sz w:val="22"/>
          <w:szCs w:val="22"/>
        </w:rPr>
        <w:t xml:space="preserve">all </w:t>
      </w:r>
      <w:r w:rsidRPr="0086326D" w:rsidR="00D520BD">
        <w:rPr>
          <w:sz w:val="22"/>
          <w:szCs w:val="22"/>
        </w:rPr>
        <w:t xml:space="preserve">Federal employee workplace drug testing programs </w:t>
      </w:r>
      <w:r w:rsidR="00D520BD">
        <w:rPr>
          <w:sz w:val="22"/>
          <w:szCs w:val="22"/>
        </w:rPr>
        <w:t>(more than 100 Federal agencies</w:t>
      </w:r>
      <w:r w:rsidR="00D520BD">
        <w:rPr>
          <w:rStyle w:val="FootnoteReference"/>
          <w:sz w:val="22"/>
          <w:szCs w:val="22"/>
        </w:rPr>
        <w:footnoteReference w:id="5"/>
      </w:r>
      <w:r w:rsidR="00D520BD">
        <w:rPr>
          <w:sz w:val="22"/>
          <w:szCs w:val="22"/>
        </w:rPr>
        <w:t xml:space="preserve">) </w:t>
      </w:r>
      <w:r w:rsidRPr="0086326D" w:rsidR="00D520BD">
        <w:rPr>
          <w:sz w:val="22"/>
          <w:szCs w:val="22"/>
        </w:rPr>
        <w:t>and comparable Federal agency drug testing programs that test civilians</w:t>
      </w:r>
      <w:r w:rsidR="00D520BD">
        <w:rPr>
          <w:sz w:val="22"/>
          <w:szCs w:val="22"/>
        </w:rPr>
        <w:t xml:space="preserve"> in safety- and security</w:t>
      </w:r>
      <w:r w:rsidR="00CD13BA">
        <w:rPr>
          <w:sz w:val="22"/>
          <w:szCs w:val="22"/>
        </w:rPr>
        <w:t>-</w:t>
      </w:r>
      <w:r w:rsidR="00D520BD">
        <w:rPr>
          <w:sz w:val="22"/>
          <w:szCs w:val="22"/>
        </w:rPr>
        <w:t>sensitive positions</w:t>
      </w:r>
      <w:r w:rsidR="00646A79">
        <w:rPr>
          <w:sz w:val="22"/>
          <w:szCs w:val="22"/>
        </w:rPr>
        <w:t>,</w:t>
      </w:r>
      <w:r w:rsidRPr="0086326D" w:rsidR="00D520BD">
        <w:rPr>
          <w:sz w:val="22"/>
          <w:szCs w:val="22"/>
        </w:rPr>
        <w:t xml:space="preserve"> such as those </w:t>
      </w:r>
      <w:r w:rsidR="00D520BD">
        <w:rPr>
          <w:sz w:val="22"/>
          <w:szCs w:val="22"/>
        </w:rPr>
        <w:t xml:space="preserve">programs </w:t>
      </w:r>
      <w:r w:rsidRPr="0086326D" w:rsidR="00D520BD">
        <w:rPr>
          <w:sz w:val="22"/>
          <w:szCs w:val="22"/>
        </w:rPr>
        <w:t>implemented by the U.S.</w:t>
      </w:r>
      <w:r w:rsidR="00D520BD">
        <w:rPr>
          <w:sz w:val="22"/>
          <w:szCs w:val="22"/>
        </w:rPr>
        <w:t> </w:t>
      </w:r>
      <w:r w:rsidRPr="0086326D" w:rsidR="00D520BD">
        <w:rPr>
          <w:sz w:val="22"/>
          <w:szCs w:val="22"/>
        </w:rPr>
        <w:t>Department of Transportation (DOT)</w:t>
      </w:r>
      <w:r w:rsidR="00646A79">
        <w:rPr>
          <w:sz w:val="22"/>
          <w:szCs w:val="22"/>
        </w:rPr>
        <w:t>,</w:t>
      </w:r>
      <w:r w:rsidR="00D520BD">
        <w:rPr>
          <w:sz w:val="22"/>
          <w:szCs w:val="22"/>
        </w:rPr>
        <w:t xml:space="preserve"> </w:t>
      </w:r>
      <w:r w:rsidRPr="0086326D" w:rsidR="00D520BD">
        <w:rPr>
          <w:sz w:val="22"/>
          <w:szCs w:val="22"/>
        </w:rPr>
        <w:t>U.S.</w:t>
      </w:r>
      <w:r w:rsidR="00D520BD">
        <w:rPr>
          <w:sz w:val="22"/>
          <w:szCs w:val="22"/>
        </w:rPr>
        <w:t> </w:t>
      </w:r>
      <w:r w:rsidRPr="0086326D" w:rsidR="00D520BD">
        <w:rPr>
          <w:sz w:val="22"/>
          <w:szCs w:val="22"/>
        </w:rPr>
        <w:t>Department of Energy</w:t>
      </w:r>
      <w:r w:rsidR="00646A79">
        <w:rPr>
          <w:sz w:val="22"/>
          <w:szCs w:val="22"/>
        </w:rPr>
        <w:t>,</w:t>
      </w:r>
      <w:r w:rsidRPr="0086326D" w:rsidR="00D520BD">
        <w:rPr>
          <w:sz w:val="22"/>
          <w:szCs w:val="22"/>
        </w:rPr>
        <w:t xml:space="preserve"> U.S.</w:t>
      </w:r>
      <w:r w:rsidR="00D520BD">
        <w:rPr>
          <w:sz w:val="22"/>
          <w:szCs w:val="22"/>
        </w:rPr>
        <w:t> </w:t>
      </w:r>
      <w:r w:rsidRPr="0086326D" w:rsidR="00D520BD">
        <w:rPr>
          <w:sz w:val="22"/>
          <w:szCs w:val="22"/>
        </w:rPr>
        <w:t>Department of Defense</w:t>
      </w:r>
      <w:r w:rsidR="00646A79">
        <w:rPr>
          <w:sz w:val="22"/>
          <w:szCs w:val="22"/>
        </w:rPr>
        <w:t>,</w:t>
      </w:r>
      <w:r w:rsidRPr="0086326D" w:rsidR="00D520BD">
        <w:rPr>
          <w:sz w:val="22"/>
          <w:szCs w:val="22"/>
        </w:rPr>
        <w:t xml:space="preserve"> </w:t>
      </w:r>
      <w:r w:rsidR="00D520BD">
        <w:rPr>
          <w:sz w:val="22"/>
          <w:szCs w:val="22"/>
        </w:rPr>
        <w:t xml:space="preserve">and </w:t>
      </w:r>
      <w:r w:rsidRPr="0086326D" w:rsidR="00D520BD">
        <w:rPr>
          <w:sz w:val="22"/>
          <w:szCs w:val="22"/>
        </w:rPr>
        <w:t>U.S.</w:t>
      </w:r>
      <w:r w:rsidR="00D520BD">
        <w:rPr>
          <w:sz w:val="22"/>
          <w:szCs w:val="22"/>
        </w:rPr>
        <w:t> </w:t>
      </w:r>
      <w:r w:rsidRPr="0086326D" w:rsidR="00D520BD">
        <w:rPr>
          <w:sz w:val="22"/>
          <w:szCs w:val="22"/>
        </w:rPr>
        <w:t xml:space="preserve">Department of Homeland Security.  These </w:t>
      </w:r>
      <w:r w:rsidR="00D520BD">
        <w:rPr>
          <w:sz w:val="22"/>
          <w:szCs w:val="22"/>
        </w:rPr>
        <w:t xml:space="preserve">tested populations </w:t>
      </w:r>
      <w:r w:rsidRPr="0086326D" w:rsidR="00D520BD">
        <w:rPr>
          <w:sz w:val="22"/>
          <w:szCs w:val="22"/>
        </w:rPr>
        <w:t>transport people</w:t>
      </w:r>
      <w:r w:rsidRPr="001B7DA4" w:rsidR="00D520BD">
        <w:rPr>
          <w:sz w:val="22"/>
          <w:szCs w:val="22"/>
        </w:rPr>
        <w:t xml:space="preserve"> and hazardous materials</w:t>
      </w:r>
      <w:r w:rsidRPr="009E1A11" w:rsidR="00D520BD">
        <w:rPr>
          <w:sz w:val="22"/>
          <w:szCs w:val="22"/>
        </w:rPr>
        <w:t xml:space="preserve">; </w:t>
      </w:r>
      <w:r w:rsidRPr="00C00320" w:rsidR="00D520BD">
        <w:rPr>
          <w:sz w:val="22"/>
          <w:szCs w:val="22"/>
        </w:rPr>
        <w:t>operate and maintain ou</w:t>
      </w:r>
      <w:r w:rsidRPr="00F33A7D" w:rsidR="00D520BD">
        <w:rPr>
          <w:sz w:val="22"/>
          <w:szCs w:val="22"/>
        </w:rPr>
        <w:t>r Nation’s electrical</w:t>
      </w:r>
      <w:r w:rsidR="00646A79">
        <w:rPr>
          <w:sz w:val="22"/>
          <w:szCs w:val="22"/>
        </w:rPr>
        <w:t>,</w:t>
      </w:r>
      <w:r w:rsidRPr="00F33A7D" w:rsidR="00D520BD">
        <w:rPr>
          <w:sz w:val="22"/>
          <w:szCs w:val="22"/>
        </w:rPr>
        <w:t xml:space="preserve"> pipeline</w:t>
      </w:r>
      <w:r w:rsidR="00646A79">
        <w:rPr>
          <w:sz w:val="22"/>
          <w:szCs w:val="22"/>
        </w:rPr>
        <w:t>,</w:t>
      </w:r>
      <w:r w:rsidRPr="00F33A7D" w:rsidR="00D520BD">
        <w:rPr>
          <w:sz w:val="22"/>
          <w:szCs w:val="22"/>
        </w:rPr>
        <w:t xml:space="preserve"> and hydrodynamic infrastructure; protect property and national resources; and make decisions and ex</w:t>
      </w:r>
      <w:r w:rsidRPr="00F128C7" w:rsidR="00D520BD">
        <w:rPr>
          <w:sz w:val="22"/>
          <w:szCs w:val="22"/>
        </w:rPr>
        <w:t>ecu</w:t>
      </w:r>
      <w:r w:rsidRPr="00C70D0D" w:rsidR="00D520BD">
        <w:rPr>
          <w:sz w:val="22"/>
          <w:szCs w:val="22"/>
        </w:rPr>
        <w:t>te e</w:t>
      </w:r>
      <w:r w:rsidRPr="0086326D" w:rsidR="00D520BD">
        <w:rPr>
          <w:sz w:val="22"/>
          <w:szCs w:val="22"/>
        </w:rPr>
        <w:t>mergency response plans that contribute to public health and safety or protection of the environment following a natural disaster or se</w:t>
      </w:r>
      <w:r w:rsidR="00D520BD">
        <w:rPr>
          <w:sz w:val="22"/>
          <w:szCs w:val="22"/>
        </w:rPr>
        <w:t>curity activity.</w:t>
      </w:r>
    </w:p>
    <w:p w:rsidRPr="005A5966" w:rsidR="00D520BD" w:rsidP="00D520BD" w:rsidRDefault="00D520BD" w14:paraId="76B1E2B6" w14:textId="77777777">
      <w:pPr>
        <w:rPr>
          <w:rFonts w:cs="Arial"/>
          <w:sz w:val="22"/>
          <w:szCs w:val="22"/>
        </w:rPr>
      </w:pPr>
    </w:p>
    <w:p w:rsidR="00D520BD" w:rsidP="00D520BD" w:rsidRDefault="00D520BD" w14:paraId="21534ABE" w14:textId="548D3A95">
      <w:pPr>
        <w:rPr>
          <w:sz w:val="22"/>
          <w:szCs w:val="22"/>
        </w:rPr>
      </w:pPr>
      <w:r>
        <w:rPr>
          <w:sz w:val="22"/>
          <w:szCs w:val="22"/>
        </w:rPr>
        <w:t>The effectiveness of a d</w:t>
      </w:r>
      <w:r w:rsidRPr="00074E18">
        <w:rPr>
          <w:sz w:val="22"/>
          <w:szCs w:val="22"/>
        </w:rPr>
        <w:t xml:space="preserve">rug testing program may </w:t>
      </w:r>
      <w:r>
        <w:rPr>
          <w:sz w:val="22"/>
          <w:szCs w:val="22"/>
        </w:rPr>
        <w:t xml:space="preserve">weaken </w:t>
      </w:r>
      <w:r w:rsidRPr="00074E18">
        <w:rPr>
          <w:sz w:val="22"/>
          <w:szCs w:val="22"/>
        </w:rPr>
        <w:t>over time if</w:t>
      </w:r>
      <w:r>
        <w:rPr>
          <w:sz w:val="22"/>
          <w:szCs w:val="22"/>
        </w:rPr>
        <w:t xml:space="preserve"> individuals in the workplace (1) use</w:t>
      </w:r>
      <w:r w:rsidRPr="00074E18">
        <w:rPr>
          <w:sz w:val="22"/>
          <w:szCs w:val="22"/>
        </w:rPr>
        <w:t xml:space="preserve"> impairing substances not </w:t>
      </w:r>
      <w:r>
        <w:rPr>
          <w:sz w:val="22"/>
          <w:szCs w:val="22"/>
        </w:rPr>
        <w:t xml:space="preserve">included </w:t>
      </w:r>
      <w:r w:rsidRPr="00074E18">
        <w:rPr>
          <w:sz w:val="22"/>
          <w:szCs w:val="22"/>
        </w:rPr>
        <w:t>in the testing panel</w:t>
      </w:r>
      <w:r>
        <w:rPr>
          <w:sz w:val="22"/>
          <w:szCs w:val="22"/>
        </w:rPr>
        <w:t xml:space="preserve"> or</w:t>
      </w:r>
      <w:r w:rsidRPr="00074E18">
        <w:rPr>
          <w:sz w:val="22"/>
          <w:szCs w:val="22"/>
        </w:rPr>
        <w:t xml:space="preserve"> </w:t>
      </w:r>
      <w:r>
        <w:rPr>
          <w:sz w:val="22"/>
          <w:szCs w:val="22"/>
        </w:rPr>
        <w:t>(2) use</w:t>
      </w:r>
      <w:r w:rsidRPr="00074E18">
        <w:rPr>
          <w:sz w:val="22"/>
          <w:szCs w:val="22"/>
        </w:rPr>
        <w:t xml:space="preserve"> products and techniques to successfully subvert the drug testing process</w:t>
      </w:r>
      <w:r>
        <w:rPr>
          <w:sz w:val="22"/>
          <w:szCs w:val="22"/>
        </w:rPr>
        <w:t>.</w:t>
      </w:r>
      <w:r w:rsidRPr="00074E18">
        <w:rPr>
          <w:sz w:val="22"/>
          <w:szCs w:val="22"/>
        </w:rPr>
        <w:t xml:space="preserve"> </w:t>
      </w:r>
      <w:r>
        <w:rPr>
          <w:sz w:val="22"/>
          <w:szCs w:val="22"/>
        </w:rPr>
        <w:t xml:space="preserve"> Program effectiveness may also weaken if the program does not incorporate </w:t>
      </w:r>
      <w:r w:rsidRPr="00074E18">
        <w:rPr>
          <w:sz w:val="22"/>
          <w:szCs w:val="22"/>
        </w:rPr>
        <w:t xml:space="preserve">technological advancements that enhance </w:t>
      </w:r>
      <w:r>
        <w:rPr>
          <w:sz w:val="22"/>
          <w:szCs w:val="22"/>
        </w:rPr>
        <w:t xml:space="preserve">the sensitivity of </w:t>
      </w:r>
      <w:r w:rsidRPr="00074E18">
        <w:rPr>
          <w:sz w:val="22"/>
          <w:szCs w:val="22"/>
        </w:rPr>
        <w:t>drug te</w:t>
      </w:r>
      <w:r>
        <w:rPr>
          <w:sz w:val="22"/>
          <w:szCs w:val="22"/>
        </w:rPr>
        <w:t>sting</w:t>
      </w:r>
      <w:r w:rsidRPr="00074E18">
        <w:rPr>
          <w:sz w:val="22"/>
          <w:szCs w:val="22"/>
        </w:rPr>
        <w:t xml:space="preserve">.  The drug testing provisions in </w:t>
      </w:r>
      <w:r>
        <w:rPr>
          <w:sz w:val="22"/>
          <w:szCs w:val="22"/>
        </w:rPr>
        <w:t>10 CFR Part 26</w:t>
      </w:r>
      <w:r w:rsidRPr="00074E18">
        <w:rPr>
          <w:sz w:val="22"/>
          <w:szCs w:val="22"/>
        </w:rPr>
        <w:t xml:space="preserve"> should </w:t>
      </w:r>
      <w:r>
        <w:rPr>
          <w:sz w:val="22"/>
          <w:szCs w:val="22"/>
        </w:rPr>
        <w:t xml:space="preserve">use </w:t>
      </w:r>
      <w:r w:rsidRPr="00074E18">
        <w:rPr>
          <w:sz w:val="22"/>
          <w:szCs w:val="22"/>
        </w:rPr>
        <w:t xml:space="preserve">the national drug testing standard </w:t>
      </w:r>
      <w:r>
        <w:rPr>
          <w:sz w:val="22"/>
          <w:szCs w:val="22"/>
        </w:rPr>
        <w:t>established by</w:t>
      </w:r>
      <w:r w:rsidRPr="00074E18">
        <w:rPr>
          <w:sz w:val="22"/>
          <w:szCs w:val="22"/>
        </w:rPr>
        <w:t xml:space="preserve"> the HHS Guidelines and </w:t>
      </w:r>
      <w:r>
        <w:rPr>
          <w:sz w:val="22"/>
          <w:szCs w:val="22"/>
        </w:rPr>
        <w:t xml:space="preserve">existing </w:t>
      </w:r>
      <w:r w:rsidRPr="00074E18">
        <w:rPr>
          <w:sz w:val="22"/>
          <w:szCs w:val="22"/>
        </w:rPr>
        <w:t xml:space="preserve">defense-in-depth </w:t>
      </w:r>
      <w:r>
        <w:rPr>
          <w:sz w:val="22"/>
          <w:szCs w:val="22"/>
        </w:rPr>
        <w:t xml:space="preserve">methods </w:t>
      </w:r>
      <w:r w:rsidRPr="00074E18">
        <w:rPr>
          <w:sz w:val="22"/>
          <w:szCs w:val="22"/>
        </w:rPr>
        <w:t>(e.g.</w:t>
      </w:r>
      <w:r w:rsidR="00646A79">
        <w:rPr>
          <w:sz w:val="22"/>
          <w:szCs w:val="22"/>
        </w:rPr>
        <w:t>,</w:t>
      </w:r>
      <w:r>
        <w:rPr>
          <w:sz w:val="22"/>
          <w:szCs w:val="22"/>
        </w:rPr>
        <w:t> </w:t>
      </w:r>
      <w:r w:rsidRPr="00074E18">
        <w:rPr>
          <w:sz w:val="22"/>
          <w:szCs w:val="22"/>
        </w:rPr>
        <w:t>behavioral observation</w:t>
      </w:r>
      <w:r w:rsidR="00646A79">
        <w:rPr>
          <w:sz w:val="22"/>
          <w:szCs w:val="22"/>
        </w:rPr>
        <w:t>,</w:t>
      </w:r>
      <w:r w:rsidRPr="00074E18">
        <w:rPr>
          <w:sz w:val="22"/>
          <w:szCs w:val="22"/>
        </w:rPr>
        <w:t xml:space="preserve"> background checks</w:t>
      </w:r>
      <w:r w:rsidR="00646A79">
        <w:rPr>
          <w:sz w:val="22"/>
          <w:szCs w:val="22"/>
        </w:rPr>
        <w:t>,</w:t>
      </w:r>
      <w:r w:rsidRPr="00074E18">
        <w:rPr>
          <w:sz w:val="22"/>
          <w:szCs w:val="22"/>
        </w:rPr>
        <w:t xml:space="preserve"> collection site security</w:t>
      </w:r>
      <w:r w:rsidR="00646A79">
        <w:rPr>
          <w:sz w:val="22"/>
          <w:szCs w:val="22"/>
        </w:rPr>
        <w:t>,</w:t>
      </w:r>
      <w:r w:rsidRPr="00074E18">
        <w:rPr>
          <w:sz w:val="22"/>
          <w:szCs w:val="22"/>
        </w:rPr>
        <w:t xml:space="preserve"> and specimen collections) to maintain reasonable assurance of</w:t>
      </w:r>
      <w:r>
        <w:rPr>
          <w:sz w:val="22"/>
          <w:szCs w:val="22"/>
        </w:rPr>
        <w:t xml:space="preserve"> a drug-free workplace.</w:t>
      </w:r>
    </w:p>
    <w:p w:rsidR="00C8774A" w:rsidP="00D520BD" w:rsidRDefault="00C8774A" w14:paraId="4A1140C4" w14:textId="77777777">
      <w:pPr>
        <w:rPr>
          <w:sz w:val="22"/>
          <w:szCs w:val="22"/>
        </w:rPr>
      </w:pPr>
    </w:p>
    <w:p w:rsidRPr="00074E18" w:rsidR="00D520BD" w:rsidP="00D520BD" w:rsidRDefault="00CD52F4" w14:paraId="136720C9" w14:textId="1CD15B4E">
      <w:pPr>
        <w:rPr>
          <w:sz w:val="22"/>
          <w:szCs w:val="22"/>
        </w:rPr>
      </w:pPr>
      <w:r>
        <w:rPr>
          <w:sz w:val="22"/>
          <w:szCs w:val="22"/>
        </w:rPr>
        <w:t xml:space="preserve">The </w:t>
      </w:r>
      <w:r w:rsidR="00EF0C2D">
        <w:rPr>
          <w:sz w:val="22"/>
          <w:szCs w:val="22"/>
        </w:rPr>
        <w:t xml:space="preserve">NRC </w:t>
      </w:r>
      <w:r w:rsidR="00D520BD">
        <w:rPr>
          <w:sz w:val="22"/>
          <w:szCs w:val="22"/>
        </w:rPr>
        <w:t xml:space="preserve">analysis of annual </w:t>
      </w:r>
      <w:r w:rsidR="004E12B3">
        <w:rPr>
          <w:sz w:val="22"/>
          <w:szCs w:val="22"/>
        </w:rPr>
        <w:t xml:space="preserve">FFD program </w:t>
      </w:r>
      <w:r w:rsidR="00D520BD">
        <w:rPr>
          <w:sz w:val="22"/>
          <w:szCs w:val="22"/>
        </w:rPr>
        <w:t>performance data submitted by licensees and other entities under 10 CFR 26.717</w:t>
      </w:r>
      <w:r w:rsidR="00646A79">
        <w:rPr>
          <w:rFonts w:cs="Arial"/>
          <w:sz w:val="22"/>
          <w:szCs w:val="22"/>
        </w:rPr>
        <w:t>,</w:t>
      </w:r>
      <w:r w:rsidRPr="00953CF5" w:rsidR="00D520BD">
        <w:rPr>
          <w:rFonts w:cs="Arial"/>
          <w:sz w:val="22"/>
          <w:szCs w:val="22"/>
        </w:rPr>
        <w:t xml:space="preserve"> </w:t>
      </w:r>
      <w:r w:rsidR="00646A79">
        <w:rPr>
          <w:rFonts w:cs="Arial"/>
          <w:sz w:val="22"/>
          <w:szCs w:val="22"/>
        </w:rPr>
        <w:t>“</w:t>
      </w:r>
      <w:r w:rsidRPr="00953CF5" w:rsidR="00D520BD">
        <w:rPr>
          <w:rFonts w:cs="Arial"/>
          <w:sz w:val="22"/>
          <w:szCs w:val="22"/>
        </w:rPr>
        <w:t>Fitness-for-</w:t>
      </w:r>
      <w:r w:rsidR="000E2A64">
        <w:rPr>
          <w:rFonts w:cs="Arial"/>
          <w:sz w:val="22"/>
          <w:szCs w:val="22"/>
        </w:rPr>
        <w:t>d</w:t>
      </w:r>
      <w:r w:rsidRPr="00953CF5" w:rsidR="00D520BD">
        <w:rPr>
          <w:rFonts w:cs="Arial"/>
          <w:sz w:val="22"/>
          <w:szCs w:val="22"/>
        </w:rPr>
        <w:t xml:space="preserve">uty </w:t>
      </w:r>
      <w:r w:rsidR="000E2A64">
        <w:rPr>
          <w:rFonts w:cs="Arial"/>
          <w:sz w:val="22"/>
          <w:szCs w:val="22"/>
        </w:rPr>
        <w:t>p</w:t>
      </w:r>
      <w:r w:rsidRPr="00953CF5" w:rsidR="00D520BD">
        <w:rPr>
          <w:rFonts w:cs="Arial"/>
          <w:sz w:val="22"/>
          <w:szCs w:val="22"/>
        </w:rPr>
        <w:t xml:space="preserve">rogram </w:t>
      </w:r>
      <w:r w:rsidR="000E2A64">
        <w:rPr>
          <w:rFonts w:cs="Arial"/>
          <w:sz w:val="22"/>
          <w:szCs w:val="22"/>
        </w:rPr>
        <w:t>p</w:t>
      </w:r>
      <w:r w:rsidRPr="00953CF5" w:rsidR="00D520BD">
        <w:rPr>
          <w:rFonts w:cs="Arial"/>
          <w:sz w:val="22"/>
          <w:szCs w:val="22"/>
        </w:rPr>
        <w:t xml:space="preserve">erformance </w:t>
      </w:r>
      <w:r w:rsidR="000E2A64">
        <w:rPr>
          <w:rFonts w:cs="Arial"/>
          <w:sz w:val="22"/>
          <w:szCs w:val="22"/>
        </w:rPr>
        <w:t>d</w:t>
      </w:r>
      <w:r w:rsidRPr="00953CF5" w:rsidR="00D520BD">
        <w:rPr>
          <w:rFonts w:cs="Arial"/>
          <w:sz w:val="22"/>
          <w:szCs w:val="22"/>
        </w:rPr>
        <w:t>ata</w:t>
      </w:r>
      <w:r w:rsidR="00646A79">
        <w:rPr>
          <w:rFonts w:cs="Arial"/>
          <w:sz w:val="22"/>
          <w:szCs w:val="22"/>
        </w:rPr>
        <w:t>,”</w:t>
      </w:r>
      <w:r w:rsidR="004E12B3">
        <w:rPr>
          <w:rFonts w:cs="Arial"/>
          <w:sz w:val="22"/>
          <w:szCs w:val="22"/>
        </w:rPr>
        <w:t xml:space="preserve"> demonstrates that the</w:t>
      </w:r>
      <w:r w:rsidR="00D520BD">
        <w:rPr>
          <w:sz w:val="22"/>
          <w:szCs w:val="22"/>
        </w:rPr>
        <w:t xml:space="preserve"> workplaces subject to 10 CFR Part 26 are not free from the presence and effects of </w:t>
      </w:r>
      <w:r w:rsidRPr="00074E18" w:rsidR="00D520BD">
        <w:rPr>
          <w:sz w:val="22"/>
          <w:szCs w:val="22"/>
        </w:rPr>
        <w:t>drugs</w:t>
      </w:r>
      <w:r w:rsidR="00D520BD">
        <w:rPr>
          <w:sz w:val="22"/>
          <w:szCs w:val="22"/>
        </w:rPr>
        <w:t>.</w:t>
      </w:r>
    </w:p>
    <w:p w:rsidR="00D520BD" w:rsidP="00D520BD" w:rsidRDefault="00D520BD" w14:paraId="7661769D" w14:textId="77777777">
      <w:pPr>
        <w:rPr>
          <w:sz w:val="22"/>
          <w:szCs w:val="22"/>
        </w:rPr>
      </w:pPr>
    </w:p>
    <w:p w:rsidR="00D520BD" w:rsidP="00D520BD" w:rsidRDefault="00D520BD" w14:paraId="14105CB3" w14:textId="3704D790">
      <w:pPr>
        <w:autoSpaceDE/>
        <w:autoSpaceDN/>
        <w:adjustRightInd/>
        <w:rPr>
          <w:sz w:val="22"/>
          <w:szCs w:val="22"/>
        </w:rPr>
      </w:pPr>
      <w:r>
        <w:rPr>
          <w:rFonts w:cs="Arial"/>
          <w:sz w:val="22"/>
          <w:szCs w:val="22"/>
        </w:rPr>
        <w:t>H</w:t>
      </w:r>
      <w:r w:rsidRPr="00102C8B">
        <w:rPr>
          <w:rFonts w:cs="Arial"/>
          <w:sz w:val="22"/>
          <w:szCs w:val="22"/>
        </w:rPr>
        <w:t>istorically</w:t>
      </w:r>
      <w:r w:rsidR="00646A79">
        <w:rPr>
          <w:rFonts w:cs="Arial"/>
          <w:sz w:val="22"/>
          <w:szCs w:val="22"/>
        </w:rPr>
        <w:t>,</w:t>
      </w:r>
      <w:r w:rsidRPr="00102C8B">
        <w:rPr>
          <w:rFonts w:cs="Arial"/>
          <w:sz w:val="22"/>
          <w:szCs w:val="22"/>
        </w:rPr>
        <w:t xml:space="preserve"> </w:t>
      </w:r>
      <w:r>
        <w:rPr>
          <w:rFonts w:cs="Arial"/>
          <w:sz w:val="22"/>
          <w:szCs w:val="22"/>
        </w:rPr>
        <w:t>t</w:t>
      </w:r>
      <w:r w:rsidRPr="00102C8B">
        <w:rPr>
          <w:rFonts w:cs="Arial"/>
          <w:sz w:val="22"/>
          <w:szCs w:val="22"/>
        </w:rPr>
        <w:t xml:space="preserve">he NRC has incorporated </w:t>
      </w:r>
      <w:r>
        <w:rPr>
          <w:rFonts w:cs="Arial"/>
          <w:sz w:val="22"/>
          <w:szCs w:val="22"/>
        </w:rPr>
        <w:t xml:space="preserve">the </w:t>
      </w:r>
      <w:r w:rsidRPr="00102C8B">
        <w:rPr>
          <w:rFonts w:cs="Arial"/>
          <w:sz w:val="22"/>
          <w:szCs w:val="22"/>
        </w:rPr>
        <w:t xml:space="preserve">appropriate provisions of the HHS Guidelines into </w:t>
      </w:r>
      <w:r>
        <w:rPr>
          <w:rFonts w:cs="Arial"/>
          <w:sz w:val="22"/>
          <w:szCs w:val="22"/>
        </w:rPr>
        <w:t>10 CFR Part 26 to effectively us</w:t>
      </w:r>
      <w:r w:rsidRPr="00102C8B">
        <w:rPr>
          <w:rFonts w:cs="Arial"/>
          <w:sz w:val="22"/>
          <w:szCs w:val="22"/>
        </w:rPr>
        <w:t xml:space="preserve">e advancements in drug testing technology and detection methods to address societal changes in drug use and </w:t>
      </w:r>
      <w:r>
        <w:rPr>
          <w:rFonts w:cs="Arial"/>
          <w:sz w:val="22"/>
          <w:szCs w:val="22"/>
        </w:rPr>
        <w:t xml:space="preserve">in the </w:t>
      </w:r>
      <w:r w:rsidRPr="00102C8B">
        <w:rPr>
          <w:rFonts w:cs="Arial"/>
          <w:sz w:val="22"/>
          <w:szCs w:val="22"/>
        </w:rPr>
        <w:t>methods and techniques used to subvert the drug testing process</w:t>
      </w:r>
      <w:r>
        <w:rPr>
          <w:rFonts w:cs="Arial"/>
          <w:sz w:val="22"/>
          <w:szCs w:val="22"/>
        </w:rPr>
        <w:t xml:space="preserve">. </w:t>
      </w:r>
      <w:r w:rsidRPr="00102C8B">
        <w:rPr>
          <w:rFonts w:cs="Arial"/>
          <w:sz w:val="22"/>
          <w:szCs w:val="22"/>
        </w:rPr>
        <w:t xml:space="preserve"> </w:t>
      </w:r>
      <w:r>
        <w:rPr>
          <w:rFonts w:cs="Arial"/>
          <w:sz w:val="22"/>
          <w:szCs w:val="22"/>
        </w:rPr>
        <w:t xml:space="preserve">The NRC amended 10 CFR Part 26 in 2008 </w:t>
      </w:r>
      <w:r w:rsidRPr="00102C8B">
        <w:rPr>
          <w:rFonts w:cs="Arial"/>
          <w:sz w:val="22"/>
          <w:szCs w:val="22"/>
        </w:rPr>
        <w:t xml:space="preserve">to align with </w:t>
      </w:r>
      <w:r>
        <w:rPr>
          <w:rFonts w:cs="Arial"/>
          <w:sz w:val="22"/>
          <w:szCs w:val="22"/>
        </w:rPr>
        <w:t>the 2004 HHS Guidelines</w:t>
      </w:r>
      <w:r w:rsidR="00646A79">
        <w:rPr>
          <w:rFonts w:cs="Arial"/>
          <w:sz w:val="22"/>
          <w:szCs w:val="22"/>
        </w:rPr>
        <w:t>,</w:t>
      </w:r>
      <w:r>
        <w:rPr>
          <w:rFonts w:cs="Arial"/>
          <w:sz w:val="22"/>
          <w:szCs w:val="22"/>
        </w:rPr>
        <w:t xml:space="preserve"> the</w:t>
      </w:r>
      <w:r w:rsidRPr="00102C8B">
        <w:rPr>
          <w:rFonts w:cs="Arial"/>
          <w:sz w:val="22"/>
          <w:szCs w:val="22"/>
        </w:rPr>
        <w:t xml:space="preserve"> t</w:t>
      </w:r>
      <w:r>
        <w:rPr>
          <w:rFonts w:cs="Arial"/>
          <w:sz w:val="22"/>
          <w:szCs w:val="22"/>
        </w:rPr>
        <w:t>esting standard us</w:t>
      </w:r>
      <w:r w:rsidRPr="00102C8B">
        <w:rPr>
          <w:rFonts w:cs="Arial"/>
          <w:sz w:val="22"/>
          <w:szCs w:val="22"/>
        </w:rPr>
        <w:t xml:space="preserve">ed </w:t>
      </w:r>
      <w:r>
        <w:rPr>
          <w:rFonts w:cs="Arial"/>
          <w:sz w:val="22"/>
          <w:szCs w:val="22"/>
        </w:rPr>
        <w:t xml:space="preserve">at that time </w:t>
      </w:r>
      <w:r w:rsidRPr="00102C8B">
        <w:rPr>
          <w:rFonts w:cs="Arial"/>
          <w:sz w:val="22"/>
          <w:szCs w:val="22"/>
        </w:rPr>
        <w:t>to test Federal employees and the majority of civilians tested by Federal agencies.</w:t>
      </w:r>
      <w:r>
        <w:rPr>
          <w:rFonts w:cs="Arial"/>
          <w:sz w:val="22"/>
          <w:szCs w:val="22"/>
        </w:rPr>
        <w:t xml:space="preserve">  However</w:t>
      </w:r>
      <w:r w:rsidR="00646A79">
        <w:rPr>
          <w:rFonts w:cs="Arial"/>
          <w:sz w:val="22"/>
          <w:szCs w:val="22"/>
        </w:rPr>
        <w:t>,</w:t>
      </w:r>
      <w:r>
        <w:rPr>
          <w:rFonts w:cs="Arial"/>
          <w:sz w:val="22"/>
          <w:szCs w:val="22"/>
        </w:rPr>
        <w:t xml:space="preserve"> t</w:t>
      </w:r>
      <w:r w:rsidRPr="00102C8B">
        <w:rPr>
          <w:sz w:val="22"/>
          <w:szCs w:val="22"/>
        </w:rPr>
        <w:t xml:space="preserve">he </w:t>
      </w:r>
      <w:r>
        <w:rPr>
          <w:sz w:val="22"/>
          <w:szCs w:val="22"/>
        </w:rPr>
        <w:t>current</w:t>
      </w:r>
      <w:r w:rsidRPr="00102C8B">
        <w:rPr>
          <w:sz w:val="22"/>
          <w:szCs w:val="22"/>
        </w:rPr>
        <w:t xml:space="preserve"> drug testing panel and cutoff levels specified in </w:t>
      </w:r>
      <w:r>
        <w:rPr>
          <w:sz w:val="22"/>
          <w:szCs w:val="22"/>
        </w:rPr>
        <w:t>10 CFR Part 26</w:t>
      </w:r>
      <w:r w:rsidRPr="00102C8B">
        <w:rPr>
          <w:sz w:val="22"/>
          <w:szCs w:val="22"/>
        </w:rPr>
        <w:t xml:space="preserve"> </w:t>
      </w:r>
      <w:r>
        <w:rPr>
          <w:sz w:val="22"/>
          <w:szCs w:val="22"/>
        </w:rPr>
        <w:t>do</w:t>
      </w:r>
      <w:r w:rsidRPr="00102C8B">
        <w:rPr>
          <w:sz w:val="22"/>
          <w:szCs w:val="22"/>
        </w:rPr>
        <w:t xml:space="preserve"> not align with </w:t>
      </w:r>
      <w:r w:rsidR="00BD6B8E">
        <w:rPr>
          <w:sz w:val="22"/>
          <w:szCs w:val="22"/>
        </w:rPr>
        <w:t xml:space="preserve">changes in </w:t>
      </w:r>
      <w:r w:rsidRPr="00102C8B">
        <w:rPr>
          <w:sz w:val="22"/>
          <w:szCs w:val="22"/>
        </w:rPr>
        <w:t xml:space="preserve">the </w:t>
      </w:r>
      <w:r w:rsidR="001A08C3">
        <w:rPr>
          <w:sz w:val="22"/>
          <w:szCs w:val="22"/>
        </w:rPr>
        <w:t xml:space="preserve">2008 and </w:t>
      </w:r>
      <w:r w:rsidR="00E86E86">
        <w:rPr>
          <w:sz w:val="22"/>
          <w:szCs w:val="22"/>
        </w:rPr>
        <w:t>2017</w:t>
      </w:r>
      <w:r w:rsidRPr="00102C8B">
        <w:rPr>
          <w:sz w:val="22"/>
          <w:szCs w:val="22"/>
        </w:rPr>
        <w:t xml:space="preserve"> HHS </w:t>
      </w:r>
      <w:r w:rsidRPr="004637D1">
        <w:rPr>
          <w:sz w:val="22"/>
          <w:szCs w:val="22"/>
        </w:rPr>
        <w:lastRenderedPageBreak/>
        <w:t xml:space="preserve">Guidelines. </w:t>
      </w:r>
      <w:r>
        <w:rPr>
          <w:sz w:val="22"/>
          <w:szCs w:val="22"/>
        </w:rPr>
        <w:t xml:space="preserve"> </w:t>
      </w:r>
      <w:r w:rsidRPr="004637D1">
        <w:rPr>
          <w:sz w:val="22"/>
          <w:szCs w:val="22"/>
        </w:rPr>
        <w:t>Therefore</w:t>
      </w:r>
      <w:r w:rsidR="00646A79">
        <w:rPr>
          <w:sz w:val="22"/>
          <w:szCs w:val="22"/>
        </w:rPr>
        <w:t>,</w:t>
      </w:r>
      <w:r w:rsidRPr="004637D1">
        <w:rPr>
          <w:sz w:val="22"/>
          <w:szCs w:val="22"/>
        </w:rPr>
        <w:t xml:space="preserve"> the improvements contained in the </w:t>
      </w:r>
      <w:r w:rsidR="00014FF1">
        <w:rPr>
          <w:sz w:val="22"/>
          <w:szCs w:val="22"/>
        </w:rPr>
        <w:t>final</w:t>
      </w:r>
      <w:r w:rsidRPr="004637D1">
        <w:rPr>
          <w:sz w:val="22"/>
          <w:szCs w:val="22"/>
        </w:rPr>
        <w:t xml:space="preserve"> rule </w:t>
      </w:r>
      <w:r>
        <w:rPr>
          <w:sz w:val="22"/>
          <w:szCs w:val="22"/>
        </w:rPr>
        <w:t xml:space="preserve">enable licensees to </w:t>
      </w:r>
      <w:r w:rsidRPr="004637D1">
        <w:rPr>
          <w:sz w:val="22"/>
          <w:szCs w:val="22"/>
        </w:rPr>
        <w:t>maintain reasonable assurance of a drug</w:t>
      </w:r>
      <w:r>
        <w:rPr>
          <w:sz w:val="22"/>
          <w:szCs w:val="22"/>
        </w:rPr>
        <w:noBreakHyphen/>
      </w:r>
      <w:r w:rsidRPr="004637D1">
        <w:rPr>
          <w:sz w:val="22"/>
          <w:szCs w:val="22"/>
        </w:rPr>
        <w:t>free workplace.</w:t>
      </w:r>
    </w:p>
    <w:p w:rsidR="00D520BD" w:rsidP="00D520BD" w:rsidRDefault="00D520BD" w14:paraId="52C0F5A6" w14:textId="77777777">
      <w:pPr>
        <w:rPr>
          <w:sz w:val="22"/>
          <w:szCs w:val="22"/>
        </w:rPr>
      </w:pPr>
    </w:p>
    <w:p w:rsidRPr="00284169" w:rsidR="00D520BD" w:rsidP="00FB324C" w:rsidRDefault="00D520BD" w14:paraId="4F9CCB1A" w14:textId="77777777">
      <w:pPr>
        <w:keepNext/>
        <w:keepLines/>
        <w:rPr>
          <w:sz w:val="22"/>
          <w:szCs w:val="22"/>
          <w:u w:val="single"/>
        </w:rPr>
      </w:pPr>
      <w:r w:rsidRPr="00991F4F">
        <w:rPr>
          <w:sz w:val="22"/>
          <w:szCs w:val="22"/>
          <w:u w:val="single"/>
        </w:rPr>
        <w:t>Safety Vulnerability</w:t>
      </w:r>
    </w:p>
    <w:p w:rsidR="00D520BD" w:rsidP="00FB324C" w:rsidRDefault="00D520BD" w14:paraId="4D289091" w14:textId="77777777">
      <w:pPr>
        <w:keepNext/>
        <w:keepLines/>
        <w:rPr>
          <w:sz w:val="22"/>
          <w:szCs w:val="22"/>
        </w:rPr>
      </w:pPr>
    </w:p>
    <w:p w:rsidR="00D520BD" w:rsidP="00FB324C" w:rsidRDefault="00D520BD" w14:paraId="283EE8A3" w14:textId="5023BD15">
      <w:pPr>
        <w:keepNext/>
        <w:keepLines/>
        <w:rPr>
          <w:sz w:val="22"/>
          <w:szCs w:val="22"/>
        </w:rPr>
      </w:pPr>
      <w:r>
        <w:rPr>
          <w:sz w:val="22"/>
          <w:szCs w:val="22"/>
        </w:rPr>
        <w:t>T</w:t>
      </w:r>
      <w:r w:rsidRPr="00583E40">
        <w:rPr>
          <w:sz w:val="22"/>
          <w:szCs w:val="22"/>
        </w:rPr>
        <w:t xml:space="preserve">he </w:t>
      </w:r>
      <w:r w:rsidR="002E33A1">
        <w:rPr>
          <w:sz w:val="22"/>
          <w:szCs w:val="22"/>
        </w:rPr>
        <w:t xml:space="preserve">final </w:t>
      </w:r>
      <w:r w:rsidRPr="00583E40">
        <w:rPr>
          <w:sz w:val="22"/>
          <w:szCs w:val="22"/>
        </w:rPr>
        <w:t xml:space="preserve">rule </w:t>
      </w:r>
      <w:r w:rsidR="0009253D">
        <w:rPr>
          <w:rFonts w:cs="Arial"/>
          <w:sz w:val="22"/>
          <w:szCs w:val="22"/>
        </w:rPr>
        <w:t>enhance</w:t>
      </w:r>
      <w:r w:rsidR="002E33A1">
        <w:rPr>
          <w:rFonts w:cs="Arial"/>
          <w:sz w:val="22"/>
          <w:szCs w:val="22"/>
        </w:rPr>
        <w:t>s</w:t>
      </w:r>
      <w:r w:rsidR="0009253D">
        <w:rPr>
          <w:rFonts w:cs="Arial"/>
          <w:sz w:val="22"/>
          <w:szCs w:val="22"/>
        </w:rPr>
        <w:t xml:space="preserve"> the ability of </w:t>
      </w:r>
      <w:r w:rsidRPr="00AF139A" w:rsidR="0009253D">
        <w:rPr>
          <w:rFonts w:cs="Arial"/>
          <w:sz w:val="22"/>
          <w:szCs w:val="22"/>
        </w:rPr>
        <w:t>NRC licensees and other entities</w:t>
      </w:r>
      <w:r w:rsidR="0009253D">
        <w:rPr>
          <w:rFonts w:cs="Arial"/>
          <w:sz w:val="22"/>
          <w:szCs w:val="22"/>
        </w:rPr>
        <w:t xml:space="preserve"> to identify </w:t>
      </w:r>
      <w:r w:rsidRPr="00583E40">
        <w:rPr>
          <w:sz w:val="22"/>
          <w:szCs w:val="22"/>
        </w:rPr>
        <w:t>additional individuals us</w:t>
      </w:r>
      <w:r>
        <w:rPr>
          <w:sz w:val="22"/>
          <w:szCs w:val="22"/>
        </w:rPr>
        <w:t xml:space="preserve">ing </w:t>
      </w:r>
      <w:r w:rsidRPr="00583E40">
        <w:rPr>
          <w:sz w:val="22"/>
          <w:szCs w:val="22"/>
        </w:rPr>
        <w:t>illegal drugs</w:t>
      </w:r>
      <w:r w:rsidR="00646A79">
        <w:rPr>
          <w:sz w:val="22"/>
          <w:szCs w:val="22"/>
        </w:rPr>
        <w:t>,</w:t>
      </w:r>
      <w:r w:rsidRPr="00583E40">
        <w:rPr>
          <w:sz w:val="22"/>
          <w:szCs w:val="22"/>
        </w:rPr>
        <w:t xml:space="preserve"> misus</w:t>
      </w:r>
      <w:r>
        <w:rPr>
          <w:sz w:val="22"/>
          <w:szCs w:val="22"/>
        </w:rPr>
        <w:t>ing</w:t>
      </w:r>
      <w:r w:rsidRPr="00583E40">
        <w:rPr>
          <w:sz w:val="22"/>
          <w:szCs w:val="22"/>
        </w:rPr>
        <w:t xml:space="preserve"> legal drugs</w:t>
      </w:r>
      <w:r w:rsidR="00646A79">
        <w:rPr>
          <w:sz w:val="22"/>
          <w:szCs w:val="22"/>
        </w:rPr>
        <w:t>,</w:t>
      </w:r>
      <w:r w:rsidRPr="00583E40">
        <w:rPr>
          <w:sz w:val="22"/>
          <w:szCs w:val="22"/>
        </w:rPr>
        <w:t xml:space="preserve"> or attempt</w:t>
      </w:r>
      <w:r>
        <w:rPr>
          <w:sz w:val="22"/>
          <w:szCs w:val="22"/>
        </w:rPr>
        <w:t>ing</w:t>
      </w:r>
      <w:r w:rsidRPr="00583E40">
        <w:rPr>
          <w:sz w:val="22"/>
          <w:szCs w:val="22"/>
        </w:rPr>
        <w:t xml:space="preserve"> to subvert the testing process </w:t>
      </w:r>
      <w:r>
        <w:rPr>
          <w:sz w:val="22"/>
          <w:szCs w:val="22"/>
        </w:rPr>
        <w:t xml:space="preserve">to conceal drug use </w:t>
      </w:r>
      <w:r w:rsidRPr="00583E40">
        <w:rPr>
          <w:sz w:val="22"/>
          <w:szCs w:val="22"/>
        </w:rPr>
        <w:t>and</w:t>
      </w:r>
      <w:r>
        <w:rPr>
          <w:sz w:val="22"/>
          <w:szCs w:val="22"/>
        </w:rPr>
        <w:t xml:space="preserve"> who</w:t>
      </w:r>
      <w:r w:rsidR="00646A79">
        <w:rPr>
          <w:sz w:val="22"/>
          <w:szCs w:val="22"/>
        </w:rPr>
        <w:t>,</w:t>
      </w:r>
      <w:r>
        <w:rPr>
          <w:sz w:val="22"/>
          <w:szCs w:val="22"/>
        </w:rPr>
        <w:t xml:space="preserve"> as a result</w:t>
      </w:r>
      <w:r w:rsidR="00646A79">
        <w:rPr>
          <w:sz w:val="22"/>
          <w:szCs w:val="22"/>
        </w:rPr>
        <w:t>,</w:t>
      </w:r>
      <w:r>
        <w:rPr>
          <w:sz w:val="22"/>
          <w:szCs w:val="22"/>
        </w:rPr>
        <w:t xml:space="preserve"> </w:t>
      </w:r>
      <w:r w:rsidR="00966F81">
        <w:rPr>
          <w:sz w:val="22"/>
          <w:szCs w:val="22"/>
        </w:rPr>
        <w:t>are</w:t>
      </w:r>
      <w:r>
        <w:rPr>
          <w:sz w:val="22"/>
          <w:szCs w:val="22"/>
        </w:rPr>
        <w:t xml:space="preserve"> determined as </w:t>
      </w:r>
      <w:r w:rsidRPr="007E34E9">
        <w:rPr>
          <w:sz w:val="22"/>
          <w:szCs w:val="22"/>
        </w:rPr>
        <w:t>not fit for duty or not trustworthy and reliable</w:t>
      </w:r>
      <w:r w:rsidR="00646A79">
        <w:rPr>
          <w:sz w:val="22"/>
          <w:szCs w:val="22"/>
        </w:rPr>
        <w:t>,</w:t>
      </w:r>
      <w:r>
        <w:rPr>
          <w:sz w:val="22"/>
          <w:szCs w:val="22"/>
        </w:rPr>
        <w:t xml:space="preserve"> or both</w:t>
      </w:r>
      <w:r w:rsidRPr="007E34E9">
        <w:rPr>
          <w:sz w:val="22"/>
          <w:szCs w:val="22"/>
        </w:rPr>
        <w:t xml:space="preserve">.  </w:t>
      </w:r>
      <w:r w:rsidRPr="000311AF">
        <w:rPr>
          <w:sz w:val="22"/>
          <w:szCs w:val="22"/>
        </w:rPr>
        <w:t>Such a determination result</w:t>
      </w:r>
      <w:r w:rsidR="00966F81">
        <w:rPr>
          <w:sz w:val="22"/>
          <w:szCs w:val="22"/>
        </w:rPr>
        <w:t>s</w:t>
      </w:r>
      <w:r w:rsidRPr="000311AF">
        <w:rPr>
          <w:sz w:val="22"/>
          <w:szCs w:val="22"/>
        </w:rPr>
        <w:t xml:space="preserve"> in a denial of</w:t>
      </w:r>
      <w:r w:rsidRPr="008C1754">
        <w:rPr>
          <w:sz w:val="22"/>
          <w:szCs w:val="22"/>
        </w:rPr>
        <w:t xml:space="preserve"> unescorted access to the protected areas</w:t>
      </w:r>
      <w:r w:rsidRPr="005A5966">
        <w:rPr>
          <w:sz w:val="22"/>
          <w:szCs w:val="22"/>
        </w:rPr>
        <w:t xml:space="preserve"> of NRC</w:t>
      </w:r>
      <w:r>
        <w:rPr>
          <w:sz w:val="22"/>
          <w:szCs w:val="22"/>
        </w:rPr>
        <w:noBreakHyphen/>
      </w:r>
      <w:r w:rsidRPr="005A5966">
        <w:rPr>
          <w:sz w:val="22"/>
          <w:szCs w:val="22"/>
        </w:rPr>
        <w:t>licensed facilities</w:t>
      </w:r>
      <w:r w:rsidRPr="00F239A1">
        <w:rPr>
          <w:rFonts w:cs="Arial"/>
          <w:sz w:val="22"/>
          <w:szCs w:val="22"/>
        </w:rPr>
        <w:t xml:space="preserve"> </w:t>
      </w:r>
      <w:r>
        <w:rPr>
          <w:rFonts w:cs="Arial"/>
          <w:sz w:val="22"/>
          <w:szCs w:val="22"/>
        </w:rPr>
        <w:t>and other locations</w:t>
      </w:r>
      <w:r w:rsidR="00646A79">
        <w:rPr>
          <w:rFonts w:cs="Arial"/>
          <w:sz w:val="22"/>
          <w:szCs w:val="22"/>
        </w:rPr>
        <w:t>,</w:t>
      </w:r>
      <w:r>
        <w:rPr>
          <w:rFonts w:cs="Arial"/>
          <w:sz w:val="22"/>
          <w:szCs w:val="22"/>
        </w:rPr>
        <w:t xml:space="preserve"> access to SSNM</w:t>
      </w:r>
      <w:r w:rsidR="00646A79">
        <w:rPr>
          <w:rFonts w:cs="Arial"/>
          <w:sz w:val="22"/>
          <w:szCs w:val="22"/>
        </w:rPr>
        <w:t>,</w:t>
      </w:r>
      <w:r>
        <w:rPr>
          <w:rFonts w:cs="Arial"/>
          <w:sz w:val="22"/>
          <w:szCs w:val="22"/>
        </w:rPr>
        <w:t xml:space="preserve"> or access to sensitive information.  </w:t>
      </w:r>
      <w:r>
        <w:rPr>
          <w:sz w:val="22"/>
          <w:szCs w:val="22"/>
        </w:rPr>
        <w:t xml:space="preserve">The identification of these individuals enhances the existing regulatory framework </w:t>
      </w:r>
      <w:r w:rsidRPr="005A5966">
        <w:rPr>
          <w:sz w:val="22"/>
          <w:szCs w:val="22"/>
        </w:rPr>
        <w:t xml:space="preserve">to prevent drug-induced impairment </w:t>
      </w:r>
      <w:r>
        <w:rPr>
          <w:sz w:val="22"/>
          <w:szCs w:val="22"/>
        </w:rPr>
        <w:t>(i.e.</w:t>
      </w:r>
      <w:r w:rsidR="00646A79">
        <w:rPr>
          <w:sz w:val="22"/>
          <w:szCs w:val="22"/>
        </w:rPr>
        <w:t>,</w:t>
      </w:r>
      <w:r>
        <w:rPr>
          <w:sz w:val="22"/>
          <w:szCs w:val="22"/>
        </w:rPr>
        <w:t> acute intoxication and the consequences of recent drug use</w:t>
      </w:r>
      <w:r w:rsidR="00646A79">
        <w:rPr>
          <w:sz w:val="22"/>
          <w:szCs w:val="22"/>
        </w:rPr>
        <w:t>,</w:t>
      </w:r>
      <w:r>
        <w:rPr>
          <w:sz w:val="22"/>
          <w:szCs w:val="22"/>
        </w:rPr>
        <w:t xml:space="preserve"> such as withdrawal effects) </w:t>
      </w:r>
      <w:r w:rsidRPr="005A5966">
        <w:rPr>
          <w:sz w:val="22"/>
          <w:szCs w:val="22"/>
        </w:rPr>
        <w:t xml:space="preserve">from causing or contributing to human performance errors that </w:t>
      </w:r>
      <w:r>
        <w:rPr>
          <w:sz w:val="22"/>
          <w:szCs w:val="22"/>
        </w:rPr>
        <w:t>may</w:t>
      </w:r>
      <w:r w:rsidRPr="005A5966">
        <w:rPr>
          <w:sz w:val="22"/>
          <w:szCs w:val="22"/>
        </w:rPr>
        <w:t xml:space="preserve"> result in </w:t>
      </w:r>
      <w:r>
        <w:rPr>
          <w:sz w:val="22"/>
          <w:szCs w:val="22"/>
        </w:rPr>
        <w:t xml:space="preserve">unplanned occupational exposure; </w:t>
      </w:r>
      <w:r w:rsidRPr="005A5966">
        <w:rPr>
          <w:sz w:val="22"/>
          <w:szCs w:val="22"/>
        </w:rPr>
        <w:t>personal safety issues</w:t>
      </w:r>
      <w:r>
        <w:rPr>
          <w:sz w:val="22"/>
          <w:szCs w:val="22"/>
        </w:rPr>
        <w:t xml:space="preserve"> (e.g.</w:t>
      </w:r>
      <w:r w:rsidR="00646A79">
        <w:rPr>
          <w:sz w:val="22"/>
          <w:szCs w:val="22"/>
        </w:rPr>
        <w:t>,</w:t>
      </w:r>
      <w:r w:rsidR="00032523">
        <w:rPr>
          <w:sz w:val="22"/>
          <w:szCs w:val="22"/>
        </w:rPr>
        <w:t> </w:t>
      </w:r>
      <w:r>
        <w:rPr>
          <w:sz w:val="22"/>
          <w:szCs w:val="22"/>
        </w:rPr>
        <w:t>injuries);</w:t>
      </w:r>
      <w:r w:rsidRPr="005A5966">
        <w:rPr>
          <w:sz w:val="22"/>
          <w:szCs w:val="22"/>
        </w:rPr>
        <w:t xml:space="preserve"> unplanned radiological releases</w:t>
      </w:r>
      <w:r>
        <w:rPr>
          <w:sz w:val="22"/>
          <w:szCs w:val="22"/>
        </w:rPr>
        <w:t>;</w:t>
      </w:r>
      <w:r w:rsidRPr="005A5966">
        <w:rPr>
          <w:sz w:val="22"/>
          <w:szCs w:val="22"/>
        </w:rPr>
        <w:t xml:space="preserve"> or improper operation</w:t>
      </w:r>
      <w:r w:rsidR="00646A79">
        <w:rPr>
          <w:sz w:val="22"/>
          <w:szCs w:val="22"/>
        </w:rPr>
        <w:t>,</w:t>
      </w:r>
      <w:r w:rsidRPr="005A5966">
        <w:rPr>
          <w:sz w:val="22"/>
          <w:szCs w:val="22"/>
        </w:rPr>
        <w:t xml:space="preserve"> maintenance</w:t>
      </w:r>
      <w:r w:rsidR="00646A79">
        <w:rPr>
          <w:sz w:val="22"/>
          <w:szCs w:val="22"/>
        </w:rPr>
        <w:t>,</w:t>
      </w:r>
      <w:r w:rsidRPr="005A5966">
        <w:rPr>
          <w:sz w:val="22"/>
          <w:szCs w:val="22"/>
        </w:rPr>
        <w:t xml:space="preserve"> or surveillance of safety-related structures</w:t>
      </w:r>
      <w:r w:rsidR="00646A79">
        <w:rPr>
          <w:sz w:val="22"/>
          <w:szCs w:val="22"/>
        </w:rPr>
        <w:t>,</w:t>
      </w:r>
      <w:r w:rsidRPr="005A5966">
        <w:rPr>
          <w:sz w:val="22"/>
          <w:szCs w:val="22"/>
        </w:rPr>
        <w:t xml:space="preserve"> systems</w:t>
      </w:r>
      <w:r w:rsidR="00646A79">
        <w:rPr>
          <w:sz w:val="22"/>
          <w:szCs w:val="22"/>
        </w:rPr>
        <w:t>,</w:t>
      </w:r>
      <w:r w:rsidRPr="005A5966">
        <w:rPr>
          <w:sz w:val="22"/>
          <w:szCs w:val="22"/>
        </w:rPr>
        <w:t xml:space="preserve"> or components (SSCs).</w:t>
      </w:r>
    </w:p>
    <w:p w:rsidR="00D520BD" w:rsidP="00D520BD" w:rsidRDefault="00D520BD" w14:paraId="106F8684" w14:textId="77777777">
      <w:pPr>
        <w:rPr>
          <w:sz w:val="22"/>
          <w:szCs w:val="22"/>
        </w:rPr>
      </w:pPr>
    </w:p>
    <w:p w:rsidRPr="004F1340" w:rsidR="00D520BD" w:rsidP="00D520BD" w:rsidRDefault="00D520BD" w14:paraId="21882C81" w14:textId="32ED31EE">
      <w:pPr>
        <w:rPr>
          <w:sz w:val="22"/>
          <w:szCs w:val="22"/>
        </w:rPr>
      </w:pPr>
      <w:r w:rsidRPr="004F1340">
        <w:rPr>
          <w:sz w:val="22"/>
          <w:szCs w:val="22"/>
        </w:rPr>
        <w:t xml:space="preserve">This safety outcome is consistent with the original </w:t>
      </w:r>
      <w:r>
        <w:rPr>
          <w:sz w:val="22"/>
          <w:szCs w:val="22"/>
        </w:rPr>
        <w:t>10 CFR Part 26</w:t>
      </w:r>
      <w:r w:rsidRPr="004F1340">
        <w:rPr>
          <w:sz w:val="22"/>
          <w:szCs w:val="22"/>
        </w:rPr>
        <w:t xml:space="preserve"> rule</w:t>
      </w:r>
      <w:r w:rsidR="00646A79">
        <w:rPr>
          <w:sz w:val="22"/>
          <w:szCs w:val="22"/>
        </w:rPr>
        <w:t>,</w:t>
      </w:r>
      <w:r w:rsidRPr="004F1340">
        <w:rPr>
          <w:sz w:val="22"/>
          <w:szCs w:val="22"/>
        </w:rPr>
        <w:t xml:space="preserve"> which stated</w:t>
      </w:r>
      <w:r>
        <w:rPr>
          <w:sz w:val="22"/>
          <w:szCs w:val="22"/>
        </w:rPr>
        <w:t xml:space="preserve"> that</w:t>
      </w:r>
      <w:r w:rsidRPr="004F1340">
        <w:rPr>
          <w:sz w:val="22"/>
          <w:szCs w:val="22"/>
        </w:rPr>
        <w:t xml:space="preserve"> </w:t>
      </w:r>
      <w:r w:rsidR="00646A79">
        <w:rPr>
          <w:sz w:val="22"/>
          <w:szCs w:val="22"/>
        </w:rPr>
        <w:t>“</w:t>
      </w:r>
      <w:r w:rsidRPr="004F1340">
        <w:rPr>
          <w:sz w:val="22"/>
          <w:szCs w:val="22"/>
        </w:rPr>
        <w:t>[t]he NRC cannot be confident of the individual’s ability to limit the use of addictive substances to situations that do not adversely affect plant safety</w:t>
      </w:r>
      <w:r w:rsidR="00646A79">
        <w:rPr>
          <w:sz w:val="22"/>
          <w:szCs w:val="22"/>
        </w:rPr>
        <w:t>”</w:t>
      </w:r>
      <w:r>
        <w:rPr>
          <w:sz w:val="22"/>
          <w:szCs w:val="22"/>
        </w:rPr>
        <w:t xml:space="preserve"> (54 FR 24470; June 7</w:t>
      </w:r>
      <w:r w:rsidR="00646A79">
        <w:rPr>
          <w:sz w:val="22"/>
          <w:szCs w:val="22"/>
        </w:rPr>
        <w:t>,</w:t>
      </w:r>
      <w:r>
        <w:rPr>
          <w:sz w:val="22"/>
          <w:szCs w:val="22"/>
        </w:rPr>
        <w:t xml:space="preserve"> 1989)</w:t>
      </w:r>
      <w:r w:rsidR="00646A79">
        <w:rPr>
          <w:sz w:val="22"/>
          <w:szCs w:val="22"/>
        </w:rPr>
        <w:t>,</w:t>
      </w:r>
      <w:r w:rsidRPr="004F1340">
        <w:rPr>
          <w:sz w:val="22"/>
          <w:szCs w:val="22"/>
        </w:rPr>
        <w:t xml:space="preserve"> </w:t>
      </w:r>
      <w:r>
        <w:rPr>
          <w:sz w:val="22"/>
          <w:szCs w:val="22"/>
        </w:rPr>
        <w:t>a</w:t>
      </w:r>
      <w:r w:rsidRPr="004F1340">
        <w:rPr>
          <w:sz w:val="22"/>
          <w:szCs w:val="22"/>
        </w:rPr>
        <w:t xml:space="preserve">nd that </w:t>
      </w:r>
      <w:r w:rsidR="00646A79">
        <w:rPr>
          <w:sz w:val="22"/>
          <w:szCs w:val="22"/>
        </w:rPr>
        <w:t>“</w:t>
      </w:r>
      <w:r w:rsidRPr="004F1340">
        <w:rPr>
          <w:sz w:val="22"/>
          <w:szCs w:val="22"/>
        </w:rPr>
        <w:t>there is an underlying assumption that workers will abide by the licensee’s policies and procedures</w:t>
      </w:r>
      <w:r w:rsidR="00646A79">
        <w:rPr>
          <w:sz w:val="22"/>
          <w:szCs w:val="22"/>
        </w:rPr>
        <w:t>,</w:t>
      </w:r>
      <w:r w:rsidRPr="004F1340">
        <w:rPr>
          <w:sz w:val="22"/>
          <w:szCs w:val="22"/>
        </w:rPr>
        <w:t xml:space="preserve"> [therefore] any involvement with illegal drugs </w:t>
      </w:r>
      <w:r w:rsidRPr="004F1340">
        <w:rPr>
          <w:rFonts w:cs="Arial"/>
          <w:sz w:val="22"/>
          <w:szCs w:val="22"/>
        </w:rPr>
        <w:t>shows that the worker cannot be relied upon to obey laws of a health and safety nature</w:t>
      </w:r>
      <w:r w:rsidR="00646A79">
        <w:rPr>
          <w:rFonts w:cs="Arial"/>
          <w:sz w:val="22"/>
          <w:szCs w:val="22"/>
        </w:rPr>
        <w:t>,</w:t>
      </w:r>
      <w:r w:rsidRPr="004F1340">
        <w:rPr>
          <w:rFonts w:cs="Arial"/>
          <w:sz w:val="22"/>
          <w:szCs w:val="22"/>
        </w:rPr>
        <w:t xml:space="preserve"> indicating that the individual may not scrupulously follow rigorous procedural requirements with the integrity required in the nuclear power industry to assure public health and safety</w:t>
      </w:r>
      <w:r w:rsidR="00646A79">
        <w:rPr>
          <w:sz w:val="22"/>
          <w:szCs w:val="22"/>
        </w:rPr>
        <w:t>”</w:t>
      </w:r>
      <w:r>
        <w:rPr>
          <w:sz w:val="22"/>
          <w:szCs w:val="22"/>
        </w:rPr>
        <w:t xml:space="preserve"> (54 FR 24468; June 7</w:t>
      </w:r>
      <w:r w:rsidR="00646A79">
        <w:rPr>
          <w:sz w:val="22"/>
          <w:szCs w:val="22"/>
        </w:rPr>
        <w:t>,</w:t>
      </w:r>
      <w:r>
        <w:rPr>
          <w:sz w:val="22"/>
          <w:szCs w:val="22"/>
        </w:rPr>
        <w:t xml:space="preserve"> 1989).</w:t>
      </w:r>
    </w:p>
    <w:p w:rsidR="00D520BD" w:rsidP="00D520BD" w:rsidRDefault="00D520BD" w14:paraId="00200D56" w14:textId="77777777">
      <w:pPr>
        <w:rPr>
          <w:sz w:val="22"/>
          <w:szCs w:val="22"/>
        </w:rPr>
      </w:pPr>
    </w:p>
    <w:p w:rsidRPr="00583E40" w:rsidR="00D520BD" w:rsidP="00D520BD" w:rsidRDefault="00D520BD" w14:paraId="68AC3FC2" w14:textId="77777777">
      <w:pPr>
        <w:keepNext/>
        <w:keepLines/>
        <w:rPr>
          <w:sz w:val="22"/>
          <w:szCs w:val="22"/>
          <w:u w:val="single"/>
        </w:rPr>
      </w:pPr>
      <w:r w:rsidRPr="00583E40">
        <w:rPr>
          <w:sz w:val="22"/>
          <w:szCs w:val="22"/>
          <w:u w:val="single"/>
        </w:rPr>
        <w:t>Security Vulnerability</w:t>
      </w:r>
    </w:p>
    <w:p w:rsidRPr="00583E40" w:rsidR="00D520BD" w:rsidP="00D520BD" w:rsidRDefault="00D520BD" w14:paraId="3316D311" w14:textId="77777777">
      <w:pPr>
        <w:keepNext/>
        <w:keepLines/>
        <w:rPr>
          <w:sz w:val="22"/>
          <w:szCs w:val="22"/>
        </w:rPr>
      </w:pPr>
    </w:p>
    <w:p w:rsidR="00D520BD" w:rsidP="00D520BD" w:rsidRDefault="00D520BD" w14:paraId="0DABF005" w14:textId="38AE221D">
      <w:pPr>
        <w:rPr>
          <w:rFonts w:cs="Arial"/>
          <w:sz w:val="22"/>
          <w:szCs w:val="22"/>
        </w:rPr>
      </w:pPr>
      <w:r w:rsidRPr="00583E40">
        <w:rPr>
          <w:sz w:val="22"/>
          <w:szCs w:val="22"/>
        </w:rPr>
        <w:t xml:space="preserve">The </w:t>
      </w:r>
      <w:r w:rsidR="00667313">
        <w:rPr>
          <w:sz w:val="22"/>
          <w:szCs w:val="22"/>
        </w:rPr>
        <w:t xml:space="preserve">final </w:t>
      </w:r>
      <w:r w:rsidRPr="00583E40">
        <w:rPr>
          <w:sz w:val="22"/>
          <w:szCs w:val="22"/>
        </w:rPr>
        <w:t>rule enhance</w:t>
      </w:r>
      <w:r w:rsidR="00BD6B8E">
        <w:rPr>
          <w:sz w:val="22"/>
          <w:szCs w:val="22"/>
        </w:rPr>
        <w:t>s</w:t>
      </w:r>
      <w:r w:rsidRPr="00583E40">
        <w:rPr>
          <w:sz w:val="22"/>
          <w:szCs w:val="22"/>
        </w:rPr>
        <w:t xml:space="preserve"> the </w:t>
      </w:r>
      <w:r w:rsidR="0009253D">
        <w:rPr>
          <w:rFonts w:cs="Arial"/>
          <w:sz w:val="22"/>
          <w:szCs w:val="22"/>
        </w:rPr>
        <w:t xml:space="preserve">ability of </w:t>
      </w:r>
      <w:r w:rsidRPr="00AF139A" w:rsidR="0009253D">
        <w:rPr>
          <w:rFonts w:cs="Arial"/>
          <w:sz w:val="22"/>
          <w:szCs w:val="22"/>
        </w:rPr>
        <w:t>NRC licensees and other entities</w:t>
      </w:r>
      <w:r w:rsidR="0009253D">
        <w:rPr>
          <w:rFonts w:cs="Arial"/>
          <w:sz w:val="22"/>
          <w:szCs w:val="22"/>
        </w:rPr>
        <w:t xml:space="preserve"> to identify </w:t>
      </w:r>
      <w:r w:rsidRPr="00583E40">
        <w:rPr>
          <w:sz w:val="22"/>
          <w:szCs w:val="22"/>
        </w:rPr>
        <w:t>additional individuals determined not to be fit for duty</w:t>
      </w:r>
      <w:r>
        <w:rPr>
          <w:sz w:val="22"/>
          <w:szCs w:val="22"/>
        </w:rPr>
        <w:t xml:space="preserve"> or</w:t>
      </w:r>
      <w:r w:rsidRPr="00583E40">
        <w:rPr>
          <w:sz w:val="22"/>
          <w:szCs w:val="22"/>
        </w:rPr>
        <w:t xml:space="preserve"> not to be trustworthy and reliable</w:t>
      </w:r>
      <w:r w:rsidR="00646A79">
        <w:rPr>
          <w:sz w:val="22"/>
          <w:szCs w:val="22"/>
        </w:rPr>
        <w:t>,</w:t>
      </w:r>
      <w:r>
        <w:rPr>
          <w:sz w:val="22"/>
          <w:szCs w:val="22"/>
        </w:rPr>
        <w:t xml:space="preserve"> or both</w:t>
      </w:r>
      <w:r w:rsidR="00646A79">
        <w:rPr>
          <w:sz w:val="22"/>
          <w:szCs w:val="22"/>
        </w:rPr>
        <w:t>,</w:t>
      </w:r>
      <w:r w:rsidRPr="00583E40">
        <w:rPr>
          <w:sz w:val="22"/>
          <w:szCs w:val="22"/>
        </w:rPr>
        <w:t xml:space="preserve"> </w:t>
      </w:r>
      <w:r>
        <w:rPr>
          <w:sz w:val="22"/>
          <w:szCs w:val="22"/>
        </w:rPr>
        <w:t>because of</w:t>
      </w:r>
      <w:r w:rsidRPr="00583E40">
        <w:rPr>
          <w:sz w:val="22"/>
          <w:szCs w:val="22"/>
        </w:rPr>
        <w:t xml:space="preserve"> their use of illegal drugs</w:t>
      </w:r>
      <w:r w:rsidR="00646A79">
        <w:rPr>
          <w:sz w:val="22"/>
          <w:szCs w:val="22"/>
        </w:rPr>
        <w:t>,</w:t>
      </w:r>
      <w:r w:rsidRPr="00583E40">
        <w:rPr>
          <w:sz w:val="22"/>
          <w:szCs w:val="22"/>
        </w:rPr>
        <w:t xml:space="preserve"> misuse of legal drugs</w:t>
      </w:r>
      <w:r w:rsidR="00646A79">
        <w:rPr>
          <w:sz w:val="22"/>
          <w:szCs w:val="22"/>
        </w:rPr>
        <w:t>,</w:t>
      </w:r>
      <w:r w:rsidRPr="00583E40">
        <w:rPr>
          <w:sz w:val="22"/>
          <w:szCs w:val="22"/>
        </w:rPr>
        <w:t xml:space="preserve"> or attempts to subvert the drug testing process.</w:t>
      </w:r>
      <w:r>
        <w:rPr>
          <w:sz w:val="22"/>
          <w:szCs w:val="22"/>
        </w:rPr>
        <w:t xml:space="preserve"> </w:t>
      </w:r>
      <w:r>
        <w:rPr>
          <w:rFonts w:cs="Arial"/>
          <w:sz w:val="22"/>
          <w:szCs w:val="22"/>
        </w:rPr>
        <w:t xml:space="preserve"> A potential </w:t>
      </w:r>
      <w:r w:rsidRPr="00284169">
        <w:rPr>
          <w:rFonts w:cs="Arial"/>
          <w:sz w:val="22"/>
          <w:szCs w:val="22"/>
        </w:rPr>
        <w:t xml:space="preserve">security </w:t>
      </w:r>
      <w:r>
        <w:rPr>
          <w:rFonts w:cs="Arial"/>
          <w:sz w:val="22"/>
          <w:szCs w:val="22"/>
        </w:rPr>
        <w:t>vulnerability</w:t>
      </w:r>
      <w:r w:rsidRPr="00284169">
        <w:rPr>
          <w:rFonts w:cs="Arial"/>
          <w:sz w:val="22"/>
          <w:szCs w:val="22"/>
        </w:rPr>
        <w:t xml:space="preserve"> exists because persons of questionable </w:t>
      </w:r>
      <w:r>
        <w:rPr>
          <w:rFonts w:cs="Arial"/>
          <w:sz w:val="22"/>
          <w:szCs w:val="22"/>
        </w:rPr>
        <w:t>honesty</w:t>
      </w:r>
      <w:r w:rsidR="00646A79">
        <w:rPr>
          <w:rFonts w:cs="Arial"/>
          <w:sz w:val="22"/>
          <w:szCs w:val="22"/>
        </w:rPr>
        <w:t>,</w:t>
      </w:r>
      <w:r>
        <w:rPr>
          <w:rFonts w:cs="Arial"/>
          <w:sz w:val="22"/>
          <w:szCs w:val="22"/>
        </w:rPr>
        <w:t xml:space="preserve"> </w:t>
      </w:r>
      <w:r w:rsidRPr="00284169">
        <w:rPr>
          <w:rFonts w:cs="Arial"/>
          <w:sz w:val="22"/>
          <w:szCs w:val="22"/>
        </w:rPr>
        <w:t>integrity</w:t>
      </w:r>
      <w:r w:rsidR="00646A79">
        <w:rPr>
          <w:rFonts w:cs="Arial"/>
          <w:sz w:val="22"/>
          <w:szCs w:val="22"/>
        </w:rPr>
        <w:t>,</w:t>
      </w:r>
      <w:r w:rsidRPr="00284169">
        <w:rPr>
          <w:rFonts w:cs="Arial"/>
          <w:sz w:val="22"/>
          <w:szCs w:val="22"/>
        </w:rPr>
        <w:t xml:space="preserve"> and motive may have </w:t>
      </w:r>
      <w:r>
        <w:rPr>
          <w:rFonts w:cs="Arial"/>
          <w:sz w:val="22"/>
          <w:szCs w:val="22"/>
        </w:rPr>
        <w:t xml:space="preserve">unescorted access </w:t>
      </w:r>
      <w:r w:rsidRPr="00284169">
        <w:rPr>
          <w:rFonts w:cs="Arial"/>
          <w:sz w:val="22"/>
          <w:szCs w:val="22"/>
        </w:rPr>
        <w:t>authorization to enable (either physically or remotely through electronic means) a loss of SSC</w:t>
      </w:r>
      <w:r>
        <w:rPr>
          <w:rFonts w:cs="Arial"/>
          <w:sz w:val="22"/>
          <w:szCs w:val="22"/>
        </w:rPr>
        <w:t>s</w:t>
      </w:r>
      <w:r w:rsidRPr="00284169">
        <w:rPr>
          <w:rFonts w:cs="Arial"/>
          <w:sz w:val="22"/>
          <w:szCs w:val="22"/>
        </w:rPr>
        <w:t xml:space="preserve"> and facility control</w:t>
      </w:r>
      <w:r w:rsidR="00646A79">
        <w:rPr>
          <w:rFonts w:cs="Arial"/>
          <w:sz w:val="22"/>
          <w:szCs w:val="22"/>
        </w:rPr>
        <w:t>,</w:t>
      </w:r>
      <w:r w:rsidRPr="00284169">
        <w:rPr>
          <w:rFonts w:cs="Arial"/>
          <w:sz w:val="22"/>
          <w:szCs w:val="22"/>
        </w:rPr>
        <w:t xml:space="preserve"> </w:t>
      </w:r>
      <w:r>
        <w:rPr>
          <w:rFonts w:cs="Arial"/>
          <w:sz w:val="22"/>
          <w:szCs w:val="22"/>
        </w:rPr>
        <w:t xml:space="preserve">cause </w:t>
      </w:r>
      <w:r w:rsidRPr="00284169">
        <w:rPr>
          <w:rFonts w:cs="Arial"/>
          <w:sz w:val="22"/>
          <w:szCs w:val="22"/>
        </w:rPr>
        <w:t>radiological sabotage at a commercial power reactor</w:t>
      </w:r>
      <w:r w:rsidR="00646A79">
        <w:rPr>
          <w:rFonts w:cs="Arial"/>
          <w:sz w:val="22"/>
          <w:szCs w:val="22"/>
        </w:rPr>
        <w:t>,</w:t>
      </w:r>
      <w:r w:rsidRPr="00284169">
        <w:rPr>
          <w:rFonts w:cs="Arial"/>
          <w:sz w:val="22"/>
          <w:szCs w:val="22"/>
        </w:rPr>
        <w:t xml:space="preserve"> </w:t>
      </w:r>
      <w:r>
        <w:rPr>
          <w:rFonts w:cs="Arial"/>
          <w:sz w:val="22"/>
          <w:szCs w:val="22"/>
        </w:rPr>
        <w:t xml:space="preserve">or steal </w:t>
      </w:r>
      <w:r w:rsidRPr="00284169">
        <w:rPr>
          <w:rFonts w:cs="Arial"/>
          <w:sz w:val="22"/>
          <w:szCs w:val="22"/>
        </w:rPr>
        <w:t>or diver</w:t>
      </w:r>
      <w:r>
        <w:rPr>
          <w:rFonts w:cs="Arial"/>
          <w:sz w:val="22"/>
          <w:szCs w:val="22"/>
        </w:rPr>
        <w:t xml:space="preserve">t </w:t>
      </w:r>
      <w:r w:rsidRPr="00284169">
        <w:rPr>
          <w:rFonts w:cs="Arial"/>
          <w:sz w:val="22"/>
          <w:szCs w:val="22"/>
        </w:rPr>
        <w:t>formula quan</w:t>
      </w:r>
      <w:r>
        <w:rPr>
          <w:rFonts w:cs="Arial"/>
          <w:sz w:val="22"/>
          <w:szCs w:val="22"/>
        </w:rPr>
        <w:t>tities of SSNM from a Category I</w:t>
      </w:r>
      <w:r w:rsidRPr="00284169">
        <w:rPr>
          <w:rFonts w:cs="Arial"/>
          <w:sz w:val="22"/>
          <w:szCs w:val="22"/>
        </w:rPr>
        <w:t xml:space="preserve"> </w:t>
      </w:r>
      <w:r w:rsidR="004F4B95">
        <w:rPr>
          <w:rFonts w:cs="Arial"/>
          <w:sz w:val="22"/>
          <w:szCs w:val="22"/>
        </w:rPr>
        <w:t>special nuclear material licensee</w:t>
      </w:r>
      <w:r w:rsidRPr="00701AC3">
        <w:rPr>
          <w:rFonts w:cs="Arial"/>
          <w:sz w:val="22"/>
          <w:szCs w:val="22"/>
        </w:rPr>
        <w:t>.</w:t>
      </w:r>
    </w:p>
    <w:p w:rsidR="00D520BD" w:rsidP="00D520BD" w:rsidRDefault="00D520BD" w14:paraId="1823B62D" w14:textId="77777777">
      <w:pPr>
        <w:widowControl w:val="0"/>
        <w:rPr>
          <w:rFonts w:cs="Arial"/>
          <w:sz w:val="22"/>
          <w:szCs w:val="22"/>
        </w:rPr>
      </w:pPr>
    </w:p>
    <w:p w:rsidR="00D520BD" w:rsidP="00D520BD" w:rsidRDefault="00D520BD" w14:paraId="2D10A554" w14:textId="2F585690">
      <w:pPr>
        <w:autoSpaceDE/>
        <w:autoSpaceDN/>
        <w:adjustRightInd/>
        <w:rPr>
          <w:sz w:val="22"/>
          <w:szCs w:val="22"/>
        </w:rPr>
      </w:pPr>
      <w:r>
        <w:rPr>
          <w:sz w:val="22"/>
          <w:szCs w:val="22"/>
        </w:rPr>
        <w:t>A s</w:t>
      </w:r>
      <w:r w:rsidRPr="00583E40">
        <w:rPr>
          <w:sz w:val="22"/>
          <w:szCs w:val="22"/>
        </w:rPr>
        <w:t xml:space="preserve">ecurity vulnerability also exists </w:t>
      </w:r>
      <w:r>
        <w:rPr>
          <w:sz w:val="22"/>
          <w:szCs w:val="22"/>
        </w:rPr>
        <w:t xml:space="preserve">if </w:t>
      </w:r>
      <w:r w:rsidRPr="00583E40">
        <w:rPr>
          <w:sz w:val="22"/>
          <w:szCs w:val="22"/>
        </w:rPr>
        <w:t xml:space="preserve">security personnel </w:t>
      </w:r>
      <w:r w:rsidRPr="00DF658A">
        <w:rPr>
          <w:sz w:val="22"/>
          <w:szCs w:val="22"/>
        </w:rPr>
        <w:t>us</w:t>
      </w:r>
      <w:r>
        <w:rPr>
          <w:sz w:val="22"/>
          <w:szCs w:val="22"/>
        </w:rPr>
        <w:t>e</w:t>
      </w:r>
      <w:r w:rsidRPr="00DF658A">
        <w:rPr>
          <w:sz w:val="22"/>
          <w:szCs w:val="22"/>
        </w:rPr>
        <w:t xml:space="preserve"> illegal drugs</w:t>
      </w:r>
      <w:r>
        <w:rPr>
          <w:sz w:val="22"/>
          <w:szCs w:val="22"/>
        </w:rPr>
        <w:t xml:space="preserve"> or </w:t>
      </w:r>
      <w:r w:rsidRPr="00DF658A">
        <w:rPr>
          <w:sz w:val="22"/>
          <w:szCs w:val="22"/>
        </w:rPr>
        <w:t>misus</w:t>
      </w:r>
      <w:r>
        <w:rPr>
          <w:sz w:val="22"/>
          <w:szCs w:val="22"/>
        </w:rPr>
        <w:t>e</w:t>
      </w:r>
      <w:r w:rsidRPr="00DF658A">
        <w:rPr>
          <w:sz w:val="22"/>
          <w:szCs w:val="22"/>
        </w:rPr>
        <w:t xml:space="preserve"> legal drugs</w:t>
      </w:r>
      <w:r>
        <w:rPr>
          <w:sz w:val="22"/>
          <w:szCs w:val="22"/>
        </w:rPr>
        <w:t>.  Failure to maintain a robust and up-to-date FFD program could significantly challenge</w:t>
      </w:r>
      <w:r w:rsidRPr="00DF658A">
        <w:rPr>
          <w:sz w:val="22"/>
          <w:szCs w:val="22"/>
        </w:rPr>
        <w:t xml:space="preserve"> the effectiveness of the site insider mit</w:t>
      </w:r>
      <w:r>
        <w:rPr>
          <w:sz w:val="22"/>
          <w:szCs w:val="22"/>
        </w:rPr>
        <w:t>igation program (10 </w:t>
      </w:r>
      <w:r w:rsidRPr="00DF658A">
        <w:rPr>
          <w:sz w:val="22"/>
          <w:szCs w:val="22"/>
        </w:rPr>
        <w:t>CFR</w:t>
      </w:r>
      <w:r>
        <w:rPr>
          <w:sz w:val="22"/>
          <w:szCs w:val="22"/>
        </w:rPr>
        <w:t> </w:t>
      </w:r>
      <w:r w:rsidRPr="00DF658A">
        <w:rPr>
          <w:sz w:val="22"/>
          <w:szCs w:val="22"/>
        </w:rPr>
        <w:t>73.55(b)(9))</w:t>
      </w:r>
      <w:r w:rsidR="00646A79">
        <w:rPr>
          <w:sz w:val="22"/>
          <w:szCs w:val="22"/>
        </w:rPr>
        <w:t>,</w:t>
      </w:r>
      <w:r w:rsidRPr="00DF658A">
        <w:rPr>
          <w:sz w:val="22"/>
          <w:szCs w:val="22"/>
        </w:rPr>
        <w:t xml:space="preserve"> security plan (</w:t>
      </w:r>
      <w:r>
        <w:rPr>
          <w:sz w:val="22"/>
          <w:szCs w:val="22"/>
        </w:rPr>
        <w:t>10 CFR </w:t>
      </w:r>
      <w:r w:rsidRPr="00DF658A">
        <w:rPr>
          <w:sz w:val="22"/>
          <w:szCs w:val="22"/>
        </w:rPr>
        <w:t>73.55(c)</w:t>
      </w:r>
      <w:r>
        <w:rPr>
          <w:sz w:val="22"/>
          <w:szCs w:val="22"/>
        </w:rPr>
        <w:t>)</w:t>
      </w:r>
      <w:r w:rsidR="00646A79">
        <w:rPr>
          <w:sz w:val="22"/>
          <w:szCs w:val="22"/>
        </w:rPr>
        <w:t>,</w:t>
      </w:r>
      <w:r w:rsidRPr="00DF658A">
        <w:rPr>
          <w:sz w:val="22"/>
          <w:szCs w:val="22"/>
        </w:rPr>
        <w:t xml:space="preserve"> security search program (</w:t>
      </w:r>
      <w:r>
        <w:rPr>
          <w:sz w:val="22"/>
          <w:szCs w:val="22"/>
        </w:rPr>
        <w:t>10 CFR </w:t>
      </w:r>
      <w:r w:rsidRPr="00DF658A">
        <w:rPr>
          <w:sz w:val="22"/>
          <w:szCs w:val="22"/>
        </w:rPr>
        <w:t>73.55(h))</w:t>
      </w:r>
      <w:r w:rsidR="00646A79">
        <w:rPr>
          <w:sz w:val="22"/>
          <w:szCs w:val="22"/>
        </w:rPr>
        <w:t>,</w:t>
      </w:r>
      <w:r w:rsidRPr="00DF658A">
        <w:rPr>
          <w:sz w:val="22"/>
          <w:szCs w:val="22"/>
        </w:rPr>
        <w:t xml:space="preserve"> and detection and assessment systems that include requirements to conduct surveillance</w:t>
      </w:r>
      <w:r w:rsidR="00646A79">
        <w:rPr>
          <w:sz w:val="22"/>
          <w:szCs w:val="22"/>
        </w:rPr>
        <w:t>,</w:t>
      </w:r>
      <w:r w:rsidRPr="00DF658A">
        <w:rPr>
          <w:sz w:val="22"/>
          <w:szCs w:val="22"/>
        </w:rPr>
        <w:t xml:space="preserve"> observation</w:t>
      </w:r>
      <w:r w:rsidR="00646A79">
        <w:rPr>
          <w:sz w:val="22"/>
          <w:szCs w:val="22"/>
        </w:rPr>
        <w:t>,</w:t>
      </w:r>
      <w:r w:rsidRPr="00DF658A">
        <w:rPr>
          <w:sz w:val="22"/>
          <w:szCs w:val="22"/>
        </w:rPr>
        <w:t xml:space="preserve"> and monitoring to identify tampering and to detect and deter intruders (</w:t>
      </w:r>
      <w:r>
        <w:rPr>
          <w:sz w:val="22"/>
          <w:szCs w:val="22"/>
        </w:rPr>
        <w:t>10 CFR </w:t>
      </w:r>
      <w:r w:rsidRPr="00DF658A">
        <w:rPr>
          <w:sz w:val="22"/>
          <w:szCs w:val="22"/>
        </w:rPr>
        <w:t>73.55(i)).</w:t>
      </w:r>
      <w:r>
        <w:rPr>
          <w:sz w:val="22"/>
          <w:szCs w:val="22"/>
        </w:rPr>
        <w:t xml:space="preserve">  </w:t>
      </w:r>
      <w:r w:rsidRPr="00DF658A">
        <w:rPr>
          <w:sz w:val="22"/>
          <w:szCs w:val="22"/>
        </w:rPr>
        <w:t>These requirements cannot be effectively implemented if site security personnel are not fit for duty</w:t>
      </w:r>
      <w:r w:rsidR="00646A79">
        <w:rPr>
          <w:sz w:val="22"/>
          <w:szCs w:val="22"/>
        </w:rPr>
        <w:t>,</w:t>
      </w:r>
      <w:r>
        <w:rPr>
          <w:sz w:val="22"/>
          <w:szCs w:val="22"/>
        </w:rPr>
        <w:t xml:space="preserve"> </w:t>
      </w:r>
      <w:r w:rsidRPr="00DF658A">
        <w:rPr>
          <w:sz w:val="22"/>
          <w:szCs w:val="22"/>
        </w:rPr>
        <w:t>because many security duties and responsibilities are conducted by security of</w:t>
      </w:r>
      <w:r>
        <w:rPr>
          <w:sz w:val="22"/>
          <w:szCs w:val="22"/>
        </w:rPr>
        <w:t>ficers who operate alone (i.e.</w:t>
      </w:r>
      <w:r w:rsidR="00646A79">
        <w:rPr>
          <w:sz w:val="22"/>
          <w:szCs w:val="22"/>
        </w:rPr>
        <w:t>,</w:t>
      </w:r>
      <w:r>
        <w:rPr>
          <w:sz w:val="22"/>
          <w:szCs w:val="22"/>
        </w:rPr>
        <w:t> </w:t>
      </w:r>
      <w:r w:rsidRPr="00DF658A">
        <w:rPr>
          <w:sz w:val="22"/>
          <w:szCs w:val="22"/>
        </w:rPr>
        <w:t>individually) and</w:t>
      </w:r>
      <w:r w:rsidR="00646A79">
        <w:rPr>
          <w:sz w:val="22"/>
          <w:szCs w:val="22"/>
        </w:rPr>
        <w:t>,</w:t>
      </w:r>
      <w:r w:rsidRPr="00DF658A">
        <w:rPr>
          <w:sz w:val="22"/>
          <w:szCs w:val="22"/>
        </w:rPr>
        <w:t xml:space="preserve"> therefore</w:t>
      </w:r>
      <w:r w:rsidR="00646A79">
        <w:rPr>
          <w:sz w:val="22"/>
          <w:szCs w:val="22"/>
        </w:rPr>
        <w:t>,</w:t>
      </w:r>
      <w:r w:rsidRPr="00DF658A">
        <w:rPr>
          <w:sz w:val="22"/>
          <w:szCs w:val="22"/>
        </w:rPr>
        <w:t xml:space="preserve"> do not </w:t>
      </w:r>
      <w:r>
        <w:rPr>
          <w:sz w:val="22"/>
          <w:szCs w:val="22"/>
        </w:rPr>
        <w:t>benefit from</w:t>
      </w:r>
      <w:r w:rsidRPr="00DF658A">
        <w:rPr>
          <w:sz w:val="22"/>
          <w:szCs w:val="22"/>
        </w:rPr>
        <w:t xml:space="preserve"> a team environment</w:t>
      </w:r>
      <w:r w:rsidR="00646A79">
        <w:rPr>
          <w:sz w:val="22"/>
          <w:szCs w:val="22"/>
        </w:rPr>
        <w:t>,</w:t>
      </w:r>
      <w:r w:rsidRPr="00DF658A">
        <w:rPr>
          <w:sz w:val="22"/>
          <w:szCs w:val="22"/>
        </w:rPr>
        <w:t xml:space="preserve"> second checks</w:t>
      </w:r>
      <w:r w:rsidR="00646A79">
        <w:rPr>
          <w:sz w:val="22"/>
          <w:szCs w:val="22"/>
        </w:rPr>
        <w:t>,</w:t>
      </w:r>
      <w:r w:rsidRPr="00DF658A">
        <w:rPr>
          <w:sz w:val="22"/>
          <w:szCs w:val="22"/>
        </w:rPr>
        <w:t xml:space="preserve"> or backup.  As a result</w:t>
      </w:r>
      <w:r w:rsidR="00646A79">
        <w:rPr>
          <w:sz w:val="22"/>
          <w:szCs w:val="22"/>
        </w:rPr>
        <w:t>,</w:t>
      </w:r>
      <w:r w:rsidRPr="00DF658A">
        <w:rPr>
          <w:sz w:val="22"/>
          <w:szCs w:val="22"/>
        </w:rPr>
        <w:t xml:space="preserve"> a security officer who is mentally</w:t>
      </w:r>
      <w:r w:rsidR="00646A79">
        <w:rPr>
          <w:sz w:val="22"/>
          <w:szCs w:val="22"/>
        </w:rPr>
        <w:t>,</w:t>
      </w:r>
      <w:r w:rsidRPr="00DF658A">
        <w:rPr>
          <w:sz w:val="22"/>
          <w:szCs w:val="22"/>
        </w:rPr>
        <w:t xml:space="preserve"> physically</w:t>
      </w:r>
      <w:r w:rsidR="00646A79">
        <w:rPr>
          <w:sz w:val="22"/>
          <w:szCs w:val="22"/>
        </w:rPr>
        <w:t>,</w:t>
      </w:r>
      <w:r w:rsidRPr="00DF658A">
        <w:rPr>
          <w:sz w:val="22"/>
          <w:szCs w:val="22"/>
        </w:rPr>
        <w:t xml:space="preserve"> or psychologically impaired or who does not possess the characteristics of honesty</w:t>
      </w:r>
      <w:r w:rsidR="00646A79">
        <w:rPr>
          <w:sz w:val="22"/>
          <w:szCs w:val="22"/>
        </w:rPr>
        <w:t>,</w:t>
      </w:r>
      <w:r w:rsidRPr="00DF658A">
        <w:rPr>
          <w:sz w:val="22"/>
          <w:szCs w:val="22"/>
        </w:rPr>
        <w:t xml:space="preserve"> integrity</w:t>
      </w:r>
      <w:r w:rsidR="00646A79">
        <w:rPr>
          <w:sz w:val="22"/>
          <w:szCs w:val="22"/>
        </w:rPr>
        <w:t>,</w:t>
      </w:r>
      <w:r w:rsidRPr="00DF658A">
        <w:rPr>
          <w:sz w:val="22"/>
          <w:szCs w:val="22"/>
        </w:rPr>
        <w:t xml:space="preserve"> trustworthiness</w:t>
      </w:r>
      <w:r w:rsidR="00646A79">
        <w:rPr>
          <w:sz w:val="22"/>
          <w:szCs w:val="22"/>
        </w:rPr>
        <w:t>,</w:t>
      </w:r>
      <w:r w:rsidRPr="00DF658A">
        <w:rPr>
          <w:sz w:val="22"/>
          <w:szCs w:val="22"/>
        </w:rPr>
        <w:t xml:space="preserve"> and reliability cannot be relied upon to competently execute site security requirements.  </w:t>
      </w:r>
      <w:r w:rsidRPr="00BC2AC0">
        <w:rPr>
          <w:sz w:val="22"/>
          <w:szCs w:val="22"/>
        </w:rPr>
        <w:t>Furthermore</w:t>
      </w:r>
      <w:r w:rsidR="00646A79">
        <w:rPr>
          <w:sz w:val="22"/>
          <w:szCs w:val="22"/>
        </w:rPr>
        <w:t>,</w:t>
      </w:r>
      <w:r w:rsidRPr="00BC2AC0">
        <w:rPr>
          <w:sz w:val="22"/>
          <w:szCs w:val="22"/>
        </w:rPr>
        <w:t xml:space="preserve"> such a security officer cannot be relied upon to maintain positive control of his or her weapons</w:t>
      </w:r>
      <w:r w:rsidR="00646A79">
        <w:rPr>
          <w:sz w:val="22"/>
          <w:szCs w:val="22"/>
        </w:rPr>
        <w:t>,</w:t>
      </w:r>
      <w:r w:rsidRPr="00BC2AC0">
        <w:rPr>
          <w:sz w:val="22"/>
          <w:szCs w:val="22"/>
        </w:rPr>
        <w:t xml:space="preserve"> access controls</w:t>
      </w:r>
      <w:r w:rsidR="00646A79">
        <w:rPr>
          <w:sz w:val="22"/>
          <w:szCs w:val="22"/>
        </w:rPr>
        <w:t>,</w:t>
      </w:r>
      <w:r w:rsidRPr="00BC2AC0">
        <w:rPr>
          <w:sz w:val="22"/>
          <w:szCs w:val="22"/>
        </w:rPr>
        <w:t xml:space="preserve"> communication devices</w:t>
      </w:r>
      <w:r w:rsidR="00646A79">
        <w:rPr>
          <w:sz w:val="22"/>
          <w:szCs w:val="22"/>
        </w:rPr>
        <w:t>,</w:t>
      </w:r>
      <w:r w:rsidRPr="00BC2AC0">
        <w:rPr>
          <w:sz w:val="22"/>
          <w:szCs w:val="22"/>
        </w:rPr>
        <w:t xml:space="preserve"> and security-related knowledge and to </w:t>
      </w:r>
      <w:r w:rsidRPr="00BC2AC0" w:rsidR="001A08C3">
        <w:rPr>
          <w:sz w:val="22"/>
          <w:szCs w:val="22"/>
        </w:rPr>
        <w:t xml:space="preserve">make decisions safely </w:t>
      </w:r>
      <w:r w:rsidRPr="00BC2AC0" w:rsidR="001A08C3">
        <w:rPr>
          <w:sz w:val="22"/>
          <w:szCs w:val="22"/>
        </w:rPr>
        <w:lastRenderedPageBreak/>
        <w:t>and competently</w:t>
      </w:r>
      <w:r w:rsidRPr="00BC2AC0">
        <w:rPr>
          <w:sz w:val="22"/>
          <w:szCs w:val="22"/>
        </w:rPr>
        <w:t xml:space="preserve"> </w:t>
      </w:r>
      <w:r>
        <w:rPr>
          <w:sz w:val="22"/>
          <w:szCs w:val="22"/>
        </w:rPr>
        <w:t>about</w:t>
      </w:r>
      <w:r w:rsidRPr="00BC2AC0">
        <w:rPr>
          <w:sz w:val="22"/>
          <w:szCs w:val="22"/>
        </w:rPr>
        <w:t xml:space="preserve"> contingency response and the use of deadly force</w:t>
      </w:r>
      <w:r w:rsidRPr="00DF658A">
        <w:rPr>
          <w:sz w:val="22"/>
          <w:szCs w:val="22"/>
        </w:rPr>
        <w:t xml:space="preserve">.  This argument </w:t>
      </w:r>
      <w:r>
        <w:rPr>
          <w:sz w:val="22"/>
          <w:szCs w:val="22"/>
        </w:rPr>
        <w:t xml:space="preserve">also applies </w:t>
      </w:r>
      <w:r w:rsidRPr="00DF658A">
        <w:rPr>
          <w:sz w:val="22"/>
          <w:szCs w:val="22"/>
        </w:rPr>
        <w:t xml:space="preserve">to individuals who perform the duties and responsibilities listed in </w:t>
      </w:r>
      <w:r>
        <w:rPr>
          <w:sz w:val="22"/>
          <w:szCs w:val="22"/>
        </w:rPr>
        <w:t>10 CFR </w:t>
      </w:r>
      <w:r w:rsidRPr="00DF658A">
        <w:rPr>
          <w:sz w:val="22"/>
          <w:szCs w:val="22"/>
        </w:rPr>
        <w:t>73.56(i)(1)(v)(B) and those who perform nonsafety</w:t>
      </w:r>
      <w:r w:rsidR="001A08C3">
        <w:rPr>
          <w:sz w:val="22"/>
          <w:szCs w:val="22"/>
        </w:rPr>
        <w:t>-</w:t>
      </w:r>
      <w:r w:rsidRPr="00DF658A">
        <w:rPr>
          <w:sz w:val="22"/>
          <w:szCs w:val="22"/>
        </w:rPr>
        <w:t xml:space="preserve"> or nonsecurity-related job functions.</w:t>
      </w:r>
    </w:p>
    <w:p w:rsidR="00D520BD" w:rsidP="00A8615D" w:rsidRDefault="00D520BD" w14:paraId="0061F72B" w14:textId="77777777">
      <w:pPr>
        <w:keepNext/>
        <w:autoSpaceDE/>
        <w:autoSpaceDN/>
        <w:adjustRightInd/>
        <w:spacing w:before="220"/>
        <w:rPr>
          <w:sz w:val="22"/>
          <w:szCs w:val="22"/>
          <w:u w:val="single"/>
        </w:rPr>
      </w:pPr>
      <w:r>
        <w:rPr>
          <w:sz w:val="22"/>
          <w:szCs w:val="22"/>
          <w:u w:val="single"/>
        </w:rPr>
        <w:t xml:space="preserve">Identifying </w:t>
      </w:r>
      <w:r w:rsidRPr="00284169">
        <w:rPr>
          <w:sz w:val="22"/>
          <w:szCs w:val="22"/>
          <w:u w:val="single"/>
        </w:rPr>
        <w:t>Subversion</w:t>
      </w:r>
      <w:r>
        <w:rPr>
          <w:sz w:val="22"/>
          <w:szCs w:val="22"/>
          <w:u w:val="single"/>
        </w:rPr>
        <w:t xml:space="preserve"> Attempts</w:t>
      </w:r>
    </w:p>
    <w:p w:rsidRPr="00284169" w:rsidR="00D520BD" w:rsidP="00D520BD" w:rsidRDefault="00D520BD" w14:paraId="4953CCEA" w14:textId="77777777">
      <w:pPr>
        <w:keepNext/>
        <w:autoSpaceDE/>
        <w:autoSpaceDN/>
        <w:adjustRightInd/>
        <w:rPr>
          <w:sz w:val="22"/>
          <w:szCs w:val="22"/>
          <w:u w:val="single"/>
        </w:rPr>
      </w:pPr>
    </w:p>
    <w:p w:rsidR="00D520BD" w:rsidP="00D520BD" w:rsidRDefault="00D520BD" w14:paraId="2EE911DD" w14:textId="4E37E702">
      <w:pPr>
        <w:autoSpaceDE/>
        <w:autoSpaceDN/>
        <w:adjustRightInd/>
        <w:rPr>
          <w:rFonts w:cs="Arial"/>
          <w:sz w:val="22"/>
          <w:szCs w:val="22"/>
        </w:rPr>
      </w:pPr>
      <w:r>
        <w:rPr>
          <w:sz w:val="22"/>
          <w:szCs w:val="22"/>
        </w:rPr>
        <w:t>T</w:t>
      </w:r>
      <w:r w:rsidRPr="00437F9D">
        <w:rPr>
          <w:sz w:val="22"/>
          <w:szCs w:val="22"/>
        </w:rPr>
        <w:t xml:space="preserve">he </w:t>
      </w:r>
      <w:r w:rsidR="00966F81">
        <w:rPr>
          <w:sz w:val="22"/>
          <w:szCs w:val="22"/>
        </w:rPr>
        <w:t xml:space="preserve">final </w:t>
      </w:r>
      <w:r>
        <w:rPr>
          <w:sz w:val="22"/>
          <w:szCs w:val="22"/>
        </w:rPr>
        <w:t xml:space="preserve">rule </w:t>
      </w:r>
      <w:r w:rsidR="0009253D">
        <w:rPr>
          <w:rFonts w:cs="Arial"/>
          <w:sz w:val="22"/>
          <w:szCs w:val="22"/>
        </w:rPr>
        <w:t>enhance</w:t>
      </w:r>
      <w:r w:rsidR="00966F81">
        <w:rPr>
          <w:rFonts w:cs="Arial"/>
          <w:sz w:val="22"/>
          <w:szCs w:val="22"/>
        </w:rPr>
        <w:t>s</w:t>
      </w:r>
      <w:r w:rsidR="0009253D">
        <w:rPr>
          <w:rFonts w:cs="Arial"/>
          <w:sz w:val="22"/>
          <w:szCs w:val="22"/>
        </w:rPr>
        <w:t xml:space="preserve"> the ability of </w:t>
      </w:r>
      <w:r w:rsidRPr="00AF139A" w:rsidR="0009253D">
        <w:rPr>
          <w:rFonts w:cs="Arial"/>
          <w:sz w:val="22"/>
          <w:szCs w:val="22"/>
        </w:rPr>
        <w:t>NRC licensees and other entities</w:t>
      </w:r>
      <w:r w:rsidR="0009253D">
        <w:rPr>
          <w:rFonts w:cs="Arial"/>
          <w:sz w:val="22"/>
          <w:szCs w:val="22"/>
        </w:rPr>
        <w:t xml:space="preserve"> to identify </w:t>
      </w:r>
      <w:r>
        <w:rPr>
          <w:sz w:val="22"/>
          <w:szCs w:val="22"/>
        </w:rPr>
        <w:t>additional</w:t>
      </w:r>
      <w:r w:rsidRPr="00437F9D">
        <w:rPr>
          <w:sz w:val="22"/>
          <w:szCs w:val="22"/>
        </w:rPr>
        <w:t xml:space="preserve"> </w:t>
      </w:r>
      <w:r>
        <w:rPr>
          <w:sz w:val="22"/>
          <w:szCs w:val="22"/>
        </w:rPr>
        <w:t>individuals</w:t>
      </w:r>
      <w:r w:rsidRPr="00437F9D">
        <w:rPr>
          <w:sz w:val="22"/>
          <w:szCs w:val="22"/>
        </w:rPr>
        <w:t xml:space="preserve"> attempting to </w:t>
      </w:r>
      <w:r>
        <w:rPr>
          <w:sz w:val="22"/>
          <w:szCs w:val="22"/>
        </w:rPr>
        <w:t xml:space="preserve">hide their drug use by </w:t>
      </w:r>
      <w:r w:rsidRPr="00437F9D">
        <w:rPr>
          <w:sz w:val="22"/>
          <w:szCs w:val="22"/>
        </w:rPr>
        <w:t>subvert</w:t>
      </w:r>
      <w:r>
        <w:rPr>
          <w:sz w:val="22"/>
          <w:szCs w:val="22"/>
        </w:rPr>
        <w:t>ing</w:t>
      </w:r>
      <w:r w:rsidRPr="00437F9D">
        <w:rPr>
          <w:sz w:val="22"/>
          <w:szCs w:val="22"/>
        </w:rPr>
        <w:t xml:space="preserve"> the drug testing process</w:t>
      </w:r>
      <w:r>
        <w:rPr>
          <w:sz w:val="22"/>
          <w:szCs w:val="22"/>
        </w:rPr>
        <w:t xml:space="preserve"> (e.g.</w:t>
      </w:r>
      <w:r w:rsidR="00646A79">
        <w:rPr>
          <w:sz w:val="22"/>
          <w:szCs w:val="22"/>
        </w:rPr>
        <w:t>,</w:t>
      </w:r>
      <w:r>
        <w:rPr>
          <w:sz w:val="22"/>
          <w:szCs w:val="22"/>
        </w:rPr>
        <w:t> consuming large quantities of fluid just before submitting a specimen for testing to reduce the level of a drug in his or her urine below detectable limits or submitting the urine of a nondrug</w:t>
      </w:r>
      <w:r>
        <w:rPr>
          <w:sz w:val="22"/>
          <w:szCs w:val="22"/>
        </w:rPr>
        <w:noBreakHyphen/>
        <w:t>using individual in place of his or her own specimen)</w:t>
      </w:r>
      <w:r w:rsidRPr="00437F9D">
        <w:rPr>
          <w:sz w:val="22"/>
          <w:szCs w:val="22"/>
        </w:rPr>
        <w:t>.</w:t>
      </w:r>
      <w:r w:rsidRPr="00437F9D">
        <w:rPr>
          <w:rFonts w:cs="Arial"/>
          <w:sz w:val="22"/>
          <w:szCs w:val="22"/>
        </w:rPr>
        <w:t xml:space="preserve">  </w:t>
      </w:r>
      <w:r w:rsidR="00966F81">
        <w:rPr>
          <w:rFonts w:cs="Arial"/>
          <w:sz w:val="22"/>
          <w:szCs w:val="22"/>
        </w:rPr>
        <w:t>This</w:t>
      </w:r>
      <w:r>
        <w:rPr>
          <w:rFonts w:cs="Arial"/>
          <w:sz w:val="22"/>
          <w:szCs w:val="22"/>
        </w:rPr>
        <w:t xml:space="preserve"> rule </w:t>
      </w:r>
      <w:r w:rsidRPr="00437F9D">
        <w:rPr>
          <w:rFonts w:cs="Arial"/>
          <w:sz w:val="22"/>
          <w:szCs w:val="22"/>
        </w:rPr>
        <w:t>require</w:t>
      </w:r>
      <w:r w:rsidR="00966F81">
        <w:rPr>
          <w:rFonts w:cs="Arial"/>
          <w:sz w:val="22"/>
          <w:szCs w:val="22"/>
        </w:rPr>
        <w:t>s</w:t>
      </w:r>
      <w:r w:rsidRPr="00437F9D">
        <w:rPr>
          <w:rFonts w:cs="Arial"/>
          <w:sz w:val="22"/>
          <w:szCs w:val="22"/>
        </w:rPr>
        <w:t xml:space="preserve"> all </w:t>
      </w:r>
      <w:r>
        <w:rPr>
          <w:rFonts w:cs="Arial"/>
          <w:sz w:val="22"/>
          <w:szCs w:val="22"/>
        </w:rPr>
        <w:t>specimens with a dilute validity test result (dilute specimens) and specimens collected under the direct observation requirements in 10 CFR 26.115(a)(1) through (a)(3) or (a)(5) (i.e.</w:t>
      </w:r>
      <w:r w:rsidR="00646A79">
        <w:rPr>
          <w:rFonts w:cs="Arial"/>
          <w:sz w:val="22"/>
          <w:szCs w:val="22"/>
        </w:rPr>
        <w:t>,</w:t>
      </w:r>
      <w:r>
        <w:rPr>
          <w:rFonts w:cs="Arial"/>
          <w:sz w:val="22"/>
          <w:szCs w:val="22"/>
        </w:rPr>
        <w:t xml:space="preserve"> instances where a subversion attempt is suspected) to </w:t>
      </w:r>
      <w:r w:rsidRPr="00437F9D">
        <w:rPr>
          <w:rFonts w:cs="Arial"/>
          <w:sz w:val="22"/>
          <w:szCs w:val="22"/>
        </w:rPr>
        <w:t xml:space="preserve">be tested to the </w:t>
      </w:r>
      <w:r>
        <w:rPr>
          <w:rFonts w:cs="Arial"/>
          <w:sz w:val="22"/>
          <w:szCs w:val="22"/>
        </w:rPr>
        <w:t>limit of quantification</w:t>
      </w:r>
      <w:r w:rsidR="00646A79">
        <w:rPr>
          <w:rFonts w:cs="Arial"/>
          <w:sz w:val="22"/>
          <w:szCs w:val="22"/>
        </w:rPr>
        <w:t>,</w:t>
      </w:r>
      <w:r>
        <w:rPr>
          <w:rFonts w:cs="Arial"/>
          <w:sz w:val="22"/>
          <w:szCs w:val="22"/>
        </w:rPr>
        <w:t xml:space="preserve"> which is the </w:t>
      </w:r>
      <w:r w:rsidRPr="00437F9D">
        <w:rPr>
          <w:rFonts w:cs="Arial"/>
          <w:sz w:val="22"/>
          <w:szCs w:val="22"/>
        </w:rPr>
        <w:t xml:space="preserve">lowest concentration at which the identity and concentration of </w:t>
      </w:r>
      <w:r>
        <w:rPr>
          <w:rFonts w:cs="Arial"/>
          <w:sz w:val="22"/>
          <w:szCs w:val="22"/>
        </w:rPr>
        <w:t xml:space="preserve">a </w:t>
      </w:r>
      <w:r w:rsidRPr="00437F9D">
        <w:rPr>
          <w:rFonts w:cs="Arial"/>
          <w:sz w:val="22"/>
          <w:szCs w:val="22"/>
        </w:rPr>
        <w:t>drug can be accurate</w:t>
      </w:r>
      <w:r>
        <w:rPr>
          <w:rFonts w:cs="Arial"/>
          <w:sz w:val="22"/>
          <w:szCs w:val="22"/>
        </w:rPr>
        <w:t>ly</w:t>
      </w:r>
      <w:r w:rsidRPr="00437F9D">
        <w:rPr>
          <w:rFonts w:cs="Arial"/>
          <w:sz w:val="22"/>
          <w:szCs w:val="22"/>
        </w:rPr>
        <w:t xml:space="preserve"> established</w:t>
      </w:r>
      <w:r>
        <w:rPr>
          <w:rFonts w:cs="Arial"/>
          <w:sz w:val="22"/>
          <w:szCs w:val="22"/>
        </w:rPr>
        <w:t xml:space="preserve"> by testing.  The identification of persons attempting to subvert the drug testing process is significant because this action is </w:t>
      </w:r>
      <w:r w:rsidR="00883AAC">
        <w:rPr>
          <w:rFonts w:cs="Arial"/>
          <w:sz w:val="22"/>
          <w:szCs w:val="22"/>
        </w:rPr>
        <w:t xml:space="preserve">conclusive </w:t>
      </w:r>
      <w:r>
        <w:rPr>
          <w:rFonts w:cs="Arial"/>
          <w:sz w:val="22"/>
          <w:szCs w:val="22"/>
        </w:rPr>
        <w:t xml:space="preserve">evidence of a </w:t>
      </w:r>
      <w:r w:rsidRPr="00701AC3">
        <w:rPr>
          <w:rFonts w:cs="Arial"/>
          <w:sz w:val="22"/>
          <w:szCs w:val="22"/>
        </w:rPr>
        <w:t>lack of integrity</w:t>
      </w:r>
      <w:r w:rsidRPr="00793416">
        <w:rPr>
          <w:rFonts w:cs="Arial"/>
          <w:sz w:val="22"/>
          <w:szCs w:val="22"/>
        </w:rPr>
        <w:t xml:space="preserve"> and honesty and </w:t>
      </w:r>
      <w:r>
        <w:rPr>
          <w:rFonts w:cs="Arial"/>
          <w:sz w:val="22"/>
          <w:szCs w:val="22"/>
        </w:rPr>
        <w:t>a willful act to refuse to comply with an NRC-required drug test</w:t>
      </w:r>
      <w:r w:rsidRPr="00701AC3">
        <w:rPr>
          <w:rFonts w:cs="Arial"/>
          <w:sz w:val="22"/>
          <w:szCs w:val="22"/>
        </w:rPr>
        <w:t>.</w:t>
      </w:r>
      <w:r>
        <w:rPr>
          <w:rFonts w:cs="Arial"/>
          <w:sz w:val="22"/>
          <w:szCs w:val="22"/>
        </w:rPr>
        <w:t xml:space="preserve">  </w:t>
      </w:r>
      <w:r w:rsidRPr="00701AC3">
        <w:rPr>
          <w:rFonts w:cs="Arial"/>
          <w:sz w:val="22"/>
          <w:szCs w:val="22"/>
        </w:rPr>
        <w:t>Consequen</w:t>
      </w:r>
      <w:r w:rsidRPr="00793416">
        <w:rPr>
          <w:rFonts w:cs="Arial"/>
          <w:sz w:val="22"/>
          <w:szCs w:val="22"/>
        </w:rPr>
        <w:t>tly</w:t>
      </w:r>
      <w:r w:rsidR="00646A79">
        <w:rPr>
          <w:rFonts w:cs="Arial"/>
          <w:sz w:val="22"/>
          <w:szCs w:val="22"/>
        </w:rPr>
        <w:t>,</w:t>
      </w:r>
      <w:r w:rsidRPr="00793416">
        <w:rPr>
          <w:rFonts w:cs="Arial"/>
          <w:sz w:val="22"/>
          <w:szCs w:val="22"/>
        </w:rPr>
        <w:t xml:space="preserve"> these individuals present a </w:t>
      </w:r>
      <w:r>
        <w:rPr>
          <w:rFonts w:cs="Arial"/>
          <w:sz w:val="22"/>
          <w:szCs w:val="22"/>
        </w:rPr>
        <w:t xml:space="preserve">potential </w:t>
      </w:r>
      <w:r w:rsidRPr="0093286E">
        <w:rPr>
          <w:rFonts w:cs="Arial"/>
          <w:sz w:val="22"/>
          <w:szCs w:val="22"/>
        </w:rPr>
        <w:t>vulnerability</w:t>
      </w:r>
      <w:r>
        <w:rPr>
          <w:rFonts w:cs="Arial"/>
          <w:sz w:val="22"/>
          <w:szCs w:val="22"/>
        </w:rPr>
        <w:t xml:space="preserve"> </w:t>
      </w:r>
      <w:r w:rsidRPr="00701AC3">
        <w:rPr>
          <w:rFonts w:cs="Arial"/>
          <w:sz w:val="22"/>
          <w:szCs w:val="22"/>
        </w:rPr>
        <w:t>to the safe and secure conduct of NRC</w:t>
      </w:r>
      <w:r w:rsidR="00C71583">
        <w:rPr>
          <w:rFonts w:cs="Arial"/>
          <w:sz w:val="22"/>
          <w:szCs w:val="22"/>
        </w:rPr>
        <w:noBreakHyphen/>
      </w:r>
      <w:r w:rsidRPr="00701AC3">
        <w:rPr>
          <w:rFonts w:cs="Arial"/>
          <w:sz w:val="22"/>
          <w:szCs w:val="22"/>
        </w:rPr>
        <w:t>licensed activities</w:t>
      </w:r>
      <w:r w:rsidRPr="00437F9D">
        <w:rPr>
          <w:rFonts w:cs="Arial"/>
          <w:sz w:val="22"/>
          <w:szCs w:val="22"/>
        </w:rPr>
        <w:t>.</w:t>
      </w:r>
    </w:p>
    <w:p w:rsidR="00396C09" w:rsidP="00D520BD" w:rsidRDefault="00396C09" w14:paraId="38E03484" w14:textId="0C4B79A9">
      <w:pPr>
        <w:autoSpaceDE/>
        <w:autoSpaceDN/>
        <w:adjustRightInd/>
        <w:rPr>
          <w:rFonts w:cs="Arial"/>
          <w:sz w:val="22"/>
          <w:szCs w:val="22"/>
        </w:rPr>
      </w:pPr>
    </w:p>
    <w:p w:rsidR="00396C09" w:rsidP="00D520BD" w:rsidRDefault="00DA409A" w14:paraId="4686FA5F" w14:textId="639AAB14">
      <w:pPr>
        <w:autoSpaceDE/>
        <w:autoSpaceDN/>
        <w:adjustRightInd/>
        <w:rPr>
          <w:rFonts w:cs="Arial"/>
          <w:sz w:val="22"/>
          <w:szCs w:val="22"/>
        </w:rPr>
      </w:pPr>
      <w:r w:rsidRPr="006066AE">
        <w:rPr>
          <w:rFonts w:cs="Arial"/>
          <w:sz w:val="22"/>
          <w:szCs w:val="22"/>
        </w:rPr>
        <w:t>T</w:t>
      </w:r>
      <w:r w:rsidRPr="006066AE" w:rsidR="00A221B4">
        <w:rPr>
          <w:rFonts w:cs="Arial"/>
          <w:sz w:val="22"/>
          <w:szCs w:val="22"/>
        </w:rPr>
        <w:t xml:space="preserve">he </w:t>
      </w:r>
      <w:r w:rsidR="00966F81">
        <w:rPr>
          <w:rFonts w:cs="Arial"/>
          <w:sz w:val="22"/>
          <w:szCs w:val="22"/>
        </w:rPr>
        <w:t xml:space="preserve">final </w:t>
      </w:r>
      <w:r w:rsidRPr="006066AE" w:rsidR="00A221B4">
        <w:rPr>
          <w:rFonts w:cs="Arial"/>
          <w:sz w:val="22"/>
          <w:szCs w:val="22"/>
        </w:rPr>
        <w:t xml:space="preserve">rule </w:t>
      </w:r>
      <w:r w:rsidR="0041560D">
        <w:rPr>
          <w:rFonts w:cs="Arial"/>
          <w:sz w:val="22"/>
          <w:szCs w:val="22"/>
        </w:rPr>
        <w:t xml:space="preserve">also </w:t>
      </w:r>
      <w:r w:rsidRPr="006066AE" w:rsidR="00A221B4">
        <w:rPr>
          <w:rFonts w:cs="Arial"/>
          <w:sz w:val="22"/>
          <w:szCs w:val="22"/>
        </w:rPr>
        <w:t>allow</w:t>
      </w:r>
      <w:r w:rsidR="00966F81">
        <w:rPr>
          <w:rFonts w:cs="Arial"/>
          <w:sz w:val="22"/>
          <w:szCs w:val="22"/>
        </w:rPr>
        <w:t>s</w:t>
      </w:r>
      <w:r w:rsidRPr="006066AE" w:rsidR="00A221B4">
        <w:rPr>
          <w:rFonts w:cs="Arial"/>
          <w:sz w:val="22"/>
          <w:szCs w:val="22"/>
        </w:rPr>
        <w:t xml:space="preserve"> for the collection and </w:t>
      </w:r>
      <w:r w:rsidR="004A3A12">
        <w:rPr>
          <w:rFonts w:cs="Arial"/>
          <w:sz w:val="22"/>
          <w:szCs w:val="22"/>
        </w:rPr>
        <w:t xml:space="preserve">drug </w:t>
      </w:r>
      <w:r w:rsidRPr="006066AE" w:rsidR="00A221B4">
        <w:rPr>
          <w:rFonts w:cs="Arial"/>
          <w:sz w:val="22"/>
          <w:szCs w:val="22"/>
        </w:rPr>
        <w:t xml:space="preserve">testing of an oral fluid specimen </w:t>
      </w:r>
      <w:r w:rsidRPr="006066AE" w:rsidR="00D67413">
        <w:rPr>
          <w:rFonts w:cs="Arial"/>
          <w:sz w:val="22"/>
          <w:szCs w:val="22"/>
        </w:rPr>
        <w:t>as an alternat</w:t>
      </w:r>
      <w:r w:rsidRPr="006066AE">
        <w:rPr>
          <w:rFonts w:cs="Arial"/>
          <w:sz w:val="22"/>
          <w:szCs w:val="22"/>
        </w:rPr>
        <w:t>ive to the collection of a</w:t>
      </w:r>
      <w:r w:rsidRPr="006066AE" w:rsidR="00904816">
        <w:rPr>
          <w:rFonts w:cs="Arial"/>
          <w:sz w:val="22"/>
          <w:szCs w:val="22"/>
        </w:rPr>
        <w:t xml:space="preserve"> </w:t>
      </w:r>
      <w:r w:rsidRPr="006066AE" w:rsidR="00A221B4">
        <w:rPr>
          <w:rFonts w:cs="Arial"/>
          <w:sz w:val="22"/>
          <w:szCs w:val="22"/>
        </w:rPr>
        <w:t xml:space="preserve">urine specimen </w:t>
      </w:r>
      <w:r w:rsidR="00863474">
        <w:rPr>
          <w:rFonts w:cs="Arial"/>
          <w:sz w:val="22"/>
          <w:szCs w:val="22"/>
        </w:rPr>
        <w:t>under direct observation conditions</w:t>
      </w:r>
      <w:r w:rsidRPr="006066AE" w:rsidR="00F157E6">
        <w:rPr>
          <w:rFonts w:cs="Arial"/>
          <w:sz w:val="22"/>
          <w:szCs w:val="22"/>
        </w:rPr>
        <w:t>.</w:t>
      </w:r>
    </w:p>
    <w:p w:rsidR="00D520BD" w:rsidP="00D520BD" w:rsidRDefault="00D520BD" w14:paraId="3E5F1FE1" w14:textId="5A210872">
      <w:pPr>
        <w:autoSpaceDE/>
        <w:autoSpaceDN/>
        <w:adjustRightInd/>
        <w:rPr>
          <w:sz w:val="22"/>
          <w:szCs w:val="22"/>
        </w:rPr>
      </w:pPr>
    </w:p>
    <w:p w:rsidR="00D520BD" w:rsidP="00D520BD" w:rsidRDefault="00D520BD" w14:paraId="6256D759" w14:textId="77777777">
      <w:pPr>
        <w:keepNext/>
        <w:rPr>
          <w:sz w:val="22"/>
          <w:szCs w:val="22"/>
        </w:rPr>
      </w:pPr>
      <w:r w:rsidRPr="005F4C4E">
        <w:rPr>
          <w:sz w:val="22"/>
          <w:szCs w:val="22"/>
          <w:u w:val="single"/>
        </w:rPr>
        <w:t>Safety Goal Evaluation</w:t>
      </w:r>
    </w:p>
    <w:p w:rsidR="00D520BD" w:rsidP="00D520BD" w:rsidRDefault="00D520BD" w14:paraId="38905EA7" w14:textId="77777777">
      <w:pPr>
        <w:keepNext/>
        <w:rPr>
          <w:sz w:val="22"/>
          <w:szCs w:val="22"/>
        </w:rPr>
      </w:pPr>
    </w:p>
    <w:p w:rsidR="00D520BD" w:rsidP="00D520BD" w:rsidRDefault="00D520BD" w14:paraId="158C0709" w14:textId="7861859A">
      <w:pPr>
        <w:rPr>
          <w:sz w:val="22"/>
          <w:szCs w:val="22"/>
        </w:rPr>
      </w:pPr>
      <w:r>
        <w:rPr>
          <w:sz w:val="22"/>
          <w:szCs w:val="22"/>
        </w:rPr>
        <w:t xml:space="preserve">The </w:t>
      </w:r>
      <w:r w:rsidRPr="007751CC">
        <w:rPr>
          <w:sz w:val="22"/>
          <w:szCs w:val="22"/>
        </w:rPr>
        <w:t xml:space="preserve">NRC staff estimates </w:t>
      </w:r>
      <w:r>
        <w:rPr>
          <w:sz w:val="22"/>
          <w:szCs w:val="22"/>
        </w:rPr>
        <w:t xml:space="preserve">that </w:t>
      </w:r>
      <w:r w:rsidR="001B79AE">
        <w:rPr>
          <w:sz w:val="22"/>
          <w:szCs w:val="22"/>
        </w:rPr>
        <w:t xml:space="preserve">the final rule </w:t>
      </w:r>
      <w:r w:rsidR="007850AF">
        <w:rPr>
          <w:sz w:val="22"/>
          <w:szCs w:val="22"/>
        </w:rPr>
        <w:t xml:space="preserve">will </w:t>
      </w:r>
      <w:r>
        <w:rPr>
          <w:sz w:val="22"/>
          <w:szCs w:val="22"/>
        </w:rPr>
        <w:t>result in</w:t>
      </w:r>
      <w:r w:rsidRPr="007751CC">
        <w:rPr>
          <w:sz w:val="22"/>
          <w:szCs w:val="22"/>
        </w:rPr>
        <w:t xml:space="preserve"> </w:t>
      </w:r>
      <w:r>
        <w:rPr>
          <w:sz w:val="22"/>
          <w:szCs w:val="22"/>
        </w:rPr>
        <w:t>a</w:t>
      </w:r>
      <w:r w:rsidR="00FF6F4D">
        <w:rPr>
          <w:sz w:val="22"/>
          <w:szCs w:val="22"/>
        </w:rPr>
        <w:t xml:space="preserve"> substanti</w:t>
      </w:r>
      <w:r w:rsidR="0056779F">
        <w:rPr>
          <w:sz w:val="22"/>
          <w:szCs w:val="22"/>
        </w:rPr>
        <w:t>al</w:t>
      </w:r>
      <w:r w:rsidR="00FF6F4D">
        <w:rPr>
          <w:sz w:val="22"/>
          <w:szCs w:val="22"/>
        </w:rPr>
        <w:t xml:space="preserve"> increase (between 16 and 29 </w:t>
      </w:r>
      <w:r w:rsidRPr="006C1E90" w:rsidDel="00EA3975">
        <w:rPr>
          <w:sz w:val="22"/>
          <w:szCs w:val="22"/>
        </w:rPr>
        <w:t>percent</w:t>
      </w:r>
      <w:r w:rsidR="00FF6F4D">
        <w:rPr>
          <w:sz w:val="22"/>
          <w:szCs w:val="22"/>
        </w:rPr>
        <w:t>)</w:t>
      </w:r>
      <w:r w:rsidRPr="00CD4D83">
        <w:rPr>
          <w:sz w:val="22"/>
          <w:szCs w:val="22"/>
        </w:rPr>
        <w:t xml:space="preserve"> in the number of individuals identified each year </w:t>
      </w:r>
      <w:bookmarkStart w:name="_Hlk78405431" w:id="23"/>
      <w:r w:rsidRPr="00CD4D83">
        <w:rPr>
          <w:sz w:val="22"/>
          <w:szCs w:val="22"/>
        </w:rPr>
        <w:t>using illegal drugs</w:t>
      </w:r>
      <w:r w:rsidRPr="00CD4D83" w:rsidR="00646A79">
        <w:rPr>
          <w:sz w:val="22"/>
          <w:szCs w:val="22"/>
        </w:rPr>
        <w:t>,</w:t>
      </w:r>
      <w:r w:rsidRPr="00146DD5">
        <w:rPr>
          <w:sz w:val="22"/>
          <w:szCs w:val="22"/>
        </w:rPr>
        <w:t xml:space="preserve"> misusing legal drugs</w:t>
      </w:r>
      <w:r w:rsidR="00646A79">
        <w:rPr>
          <w:sz w:val="22"/>
          <w:szCs w:val="22"/>
        </w:rPr>
        <w:t>,</w:t>
      </w:r>
      <w:r w:rsidRPr="00146DD5">
        <w:rPr>
          <w:sz w:val="22"/>
          <w:szCs w:val="22"/>
        </w:rPr>
        <w:t xml:space="preserve"> or attempting to subvert the </w:t>
      </w:r>
      <w:r>
        <w:rPr>
          <w:sz w:val="22"/>
          <w:szCs w:val="22"/>
        </w:rPr>
        <w:t>drug testing process</w:t>
      </w:r>
      <w:bookmarkEnd w:id="23"/>
      <w:r w:rsidR="00646A79">
        <w:rPr>
          <w:sz w:val="22"/>
          <w:szCs w:val="22"/>
        </w:rPr>
        <w:t>,</w:t>
      </w:r>
      <w:r>
        <w:rPr>
          <w:sz w:val="22"/>
          <w:szCs w:val="22"/>
        </w:rPr>
        <w:t xml:space="preserve"> </w:t>
      </w:r>
      <w:r w:rsidRPr="008F0FB4">
        <w:rPr>
          <w:sz w:val="22"/>
          <w:szCs w:val="22"/>
        </w:rPr>
        <w:t xml:space="preserve">as compared to the </w:t>
      </w:r>
      <w:r w:rsidRPr="008F0FB4" w:rsidR="00095364">
        <w:rPr>
          <w:sz w:val="22"/>
          <w:szCs w:val="22"/>
        </w:rPr>
        <w:t xml:space="preserve">average number of </w:t>
      </w:r>
      <w:r w:rsidR="005D4B27">
        <w:rPr>
          <w:sz w:val="22"/>
          <w:szCs w:val="22"/>
        </w:rPr>
        <w:t xml:space="preserve">positive </w:t>
      </w:r>
      <w:r w:rsidRPr="008F0FB4">
        <w:rPr>
          <w:sz w:val="22"/>
          <w:szCs w:val="22"/>
        </w:rPr>
        <w:t>10 CFR</w:t>
      </w:r>
      <w:r w:rsidR="007850AF">
        <w:rPr>
          <w:sz w:val="22"/>
          <w:szCs w:val="22"/>
        </w:rPr>
        <w:t> </w:t>
      </w:r>
      <w:r w:rsidRPr="008F0FB4">
        <w:rPr>
          <w:sz w:val="22"/>
          <w:szCs w:val="22"/>
        </w:rPr>
        <w:t>Part</w:t>
      </w:r>
      <w:r w:rsidR="005D4B27">
        <w:rPr>
          <w:sz w:val="22"/>
          <w:szCs w:val="22"/>
        </w:rPr>
        <w:t> </w:t>
      </w:r>
      <w:r w:rsidRPr="008F0FB4">
        <w:rPr>
          <w:sz w:val="22"/>
          <w:szCs w:val="22"/>
        </w:rPr>
        <w:t xml:space="preserve">26 test results for calendar year (CY) </w:t>
      </w:r>
      <w:r w:rsidR="00A879E4">
        <w:rPr>
          <w:sz w:val="22"/>
          <w:szCs w:val="22"/>
        </w:rPr>
        <w:t>2009</w:t>
      </w:r>
      <w:r w:rsidRPr="008F0FB4">
        <w:rPr>
          <w:sz w:val="22"/>
          <w:szCs w:val="22"/>
        </w:rPr>
        <w:t xml:space="preserve"> </w:t>
      </w:r>
      <w:r w:rsidRPr="008F0FB4" w:rsidR="001A08C3">
        <w:rPr>
          <w:sz w:val="22"/>
          <w:szCs w:val="22"/>
        </w:rPr>
        <w:t>through</w:t>
      </w:r>
      <w:r w:rsidRPr="008F0FB4">
        <w:rPr>
          <w:sz w:val="22"/>
          <w:szCs w:val="22"/>
        </w:rPr>
        <w:t xml:space="preserve"> CY 201</w:t>
      </w:r>
      <w:r w:rsidRPr="008F0FB4" w:rsidR="001A08C3">
        <w:rPr>
          <w:sz w:val="22"/>
          <w:szCs w:val="22"/>
        </w:rPr>
        <w:t>9</w:t>
      </w:r>
      <w:r w:rsidRPr="003035AA" w:rsidR="008D1503">
        <w:rPr>
          <w:sz w:val="22"/>
          <w:szCs w:val="22"/>
        </w:rPr>
        <w:t>.</w:t>
      </w:r>
      <w:r w:rsidRPr="00D20889">
        <w:rPr>
          <w:sz w:val="22"/>
          <w:szCs w:val="22"/>
        </w:rPr>
        <w:t xml:space="preserve">  The NRC staff used this projected increase in the ability to detect additional individuals using drugs as the basis for meeting the substantial increase </w:t>
      </w:r>
      <w:r w:rsidR="007E36B1">
        <w:rPr>
          <w:sz w:val="22"/>
          <w:szCs w:val="22"/>
        </w:rPr>
        <w:t xml:space="preserve">in overall protection </w:t>
      </w:r>
      <w:r w:rsidRPr="00D20889">
        <w:rPr>
          <w:sz w:val="22"/>
          <w:szCs w:val="22"/>
        </w:rPr>
        <w:t xml:space="preserve">criterion </w:t>
      </w:r>
      <w:r w:rsidR="007E36B1">
        <w:rPr>
          <w:sz w:val="22"/>
          <w:szCs w:val="22"/>
        </w:rPr>
        <w:t>of the safety goal</w:t>
      </w:r>
      <w:r w:rsidRPr="00D20889">
        <w:rPr>
          <w:sz w:val="22"/>
          <w:szCs w:val="22"/>
        </w:rPr>
        <w:t>.</w:t>
      </w:r>
      <w:r w:rsidR="0009253D">
        <w:rPr>
          <w:sz w:val="22"/>
          <w:szCs w:val="22"/>
        </w:rPr>
        <w:t xml:space="preserve">  The NRC staff acknowledges that</w:t>
      </w:r>
      <w:r w:rsidR="00B111F2">
        <w:rPr>
          <w:sz w:val="22"/>
          <w:szCs w:val="22"/>
        </w:rPr>
        <w:t xml:space="preserve"> only</w:t>
      </w:r>
      <w:r w:rsidR="0009253D">
        <w:rPr>
          <w:sz w:val="22"/>
          <w:szCs w:val="22"/>
        </w:rPr>
        <w:t xml:space="preserve"> a small percentage of individuals subject to drug testing </w:t>
      </w:r>
      <w:r w:rsidR="00FD57E0">
        <w:rPr>
          <w:sz w:val="22"/>
          <w:szCs w:val="22"/>
        </w:rPr>
        <w:t xml:space="preserve">each year </w:t>
      </w:r>
      <w:r w:rsidR="0009253D">
        <w:rPr>
          <w:sz w:val="22"/>
          <w:szCs w:val="22"/>
        </w:rPr>
        <w:t>test positive; however</w:t>
      </w:r>
      <w:r w:rsidR="00646A79">
        <w:rPr>
          <w:sz w:val="22"/>
          <w:szCs w:val="22"/>
        </w:rPr>
        <w:t>,</w:t>
      </w:r>
      <w:r w:rsidR="0009253D">
        <w:rPr>
          <w:sz w:val="22"/>
          <w:szCs w:val="22"/>
        </w:rPr>
        <w:t xml:space="preserve"> the </w:t>
      </w:r>
      <w:r w:rsidR="009411D1">
        <w:rPr>
          <w:sz w:val="22"/>
          <w:szCs w:val="22"/>
        </w:rPr>
        <w:t xml:space="preserve">additional </w:t>
      </w:r>
      <w:r w:rsidR="0009253D">
        <w:rPr>
          <w:sz w:val="22"/>
          <w:szCs w:val="22"/>
        </w:rPr>
        <w:t xml:space="preserve">number of individuals identified as a result of the </w:t>
      </w:r>
      <w:r w:rsidR="00014FF1">
        <w:rPr>
          <w:sz w:val="22"/>
          <w:szCs w:val="22"/>
        </w:rPr>
        <w:t xml:space="preserve">final </w:t>
      </w:r>
      <w:r w:rsidR="0009253D">
        <w:rPr>
          <w:sz w:val="22"/>
          <w:szCs w:val="22"/>
        </w:rPr>
        <w:t>rule</w:t>
      </w:r>
      <w:r w:rsidR="008C4283">
        <w:rPr>
          <w:sz w:val="22"/>
          <w:szCs w:val="22"/>
        </w:rPr>
        <w:t xml:space="preserve"> </w:t>
      </w:r>
      <w:r w:rsidR="0009253D">
        <w:rPr>
          <w:sz w:val="22"/>
          <w:szCs w:val="22"/>
        </w:rPr>
        <w:t xml:space="preserve">changes </w:t>
      </w:r>
      <w:r w:rsidR="007F3EAC">
        <w:rPr>
          <w:sz w:val="22"/>
          <w:szCs w:val="22"/>
        </w:rPr>
        <w:t xml:space="preserve">meets the </w:t>
      </w:r>
      <w:r w:rsidR="0009253D">
        <w:rPr>
          <w:sz w:val="22"/>
          <w:szCs w:val="22"/>
        </w:rPr>
        <w:t xml:space="preserve">substantial </w:t>
      </w:r>
      <w:r w:rsidR="007F3EAC">
        <w:rPr>
          <w:sz w:val="22"/>
          <w:szCs w:val="22"/>
        </w:rPr>
        <w:t xml:space="preserve">increase criterion </w:t>
      </w:r>
      <w:r w:rsidR="0009253D">
        <w:rPr>
          <w:sz w:val="22"/>
          <w:szCs w:val="22"/>
        </w:rPr>
        <w:t>based on the effects on facility safety and security that</w:t>
      </w:r>
      <w:r w:rsidR="00376A3C">
        <w:rPr>
          <w:sz w:val="22"/>
          <w:szCs w:val="22"/>
        </w:rPr>
        <w:t xml:space="preserve"> the</w:t>
      </w:r>
      <w:r w:rsidR="0009253D">
        <w:rPr>
          <w:sz w:val="22"/>
          <w:szCs w:val="22"/>
        </w:rPr>
        <w:t xml:space="preserve"> impairment of these individuals could have.</w:t>
      </w:r>
    </w:p>
    <w:p w:rsidR="00D520BD" w:rsidP="00D520BD" w:rsidRDefault="00D520BD" w14:paraId="37F699FE" w14:textId="77777777">
      <w:pPr>
        <w:rPr>
          <w:sz w:val="22"/>
          <w:szCs w:val="22"/>
        </w:rPr>
      </w:pPr>
    </w:p>
    <w:p w:rsidRPr="007751CC" w:rsidR="00D520BD" w:rsidP="00D520BD" w:rsidRDefault="00D520BD" w14:paraId="0A7E882F" w14:textId="36C42AEE">
      <w:pPr>
        <w:rPr>
          <w:sz w:val="22"/>
          <w:szCs w:val="22"/>
        </w:rPr>
      </w:pPr>
      <w:r w:rsidRPr="00AA6892">
        <w:rPr>
          <w:rFonts w:cs="Arial" w:eastAsiaTheme="minorHAnsi"/>
          <w:sz w:val="22"/>
          <w:szCs w:val="22"/>
        </w:rPr>
        <w:t>Based on the FFD program performance information reported to the NRC and a comparison of this information to</w:t>
      </w:r>
      <w:r>
        <w:rPr>
          <w:rFonts w:cs="Arial" w:eastAsiaTheme="minorHAnsi"/>
          <w:sz w:val="22"/>
          <w:szCs w:val="22"/>
        </w:rPr>
        <w:t xml:space="preserve"> that from</w:t>
      </w:r>
      <w:r w:rsidRPr="00AA6892">
        <w:rPr>
          <w:rFonts w:cs="Arial" w:eastAsiaTheme="minorHAnsi"/>
          <w:sz w:val="22"/>
          <w:szCs w:val="22"/>
        </w:rPr>
        <w:t xml:space="preserve"> previous years</w:t>
      </w:r>
      <w:r w:rsidR="00646A79">
        <w:rPr>
          <w:rFonts w:cs="Arial" w:eastAsiaTheme="minorHAnsi"/>
          <w:sz w:val="22"/>
          <w:szCs w:val="22"/>
        </w:rPr>
        <w:t>,</w:t>
      </w:r>
      <w:r>
        <w:rPr>
          <w:rFonts w:cs="Arial" w:eastAsiaTheme="minorHAnsi"/>
          <w:sz w:val="22"/>
          <w:szCs w:val="22"/>
        </w:rPr>
        <w:t xml:space="preserve"> as well as</w:t>
      </w:r>
      <w:r w:rsidRPr="00AA6892">
        <w:rPr>
          <w:rFonts w:cs="Arial" w:eastAsiaTheme="minorHAnsi"/>
          <w:sz w:val="22"/>
          <w:szCs w:val="22"/>
        </w:rPr>
        <w:t xml:space="preserve"> other indicators</w:t>
      </w:r>
      <w:r w:rsidR="00646A79">
        <w:rPr>
          <w:rFonts w:cs="Arial" w:eastAsiaTheme="minorHAnsi"/>
          <w:sz w:val="22"/>
          <w:szCs w:val="22"/>
        </w:rPr>
        <w:t>,</w:t>
      </w:r>
      <w:r w:rsidRPr="00AA6892">
        <w:rPr>
          <w:rFonts w:cs="Arial" w:eastAsiaTheme="minorHAnsi"/>
          <w:sz w:val="22"/>
          <w:szCs w:val="22"/>
        </w:rPr>
        <w:t xml:space="preserve"> the commercial nuclear industry continues to effectively implement the </w:t>
      </w:r>
      <w:r>
        <w:rPr>
          <w:rFonts w:cs="Arial"/>
          <w:sz w:val="22"/>
          <w:szCs w:val="22"/>
        </w:rPr>
        <w:t xml:space="preserve">10 CFR Part 26 </w:t>
      </w:r>
      <w:r w:rsidRPr="00AA6892">
        <w:rPr>
          <w:rFonts w:cs="Arial" w:eastAsiaTheme="minorHAnsi"/>
          <w:sz w:val="22"/>
          <w:szCs w:val="22"/>
        </w:rPr>
        <w:t xml:space="preserve">drug </w:t>
      </w:r>
      <w:r>
        <w:rPr>
          <w:rFonts w:cs="Arial" w:eastAsiaTheme="minorHAnsi"/>
          <w:sz w:val="22"/>
          <w:szCs w:val="22"/>
        </w:rPr>
        <w:t xml:space="preserve">testing </w:t>
      </w:r>
      <w:r w:rsidRPr="00AA6892">
        <w:rPr>
          <w:rFonts w:cs="Arial" w:eastAsiaTheme="minorHAnsi"/>
          <w:sz w:val="22"/>
          <w:szCs w:val="22"/>
        </w:rPr>
        <w:t>provisions</w:t>
      </w:r>
      <w:r w:rsidR="00646A79">
        <w:rPr>
          <w:rFonts w:cs="Arial" w:eastAsiaTheme="minorHAnsi"/>
          <w:sz w:val="22"/>
          <w:szCs w:val="22"/>
        </w:rPr>
        <w:t>,</w:t>
      </w:r>
      <w:r w:rsidRPr="00AA6892">
        <w:rPr>
          <w:rFonts w:cs="Arial" w:eastAsiaTheme="minorHAnsi"/>
          <w:sz w:val="22"/>
          <w:szCs w:val="22"/>
        </w:rPr>
        <w:t xml:space="preserve"> and </w:t>
      </w:r>
      <w:r>
        <w:rPr>
          <w:rFonts w:cs="Arial" w:eastAsiaTheme="minorHAnsi"/>
          <w:sz w:val="22"/>
          <w:szCs w:val="22"/>
        </w:rPr>
        <w:t xml:space="preserve">the </w:t>
      </w:r>
      <w:r w:rsidRPr="00AA6892">
        <w:rPr>
          <w:rFonts w:cs="Arial" w:eastAsiaTheme="minorHAnsi"/>
          <w:sz w:val="22"/>
          <w:szCs w:val="22"/>
        </w:rPr>
        <w:t xml:space="preserve">FFD program </w:t>
      </w:r>
      <w:r>
        <w:rPr>
          <w:rFonts w:cs="Arial" w:eastAsiaTheme="minorHAnsi"/>
          <w:sz w:val="22"/>
          <w:szCs w:val="22"/>
        </w:rPr>
        <w:t>has</w:t>
      </w:r>
      <w:r w:rsidRPr="00AA6892">
        <w:rPr>
          <w:rFonts w:cs="Arial" w:eastAsiaTheme="minorHAnsi"/>
          <w:sz w:val="22"/>
          <w:szCs w:val="22"/>
        </w:rPr>
        <w:t xml:space="preserve"> directly contributed to public health and safety and the common defense and security.  </w:t>
      </w:r>
      <w:r w:rsidR="00CE1EC3">
        <w:rPr>
          <w:rFonts w:cs="Arial" w:eastAsiaTheme="minorHAnsi"/>
          <w:sz w:val="22"/>
          <w:szCs w:val="22"/>
        </w:rPr>
        <w:t>An NRC analysis of t</w:t>
      </w:r>
      <w:r>
        <w:rPr>
          <w:rFonts w:cs="Arial" w:eastAsiaTheme="minorHAnsi"/>
          <w:sz w:val="22"/>
          <w:szCs w:val="22"/>
        </w:rPr>
        <w:t xml:space="preserve">esting </w:t>
      </w:r>
      <w:r w:rsidRPr="006A717A">
        <w:rPr>
          <w:rFonts w:cs="Arial" w:eastAsiaTheme="minorHAnsi"/>
          <w:sz w:val="22"/>
          <w:szCs w:val="22"/>
        </w:rPr>
        <w:t>data indicate</w:t>
      </w:r>
      <w:r w:rsidR="00CE1EC3">
        <w:rPr>
          <w:rFonts w:cs="Arial" w:eastAsiaTheme="minorHAnsi"/>
          <w:sz w:val="22"/>
          <w:szCs w:val="22"/>
        </w:rPr>
        <w:t>s</w:t>
      </w:r>
      <w:r w:rsidRPr="006A717A">
        <w:rPr>
          <w:rFonts w:cs="Arial" w:eastAsiaTheme="minorHAnsi"/>
          <w:sz w:val="22"/>
          <w:szCs w:val="22"/>
        </w:rPr>
        <w:t xml:space="preserve"> that persons </w:t>
      </w:r>
      <w:r>
        <w:rPr>
          <w:rFonts w:cs="Arial" w:eastAsiaTheme="minorHAnsi"/>
          <w:sz w:val="22"/>
          <w:szCs w:val="22"/>
        </w:rPr>
        <w:t>potentially impaired from the use of amphetamine</w:t>
      </w:r>
      <w:r w:rsidR="00646A79">
        <w:rPr>
          <w:rFonts w:cs="Arial" w:eastAsiaTheme="minorHAnsi"/>
          <w:sz w:val="22"/>
          <w:szCs w:val="22"/>
        </w:rPr>
        <w:t>,</w:t>
      </w:r>
      <w:r>
        <w:rPr>
          <w:rFonts w:cs="Arial" w:eastAsiaTheme="minorHAnsi"/>
          <w:sz w:val="22"/>
          <w:szCs w:val="22"/>
        </w:rPr>
        <w:t xml:space="preserve"> cocaine</w:t>
      </w:r>
      <w:r w:rsidR="00646A79">
        <w:rPr>
          <w:rFonts w:cs="Arial" w:eastAsiaTheme="minorHAnsi"/>
          <w:sz w:val="22"/>
          <w:szCs w:val="22"/>
        </w:rPr>
        <w:t>,</w:t>
      </w:r>
      <w:r>
        <w:rPr>
          <w:rFonts w:cs="Arial" w:eastAsiaTheme="minorHAnsi"/>
          <w:sz w:val="22"/>
          <w:szCs w:val="22"/>
        </w:rPr>
        <w:t xml:space="preserve"> methamphetamine</w:t>
      </w:r>
      <w:r w:rsidR="00646A79">
        <w:rPr>
          <w:rFonts w:cs="Arial" w:eastAsiaTheme="minorHAnsi"/>
          <w:sz w:val="22"/>
          <w:szCs w:val="22"/>
        </w:rPr>
        <w:t>,</w:t>
      </w:r>
      <w:r>
        <w:rPr>
          <w:rFonts w:cs="Arial" w:eastAsiaTheme="minorHAnsi"/>
          <w:sz w:val="22"/>
          <w:szCs w:val="22"/>
        </w:rPr>
        <w:t xml:space="preserve"> and heroin (as evident from positive for</w:t>
      </w:r>
      <w:r w:rsidR="004E5983">
        <w:rPr>
          <w:rFonts w:cs="Arial" w:eastAsiaTheme="minorHAnsi"/>
          <w:sz w:val="22"/>
          <w:szCs w:val="22"/>
        </w:rPr>
        <w:noBreakHyphen/>
      </w:r>
      <w:r>
        <w:rPr>
          <w:rFonts w:cs="Arial" w:eastAsiaTheme="minorHAnsi"/>
          <w:sz w:val="22"/>
          <w:szCs w:val="22"/>
        </w:rPr>
        <w:t xml:space="preserve">cause and post-event test results </w:t>
      </w:r>
      <w:r w:rsidRPr="003035AA">
        <w:rPr>
          <w:rFonts w:cs="Arial" w:eastAsiaTheme="minorHAnsi"/>
          <w:sz w:val="22"/>
          <w:szCs w:val="22"/>
        </w:rPr>
        <w:t>from CY 2010 through CY 201</w:t>
      </w:r>
      <w:r w:rsidRPr="003035AA" w:rsidR="001A08C3">
        <w:rPr>
          <w:rFonts w:cs="Arial" w:eastAsiaTheme="minorHAnsi"/>
          <w:sz w:val="22"/>
          <w:szCs w:val="22"/>
        </w:rPr>
        <w:t>9</w:t>
      </w:r>
      <w:r w:rsidRPr="003035AA">
        <w:rPr>
          <w:rFonts w:cs="Arial" w:eastAsiaTheme="minorHAnsi"/>
          <w:sz w:val="22"/>
          <w:szCs w:val="22"/>
        </w:rPr>
        <w:t>) continue</w:t>
      </w:r>
      <w:r>
        <w:rPr>
          <w:rFonts w:cs="Arial" w:eastAsiaTheme="minorHAnsi"/>
          <w:sz w:val="22"/>
          <w:szCs w:val="22"/>
        </w:rPr>
        <w:t xml:space="preserve"> to be </w:t>
      </w:r>
      <w:r w:rsidRPr="006A717A">
        <w:rPr>
          <w:rFonts w:cs="Arial" w:eastAsiaTheme="minorHAnsi"/>
          <w:sz w:val="22"/>
          <w:szCs w:val="22"/>
        </w:rPr>
        <w:t xml:space="preserve">identified and removed from </w:t>
      </w:r>
      <w:r w:rsidR="00D418BC">
        <w:rPr>
          <w:rFonts w:cs="Arial" w:eastAsiaTheme="minorHAnsi"/>
          <w:sz w:val="22"/>
          <w:szCs w:val="22"/>
        </w:rPr>
        <w:t>having</w:t>
      </w:r>
      <w:r w:rsidRPr="006A717A">
        <w:rPr>
          <w:rFonts w:cs="Arial" w:eastAsiaTheme="minorHAnsi"/>
          <w:sz w:val="22"/>
          <w:szCs w:val="22"/>
        </w:rPr>
        <w:t xml:space="preserve"> protected area </w:t>
      </w:r>
      <w:r w:rsidR="00DE6772">
        <w:rPr>
          <w:rFonts w:cs="Arial" w:eastAsiaTheme="minorHAnsi"/>
          <w:sz w:val="22"/>
          <w:szCs w:val="22"/>
        </w:rPr>
        <w:t xml:space="preserve">access </w:t>
      </w:r>
      <w:r w:rsidR="00D418BC">
        <w:rPr>
          <w:rFonts w:cs="Arial" w:eastAsiaTheme="minorHAnsi"/>
          <w:sz w:val="22"/>
          <w:szCs w:val="22"/>
        </w:rPr>
        <w:t>at</w:t>
      </w:r>
      <w:r w:rsidRPr="006A717A">
        <w:rPr>
          <w:rFonts w:cs="Arial" w:eastAsiaTheme="minorHAnsi"/>
          <w:sz w:val="22"/>
          <w:szCs w:val="22"/>
        </w:rPr>
        <w:t xml:space="preserve"> NRC-licensed facilities</w:t>
      </w:r>
      <w:r>
        <w:rPr>
          <w:rFonts w:cs="Arial" w:eastAsiaTheme="minorHAnsi"/>
          <w:sz w:val="22"/>
          <w:szCs w:val="22"/>
        </w:rPr>
        <w:t>.  Enhancing the ability to detect additional amphetamine</w:t>
      </w:r>
      <w:r w:rsidR="00646A79">
        <w:rPr>
          <w:rFonts w:cs="Arial" w:eastAsiaTheme="minorHAnsi"/>
          <w:sz w:val="22"/>
          <w:szCs w:val="22"/>
        </w:rPr>
        <w:t>,</w:t>
      </w:r>
      <w:r>
        <w:rPr>
          <w:rFonts w:cs="Arial" w:eastAsiaTheme="minorHAnsi"/>
          <w:sz w:val="22"/>
          <w:szCs w:val="22"/>
        </w:rPr>
        <w:t xml:space="preserve"> cocaine</w:t>
      </w:r>
      <w:r w:rsidR="00646A79">
        <w:rPr>
          <w:rFonts w:cs="Arial" w:eastAsiaTheme="minorHAnsi"/>
          <w:sz w:val="22"/>
          <w:szCs w:val="22"/>
        </w:rPr>
        <w:t>,</w:t>
      </w:r>
      <w:r>
        <w:rPr>
          <w:rFonts w:cs="Arial" w:eastAsiaTheme="minorHAnsi"/>
          <w:sz w:val="22"/>
          <w:szCs w:val="22"/>
        </w:rPr>
        <w:t xml:space="preserve"> heroin</w:t>
      </w:r>
      <w:r w:rsidR="00646A79">
        <w:rPr>
          <w:rFonts w:cs="Arial" w:eastAsiaTheme="minorHAnsi"/>
          <w:sz w:val="22"/>
          <w:szCs w:val="22"/>
        </w:rPr>
        <w:t>,</w:t>
      </w:r>
      <w:r>
        <w:rPr>
          <w:rFonts w:cs="Arial" w:eastAsiaTheme="minorHAnsi"/>
          <w:sz w:val="22"/>
          <w:szCs w:val="22"/>
        </w:rPr>
        <w:t xml:space="preserve"> and methamphetamine drug users strengthen</w:t>
      </w:r>
      <w:r w:rsidR="00BE28B4">
        <w:rPr>
          <w:rFonts w:cs="Arial" w:eastAsiaTheme="minorHAnsi"/>
          <w:sz w:val="22"/>
          <w:szCs w:val="22"/>
        </w:rPr>
        <w:t>s</w:t>
      </w:r>
      <w:r>
        <w:rPr>
          <w:rFonts w:cs="Arial" w:eastAsiaTheme="minorHAnsi"/>
          <w:sz w:val="22"/>
          <w:szCs w:val="22"/>
        </w:rPr>
        <w:t xml:space="preserve"> the drug testing program in areas in which the annual FFD program performance data indicate impacts related to human performance.</w:t>
      </w:r>
    </w:p>
    <w:p w:rsidR="00D520BD" w:rsidP="0004446B" w:rsidRDefault="00D520BD" w14:paraId="7DE9D069" w14:textId="77777777">
      <w:pPr>
        <w:keepNext/>
        <w:spacing w:before="220"/>
        <w:rPr>
          <w:sz w:val="22"/>
          <w:szCs w:val="22"/>
        </w:rPr>
      </w:pPr>
      <w:r w:rsidRPr="00AF17C2">
        <w:rPr>
          <w:sz w:val="22"/>
          <w:szCs w:val="22"/>
          <w:u w:val="single"/>
        </w:rPr>
        <w:lastRenderedPageBreak/>
        <w:t>Benefits and Costs</w:t>
      </w:r>
    </w:p>
    <w:p w:rsidR="00D520BD" w:rsidP="00D520BD" w:rsidRDefault="00D520BD" w14:paraId="0DED47B4" w14:textId="77777777">
      <w:pPr>
        <w:keepNext/>
        <w:rPr>
          <w:sz w:val="22"/>
          <w:szCs w:val="22"/>
        </w:rPr>
      </w:pPr>
    </w:p>
    <w:p w:rsidR="00D520BD" w:rsidP="00D520BD" w:rsidRDefault="00D520BD" w14:paraId="62E48C18" w14:textId="6DBDF419">
      <w:pPr>
        <w:rPr>
          <w:rFonts w:eastAsia="Calibri" w:cs="Arial"/>
          <w:sz w:val="22"/>
          <w:szCs w:val="22"/>
        </w:rPr>
      </w:pPr>
      <w:r>
        <w:rPr>
          <w:rFonts w:eastAsia="Calibri" w:cs="Arial"/>
          <w:sz w:val="22"/>
          <w:szCs w:val="22"/>
        </w:rPr>
        <w:t>T</w:t>
      </w:r>
      <w:r w:rsidRPr="009B0906">
        <w:rPr>
          <w:rFonts w:eastAsia="Calibri" w:cs="Arial"/>
          <w:sz w:val="22"/>
          <w:szCs w:val="22"/>
        </w:rPr>
        <w:t>he NRC staff finds that</w:t>
      </w:r>
      <w:r w:rsidR="00646A79">
        <w:rPr>
          <w:rFonts w:eastAsia="Calibri" w:cs="Arial"/>
          <w:sz w:val="22"/>
          <w:szCs w:val="22"/>
        </w:rPr>
        <w:t>,</w:t>
      </w:r>
      <w:r>
        <w:rPr>
          <w:rFonts w:eastAsia="Calibri" w:cs="Arial"/>
          <w:sz w:val="22"/>
          <w:szCs w:val="22"/>
        </w:rPr>
        <w:t xml:space="preserve"> considered together</w:t>
      </w:r>
      <w:r w:rsidR="00646A79">
        <w:rPr>
          <w:rFonts w:eastAsia="Calibri" w:cs="Arial"/>
          <w:sz w:val="22"/>
          <w:szCs w:val="22"/>
        </w:rPr>
        <w:t>,</w:t>
      </w:r>
      <w:r w:rsidR="00D6137D">
        <w:rPr>
          <w:rFonts w:eastAsia="Calibri" w:cs="Arial"/>
          <w:sz w:val="22"/>
          <w:szCs w:val="22"/>
        </w:rPr>
        <w:t xml:space="preserve"> </w:t>
      </w:r>
      <w:r>
        <w:rPr>
          <w:rFonts w:eastAsia="Calibri" w:cs="Arial"/>
          <w:sz w:val="22"/>
          <w:szCs w:val="22"/>
        </w:rPr>
        <w:t xml:space="preserve">the detection of additional drug users and the </w:t>
      </w:r>
      <w:r w:rsidRPr="009B0906">
        <w:rPr>
          <w:rFonts w:eastAsia="Calibri" w:cs="Arial"/>
          <w:sz w:val="22"/>
          <w:szCs w:val="22"/>
        </w:rPr>
        <w:t xml:space="preserve">qualitative benefits </w:t>
      </w:r>
      <w:r>
        <w:rPr>
          <w:rFonts w:eastAsia="Calibri" w:cs="Arial"/>
          <w:sz w:val="22"/>
          <w:szCs w:val="22"/>
        </w:rPr>
        <w:t>of doing so</w:t>
      </w:r>
      <w:r w:rsidRPr="009B0906">
        <w:rPr>
          <w:rFonts w:eastAsia="Calibri" w:cs="Arial"/>
          <w:sz w:val="22"/>
          <w:szCs w:val="22"/>
        </w:rPr>
        <w:t xml:space="preserve"> continue to </w:t>
      </w:r>
      <w:r w:rsidR="002B54FD">
        <w:rPr>
          <w:rFonts w:eastAsia="Calibri" w:cs="Arial"/>
          <w:sz w:val="22"/>
          <w:szCs w:val="22"/>
        </w:rPr>
        <w:t>maintain</w:t>
      </w:r>
      <w:r>
        <w:rPr>
          <w:rFonts w:eastAsia="Calibri" w:cs="Arial"/>
          <w:sz w:val="22"/>
          <w:szCs w:val="22"/>
        </w:rPr>
        <w:t xml:space="preserve"> reasonable assurance of a drug-free workplace </w:t>
      </w:r>
      <w:r w:rsidRPr="009B0906">
        <w:rPr>
          <w:rFonts w:eastAsia="Calibri" w:cs="Arial"/>
          <w:sz w:val="22"/>
          <w:szCs w:val="22"/>
        </w:rPr>
        <w:t xml:space="preserve">and outweigh the </w:t>
      </w:r>
      <w:r>
        <w:rPr>
          <w:rFonts w:eastAsia="Calibri" w:cs="Arial"/>
          <w:sz w:val="22"/>
          <w:szCs w:val="22"/>
        </w:rPr>
        <w:t xml:space="preserve">low </w:t>
      </w:r>
      <w:r w:rsidRPr="009B0906">
        <w:rPr>
          <w:rFonts w:eastAsia="Calibri" w:cs="Arial"/>
          <w:sz w:val="22"/>
          <w:szCs w:val="22"/>
        </w:rPr>
        <w:t xml:space="preserve">costs </w:t>
      </w:r>
      <w:r>
        <w:rPr>
          <w:rFonts w:eastAsia="Calibri" w:cs="Arial"/>
          <w:sz w:val="22"/>
          <w:szCs w:val="22"/>
        </w:rPr>
        <w:t xml:space="preserve">of the </w:t>
      </w:r>
      <w:r w:rsidR="00964E89">
        <w:rPr>
          <w:rFonts w:eastAsia="Calibri" w:cs="Arial"/>
          <w:sz w:val="22"/>
          <w:szCs w:val="22"/>
        </w:rPr>
        <w:t xml:space="preserve">final </w:t>
      </w:r>
      <w:r>
        <w:rPr>
          <w:rFonts w:eastAsia="Calibri" w:cs="Arial"/>
          <w:sz w:val="22"/>
          <w:szCs w:val="22"/>
        </w:rPr>
        <w:t>rule.</w:t>
      </w:r>
      <w:r w:rsidRPr="008F49C0">
        <w:rPr>
          <w:rFonts w:eastAsia="Calibri" w:cs="Arial"/>
          <w:sz w:val="22"/>
          <w:szCs w:val="22"/>
        </w:rPr>
        <w:t xml:space="preserve">  </w:t>
      </w:r>
      <w:r>
        <w:rPr>
          <w:rFonts w:eastAsia="Calibri" w:cs="Arial"/>
          <w:sz w:val="22"/>
          <w:szCs w:val="22"/>
        </w:rPr>
        <w:t xml:space="preserve">The analysis quantified benefits and costs associated with </w:t>
      </w:r>
      <w:r w:rsidR="001A08C3">
        <w:rPr>
          <w:rFonts w:eastAsia="Calibri" w:cs="Arial"/>
          <w:sz w:val="22"/>
          <w:szCs w:val="22"/>
        </w:rPr>
        <w:t>two</w:t>
      </w:r>
      <w:r>
        <w:rPr>
          <w:rFonts w:eastAsia="Calibri" w:cs="Arial"/>
          <w:sz w:val="22"/>
          <w:szCs w:val="22"/>
        </w:rPr>
        <w:t xml:space="preserve"> affected attributes—industry implementation</w:t>
      </w:r>
      <w:r w:rsidR="001A08C3">
        <w:rPr>
          <w:rFonts w:eastAsia="Calibri" w:cs="Arial"/>
          <w:sz w:val="22"/>
          <w:szCs w:val="22"/>
        </w:rPr>
        <w:t xml:space="preserve"> and</w:t>
      </w:r>
      <w:r>
        <w:rPr>
          <w:rFonts w:eastAsia="Calibri" w:cs="Arial"/>
          <w:sz w:val="22"/>
          <w:szCs w:val="22"/>
        </w:rPr>
        <w:t xml:space="preserve"> industry operation.</w:t>
      </w:r>
      <w:r w:rsidR="001A08C3">
        <w:rPr>
          <w:rStyle w:val="FootnoteReference"/>
          <w:rFonts w:eastAsia="Calibri" w:cs="Arial"/>
          <w:sz w:val="22"/>
          <w:szCs w:val="22"/>
        </w:rPr>
        <w:footnoteReference w:id="6"/>
      </w:r>
      <w:r>
        <w:rPr>
          <w:rFonts w:eastAsia="Calibri" w:cs="Arial"/>
          <w:sz w:val="22"/>
          <w:szCs w:val="22"/>
        </w:rPr>
        <w:t xml:space="preserve">  However</w:t>
      </w:r>
      <w:r w:rsidR="00646A79">
        <w:rPr>
          <w:rFonts w:eastAsia="Calibri" w:cs="Arial"/>
          <w:sz w:val="22"/>
          <w:szCs w:val="22"/>
        </w:rPr>
        <w:t>,</w:t>
      </w:r>
      <w:r>
        <w:rPr>
          <w:rFonts w:eastAsia="Calibri" w:cs="Arial"/>
          <w:sz w:val="22"/>
          <w:szCs w:val="22"/>
        </w:rPr>
        <w:t xml:space="preserve"> the NRC staff had difficulties in </w:t>
      </w:r>
      <w:r w:rsidRPr="008F70E8">
        <w:rPr>
          <w:rFonts w:cs="Arial"/>
          <w:sz w:val="22"/>
          <w:szCs w:val="22"/>
        </w:rPr>
        <w:t>monetiz</w:t>
      </w:r>
      <w:r>
        <w:rPr>
          <w:rFonts w:cs="Arial"/>
          <w:sz w:val="22"/>
          <w:szCs w:val="22"/>
        </w:rPr>
        <w:t xml:space="preserve">ing the benefits associated with </w:t>
      </w:r>
      <w:r w:rsidRPr="00D1470D">
        <w:rPr>
          <w:rFonts w:cs="Arial"/>
          <w:sz w:val="22"/>
          <w:szCs w:val="22"/>
        </w:rPr>
        <w:t>seven affected attributes</w:t>
      </w:r>
      <w:r>
        <w:rPr>
          <w:rFonts w:cs="Arial"/>
          <w:sz w:val="22"/>
          <w:szCs w:val="22"/>
        </w:rPr>
        <w:t>—</w:t>
      </w:r>
      <w:r w:rsidRPr="00D1470D">
        <w:rPr>
          <w:rFonts w:cs="Arial"/>
          <w:sz w:val="22"/>
          <w:szCs w:val="22"/>
        </w:rPr>
        <w:t>public health (accident)</w:t>
      </w:r>
      <w:r w:rsidR="00646A79">
        <w:rPr>
          <w:rFonts w:cs="Arial"/>
          <w:sz w:val="22"/>
          <w:szCs w:val="22"/>
        </w:rPr>
        <w:t>,</w:t>
      </w:r>
      <w:r w:rsidRPr="00D1470D">
        <w:rPr>
          <w:rFonts w:cs="Arial"/>
          <w:sz w:val="22"/>
          <w:szCs w:val="22"/>
        </w:rPr>
        <w:t xml:space="preserve"> occupational health (accident)</w:t>
      </w:r>
      <w:r w:rsidR="00646A79">
        <w:rPr>
          <w:rFonts w:cs="Arial"/>
          <w:sz w:val="22"/>
          <w:szCs w:val="22"/>
        </w:rPr>
        <w:t>,</w:t>
      </w:r>
      <w:r w:rsidRPr="00D1470D">
        <w:rPr>
          <w:rFonts w:cs="Arial"/>
          <w:sz w:val="22"/>
          <w:szCs w:val="22"/>
        </w:rPr>
        <w:t xml:space="preserve"> offsite property</w:t>
      </w:r>
      <w:r w:rsidR="00646A79">
        <w:rPr>
          <w:rFonts w:cs="Arial"/>
          <w:sz w:val="22"/>
          <w:szCs w:val="22"/>
        </w:rPr>
        <w:t>,</w:t>
      </w:r>
      <w:r w:rsidRPr="00D1470D">
        <w:rPr>
          <w:rFonts w:cs="Arial"/>
          <w:sz w:val="22"/>
          <w:szCs w:val="22"/>
        </w:rPr>
        <w:t xml:space="preserve"> onsite property</w:t>
      </w:r>
      <w:r w:rsidR="00646A79">
        <w:rPr>
          <w:rFonts w:cs="Arial"/>
          <w:sz w:val="22"/>
          <w:szCs w:val="22"/>
        </w:rPr>
        <w:t>,</w:t>
      </w:r>
      <w:r w:rsidRPr="00D1470D">
        <w:rPr>
          <w:rFonts w:cs="Arial"/>
          <w:sz w:val="22"/>
          <w:szCs w:val="22"/>
        </w:rPr>
        <w:t xml:space="preserve"> regulatory efficiency</w:t>
      </w:r>
      <w:r w:rsidR="00646A79">
        <w:rPr>
          <w:rFonts w:cs="Arial"/>
          <w:sz w:val="22"/>
          <w:szCs w:val="22"/>
        </w:rPr>
        <w:t>,</w:t>
      </w:r>
      <w:r w:rsidRPr="00D1470D">
        <w:rPr>
          <w:rFonts w:cs="Arial"/>
          <w:sz w:val="22"/>
          <w:szCs w:val="22"/>
        </w:rPr>
        <w:t xml:space="preserve"> safeguards and security considerations</w:t>
      </w:r>
      <w:r w:rsidR="00646A79">
        <w:rPr>
          <w:rFonts w:cs="Arial"/>
          <w:sz w:val="22"/>
          <w:szCs w:val="22"/>
        </w:rPr>
        <w:t>,</w:t>
      </w:r>
      <w:r>
        <w:rPr>
          <w:rFonts w:cs="Arial"/>
          <w:sz w:val="22"/>
          <w:szCs w:val="22"/>
        </w:rPr>
        <w:t xml:space="preserve"> and other considerations.  The </w:t>
      </w:r>
      <w:r w:rsidR="00646A79">
        <w:rPr>
          <w:rFonts w:cs="Arial"/>
          <w:sz w:val="22"/>
          <w:szCs w:val="22"/>
        </w:rPr>
        <w:t>“</w:t>
      </w:r>
      <w:r>
        <w:rPr>
          <w:rFonts w:cs="Arial"/>
          <w:sz w:val="22"/>
          <w:szCs w:val="22"/>
        </w:rPr>
        <w:t>other considerations</w:t>
      </w:r>
      <w:r w:rsidR="00646A79">
        <w:rPr>
          <w:rFonts w:cs="Arial"/>
          <w:sz w:val="22"/>
          <w:szCs w:val="22"/>
        </w:rPr>
        <w:t>”</w:t>
      </w:r>
      <w:r>
        <w:rPr>
          <w:rFonts w:cs="Arial"/>
          <w:sz w:val="22"/>
          <w:szCs w:val="22"/>
        </w:rPr>
        <w:t xml:space="preserve"> attribute </w:t>
      </w:r>
      <w:r w:rsidRPr="00D1470D">
        <w:rPr>
          <w:rFonts w:cs="Arial"/>
          <w:sz w:val="22"/>
          <w:szCs w:val="22"/>
        </w:rPr>
        <w:t xml:space="preserve">includes public </w:t>
      </w:r>
      <w:r w:rsidRPr="00FD035F">
        <w:rPr>
          <w:rFonts w:cs="Arial"/>
          <w:sz w:val="22"/>
          <w:szCs w:val="22"/>
        </w:rPr>
        <w:t>perception</w:t>
      </w:r>
      <w:r w:rsidR="00646A79">
        <w:rPr>
          <w:rFonts w:cs="Arial"/>
          <w:sz w:val="22"/>
          <w:szCs w:val="22"/>
        </w:rPr>
        <w:t>,</w:t>
      </w:r>
      <w:r w:rsidRPr="00FD035F">
        <w:rPr>
          <w:rFonts w:cs="Arial"/>
          <w:sz w:val="22"/>
          <w:szCs w:val="22"/>
        </w:rPr>
        <w:t xml:space="preserve"> workplace productivity</w:t>
      </w:r>
      <w:r w:rsidR="00646A79">
        <w:rPr>
          <w:rFonts w:cs="Arial"/>
          <w:sz w:val="22"/>
          <w:szCs w:val="22"/>
        </w:rPr>
        <w:t>,</w:t>
      </w:r>
      <w:r w:rsidRPr="00FD035F">
        <w:rPr>
          <w:rFonts w:cs="Arial"/>
          <w:sz w:val="22"/>
          <w:szCs w:val="22"/>
        </w:rPr>
        <w:t xml:space="preserve"> workplace safety</w:t>
      </w:r>
      <w:r w:rsidR="00646A79">
        <w:rPr>
          <w:rFonts w:cs="Arial"/>
          <w:sz w:val="22"/>
          <w:szCs w:val="22"/>
        </w:rPr>
        <w:t>,</w:t>
      </w:r>
      <w:r w:rsidRPr="00FD035F">
        <w:rPr>
          <w:rFonts w:cs="Arial"/>
          <w:sz w:val="22"/>
          <w:szCs w:val="22"/>
        </w:rPr>
        <w:t xml:space="preserve"> and improved protection of individual rights</w:t>
      </w:r>
      <w:r w:rsidRPr="00FD035F">
        <w:rPr>
          <w:rFonts w:eastAsia="Calibri" w:cs="Arial"/>
          <w:sz w:val="22"/>
          <w:szCs w:val="22"/>
        </w:rPr>
        <w:t xml:space="preserve">. </w:t>
      </w:r>
      <w:r>
        <w:rPr>
          <w:rFonts w:eastAsia="Calibri" w:cs="Arial"/>
          <w:sz w:val="22"/>
          <w:szCs w:val="22"/>
        </w:rPr>
        <w:t xml:space="preserve"> </w:t>
      </w:r>
      <w:r w:rsidRPr="003F21DD">
        <w:rPr>
          <w:sz w:val="22"/>
          <w:szCs w:val="22"/>
        </w:rPr>
        <w:t xml:space="preserve">The </w:t>
      </w:r>
      <w:r>
        <w:rPr>
          <w:sz w:val="22"/>
          <w:szCs w:val="22"/>
        </w:rPr>
        <w:t xml:space="preserve">NRC </w:t>
      </w:r>
      <w:r w:rsidRPr="003F21DD">
        <w:rPr>
          <w:sz w:val="22"/>
          <w:szCs w:val="22"/>
        </w:rPr>
        <w:t>staff</w:t>
      </w:r>
      <w:r>
        <w:rPr>
          <w:sz w:val="22"/>
          <w:szCs w:val="22"/>
        </w:rPr>
        <w:t xml:space="preserve"> performed a qualitative assessment of these attributes</w:t>
      </w:r>
      <w:r w:rsidR="00646A79">
        <w:rPr>
          <w:sz w:val="22"/>
          <w:szCs w:val="22"/>
        </w:rPr>
        <w:t>,</w:t>
      </w:r>
      <w:r>
        <w:rPr>
          <w:sz w:val="22"/>
          <w:szCs w:val="22"/>
        </w:rPr>
        <w:t xml:space="preserve"> which is consistent with the Commission’s direction in the staff requirements memorandum</w:t>
      </w:r>
      <w:r w:rsidR="00646A79">
        <w:rPr>
          <w:sz w:val="22"/>
          <w:szCs w:val="22"/>
        </w:rPr>
        <w:t>,</w:t>
      </w:r>
      <w:r>
        <w:rPr>
          <w:sz w:val="22"/>
          <w:szCs w:val="22"/>
        </w:rPr>
        <w:t xml:space="preserve"> </w:t>
      </w:r>
      <w:r w:rsidR="00646A79">
        <w:rPr>
          <w:sz w:val="22"/>
          <w:szCs w:val="22"/>
        </w:rPr>
        <w:t>“</w:t>
      </w:r>
      <w:r w:rsidR="00CD4C00">
        <w:rPr>
          <w:sz w:val="22"/>
          <w:szCs w:val="22"/>
        </w:rPr>
        <w:t>SECY-14-0087</w:t>
      </w:r>
      <w:r w:rsidR="00CD4C00">
        <w:rPr>
          <w:rFonts w:cs="Arial"/>
          <w:sz w:val="22"/>
          <w:szCs w:val="22"/>
        </w:rPr>
        <w:t>—</w:t>
      </w:r>
      <w:r>
        <w:rPr>
          <w:sz w:val="22"/>
          <w:szCs w:val="22"/>
        </w:rPr>
        <w:t>Qualitative Consideration of Factors in the Development of Regulatory Analyses and Backfit Analyses</w:t>
      </w:r>
      <w:r w:rsidR="00646A79">
        <w:rPr>
          <w:sz w:val="22"/>
          <w:szCs w:val="22"/>
        </w:rPr>
        <w:t>,”</w:t>
      </w:r>
      <w:r>
        <w:rPr>
          <w:sz w:val="22"/>
          <w:szCs w:val="22"/>
        </w:rPr>
        <w:t xml:space="preserve"> dated March 4</w:t>
      </w:r>
      <w:r w:rsidR="00646A79">
        <w:rPr>
          <w:sz w:val="22"/>
          <w:szCs w:val="22"/>
        </w:rPr>
        <w:t>,</w:t>
      </w:r>
      <w:r>
        <w:rPr>
          <w:sz w:val="22"/>
          <w:szCs w:val="22"/>
        </w:rPr>
        <w:t> 2015 (</w:t>
      </w:r>
      <w:r w:rsidR="003760ED">
        <w:rPr>
          <w:sz w:val="22"/>
          <w:szCs w:val="22"/>
        </w:rPr>
        <w:t>NRC</w:t>
      </w:r>
      <w:r w:rsidR="00646A79">
        <w:rPr>
          <w:sz w:val="22"/>
          <w:szCs w:val="22"/>
        </w:rPr>
        <w:t>,</w:t>
      </w:r>
      <w:r w:rsidR="003760ED">
        <w:rPr>
          <w:sz w:val="22"/>
          <w:szCs w:val="22"/>
        </w:rPr>
        <w:t xml:space="preserve"> 2015</w:t>
      </w:r>
      <w:r>
        <w:rPr>
          <w:sz w:val="22"/>
          <w:szCs w:val="22"/>
        </w:rPr>
        <w:t xml:space="preserve">). </w:t>
      </w:r>
      <w:r w:rsidRPr="00FD035F">
        <w:rPr>
          <w:rFonts w:eastAsia="Calibri" w:cs="Arial"/>
          <w:sz w:val="22"/>
          <w:szCs w:val="22"/>
        </w:rPr>
        <w:t xml:space="preserve"> </w:t>
      </w:r>
      <w:r w:rsidRPr="00192266">
        <w:rPr>
          <w:rFonts w:eastAsia="Calibri" w:cs="Arial"/>
          <w:sz w:val="22"/>
          <w:szCs w:val="22"/>
        </w:rPr>
        <w:t>Be</w:t>
      </w:r>
      <w:r>
        <w:rPr>
          <w:rFonts w:eastAsia="Calibri" w:cs="Arial"/>
          <w:sz w:val="22"/>
          <w:szCs w:val="22"/>
        </w:rPr>
        <w:t xml:space="preserve">cause the staff could not rigorously </w:t>
      </w:r>
      <w:r w:rsidRPr="00192266">
        <w:rPr>
          <w:rFonts w:eastAsia="Calibri" w:cs="Arial"/>
          <w:sz w:val="22"/>
          <w:szCs w:val="22"/>
        </w:rPr>
        <w:t>quantif</w:t>
      </w:r>
      <w:r>
        <w:rPr>
          <w:rFonts w:eastAsia="Calibri" w:cs="Arial"/>
          <w:sz w:val="22"/>
          <w:szCs w:val="22"/>
        </w:rPr>
        <w:t>y</w:t>
      </w:r>
      <w:r w:rsidRPr="00192266">
        <w:rPr>
          <w:rFonts w:eastAsia="Calibri" w:cs="Arial"/>
          <w:sz w:val="22"/>
          <w:szCs w:val="22"/>
        </w:rPr>
        <w:t xml:space="preserve"> and </w:t>
      </w:r>
      <w:r w:rsidRPr="00613933">
        <w:rPr>
          <w:rFonts w:eastAsia="Calibri" w:cs="Arial"/>
          <w:sz w:val="22"/>
          <w:szCs w:val="22"/>
        </w:rPr>
        <w:t>monetize the benefits</w:t>
      </w:r>
      <w:r w:rsidRPr="00613933" w:rsidR="00646A79">
        <w:rPr>
          <w:rFonts w:eastAsia="Calibri" w:cs="Arial"/>
          <w:sz w:val="22"/>
          <w:szCs w:val="22"/>
        </w:rPr>
        <w:t>,</w:t>
      </w:r>
      <w:r w:rsidRPr="00613933">
        <w:rPr>
          <w:rFonts w:eastAsia="Calibri" w:cs="Arial"/>
          <w:sz w:val="22"/>
          <w:szCs w:val="22"/>
        </w:rPr>
        <w:t xml:space="preserve"> it could not perform a quantified comparison of costs and benefits.</w:t>
      </w:r>
      <w:r w:rsidRPr="00613933" w:rsidR="00F0204C">
        <w:rPr>
          <w:rFonts w:eastAsia="Calibri" w:cs="Arial"/>
          <w:sz w:val="22"/>
          <w:szCs w:val="22"/>
        </w:rPr>
        <w:t xml:space="preserve">  </w:t>
      </w:r>
      <w:r w:rsidRPr="00613933" w:rsidR="003E0865">
        <w:rPr>
          <w:rFonts w:eastAsia="Calibri" w:cs="Arial"/>
          <w:sz w:val="22"/>
          <w:szCs w:val="22"/>
        </w:rPr>
        <w:t>However</w:t>
      </w:r>
      <w:r w:rsidRPr="00613933" w:rsidR="00646A79">
        <w:rPr>
          <w:rFonts w:eastAsia="Calibri" w:cs="Arial"/>
          <w:sz w:val="22"/>
          <w:szCs w:val="22"/>
        </w:rPr>
        <w:t>,</w:t>
      </w:r>
      <w:r w:rsidRPr="00613933" w:rsidR="003E0865">
        <w:rPr>
          <w:rFonts w:eastAsia="Calibri" w:cs="Arial"/>
          <w:sz w:val="22"/>
          <w:szCs w:val="22"/>
        </w:rPr>
        <w:t xml:space="preserve"> for example</w:t>
      </w:r>
      <w:r w:rsidRPr="00613933" w:rsidR="00646A79">
        <w:rPr>
          <w:rFonts w:eastAsia="Calibri" w:cs="Arial"/>
          <w:sz w:val="22"/>
          <w:szCs w:val="22"/>
        </w:rPr>
        <w:t>,</w:t>
      </w:r>
      <w:r w:rsidRPr="00613933" w:rsidR="00F0204C">
        <w:rPr>
          <w:rFonts w:eastAsia="Calibri" w:cs="Arial"/>
          <w:sz w:val="22"/>
          <w:szCs w:val="22"/>
        </w:rPr>
        <w:t xml:space="preserve"> preventing </w:t>
      </w:r>
      <w:r w:rsidRPr="00613933" w:rsidR="00882914">
        <w:rPr>
          <w:rFonts w:eastAsia="Calibri" w:cs="Arial"/>
          <w:sz w:val="22"/>
          <w:szCs w:val="22"/>
        </w:rPr>
        <w:t>the</w:t>
      </w:r>
      <w:r w:rsidRPr="00613933" w:rsidR="00F0204C">
        <w:rPr>
          <w:rFonts w:eastAsia="Calibri" w:cs="Arial"/>
          <w:sz w:val="22"/>
          <w:szCs w:val="22"/>
        </w:rPr>
        <w:t xml:space="preserve"> shutdown of a single </w:t>
      </w:r>
      <w:r w:rsidRPr="00613933" w:rsidR="007C68E6">
        <w:rPr>
          <w:rFonts w:eastAsia="Calibri" w:cs="Arial"/>
          <w:sz w:val="22"/>
          <w:szCs w:val="22"/>
        </w:rPr>
        <w:t>reactor unit</w:t>
      </w:r>
      <w:r w:rsidRPr="00613933" w:rsidR="00F0204C">
        <w:rPr>
          <w:rFonts w:eastAsia="Calibri" w:cs="Arial"/>
          <w:sz w:val="22"/>
          <w:szCs w:val="22"/>
        </w:rPr>
        <w:t xml:space="preserve"> </w:t>
      </w:r>
      <w:r w:rsidRPr="00613933" w:rsidR="003E0865">
        <w:rPr>
          <w:rFonts w:eastAsia="Calibri" w:cs="Arial"/>
          <w:sz w:val="22"/>
          <w:szCs w:val="22"/>
        </w:rPr>
        <w:t>for 1 </w:t>
      </w:r>
      <w:r w:rsidRPr="00613933" w:rsidR="005376DE">
        <w:rPr>
          <w:rFonts w:eastAsia="Calibri" w:cs="Arial"/>
          <w:sz w:val="22"/>
          <w:szCs w:val="22"/>
        </w:rPr>
        <w:t>day</w:t>
      </w:r>
      <w:r w:rsidRPr="00613933" w:rsidR="00EA7C30">
        <w:rPr>
          <w:rFonts w:eastAsia="Calibri" w:cs="Arial"/>
          <w:sz w:val="22"/>
          <w:szCs w:val="22"/>
        </w:rPr>
        <w:t xml:space="preserve"> </w:t>
      </w:r>
      <w:r w:rsidRPr="00613933" w:rsidR="00F0204C">
        <w:rPr>
          <w:rFonts w:eastAsia="Calibri" w:cs="Arial"/>
          <w:sz w:val="22"/>
          <w:szCs w:val="22"/>
        </w:rPr>
        <w:t xml:space="preserve">as a result of </w:t>
      </w:r>
      <w:r w:rsidRPr="00613933" w:rsidR="00882914">
        <w:rPr>
          <w:rFonts w:eastAsia="Calibri" w:cs="Arial"/>
          <w:sz w:val="22"/>
          <w:szCs w:val="22"/>
        </w:rPr>
        <w:t xml:space="preserve">the actions of </w:t>
      </w:r>
      <w:r w:rsidRPr="00613933" w:rsidR="00F0204C">
        <w:rPr>
          <w:rFonts w:eastAsia="Calibri" w:cs="Arial"/>
          <w:sz w:val="22"/>
          <w:szCs w:val="22"/>
        </w:rPr>
        <w:t xml:space="preserve">an impaired individual </w:t>
      </w:r>
      <w:r w:rsidRPr="00613933" w:rsidR="00477C2D">
        <w:rPr>
          <w:rFonts w:eastAsia="Calibri" w:cs="Arial"/>
          <w:sz w:val="22"/>
          <w:szCs w:val="22"/>
        </w:rPr>
        <w:t xml:space="preserve">would </w:t>
      </w:r>
      <w:r w:rsidRPr="00613933" w:rsidR="00F0204C">
        <w:rPr>
          <w:rFonts w:eastAsia="Calibri" w:cs="Arial"/>
          <w:sz w:val="22"/>
          <w:szCs w:val="22"/>
        </w:rPr>
        <w:t xml:space="preserve">far exceed the </w:t>
      </w:r>
      <w:r w:rsidRPr="00613933" w:rsidR="00AF2349">
        <w:rPr>
          <w:rFonts w:eastAsia="Calibri" w:cs="Arial"/>
          <w:sz w:val="22"/>
          <w:szCs w:val="22"/>
        </w:rPr>
        <w:t xml:space="preserve">estimated </w:t>
      </w:r>
      <w:r w:rsidRPr="00613933" w:rsidR="007C68E6">
        <w:rPr>
          <w:rFonts w:eastAsia="Calibri" w:cs="Arial"/>
          <w:sz w:val="22"/>
          <w:szCs w:val="22"/>
        </w:rPr>
        <w:t xml:space="preserve">annual </w:t>
      </w:r>
      <w:r w:rsidRPr="00613933" w:rsidR="00477C2D">
        <w:rPr>
          <w:rFonts w:eastAsia="Calibri" w:cs="Arial"/>
          <w:sz w:val="22"/>
          <w:szCs w:val="22"/>
        </w:rPr>
        <w:t xml:space="preserve">benefit </w:t>
      </w:r>
      <w:r w:rsidRPr="00613933" w:rsidR="005376DE">
        <w:rPr>
          <w:rFonts w:eastAsia="Calibri" w:cs="Arial"/>
          <w:sz w:val="22"/>
          <w:szCs w:val="22"/>
        </w:rPr>
        <w:t>to in</w:t>
      </w:r>
      <w:r w:rsidRPr="00613933" w:rsidR="00882914">
        <w:rPr>
          <w:rFonts w:eastAsia="Calibri" w:cs="Arial"/>
          <w:sz w:val="22"/>
          <w:szCs w:val="22"/>
        </w:rPr>
        <w:t xml:space="preserve">dustry </w:t>
      </w:r>
      <w:r w:rsidRPr="00613933" w:rsidR="00F0204C">
        <w:rPr>
          <w:rFonts w:eastAsia="Calibri" w:cs="Arial"/>
          <w:sz w:val="22"/>
          <w:szCs w:val="22"/>
        </w:rPr>
        <w:t>of the</w:t>
      </w:r>
      <w:r w:rsidRPr="00613933" w:rsidR="009B5495">
        <w:rPr>
          <w:rFonts w:eastAsia="Calibri" w:cs="Arial"/>
          <w:sz w:val="22"/>
          <w:szCs w:val="22"/>
        </w:rPr>
        <w:t xml:space="preserve"> final</w:t>
      </w:r>
      <w:r w:rsidRPr="00613933" w:rsidR="00F0204C">
        <w:rPr>
          <w:rFonts w:eastAsia="Calibri" w:cs="Arial"/>
          <w:sz w:val="22"/>
          <w:szCs w:val="22"/>
        </w:rPr>
        <w:t xml:space="preserve"> rule</w:t>
      </w:r>
      <w:r w:rsidRPr="00613933" w:rsidR="007C68E6">
        <w:rPr>
          <w:rFonts w:eastAsia="Calibri" w:cs="Arial"/>
          <w:sz w:val="22"/>
          <w:szCs w:val="22"/>
        </w:rPr>
        <w:t xml:space="preserve"> </w:t>
      </w:r>
      <w:r w:rsidRPr="00613933" w:rsidR="005376DE">
        <w:rPr>
          <w:rFonts w:eastAsia="Calibri" w:cs="Arial"/>
          <w:sz w:val="22"/>
          <w:szCs w:val="22"/>
        </w:rPr>
        <w:t>changes</w:t>
      </w:r>
      <w:r w:rsidRPr="00613933" w:rsidR="00F0204C">
        <w:rPr>
          <w:rFonts w:eastAsia="Calibri" w:cs="Arial"/>
          <w:sz w:val="22"/>
          <w:szCs w:val="22"/>
        </w:rPr>
        <w:t>.</w:t>
      </w:r>
    </w:p>
    <w:p w:rsidR="00882914" w:rsidP="00D520BD" w:rsidRDefault="00882914" w14:paraId="74DF6E66" w14:textId="77777777">
      <w:pPr>
        <w:rPr>
          <w:rFonts w:eastAsia="Calibri" w:cs="Arial"/>
          <w:sz w:val="22"/>
          <w:szCs w:val="22"/>
        </w:rPr>
      </w:pPr>
    </w:p>
    <w:p w:rsidRPr="005A5966" w:rsidR="00D520BD" w:rsidP="00D520BD" w:rsidRDefault="00D520BD" w14:paraId="3A9B3EA9" w14:textId="77777777">
      <w:pPr>
        <w:rPr>
          <w:sz w:val="22"/>
          <w:szCs w:val="22"/>
        </w:rPr>
      </w:pPr>
      <w:r w:rsidRPr="005A5966">
        <w:rPr>
          <w:sz w:val="22"/>
          <w:szCs w:val="22"/>
        </w:rPr>
        <w:t xml:space="preserve">The </w:t>
      </w:r>
      <w:r>
        <w:rPr>
          <w:sz w:val="22"/>
          <w:szCs w:val="22"/>
        </w:rPr>
        <w:t xml:space="preserve">regulatory </w:t>
      </w:r>
      <w:r w:rsidRPr="005A5966">
        <w:rPr>
          <w:sz w:val="22"/>
          <w:szCs w:val="22"/>
        </w:rPr>
        <w:t xml:space="preserve">analysis </w:t>
      </w:r>
      <w:r>
        <w:rPr>
          <w:sz w:val="22"/>
          <w:szCs w:val="22"/>
        </w:rPr>
        <w:t>resulted in the following key findings</w:t>
      </w:r>
      <w:r w:rsidRPr="005A5966">
        <w:rPr>
          <w:sz w:val="22"/>
          <w:szCs w:val="22"/>
        </w:rPr>
        <w:t>:</w:t>
      </w:r>
    </w:p>
    <w:p w:rsidRPr="005A5966" w:rsidR="00D520BD" w:rsidP="00D520BD" w:rsidRDefault="00D520BD" w14:paraId="70BF99C1" w14:textId="77777777">
      <w:pPr>
        <w:rPr>
          <w:sz w:val="22"/>
          <w:szCs w:val="22"/>
        </w:rPr>
      </w:pPr>
    </w:p>
    <w:p w:rsidRPr="009D7F98" w:rsidR="00D520BD" w:rsidP="005C6BA3" w:rsidRDefault="00D520BD" w14:paraId="017A8272" w14:textId="7FF8A368">
      <w:pPr>
        <w:pStyle w:val="ListParagraph"/>
        <w:numPr>
          <w:ilvl w:val="0"/>
          <w:numId w:val="30"/>
        </w:numPr>
        <w:ind w:hanging="720"/>
        <w:rPr>
          <w:sz w:val="22"/>
          <w:szCs w:val="22"/>
        </w:rPr>
      </w:pPr>
      <w:r w:rsidRPr="009D7F98">
        <w:rPr>
          <w:sz w:val="22"/>
          <w:szCs w:val="22"/>
        </w:rPr>
        <w:t xml:space="preserve">Benefits.  The direct benefit of this rule </w:t>
      </w:r>
      <w:r w:rsidR="004132F9">
        <w:rPr>
          <w:sz w:val="22"/>
          <w:szCs w:val="22"/>
        </w:rPr>
        <w:t>is</w:t>
      </w:r>
      <w:r w:rsidRPr="009D7F98">
        <w:rPr>
          <w:sz w:val="22"/>
          <w:szCs w:val="22"/>
        </w:rPr>
        <w:t xml:space="preserve"> to enhance the effectiveness of NRC</w:t>
      </w:r>
      <w:r w:rsidR="00FB31B5">
        <w:rPr>
          <w:sz w:val="22"/>
          <w:szCs w:val="22"/>
        </w:rPr>
        <w:noBreakHyphen/>
      </w:r>
      <w:r w:rsidRPr="009D7F98">
        <w:rPr>
          <w:sz w:val="22"/>
          <w:szCs w:val="22"/>
        </w:rPr>
        <w:t xml:space="preserve">required FFD drug testing programs by identifying additional individuals using </w:t>
      </w:r>
      <w:r w:rsidR="008E1F1F">
        <w:rPr>
          <w:sz w:val="22"/>
          <w:szCs w:val="22"/>
        </w:rPr>
        <w:t xml:space="preserve">illegal </w:t>
      </w:r>
      <w:r w:rsidRPr="009D7F98">
        <w:rPr>
          <w:sz w:val="22"/>
          <w:szCs w:val="22"/>
        </w:rPr>
        <w:t>drugs</w:t>
      </w:r>
      <w:r w:rsidR="008E1F1F">
        <w:rPr>
          <w:sz w:val="22"/>
          <w:szCs w:val="22"/>
        </w:rPr>
        <w:t xml:space="preserve">, </w:t>
      </w:r>
      <w:r w:rsidRPr="008E1F1F" w:rsidR="008E1F1F">
        <w:rPr>
          <w:sz w:val="22"/>
          <w:szCs w:val="22"/>
        </w:rPr>
        <w:t>misusing legal drugs, or attempting to subvert the drug testing process</w:t>
      </w:r>
      <w:r w:rsidRPr="009D7F98">
        <w:rPr>
          <w:sz w:val="22"/>
          <w:szCs w:val="22"/>
        </w:rPr>
        <w:t xml:space="preserve">.  </w:t>
      </w:r>
      <w:r w:rsidRPr="00B421B4">
        <w:rPr>
          <w:sz w:val="22"/>
          <w:szCs w:val="22"/>
        </w:rPr>
        <w:t xml:space="preserve">The NRC staff estimates that the </w:t>
      </w:r>
      <w:r w:rsidRPr="00B421B4" w:rsidR="00A958D2">
        <w:rPr>
          <w:sz w:val="22"/>
          <w:szCs w:val="22"/>
        </w:rPr>
        <w:t xml:space="preserve">final </w:t>
      </w:r>
      <w:r w:rsidRPr="00B421B4">
        <w:rPr>
          <w:sz w:val="22"/>
          <w:szCs w:val="22"/>
        </w:rPr>
        <w:t xml:space="preserve">rule </w:t>
      </w:r>
      <w:r w:rsidRPr="00B421B4" w:rsidR="00122399">
        <w:rPr>
          <w:sz w:val="22"/>
          <w:szCs w:val="22"/>
        </w:rPr>
        <w:t xml:space="preserve">will </w:t>
      </w:r>
      <w:r w:rsidRPr="00B421B4">
        <w:rPr>
          <w:sz w:val="22"/>
          <w:szCs w:val="22"/>
        </w:rPr>
        <w:t>result in a</w:t>
      </w:r>
      <w:r w:rsidRPr="00B421B4" w:rsidR="00C24A0D">
        <w:rPr>
          <w:sz w:val="22"/>
          <w:szCs w:val="22"/>
        </w:rPr>
        <w:t>n estimated increase of between 16 and 29 percent</w:t>
      </w:r>
      <w:r w:rsidRPr="00B421B4" w:rsidR="000720D8">
        <w:rPr>
          <w:sz w:val="22"/>
          <w:szCs w:val="22"/>
        </w:rPr>
        <w:t xml:space="preserve"> per year </w:t>
      </w:r>
      <w:r w:rsidR="004111E2">
        <w:rPr>
          <w:sz w:val="22"/>
          <w:szCs w:val="22"/>
        </w:rPr>
        <w:t xml:space="preserve">in individuals testing </w:t>
      </w:r>
      <w:r w:rsidRPr="00B421B4" w:rsidR="00B421B4">
        <w:rPr>
          <w:sz w:val="22"/>
          <w:szCs w:val="22"/>
        </w:rPr>
        <w:t xml:space="preserve">positive for drugs or identified </w:t>
      </w:r>
      <w:r w:rsidRPr="00B421B4">
        <w:rPr>
          <w:sz w:val="22"/>
          <w:szCs w:val="22"/>
        </w:rPr>
        <w:t>attempting to subvert the drug testing process.</w:t>
      </w:r>
      <w:r w:rsidRPr="009D7F98">
        <w:rPr>
          <w:sz w:val="22"/>
          <w:szCs w:val="22"/>
        </w:rPr>
        <w:t xml:space="preserve">  The </w:t>
      </w:r>
      <w:r w:rsidR="007B25C5">
        <w:rPr>
          <w:sz w:val="22"/>
          <w:szCs w:val="22"/>
        </w:rPr>
        <w:t xml:space="preserve">final </w:t>
      </w:r>
      <w:r w:rsidRPr="009D7F98">
        <w:rPr>
          <w:sz w:val="22"/>
          <w:szCs w:val="22"/>
        </w:rPr>
        <w:t>rule also improve</w:t>
      </w:r>
      <w:r w:rsidR="002E49F4">
        <w:rPr>
          <w:sz w:val="22"/>
          <w:szCs w:val="22"/>
        </w:rPr>
        <w:t>s</w:t>
      </w:r>
      <w:r w:rsidRPr="009D7F98">
        <w:rPr>
          <w:sz w:val="22"/>
          <w:szCs w:val="22"/>
        </w:rPr>
        <w:t xml:space="preserve"> regulatory efficiency by aligning </w:t>
      </w:r>
      <w:r w:rsidR="003B155F">
        <w:rPr>
          <w:sz w:val="22"/>
          <w:szCs w:val="22"/>
        </w:rPr>
        <w:t xml:space="preserve">elements of </w:t>
      </w:r>
      <w:r w:rsidRPr="009D7F98">
        <w:rPr>
          <w:sz w:val="22"/>
          <w:szCs w:val="22"/>
        </w:rPr>
        <w:t xml:space="preserve">10 CFR Part 26 with </w:t>
      </w:r>
      <w:r w:rsidR="003B155F">
        <w:rPr>
          <w:sz w:val="22"/>
          <w:szCs w:val="22"/>
        </w:rPr>
        <w:t xml:space="preserve">changes in </w:t>
      </w:r>
      <w:r w:rsidRPr="009D7F98">
        <w:rPr>
          <w:sz w:val="22"/>
          <w:szCs w:val="22"/>
        </w:rPr>
        <w:t xml:space="preserve">the </w:t>
      </w:r>
      <w:r w:rsidR="003B155F">
        <w:rPr>
          <w:sz w:val="22"/>
          <w:szCs w:val="22"/>
        </w:rPr>
        <w:t xml:space="preserve">2008 and </w:t>
      </w:r>
      <w:r w:rsidR="00E86E86">
        <w:rPr>
          <w:sz w:val="22"/>
          <w:szCs w:val="22"/>
        </w:rPr>
        <w:t>2017</w:t>
      </w:r>
      <w:r w:rsidRPr="009D7F98">
        <w:rPr>
          <w:sz w:val="22"/>
          <w:szCs w:val="22"/>
        </w:rPr>
        <w:t xml:space="preserve"> HHS Guidelines and by </w:t>
      </w:r>
      <w:r>
        <w:rPr>
          <w:sz w:val="22"/>
          <w:szCs w:val="22"/>
        </w:rPr>
        <w:t xml:space="preserve">applying </w:t>
      </w:r>
      <w:r w:rsidRPr="009D7F98">
        <w:rPr>
          <w:sz w:val="22"/>
          <w:szCs w:val="22"/>
        </w:rPr>
        <w:t>lessons learned from implementa</w:t>
      </w:r>
      <w:r>
        <w:rPr>
          <w:sz w:val="22"/>
          <w:szCs w:val="22"/>
        </w:rPr>
        <w:t>t</w:t>
      </w:r>
      <w:r w:rsidRPr="009D7F98">
        <w:rPr>
          <w:sz w:val="22"/>
          <w:szCs w:val="22"/>
        </w:rPr>
        <w:t xml:space="preserve">ion </w:t>
      </w:r>
      <w:r>
        <w:rPr>
          <w:sz w:val="22"/>
          <w:szCs w:val="22"/>
        </w:rPr>
        <w:t xml:space="preserve">of </w:t>
      </w:r>
      <w:r w:rsidRPr="009D7F98">
        <w:rPr>
          <w:sz w:val="22"/>
          <w:szCs w:val="22"/>
        </w:rPr>
        <w:t>the NRC’s 2008 FFD final rule</w:t>
      </w:r>
      <w:r>
        <w:rPr>
          <w:sz w:val="22"/>
          <w:szCs w:val="22"/>
        </w:rPr>
        <w:t xml:space="preserve"> by licensees and other entities</w:t>
      </w:r>
      <w:r w:rsidRPr="009D7F98">
        <w:rPr>
          <w:sz w:val="22"/>
          <w:szCs w:val="22"/>
        </w:rPr>
        <w:t>.  A more robust drug testing program also may deter additional individuals using drugs from seeking employment for positions subject to 10 CFR Part 26 and incentivize those in regulated positions to cease drug use or seek medical assistance to address an addiction or misuse issue</w:t>
      </w:r>
      <w:r w:rsidR="00646A79">
        <w:rPr>
          <w:sz w:val="22"/>
          <w:szCs w:val="22"/>
        </w:rPr>
        <w:t>,</w:t>
      </w:r>
      <w:r>
        <w:rPr>
          <w:sz w:val="22"/>
          <w:szCs w:val="22"/>
        </w:rPr>
        <w:t xml:space="preserve"> or both</w:t>
      </w:r>
      <w:r w:rsidRPr="009D7F98">
        <w:rPr>
          <w:sz w:val="22"/>
          <w:szCs w:val="22"/>
        </w:rPr>
        <w:t xml:space="preserve">.  While </w:t>
      </w:r>
      <w:r>
        <w:rPr>
          <w:sz w:val="22"/>
          <w:szCs w:val="22"/>
        </w:rPr>
        <w:t xml:space="preserve">this analysis quantifies </w:t>
      </w:r>
      <w:r w:rsidRPr="009D7F98">
        <w:rPr>
          <w:sz w:val="22"/>
          <w:szCs w:val="22"/>
        </w:rPr>
        <w:t>the benefit of identifying additional individuals using drugs</w:t>
      </w:r>
      <w:r w:rsidR="00646A79">
        <w:rPr>
          <w:sz w:val="22"/>
          <w:szCs w:val="22"/>
        </w:rPr>
        <w:t>,</w:t>
      </w:r>
      <w:r w:rsidRPr="009D7F98">
        <w:rPr>
          <w:sz w:val="22"/>
          <w:szCs w:val="22"/>
        </w:rPr>
        <w:t xml:space="preserve"> </w:t>
      </w:r>
      <w:r>
        <w:rPr>
          <w:sz w:val="22"/>
          <w:szCs w:val="22"/>
        </w:rPr>
        <w:t xml:space="preserve">it cannot monetize </w:t>
      </w:r>
      <w:r w:rsidRPr="009D7F98">
        <w:rPr>
          <w:sz w:val="22"/>
          <w:szCs w:val="22"/>
        </w:rPr>
        <w:t>the safety and security benefits of identifying these additional individuals</w:t>
      </w:r>
      <w:r w:rsidR="00646A79">
        <w:rPr>
          <w:sz w:val="22"/>
          <w:szCs w:val="22"/>
        </w:rPr>
        <w:t>,</w:t>
      </w:r>
      <w:r w:rsidRPr="009D7F98">
        <w:rPr>
          <w:sz w:val="22"/>
          <w:szCs w:val="22"/>
        </w:rPr>
        <w:t xml:space="preserve"> beyond training costs</w:t>
      </w:r>
      <w:r w:rsidR="00BE4D14">
        <w:rPr>
          <w:sz w:val="22"/>
          <w:szCs w:val="22"/>
        </w:rPr>
        <w:t xml:space="preserve"> that </w:t>
      </w:r>
      <w:r w:rsidR="002E49F4">
        <w:rPr>
          <w:sz w:val="22"/>
          <w:szCs w:val="22"/>
        </w:rPr>
        <w:t>are</w:t>
      </w:r>
      <w:r w:rsidR="00BE4D14">
        <w:rPr>
          <w:sz w:val="22"/>
          <w:szCs w:val="22"/>
        </w:rPr>
        <w:t xml:space="preserve"> averted because the individuals </w:t>
      </w:r>
      <w:r w:rsidR="002E49F4">
        <w:rPr>
          <w:sz w:val="22"/>
          <w:szCs w:val="22"/>
        </w:rPr>
        <w:t>are</w:t>
      </w:r>
      <w:r w:rsidR="00BE4D14">
        <w:rPr>
          <w:sz w:val="22"/>
          <w:szCs w:val="22"/>
        </w:rPr>
        <w:t xml:space="preserve"> not given access</w:t>
      </w:r>
      <w:r w:rsidRPr="009D7F98">
        <w:rPr>
          <w:sz w:val="22"/>
          <w:szCs w:val="22"/>
        </w:rPr>
        <w:t xml:space="preserve">.  </w:t>
      </w:r>
      <w:r w:rsidR="007F3EAC">
        <w:rPr>
          <w:sz w:val="22"/>
          <w:szCs w:val="22"/>
        </w:rPr>
        <w:t xml:space="preserve">The </w:t>
      </w:r>
      <w:r w:rsidR="00DC3F49">
        <w:rPr>
          <w:sz w:val="22"/>
          <w:szCs w:val="22"/>
        </w:rPr>
        <w:t>NRC</w:t>
      </w:r>
      <w:r w:rsidR="007F3EAC">
        <w:rPr>
          <w:sz w:val="22"/>
          <w:szCs w:val="22"/>
        </w:rPr>
        <w:t xml:space="preserve"> staff recognizes that </w:t>
      </w:r>
      <w:r w:rsidR="002B4778">
        <w:rPr>
          <w:sz w:val="22"/>
          <w:szCs w:val="22"/>
        </w:rPr>
        <w:t xml:space="preserve">a licensee or other entity </w:t>
      </w:r>
      <w:r w:rsidR="003F281C">
        <w:rPr>
          <w:sz w:val="22"/>
          <w:szCs w:val="22"/>
        </w:rPr>
        <w:t xml:space="preserve">will </w:t>
      </w:r>
      <w:r w:rsidR="002E212D">
        <w:rPr>
          <w:sz w:val="22"/>
          <w:szCs w:val="22"/>
        </w:rPr>
        <w:t>incur</w:t>
      </w:r>
      <w:r w:rsidR="007F3EAC">
        <w:rPr>
          <w:sz w:val="22"/>
          <w:szCs w:val="22"/>
        </w:rPr>
        <w:t xml:space="preserve"> additional costs </w:t>
      </w:r>
      <w:r w:rsidR="002E212D">
        <w:rPr>
          <w:sz w:val="22"/>
          <w:szCs w:val="22"/>
        </w:rPr>
        <w:t>to replace</w:t>
      </w:r>
      <w:r w:rsidR="00E81958">
        <w:rPr>
          <w:sz w:val="22"/>
          <w:szCs w:val="22"/>
        </w:rPr>
        <w:t xml:space="preserve"> an employee </w:t>
      </w:r>
      <w:r w:rsidR="003F281C">
        <w:rPr>
          <w:sz w:val="22"/>
          <w:szCs w:val="22"/>
        </w:rPr>
        <w:t>who</w:t>
      </w:r>
      <w:r w:rsidR="00E81958">
        <w:rPr>
          <w:sz w:val="22"/>
          <w:szCs w:val="22"/>
        </w:rPr>
        <w:t xml:space="preserve"> is identified as using illegal drugs</w:t>
      </w:r>
      <w:r w:rsidR="00646A79">
        <w:rPr>
          <w:sz w:val="22"/>
          <w:szCs w:val="22"/>
        </w:rPr>
        <w:t>,</w:t>
      </w:r>
      <w:r w:rsidR="00E81958">
        <w:rPr>
          <w:sz w:val="22"/>
          <w:szCs w:val="22"/>
        </w:rPr>
        <w:t xml:space="preserve"> misusing legal drugs</w:t>
      </w:r>
      <w:r w:rsidR="00646A79">
        <w:rPr>
          <w:sz w:val="22"/>
          <w:szCs w:val="22"/>
        </w:rPr>
        <w:t>,</w:t>
      </w:r>
      <w:r w:rsidR="00E81958">
        <w:rPr>
          <w:sz w:val="22"/>
          <w:szCs w:val="22"/>
        </w:rPr>
        <w:t xml:space="preserve"> or attempting to subvert the drug testing process</w:t>
      </w:r>
      <w:r w:rsidR="000416AF">
        <w:rPr>
          <w:sz w:val="22"/>
          <w:szCs w:val="22"/>
        </w:rPr>
        <w:t>.</w:t>
      </w:r>
      <w:r w:rsidR="00E81958">
        <w:rPr>
          <w:sz w:val="22"/>
          <w:szCs w:val="22"/>
        </w:rPr>
        <w:t xml:space="preserve"> </w:t>
      </w:r>
      <w:r w:rsidR="000416AF">
        <w:rPr>
          <w:sz w:val="22"/>
          <w:szCs w:val="22"/>
        </w:rPr>
        <w:t xml:space="preserve"> W</w:t>
      </w:r>
      <w:r w:rsidR="00E81958">
        <w:rPr>
          <w:sz w:val="22"/>
          <w:szCs w:val="22"/>
        </w:rPr>
        <w:t xml:space="preserve">hile </w:t>
      </w:r>
      <w:r w:rsidR="003F281C">
        <w:rPr>
          <w:sz w:val="22"/>
          <w:szCs w:val="22"/>
        </w:rPr>
        <w:t xml:space="preserve">this analysis does not quantify </w:t>
      </w:r>
      <w:r w:rsidR="00E81958">
        <w:rPr>
          <w:sz w:val="22"/>
          <w:szCs w:val="22"/>
        </w:rPr>
        <w:t xml:space="preserve">these </w:t>
      </w:r>
      <w:r w:rsidR="003F281C">
        <w:rPr>
          <w:sz w:val="22"/>
          <w:szCs w:val="22"/>
        </w:rPr>
        <w:t>costs</w:t>
      </w:r>
      <w:r w:rsidR="00646A79">
        <w:rPr>
          <w:sz w:val="22"/>
          <w:szCs w:val="22"/>
        </w:rPr>
        <w:t>,</w:t>
      </w:r>
      <w:r w:rsidR="00E81958">
        <w:rPr>
          <w:sz w:val="22"/>
          <w:szCs w:val="22"/>
        </w:rPr>
        <w:t xml:space="preserve"> they represent an additional benefit of identifying these individuals</w:t>
      </w:r>
      <w:r w:rsidR="00D23E0F">
        <w:rPr>
          <w:sz w:val="22"/>
          <w:szCs w:val="22"/>
        </w:rPr>
        <w:t xml:space="preserve"> </w:t>
      </w:r>
      <w:r w:rsidR="00E81958">
        <w:rPr>
          <w:sz w:val="22"/>
          <w:szCs w:val="22"/>
        </w:rPr>
        <w:t xml:space="preserve">before they gain access to the facility.  </w:t>
      </w:r>
      <w:r w:rsidR="00B1019B">
        <w:rPr>
          <w:sz w:val="22"/>
          <w:szCs w:val="22"/>
        </w:rPr>
        <w:t>R</w:t>
      </w:r>
      <w:r w:rsidRPr="009D7F98">
        <w:rPr>
          <w:sz w:val="22"/>
          <w:szCs w:val="22"/>
        </w:rPr>
        <w:t xml:space="preserve">egulatory efficiency </w:t>
      </w:r>
      <w:r w:rsidR="00196E3E">
        <w:rPr>
          <w:sz w:val="22"/>
          <w:szCs w:val="22"/>
        </w:rPr>
        <w:t>is</w:t>
      </w:r>
      <w:r w:rsidRPr="009D7F98">
        <w:rPr>
          <w:sz w:val="22"/>
          <w:szCs w:val="22"/>
        </w:rPr>
        <w:t xml:space="preserve"> </w:t>
      </w:r>
      <w:r w:rsidR="00B1019B">
        <w:rPr>
          <w:sz w:val="22"/>
          <w:szCs w:val="22"/>
        </w:rPr>
        <w:t xml:space="preserve">also </w:t>
      </w:r>
      <w:r w:rsidRPr="009D7F98">
        <w:rPr>
          <w:sz w:val="22"/>
          <w:szCs w:val="22"/>
        </w:rPr>
        <w:t>gained by clarifying ambiguous rule language and providing additional regulatory flexibility.</w:t>
      </w:r>
    </w:p>
    <w:p w:rsidRPr="005A5966" w:rsidR="00D520BD" w:rsidP="00D520BD" w:rsidRDefault="00D520BD" w14:paraId="53EAF04F" w14:textId="77777777">
      <w:pPr>
        <w:pStyle w:val="ListParagraph"/>
        <w:ind w:hanging="720"/>
        <w:rPr>
          <w:sz w:val="22"/>
          <w:szCs w:val="22"/>
        </w:rPr>
      </w:pPr>
    </w:p>
    <w:p w:rsidRPr="006704AE" w:rsidR="00D520BD" w:rsidP="005C6BA3" w:rsidRDefault="00D520BD" w14:paraId="7711D692" w14:textId="58508147">
      <w:pPr>
        <w:pStyle w:val="ListParagraph"/>
        <w:numPr>
          <w:ilvl w:val="0"/>
          <w:numId w:val="14"/>
        </w:numPr>
        <w:ind w:hanging="720"/>
        <w:rPr>
          <w:sz w:val="22"/>
          <w:szCs w:val="22"/>
        </w:rPr>
      </w:pPr>
      <w:r w:rsidRPr="00397807">
        <w:rPr>
          <w:sz w:val="22"/>
          <w:szCs w:val="22"/>
        </w:rPr>
        <w:t>Total Cost</w:t>
      </w:r>
      <w:r w:rsidR="00253D40">
        <w:rPr>
          <w:sz w:val="22"/>
          <w:szCs w:val="22"/>
        </w:rPr>
        <w:t>s and Savings</w:t>
      </w:r>
      <w:r w:rsidRPr="00397807">
        <w:rPr>
          <w:sz w:val="22"/>
          <w:szCs w:val="22"/>
        </w:rPr>
        <w:t xml:space="preserve"> to Industry.  The</w:t>
      </w:r>
      <w:r w:rsidR="003F06D4">
        <w:rPr>
          <w:sz w:val="22"/>
          <w:szCs w:val="22"/>
        </w:rPr>
        <w:t xml:space="preserve"> final</w:t>
      </w:r>
      <w:r w:rsidRPr="00397807">
        <w:rPr>
          <w:sz w:val="22"/>
          <w:szCs w:val="22"/>
        </w:rPr>
        <w:t xml:space="preserve"> rule is </w:t>
      </w:r>
      <w:r>
        <w:rPr>
          <w:sz w:val="22"/>
          <w:szCs w:val="22"/>
        </w:rPr>
        <w:t>estimated</w:t>
      </w:r>
      <w:r w:rsidRPr="00397807">
        <w:rPr>
          <w:sz w:val="22"/>
          <w:szCs w:val="22"/>
        </w:rPr>
        <w:t xml:space="preserve"> to result in a total one</w:t>
      </w:r>
      <w:r>
        <w:rPr>
          <w:sz w:val="22"/>
          <w:szCs w:val="22"/>
        </w:rPr>
        <w:noBreakHyphen/>
      </w:r>
      <w:r w:rsidRPr="00397807">
        <w:rPr>
          <w:sz w:val="22"/>
          <w:szCs w:val="22"/>
        </w:rPr>
        <w:t>time cost of</w:t>
      </w:r>
      <w:r>
        <w:rPr>
          <w:sz w:val="22"/>
          <w:szCs w:val="22"/>
        </w:rPr>
        <w:t xml:space="preserve"> approximately</w:t>
      </w:r>
      <w:r w:rsidRPr="00397807">
        <w:rPr>
          <w:sz w:val="22"/>
          <w:szCs w:val="22"/>
        </w:rPr>
        <w:t xml:space="preserve"> </w:t>
      </w:r>
      <w:r w:rsidRPr="003035AA">
        <w:rPr>
          <w:sz w:val="22"/>
          <w:szCs w:val="22"/>
        </w:rPr>
        <w:t>($</w:t>
      </w:r>
      <w:r w:rsidR="00E96850">
        <w:rPr>
          <w:sz w:val="22"/>
          <w:szCs w:val="22"/>
        </w:rPr>
        <w:t>136,</w:t>
      </w:r>
      <w:r w:rsidR="00685365">
        <w:rPr>
          <w:sz w:val="22"/>
          <w:szCs w:val="22"/>
        </w:rPr>
        <w:t>936</w:t>
      </w:r>
      <w:r w:rsidRPr="003035AA">
        <w:rPr>
          <w:sz w:val="22"/>
          <w:szCs w:val="22"/>
        </w:rPr>
        <w:t>)</w:t>
      </w:r>
      <w:r w:rsidRPr="003035AA" w:rsidR="00646A79">
        <w:rPr>
          <w:sz w:val="22"/>
          <w:szCs w:val="22"/>
        </w:rPr>
        <w:t>,</w:t>
      </w:r>
      <w:r w:rsidRPr="00397807">
        <w:rPr>
          <w:sz w:val="22"/>
          <w:szCs w:val="22"/>
        </w:rPr>
        <w:t xml:space="preserve"> followed by </w:t>
      </w:r>
      <w:r w:rsidR="00401EC9">
        <w:rPr>
          <w:sz w:val="22"/>
          <w:szCs w:val="22"/>
        </w:rPr>
        <w:t xml:space="preserve">a </w:t>
      </w:r>
      <w:r w:rsidRPr="00397807">
        <w:rPr>
          <w:sz w:val="22"/>
          <w:szCs w:val="22"/>
        </w:rPr>
        <w:t xml:space="preserve">total annual </w:t>
      </w:r>
      <w:r w:rsidR="00E16BB2">
        <w:rPr>
          <w:sz w:val="22"/>
          <w:szCs w:val="22"/>
        </w:rPr>
        <w:t>savings</w:t>
      </w:r>
      <w:r w:rsidRPr="00397807">
        <w:rPr>
          <w:sz w:val="22"/>
          <w:szCs w:val="22"/>
        </w:rPr>
        <w:t xml:space="preserve"> of </w:t>
      </w:r>
      <w:r>
        <w:rPr>
          <w:sz w:val="22"/>
          <w:szCs w:val="22"/>
        </w:rPr>
        <w:t xml:space="preserve">approximately </w:t>
      </w:r>
      <w:r w:rsidRPr="003035AA">
        <w:rPr>
          <w:sz w:val="22"/>
          <w:szCs w:val="22"/>
        </w:rPr>
        <w:t>$</w:t>
      </w:r>
      <w:r w:rsidR="00AD65F0">
        <w:rPr>
          <w:sz w:val="22"/>
          <w:szCs w:val="22"/>
        </w:rPr>
        <w:t>4</w:t>
      </w:r>
      <w:r w:rsidR="00E16BB2">
        <w:rPr>
          <w:sz w:val="22"/>
          <w:szCs w:val="22"/>
        </w:rPr>
        <w:t>7,</w:t>
      </w:r>
      <w:r w:rsidR="00AD65F0">
        <w:rPr>
          <w:sz w:val="22"/>
          <w:szCs w:val="22"/>
        </w:rPr>
        <w:t>650</w:t>
      </w:r>
      <w:r w:rsidRPr="003035AA">
        <w:rPr>
          <w:sz w:val="22"/>
          <w:szCs w:val="22"/>
        </w:rPr>
        <w:t>.</w:t>
      </w:r>
      <w:r w:rsidRPr="00397807">
        <w:rPr>
          <w:sz w:val="22"/>
          <w:szCs w:val="22"/>
        </w:rPr>
        <w:t xml:space="preserve">  The net present value of these </w:t>
      </w:r>
      <w:r w:rsidR="0022237F">
        <w:rPr>
          <w:sz w:val="22"/>
          <w:szCs w:val="22"/>
        </w:rPr>
        <w:t>savings</w:t>
      </w:r>
      <w:r w:rsidRPr="00397807">
        <w:rPr>
          <w:sz w:val="22"/>
          <w:szCs w:val="22"/>
        </w:rPr>
        <w:t xml:space="preserve"> is </w:t>
      </w:r>
      <w:r w:rsidRPr="003035AA">
        <w:rPr>
          <w:sz w:val="22"/>
          <w:szCs w:val="22"/>
        </w:rPr>
        <w:t>approximately $</w:t>
      </w:r>
      <w:r w:rsidR="00CA3FAD">
        <w:rPr>
          <w:sz w:val="22"/>
          <w:szCs w:val="22"/>
        </w:rPr>
        <w:t>418,356</w:t>
      </w:r>
      <w:r w:rsidRPr="003035AA">
        <w:rPr>
          <w:sz w:val="22"/>
          <w:szCs w:val="22"/>
        </w:rPr>
        <w:t xml:space="preserve"> using</w:t>
      </w:r>
      <w:r w:rsidRPr="00397807">
        <w:rPr>
          <w:sz w:val="22"/>
          <w:szCs w:val="22"/>
        </w:rPr>
        <w:t xml:space="preserve"> a 7</w:t>
      </w:r>
      <w:r>
        <w:rPr>
          <w:sz w:val="22"/>
          <w:szCs w:val="22"/>
        </w:rPr>
        <w:noBreakHyphen/>
      </w:r>
      <w:r w:rsidRPr="00397807">
        <w:rPr>
          <w:sz w:val="22"/>
          <w:szCs w:val="22"/>
        </w:rPr>
        <w:t xml:space="preserve">percent discount rate and </w:t>
      </w:r>
      <w:r w:rsidRPr="003035AA">
        <w:rPr>
          <w:sz w:val="22"/>
          <w:szCs w:val="22"/>
        </w:rPr>
        <w:t>approximately $</w:t>
      </w:r>
      <w:r w:rsidR="00CA3FAD">
        <w:rPr>
          <w:sz w:val="22"/>
          <w:szCs w:val="22"/>
        </w:rPr>
        <w:t>692,799</w:t>
      </w:r>
      <w:r w:rsidR="00700950">
        <w:rPr>
          <w:sz w:val="22"/>
          <w:szCs w:val="22"/>
        </w:rPr>
        <w:t xml:space="preserve"> </w:t>
      </w:r>
      <w:r w:rsidRPr="003035AA">
        <w:rPr>
          <w:sz w:val="22"/>
          <w:szCs w:val="22"/>
        </w:rPr>
        <w:t>using</w:t>
      </w:r>
      <w:r w:rsidRPr="00397807">
        <w:rPr>
          <w:sz w:val="22"/>
          <w:szCs w:val="22"/>
        </w:rPr>
        <w:t xml:space="preserve"> a 3</w:t>
      </w:r>
      <w:r>
        <w:rPr>
          <w:sz w:val="22"/>
          <w:szCs w:val="22"/>
        </w:rPr>
        <w:noBreakHyphen/>
      </w:r>
      <w:r w:rsidRPr="00397807">
        <w:rPr>
          <w:sz w:val="22"/>
          <w:szCs w:val="22"/>
        </w:rPr>
        <w:t xml:space="preserve">percent </w:t>
      </w:r>
      <w:r w:rsidRPr="00397807">
        <w:rPr>
          <w:sz w:val="22"/>
          <w:szCs w:val="22"/>
        </w:rPr>
        <w:lastRenderedPageBreak/>
        <w:t xml:space="preserve">discount rate over the average remaining reactor license period of </w:t>
      </w:r>
      <w:r w:rsidRPr="00912EB6">
        <w:rPr>
          <w:sz w:val="22"/>
          <w:szCs w:val="22"/>
        </w:rPr>
        <w:t>2</w:t>
      </w:r>
      <w:r w:rsidR="00284717">
        <w:rPr>
          <w:sz w:val="22"/>
          <w:szCs w:val="22"/>
        </w:rPr>
        <w:t>4</w:t>
      </w:r>
      <w:r w:rsidRPr="00912EB6">
        <w:rPr>
          <w:sz w:val="22"/>
          <w:szCs w:val="22"/>
        </w:rPr>
        <w:t> years</w:t>
      </w:r>
      <w:r w:rsidRPr="00397807" w:rsidR="003035AA">
        <w:rPr>
          <w:sz w:val="22"/>
          <w:szCs w:val="22"/>
        </w:rPr>
        <w:t xml:space="preserve">.  </w:t>
      </w:r>
      <w:r>
        <w:rPr>
          <w:sz w:val="22"/>
          <w:szCs w:val="22"/>
        </w:rPr>
        <w:t xml:space="preserve">These </w:t>
      </w:r>
      <w:r w:rsidR="003C6320">
        <w:rPr>
          <w:sz w:val="22"/>
          <w:szCs w:val="22"/>
        </w:rPr>
        <w:t>savings</w:t>
      </w:r>
      <w:r>
        <w:rPr>
          <w:sz w:val="22"/>
          <w:szCs w:val="22"/>
        </w:rPr>
        <w:t xml:space="preserve"> include </w:t>
      </w:r>
      <w:r w:rsidRPr="00397807">
        <w:rPr>
          <w:sz w:val="22"/>
          <w:szCs w:val="22"/>
        </w:rPr>
        <w:t>averted industry training costs as a result of pre</w:t>
      </w:r>
      <w:r>
        <w:rPr>
          <w:sz w:val="22"/>
          <w:szCs w:val="22"/>
        </w:rPr>
        <w:t>-</w:t>
      </w:r>
      <w:r w:rsidRPr="00397807">
        <w:rPr>
          <w:sz w:val="22"/>
          <w:szCs w:val="22"/>
        </w:rPr>
        <w:t>access testing of</w:t>
      </w:r>
      <w:r>
        <w:rPr>
          <w:sz w:val="22"/>
          <w:szCs w:val="22"/>
        </w:rPr>
        <w:t xml:space="preserve"> </w:t>
      </w:r>
      <w:r w:rsidRPr="003035AA">
        <w:rPr>
          <w:sz w:val="22"/>
          <w:szCs w:val="22"/>
        </w:rPr>
        <w:t>approximately $</w:t>
      </w:r>
      <w:r w:rsidR="00E40AA8">
        <w:rPr>
          <w:sz w:val="22"/>
          <w:szCs w:val="22"/>
        </w:rPr>
        <w:t>370,539</w:t>
      </w:r>
      <w:r w:rsidRPr="003035AA">
        <w:rPr>
          <w:sz w:val="22"/>
          <w:szCs w:val="22"/>
        </w:rPr>
        <w:t xml:space="preserve"> annually</w:t>
      </w:r>
      <w:r w:rsidR="00646A79">
        <w:rPr>
          <w:sz w:val="22"/>
          <w:szCs w:val="22"/>
        </w:rPr>
        <w:t>,</w:t>
      </w:r>
      <w:r>
        <w:rPr>
          <w:sz w:val="22"/>
          <w:szCs w:val="22"/>
        </w:rPr>
        <w:t xml:space="preserve"> which </w:t>
      </w:r>
      <w:r w:rsidR="00E72ABB">
        <w:rPr>
          <w:sz w:val="22"/>
          <w:szCs w:val="22"/>
        </w:rPr>
        <w:t>provides a benefit of</w:t>
      </w:r>
      <w:r>
        <w:rPr>
          <w:sz w:val="22"/>
          <w:szCs w:val="22"/>
        </w:rPr>
        <w:t xml:space="preserve"> between </w:t>
      </w:r>
      <w:r w:rsidR="00E72ABB">
        <w:rPr>
          <w:sz w:val="22"/>
          <w:szCs w:val="22"/>
        </w:rPr>
        <w:t>$</w:t>
      </w:r>
      <w:r w:rsidR="00E40AA8">
        <w:rPr>
          <w:sz w:val="22"/>
          <w:szCs w:val="22"/>
        </w:rPr>
        <w:t>4.32</w:t>
      </w:r>
      <w:r w:rsidR="00E5587C">
        <w:rPr>
          <w:sz w:val="22"/>
          <w:szCs w:val="22"/>
        </w:rPr>
        <w:t xml:space="preserve"> million</w:t>
      </w:r>
      <w:r w:rsidRPr="006D2AA9">
        <w:rPr>
          <w:sz w:val="22"/>
          <w:szCs w:val="22"/>
        </w:rPr>
        <w:t xml:space="preserve"> using a 7</w:t>
      </w:r>
      <w:r>
        <w:rPr>
          <w:sz w:val="22"/>
          <w:szCs w:val="22"/>
        </w:rPr>
        <w:t>-</w:t>
      </w:r>
      <w:r w:rsidRPr="006D2AA9">
        <w:rPr>
          <w:sz w:val="22"/>
          <w:szCs w:val="22"/>
        </w:rPr>
        <w:t xml:space="preserve">percent discount rate and </w:t>
      </w:r>
      <w:r w:rsidR="00E5587C">
        <w:rPr>
          <w:sz w:val="22"/>
          <w:szCs w:val="22"/>
        </w:rPr>
        <w:t>$</w:t>
      </w:r>
      <w:r w:rsidR="000A200D">
        <w:rPr>
          <w:sz w:val="22"/>
          <w:szCs w:val="22"/>
        </w:rPr>
        <w:t>6.45</w:t>
      </w:r>
      <w:r w:rsidR="00C64233">
        <w:rPr>
          <w:sz w:val="22"/>
          <w:szCs w:val="22"/>
        </w:rPr>
        <w:t xml:space="preserve"> million</w:t>
      </w:r>
      <w:r>
        <w:rPr>
          <w:sz w:val="22"/>
          <w:szCs w:val="22"/>
        </w:rPr>
        <w:t xml:space="preserve"> using a 3</w:t>
      </w:r>
      <w:r>
        <w:rPr>
          <w:rFonts w:cs="Arial"/>
          <w:sz w:val="22"/>
          <w:szCs w:val="22"/>
        </w:rPr>
        <w:noBreakHyphen/>
      </w:r>
      <w:r w:rsidRPr="006D2AA9">
        <w:rPr>
          <w:sz w:val="22"/>
          <w:szCs w:val="22"/>
        </w:rPr>
        <w:t>percent discount rate.</w:t>
      </w:r>
    </w:p>
    <w:p w:rsidRPr="00EA7991" w:rsidR="00D520BD" w:rsidP="003035AA" w:rsidRDefault="00D520BD" w14:paraId="02619C79" w14:textId="77777777">
      <w:pPr>
        <w:pStyle w:val="ListParagraph"/>
        <w:ind w:hanging="720"/>
        <w:rPr>
          <w:sz w:val="22"/>
          <w:szCs w:val="22"/>
        </w:rPr>
      </w:pPr>
    </w:p>
    <w:p w:rsidRPr="006D2AA9" w:rsidR="00D520BD" w:rsidP="005C6BA3" w:rsidRDefault="00D520BD" w14:paraId="75BC8421" w14:textId="23255843">
      <w:pPr>
        <w:pStyle w:val="ListParagraph"/>
        <w:numPr>
          <w:ilvl w:val="0"/>
          <w:numId w:val="14"/>
        </w:numPr>
        <w:ind w:hanging="720"/>
        <w:rPr>
          <w:sz w:val="22"/>
          <w:szCs w:val="22"/>
        </w:rPr>
      </w:pPr>
      <w:r w:rsidRPr="006D2AA9">
        <w:rPr>
          <w:sz w:val="22"/>
          <w:szCs w:val="22"/>
        </w:rPr>
        <w:t>Average Cost</w:t>
      </w:r>
      <w:r w:rsidR="00787A75">
        <w:rPr>
          <w:sz w:val="22"/>
          <w:szCs w:val="22"/>
        </w:rPr>
        <w:t>s and Savings</w:t>
      </w:r>
      <w:r w:rsidRPr="006D2AA9">
        <w:rPr>
          <w:sz w:val="22"/>
          <w:szCs w:val="22"/>
        </w:rPr>
        <w:t xml:space="preserve"> per Site.  The </w:t>
      </w:r>
      <w:r>
        <w:rPr>
          <w:sz w:val="22"/>
          <w:szCs w:val="22"/>
        </w:rPr>
        <w:t>industry would incur a one</w:t>
      </w:r>
      <w:r>
        <w:rPr>
          <w:sz w:val="22"/>
          <w:szCs w:val="22"/>
        </w:rPr>
        <w:noBreakHyphen/>
        <w:t xml:space="preserve">time </w:t>
      </w:r>
      <w:r w:rsidRPr="006D2AA9">
        <w:rPr>
          <w:sz w:val="22"/>
          <w:szCs w:val="22"/>
        </w:rPr>
        <w:t xml:space="preserve">average </w:t>
      </w:r>
      <w:r>
        <w:rPr>
          <w:sz w:val="22"/>
          <w:szCs w:val="22"/>
        </w:rPr>
        <w:t xml:space="preserve">cost per </w:t>
      </w:r>
      <w:r w:rsidRPr="006D2AA9">
        <w:rPr>
          <w:sz w:val="22"/>
          <w:szCs w:val="22"/>
        </w:rPr>
        <w:t xml:space="preserve">site of </w:t>
      </w:r>
      <w:r w:rsidRPr="00A94B36">
        <w:rPr>
          <w:sz w:val="22"/>
          <w:szCs w:val="22"/>
        </w:rPr>
        <w:t>($</w:t>
      </w:r>
      <w:r w:rsidR="00C64233">
        <w:rPr>
          <w:sz w:val="22"/>
          <w:szCs w:val="22"/>
        </w:rPr>
        <w:t>2,321</w:t>
      </w:r>
      <w:r w:rsidRPr="00A94B36">
        <w:rPr>
          <w:sz w:val="22"/>
          <w:szCs w:val="22"/>
        </w:rPr>
        <w:t>)</w:t>
      </w:r>
      <w:r w:rsidRPr="00A94B36" w:rsidR="00646A79">
        <w:rPr>
          <w:sz w:val="22"/>
          <w:szCs w:val="22"/>
        </w:rPr>
        <w:t>,</w:t>
      </w:r>
      <w:r w:rsidRPr="00A94B36">
        <w:rPr>
          <w:sz w:val="22"/>
          <w:szCs w:val="22"/>
        </w:rPr>
        <w:t xml:space="preserve"> followed</w:t>
      </w:r>
      <w:r w:rsidRPr="006D2AA9">
        <w:rPr>
          <w:sz w:val="22"/>
          <w:szCs w:val="22"/>
        </w:rPr>
        <w:t xml:space="preserve"> </w:t>
      </w:r>
      <w:r>
        <w:rPr>
          <w:sz w:val="22"/>
          <w:szCs w:val="22"/>
        </w:rPr>
        <w:t xml:space="preserve">by an average </w:t>
      </w:r>
      <w:r w:rsidRPr="006D2AA9">
        <w:rPr>
          <w:sz w:val="22"/>
          <w:szCs w:val="22"/>
        </w:rPr>
        <w:t xml:space="preserve">annual </w:t>
      </w:r>
      <w:r w:rsidR="00C64233">
        <w:rPr>
          <w:sz w:val="22"/>
          <w:szCs w:val="22"/>
        </w:rPr>
        <w:t>s</w:t>
      </w:r>
      <w:r w:rsidR="00480678">
        <w:rPr>
          <w:sz w:val="22"/>
          <w:szCs w:val="22"/>
        </w:rPr>
        <w:t>avings</w:t>
      </w:r>
      <w:r w:rsidRPr="006D2AA9">
        <w:rPr>
          <w:sz w:val="22"/>
          <w:szCs w:val="22"/>
        </w:rPr>
        <w:t xml:space="preserve"> </w:t>
      </w:r>
      <w:r w:rsidRPr="00A94B36">
        <w:rPr>
          <w:sz w:val="22"/>
          <w:szCs w:val="22"/>
        </w:rPr>
        <w:t>of</w:t>
      </w:r>
      <w:r w:rsidR="00480678">
        <w:rPr>
          <w:sz w:val="22"/>
          <w:szCs w:val="22"/>
        </w:rPr>
        <w:t xml:space="preserve"> $</w:t>
      </w:r>
      <w:r w:rsidR="000A200D">
        <w:rPr>
          <w:sz w:val="22"/>
          <w:szCs w:val="22"/>
        </w:rPr>
        <w:t>808</w:t>
      </w:r>
      <w:r w:rsidRPr="00A94B36">
        <w:rPr>
          <w:sz w:val="22"/>
          <w:szCs w:val="22"/>
        </w:rPr>
        <w:t>.</w:t>
      </w:r>
    </w:p>
    <w:p w:rsidRPr="005A5966" w:rsidR="00D520BD" w:rsidP="00D520BD" w:rsidRDefault="00D520BD" w14:paraId="5C25CC57" w14:textId="0A4E9D35">
      <w:pPr>
        <w:pStyle w:val="Level1"/>
        <w:tabs>
          <w:tab w:val="left" w:pos="720"/>
        </w:tabs>
        <w:ind w:hanging="720"/>
        <w:rPr>
          <w:sz w:val="22"/>
          <w:szCs w:val="22"/>
        </w:rPr>
      </w:pPr>
    </w:p>
    <w:p w:rsidRPr="00F86D06" w:rsidR="209F82CC" w:rsidP="5AFFCBAB" w:rsidRDefault="209F82CC" w14:paraId="7D1A9A2D" w14:textId="15640733">
      <w:pPr>
        <w:pStyle w:val="ListParagraph"/>
        <w:numPr>
          <w:ilvl w:val="0"/>
          <w:numId w:val="14"/>
        </w:numPr>
        <w:ind w:hanging="720"/>
        <w:rPr>
          <w:rFonts w:eastAsia="Arial" w:cs="Arial"/>
          <w:sz w:val="22"/>
          <w:szCs w:val="22"/>
        </w:rPr>
      </w:pPr>
      <w:r w:rsidRPr="00F86D06">
        <w:rPr>
          <w:sz w:val="22"/>
          <w:szCs w:val="22"/>
        </w:rPr>
        <w:t xml:space="preserve">Oral Fluid Testing Alternative.  </w:t>
      </w:r>
      <w:r w:rsidR="00A13AE5">
        <w:rPr>
          <w:sz w:val="22"/>
          <w:szCs w:val="22"/>
        </w:rPr>
        <w:t>For observed collection conditions, t</w:t>
      </w:r>
      <w:r w:rsidRPr="00F86D06">
        <w:rPr>
          <w:sz w:val="22"/>
          <w:szCs w:val="22"/>
        </w:rPr>
        <w:t xml:space="preserve">he </w:t>
      </w:r>
      <w:r w:rsidR="00431439">
        <w:rPr>
          <w:sz w:val="22"/>
          <w:szCs w:val="22"/>
        </w:rPr>
        <w:t xml:space="preserve">final </w:t>
      </w:r>
      <w:r w:rsidRPr="00F86D06">
        <w:rPr>
          <w:sz w:val="22"/>
          <w:szCs w:val="22"/>
        </w:rPr>
        <w:t xml:space="preserve">rule </w:t>
      </w:r>
      <w:r w:rsidR="006D5D2B">
        <w:rPr>
          <w:sz w:val="22"/>
          <w:szCs w:val="22"/>
        </w:rPr>
        <w:t xml:space="preserve">provides the option to </w:t>
      </w:r>
      <w:r w:rsidRPr="00F86D06">
        <w:rPr>
          <w:sz w:val="22"/>
          <w:szCs w:val="22"/>
        </w:rPr>
        <w:t xml:space="preserve">collect and </w:t>
      </w:r>
      <w:r w:rsidR="004A3A12">
        <w:rPr>
          <w:sz w:val="22"/>
          <w:szCs w:val="22"/>
        </w:rPr>
        <w:t>drug</w:t>
      </w:r>
      <w:r w:rsidRPr="00F86D06">
        <w:rPr>
          <w:sz w:val="22"/>
          <w:szCs w:val="22"/>
        </w:rPr>
        <w:t xml:space="preserve"> test an oral fluid</w:t>
      </w:r>
      <w:r w:rsidR="0077350E">
        <w:rPr>
          <w:sz w:val="22"/>
          <w:szCs w:val="22"/>
        </w:rPr>
        <w:t xml:space="preserve"> specimen</w:t>
      </w:r>
      <w:r w:rsidRPr="00F86D06">
        <w:rPr>
          <w:sz w:val="22"/>
          <w:szCs w:val="22"/>
        </w:rPr>
        <w:t xml:space="preserve"> </w:t>
      </w:r>
      <w:r w:rsidR="00A13AE5">
        <w:rPr>
          <w:sz w:val="22"/>
          <w:szCs w:val="22"/>
        </w:rPr>
        <w:t xml:space="preserve">instead of a </w:t>
      </w:r>
      <w:r w:rsidRPr="00F86D06">
        <w:rPr>
          <w:sz w:val="22"/>
          <w:szCs w:val="22"/>
        </w:rPr>
        <w:t>urine specimen.  For those licensees that choose to take advantage of this alternative, the NRC estimates an industry savings of approximately $</w:t>
      </w:r>
      <w:r w:rsidR="00952B35">
        <w:rPr>
          <w:sz w:val="22"/>
          <w:szCs w:val="22"/>
        </w:rPr>
        <w:t>6,665</w:t>
      </w:r>
      <w:r w:rsidRPr="00F86D06">
        <w:rPr>
          <w:sz w:val="22"/>
          <w:szCs w:val="22"/>
        </w:rPr>
        <w:t xml:space="preserve"> per year</w:t>
      </w:r>
      <w:r w:rsidR="005830DE">
        <w:rPr>
          <w:rFonts w:cs="Arial"/>
          <w:sz w:val="22"/>
          <w:szCs w:val="22"/>
        </w:rPr>
        <w:t>—</w:t>
      </w:r>
      <w:r w:rsidRPr="00F86D06">
        <w:rPr>
          <w:sz w:val="22"/>
          <w:szCs w:val="22"/>
        </w:rPr>
        <w:t>a savings of about $30 per test.  Th</w:t>
      </w:r>
      <w:r w:rsidR="00E263C3">
        <w:rPr>
          <w:sz w:val="22"/>
          <w:szCs w:val="22"/>
        </w:rPr>
        <w:t>is</w:t>
      </w:r>
      <w:r w:rsidRPr="00F86D06">
        <w:rPr>
          <w:sz w:val="22"/>
          <w:szCs w:val="22"/>
        </w:rPr>
        <w:t xml:space="preserve"> alternative also provides the non</w:t>
      </w:r>
      <w:r w:rsidR="00115CB3">
        <w:rPr>
          <w:sz w:val="22"/>
          <w:szCs w:val="22"/>
        </w:rPr>
        <w:t>-</w:t>
      </w:r>
      <w:r w:rsidRPr="00F86D06">
        <w:rPr>
          <w:sz w:val="22"/>
          <w:szCs w:val="22"/>
        </w:rPr>
        <w:t xml:space="preserve">quantified benefit of enhanced protection of </w:t>
      </w:r>
      <w:r w:rsidR="009B26C4">
        <w:rPr>
          <w:sz w:val="22"/>
          <w:szCs w:val="22"/>
        </w:rPr>
        <w:t xml:space="preserve">donor privacy </w:t>
      </w:r>
      <w:r w:rsidRPr="00F86D06">
        <w:rPr>
          <w:sz w:val="22"/>
          <w:szCs w:val="22"/>
        </w:rPr>
        <w:t>rights by avoiding the practice of urine specimen collection under direct observation.</w:t>
      </w:r>
    </w:p>
    <w:p w:rsidRPr="00F86D06" w:rsidR="5AFFCBAB" w:rsidP="5AFFCBAB" w:rsidRDefault="5AFFCBAB" w14:paraId="5EC7BD04" w14:textId="2710577B">
      <w:pPr>
        <w:rPr>
          <w:sz w:val="22"/>
          <w:szCs w:val="22"/>
        </w:rPr>
      </w:pPr>
    </w:p>
    <w:p w:rsidRPr="00F86D06" w:rsidR="209F82CC" w:rsidP="00F73247" w:rsidRDefault="209F82CC" w14:paraId="7BEF01A0" w14:textId="76BDA430">
      <w:pPr>
        <w:pStyle w:val="ListParagraph"/>
        <w:numPr>
          <w:ilvl w:val="0"/>
          <w:numId w:val="14"/>
        </w:numPr>
        <w:ind w:hanging="720"/>
        <w:rPr>
          <w:rFonts w:eastAsia="Arial" w:cs="Arial"/>
          <w:sz w:val="22"/>
          <w:szCs w:val="22"/>
        </w:rPr>
      </w:pPr>
      <w:r w:rsidRPr="00F86D06">
        <w:rPr>
          <w:sz w:val="22"/>
          <w:szCs w:val="22"/>
        </w:rPr>
        <w:t xml:space="preserve">Impacts to Future Power Reactor </w:t>
      </w:r>
      <w:r w:rsidR="0069645B">
        <w:rPr>
          <w:sz w:val="22"/>
          <w:szCs w:val="22"/>
        </w:rPr>
        <w:t>and</w:t>
      </w:r>
      <w:r w:rsidRPr="00F86D06">
        <w:rPr>
          <w:sz w:val="22"/>
          <w:szCs w:val="22"/>
        </w:rPr>
        <w:t xml:space="preserve"> Fuel Facility Licensees.  The </w:t>
      </w:r>
      <w:r w:rsidR="0010557F">
        <w:rPr>
          <w:sz w:val="22"/>
          <w:szCs w:val="22"/>
        </w:rPr>
        <w:t xml:space="preserve">final </w:t>
      </w:r>
      <w:r w:rsidRPr="00F86D06">
        <w:rPr>
          <w:sz w:val="22"/>
          <w:szCs w:val="22"/>
        </w:rPr>
        <w:t xml:space="preserve">rule </w:t>
      </w:r>
      <w:r w:rsidR="00AA7F87">
        <w:rPr>
          <w:sz w:val="22"/>
          <w:szCs w:val="22"/>
        </w:rPr>
        <w:t>will</w:t>
      </w:r>
      <w:r w:rsidRPr="00F86D06">
        <w:rPr>
          <w:sz w:val="22"/>
          <w:szCs w:val="22"/>
        </w:rPr>
        <w:t xml:space="preserve"> </w:t>
      </w:r>
      <w:r w:rsidR="00923108">
        <w:rPr>
          <w:sz w:val="22"/>
          <w:szCs w:val="22"/>
        </w:rPr>
        <w:t xml:space="preserve">result in </w:t>
      </w:r>
      <w:r w:rsidR="00AF4FF4">
        <w:rPr>
          <w:sz w:val="22"/>
          <w:szCs w:val="22"/>
        </w:rPr>
        <w:t>negligible implementation costs</w:t>
      </w:r>
      <w:r w:rsidR="00442C1F">
        <w:rPr>
          <w:sz w:val="22"/>
          <w:szCs w:val="22"/>
        </w:rPr>
        <w:t xml:space="preserve"> </w:t>
      </w:r>
      <w:r w:rsidR="004E55B5">
        <w:rPr>
          <w:sz w:val="22"/>
          <w:szCs w:val="22"/>
        </w:rPr>
        <w:t xml:space="preserve">to </w:t>
      </w:r>
      <w:r w:rsidR="00442645">
        <w:rPr>
          <w:sz w:val="22"/>
          <w:szCs w:val="22"/>
        </w:rPr>
        <w:t xml:space="preserve">future </w:t>
      </w:r>
      <w:r w:rsidR="00C71CAE">
        <w:rPr>
          <w:sz w:val="22"/>
          <w:szCs w:val="22"/>
        </w:rPr>
        <w:t xml:space="preserve">licensees </w:t>
      </w:r>
      <w:r w:rsidR="006D5D2B">
        <w:rPr>
          <w:sz w:val="22"/>
          <w:szCs w:val="22"/>
        </w:rPr>
        <w:t xml:space="preserve">because </w:t>
      </w:r>
      <w:r w:rsidR="002F6899">
        <w:rPr>
          <w:sz w:val="22"/>
          <w:szCs w:val="22"/>
        </w:rPr>
        <w:t xml:space="preserve">they will create </w:t>
      </w:r>
      <w:r w:rsidR="00C71CAE">
        <w:rPr>
          <w:sz w:val="22"/>
          <w:szCs w:val="22"/>
        </w:rPr>
        <w:t xml:space="preserve">FFD </w:t>
      </w:r>
      <w:r w:rsidR="00D56B0D">
        <w:rPr>
          <w:sz w:val="22"/>
          <w:szCs w:val="22"/>
        </w:rPr>
        <w:t xml:space="preserve">policies, procedures, and training programs </w:t>
      </w:r>
      <w:r w:rsidR="00F672A4">
        <w:rPr>
          <w:sz w:val="22"/>
          <w:szCs w:val="22"/>
        </w:rPr>
        <w:t xml:space="preserve">after </w:t>
      </w:r>
      <w:r w:rsidR="00D16B2F">
        <w:rPr>
          <w:sz w:val="22"/>
          <w:szCs w:val="22"/>
        </w:rPr>
        <w:t xml:space="preserve">the </w:t>
      </w:r>
      <w:r w:rsidR="0010557F">
        <w:rPr>
          <w:sz w:val="22"/>
          <w:szCs w:val="22"/>
        </w:rPr>
        <w:t xml:space="preserve">final </w:t>
      </w:r>
      <w:r w:rsidR="00D16B2F">
        <w:rPr>
          <w:sz w:val="22"/>
          <w:szCs w:val="22"/>
        </w:rPr>
        <w:t>rule</w:t>
      </w:r>
      <w:r w:rsidR="00562A68">
        <w:rPr>
          <w:sz w:val="22"/>
          <w:szCs w:val="22"/>
        </w:rPr>
        <w:t xml:space="preserve"> is </w:t>
      </w:r>
      <w:r w:rsidR="009E0B42">
        <w:rPr>
          <w:sz w:val="22"/>
          <w:szCs w:val="22"/>
        </w:rPr>
        <w:t xml:space="preserve">in </w:t>
      </w:r>
      <w:r w:rsidR="00D6452E">
        <w:rPr>
          <w:sz w:val="22"/>
          <w:szCs w:val="22"/>
        </w:rPr>
        <w:t>effect</w:t>
      </w:r>
      <w:r w:rsidR="00D16B2F">
        <w:rPr>
          <w:sz w:val="22"/>
          <w:szCs w:val="22"/>
        </w:rPr>
        <w:t xml:space="preserve">.  </w:t>
      </w:r>
      <w:r w:rsidR="00E24102">
        <w:rPr>
          <w:sz w:val="22"/>
          <w:szCs w:val="22"/>
        </w:rPr>
        <w:t>A</w:t>
      </w:r>
      <w:r w:rsidR="00D16B2F">
        <w:rPr>
          <w:sz w:val="22"/>
          <w:szCs w:val="22"/>
        </w:rPr>
        <w:t xml:space="preserve"> </w:t>
      </w:r>
      <w:r w:rsidRPr="00F86D06">
        <w:rPr>
          <w:sz w:val="22"/>
          <w:szCs w:val="22"/>
        </w:rPr>
        <w:t xml:space="preserve">new </w:t>
      </w:r>
      <w:r w:rsidR="0056779F">
        <w:rPr>
          <w:sz w:val="22"/>
          <w:szCs w:val="22"/>
        </w:rPr>
        <w:t>microreactor or</w:t>
      </w:r>
      <w:r w:rsidRPr="00F86D06">
        <w:rPr>
          <w:sz w:val="22"/>
          <w:szCs w:val="22"/>
        </w:rPr>
        <w:t xml:space="preserve"> </w:t>
      </w:r>
      <w:r w:rsidR="009B637F">
        <w:rPr>
          <w:sz w:val="22"/>
          <w:szCs w:val="22"/>
        </w:rPr>
        <w:t>small modular reactor (</w:t>
      </w:r>
      <w:r w:rsidR="00F51C8F">
        <w:rPr>
          <w:sz w:val="22"/>
          <w:szCs w:val="22"/>
        </w:rPr>
        <w:t>SMR</w:t>
      </w:r>
      <w:r w:rsidR="009B637F">
        <w:rPr>
          <w:sz w:val="22"/>
          <w:szCs w:val="22"/>
        </w:rPr>
        <w:t>)</w:t>
      </w:r>
      <w:r w:rsidR="00F51C8F">
        <w:rPr>
          <w:sz w:val="22"/>
          <w:szCs w:val="22"/>
        </w:rPr>
        <w:t xml:space="preserve"> </w:t>
      </w:r>
      <w:r w:rsidR="00C13C5C">
        <w:rPr>
          <w:sz w:val="22"/>
          <w:szCs w:val="22"/>
        </w:rPr>
        <w:t>licensee</w:t>
      </w:r>
      <w:r w:rsidRPr="00F86D06">
        <w:rPr>
          <w:sz w:val="22"/>
          <w:szCs w:val="22"/>
        </w:rPr>
        <w:t xml:space="preserve"> </w:t>
      </w:r>
      <w:r w:rsidR="00E24102">
        <w:rPr>
          <w:sz w:val="22"/>
          <w:szCs w:val="22"/>
        </w:rPr>
        <w:t xml:space="preserve">is </w:t>
      </w:r>
      <w:r w:rsidR="001C1242">
        <w:rPr>
          <w:sz w:val="22"/>
          <w:szCs w:val="22"/>
        </w:rPr>
        <w:t xml:space="preserve">expected to incur </w:t>
      </w:r>
      <w:r w:rsidR="00E24102">
        <w:rPr>
          <w:sz w:val="22"/>
          <w:szCs w:val="22"/>
        </w:rPr>
        <w:t xml:space="preserve">an </w:t>
      </w:r>
      <w:r w:rsidRPr="00F86D06">
        <w:rPr>
          <w:sz w:val="22"/>
          <w:szCs w:val="22"/>
        </w:rPr>
        <w:t xml:space="preserve">annual </w:t>
      </w:r>
      <w:r w:rsidR="00EA1443">
        <w:rPr>
          <w:sz w:val="22"/>
          <w:szCs w:val="22"/>
        </w:rPr>
        <w:t xml:space="preserve">incremental </w:t>
      </w:r>
      <w:r w:rsidRPr="00F86D06">
        <w:rPr>
          <w:sz w:val="22"/>
          <w:szCs w:val="22"/>
        </w:rPr>
        <w:t xml:space="preserve">operating </w:t>
      </w:r>
      <w:r w:rsidR="00E73A41">
        <w:rPr>
          <w:sz w:val="22"/>
          <w:szCs w:val="22"/>
        </w:rPr>
        <w:t>benefit</w:t>
      </w:r>
      <w:r w:rsidRPr="00F86D06">
        <w:rPr>
          <w:sz w:val="22"/>
          <w:szCs w:val="22"/>
        </w:rPr>
        <w:t xml:space="preserve"> </w:t>
      </w:r>
      <w:r w:rsidR="00B2271B">
        <w:rPr>
          <w:sz w:val="22"/>
          <w:szCs w:val="22"/>
        </w:rPr>
        <w:t xml:space="preserve">of </w:t>
      </w:r>
      <w:r w:rsidRPr="00E078F3" w:rsidR="00E73A41">
        <w:rPr>
          <w:rFonts w:cs="Arial"/>
          <w:sz w:val="22"/>
          <w:szCs w:val="22"/>
        </w:rPr>
        <w:t>between</w:t>
      </w:r>
      <w:r w:rsidRPr="00E078F3" w:rsidR="00387005">
        <w:rPr>
          <w:rFonts w:cs="Arial"/>
          <w:sz w:val="22"/>
          <w:szCs w:val="22"/>
        </w:rPr>
        <w:t xml:space="preserve"> </w:t>
      </w:r>
      <w:r w:rsidRPr="00E078F3" w:rsidR="00BC1F71">
        <w:rPr>
          <w:rFonts w:cs="Arial"/>
          <w:sz w:val="22"/>
          <w:szCs w:val="22"/>
        </w:rPr>
        <w:t>$</w:t>
      </w:r>
      <w:r w:rsidR="00327E44">
        <w:rPr>
          <w:rFonts w:cs="Arial"/>
          <w:sz w:val="22"/>
          <w:szCs w:val="22"/>
        </w:rPr>
        <w:t>13</w:t>
      </w:r>
      <w:r w:rsidRPr="00E078F3" w:rsidR="00BC1F71">
        <w:rPr>
          <w:rFonts w:cs="Arial"/>
          <w:sz w:val="22"/>
          <w:szCs w:val="22"/>
        </w:rPr>
        <w:t xml:space="preserve"> and </w:t>
      </w:r>
      <w:r w:rsidRPr="00E078F3" w:rsidR="00E078F3">
        <w:rPr>
          <w:rFonts w:cs="Arial"/>
          <w:sz w:val="22"/>
          <w:szCs w:val="22"/>
        </w:rPr>
        <w:t>$1</w:t>
      </w:r>
      <w:r w:rsidR="007C4544">
        <w:rPr>
          <w:rFonts w:cs="Arial"/>
          <w:sz w:val="22"/>
          <w:szCs w:val="22"/>
        </w:rPr>
        <w:t>63</w:t>
      </w:r>
      <w:r w:rsidR="00185C09">
        <w:rPr>
          <w:rFonts w:cs="Arial"/>
          <w:sz w:val="22"/>
          <w:szCs w:val="22"/>
        </w:rPr>
        <w:t xml:space="preserve"> due to </w:t>
      </w:r>
      <w:r w:rsidR="00762978">
        <w:rPr>
          <w:sz w:val="22"/>
          <w:szCs w:val="22"/>
        </w:rPr>
        <w:t xml:space="preserve">the </w:t>
      </w:r>
      <w:r w:rsidR="0025055F">
        <w:rPr>
          <w:sz w:val="22"/>
          <w:szCs w:val="22"/>
        </w:rPr>
        <w:t>smaller</w:t>
      </w:r>
      <w:r w:rsidRPr="00F86D06">
        <w:rPr>
          <w:sz w:val="22"/>
          <w:szCs w:val="22"/>
        </w:rPr>
        <w:t xml:space="preserve"> workforce </w:t>
      </w:r>
      <w:r w:rsidR="00762978">
        <w:rPr>
          <w:sz w:val="22"/>
          <w:szCs w:val="22"/>
        </w:rPr>
        <w:t xml:space="preserve">anticipated </w:t>
      </w:r>
      <w:r w:rsidRPr="00F86D06">
        <w:rPr>
          <w:sz w:val="22"/>
          <w:szCs w:val="22"/>
        </w:rPr>
        <w:t>during construction and operation.</w:t>
      </w:r>
      <w:r w:rsidR="00F94A6F">
        <w:rPr>
          <w:sz w:val="22"/>
          <w:szCs w:val="22"/>
        </w:rPr>
        <w:t xml:space="preserve">  </w:t>
      </w:r>
      <w:r w:rsidR="00E24102">
        <w:rPr>
          <w:sz w:val="22"/>
          <w:szCs w:val="22"/>
        </w:rPr>
        <w:t xml:space="preserve">A new </w:t>
      </w:r>
      <w:r w:rsidR="00F94A6F">
        <w:rPr>
          <w:sz w:val="22"/>
          <w:szCs w:val="22"/>
        </w:rPr>
        <w:t xml:space="preserve">large nuclear facility </w:t>
      </w:r>
      <w:r w:rsidR="00E24102">
        <w:rPr>
          <w:sz w:val="22"/>
          <w:szCs w:val="22"/>
        </w:rPr>
        <w:t xml:space="preserve">or </w:t>
      </w:r>
      <w:r w:rsidR="004F4B95">
        <w:rPr>
          <w:sz w:val="22"/>
          <w:szCs w:val="22"/>
        </w:rPr>
        <w:t xml:space="preserve">special nuclear material </w:t>
      </w:r>
      <w:r w:rsidR="00AC376C">
        <w:rPr>
          <w:sz w:val="22"/>
          <w:szCs w:val="22"/>
        </w:rPr>
        <w:t xml:space="preserve">licensee </w:t>
      </w:r>
      <w:r w:rsidR="00E24102">
        <w:rPr>
          <w:sz w:val="22"/>
          <w:szCs w:val="22"/>
        </w:rPr>
        <w:t xml:space="preserve">is </w:t>
      </w:r>
      <w:r w:rsidR="004E3FF4">
        <w:rPr>
          <w:sz w:val="22"/>
          <w:szCs w:val="22"/>
        </w:rPr>
        <w:t xml:space="preserve">expected to </w:t>
      </w:r>
      <w:r w:rsidR="008B7311">
        <w:rPr>
          <w:sz w:val="22"/>
          <w:szCs w:val="22"/>
        </w:rPr>
        <w:t xml:space="preserve">incur </w:t>
      </w:r>
      <w:r w:rsidR="00E24102">
        <w:rPr>
          <w:sz w:val="22"/>
          <w:szCs w:val="22"/>
        </w:rPr>
        <w:t xml:space="preserve">an </w:t>
      </w:r>
      <w:r w:rsidR="008B7311">
        <w:rPr>
          <w:sz w:val="22"/>
          <w:szCs w:val="22"/>
        </w:rPr>
        <w:t xml:space="preserve">annual incremental operating </w:t>
      </w:r>
      <w:r w:rsidRPr="007C4544" w:rsidR="00D36C50">
        <w:rPr>
          <w:sz w:val="22"/>
          <w:szCs w:val="22"/>
        </w:rPr>
        <w:t>benefit</w:t>
      </w:r>
      <w:r w:rsidR="00AE2EE2">
        <w:rPr>
          <w:sz w:val="22"/>
          <w:szCs w:val="22"/>
        </w:rPr>
        <w:t xml:space="preserve"> of $</w:t>
      </w:r>
      <w:r w:rsidR="007C4544">
        <w:rPr>
          <w:sz w:val="22"/>
          <w:szCs w:val="22"/>
        </w:rPr>
        <w:t>808</w:t>
      </w:r>
      <w:r w:rsidR="00DB7920">
        <w:rPr>
          <w:sz w:val="22"/>
          <w:szCs w:val="22"/>
        </w:rPr>
        <w:t>, which is</w:t>
      </w:r>
      <w:r w:rsidR="008B7311">
        <w:rPr>
          <w:sz w:val="22"/>
          <w:szCs w:val="22"/>
        </w:rPr>
        <w:t xml:space="preserve"> comparable to the </w:t>
      </w:r>
      <w:r w:rsidR="00B957AF">
        <w:rPr>
          <w:sz w:val="22"/>
          <w:szCs w:val="22"/>
        </w:rPr>
        <w:t xml:space="preserve">estimated </w:t>
      </w:r>
      <w:r w:rsidR="00DB7920">
        <w:rPr>
          <w:sz w:val="22"/>
          <w:szCs w:val="22"/>
        </w:rPr>
        <w:t xml:space="preserve">benefits for </w:t>
      </w:r>
      <w:r w:rsidR="00B957AF">
        <w:rPr>
          <w:sz w:val="22"/>
          <w:szCs w:val="22"/>
        </w:rPr>
        <w:t xml:space="preserve">licensees of </w:t>
      </w:r>
      <w:r w:rsidR="009F3D49">
        <w:rPr>
          <w:sz w:val="22"/>
          <w:szCs w:val="22"/>
        </w:rPr>
        <w:t xml:space="preserve">currently </w:t>
      </w:r>
      <w:r w:rsidR="008B7311">
        <w:rPr>
          <w:sz w:val="22"/>
          <w:szCs w:val="22"/>
        </w:rPr>
        <w:t xml:space="preserve">operating nuclear </w:t>
      </w:r>
      <w:r w:rsidR="00D9239B">
        <w:rPr>
          <w:sz w:val="22"/>
          <w:szCs w:val="22"/>
        </w:rPr>
        <w:t>power reactors</w:t>
      </w:r>
      <w:r w:rsidR="008B7311">
        <w:rPr>
          <w:sz w:val="22"/>
          <w:szCs w:val="22"/>
        </w:rPr>
        <w:t>.</w:t>
      </w:r>
    </w:p>
    <w:p w:rsidRPr="00F86D06" w:rsidR="5AFFCBAB" w:rsidP="5AFFCBAB" w:rsidRDefault="5AFFCBAB" w14:paraId="12D574EE" w14:textId="2356EBDE">
      <w:pPr>
        <w:rPr>
          <w:sz w:val="22"/>
          <w:szCs w:val="22"/>
        </w:rPr>
      </w:pPr>
    </w:p>
    <w:p w:rsidRPr="00A02BE9" w:rsidR="00D520BD" w:rsidP="005C6BA3" w:rsidRDefault="00D520BD" w14:paraId="000352EE" w14:textId="1F2806EA">
      <w:pPr>
        <w:pStyle w:val="ListParagraph"/>
        <w:numPr>
          <w:ilvl w:val="0"/>
          <w:numId w:val="14"/>
        </w:numPr>
        <w:ind w:hanging="720"/>
        <w:rPr>
          <w:sz w:val="22"/>
          <w:szCs w:val="22"/>
        </w:rPr>
      </w:pPr>
      <w:r w:rsidRPr="00284169">
        <w:rPr>
          <w:sz w:val="22"/>
          <w:szCs w:val="22"/>
        </w:rPr>
        <w:t xml:space="preserve">Uncertainty Analysis.  </w:t>
      </w:r>
      <w:r w:rsidRPr="00BB7711">
        <w:rPr>
          <w:sz w:val="22"/>
          <w:szCs w:val="22"/>
        </w:rPr>
        <w:t>The</w:t>
      </w:r>
      <w:r>
        <w:rPr>
          <w:sz w:val="22"/>
          <w:szCs w:val="22"/>
        </w:rPr>
        <w:t xml:space="preserve"> simulation analysis shows that the estimated mean </w:t>
      </w:r>
      <w:r w:rsidR="00A02050">
        <w:rPr>
          <w:sz w:val="22"/>
          <w:szCs w:val="22"/>
        </w:rPr>
        <w:t>benefit</w:t>
      </w:r>
      <w:r>
        <w:rPr>
          <w:sz w:val="22"/>
          <w:szCs w:val="22"/>
        </w:rPr>
        <w:t xml:space="preserve"> for this rule </w:t>
      </w:r>
      <w:r w:rsidRPr="00A94B36">
        <w:rPr>
          <w:sz w:val="22"/>
          <w:szCs w:val="22"/>
        </w:rPr>
        <w:t xml:space="preserve">is </w:t>
      </w:r>
      <w:r w:rsidR="00256D1E">
        <w:rPr>
          <w:sz w:val="22"/>
          <w:szCs w:val="22"/>
        </w:rPr>
        <w:t>$</w:t>
      </w:r>
      <w:r w:rsidR="0089545C">
        <w:rPr>
          <w:sz w:val="22"/>
          <w:szCs w:val="22"/>
        </w:rPr>
        <w:t>0.</w:t>
      </w:r>
      <w:r w:rsidR="003A043D">
        <w:rPr>
          <w:sz w:val="22"/>
          <w:szCs w:val="22"/>
        </w:rPr>
        <w:t>74</w:t>
      </w:r>
      <w:r w:rsidR="00256D1E">
        <w:rPr>
          <w:sz w:val="22"/>
          <w:szCs w:val="22"/>
        </w:rPr>
        <w:t> million</w:t>
      </w:r>
      <w:r w:rsidRPr="00A94B36" w:rsidR="00646A79">
        <w:rPr>
          <w:sz w:val="22"/>
          <w:szCs w:val="22"/>
        </w:rPr>
        <w:t>,</w:t>
      </w:r>
      <w:r w:rsidRPr="00A94B36">
        <w:rPr>
          <w:sz w:val="22"/>
          <w:szCs w:val="22"/>
        </w:rPr>
        <w:t xml:space="preserve"> with 90</w:t>
      </w:r>
      <w:r w:rsidRPr="00A94B36">
        <w:rPr>
          <w:sz w:val="22"/>
          <w:szCs w:val="22"/>
        </w:rPr>
        <w:noBreakHyphen/>
        <w:t xml:space="preserve">percent confidence that the total cost is between </w:t>
      </w:r>
      <w:r w:rsidR="003A043D">
        <w:rPr>
          <w:sz w:val="22"/>
          <w:szCs w:val="22"/>
        </w:rPr>
        <w:t>(</w:t>
      </w:r>
      <w:r w:rsidR="00256D1E">
        <w:rPr>
          <w:sz w:val="22"/>
          <w:szCs w:val="22"/>
        </w:rPr>
        <w:t>$</w:t>
      </w:r>
      <w:r w:rsidR="00B51AA0">
        <w:rPr>
          <w:sz w:val="22"/>
          <w:szCs w:val="22"/>
        </w:rPr>
        <w:t>1.14</w:t>
      </w:r>
      <w:r w:rsidRPr="00A94B36">
        <w:rPr>
          <w:sz w:val="22"/>
          <w:szCs w:val="22"/>
        </w:rPr>
        <w:t> million</w:t>
      </w:r>
      <w:r w:rsidR="00B51AA0">
        <w:rPr>
          <w:sz w:val="22"/>
          <w:szCs w:val="22"/>
        </w:rPr>
        <w:t>)</w:t>
      </w:r>
      <w:r w:rsidRPr="00A94B36">
        <w:rPr>
          <w:sz w:val="22"/>
          <w:szCs w:val="22"/>
        </w:rPr>
        <w:t xml:space="preserve"> and </w:t>
      </w:r>
      <w:r w:rsidR="00AD2912">
        <w:rPr>
          <w:sz w:val="22"/>
          <w:szCs w:val="22"/>
        </w:rPr>
        <w:t>$</w:t>
      </w:r>
      <w:r w:rsidR="00D655AC">
        <w:rPr>
          <w:sz w:val="22"/>
          <w:szCs w:val="22"/>
        </w:rPr>
        <w:t>3.</w:t>
      </w:r>
      <w:r w:rsidR="00B51AA0">
        <w:rPr>
          <w:sz w:val="22"/>
          <w:szCs w:val="22"/>
        </w:rPr>
        <w:t>10</w:t>
      </w:r>
      <w:r w:rsidRPr="00A94B36">
        <w:rPr>
          <w:sz w:val="22"/>
          <w:szCs w:val="22"/>
        </w:rPr>
        <w:t> million</w:t>
      </w:r>
      <w:r>
        <w:rPr>
          <w:sz w:val="22"/>
          <w:szCs w:val="22"/>
        </w:rPr>
        <w:t xml:space="preserve"> assuming a 7</w:t>
      </w:r>
      <w:r>
        <w:rPr>
          <w:sz w:val="22"/>
          <w:szCs w:val="22"/>
        </w:rPr>
        <w:noBreakHyphen/>
        <w:t xml:space="preserve">percent </w:t>
      </w:r>
      <w:r w:rsidRPr="00B67ADD">
        <w:rPr>
          <w:sz w:val="22"/>
          <w:szCs w:val="22"/>
        </w:rPr>
        <w:t xml:space="preserve">discount rate.  </w:t>
      </w:r>
      <w:r w:rsidRPr="00B67ADD">
        <w:rPr>
          <w:sz w:val="22"/>
        </w:rPr>
        <w:t xml:space="preserve">The </w:t>
      </w:r>
      <w:r w:rsidR="000206CE">
        <w:rPr>
          <w:sz w:val="22"/>
        </w:rPr>
        <w:t>variation</w:t>
      </w:r>
      <w:r w:rsidR="009322A3">
        <w:rPr>
          <w:sz w:val="22"/>
        </w:rPr>
        <w:t>s</w:t>
      </w:r>
      <w:r w:rsidR="000206CE">
        <w:rPr>
          <w:sz w:val="22"/>
        </w:rPr>
        <w:t xml:space="preserve"> in the NRC </w:t>
      </w:r>
      <w:r w:rsidR="004F7208">
        <w:rPr>
          <w:sz w:val="22"/>
        </w:rPr>
        <w:t xml:space="preserve">FFD </w:t>
      </w:r>
      <w:r w:rsidR="000206CE">
        <w:rPr>
          <w:sz w:val="22"/>
        </w:rPr>
        <w:t>amphetamine</w:t>
      </w:r>
      <w:r w:rsidR="00E75AC6">
        <w:rPr>
          <w:sz w:val="22"/>
        </w:rPr>
        <w:t>s</w:t>
      </w:r>
      <w:r w:rsidR="00C7560D">
        <w:rPr>
          <w:sz w:val="22"/>
        </w:rPr>
        <w:t xml:space="preserve"> positive test rate and the total number of </w:t>
      </w:r>
      <w:r w:rsidR="00DA2AAC">
        <w:rPr>
          <w:sz w:val="22"/>
        </w:rPr>
        <w:t xml:space="preserve">drug tests performed by </w:t>
      </w:r>
      <w:r w:rsidR="00C7560D">
        <w:rPr>
          <w:sz w:val="22"/>
        </w:rPr>
        <w:t>FFD</w:t>
      </w:r>
      <w:r w:rsidR="00D62468">
        <w:rPr>
          <w:sz w:val="22"/>
        </w:rPr>
        <w:t xml:space="preserve"> </w:t>
      </w:r>
      <w:r w:rsidR="00AB4519">
        <w:rPr>
          <w:sz w:val="22"/>
        </w:rPr>
        <w:t>program</w:t>
      </w:r>
      <w:r w:rsidR="00DA2AAC">
        <w:rPr>
          <w:sz w:val="22"/>
        </w:rPr>
        <w:t>s on an</w:t>
      </w:r>
      <w:r w:rsidR="00AB4519">
        <w:rPr>
          <w:sz w:val="22"/>
        </w:rPr>
        <w:t xml:space="preserve"> </w:t>
      </w:r>
      <w:r w:rsidR="00D62468">
        <w:rPr>
          <w:sz w:val="22"/>
        </w:rPr>
        <w:t xml:space="preserve">annual </w:t>
      </w:r>
      <w:r w:rsidR="008F07B7">
        <w:rPr>
          <w:sz w:val="22"/>
        </w:rPr>
        <w:t xml:space="preserve">basis </w:t>
      </w:r>
      <w:r w:rsidRPr="00B67ADD">
        <w:rPr>
          <w:sz w:val="22"/>
        </w:rPr>
        <w:t>drive the largest variation in costs.</w:t>
      </w:r>
    </w:p>
    <w:p w:rsidR="00D520BD" w:rsidP="5AFFCBAB" w:rsidRDefault="00D520BD" w14:paraId="1A9133DA" w14:textId="7EAE19A2">
      <w:pPr>
        <w:rPr>
          <w:sz w:val="22"/>
          <w:szCs w:val="22"/>
        </w:rPr>
      </w:pPr>
    </w:p>
    <w:p w:rsidR="00D520BD" w:rsidP="00D520BD" w:rsidRDefault="00D520BD" w14:paraId="4F7EFF4C" w14:textId="77777777">
      <w:pPr>
        <w:keepNext/>
        <w:keepLines/>
        <w:rPr>
          <w:sz w:val="22"/>
          <w:szCs w:val="22"/>
        </w:rPr>
      </w:pPr>
      <w:r w:rsidRPr="005678C0">
        <w:rPr>
          <w:sz w:val="22"/>
          <w:szCs w:val="22"/>
          <w:u w:val="single"/>
        </w:rPr>
        <w:t>Decision Rationale</w:t>
      </w:r>
    </w:p>
    <w:p w:rsidR="00D520BD" w:rsidP="00D520BD" w:rsidRDefault="00D520BD" w14:paraId="5614EAC0" w14:textId="77777777">
      <w:pPr>
        <w:keepNext/>
        <w:keepLines/>
        <w:rPr>
          <w:sz w:val="22"/>
          <w:szCs w:val="22"/>
        </w:rPr>
      </w:pPr>
    </w:p>
    <w:p w:rsidR="00D520BD" w:rsidP="00D520BD" w:rsidRDefault="00D520BD" w14:paraId="7B7EABB3" w14:textId="755524A5">
      <w:pPr>
        <w:rPr>
          <w:sz w:val="22"/>
          <w:szCs w:val="22"/>
        </w:rPr>
      </w:pPr>
      <w:r w:rsidRPr="00D20913">
        <w:rPr>
          <w:sz w:val="22"/>
          <w:szCs w:val="22"/>
        </w:rPr>
        <w:t xml:space="preserve">The </w:t>
      </w:r>
      <w:r w:rsidR="004D35E9">
        <w:rPr>
          <w:sz w:val="22"/>
          <w:szCs w:val="22"/>
        </w:rPr>
        <w:t xml:space="preserve">final </w:t>
      </w:r>
      <w:r w:rsidRPr="00D20913">
        <w:rPr>
          <w:sz w:val="22"/>
          <w:szCs w:val="22"/>
        </w:rPr>
        <w:t>rule maintain</w:t>
      </w:r>
      <w:r w:rsidR="004D35E9">
        <w:rPr>
          <w:sz w:val="22"/>
          <w:szCs w:val="22"/>
        </w:rPr>
        <w:t>s</w:t>
      </w:r>
      <w:r w:rsidRPr="00D20913">
        <w:rPr>
          <w:sz w:val="22"/>
          <w:szCs w:val="22"/>
        </w:rPr>
        <w:t xml:space="preserve"> the </w:t>
      </w:r>
      <w:r w:rsidR="003921E8">
        <w:rPr>
          <w:sz w:val="22"/>
          <w:szCs w:val="22"/>
        </w:rPr>
        <w:t xml:space="preserve">FFD program </w:t>
      </w:r>
      <w:r w:rsidRPr="00D20913">
        <w:rPr>
          <w:sz w:val="22"/>
          <w:szCs w:val="22"/>
        </w:rPr>
        <w:t xml:space="preserve">performance </w:t>
      </w:r>
      <w:r w:rsidRPr="00773060">
        <w:rPr>
          <w:sz w:val="22"/>
          <w:szCs w:val="22"/>
        </w:rPr>
        <w:t>objective</w:t>
      </w:r>
      <w:r w:rsidRPr="00773060" w:rsidR="009D5630">
        <w:rPr>
          <w:sz w:val="22"/>
          <w:szCs w:val="22"/>
        </w:rPr>
        <w:t>s</w:t>
      </w:r>
      <w:r w:rsidRPr="00D20913">
        <w:rPr>
          <w:sz w:val="22"/>
          <w:szCs w:val="22"/>
        </w:rPr>
        <w:t xml:space="preserve"> </w:t>
      </w:r>
      <w:r>
        <w:rPr>
          <w:sz w:val="22"/>
          <w:szCs w:val="22"/>
        </w:rPr>
        <w:t>in</w:t>
      </w:r>
      <w:r w:rsidRPr="00D20913">
        <w:rPr>
          <w:sz w:val="22"/>
          <w:szCs w:val="22"/>
        </w:rPr>
        <w:t xml:space="preserve"> 10 CFR 26.23(</w:t>
      </w:r>
      <w:r w:rsidR="006F79A1">
        <w:rPr>
          <w:sz w:val="22"/>
          <w:szCs w:val="22"/>
        </w:rPr>
        <w:t>c)</w:t>
      </w:r>
      <w:r w:rsidR="002B477B">
        <w:rPr>
          <w:sz w:val="22"/>
          <w:szCs w:val="22"/>
        </w:rPr>
        <w:t>,</w:t>
      </w:r>
      <w:r w:rsidR="006F79A1">
        <w:rPr>
          <w:sz w:val="22"/>
          <w:szCs w:val="22"/>
        </w:rPr>
        <w:t xml:space="preserve"> to “provide reasonable measures for the </w:t>
      </w:r>
      <w:r w:rsidR="002738C5">
        <w:rPr>
          <w:sz w:val="22"/>
          <w:szCs w:val="22"/>
        </w:rPr>
        <w:t>early</w:t>
      </w:r>
      <w:r w:rsidR="006F79A1">
        <w:rPr>
          <w:sz w:val="22"/>
          <w:szCs w:val="22"/>
        </w:rPr>
        <w:t xml:space="preserve"> detection of individuals who are not fit to perform the duties that require them to be subject </w:t>
      </w:r>
      <w:r w:rsidR="00E87DF3">
        <w:rPr>
          <w:sz w:val="22"/>
          <w:szCs w:val="22"/>
        </w:rPr>
        <w:t>to the FFD program</w:t>
      </w:r>
      <w:r w:rsidR="002B477B">
        <w:rPr>
          <w:sz w:val="22"/>
          <w:szCs w:val="22"/>
        </w:rPr>
        <w:t>,</w:t>
      </w:r>
      <w:r w:rsidR="00E87DF3">
        <w:rPr>
          <w:sz w:val="22"/>
          <w:szCs w:val="22"/>
        </w:rPr>
        <w:t xml:space="preserve">” and </w:t>
      </w:r>
      <w:r w:rsidR="002A6ED7">
        <w:rPr>
          <w:sz w:val="22"/>
          <w:szCs w:val="22"/>
        </w:rPr>
        <w:t xml:space="preserve">in </w:t>
      </w:r>
      <w:r w:rsidR="0073083C">
        <w:rPr>
          <w:sz w:val="22"/>
          <w:szCs w:val="22"/>
        </w:rPr>
        <w:t>1</w:t>
      </w:r>
      <w:r w:rsidR="00E87DF3">
        <w:rPr>
          <w:sz w:val="22"/>
          <w:szCs w:val="22"/>
        </w:rPr>
        <w:t>0</w:t>
      </w:r>
      <w:r w:rsidR="000E3465">
        <w:rPr>
          <w:sz w:val="22"/>
          <w:szCs w:val="22"/>
        </w:rPr>
        <w:t> </w:t>
      </w:r>
      <w:r w:rsidR="00E87DF3">
        <w:rPr>
          <w:sz w:val="22"/>
          <w:szCs w:val="22"/>
        </w:rPr>
        <w:t>CFR 26.23</w:t>
      </w:r>
      <w:r w:rsidRPr="00D20913">
        <w:rPr>
          <w:sz w:val="22"/>
          <w:szCs w:val="22"/>
        </w:rPr>
        <w:t>(d)</w:t>
      </w:r>
      <w:r w:rsidR="002B477B">
        <w:rPr>
          <w:sz w:val="22"/>
          <w:szCs w:val="22"/>
        </w:rPr>
        <w:t>,</w:t>
      </w:r>
      <w:r w:rsidRPr="00D20913">
        <w:rPr>
          <w:sz w:val="22"/>
          <w:szCs w:val="22"/>
        </w:rPr>
        <w:t xml:space="preserve"> to </w:t>
      </w:r>
      <w:r w:rsidR="00646A79">
        <w:rPr>
          <w:sz w:val="22"/>
          <w:szCs w:val="22"/>
        </w:rPr>
        <w:t>“</w:t>
      </w:r>
      <w:r w:rsidRPr="00D20913">
        <w:rPr>
          <w:sz w:val="22"/>
          <w:szCs w:val="22"/>
        </w:rPr>
        <w:t>provide reasonable assurance that the workplaces subject to this part are free from the presence and effects of illegal drugs</w:t>
      </w:r>
      <w:r w:rsidR="002738C5">
        <w:rPr>
          <w:sz w:val="22"/>
          <w:szCs w:val="22"/>
        </w:rPr>
        <w:t>.</w:t>
      </w:r>
      <w:r w:rsidR="00646A79">
        <w:rPr>
          <w:sz w:val="22"/>
          <w:szCs w:val="22"/>
        </w:rPr>
        <w:t>”</w:t>
      </w:r>
      <w:r>
        <w:rPr>
          <w:sz w:val="22"/>
          <w:szCs w:val="22"/>
        </w:rPr>
        <w:t xml:space="preserve"> </w:t>
      </w:r>
      <w:r w:rsidR="002738C5">
        <w:rPr>
          <w:sz w:val="22"/>
          <w:szCs w:val="22"/>
        </w:rPr>
        <w:t xml:space="preserve"> The final rule accomplishes these objectives</w:t>
      </w:r>
      <w:r>
        <w:rPr>
          <w:sz w:val="22"/>
          <w:szCs w:val="22"/>
        </w:rPr>
        <w:t xml:space="preserve"> by </w:t>
      </w:r>
      <w:r>
        <w:rPr>
          <w:rFonts w:cs="Arial"/>
          <w:sz w:val="22"/>
          <w:szCs w:val="22"/>
        </w:rPr>
        <w:t>(1) </w:t>
      </w:r>
      <w:r w:rsidRPr="00953CF5">
        <w:rPr>
          <w:rFonts w:cs="Arial"/>
          <w:sz w:val="22"/>
          <w:szCs w:val="22"/>
        </w:rPr>
        <w:t>enhanc</w:t>
      </w:r>
      <w:r>
        <w:rPr>
          <w:rFonts w:cs="Arial"/>
          <w:sz w:val="22"/>
          <w:szCs w:val="22"/>
        </w:rPr>
        <w:t>ing</w:t>
      </w:r>
      <w:r w:rsidRPr="00953CF5">
        <w:rPr>
          <w:rFonts w:cs="Arial"/>
          <w:sz w:val="22"/>
          <w:szCs w:val="22"/>
        </w:rPr>
        <w:t xml:space="preserve"> </w:t>
      </w:r>
      <w:r w:rsidR="0028622F">
        <w:rPr>
          <w:rFonts w:cs="Arial"/>
          <w:sz w:val="22"/>
          <w:szCs w:val="22"/>
        </w:rPr>
        <w:t xml:space="preserve">the </w:t>
      </w:r>
      <w:r w:rsidRPr="00953CF5">
        <w:rPr>
          <w:rFonts w:cs="Arial"/>
          <w:sz w:val="22"/>
          <w:szCs w:val="22"/>
        </w:rPr>
        <w:t>detection</w:t>
      </w:r>
      <w:r w:rsidRPr="00D258BD">
        <w:rPr>
          <w:rFonts w:cs="Arial"/>
          <w:sz w:val="22"/>
          <w:szCs w:val="22"/>
        </w:rPr>
        <w:t xml:space="preserve"> of </w:t>
      </w:r>
      <w:r>
        <w:rPr>
          <w:rFonts w:cs="Arial"/>
          <w:sz w:val="22"/>
          <w:szCs w:val="22"/>
        </w:rPr>
        <w:t xml:space="preserve">individuals </w:t>
      </w:r>
      <w:r w:rsidRPr="00D258BD">
        <w:rPr>
          <w:rFonts w:cs="Arial"/>
          <w:sz w:val="22"/>
          <w:szCs w:val="22"/>
        </w:rPr>
        <w:t xml:space="preserve">who are not fit for duty </w:t>
      </w:r>
      <w:r>
        <w:rPr>
          <w:rFonts w:cs="Arial"/>
          <w:sz w:val="22"/>
          <w:szCs w:val="22"/>
        </w:rPr>
        <w:t>because of</w:t>
      </w:r>
      <w:r w:rsidRPr="00D258BD">
        <w:rPr>
          <w:rFonts w:cs="Arial"/>
          <w:sz w:val="22"/>
          <w:szCs w:val="22"/>
        </w:rPr>
        <w:t xml:space="preserve"> illegal drug use</w:t>
      </w:r>
      <w:r w:rsidR="00646A79">
        <w:rPr>
          <w:rFonts w:cs="Arial"/>
          <w:sz w:val="22"/>
          <w:szCs w:val="22"/>
        </w:rPr>
        <w:t>,</w:t>
      </w:r>
      <w:r>
        <w:rPr>
          <w:rFonts w:cs="Arial"/>
          <w:sz w:val="22"/>
          <w:szCs w:val="22"/>
        </w:rPr>
        <w:t xml:space="preserve"> </w:t>
      </w:r>
      <w:r w:rsidRPr="00D258BD">
        <w:rPr>
          <w:rFonts w:cs="Arial"/>
          <w:sz w:val="22"/>
          <w:szCs w:val="22"/>
        </w:rPr>
        <w:t>legal drug misuse</w:t>
      </w:r>
      <w:r w:rsidR="00646A79">
        <w:rPr>
          <w:rFonts w:cs="Arial"/>
          <w:sz w:val="22"/>
          <w:szCs w:val="22"/>
        </w:rPr>
        <w:t>,</w:t>
      </w:r>
      <w:r>
        <w:rPr>
          <w:rFonts w:cs="Arial"/>
          <w:sz w:val="22"/>
          <w:szCs w:val="22"/>
        </w:rPr>
        <w:t xml:space="preserve"> or an attempt to subvert the drug testing process</w:t>
      </w:r>
      <w:r w:rsidR="0004095B">
        <w:rPr>
          <w:rFonts w:cs="Arial"/>
          <w:sz w:val="22"/>
          <w:szCs w:val="22"/>
        </w:rPr>
        <w:t>,</w:t>
      </w:r>
      <w:r w:rsidRPr="00D258BD">
        <w:rPr>
          <w:rFonts w:cs="Arial"/>
          <w:sz w:val="22"/>
          <w:szCs w:val="22"/>
        </w:rPr>
        <w:t xml:space="preserve"> </w:t>
      </w:r>
      <w:r>
        <w:rPr>
          <w:rFonts w:cs="Arial"/>
          <w:sz w:val="22"/>
          <w:szCs w:val="22"/>
        </w:rPr>
        <w:t>(2) </w:t>
      </w:r>
      <w:r w:rsidRPr="00D258BD">
        <w:rPr>
          <w:rFonts w:cs="Arial"/>
          <w:sz w:val="22"/>
          <w:szCs w:val="22"/>
        </w:rPr>
        <w:t>harmoniz</w:t>
      </w:r>
      <w:r>
        <w:rPr>
          <w:rFonts w:cs="Arial"/>
          <w:sz w:val="22"/>
          <w:szCs w:val="22"/>
        </w:rPr>
        <w:t xml:space="preserve">ing select drug </w:t>
      </w:r>
      <w:r w:rsidRPr="00D258BD">
        <w:rPr>
          <w:rFonts w:cs="Arial"/>
          <w:sz w:val="22"/>
          <w:szCs w:val="22"/>
        </w:rPr>
        <w:t>te</w:t>
      </w:r>
      <w:r>
        <w:rPr>
          <w:rFonts w:cs="Arial"/>
          <w:sz w:val="22"/>
          <w:szCs w:val="22"/>
        </w:rPr>
        <w:t>sting requirements under 10 CFR </w:t>
      </w:r>
      <w:r w:rsidRPr="00D258BD">
        <w:rPr>
          <w:rFonts w:cs="Arial"/>
          <w:sz w:val="22"/>
          <w:szCs w:val="22"/>
        </w:rPr>
        <w:t>Part</w:t>
      </w:r>
      <w:r>
        <w:rPr>
          <w:rFonts w:cs="Arial"/>
          <w:sz w:val="22"/>
          <w:szCs w:val="22"/>
        </w:rPr>
        <w:t> </w:t>
      </w:r>
      <w:r w:rsidRPr="00D258BD">
        <w:rPr>
          <w:rFonts w:cs="Arial"/>
          <w:sz w:val="22"/>
          <w:szCs w:val="22"/>
        </w:rPr>
        <w:t xml:space="preserve">26 with the </w:t>
      </w:r>
      <w:r w:rsidR="003921E8">
        <w:rPr>
          <w:rFonts w:cs="Arial"/>
          <w:sz w:val="22"/>
          <w:szCs w:val="22"/>
        </w:rPr>
        <w:t xml:space="preserve">2008 and </w:t>
      </w:r>
      <w:r w:rsidR="00E86E86">
        <w:rPr>
          <w:rFonts w:cs="Arial"/>
          <w:sz w:val="22"/>
          <w:szCs w:val="22"/>
        </w:rPr>
        <w:t>2017</w:t>
      </w:r>
      <w:r w:rsidRPr="00D258BD">
        <w:rPr>
          <w:rFonts w:cs="Arial"/>
          <w:sz w:val="22"/>
          <w:szCs w:val="22"/>
        </w:rPr>
        <w:t xml:space="preserve"> HHS Guidelines</w:t>
      </w:r>
      <w:r w:rsidR="0004095B">
        <w:rPr>
          <w:rFonts w:cs="Arial"/>
          <w:sz w:val="22"/>
          <w:szCs w:val="22"/>
        </w:rPr>
        <w:t>,</w:t>
      </w:r>
      <w:r>
        <w:rPr>
          <w:rFonts w:cs="Arial"/>
          <w:sz w:val="22"/>
          <w:szCs w:val="22"/>
        </w:rPr>
        <w:t xml:space="preserve"> and</w:t>
      </w:r>
      <w:r w:rsidRPr="00D258BD">
        <w:rPr>
          <w:rFonts w:cs="Arial"/>
          <w:sz w:val="22"/>
          <w:szCs w:val="22"/>
        </w:rPr>
        <w:t xml:space="preserve"> </w:t>
      </w:r>
      <w:r>
        <w:rPr>
          <w:rFonts w:cs="Arial"/>
          <w:sz w:val="22"/>
          <w:szCs w:val="22"/>
        </w:rPr>
        <w:t>(3) enhancing</w:t>
      </w:r>
      <w:r w:rsidRPr="00A84377">
        <w:rPr>
          <w:rFonts w:cs="Arial"/>
          <w:sz w:val="22"/>
          <w:szCs w:val="22"/>
        </w:rPr>
        <w:t xml:space="preserve"> </w:t>
      </w:r>
      <w:r>
        <w:rPr>
          <w:rFonts w:cs="Arial"/>
          <w:sz w:val="22"/>
          <w:szCs w:val="22"/>
        </w:rPr>
        <w:t>FFD</w:t>
      </w:r>
      <w:r w:rsidRPr="00A84377">
        <w:rPr>
          <w:rFonts w:cs="Arial"/>
          <w:sz w:val="22"/>
          <w:szCs w:val="22"/>
        </w:rPr>
        <w:t xml:space="preserve"> program donor protection and due process requirements for individuals subject to drug testing</w:t>
      </w:r>
      <w:r>
        <w:rPr>
          <w:rFonts w:cs="Arial"/>
          <w:sz w:val="22"/>
          <w:szCs w:val="22"/>
        </w:rPr>
        <w:t>.</w:t>
      </w:r>
    </w:p>
    <w:p w:rsidR="00D520BD" w:rsidP="00D520BD" w:rsidRDefault="00D520BD" w14:paraId="458DFE11" w14:textId="77777777">
      <w:pPr>
        <w:rPr>
          <w:sz w:val="22"/>
          <w:szCs w:val="22"/>
        </w:rPr>
      </w:pPr>
    </w:p>
    <w:p w:rsidR="00D520BD" w:rsidP="00D520BD" w:rsidRDefault="00D520BD" w14:paraId="7358BEBE" w14:textId="2A5D3D63">
      <w:pPr>
        <w:rPr>
          <w:sz w:val="22"/>
          <w:szCs w:val="22"/>
        </w:rPr>
      </w:pPr>
      <w:r>
        <w:rPr>
          <w:sz w:val="22"/>
          <w:szCs w:val="22"/>
        </w:rPr>
        <w:t>While t</w:t>
      </w:r>
      <w:r w:rsidRPr="004B6703">
        <w:rPr>
          <w:sz w:val="22"/>
          <w:szCs w:val="22"/>
        </w:rPr>
        <w:t xml:space="preserve">he </w:t>
      </w:r>
      <w:r>
        <w:rPr>
          <w:sz w:val="22"/>
          <w:szCs w:val="22"/>
        </w:rPr>
        <w:t xml:space="preserve">full </w:t>
      </w:r>
      <w:r w:rsidRPr="004B6703">
        <w:rPr>
          <w:sz w:val="22"/>
          <w:szCs w:val="22"/>
        </w:rPr>
        <w:t xml:space="preserve">benefit of </w:t>
      </w:r>
      <w:r>
        <w:rPr>
          <w:sz w:val="22"/>
          <w:szCs w:val="22"/>
        </w:rPr>
        <w:t xml:space="preserve">identifying </w:t>
      </w:r>
      <w:r w:rsidRPr="004B6703">
        <w:rPr>
          <w:sz w:val="22"/>
          <w:szCs w:val="22"/>
        </w:rPr>
        <w:t xml:space="preserve">additional </w:t>
      </w:r>
      <w:r>
        <w:rPr>
          <w:sz w:val="22"/>
          <w:szCs w:val="22"/>
        </w:rPr>
        <w:t>drug-using individuals can</w:t>
      </w:r>
      <w:r w:rsidRPr="004B6703">
        <w:rPr>
          <w:sz w:val="22"/>
          <w:szCs w:val="22"/>
        </w:rPr>
        <w:t>not be monetized</w:t>
      </w:r>
      <w:r w:rsidR="00646A79">
        <w:rPr>
          <w:sz w:val="22"/>
          <w:szCs w:val="22"/>
        </w:rPr>
        <w:t>,</w:t>
      </w:r>
      <w:r>
        <w:rPr>
          <w:sz w:val="22"/>
          <w:szCs w:val="22"/>
        </w:rPr>
        <w:t xml:space="preserve"> </w:t>
      </w:r>
      <w:r w:rsidRPr="004B6703">
        <w:rPr>
          <w:sz w:val="22"/>
          <w:szCs w:val="22"/>
        </w:rPr>
        <w:t>the detection of these individuals</w:t>
      </w:r>
      <w:r>
        <w:rPr>
          <w:sz w:val="22"/>
          <w:szCs w:val="22"/>
        </w:rPr>
        <w:t xml:space="preserve"> supports the safety and security goals discussed above as well as ensures the achievement of the goal of the drug</w:t>
      </w:r>
      <w:r w:rsidRPr="004B6703">
        <w:rPr>
          <w:sz w:val="22"/>
          <w:szCs w:val="22"/>
        </w:rPr>
        <w:t xml:space="preserve"> </w:t>
      </w:r>
      <w:r>
        <w:rPr>
          <w:sz w:val="22"/>
          <w:szCs w:val="22"/>
        </w:rPr>
        <w:t>testing program (i.e.</w:t>
      </w:r>
      <w:r w:rsidR="00646A79">
        <w:rPr>
          <w:sz w:val="22"/>
          <w:szCs w:val="22"/>
        </w:rPr>
        <w:t>,</w:t>
      </w:r>
      <w:r>
        <w:rPr>
          <w:sz w:val="22"/>
          <w:szCs w:val="22"/>
        </w:rPr>
        <w:t> </w:t>
      </w:r>
      <w:r w:rsidRPr="00824C18">
        <w:rPr>
          <w:sz w:val="22"/>
          <w:szCs w:val="22"/>
        </w:rPr>
        <w:t>provide reasonable assurance that the workplaces subject to this part are free from the presence and effects of drugs</w:t>
      </w:r>
      <w:r>
        <w:rPr>
          <w:sz w:val="22"/>
          <w:szCs w:val="22"/>
        </w:rPr>
        <w:t>)</w:t>
      </w:r>
      <w:r w:rsidRPr="004B6703">
        <w:rPr>
          <w:sz w:val="22"/>
          <w:szCs w:val="22"/>
        </w:rPr>
        <w:t>.</w:t>
      </w:r>
      <w:r>
        <w:rPr>
          <w:sz w:val="22"/>
          <w:szCs w:val="22"/>
        </w:rPr>
        <w:t xml:space="preserve">  Table ES-1 shows</w:t>
      </w:r>
      <w:r w:rsidR="00646A79">
        <w:rPr>
          <w:sz w:val="22"/>
          <w:szCs w:val="22"/>
        </w:rPr>
        <w:t>,</w:t>
      </w:r>
      <w:r>
        <w:rPr>
          <w:sz w:val="22"/>
          <w:szCs w:val="22"/>
        </w:rPr>
        <w:t xml:space="preserve"> from a quantitative standpoint</w:t>
      </w:r>
      <w:r w:rsidR="00646A79">
        <w:rPr>
          <w:sz w:val="22"/>
          <w:szCs w:val="22"/>
        </w:rPr>
        <w:t>,</w:t>
      </w:r>
      <w:r>
        <w:rPr>
          <w:sz w:val="22"/>
          <w:szCs w:val="22"/>
        </w:rPr>
        <w:t xml:space="preserve"> that the rule alternative is a cost</w:t>
      </w:r>
      <w:r w:rsidR="00912EB6">
        <w:rPr>
          <w:sz w:val="22"/>
          <w:szCs w:val="22"/>
        </w:rPr>
        <w:noBreakHyphen/>
      </w:r>
      <w:r>
        <w:rPr>
          <w:sz w:val="22"/>
          <w:szCs w:val="22"/>
        </w:rPr>
        <w:t>effective way of achieving incremental improvements in the detection of illegal drug use</w:t>
      </w:r>
      <w:r w:rsidR="00646A79">
        <w:rPr>
          <w:sz w:val="22"/>
          <w:szCs w:val="22"/>
        </w:rPr>
        <w:t>,</w:t>
      </w:r>
      <w:r>
        <w:rPr>
          <w:sz w:val="22"/>
          <w:szCs w:val="22"/>
        </w:rPr>
        <w:t xml:space="preserve"> </w:t>
      </w:r>
      <w:r>
        <w:rPr>
          <w:sz w:val="22"/>
          <w:szCs w:val="22"/>
        </w:rPr>
        <w:lastRenderedPageBreak/>
        <w:t>legal drug misuse</w:t>
      </w:r>
      <w:r w:rsidR="00646A79">
        <w:rPr>
          <w:sz w:val="22"/>
          <w:szCs w:val="22"/>
        </w:rPr>
        <w:t>,</w:t>
      </w:r>
      <w:r>
        <w:rPr>
          <w:sz w:val="22"/>
          <w:szCs w:val="22"/>
        </w:rPr>
        <w:t xml:space="preserve"> and attempts to subvert the drug testing process.  </w:t>
      </w:r>
      <w:r w:rsidRPr="00824C18">
        <w:rPr>
          <w:sz w:val="22"/>
          <w:szCs w:val="22"/>
        </w:rPr>
        <w:t>Note</w:t>
      </w:r>
      <w:r>
        <w:rPr>
          <w:sz w:val="22"/>
          <w:szCs w:val="22"/>
        </w:rPr>
        <w:t xml:space="preserve"> that</w:t>
      </w:r>
      <w:r w:rsidRPr="00824C18">
        <w:rPr>
          <w:sz w:val="22"/>
          <w:szCs w:val="22"/>
        </w:rPr>
        <w:t xml:space="preserve"> </w:t>
      </w:r>
      <w:r>
        <w:rPr>
          <w:sz w:val="22"/>
          <w:szCs w:val="22"/>
        </w:rPr>
        <w:t>Table ES</w:t>
      </w:r>
      <w:r>
        <w:rPr>
          <w:sz w:val="22"/>
          <w:szCs w:val="22"/>
        </w:rPr>
        <w:noBreakHyphen/>
        <w:t xml:space="preserve">1 presents </w:t>
      </w:r>
      <w:r w:rsidRPr="00824C18">
        <w:rPr>
          <w:sz w:val="22"/>
          <w:szCs w:val="22"/>
        </w:rPr>
        <w:t xml:space="preserve">the net present value results for </w:t>
      </w:r>
      <w:r w:rsidRPr="00912EB6">
        <w:rPr>
          <w:sz w:val="22"/>
          <w:szCs w:val="22"/>
        </w:rPr>
        <w:t>the 2</w:t>
      </w:r>
      <w:r w:rsidR="009A1AD4">
        <w:rPr>
          <w:sz w:val="22"/>
          <w:szCs w:val="22"/>
        </w:rPr>
        <w:t>4</w:t>
      </w:r>
      <w:r w:rsidRPr="00912EB6">
        <w:rPr>
          <w:sz w:val="22"/>
          <w:szCs w:val="22"/>
        </w:rPr>
        <w:t>-year time period</w:t>
      </w:r>
      <w:r w:rsidRPr="00824C18">
        <w:rPr>
          <w:sz w:val="22"/>
          <w:szCs w:val="22"/>
        </w:rPr>
        <w:t xml:space="preserve"> of the analysis</w:t>
      </w:r>
      <w:r w:rsidR="00646A79">
        <w:rPr>
          <w:sz w:val="22"/>
          <w:szCs w:val="22"/>
        </w:rPr>
        <w:t>,</w:t>
      </w:r>
      <w:r w:rsidRPr="00824C18">
        <w:rPr>
          <w:sz w:val="22"/>
          <w:szCs w:val="22"/>
        </w:rPr>
        <w:t xml:space="preserve"> while </w:t>
      </w:r>
      <w:r>
        <w:rPr>
          <w:sz w:val="22"/>
          <w:szCs w:val="22"/>
        </w:rPr>
        <w:t xml:space="preserve">it presents </w:t>
      </w:r>
      <w:r w:rsidRPr="00824C18">
        <w:rPr>
          <w:sz w:val="22"/>
          <w:szCs w:val="22"/>
        </w:rPr>
        <w:t xml:space="preserve">the estimated benefit in </w:t>
      </w:r>
      <w:r>
        <w:rPr>
          <w:sz w:val="22"/>
          <w:szCs w:val="22"/>
        </w:rPr>
        <w:t xml:space="preserve">the </w:t>
      </w:r>
      <w:r w:rsidRPr="00824C18">
        <w:rPr>
          <w:sz w:val="22"/>
          <w:szCs w:val="22"/>
        </w:rPr>
        <w:t>detection of additional drug users by regulatory initiative on an annual basis</w:t>
      </w:r>
      <w:r>
        <w:rPr>
          <w:sz w:val="22"/>
          <w:szCs w:val="22"/>
        </w:rPr>
        <w:t>.</w:t>
      </w:r>
    </w:p>
    <w:p w:rsidR="00D520BD" w:rsidP="00D520BD" w:rsidRDefault="00D520BD" w14:paraId="2E9A86CB" w14:textId="1EA33BD3">
      <w:pPr>
        <w:rPr>
          <w:sz w:val="22"/>
          <w:szCs w:val="22"/>
        </w:rPr>
      </w:pPr>
    </w:p>
    <w:p w:rsidRPr="00822500" w:rsidR="00822500" w:rsidP="00822500" w:rsidRDefault="00822500" w14:paraId="303A9E1C" w14:textId="295444B7">
      <w:pPr>
        <w:pStyle w:val="Caption"/>
        <w:jc w:val="center"/>
        <w:rPr>
          <w:b/>
          <w:bCs w:val="0"/>
        </w:rPr>
      </w:pPr>
      <w:bookmarkStart w:name="_Toc62203694" w:id="24"/>
      <w:bookmarkStart w:name="_Toc72490558" w:id="25"/>
      <w:bookmarkStart w:name="_Toc105681555" w:id="26"/>
      <w:r w:rsidRPr="00822500">
        <w:rPr>
          <w:b/>
          <w:bCs w:val="0"/>
        </w:rPr>
        <w:t>Table ES-</w:t>
      </w:r>
      <w:r w:rsidRPr="00822500">
        <w:rPr>
          <w:b/>
          <w:bCs w:val="0"/>
        </w:rPr>
        <w:fldChar w:fldCharType="begin"/>
      </w:r>
      <w:r w:rsidRPr="00822500">
        <w:rPr>
          <w:b/>
          <w:bCs w:val="0"/>
        </w:rPr>
        <w:instrText xml:space="preserve"> SEQ Table \* ARABIC </w:instrText>
      </w:r>
      <w:r w:rsidRPr="00822500">
        <w:rPr>
          <w:b/>
          <w:bCs w:val="0"/>
        </w:rPr>
        <w:fldChar w:fldCharType="separate"/>
      </w:r>
      <w:r w:rsidR="00A6777F">
        <w:rPr>
          <w:b/>
          <w:bCs w:val="0"/>
          <w:noProof/>
        </w:rPr>
        <w:t>1</w:t>
      </w:r>
      <w:r w:rsidRPr="00822500">
        <w:rPr>
          <w:b/>
          <w:bCs w:val="0"/>
        </w:rPr>
        <w:fldChar w:fldCharType="end"/>
      </w:r>
      <w:r w:rsidR="007508A4">
        <w:rPr>
          <w:b/>
          <w:bCs w:val="0"/>
        </w:rPr>
        <w:t xml:space="preserve">  </w:t>
      </w:r>
      <w:r w:rsidRPr="00822500">
        <w:rPr>
          <w:b/>
          <w:bCs w:val="0"/>
        </w:rPr>
        <w:t>Cost-Benefit Comparison of Alternative 2 (</w:t>
      </w:r>
      <w:r w:rsidRPr="00074DEE" w:rsidR="00074DEE">
        <w:rPr>
          <w:b/>
          <w:bCs w:val="0"/>
        </w:rPr>
        <w:t>Amend 10 CFR Part 26</w:t>
      </w:r>
      <w:r w:rsidRPr="00822500">
        <w:rPr>
          <w:b/>
          <w:bCs w:val="0"/>
        </w:rPr>
        <w:t>)</w:t>
      </w:r>
      <w:bookmarkEnd w:id="24"/>
      <w:bookmarkEnd w:id="25"/>
      <w:bookmarkEnd w:id="26"/>
    </w:p>
    <w:tbl>
      <w:tblPr>
        <w:tblStyle w:val="TableGrid"/>
        <w:tblW w:w="9360" w:type="dxa"/>
        <w:tblLayout w:type="fixed"/>
        <w:tblLook w:val="04A0" w:firstRow="1" w:lastRow="0" w:firstColumn="1" w:lastColumn="0" w:noHBand="0" w:noVBand="1"/>
      </w:tblPr>
      <w:tblGrid>
        <w:gridCol w:w="3865"/>
        <w:gridCol w:w="2340"/>
        <w:gridCol w:w="3155"/>
      </w:tblGrid>
      <w:tr w:rsidRPr="00DE5AA1" w:rsidR="0079253A" w:rsidTr="00FF746E" w14:paraId="13F81079" w14:textId="77777777">
        <w:trPr>
          <w:trHeight w:val="341"/>
          <w:tblHeader/>
        </w:trPr>
        <w:tc>
          <w:tcPr>
            <w:tcW w:w="3865" w:type="dxa"/>
            <w:vAlign w:val="center"/>
          </w:tcPr>
          <w:p w:rsidRPr="00061014" w:rsidR="0079253A" w:rsidDel="003A6696" w:rsidP="00982BD1" w:rsidRDefault="0079253A" w14:paraId="67613B0F" w14:textId="77777777">
            <w:pPr>
              <w:widowControl w:val="0"/>
              <w:jc w:val="center"/>
              <w:rPr>
                <w:b/>
              </w:rPr>
            </w:pPr>
            <w:r>
              <w:rPr>
                <w:b/>
              </w:rPr>
              <w:t>Regulatory Initiative</w:t>
            </w:r>
          </w:p>
        </w:tc>
        <w:tc>
          <w:tcPr>
            <w:tcW w:w="2340" w:type="dxa"/>
            <w:vAlign w:val="center"/>
          </w:tcPr>
          <w:p w:rsidR="0079253A" w:rsidP="00982BD1" w:rsidRDefault="0079253A" w14:paraId="732F6EB1" w14:textId="55D800E4">
            <w:pPr>
              <w:widowControl w:val="0"/>
              <w:jc w:val="center"/>
              <w:rPr>
                <w:b/>
              </w:rPr>
            </w:pPr>
            <w:r>
              <w:rPr>
                <w:b/>
              </w:rPr>
              <w:t>7% Net Present Value</w:t>
            </w:r>
            <w:r w:rsidRPr="006A70A0" w:rsidR="00262457">
              <w:rPr>
                <w:b/>
                <w:vertAlign w:val="superscript"/>
              </w:rPr>
              <w:t>a</w:t>
            </w:r>
          </w:p>
          <w:p w:rsidRPr="009D6BF9" w:rsidR="0079253A" w:rsidP="00982BD1" w:rsidRDefault="0079253A" w14:paraId="46C5A7B9" w14:textId="38E0C94B">
            <w:pPr>
              <w:widowControl w:val="0"/>
              <w:jc w:val="center"/>
              <w:rPr>
                <w:b/>
              </w:rPr>
            </w:pPr>
            <w:r w:rsidRPr="009D6BF9">
              <w:rPr>
                <w:b/>
              </w:rPr>
              <w:t xml:space="preserve">(24-year time period </w:t>
            </w:r>
            <w:r w:rsidR="00F84893">
              <w:rPr>
                <w:b/>
              </w:rPr>
              <w:br/>
            </w:r>
            <w:r w:rsidRPr="009D6BF9">
              <w:rPr>
                <w:b/>
              </w:rPr>
              <w:t>of the analysis)</w:t>
            </w:r>
          </w:p>
        </w:tc>
        <w:tc>
          <w:tcPr>
            <w:tcW w:w="3155" w:type="dxa"/>
            <w:vAlign w:val="center"/>
          </w:tcPr>
          <w:p w:rsidR="0079253A" w:rsidP="00982BD1" w:rsidRDefault="0079253A" w14:paraId="6B506B22" w14:textId="77777777">
            <w:pPr>
              <w:widowControl w:val="0"/>
              <w:jc w:val="center"/>
              <w:rPr>
                <w:b/>
              </w:rPr>
            </w:pPr>
            <w:r>
              <w:rPr>
                <w:b/>
              </w:rPr>
              <w:t xml:space="preserve">Estimated </w:t>
            </w:r>
            <w:r w:rsidRPr="00061014">
              <w:rPr>
                <w:b/>
              </w:rPr>
              <w:t>Benefit</w:t>
            </w:r>
          </w:p>
          <w:p w:rsidRPr="009D6BF9" w:rsidR="0079253A" w:rsidP="00982BD1" w:rsidRDefault="0079253A" w14:paraId="072AE74C" w14:textId="77777777">
            <w:pPr>
              <w:widowControl w:val="0"/>
              <w:jc w:val="center"/>
              <w:rPr>
                <w:b/>
              </w:rPr>
            </w:pPr>
            <w:r w:rsidRPr="009D6BF9">
              <w:rPr>
                <w:b/>
              </w:rPr>
              <w:t>(Annual Basis)</w:t>
            </w:r>
          </w:p>
        </w:tc>
      </w:tr>
      <w:tr w:rsidR="0079253A" w:rsidTr="00FF746E" w14:paraId="4CA477F2" w14:textId="77777777">
        <w:trPr>
          <w:trHeight w:val="908"/>
        </w:trPr>
        <w:tc>
          <w:tcPr>
            <w:tcW w:w="3865" w:type="dxa"/>
            <w:tcBorders>
              <w:top w:val="single" w:color="auto" w:sz="4" w:space="0"/>
            </w:tcBorders>
            <w:shd w:val="clear" w:color="auto" w:fill="auto"/>
            <w:tcMar>
              <w:left w:w="58" w:type="dxa"/>
              <w:right w:w="58" w:type="dxa"/>
            </w:tcMar>
            <w:vAlign w:val="center"/>
          </w:tcPr>
          <w:p w:rsidRPr="00061014" w:rsidR="0079253A" w:rsidP="00504304" w:rsidRDefault="0079253A" w14:paraId="62AED472" w14:textId="6C489A01">
            <w:pPr>
              <w:widowControl w:val="0"/>
            </w:pPr>
            <w:r>
              <w:t>Enhance detection of existing paneled drugs by lowering cutoff levels (amphetamine, cocaine, methamphetamine)</w:t>
            </w:r>
          </w:p>
        </w:tc>
        <w:tc>
          <w:tcPr>
            <w:tcW w:w="2340" w:type="dxa"/>
            <w:tcBorders>
              <w:top w:val="single" w:color="auto" w:sz="4" w:space="0"/>
            </w:tcBorders>
            <w:shd w:val="clear" w:color="auto" w:fill="auto"/>
            <w:tcMar>
              <w:left w:w="29" w:type="dxa"/>
              <w:right w:w="29" w:type="dxa"/>
            </w:tcMar>
            <w:vAlign w:val="center"/>
          </w:tcPr>
          <w:p w:rsidRPr="00A95020" w:rsidR="0079253A" w:rsidP="00504304" w:rsidRDefault="0079253A" w14:paraId="21BFC4B3" w14:textId="15149608">
            <w:pPr>
              <w:widowControl w:val="0"/>
              <w:jc w:val="center"/>
            </w:pPr>
            <w:r w:rsidRPr="00A76329">
              <w:t>($185,8</w:t>
            </w:r>
            <w:r w:rsidR="00DB28D4">
              <w:t>98</w:t>
            </w:r>
            <w:r w:rsidRPr="00A76329">
              <w:t>)</w:t>
            </w:r>
          </w:p>
        </w:tc>
        <w:tc>
          <w:tcPr>
            <w:tcW w:w="3155" w:type="dxa"/>
            <w:tcBorders>
              <w:top w:val="single" w:color="auto" w:sz="4" w:space="0"/>
            </w:tcBorders>
            <w:shd w:val="clear" w:color="auto" w:fill="auto"/>
            <w:vAlign w:val="center"/>
          </w:tcPr>
          <w:p w:rsidRPr="00A02BE9" w:rsidR="0079253A" w:rsidP="00504304" w:rsidRDefault="0079253A" w14:paraId="27D25F73" w14:textId="5282813A">
            <w:pPr>
              <w:widowControl w:val="0"/>
              <w:rPr>
                <w:highlight w:val="yellow"/>
              </w:rPr>
            </w:pPr>
            <w:r w:rsidRPr="00E356AC">
              <w:t>4</w:t>
            </w:r>
            <w:r>
              <w:t>5</w:t>
            </w:r>
            <w:r w:rsidRPr="00E356AC">
              <w:t> additional positive results</w:t>
            </w:r>
            <w:r>
              <w:t xml:space="preserve"> (</w:t>
            </w:r>
            <w:r w:rsidRPr="00E356AC">
              <w:t>i.e.,</w:t>
            </w:r>
            <w:r>
              <w:t> </w:t>
            </w:r>
            <w:r w:rsidRPr="00E356AC">
              <w:t>2</w:t>
            </w:r>
            <w:r>
              <w:t>3 </w:t>
            </w:r>
            <w:r w:rsidRPr="00E356AC">
              <w:t>amphetamines positives and 2</w:t>
            </w:r>
            <w:r>
              <w:t>2</w:t>
            </w:r>
            <w:r w:rsidRPr="00E356AC">
              <w:t> cocaine positives)</w:t>
            </w:r>
          </w:p>
        </w:tc>
      </w:tr>
      <w:tr w:rsidR="0079253A" w:rsidTr="00FF746E" w14:paraId="76A517CB" w14:textId="77777777">
        <w:trPr>
          <w:trHeight w:val="899"/>
        </w:trPr>
        <w:tc>
          <w:tcPr>
            <w:tcW w:w="3865" w:type="dxa"/>
            <w:shd w:val="clear" w:color="auto" w:fill="auto"/>
            <w:tcMar>
              <w:left w:w="58" w:type="dxa"/>
              <w:right w:w="58" w:type="dxa"/>
            </w:tcMar>
            <w:vAlign w:val="center"/>
          </w:tcPr>
          <w:p w:rsidRPr="00061014" w:rsidR="0079253A" w:rsidP="00504304" w:rsidRDefault="0079253A" w14:paraId="5C9A6F74" w14:textId="107A6697">
            <w:pPr>
              <w:widowControl w:val="0"/>
            </w:pPr>
            <w:r>
              <w:t>Expand testing panel to include initial testing of 6</w:t>
            </w:r>
            <w:r>
              <w:noBreakHyphen/>
              <w:t>AM (and revise confirmatory testing cutoff level)</w:t>
            </w:r>
          </w:p>
        </w:tc>
        <w:tc>
          <w:tcPr>
            <w:tcW w:w="2340" w:type="dxa"/>
            <w:shd w:val="clear" w:color="auto" w:fill="auto"/>
            <w:tcMar>
              <w:left w:w="29" w:type="dxa"/>
              <w:right w:w="29" w:type="dxa"/>
            </w:tcMar>
            <w:vAlign w:val="center"/>
          </w:tcPr>
          <w:p w:rsidRPr="00A95020" w:rsidR="0079253A" w:rsidP="00504304" w:rsidRDefault="0079253A" w14:paraId="00E10E49" w14:textId="2A6CE86C">
            <w:pPr>
              <w:widowControl w:val="0"/>
              <w:jc w:val="center"/>
            </w:pPr>
            <w:r w:rsidRPr="00A76329">
              <w:t>(</w:t>
            </w:r>
            <w:r w:rsidR="00DB28D4">
              <w:t>$935,375</w:t>
            </w:r>
            <w:r w:rsidRPr="00A76329">
              <w:t>)</w:t>
            </w:r>
          </w:p>
        </w:tc>
        <w:tc>
          <w:tcPr>
            <w:tcW w:w="3155" w:type="dxa"/>
            <w:shd w:val="clear" w:color="auto" w:fill="auto"/>
            <w:vAlign w:val="center"/>
          </w:tcPr>
          <w:p w:rsidRPr="00A02BE9" w:rsidR="0079253A" w:rsidP="00504304" w:rsidRDefault="0079253A" w14:paraId="3D0B5412" w14:textId="20315A5C">
            <w:pPr>
              <w:widowControl w:val="0"/>
              <w:rPr>
                <w:highlight w:val="yellow"/>
              </w:rPr>
            </w:pPr>
            <w:r w:rsidRPr="00920438">
              <w:t>2</w:t>
            </w:r>
            <w:r>
              <w:t>2</w:t>
            </w:r>
            <w:r w:rsidRPr="00920438">
              <w:t> additional positive results</w:t>
            </w:r>
          </w:p>
        </w:tc>
      </w:tr>
      <w:tr w:rsidR="0079253A" w:rsidTr="00FF746E" w14:paraId="3E079DC3" w14:textId="77777777">
        <w:trPr>
          <w:trHeight w:val="746"/>
        </w:trPr>
        <w:tc>
          <w:tcPr>
            <w:tcW w:w="3865" w:type="dxa"/>
            <w:shd w:val="clear" w:color="auto" w:fill="FFFFFF" w:themeFill="background1"/>
            <w:tcMar>
              <w:left w:w="58" w:type="dxa"/>
              <w:right w:w="58" w:type="dxa"/>
            </w:tcMar>
            <w:vAlign w:val="center"/>
          </w:tcPr>
          <w:p w:rsidR="0079253A" w:rsidP="00504304" w:rsidRDefault="0079253A" w14:paraId="7169DC5A" w14:textId="5F0549BE">
            <w:pPr>
              <w:widowControl w:val="0"/>
            </w:pPr>
            <w:r>
              <w:t>Expand initial and confirmatory testing panels to include four opioid drugs (</w:t>
            </w:r>
            <w:r w:rsidRPr="00FF380E">
              <w:t>hydrocodone</w:t>
            </w:r>
            <w:r>
              <w:t>,</w:t>
            </w:r>
            <w:r w:rsidRPr="00FF380E">
              <w:t xml:space="preserve"> hydromorphone</w:t>
            </w:r>
            <w:r>
              <w:t>,</w:t>
            </w:r>
            <w:r w:rsidRPr="00FF380E">
              <w:t xml:space="preserve"> oxycodone, oxymorphone</w:t>
            </w:r>
            <w:r>
              <w:t>)</w:t>
            </w:r>
          </w:p>
        </w:tc>
        <w:tc>
          <w:tcPr>
            <w:tcW w:w="2340" w:type="dxa"/>
            <w:shd w:val="clear" w:color="auto" w:fill="FFFFFF" w:themeFill="background1"/>
            <w:tcMar>
              <w:left w:w="29" w:type="dxa"/>
              <w:right w:w="29" w:type="dxa"/>
            </w:tcMar>
            <w:vAlign w:val="center"/>
          </w:tcPr>
          <w:p w:rsidRPr="00A95020" w:rsidR="0079253A" w:rsidP="00504304" w:rsidRDefault="0079253A" w14:paraId="3675D745" w14:textId="1457CE23">
            <w:pPr>
              <w:widowControl w:val="0"/>
              <w:jc w:val="center"/>
            </w:pPr>
            <w:r w:rsidRPr="00A76329">
              <w:t>($1,</w:t>
            </w:r>
            <w:r w:rsidR="00ED4B5B">
              <w:t>829,243</w:t>
            </w:r>
            <w:r w:rsidRPr="00A76329">
              <w:t>)</w:t>
            </w:r>
          </w:p>
        </w:tc>
        <w:tc>
          <w:tcPr>
            <w:tcW w:w="3155" w:type="dxa"/>
            <w:shd w:val="clear" w:color="auto" w:fill="auto"/>
            <w:vAlign w:val="center"/>
          </w:tcPr>
          <w:p w:rsidRPr="00A02BE9" w:rsidR="0079253A" w:rsidP="00504304" w:rsidRDefault="0079253A" w14:paraId="0DFD0077" w14:textId="6D2C519E">
            <w:pPr>
              <w:widowControl w:val="0"/>
              <w:rPr>
                <w:highlight w:val="yellow"/>
              </w:rPr>
            </w:pPr>
            <w:r>
              <w:t>89</w:t>
            </w:r>
            <w:r w:rsidRPr="00075F42">
              <w:t> additional positive results</w:t>
            </w:r>
          </w:p>
        </w:tc>
      </w:tr>
      <w:tr w:rsidR="0079253A" w:rsidTr="00FF746E" w14:paraId="4D4F7840" w14:textId="77777777">
        <w:trPr>
          <w:trHeight w:val="746"/>
        </w:trPr>
        <w:tc>
          <w:tcPr>
            <w:tcW w:w="3865" w:type="dxa"/>
            <w:shd w:val="clear" w:color="auto" w:fill="auto"/>
            <w:tcMar>
              <w:left w:w="58" w:type="dxa"/>
              <w:right w:w="58" w:type="dxa"/>
            </w:tcMar>
            <w:vAlign w:val="center"/>
          </w:tcPr>
          <w:p w:rsidRPr="00061014" w:rsidR="0079253A" w:rsidP="00504304" w:rsidRDefault="0079253A" w14:paraId="368EBE1C" w14:textId="197AECBE">
            <w:pPr>
              <w:widowControl w:val="0"/>
            </w:pPr>
            <w:r>
              <w:t xml:space="preserve">Expand initial and confirmatory testing panels to include </w:t>
            </w:r>
            <w:r w:rsidRPr="00F80D62">
              <w:t>Ecstasy</w:t>
            </w:r>
            <w:r w:rsidR="00797675">
              <w:t>-type</w:t>
            </w:r>
            <w:r>
              <w:t xml:space="preserve"> drugs</w:t>
            </w:r>
            <w:r w:rsidR="00797675">
              <w:t xml:space="preserve"> (MDMA, MDA)</w:t>
            </w:r>
          </w:p>
        </w:tc>
        <w:tc>
          <w:tcPr>
            <w:tcW w:w="2340" w:type="dxa"/>
            <w:shd w:val="clear" w:color="auto" w:fill="auto"/>
            <w:tcMar>
              <w:left w:w="29" w:type="dxa"/>
              <w:right w:w="29" w:type="dxa"/>
            </w:tcMar>
            <w:vAlign w:val="center"/>
          </w:tcPr>
          <w:p w:rsidRPr="00A95020" w:rsidR="0079253A" w:rsidP="00504304" w:rsidRDefault="0079253A" w14:paraId="6EAB3970" w14:textId="274DAE76">
            <w:pPr>
              <w:widowControl w:val="0"/>
              <w:jc w:val="center"/>
            </w:pPr>
            <w:r w:rsidRPr="00A76329">
              <w:t>($</w:t>
            </w:r>
            <w:r w:rsidR="00ED4B5B">
              <w:t>702,980</w:t>
            </w:r>
            <w:r w:rsidRPr="00A76329">
              <w:t>)</w:t>
            </w:r>
          </w:p>
        </w:tc>
        <w:tc>
          <w:tcPr>
            <w:tcW w:w="3155" w:type="dxa"/>
            <w:shd w:val="clear" w:color="auto" w:fill="auto"/>
            <w:vAlign w:val="center"/>
          </w:tcPr>
          <w:p w:rsidRPr="00A02BE9" w:rsidR="0079253A" w:rsidP="00504304" w:rsidRDefault="0079253A" w14:paraId="31F98AD2" w14:textId="1B3AF4D1">
            <w:pPr>
              <w:widowControl w:val="0"/>
              <w:rPr>
                <w:highlight w:val="yellow"/>
              </w:rPr>
            </w:pPr>
            <w:r>
              <w:t>5</w:t>
            </w:r>
            <w:r w:rsidRPr="00075F42">
              <w:t> additional positive results</w:t>
            </w:r>
          </w:p>
        </w:tc>
      </w:tr>
      <w:tr w:rsidR="0079253A" w:rsidTr="00FF746E" w14:paraId="598A77F6" w14:textId="77777777">
        <w:trPr>
          <w:trHeight w:val="989"/>
        </w:trPr>
        <w:tc>
          <w:tcPr>
            <w:tcW w:w="3865" w:type="dxa"/>
            <w:shd w:val="clear" w:color="auto" w:fill="auto"/>
            <w:tcMar>
              <w:left w:w="58" w:type="dxa"/>
              <w:right w:w="58" w:type="dxa"/>
            </w:tcMar>
            <w:vAlign w:val="center"/>
          </w:tcPr>
          <w:p w:rsidRPr="00061014" w:rsidR="0079253A" w:rsidP="00504304" w:rsidRDefault="0079253A" w14:paraId="7CC5008B" w14:textId="77777777">
            <w:pPr>
              <w:widowControl w:val="0"/>
            </w:pPr>
            <w:r>
              <w:t>Enhance detection of subversion attempts by r</w:t>
            </w:r>
            <w:r w:rsidRPr="00061014">
              <w:t>equiring special analyses testing</w:t>
            </w:r>
            <w:r>
              <w:t xml:space="preserve"> of dilute specimens and specimens collected under direct observation</w:t>
            </w:r>
          </w:p>
        </w:tc>
        <w:tc>
          <w:tcPr>
            <w:tcW w:w="2340" w:type="dxa"/>
            <w:shd w:val="clear" w:color="auto" w:fill="auto"/>
            <w:tcMar>
              <w:left w:w="29" w:type="dxa"/>
              <w:right w:w="29" w:type="dxa"/>
            </w:tcMar>
            <w:vAlign w:val="center"/>
          </w:tcPr>
          <w:p w:rsidRPr="00A95020" w:rsidR="0079253A" w:rsidP="00504304" w:rsidRDefault="0079253A" w14:paraId="640C8365" w14:textId="17E15D7C">
            <w:pPr>
              <w:widowControl w:val="0"/>
              <w:jc w:val="center"/>
            </w:pPr>
            <w:r w:rsidRPr="00A76329">
              <w:t>($109,</w:t>
            </w:r>
            <w:r w:rsidR="00ED4B5B">
              <w:t>322</w:t>
            </w:r>
            <w:r w:rsidRPr="00A76329">
              <w:t>)</w:t>
            </w:r>
          </w:p>
        </w:tc>
        <w:tc>
          <w:tcPr>
            <w:tcW w:w="3155" w:type="dxa"/>
            <w:shd w:val="clear" w:color="auto" w:fill="auto"/>
            <w:vAlign w:val="center"/>
          </w:tcPr>
          <w:p w:rsidRPr="00A02BE9" w:rsidR="0079253A" w:rsidP="00504304" w:rsidRDefault="0079253A" w14:paraId="26991369" w14:textId="3F915581">
            <w:pPr>
              <w:widowControl w:val="0"/>
              <w:rPr>
                <w:highlight w:val="yellow"/>
              </w:rPr>
            </w:pPr>
            <w:r>
              <w:t>16</w:t>
            </w:r>
            <w:r w:rsidRPr="00BA78B5">
              <w:t xml:space="preserve"> additional positive results (8 positives from dilute specimens and </w:t>
            </w:r>
            <w:r>
              <w:t>8</w:t>
            </w:r>
            <w:r w:rsidRPr="00BA78B5">
              <w:t> positive</w:t>
            </w:r>
            <w:r>
              <w:t>s</w:t>
            </w:r>
            <w:r w:rsidRPr="00BA78B5">
              <w:t xml:space="preserve"> from suspect specimens)</w:t>
            </w:r>
          </w:p>
        </w:tc>
      </w:tr>
      <w:tr w:rsidR="0079253A" w:rsidTr="00A7232A" w14:paraId="7863B294" w14:textId="77777777">
        <w:trPr>
          <w:trHeight w:val="1241"/>
        </w:trPr>
        <w:tc>
          <w:tcPr>
            <w:tcW w:w="3865" w:type="dxa"/>
            <w:shd w:val="clear" w:color="auto" w:fill="auto"/>
            <w:tcMar>
              <w:left w:w="58" w:type="dxa"/>
              <w:right w:w="58" w:type="dxa"/>
            </w:tcMar>
            <w:vAlign w:val="center"/>
          </w:tcPr>
          <w:p w:rsidR="0079253A" w:rsidP="00504304" w:rsidRDefault="0079253A" w14:paraId="302909E3" w14:textId="061F4028">
            <w:pPr>
              <w:widowControl w:val="0"/>
            </w:pPr>
            <w:r>
              <w:t>One-time costs to sites to change policies, procedures, and conduct training to incorporate all drug testing program changes</w:t>
            </w:r>
          </w:p>
        </w:tc>
        <w:tc>
          <w:tcPr>
            <w:tcW w:w="2340" w:type="dxa"/>
            <w:shd w:val="clear" w:color="auto" w:fill="auto"/>
            <w:tcMar>
              <w:left w:w="29" w:type="dxa"/>
              <w:right w:w="29" w:type="dxa"/>
            </w:tcMar>
            <w:vAlign w:val="center"/>
          </w:tcPr>
          <w:p w:rsidRPr="00A95020" w:rsidR="0079253A" w:rsidP="00504304" w:rsidRDefault="0079253A" w14:paraId="3E418EF0" w14:textId="11D2E650">
            <w:pPr>
              <w:widowControl w:val="0"/>
              <w:jc w:val="center"/>
            </w:pPr>
            <w:r w:rsidRPr="00A76329">
              <w:t>($</w:t>
            </w:r>
            <w:r w:rsidR="003C24A8">
              <w:t>136</w:t>
            </w:r>
            <w:r w:rsidRPr="00A76329">
              <w:t>,</w:t>
            </w:r>
            <w:r w:rsidR="00D354F6">
              <w:t>936</w:t>
            </w:r>
            <w:r w:rsidRPr="00A76329">
              <w:t>)</w:t>
            </w:r>
          </w:p>
        </w:tc>
        <w:tc>
          <w:tcPr>
            <w:tcW w:w="3155" w:type="dxa"/>
            <w:shd w:val="clear" w:color="auto" w:fill="auto"/>
            <w:vAlign w:val="center"/>
          </w:tcPr>
          <w:p w:rsidRPr="00A02BE9" w:rsidR="0079253A" w:rsidP="00504304" w:rsidRDefault="0079253A" w14:paraId="72DF3791" w14:textId="1E26CBD2">
            <w:pPr>
              <w:widowControl w:val="0"/>
              <w:rPr>
                <w:highlight w:val="yellow"/>
              </w:rPr>
            </w:pPr>
            <w:r w:rsidRPr="006B444B">
              <w:t>Required activities to implement drug testing changes at laboratories</w:t>
            </w:r>
            <w:r>
              <w:t xml:space="preserve"> and</w:t>
            </w:r>
            <w:r w:rsidRPr="006B444B">
              <w:t xml:space="preserve"> inform all subject employees of drug testing program changes</w:t>
            </w:r>
          </w:p>
        </w:tc>
      </w:tr>
      <w:tr w:rsidR="0079253A" w:rsidTr="00FF746E" w14:paraId="569BECE6" w14:textId="77777777">
        <w:trPr>
          <w:trHeight w:val="2069"/>
        </w:trPr>
        <w:tc>
          <w:tcPr>
            <w:tcW w:w="3865" w:type="dxa"/>
            <w:tcBorders>
              <w:bottom w:val="single" w:color="auto" w:sz="4" w:space="0"/>
            </w:tcBorders>
            <w:shd w:val="clear" w:color="auto" w:fill="auto"/>
            <w:tcMar>
              <w:left w:w="58" w:type="dxa"/>
              <w:right w:w="58" w:type="dxa"/>
            </w:tcMar>
            <w:vAlign w:val="center"/>
          </w:tcPr>
          <w:p w:rsidR="0079253A" w:rsidP="00504304" w:rsidRDefault="0079253A" w14:paraId="461A774E" w14:textId="77777777">
            <w:pPr>
              <w:widowControl w:val="0"/>
            </w:pPr>
            <w:r>
              <w:t xml:space="preserve">Averted training costs </w:t>
            </w:r>
          </w:p>
          <w:p w:rsidRPr="00061014" w:rsidR="0079253A" w:rsidP="00504304" w:rsidRDefault="0079253A" w14:paraId="23C6D02D" w14:textId="60194FE2">
            <w:pPr>
              <w:widowControl w:val="0"/>
            </w:pPr>
            <w:r>
              <w:t>(pre</w:t>
            </w:r>
            <w:r>
              <w:noBreakHyphen/>
              <w:t>access testing)</w:t>
            </w:r>
          </w:p>
        </w:tc>
        <w:tc>
          <w:tcPr>
            <w:tcW w:w="2340" w:type="dxa"/>
            <w:tcBorders>
              <w:bottom w:val="single" w:color="auto" w:sz="4" w:space="0"/>
            </w:tcBorders>
            <w:shd w:val="clear" w:color="auto" w:fill="auto"/>
            <w:tcMar>
              <w:left w:w="29" w:type="dxa"/>
              <w:right w:w="29" w:type="dxa"/>
            </w:tcMar>
            <w:vAlign w:val="center"/>
          </w:tcPr>
          <w:p w:rsidRPr="00A95020" w:rsidR="0079253A" w:rsidP="00504304" w:rsidRDefault="0079253A" w14:paraId="67D611D5" w14:textId="03D4CF91">
            <w:pPr>
              <w:widowControl w:val="0"/>
              <w:jc w:val="center"/>
            </w:pPr>
            <w:r w:rsidRPr="00A76329">
              <w:t>$</w:t>
            </w:r>
            <w:r>
              <w:t>4,</w:t>
            </w:r>
            <w:r w:rsidR="001039F7">
              <w:t>318</w:t>
            </w:r>
            <w:r>
              <w:t>,</w:t>
            </w:r>
            <w:r w:rsidR="001039F7">
              <w:t>110</w:t>
            </w:r>
          </w:p>
        </w:tc>
        <w:tc>
          <w:tcPr>
            <w:tcW w:w="3155" w:type="dxa"/>
            <w:tcBorders>
              <w:bottom w:val="single" w:color="auto" w:sz="4" w:space="0"/>
            </w:tcBorders>
            <w:shd w:val="clear" w:color="auto" w:fill="auto"/>
            <w:vAlign w:val="center"/>
          </w:tcPr>
          <w:p w:rsidRPr="00032062" w:rsidR="0079253A" w:rsidP="00504304" w:rsidRDefault="0079253A" w14:paraId="638439FE" w14:textId="62AD790B">
            <w:pPr>
              <w:widowControl w:val="0"/>
            </w:pPr>
            <w:r w:rsidRPr="00032062">
              <w:t xml:space="preserve">Historically, </w:t>
            </w:r>
            <w:r>
              <w:t xml:space="preserve">pre-access testing </w:t>
            </w:r>
            <w:r w:rsidR="0076622C">
              <w:t xml:space="preserve">accounts for </w:t>
            </w:r>
            <w:r w:rsidRPr="00032062">
              <w:t>67 percent of positive test results each year</w:t>
            </w:r>
          </w:p>
          <w:p w:rsidRPr="00087E5D" w:rsidR="0079253A" w:rsidP="00504304" w:rsidRDefault="0079253A" w14:paraId="62B1AEB2" w14:textId="620744FE">
            <w:pPr>
              <w:widowControl w:val="0"/>
            </w:pPr>
          </w:p>
          <w:p w:rsidRPr="00A02BE9" w:rsidR="0079253A" w:rsidP="00504304" w:rsidRDefault="0079253A" w14:paraId="5587D24E" w14:textId="15DE37F6">
            <w:pPr>
              <w:widowControl w:val="0"/>
              <w:rPr>
                <w:highlight w:val="yellow"/>
              </w:rPr>
            </w:pPr>
            <w:r w:rsidRPr="00087E5D">
              <w:t xml:space="preserve">Individuals testing positive before completion of training </w:t>
            </w:r>
            <w:r>
              <w:t>will</w:t>
            </w:r>
            <w:r w:rsidRPr="00087E5D">
              <w:t xml:space="preserve"> result in savings to licensees and other entities</w:t>
            </w:r>
          </w:p>
        </w:tc>
      </w:tr>
      <w:tr w:rsidR="0079253A" w:rsidTr="00FF746E" w14:paraId="7D901A9C" w14:textId="77777777">
        <w:trPr>
          <w:trHeight w:val="971"/>
        </w:trPr>
        <w:tc>
          <w:tcPr>
            <w:tcW w:w="3865" w:type="dxa"/>
            <w:tcBorders>
              <w:top w:val="single" w:color="auto" w:sz="4" w:space="0"/>
              <w:left w:val="single" w:color="auto" w:sz="4" w:space="0"/>
              <w:bottom w:val="double" w:color="auto" w:sz="4" w:space="0"/>
              <w:right w:val="single" w:color="auto" w:sz="4" w:space="0"/>
            </w:tcBorders>
            <w:shd w:val="clear" w:color="auto" w:fill="auto"/>
            <w:tcMar>
              <w:left w:w="58" w:type="dxa"/>
              <w:right w:w="58" w:type="dxa"/>
            </w:tcMar>
            <w:vAlign w:val="center"/>
          </w:tcPr>
          <w:p w:rsidRPr="002725AF" w:rsidR="0079253A" w:rsidP="00504304" w:rsidRDefault="0079253A" w14:paraId="36DC2958" w14:textId="77777777">
            <w:pPr>
              <w:widowControl w:val="0"/>
              <w:rPr>
                <w:b/>
              </w:rPr>
            </w:pPr>
            <w:r w:rsidRPr="002725AF">
              <w:rPr>
                <w:b/>
              </w:rPr>
              <w:t xml:space="preserve">Total Industry </w:t>
            </w:r>
            <w:r>
              <w:rPr>
                <w:b/>
              </w:rPr>
              <w:t>Results</w:t>
            </w:r>
          </w:p>
        </w:tc>
        <w:tc>
          <w:tcPr>
            <w:tcW w:w="2340" w:type="dxa"/>
            <w:tcBorders>
              <w:top w:val="single" w:color="auto" w:sz="4" w:space="0"/>
              <w:left w:val="single" w:color="auto" w:sz="4" w:space="0"/>
              <w:bottom w:val="double" w:color="auto" w:sz="4" w:space="0"/>
              <w:right w:val="single" w:color="auto" w:sz="4" w:space="0"/>
            </w:tcBorders>
            <w:shd w:val="clear" w:color="auto" w:fill="auto"/>
            <w:tcMar>
              <w:left w:w="29" w:type="dxa"/>
              <w:right w:w="29" w:type="dxa"/>
            </w:tcMar>
            <w:vAlign w:val="center"/>
          </w:tcPr>
          <w:p w:rsidRPr="00A95020" w:rsidR="0079253A" w:rsidP="00504304" w:rsidRDefault="0079253A" w14:paraId="0271EB65" w14:textId="4E9160D5">
            <w:pPr>
              <w:widowControl w:val="0"/>
              <w:jc w:val="center"/>
              <w:rPr>
                <w:b/>
              </w:rPr>
            </w:pPr>
            <w:r w:rsidRPr="009D6BF9">
              <w:rPr>
                <w:b/>
              </w:rPr>
              <w:t>$</w:t>
            </w:r>
            <w:r w:rsidR="00283E50">
              <w:rPr>
                <w:b/>
              </w:rPr>
              <w:t>418</w:t>
            </w:r>
            <w:r w:rsidRPr="009D6BF9">
              <w:rPr>
                <w:b/>
              </w:rPr>
              <w:t>,</w:t>
            </w:r>
            <w:r w:rsidR="00283E50">
              <w:rPr>
                <w:b/>
              </w:rPr>
              <w:t>356</w:t>
            </w:r>
          </w:p>
        </w:tc>
        <w:tc>
          <w:tcPr>
            <w:tcW w:w="3155" w:type="dxa"/>
            <w:tcBorders>
              <w:top w:val="single" w:color="auto" w:sz="4" w:space="0"/>
              <w:left w:val="single" w:color="auto" w:sz="4" w:space="0"/>
              <w:bottom w:val="double" w:color="auto" w:sz="4" w:space="0"/>
              <w:right w:val="single" w:color="auto" w:sz="4" w:space="0"/>
            </w:tcBorders>
            <w:shd w:val="clear" w:color="auto" w:fill="auto"/>
            <w:vAlign w:val="center"/>
          </w:tcPr>
          <w:p w:rsidRPr="00A02BE9" w:rsidR="0079253A" w:rsidP="00504304" w:rsidRDefault="0079253A" w14:paraId="72D8ADCA" w14:textId="2647E1A1">
            <w:pPr>
              <w:widowControl w:val="0"/>
              <w:rPr>
                <w:b/>
                <w:highlight w:val="yellow"/>
              </w:rPr>
            </w:pPr>
            <w:r w:rsidRPr="00201C47">
              <w:rPr>
                <w:b/>
              </w:rPr>
              <w:t>1</w:t>
            </w:r>
            <w:r>
              <w:rPr>
                <w:b/>
              </w:rPr>
              <w:t>76</w:t>
            </w:r>
            <w:r w:rsidRPr="00201C47">
              <w:rPr>
                <w:b/>
              </w:rPr>
              <w:t xml:space="preserve"> additional positive results per year </w:t>
            </w:r>
            <w:r>
              <w:rPr>
                <w:b/>
              </w:rPr>
              <w:t>(22</w:t>
            </w:r>
            <w:r>
              <w:rPr>
                <w:b/>
              </w:rPr>
              <w:noBreakHyphen/>
              <w:t xml:space="preserve">percent increase) </w:t>
            </w:r>
            <w:r w:rsidRPr="00201C47">
              <w:rPr>
                <w:b/>
              </w:rPr>
              <w:t xml:space="preserve">and additional </w:t>
            </w:r>
            <w:r w:rsidRPr="009D6BF9">
              <w:rPr>
                <w:b/>
              </w:rPr>
              <w:t>non</w:t>
            </w:r>
            <w:r w:rsidR="000A4F52">
              <w:rPr>
                <w:b/>
              </w:rPr>
              <w:t>-</w:t>
            </w:r>
            <w:r>
              <w:rPr>
                <w:b/>
              </w:rPr>
              <w:t>quantified</w:t>
            </w:r>
            <w:r w:rsidRPr="00201C47">
              <w:rPr>
                <w:b/>
              </w:rPr>
              <w:t xml:space="preserve"> benefits</w:t>
            </w:r>
          </w:p>
        </w:tc>
      </w:tr>
      <w:tr w:rsidR="0079253A" w:rsidTr="00FF746E" w14:paraId="0FCF79E5" w14:textId="77777777">
        <w:trPr>
          <w:trHeight w:val="402"/>
        </w:trPr>
        <w:tc>
          <w:tcPr>
            <w:tcW w:w="3865" w:type="dxa"/>
            <w:tcBorders>
              <w:top w:val="doub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2725AF" w:rsidR="0079253A" w:rsidP="00504304" w:rsidRDefault="0079253A" w14:paraId="1C59D92C" w14:textId="14FE3641">
            <w:pPr>
              <w:widowControl w:val="0"/>
              <w:rPr>
                <w:b/>
              </w:rPr>
            </w:pPr>
            <w:r>
              <w:rPr>
                <w:b/>
              </w:rPr>
              <w:t xml:space="preserve">Average Benefit (Cost) per </w:t>
            </w:r>
            <w:proofErr w:type="spellStart"/>
            <w:r>
              <w:rPr>
                <w:b/>
              </w:rPr>
              <w:t>Site</w:t>
            </w:r>
            <w:r w:rsidR="0078251B">
              <w:rPr>
                <w:b/>
                <w:vertAlign w:val="superscript"/>
              </w:rPr>
              <w:t>b</w:t>
            </w:r>
            <w:proofErr w:type="spellEnd"/>
          </w:p>
        </w:tc>
        <w:tc>
          <w:tcPr>
            <w:tcW w:w="2340" w:type="dxa"/>
            <w:tcBorders>
              <w:top w:val="double" w:color="auto" w:sz="4" w:space="0"/>
              <w:left w:val="single" w:color="auto" w:sz="4" w:space="0"/>
              <w:bottom w:val="single" w:color="auto" w:sz="4" w:space="0"/>
              <w:right w:val="single" w:color="auto" w:sz="4" w:space="0"/>
            </w:tcBorders>
            <w:shd w:val="clear" w:color="auto" w:fill="auto"/>
            <w:tcMar>
              <w:left w:w="29" w:type="dxa"/>
              <w:right w:w="29" w:type="dxa"/>
            </w:tcMar>
            <w:vAlign w:val="center"/>
          </w:tcPr>
          <w:p w:rsidRPr="00A95020" w:rsidR="0079253A" w:rsidP="00504304" w:rsidRDefault="0079253A" w14:paraId="4D481D6F" w14:textId="0237EAC6">
            <w:pPr>
              <w:widowControl w:val="0"/>
              <w:jc w:val="center"/>
              <w:rPr>
                <w:b/>
              </w:rPr>
            </w:pPr>
            <w:r w:rsidRPr="009D6BF9">
              <w:rPr>
                <w:b/>
              </w:rPr>
              <w:t>$</w:t>
            </w:r>
            <w:r w:rsidR="008D6077">
              <w:rPr>
                <w:b/>
              </w:rPr>
              <w:t>7,091</w:t>
            </w:r>
          </w:p>
        </w:tc>
        <w:tc>
          <w:tcPr>
            <w:tcW w:w="3155" w:type="dxa"/>
            <w:tcBorders>
              <w:top w:val="double" w:color="auto" w:sz="4" w:space="0"/>
              <w:left w:val="single" w:color="auto" w:sz="4" w:space="0"/>
              <w:bottom w:val="single" w:color="auto" w:sz="4" w:space="0"/>
              <w:right w:val="single" w:color="auto" w:sz="4" w:space="0"/>
            </w:tcBorders>
            <w:shd w:val="clear" w:color="auto" w:fill="auto"/>
            <w:vAlign w:val="center"/>
          </w:tcPr>
          <w:p w:rsidRPr="00A02BE9" w:rsidR="0079253A" w:rsidP="00504304" w:rsidRDefault="0079253A" w14:paraId="659492C5" w14:textId="77777777">
            <w:pPr>
              <w:widowControl w:val="0"/>
              <w:rPr>
                <w:b/>
                <w:highlight w:val="yellow"/>
              </w:rPr>
            </w:pPr>
          </w:p>
        </w:tc>
      </w:tr>
    </w:tbl>
    <w:p w:rsidR="00B07E02" w:rsidP="00A02BE9" w:rsidRDefault="00A02BE9" w14:paraId="4D9912C9" w14:textId="15EEBF98">
      <w:pPr>
        <w:ind w:left="360" w:hanging="360"/>
        <w:rPr>
          <w:sz w:val="18"/>
        </w:rPr>
      </w:pPr>
      <w:r w:rsidRPr="009A3684">
        <w:rPr>
          <w:sz w:val="18"/>
          <w:vertAlign w:val="superscript"/>
        </w:rPr>
        <w:t>a</w:t>
      </w:r>
      <w:r w:rsidRPr="009A3684">
        <w:rPr>
          <w:sz w:val="18"/>
        </w:rPr>
        <w:tab/>
      </w:r>
      <w:r w:rsidR="003F3888">
        <w:rPr>
          <w:sz w:val="18"/>
        </w:rPr>
        <w:t>Net present value is</w:t>
      </w:r>
      <w:r w:rsidR="004552F9">
        <w:rPr>
          <w:sz w:val="18"/>
        </w:rPr>
        <w:t xml:space="preserve"> the </w:t>
      </w:r>
      <w:r w:rsidR="00994157">
        <w:rPr>
          <w:sz w:val="18"/>
        </w:rPr>
        <w:t>discounted present value of a</w:t>
      </w:r>
      <w:r w:rsidR="00664A9E">
        <w:rPr>
          <w:sz w:val="18"/>
        </w:rPr>
        <w:t>n alternative’s</w:t>
      </w:r>
      <w:r w:rsidR="003F3888">
        <w:rPr>
          <w:sz w:val="18"/>
        </w:rPr>
        <w:t xml:space="preserve"> future stream of </w:t>
      </w:r>
      <w:r w:rsidR="00D27C70">
        <w:rPr>
          <w:sz w:val="18"/>
        </w:rPr>
        <w:t>cash flows</w:t>
      </w:r>
      <w:r w:rsidR="00784538">
        <w:rPr>
          <w:sz w:val="18"/>
        </w:rPr>
        <w:t>.</w:t>
      </w:r>
    </w:p>
    <w:p w:rsidR="00602C6A" w:rsidP="00A02BE9" w:rsidRDefault="00B07E02" w14:paraId="2C7298E3" w14:textId="77777777">
      <w:pPr>
        <w:ind w:left="360" w:hanging="360"/>
        <w:rPr>
          <w:sz w:val="18"/>
        </w:rPr>
      </w:pPr>
      <w:r w:rsidRPr="00B07E02">
        <w:rPr>
          <w:sz w:val="18"/>
          <w:vertAlign w:val="superscript"/>
        </w:rPr>
        <w:t>b</w:t>
      </w:r>
      <w:r w:rsidRPr="009A3684" w:rsidR="00A02BE9">
        <w:rPr>
          <w:sz w:val="18"/>
        </w:rPr>
        <w:tab/>
        <w:t xml:space="preserve">Section 4.2.2 </w:t>
      </w:r>
      <w:r w:rsidRPr="000D3B34" w:rsidR="00A02BE9">
        <w:rPr>
          <w:sz w:val="18"/>
          <w:szCs w:val="18"/>
        </w:rPr>
        <w:t>discuss</w:t>
      </w:r>
      <w:r w:rsidRPr="000D3B34" w:rsidR="003A568B">
        <w:rPr>
          <w:sz w:val="18"/>
          <w:szCs w:val="18"/>
        </w:rPr>
        <w:t>es</w:t>
      </w:r>
      <w:r w:rsidRPr="009A3684" w:rsidR="00A02BE9">
        <w:rPr>
          <w:sz w:val="18"/>
        </w:rPr>
        <w:t xml:space="preserve"> </w:t>
      </w:r>
      <w:r w:rsidR="002A1EAF">
        <w:rPr>
          <w:sz w:val="18"/>
        </w:rPr>
        <w:t xml:space="preserve">the number of </w:t>
      </w:r>
      <w:r w:rsidR="00581E92">
        <w:rPr>
          <w:sz w:val="18"/>
        </w:rPr>
        <w:t xml:space="preserve">FFD program </w:t>
      </w:r>
      <w:r w:rsidRPr="009A3684" w:rsidR="00A02BE9">
        <w:rPr>
          <w:sz w:val="18"/>
        </w:rPr>
        <w:t>sites.</w:t>
      </w:r>
    </w:p>
    <w:p w:rsidRPr="009A3684" w:rsidR="00F84893" w:rsidP="00A02BE9" w:rsidRDefault="00D54468" w14:paraId="7DFE7CC8" w14:textId="04ED8146">
      <w:pPr>
        <w:ind w:left="360" w:hanging="360"/>
        <w:rPr>
          <w:sz w:val="18"/>
        </w:rPr>
      </w:pPr>
      <w:r>
        <w:rPr>
          <w:sz w:val="18"/>
          <w:vertAlign w:val="superscript"/>
        </w:rPr>
        <w:t>c</w:t>
      </w:r>
      <w:r w:rsidR="00602C6A">
        <w:rPr>
          <w:sz w:val="18"/>
        </w:rPr>
        <w:tab/>
      </w:r>
      <w:r w:rsidR="00320DDC">
        <w:rPr>
          <w:sz w:val="18"/>
        </w:rPr>
        <w:t>T</w:t>
      </w:r>
      <w:r w:rsidR="002132F5">
        <w:rPr>
          <w:sz w:val="18"/>
        </w:rPr>
        <w:t>he 176</w:t>
      </w:r>
      <w:r w:rsidR="00EF116D">
        <w:rPr>
          <w:sz w:val="18"/>
        </w:rPr>
        <w:t xml:space="preserve"> additional posit</w:t>
      </w:r>
      <w:r w:rsidR="00D33565">
        <w:rPr>
          <w:sz w:val="18"/>
        </w:rPr>
        <w:t>ive results</w:t>
      </w:r>
      <w:r w:rsidR="002B52BC">
        <w:rPr>
          <w:sz w:val="18"/>
        </w:rPr>
        <w:t xml:space="preserve"> represents the </w:t>
      </w:r>
      <w:r w:rsidR="00592103">
        <w:rPr>
          <w:sz w:val="18"/>
        </w:rPr>
        <w:t>mean value</w:t>
      </w:r>
      <w:r w:rsidR="002B52BC">
        <w:rPr>
          <w:sz w:val="18"/>
        </w:rPr>
        <w:t xml:space="preserve"> for </w:t>
      </w:r>
      <w:r w:rsidR="003100E6">
        <w:rPr>
          <w:sz w:val="18"/>
        </w:rPr>
        <w:t xml:space="preserve">the </w:t>
      </w:r>
      <w:r w:rsidR="002B52BC">
        <w:rPr>
          <w:sz w:val="18"/>
        </w:rPr>
        <w:t xml:space="preserve">estimated </w:t>
      </w:r>
      <w:r w:rsidR="002E4FA5">
        <w:rPr>
          <w:sz w:val="18"/>
        </w:rPr>
        <w:t xml:space="preserve">increase in positive </w:t>
      </w:r>
      <w:r w:rsidR="002B52BC">
        <w:rPr>
          <w:sz w:val="18"/>
        </w:rPr>
        <w:t>results</w:t>
      </w:r>
      <w:r w:rsidR="002E4FA5">
        <w:rPr>
          <w:sz w:val="18"/>
        </w:rPr>
        <w:t>,</w:t>
      </w:r>
      <w:r w:rsidR="002B52BC">
        <w:rPr>
          <w:sz w:val="18"/>
        </w:rPr>
        <w:t xml:space="preserve"> as reflect in </w:t>
      </w:r>
      <w:r w:rsidRPr="002132F5" w:rsidR="002132F5">
        <w:rPr>
          <w:sz w:val="18"/>
        </w:rPr>
        <w:t>Table 5-18</w:t>
      </w:r>
      <w:r w:rsidR="007F0EAE">
        <w:rPr>
          <w:sz w:val="18"/>
        </w:rPr>
        <w:t>, “</w:t>
      </w:r>
      <w:r w:rsidRPr="002132F5" w:rsidR="002132F5">
        <w:rPr>
          <w:sz w:val="18"/>
        </w:rPr>
        <w:t>Estimated Number of Additional Confirmed Positives per Year</w:t>
      </w:r>
      <w:r w:rsidR="007F0EAE">
        <w:rPr>
          <w:sz w:val="18"/>
        </w:rPr>
        <w:t>”</w:t>
      </w:r>
      <w:r w:rsidR="00860995">
        <w:rPr>
          <w:sz w:val="18"/>
        </w:rPr>
        <w:t>.</w:t>
      </w:r>
    </w:p>
    <w:p w:rsidRPr="000370AA" w:rsidR="00A02BE9" w:rsidP="00D520BD" w:rsidRDefault="00A02BE9" w14:paraId="016C2F69" w14:textId="15AB0E4A">
      <w:pPr>
        <w:rPr>
          <w:sz w:val="22"/>
          <w:szCs w:val="22"/>
        </w:rPr>
      </w:pPr>
    </w:p>
    <w:p w:rsidR="00912EB6" w:rsidP="00912EB6" w:rsidRDefault="00D520BD" w14:paraId="4F4B49C8" w14:textId="2A19306B">
      <w:pPr>
        <w:rPr>
          <w:sz w:val="22"/>
          <w:szCs w:val="22"/>
        </w:rPr>
      </w:pPr>
      <w:r>
        <w:rPr>
          <w:sz w:val="22"/>
          <w:szCs w:val="22"/>
        </w:rPr>
        <w:lastRenderedPageBreak/>
        <w:t xml:space="preserve">The </w:t>
      </w:r>
      <w:r w:rsidR="003179AF">
        <w:rPr>
          <w:sz w:val="22"/>
          <w:szCs w:val="22"/>
        </w:rPr>
        <w:t xml:space="preserve">final </w:t>
      </w:r>
      <w:r>
        <w:rPr>
          <w:sz w:val="22"/>
          <w:szCs w:val="22"/>
        </w:rPr>
        <w:t xml:space="preserve">rule </w:t>
      </w:r>
      <w:r w:rsidR="004D35E9">
        <w:rPr>
          <w:sz w:val="22"/>
          <w:szCs w:val="22"/>
        </w:rPr>
        <w:t>do</w:t>
      </w:r>
      <w:r w:rsidR="003179AF">
        <w:rPr>
          <w:sz w:val="22"/>
          <w:szCs w:val="22"/>
        </w:rPr>
        <w:t>es</w:t>
      </w:r>
      <w:r>
        <w:rPr>
          <w:sz w:val="22"/>
          <w:szCs w:val="22"/>
        </w:rPr>
        <w:t xml:space="preserve"> not impose modifications or additions to existing structures</w:t>
      </w:r>
      <w:r w:rsidR="00646A79">
        <w:rPr>
          <w:sz w:val="22"/>
          <w:szCs w:val="22"/>
        </w:rPr>
        <w:t>,</w:t>
      </w:r>
      <w:r>
        <w:rPr>
          <w:sz w:val="22"/>
          <w:szCs w:val="22"/>
        </w:rPr>
        <w:t xml:space="preserve"> components</w:t>
      </w:r>
      <w:r w:rsidR="00646A79">
        <w:rPr>
          <w:sz w:val="22"/>
          <w:szCs w:val="22"/>
        </w:rPr>
        <w:t>,</w:t>
      </w:r>
      <w:r>
        <w:rPr>
          <w:sz w:val="22"/>
          <w:szCs w:val="22"/>
        </w:rPr>
        <w:t xml:space="preserve"> </w:t>
      </w:r>
      <w:r w:rsidR="00A02BE9">
        <w:rPr>
          <w:sz w:val="22"/>
          <w:szCs w:val="22"/>
        </w:rPr>
        <w:t>equipment</w:t>
      </w:r>
      <w:r w:rsidR="00646A79">
        <w:rPr>
          <w:sz w:val="22"/>
          <w:szCs w:val="22"/>
        </w:rPr>
        <w:t>,</w:t>
      </w:r>
      <w:r w:rsidR="00A02BE9">
        <w:rPr>
          <w:sz w:val="22"/>
          <w:szCs w:val="22"/>
        </w:rPr>
        <w:t xml:space="preserve"> </w:t>
      </w:r>
      <w:r>
        <w:rPr>
          <w:sz w:val="22"/>
          <w:szCs w:val="22"/>
        </w:rPr>
        <w:t>designs</w:t>
      </w:r>
      <w:r w:rsidR="00646A79">
        <w:rPr>
          <w:sz w:val="22"/>
          <w:szCs w:val="22"/>
        </w:rPr>
        <w:t>,</w:t>
      </w:r>
      <w:r>
        <w:rPr>
          <w:sz w:val="22"/>
          <w:szCs w:val="22"/>
        </w:rPr>
        <w:t xml:space="preserve"> or organizations.  </w:t>
      </w:r>
      <w:r w:rsidR="004D7780">
        <w:rPr>
          <w:sz w:val="22"/>
          <w:szCs w:val="22"/>
        </w:rPr>
        <w:t xml:space="preserve">To comply with the rule changes, </w:t>
      </w:r>
      <w:r w:rsidRPr="005678C0">
        <w:rPr>
          <w:sz w:val="22"/>
          <w:szCs w:val="22"/>
        </w:rPr>
        <w:t xml:space="preserve">licensees </w:t>
      </w:r>
      <w:r w:rsidR="00C0410E">
        <w:rPr>
          <w:sz w:val="22"/>
          <w:szCs w:val="22"/>
        </w:rPr>
        <w:t xml:space="preserve">will </w:t>
      </w:r>
      <w:r w:rsidRPr="005678C0">
        <w:rPr>
          <w:sz w:val="22"/>
          <w:szCs w:val="22"/>
        </w:rPr>
        <w:t xml:space="preserve">update existing </w:t>
      </w:r>
      <w:r>
        <w:rPr>
          <w:sz w:val="22"/>
          <w:szCs w:val="22"/>
        </w:rPr>
        <w:t xml:space="preserve">FFD program </w:t>
      </w:r>
      <w:r w:rsidRPr="005678C0">
        <w:rPr>
          <w:sz w:val="22"/>
          <w:szCs w:val="22"/>
        </w:rPr>
        <w:t>policies and procedures</w:t>
      </w:r>
      <w:r w:rsidR="00646A79">
        <w:rPr>
          <w:sz w:val="22"/>
          <w:szCs w:val="22"/>
        </w:rPr>
        <w:t>,</w:t>
      </w:r>
      <w:r w:rsidRPr="005678C0">
        <w:rPr>
          <w:sz w:val="22"/>
          <w:szCs w:val="22"/>
        </w:rPr>
        <w:t xml:space="preserve"> conduct training</w:t>
      </w:r>
      <w:r w:rsidR="00646A79">
        <w:rPr>
          <w:sz w:val="22"/>
          <w:szCs w:val="22"/>
        </w:rPr>
        <w:t>,</w:t>
      </w:r>
      <w:r w:rsidRPr="005678C0">
        <w:rPr>
          <w:sz w:val="22"/>
          <w:szCs w:val="22"/>
        </w:rPr>
        <w:t xml:space="preserve"> revise contracts with </w:t>
      </w:r>
      <w:r>
        <w:rPr>
          <w:sz w:val="22"/>
          <w:szCs w:val="22"/>
        </w:rPr>
        <w:t>HHS</w:t>
      </w:r>
      <w:r w:rsidR="00A02BE9">
        <w:rPr>
          <w:sz w:val="22"/>
          <w:szCs w:val="22"/>
        </w:rPr>
        <w:noBreakHyphen/>
      </w:r>
      <w:r>
        <w:rPr>
          <w:sz w:val="22"/>
          <w:szCs w:val="22"/>
        </w:rPr>
        <w:t xml:space="preserve">certified </w:t>
      </w:r>
      <w:r w:rsidRPr="005678C0">
        <w:rPr>
          <w:sz w:val="22"/>
          <w:szCs w:val="22"/>
        </w:rPr>
        <w:t>laboratories and blind performance test sample providers</w:t>
      </w:r>
      <w:r w:rsidR="00646A79">
        <w:rPr>
          <w:sz w:val="22"/>
          <w:szCs w:val="22"/>
        </w:rPr>
        <w:t>,</w:t>
      </w:r>
      <w:r w:rsidRPr="005678C0">
        <w:rPr>
          <w:sz w:val="22"/>
          <w:szCs w:val="22"/>
        </w:rPr>
        <w:t xml:space="preserve"> perform mandatory special analyses testing</w:t>
      </w:r>
      <w:r>
        <w:rPr>
          <w:sz w:val="22"/>
          <w:szCs w:val="22"/>
        </w:rPr>
        <w:t xml:space="preserve"> on some specimens</w:t>
      </w:r>
      <w:r w:rsidR="00646A79">
        <w:rPr>
          <w:sz w:val="22"/>
          <w:szCs w:val="22"/>
        </w:rPr>
        <w:t>,</w:t>
      </w:r>
      <w:r w:rsidRPr="005678C0">
        <w:rPr>
          <w:sz w:val="22"/>
          <w:szCs w:val="22"/>
        </w:rPr>
        <w:t xml:space="preserve"> and </w:t>
      </w:r>
      <w:r w:rsidR="001541F9">
        <w:rPr>
          <w:sz w:val="22"/>
          <w:szCs w:val="22"/>
        </w:rPr>
        <w:t>modify</w:t>
      </w:r>
      <w:r w:rsidRPr="005678C0">
        <w:rPr>
          <w:sz w:val="22"/>
          <w:szCs w:val="22"/>
        </w:rPr>
        <w:t xml:space="preserve"> the drug testing panel</w:t>
      </w:r>
      <w:r w:rsidR="001A1700">
        <w:rPr>
          <w:sz w:val="22"/>
          <w:szCs w:val="22"/>
        </w:rPr>
        <w:t>.</w:t>
      </w:r>
    </w:p>
    <w:p w:rsidR="00D520BD" w:rsidP="00D520BD" w:rsidRDefault="00D520BD" w14:paraId="2595F562" w14:textId="77777777">
      <w:pPr>
        <w:rPr>
          <w:sz w:val="22"/>
          <w:szCs w:val="22"/>
        </w:rPr>
      </w:pPr>
    </w:p>
    <w:p w:rsidR="00D520BD" w:rsidP="00D520BD" w:rsidRDefault="00912EB6" w14:paraId="04F38606" w14:textId="62426D4A">
      <w:pPr>
        <w:rPr>
          <w:sz w:val="22"/>
          <w:szCs w:val="22"/>
        </w:rPr>
      </w:pPr>
      <w:r>
        <w:rPr>
          <w:sz w:val="22"/>
          <w:szCs w:val="22"/>
        </w:rPr>
        <w:t>T</w:t>
      </w:r>
      <w:r w:rsidRPr="000440E8" w:rsidR="00D520BD">
        <w:rPr>
          <w:sz w:val="22"/>
          <w:szCs w:val="22"/>
        </w:rPr>
        <w:t xml:space="preserve">he NRC staff concludes that the </w:t>
      </w:r>
      <w:r w:rsidR="00A70A06">
        <w:rPr>
          <w:sz w:val="22"/>
          <w:szCs w:val="22"/>
        </w:rPr>
        <w:t xml:space="preserve">final </w:t>
      </w:r>
      <w:r w:rsidRPr="000440E8" w:rsidR="00D520BD">
        <w:rPr>
          <w:sz w:val="22"/>
          <w:szCs w:val="22"/>
        </w:rPr>
        <w:t xml:space="preserve">rule </w:t>
      </w:r>
      <w:r w:rsidR="00777D4B">
        <w:rPr>
          <w:sz w:val="22"/>
          <w:szCs w:val="22"/>
        </w:rPr>
        <w:t xml:space="preserve">is </w:t>
      </w:r>
      <w:r w:rsidR="00EE0C7C">
        <w:rPr>
          <w:sz w:val="22"/>
          <w:szCs w:val="22"/>
        </w:rPr>
        <w:t xml:space="preserve">projected </w:t>
      </w:r>
      <w:r w:rsidR="00777D4B">
        <w:rPr>
          <w:sz w:val="22"/>
          <w:szCs w:val="22"/>
        </w:rPr>
        <w:t xml:space="preserve">to result in a </w:t>
      </w:r>
      <w:r w:rsidR="003D1403">
        <w:rPr>
          <w:sz w:val="22"/>
          <w:szCs w:val="22"/>
        </w:rPr>
        <w:t>176 additional</w:t>
      </w:r>
      <w:r w:rsidRPr="000440E8" w:rsidR="00D520BD">
        <w:rPr>
          <w:sz w:val="22"/>
          <w:szCs w:val="22"/>
        </w:rPr>
        <w:t xml:space="preserve"> individuals identified each year </w:t>
      </w:r>
      <w:r w:rsidR="001342F7">
        <w:rPr>
          <w:sz w:val="22"/>
          <w:szCs w:val="22"/>
        </w:rPr>
        <w:t xml:space="preserve">(i.e., a 22 percent increase) </w:t>
      </w:r>
      <w:r w:rsidRPr="000440E8" w:rsidR="00D520BD">
        <w:rPr>
          <w:sz w:val="22"/>
          <w:szCs w:val="22"/>
        </w:rPr>
        <w:t>using illegal drugs</w:t>
      </w:r>
      <w:r w:rsidR="00646A79">
        <w:rPr>
          <w:sz w:val="22"/>
          <w:szCs w:val="22"/>
        </w:rPr>
        <w:t>,</w:t>
      </w:r>
      <w:r w:rsidRPr="000440E8" w:rsidR="00D520BD">
        <w:rPr>
          <w:sz w:val="22"/>
          <w:szCs w:val="22"/>
        </w:rPr>
        <w:t xml:space="preserve"> misusing legal drugs</w:t>
      </w:r>
      <w:r w:rsidR="00646A79">
        <w:rPr>
          <w:sz w:val="22"/>
          <w:szCs w:val="22"/>
        </w:rPr>
        <w:t>,</w:t>
      </w:r>
      <w:r w:rsidRPr="000440E8" w:rsidR="00D520BD">
        <w:rPr>
          <w:sz w:val="22"/>
          <w:szCs w:val="22"/>
        </w:rPr>
        <w:t xml:space="preserve"> or attempting to subvert the drug testing process.  This </w:t>
      </w:r>
      <w:r w:rsidR="00D520BD">
        <w:rPr>
          <w:sz w:val="22"/>
          <w:szCs w:val="22"/>
        </w:rPr>
        <w:t>is a substantial increase in the overall protection of public health and safety and the common defense and security.  This conclusion is based</w:t>
      </w:r>
      <w:r w:rsidR="00D520BD">
        <w:rPr>
          <w:rFonts w:cs="Arial" w:eastAsiaTheme="minorHAnsi"/>
          <w:sz w:val="22"/>
          <w:szCs w:val="22"/>
        </w:rPr>
        <w:t xml:space="preserve"> </w:t>
      </w:r>
      <w:r w:rsidRPr="00D55645" w:rsidR="00D520BD">
        <w:rPr>
          <w:rFonts w:cs="Arial" w:eastAsiaTheme="minorHAnsi"/>
          <w:sz w:val="22"/>
          <w:szCs w:val="22"/>
        </w:rPr>
        <w:t xml:space="preserve">on the </w:t>
      </w:r>
      <w:r w:rsidR="00D520BD">
        <w:rPr>
          <w:sz w:val="22"/>
          <w:szCs w:val="22"/>
        </w:rPr>
        <w:t>following</w:t>
      </w:r>
      <w:r w:rsidRPr="00257E30" w:rsidR="00D520BD">
        <w:rPr>
          <w:sz w:val="22"/>
          <w:szCs w:val="22"/>
        </w:rPr>
        <w:t>:</w:t>
      </w:r>
    </w:p>
    <w:p w:rsidRPr="00257E30" w:rsidR="00D520BD" w:rsidP="00D520BD" w:rsidRDefault="00D520BD" w14:paraId="0D694A5B" w14:textId="77777777">
      <w:pPr>
        <w:rPr>
          <w:sz w:val="22"/>
          <w:szCs w:val="22"/>
        </w:rPr>
      </w:pPr>
    </w:p>
    <w:p w:rsidRPr="00D55645" w:rsidR="00D520BD" w:rsidP="005C6BA3" w:rsidRDefault="004B4471" w14:paraId="1B56450D" w14:textId="68960E76">
      <w:pPr>
        <w:pStyle w:val="ListParagraph"/>
        <w:numPr>
          <w:ilvl w:val="0"/>
          <w:numId w:val="29"/>
        </w:numPr>
        <w:ind w:left="720" w:hanging="720"/>
        <w:rPr>
          <w:sz w:val="22"/>
          <w:szCs w:val="22"/>
        </w:rPr>
      </w:pPr>
      <w:r>
        <w:rPr>
          <w:rFonts w:cs="Arial" w:eastAsiaTheme="minorHAnsi"/>
          <w:sz w:val="22"/>
          <w:szCs w:val="22"/>
        </w:rPr>
        <w:t>T</w:t>
      </w:r>
      <w:r w:rsidRPr="00A95020" w:rsidR="00D520BD">
        <w:rPr>
          <w:rFonts w:cs="Arial" w:eastAsiaTheme="minorHAnsi"/>
          <w:sz w:val="22"/>
          <w:szCs w:val="22"/>
        </w:rPr>
        <w:t>he FFD program</w:t>
      </w:r>
      <w:r w:rsidRPr="00D55645" w:rsidR="00D520BD">
        <w:rPr>
          <w:rFonts w:cs="Arial" w:eastAsiaTheme="minorHAnsi"/>
          <w:sz w:val="22"/>
          <w:szCs w:val="22"/>
        </w:rPr>
        <w:t xml:space="preserve"> performance </w:t>
      </w:r>
      <w:r w:rsidR="00D520BD">
        <w:rPr>
          <w:rFonts w:cs="Arial" w:eastAsiaTheme="minorHAnsi"/>
          <w:sz w:val="22"/>
          <w:szCs w:val="22"/>
        </w:rPr>
        <w:t>data</w:t>
      </w:r>
      <w:r w:rsidRPr="00D55645" w:rsidR="00D520BD">
        <w:rPr>
          <w:rFonts w:cs="Arial" w:eastAsiaTheme="minorHAnsi"/>
          <w:sz w:val="22"/>
          <w:szCs w:val="22"/>
        </w:rPr>
        <w:t xml:space="preserve"> received by the NRC </w:t>
      </w:r>
      <w:r w:rsidR="001C2B72">
        <w:rPr>
          <w:rFonts w:cs="Arial" w:eastAsiaTheme="minorHAnsi"/>
          <w:sz w:val="22"/>
          <w:szCs w:val="22"/>
        </w:rPr>
        <w:t>from C</w:t>
      </w:r>
      <w:r w:rsidR="00A26D10">
        <w:rPr>
          <w:rFonts w:cs="Arial" w:eastAsiaTheme="minorHAnsi"/>
          <w:sz w:val="22"/>
          <w:szCs w:val="22"/>
        </w:rPr>
        <w:t>Y 2011</w:t>
      </w:r>
      <w:r w:rsidR="00DF625B">
        <w:rPr>
          <w:rFonts w:cs="Arial" w:eastAsiaTheme="minorHAnsi"/>
          <w:sz w:val="22"/>
          <w:szCs w:val="22"/>
        </w:rPr>
        <w:t xml:space="preserve"> to CY 2019</w:t>
      </w:r>
      <w:r w:rsidR="00646A79">
        <w:rPr>
          <w:rFonts w:cs="Arial" w:eastAsiaTheme="minorHAnsi"/>
          <w:sz w:val="22"/>
          <w:szCs w:val="22"/>
        </w:rPr>
        <w:t>,</w:t>
      </w:r>
      <w:r w:rsidR="00D520BD">
        <w:rPr>
          <w:rFonts w:cs="Arial" w:eastAsiaTheme="minorHAnsi"/>
          <w:sz w:val="22"/>
          <w:szCs w:val="22"/>
        </w:rPr>
        <w:t xml:space="preserve"> </w:t>
      </w:r>
      <w:r w:rsidR="0006438E">
        <w:rPr>
          <w:rFonts w:cs="Arial" w:eastAsiaTheme="minorHAnsi"/>
          <w:sz w:val="22"/>
          <w:szCs w:val="22"/>
        </w:rPr>
        <w:t>which show the</w:t>
      </w:r>
      <w:r w:rsidRPr="00A95020" w:rsidR="00D520BD">
        <w:rPr>
          <w:sz w:val="22"/>
          <w:szCs w:val="22"/>
        </w:rPr>
        <w:t xml:space="preserve"> increases</w:t>
      </w:r>
      <w:r w:rsidR="00D520BD">
        <w:rPr>
          <w:sz w:val="22"/>
          <w:szCs w:val="22"/>
        </w:rPr>
        <w:t xml:space="preserve"> in </w:t>
      </w:r>
      <w:r w:rsidR="008B0829">
        <w:rPr>
          <w:sz w:val="22"/>
          <w:szCs w:val="22"/>
        </w:rPr>
        <w:t xml:space="preserve">the </w:t>
      </w:r>
      <w:r w:rsidR="00D520BD">
        <w:rPr>
          <w:sz w:val="22"/>
          <w:szCs w:val="22"/>
        </w:rPr>
        <w:t xml:space="preserve">positive </w:t>
      </w:r>
      <w:r w:rsidR="008B0829">
        <w:rPr>
          <w:sz w:val="22"/>
          <w:szCs w:val="22"/>
        </w:rPr>
        <w:t xml:space="preserve">test rates </w:t>
      </w:r>
      <w:r w:rsidR="00D520BD">
        <w:rPr>
          <w:sz w:val="22"/>
          <w:szCs w:val="22"/>
        </w:rPr>
        <w:t xml:space="preserve">as summarized in </w:t>
      </w:r>
      <w:r w:rsidR="004759E9">
        <w:rPr>
          <w:sz w:val="22"/>
          <w:szCs w:val="22"/>
        </w:rPr>
        <w:t>Appendix </w:t>
      </w:r>
      <w:r w:rsidR="00594BF0">
        <w:rPr>
          <w:sz w:val="22"/>
          <w:szCs w:val="22"/>
        </w:rPr>
        <w:t>B</w:t>
      </w:r>
      <w:r w:rsidR="00D520BD">
        <w:rPr>
          <w:sz w:val="22"/>
          <w:szCs w:val="22"/>
        </w:rPr>
        <w:t>.</w:t>
      </w:r>
    </w:p>
    <w:p w:rsidRPr="00F8344F" w:rsidR="00D520BD" w:rsidP="00D520BD" w:rsidRDefault="00D520BD" w14:paraId="57A3BBD8" w14:textId="6EE4D09C">
      <w:pPr>
        <w:ind w:left="720" w:hanging="720"/>
        <w:rPr>
          <w:sz w:val="22"/>
        </w:rPr>
      </w:pPr>
    </w:p>
    <w:p w:rsidRPr="001718C8" w:rsidR="00D520BD" w:rsidP="005C6BA3" w:rsidRDefault="00D520BD" w14:paraId="3F6A292E" w14:textId="46F21612">
      <w:pPr>
        <w:pStyle w:val="ListParagraph"/>
        <w:numPr>
          <w:ilvl w:val="0"/>
          <w:numId w:val="29"/>
        </w:numPr>
        <w:ind w:left="720" w:hanging="720"/>
        <w:rPr>
          <w:sz w:val="22"/>
          <w:szCs w:val="22"/>
        </w:rPr>
      </w:pPr>
      <w:r w:rsidRPr="00257E30">
        <w:rPr>
          <w:rFonts w:cs="Arial" w:eastAsiaTheme="minorHAnsi"/>
          <w:sz w:val="22"/>
          <w:szCs w:val="22"/>
        </w:rPr>
        <w:t xml:space="preserve">The changes </w:t>
      </w:r>
      <w:r>
        <w:rPr>
          <w:rFonts w:cs="Arial" w:eastAsiaTheme="minorHAnsi"/>
          <w:sz w:val="22"/>
          <w:szCs w:val="22"/>
        </w:rPr>
        <w:t>to</w:t>
      </w:r>
      <w:r w:rsidRPr="00257E30">
        <w:rPr>
          <w:rFonts w:cs="Arial" w:eastAsiaTheme="minorHAnsi"/>
          <w:sz w:val="22"/>
          <w:szCs w:val="22"/>
        </w:rPr>
        <w:t xml:space="preserve"> </w:t>
      </w:r>
      <w:r>
        <w:rPr>
          <w:rFonts w:cs="Arial" w:eastAsiaTheme="minorHAnsi"/>
          <w:sz w:val="22"/>
          <w:szCs w:val="22"/>
        </w:rPr>
        <w:t xml:space="preserve">the </w:t>
      </w:r>
      <w:r w:rsidRPr="00257E30">
        <w:rPr>
          <w:rFonts w:cs="Arial" w:eastAsiaTheme="minorHAnsi"/>
          <w:sz w:val="22"/>
          <w:szCs w:val="22"/>
        </w:rPr>
        <w:t>drug testing panel are broad</w:t>
      </w:r>
      <w:r>
        <w:rPr>
          <w:rFonts w:cs="Arial" w:eastAsiaTheme="minorHAnsi"/>
          <w:sz w:val="22"/>
          <w:szCs w:val="22"/>
        </w:rPr>
        <w:t xml:space="preserve"> </w:t>
      </w:r>
      <w:r w:rsidRPr="00257E30">
        <w:rPr>
          <w:rFonts w:cs="Arial" w:eastAsiaTheme="minorHAnsi"/>
          <w:sz w:val="22"/>
          <w:szCs w:val="22"/>
        </w:rPr>
        <w:t>based (i.e.</w:t>
      </w:r>
      <w:r w:rsidR="00646A79">
        <w:rPr>
          <w:rFonts w:cs="Arial" w:eastAsiaTheme="minorHAnsi"/>
          <w:sz w:val="22"/>
          <w:szCs w:val="22"/>
        </w:rPr>
        <w:t>,</w:t>
      </w:r>
      <w:r>
        <w:rPr>
          <w:rFonts w:cs="Arial" w:eastAsiaTheme="minorHAnsi"/>
          <w:sz w:val="22"/>
          <w:szCs w:val="22"/>
        </w:rPr>
        <w:t> </w:t>
      </w:r>
      <w:r w:rsidRPr="00257E30">
        <w:rPr>
          <w:rFonts w:cs="Arial" w:eastAsiaTheme="minorHAnsi"/>
          <w:sz w:val="22"/>
          <w:szCs w:val="22"/>
        </w:rPr>
        <w:t>the cutoff levels for multiple substances are being lowered and additional substances are being added)</w:t>
      </w:r>
      <w:r>
        <w:rPr>
          <w:rFonts w:cs="Arial" w:eastAsiaTheme="minorHAnsi"/>
          <w:sz w:val="22"/>
          <w:szCs w:val="22"/>
        </w:rPr>
        <w:t xml:space="preserve"> and address trends in FFD program performance data</w:t>
      </w:r>
      <w:r w:rsidRPr="00257E30">
        <w:rPr>
          <w:rFonts w:cs="Arial" w:eastAsiaTheme="minorHAnsi"/>
          <w:sz w:val="22"/>
          <w:szCs w:val="22"/>
        </w:rPr>
        <w:t>.</w:t>
      </w:r>
    </w:p>
    <w:p w:rsidRPr="005465BE" w:rsidR="00D520BD" w:rsidP="00D520BD" w:rsidRDefault="00D520BD" w14:paraId="66BAB023" w14:textId="77777777">
      <w:pPr>
        <w:ind w:left="720" w:hanging="720"/>
        <w:rPr>
          <w:sz w:val="22"/>
          <w:szCs w:val="22"/>
        </w:rPr>
      </w:pPr>
    </w:p>
    <w:p w:rsidRPr="00B55EAA" w:rsidR="00D520BD" w:rsidP="005C6BA3" w:rsidRDefault="00D520BD" w14:paraId="2304142B" w14:textId="5B143DB1">
      <w:pPr>
        <w:pStyle w:val="ListParagraph"/>
        <w:numPr>
          <w:ilvl w:val="0"/>
          <w:numId w:val="29"/>
        </w:numPr>
        <w:ind w:left="720" w:hanging="720"/>
        <w:rPr>
          <w:sz w:val="22"/>
          <w:szCs w:val="22"/>
        </w:rPr>
      </w:pPr>
      <w:r w:rsidRPr="00257E30">
        <w:rPr>
          <w:rFonts w:cs="Arial" w:eastAsiaTheme="minorHAnsi"/>
          <w:sz w:val="22"/>
          <w:szCs w:val="22"/>
        </w:rPr>
        <w:t xml:space="preserve">Aligning </w:t>
      </w:r>
      <w:r>
        <w:rPr>
          <w:rFonts w:cs="Arial" w:eastAsiaTheme="minorHAnsi"/>
          <w:sz w:val="22"/>
          <w:szCs w:val="22"/>
        </w:rPr>
        <w:t>10 CFR Part 26</w:t>
      </w:r>
      <w:r w:rsidRPr="00257E30">
        <w:rPr>
          <w:rFonts w:cs="Arial" w:eastAsiaTheme="minorHAnsi"/>
          <w:sz w:val="22"/>
          <w:szCs w:val="22"/>
        </w:rPr>
        <w:t xml:space="preserve"> with the </w:t>
      </w:r>
      <w:r w:rsidR="00E86E86">
        <w:rPr>
          <w:rFonts w:cs="Arial" w:eastAsiaTheme="minorHAnsi"/>
          <w:sz w:val="22"/>
          <w:szCs w:val="22"/>
        </w:rPr>
        <w:t>2017</w:t>
      </w:r>
      <w:r w:rsidRPr="00257E30">
        <w:rPr>
          <w:rFonts w:cs="Arial" w:eastAsiaTheme="minorHAnsi"/>
          <w:sz w:val="22"/>
          <w:szCs w:val="22"/>
        </w:rPr>
        <w:t xml:space="preserve"> HHS Guidelines ensures that the NRC FFD </w:t>
      </w:r>
      <w:r>
        <w:rPr>
          <w:rFonts w:cs="Arial" w:eastAsiaTheme="minorHAnsi"/>
          <w:sz w:val="22"/>
          <w:szCs w:val="22"/>
        </w:rPr>
        <w:t xml:space="preserve">drug </w:t>
      </w:r>
      <w:r w:rsidRPr="00257E30">
        <w:rPr>
          <w:rFonts w:cs="Arial" w:eastAsiaTheme="minorHAnsi"/>
          <w:sz w:val="22"/>
          <w:szCs w:val="22"/>
        </w:rPr>
        <w:t xml:space="preserve">testing program is consistent with this national </w:t>
      </w:r>
      <w:r>
        <w:rPr>
          <w:rFonts w:cs="Arial" w:eastAsiaTheme="minorHAnsi"/>
          <w:sz w:val="22"/>
          <w:szCs w:val="22"/>
        </w:rPr>
        <w:t xml:space="preserve">drug </w:t>
      </w:r>
      <w:r w:rsidRPr="00257E30">
        <w:rPr>
          <w:rFonts w:cs="Arial" w:eastAsiaTheme="minorHAnsi"/>
          <w:sz w:val="22"/>
          <w:szCs w:val="22"/>
        </w:rPr>
        <w:t>testing sta</w:t>
      </w:r>
      <w:r>
        <w:rPr>
          <w:rFonts w:cs="Arial" w:eastAsiaTheme="minorHAnsi"/>
          <w:sz w:val="22"/>
          <w:szCs w:val="22"/>
        </w:rPr>
        <w:t>n</w:t>
      </w:r>
      <w:r w:rsidRPr="00257E30">
        <w:rPr>
          <w:rFonts w:cs="Arial" w:eastAsiaTheme="minorHAnsi"/>
          <w:sz w:val="22"/>
          <w:szCs w:val="22"/>
        </w:rPr>
        <w:t xml:space="preserve">dard implemented by all comparable safety- and security-sensitive workforces </w:t>
      </w:r>
      <w:r>
        <w:rPr>
          <w:rFonts w:cs="Arial" w:eastAsiaTheme="minorHAnsi"/>
          <w:sz w:val="22"/>
          <w:szCs w:val="22"/>
        </w:rPr>
        <w:t>tested in the United States (e.g.</w:t>
      </w:r>
      <w:r w:rsidR="00646A79">
        <w:rPr>
          <w:rFonts w:cs="Arial" w:eastAsiaTheme="minorHAnsi"/>
          <w:sz w:val="22"/>
          <w:szCs w:val="22"/>
        </w:rPr>
        <w:t>,</w:t>
      </w:r>
      <w:r>
        <w:rPr>
          <w:rFonts w:cs="Arial" w:eastAsiaTheme="minorHAnsi"/>
          <w:sz w:val="22"/>
          <w:szCs w:val="22"/>
        </w:rPr>
        <w:t> </w:t>
      </w:r>
      <w:r w:rsidRPr="00257E30">
        <w:rPr>
          <w:rFonts w:cs="Arial" w:eastAsiaTheme="minorHAnsi"/>
          <w:sz w:val="22"/>
          <w:szCs w:val="22"/>
        </w:rPr>
        <w:t>Federal employee workplace drug testing program</w:t>
      </w:r>
      <w:r>
        <w:rPr>
          <w:rFonts w:cs="Arial" w:eastAsiaTheme="minorHAnsi"/>
          <w:sz w:val="22"/>
          <w:szCs w:val="22"/>
        </w:rPr>
        <w:t>s</w:t>
      </w:r>
      <w:r w:rsidR="001A525C">
        <w:rPr>
          <w:rFonts w:cs="Arial" w:eastAsiaTheme="minorHAnsi"/>
          <w:sz w:val="22"/>
          <w:szCs w:val="22"/>
        </w:rPr>
        <w:t>,</w:t>
      </w:r>
      <w:r>
        <w:rPr>
          <w:rFonts w:cs="Arial" w:eastAsiaTheme="minorHAnsi"/>
          <w:sz w:val="22"/>
          <w:szCs w:val="22"/>
        </w:rPr>
        <w:t xml:space="preserve"> </w:t>
      </w:r>
      <w:r w:rsidRPr="003411F5" w:rsidR="003411F5">
        <w:rPr>
          <w:rFonts w:cs="Arial" w:eastAsiaTheme="minorHAnsi"/>
          <w:sz w:val="22"/>
          <w:szCs w:val="22"/>
        </w:rPr>
        <w:t xml:space="preserve">other Federal agency programs that drug test civilians </w:t>
      </w:r>
      <w:r>
        <w:rPr>
          <w:rFonts w:cs="Arial" w:eastAsiaTheme="minorHAnsi"/>
          <w:sz w:val="22"/>
          <w:szCs w:val="22"/>
        </w:rPr>
        <w:t xml:space="preserve">such as </w:t>
      </w:r>
      <w:r w:rsidR="00AC07CD">
        <w:rPr>
          <w:rFonts w:cs="Arial" w:eastAsiaTheme="minorHAnsi"/>
          <w:sz w:val="22"/>
          <w:szCs w:val="22"/>
        </w:rPr>
        <w:t xml:space="preserve">the </w:t>
      </w:r>
      <w:r>
        <w:rPr>
          <w:rFonts w:cs="Arial" w:eastAsiaTheme="minorHAnsi"/>
          <w:sz w:val="22"/>
          <w:szCs w:val="22"/>
        </w:rPr>
        <w:t>DOT).</w:t>
      </w:r>
    </w:p>
    <w:p w:rsidRPr="005465BE" w:rsidR="00D520BD" w:rsidP="00D520BD" w:rsidRDefault="00D520BD" w14:paraId="6E868D36" w14:textId="77777777">
      <w:pPr>
        <w:ind w:left="720" w:hanging="720"/>
        <w:rPr>
          <w:sz w:val="22"/>
          <w:szCs w:val="22"/>
        </w:rPr>
      </w:pPr>
    </w:p>
    <w:p w:rsidRPr="00B55EAA" w:rsidR="00D520BD" w:rsidP="005C6BA3" w:rsidRDefault="00D520BD" w14:paraId="3AE4376B" w14:textId="7761AF93">
      <w:pPr>
        <w:pStyle w:val="ListParagraph"/>
        <w:numPr>
          <w:ilvl w:val="0"/>
          <w:numId w:val="29"/>
        </w:numPr>
        <w:ind w:left="720" w:hanging="720"/>
        <w:rPr>
          <w:sz w:val="22"/>
          <w:szCs w:val="22"/>
        </w:rPr>
      </w:pPr>
      <w:r>
        <w:rPr>
          <w:rFonts w:cs="Arial" w:eastAsiaTheme="minorHAnsi"/>
          <w:sz w:val="22"/>
          <w:szCs w:val="22"/>
        </w:rPr>
        <w:t>The d</w:t>
      </w:r>
      <w:r w:rsidRPr="00257E30">
        <w:rPr>
          <w:rFonts w:cs="Arial" w:eastAsiaTheme="minorHAnsi"/>
          <w:sz w:val="22"/>
          <w:szCs w:val="22"/>
        </w:rPr>
        <w:t>et</w:t>
      </w:r>
      <w:r>
        <w:rPr>
          <w:rFonts w:cs="Arial" w:eastAsiaTheme="minorHAnsi"/>
          <w:sz w:val="22"/>
          <w:szCs w:val="22"/>
        </w:rPr>
        <w:t>ection of drugs in the workplace</w:t>
      </w:r>
      <w:r w:rsidRPr="00257E30">
        <w:rPr>
          <w:rFonts w:cs="Arial" w:eastAsiaTheme="minorHAnsi"/>
          <w:sz w:val="22"/>
          <w:szCs w:val="22"/>
        </w:rPr>
        <w:t xml:space="preserve"> subject to </w:t>
      </w:r>
      <w:r>
        <w:rPr>
          <w:rFonts w:cs="Arial" w:eastAsiaTheme="minorHAnsi"/>
          <w:sz w:val="22"/>
          <w:szCs w:val="22"/>
        </w:rPr>
        <w:t>10 </w:t>
      </w:r>
      <w:r w:rsidRPr="00EF10A5">
        <w:rPr>
          <w:rFonts w:cs="Arial" w:eastAsiaTheme="minorHAnsi"/>
          <w:sz w:val="22"/>
          <w:szCs w:val="22"/>
        </w:rPr>
        <w:t>CFR Part 26 testing is a proactive</w:t>
      </w:r>
      <w:r w:rsidRPr="00EF10A5" w:rsidR="00646A79">
        <w:rPr>
          <w:rFonts w:cs="Arial" w:eastAsiaTheme="minorHAnsi"/>
          <w:sz w:val="22"/>
          <w:szCs w:val="22"/>
        </w:rPr>
        <w:t>,</w:t>
      </w:r>
      <w:r w:rsidRPr="00EF10A5">
        <w:rPr>
          <w:rFonts w:cs="Arial" w:eastAsiaTheme="minorHAnsi"/>
          <w:sz w:val="22"/>
          <w:szCs w:val="22"/>
        </w:rPr>
        <w:t xml:space="preserve"> risk</w:t>
      </w:r>
      <w:r w:rsidR="00906B8C">
        <w:rPr>
          <w:rFonts w:cs="Arial" w:eastAsiaTheme="minorHAnsi"/>
          <w:sz w:val="22"/>
          <w:szCs w:val="22"/>
        </w:rPr>
        <w:noBreakHyphen/>
      </w:r>
      <w:r w:rsidRPr="00EF10A5">
        <w:rPr>
          <w:rFonts w:cs="Arial" w:eastAsiaTheme="minorHAnsi"/>
          <w:sz w:val="22"/>
          <w:szCs w:val="22"/>
        </w:rPr>
        <w:t xml:space="preserve">informed FFD strategy.  </w:t>
      </w:r>
      <w:r w:rsidR="00F85810">
        <w:rPr>
          <w:rFonts w:cs="Arial" w:eastAsiaTheme="minorHAnsi"/>
          <w:sz w:val="22"/>
          <w:szCs w:val="22"/>
        </w:rPr>
        <w:t>Between 2009 and 2019</w:t>
      </w:r>
      <w:r w:rsidRPr="00EF10A5" w:rsidR="00646A79">
        <w:rPr>
          <w:rFonts w:cs="Arial" w:eastAsiaTheme="minorHAnsi"/>
          <w:sz w:val="22"/>
          <w:szCs w:val="22"/>
        </w:rPr>
        <w:t>,</w:t>
      </w:r>
      <w:r w:rsidRPr="00EF10A5">
        <w:rPr>
          <w:rFonts w:cs="Arial" w:eastAsiaTheme="minorHAnsi"/>
          <w:sz w:val="22"/>
          <w:szCs w:val="22"/>
        </w:rPr>
        <w:t xml:space="preserve"> approximately 6</w:t>
      </w:r>
      <w:r w:rsidRPr="00EF10A5" w:rsidR="00EF10A5">
        <w:rPr>
          <w:rFonts w:cs="Arial" w:eastAsiaTheme="minorHAnsi"/>
          <w:sz w:val="22"/>
          <w:szCs w:val="22"/>
        </w:rPr>
        <w:t>7</w:t>
      </w:r>
      <w:r w:rsidRPr="00EF10A5">
        <w:rPr>
          <w:rFonts w:cs="Arial" w:eastAsiaTheme="minorHAnsi"/>
          <w:sz w:val="22"/>
          <w:szCs w:val="22"/>
        </w:rPr>
        <w:t> percent of</w:t>
      </w:r>
      <w:r w:rsidRPr="00257E30">
        <w:rPr>
          <w:rFonts w:cs="Arial" w:eastAsiaTheme="minorHAnsi"/>
          <w:sz w:val="22"/>
          <w:szCs w:val="22"/>
        </w:rPr>
        <w:t xml:space="preserve"> individuals</w:t>
      </w:r>
      <w:r w:rsidR="00A32A43">
        <w:rPr>
          <w:rFonts w:cs="Arial" w:eastAsiaTheme="minorHAnsi"/>
          <w:sz w:val="22"/>
          <w:szCs w:val="22"/>
        </w:rPr>
        <w:t xml:space="preserve"> </w:t>
      </w:r>
      <w:r w:rsidR="000427BD">
        <w:rPr>
          <w:rFonts w:cs="Arial" w:eastAsiaTheme="minorHAnsi"/>
          <w:sz w:val="22"/>
          <w:szCs w:val="22"/>
        </w:rPr>
        <w:t>who</w:t>
      </w:r>
      <w:r>
        <w:rPr>
          <w:rFonts w:cs="Arial" w:eastAsiaTheme="minorHAnsi"/>
          <w:sz w:val="22"/>
          <w:szCs w:val="22"/>
        </w:rPr>
        <w:t xml:space="preserve"> </w:t>
      </w:r>
      <w:r w:rsidRPr="00257E30">
        <w:rPr>
          <w:rFonts w:cs="Arial" w:eastAsiaTheme="minorHAnsi"/>
          <w:sz w:val="22"/>
          <w:szCs w:val="22"/>
        </w:rPr>
        <w:t>test</w:t>
      </w:r>
      <w:r w:rsidR="00A32A43">
        <w:rPr>
          <w:rFonts w:cs="Arial" w:eastAsiaTheme="minorHAnsi"/>
          <w:sz w:val="22"/>
          <w:szCs w:val="22"/>
        </w:rPr>
        <w:t>ed</w:t>
      </w:r>
      <w:r w:rsidRPr="00257E30">
        <w:rPr>
          <w:rFonts w:cs="Arial" w:eastAsiaTheme="minorHAnsi"/>
          <w:sz w:val="22"/>
          <w:szCs w:val="22"/>
        </w:rPr>
        <w:t xml:space="preserve"> positive for drugs or alcohol</w:t>
      </w:r>
      <w:r>
        <w:rPr>
          <w:rFonts w:cs="Arial" w:eastAsiaTheme="minorHAnsi"/>
          <w:sz w:val="22"/>
          <w:szCs w:val="22"/>
        </w:rPr>
        <w:t xml:space="preserve"> each year </w:t>
      </w:r>
      <w:r w:rsidR="00A32A43">
        <w:rPr>
          <w:rFonts w:cs="Arial" w:eastAsiaTheme="minorHAnsi"/>
          <w:sz w:val="22"/>
          <w:szCs w:val="22"/>
        </w:rPr>
        <w:t xml:space="preserve">were </w:t>
      </w:r>
      <w:r>
        <w:rPr>
          <w:rFonts w:cs="Arial" w:eastAsiaTheme="minorHAnsi"/>
          <w:sz w:val="22"/>
          <w:szCs w:val="22"/>
        </w:rPr>
        <w:t>identified before they</w:t>
      </w:r>
      <w:r w:rsidRPr="00257E30">
        <w:rPr>
          <w:rFonts w:cs="Arial" w:eastAsiaTheme="minorHAnsi"/>
          <w:sz w:val="22"/>
          <w:szCs w:val="22"/>
        </w:rPr>
        <w:t xml:space="preserve"> receiv</w:t>
      </w:r>
      <w:r>
        <w:rPr>
          <w:rFonts w:cs="Arial" w:eastAsiaTheme="minorHAnsi"/>
          <w:sz w:val="22"/>
          <w:szCs w:val="22"/>
        </w:rPr>
        <w:t>e</w:t>
      </w:r>
      <w:r w:rsidRPr="00257E30">
        <w:rPr>
          <w:rFonts w:cs="Arial" w:eastAsiaTheme="minorHAnsi"/>
          <w:sz w:val="22"/>
          <w:szCs w:val="22"/>
        </w:rPr>
        <w:t xml:space="preserve"> unescorted access authorization</w:t>
      </w:r>
      <w:r>
        <w:rPr>
          <w:rFonts w:cs="Arial" w:eastAsiaTheme="minorHAnsi"/>
          <w:sz w:val="22"/>
          <w:szCs w:val="22"/>
        </w:rPr>
        <w:t xml:space="preserve"> (i.e.</w:t>
      </w:r>
      <w:r w:rsidR="00646A79">
        <w:rPr>
          <w:rFonts w:cs="Arial" w:eastAsiaTheme="minorHAnsi"/>
          <w:sz w:val="22"/>
          <w:szCs w:val="22"/>
        </w:rPr>
        <w:t>,</w:t>
      </w:r>
      <w:r>
        <w:rPr>
          <w:rFonts w:cs="Arial" w:eastAsiaTheme="minorHAnsi"/>
          <w:sz w:val="22"/>
          <w:szCs w:val="22"/>
        </w:rPr>
        <w:t> at pre-access testing).</w:t>
      </w:r>
    </w:p>
    <w:p w:rsidRPr="005465BE" w:rsidR="00D520BD" w:rsidP="00D520BD" w:rsidRDefault="00D520BD" w14:paraId="602EE5CD" w14:textId="77777777">
      <w:pPr>
        <w:rPr>
          <w:sz w:val="22"/>
          <w:szCs w:val="22"/>
        </w:rPr>
      </w:pPr>
    </w:p>
    <w:p w:rsidRPr="0003054D" w:rsidR="00D520BD" w:rsidP="00D520BD" w:rsidRDefault="00912EB6" w14:paraId="0232D2D3" w14:textId="7284D9A0">
      <w:pPr>
        <w:rPr>
          <w:sz w:val="22"/>
          <w:szCs w:val="22"/>
        </w:rPr>
      </w:pPr>
      <w:r>
        <w:rPr>
          <w:sz w:val="22"/>
          <w:szCs w:val="22"/>
        </w:rPr>
        <w:t>T</w:t>
      </w:r>
      <w:r w:rsidRPr="0003054D" w:rsidR="00D520BD">
        <w:rPr>
          <w:sz w:val="22"/>
          <w:szCs w:val="22"/>
        </w:rPr>
        <w:t xml:space="preserve">he </w:t>
      </w:r>
      <w:r w:rsidR="00D520BD">
        <w:rPr>
          <w:sz w:val="22"/>
          <w:szCs w:val="22"/>
        </w:rPr>
        <w:t xml:space="preserve">analysis of </w:t>
      </w:r>
      <w:r w:rsidRPr="0003054D" w:rsidR="00D520BD">
        <w:rPr>
          <w:sz w:val="22"/>
          <w:szCs w:val="22"/>
        </w:rPr>
        <w:t>net benefit</w:t>
      </w:r>
      <w:r w:rsidR="00D520BD">
        <w:rPr>
          <w:sz w:val="22"/>
          <w:szCs w:val="22"/>
        </w:rPr>
        <w:t>s (i.e.</w:t>
      </w:r>
      <w:r w:rsidR="00646A79">
        <w:rPr>
          <w:sz w:val="22"/>
          <w:szCs w:val="22"/>
        </w:rPr>
        <w:t>,</w:t>
      </w:r>
      <w:r w:rsidR="00D520BD">
        <w:rPr>
          <w:sz w:val="22"/>
          <w:szCs w:val="22"/>
        </w:rPr>
        <w:t> benefits minus costs)</w:t>
      </w:r>
      <w:r w:rsidRPr="0003054D" w:rsidR="00D520BD">
        <w:rPr>
          <w:sz w:val="22"/>
          <w:szCs w:val="22"/>
        </w:rPr>
        <w:t xml:space="preserve"> shows that </w:t>
      </w:r>
      <w:r w:rsidR="002A0DEB">
        <w:rPr>
          <w:sz w:val="22"/>
          <w:szCs w:val="22"/>
        </w:rPr>
        <w:t xml:space="preserve">the final </w:t>
      </w:r>
      <w:r w:rsidR="000C1708">
        <w:rPr>
          <w:sz w:val="22"/>
          <w:szCs w:val="22"/>
        </w:rPr>
        <w:t>rule is cost</w:t>
      </w:r>
      <w:r w:rsidR="00694525">
        <w:rPr>
          <w:sz w:val="22"/>
          <w:szCs w:val="22"/>
        </w:rPr>
        <w:t>-</w:t>
      </w:r>
      <w:r w:rsidR="000C1708">
        <w:rPr>
          <w:sz w:val="22"/>
          <w:szCs w:val="22"/>
        </w:rPr>
        <w:t>beneficial</w:t>
      </w:r>
      <w:r w:rsidR="002A444D">
        <w:rPr>
          <w:sz w:val="22"/>
          <w:szCs w:val="22"/>
        </w:rPr>
        <w:t xml:space="preserve"> at $</w:t>
      </w:r>
      <w:r w:rsidR="00E616B5">
        <w:rPr>
          <w:sz w:val="22"/>
          <w:szCs w:val="22"/>
        </w:rPr>
        <w:t>418,</w:t>
      </w:r>
      <w:r w:rsidR="000136F8">
        <w:rPr>
          <w:sz w:val="22"/>
          <w:szCs w:val="22"/>
        </w:rPr>
        <w:t>356</w:t>
      </w:r>
      <w:r w:rsidR="00BB2078">
        <w:rPr>
          <w:sz w:val="22"/>
          <w:szCs w:val="22"/>
        </w:rPr>
        <w:t xml:space="preserve"> using a 7-percent discount rate</w:t>
      </w:r>
      <w:r w:rsidR="00906ED1">
        <w:rPr>
          <w:sz w:val="22"/>
          <w:szCs w:val="22"/>
        </w:rPr>
        <w:t>.  This net benefit is achieved</w:t>
      </w:r>
      <w:r w:rsidR="002B091D">
        <w:rPr>
          <w:sz w:val="22"/>
          <w:szCs w:val="22"/>
        </w:rPr>
        <w:t xml:space="preserve"> because of averted training costs</w:t>
      </w:r>
      <w:r w:rsidR="000C1708">
        <w:rPr>
          <w:sz w:val="22"/>
          <w:szCs w:val="22"/>
        </w:rPr>
        <w:t xml:space="preserve">.  </w:t>
      </w:r>
      <w:r w:rsidR="003F0B82">
        <w:rPr>
          <w:sz w:val="22"/>
          <w:szCs w:val="22"/>
        </w:rPr>
        <w:t>If the averted training savings are not included</w:t>
      </w:r>
      <w:r w:rsidR="00967CCD">
        <w:rPr>
          <w:sz w:val="22"/>
          <w:szCs w:val="22"/>
        </w:rPr>
        <w:t>,</w:t>
      </w:r>
      <w:r w:rsidR="003F0B82">
        <w:rPr>
          <w:sz w:val="22"/>
          <w:szCs w:val="22"/>
        </w:rPr>
        <w:t xml:space="preserve"> th</w:t>
      </w:r>
      <w:r w:rsidR="00967CCD">
        <w:rPr>
          <w:sz w:val="22"/>
          <w:szCs w:val="22"/>
        </w:rPr>
        <w:t>e</w:t>
      </w:r>
      <w:r w:rsidR="003F0B82">
        <w:rPr>
          <w:sz w:val="22"/>
          <w:szCs w:val="22"/>
        </w:rPr>
        <w:t>n</w:t>
      </w:r>
      <w:r w:rsidR="000C1708">
        <w:rPr>
          <w:sz w:val="22"/>
          <w:szCs w:val="22"/>
        </w:rPr>
        <w:t xml:space="preserve"> </w:t>
      </w:r>
      <w:r w:rsidR="00AE4284">
        <w:rPr>
          <w:sz w:val="22"/>
          <w:szCs w:val="22"/>
        </w:rPr>
        <w:t>the remaining</w:t>
      </w:r>
      <w:r w:rsidR="000C1708">
        <w:rPr>
          <w:sz w:val="22"/>
          <w:szCs w:val="22"/>
        </w:rPr>
        <w:t xml:space="preserve"> </w:t>
      </w:r>
      <w:r w:rsidR="00F85810">
        <w:rPr>
          <w:sz w:val="22"/>
          <w:szCs w:val="22"/>
        </w:rPr>
        <w:t>six</w:t>
      </w:r>
      <w:r w:rsidRPr="00F85810" w:rsidR="00D520BD">
        <w:rPr>
          <w:sz w:val="22"/>
          <w:szCs w:val="22"/>
        </w:rPr>
        <w:t xml:space="preserve"> of the </w:t>
      </w:r>
      <w:r w:rsidR="00F85810">
        <w:rPr>
          <w:sz w:val="22"/>
          <w:szCs w:val="22"/>
        </w:rPr>
        <w:t>seven</w:t>
      </w:r>
      <w:r w:rsidRPr="0003054D" w:rsidR="00D520BD">
        <w:rPr>
          <w:sz w:val="22"/>
          <w:szCs w:val="22"/>
        </w:rPr>
        <w:t xml:space="preserve"> regulatory initiatives </w:t>
      </w:r>
      <w:r w:rsidR="00D520BD">
        <w:rPr>
          <w:sz w:val="22"/>
          <w:szCs w:val="22"/>
        </w:rPr>
        <w:t xml:space="preserve">that comprise the rule </w:t>
      </w:r>
      <w:r w:rsidRPr="0003054D" w:rsidR="00D520BD">
        <w:rPr>
          <w:sz w:val="22"/>
          <w:szCs w:val="22"/>
        </w:rPr>
        <w:t>are not cost</w:t>
      </w:r>
      <w:r w:rsidR="00694525">
        <w:rPr>
          <w:sz w:val="22"/>
          <w:szCs w:val="22"/>
        </w:rPr>
        <w:t>-</w:t>
      </w:r>
      <w:r w:rsidRPr="0003054D" w:rsidR="00D520BD">
        <w:rPr>
          <w:sz w:val="22"/>
          <w:szCs w:val="22"/>
        </w:rPr>
        <w:t>beneficial</w:t>
      </w:r>
      <w:r w:rsidR="00D520BD">
        <w:rPr>
          <w:sz w:val="22"/>
          <w:szCs w:val="22"/>
        </w:rPr>
        <w:t xml:space="preserve"> because the benefits could not be </w:t>
      </w:r>
      <w:r w:rsidR="00B030B4">
        <w:rPr>
          <w:sz w:val="22"/>
          <w:szCs w:val="22"/>
        </w:rPr>
        <w:t xml:space="preserve">fully </w:t>
      </w:r>
      <w:r w:rsidR="00D520BD">
        <w:rPr>
          <w:sz w:val="22"/>
          <w:szCs w:val="22"/>
        </w:rPr>
        <w:t>quantified (</w:t>
      </w:r>
      <w:r w:rsidRPr="00606011" w:rsidR="00D520BD">
        <w:rPr>
          <w:sz w:val="22"/>
          <w:szCs w:val="22"/>
        </w:rPr>
        <w:t>see Table ES</w:t>
      </w:r>
      <w:r w:rsidRPr="00606011" w:rsidR="00D520BD">
        <w:rPr>
          <w:sz w:val="22"/>
          <w:szCs w:val="22"/>
        </w:rPr>
        <w:noBreakHyphen/>
        <w:t>1).  If the rule is adopted</w:t>
      </w:r>
      <w:r w:rsidR="00646A79">
        <w:rPr>
          <w:sz w:val="22"/>
          <w:szCs w:val="22"/>
        </w:rPr>
        <w:t>,</w:t>
      </w:r>
      <w:r w:rsidRPr="00606011" w:rsidR="00D520BD">
        <w:rPr>
          <w:sz w:val="22"/>
          <w:szCs w:val="22"/>
        </w:rPr>
        <w:t xml:space="preserve"> the safety and security value that the Commission assigns to detecting </w:t>
      </w:r>
      <w:r w:rsidR="00DB0A6B">
        <w:rPr>
          <w:sz w:val="22"/>
          <w:szCs w:val="22"/>
        </w:rPr>
        <w:t>176 additional</w:t>
      </w:r>
      <w:r w:rsidRPr="00606011" w:rsidR="00D520BD">
        <w:rPr>
          <w:sz w:val="22"/>
          <w:szCs w:val="22"/>
        </w:rPr>
        <w:t xml:space="preserve"> individuals using drugs must be greater </w:t>
      </w:r>
      <w:r w:rsidRPr="00F8344F" w:rsidR="00D520BD">
        <w:rPr>
          <w:sz w:val="22"/>
          <w:szCs w:val="22"/>
        </w:rPr>
        <w:t xml:space="preserve">than </w:t>
      </w:r>
      <w:r w:rsidR="000F6DCD">
        <w:rPr>
          <w:sz w:val="22"/>
          <w:szCs w:val="22"/>
        </w:rPr>
        <w:t>(</w:t>
      </w:r>
      <w:r w:rsidRPr="00F8344F" w:rsidR="00D520BD">
        <w:rPr>
          <w:sz w:val="22"/>
          <w:szCs w:val="22"/>
        </w:rPr>
        <w:t>$</w:t>
      </w:r>
      <w:r w:rsidR="00EA4A70">
        <w:rPr>
          <w:sz w:val="22"/>
          <w:szCs w:val="22"/>
        </w:rPr>
        <w:t>3.90</w:t>
      </w:r>
      <w:r w:rsidRPr="00F8344F" w:rsidR="00D520BD">
        <w:rPr>
          <w:sz w:val="22"/>
          <w:szCs w:val="22"/>
        </w:rPr>
        <w:t> million</w:t>
      </w:r>
      <w:r w:rsidR="000F6DCD">
        <w:rPr>
          <w:sz w:val="22"/>
          <w:szCs w:val="22"/>
        </w:rPr>
        <w:t>)</w:t>
      </w:r>
      <w:r w:rsidRPr="00F8344F" w:rsidR="00D520BD">
        <w:rPr>
          <w:sz w:val="22"/>
          <w:szCs w:val="22"/>
        </w:rPr>
        <w:t xml:space="preserve"> </w:t>
      </w:r>
      <w:r w:rsidR="009F575B">
        <w:rPr>
          <w:sz w:val="22"/>
          <w:szCs w:val="22"/>
        </w:rPr>
        <w:t>(</w:t>
      </w:r>
      <w:r w:rsidRPr="00F8344F" w:rsidR="00D520BD">
        <w:rPr>
          <w:sz w:val="22"/>
          <w:szCs w:val="22"/>
        </w:rPr>
        <w:t>mean value</w:t>
      </w:r>
      <w:r w:rsidR="009F575B">
        <w:rPr>
          <w:sz w:val="22"/>
          <w:szCs w:val="22"/>
        </w:rPr>
        <w:t>)</w:t>
      </w:r>
      <w:r w:rsidR="00CB4DD6">
        <w:rPr>
          <w:sz w:val="22"/>
          <w:szCs w:val="22"/>
        </w:rPr>
        <w:t>,</w:t>
      </w:r>
      <w:r w:rsidRPr="00F8344F" w:rsidR="00D520BD">
        <w:rPr>
          <w:sz w:val="22"/>
          <w:szCs w:val="22"/>
        </w:rPr>
        <w:t xml:space="preserve"> using</w:t>
      </w:r>
      <w:r w:rsidRPr="00606011" w:rsidR="00D520BD">
        <w:rPr>
          <w:sz w:val="22"/>
          <w:szCs w:val="22"/>
        </w:rPr>
        <w:t xml:space="preserve"> a 7</w:t>
      </w:r>
      <w:r w:rsidRPr="00606011" w:rsidR="00D520BD">
        <w:rPr>
          <w:sz w:val="22"/>
          <w:szCs w:val="22"/>
        </w:rPr>
        <w:noBreakHyphen/>
        <w:t xml:space="preserve">percent discount rate for the </w:t>
      </w:r>
      <w:r w:rsidR="00ED7583">
        <w:rPr>
          <w:sz w:val="22"/>
          <w:szCs w:val="22"/>
        </w:rPr>
        <w:t xml:space="preserve">net costs for these </w:t>
      </w:r>
      <w:r w:rsidR="00A861C7">
        <w:rPr>
          <w:sz w:val="22"/>
          <w:szCs w:val="22"/>
        </w:rPr>
        <w:t xml:space="preserve">six regulatory </w:t>
      </w:r>
      <w:r w:rsidR="00316E9B">
        <w:rPr>
          <w:sz w:val="22"/>
          <w:szCs w:val="22"/>
        </w:rPr>
        <w:t>initiatives</w:t>
      </w:r>
      <w:r w:rsidRPr="0003054D" w:rsidR="00D520BD">
        <w:rPr>
          <w:sz w:val="22"/>
          <w:szCs w:val="22"/>
        </w:rPr>
        <w:t xml:space="preserve"> result to be positive.</w:t>
      </w:r>
    </w:p>
    <w:p w:rsidRPr="00A02BE9" w:rsidR="00D520BD" w:rsidP="00A02BE9" w:rsidRDefault="00D520BD" w14:paraId="72CEAAF6" w14:textId="77777777">
      <w:pPr>
        <w:rPr>
          <w:sz w:val="22"/>
          <w:szCs w:val="22"/>
        </w:rPr>
      </w:pPr>
    </w:p>
    <w:p w:rsidR="00A86FCA" w:rsidP="00D520BD" w:rsidRDefault="00D520BD" w14:paraId="6547889F" w14:textId="44AFBC34">
      <w:pPr>
        <w:rPr>
          <w:sz w:val="22"/>
          <w:szCs w:val="22"/>
        </w:rPr>
      </w:pPr>
      <w:r w:rsidRPr="0003054D">
        <w:rPr>
          <w:sz w:val="22"/>
          <w:szCs w:val="22"/>
        </w:rPr>
        <w:t xml:space="preserve">The NRC staff concludes that the rule is justified in view of the substantial increase in </w:t>
      </w:r>
      <w:r>
        <w:rPr>
          <w:sz w:val="22"/>
          <w:szCs w:val="22"/>
        </w:rPr>
        <w:t xml:space="preserve">the </w:t>
      </w:r>
      <w:r w:rsidRPr="0003054D">
        <w:rPr>
          <w:sz w:val="22"/>
          <w:szCs w:val="22"/>
        </w:rPr>
        <w:t>detection of additional individuals using drugs</w:t>
      </w:r>
      <w:r w:rsidR="00646A79">
        <w:rPr>
          <w:sz w:val="22"/>
          <w:szCs w:val="22"/>
        </w:rPr>
        <w:t>,</w:t>
      </w:r>
      <w:r w:rsidRPr="0003054D">
        <w:rPr>
          <w:sz w:val="22"/>
          <w:szCs w:val="22"/>
        </w:rPr>
        <w:t xml:space="preserve"> as shown in Table </w:t>
      </w:r>
      <w:r>
        <w:rPr>
          <w:sz w:val="22"/>
          <w:szCs w:val="22"/>
        </w:rPr>
        <w:t>ES</w:t>
      </w:r>
      <w:r w:rsidRPr="0003054D">
        <w:rPr>
          <w:sz w:val="22"/>
          <w:szCs w:val="22"/>
        </w:rPr>
        <w:noBreakHyphen/>
        <w:t>1</w:t>
      </w:r>
      <w:r w:rsidR="00035695">
        <w:rPr>
          <w:sz w:val="22"/>
          <w:szCs w:val="22"/>
        </w:rPr>
        <w:t>,</w:t>
      </w:r>
      <w:r w:rsidR="006B302A">
        <w:rPr>
          <w:sz w:val="22"/>
          <w:szCs w:val="22"/>
        </w:rPr>
        <w:t xml:space="preserve"> and that</w:t>
      </w:r>
      <w:r w:rsidR="00035695">
        <w:rPr>
          <w:sz w:val="22"/>
          <w:szCs w:val="22"/>
        </w:rPr>
        <w:t>,</w:t>
      </w:r>
      <w:r w:rsidR="006B302A">
        <w:rPr>
          <w:sz w:val="22"/>
          <w:szCs w:val="22"/>
        </w:rPr>
        <w:t xml:space="preserve"> overall</w:t>
      </w:r>
      <w:r w:rsidR="00D52EE2">
        <w:rPr>
          <w:sz w:val="22"/>
          <w:szCs w:val="22"/>
        </w:rPr>
        <w:t>,</w:t>
      </w:r>
      <w:r w:rsidR="006B302A">
        <w:rPr>
          <w:sz w:val="22"/>
          <w:szCs w:val="22"/>
        </w:rPr>
        <w:t xml:space="preserve"> the rule provide</w:t>
      </w:r>
      <w:r w:rsidR="00035695">
        <w:rPr>
          <w:sz w:val="22"/>
          <w:szCs w:val="22"/>
        </w:rPr>
        <w:t>s</w:t>
      </w:r>
      <w:r w:rsidR="006B302A">
        <w:rPr>
          <w:sz w:val="22"/>
          <w:szCs w:val="22"/>
        </w:rPr>
        <w:t xml:space="preserve"> a net savings</w:t>
      </w:r>
      <w:r w:rsidR="006104B6">
        <w:rPr>
          <w:sz w:val="22"/>
          <w:szCs w:val="22"/>
        </w:rPr>
        <w:t xml:space="preserve"> resulting from averted training costs</w:t>
      </w:r>
      <w:r w:rsidRPr="0003054D">
        <w:rPr>
          <w:sz w:val="22"/>
          <w:szCs w:val="22"/>
        </w:rPr>
        <w:t>.</w:t>
      </w:r>
    </w:p>
    <w:p w:rsidR="00172933" w:rsidP="00D520BD" w:rsidRDefault="00172933" w14:paraId="4A97FB1F" w14:textId="77777777">
      <w:pPr>
        <w:rPr>
          <w:sz w:val="22"/>
          <w:szCs w:val="22"/>
        </w:rPr>
      </w:pPr>
    </w:p>
    <w:p w:rsidR="00A86FCA" w:rsidP="00D520BD" w:rsidRDefault="00A86FCA" w14:paraId="39233F2C" w14:textId="77777777">
      <w:pPr>
        <w:rPr>
          <w:sz w:val="22"/>
          <w:szCs w:val="22"/>
        </w:rPr>
      </w:pPr>
    </w:p>
    <w:p w:rsidR="00A9078B" w:rsidP="00D520BD" w:rsidRDefault="00A9078B" w14:paraId="5B569D11" w14:textId="77777777">
      <w:pPr>
        <w:pStyle w:val="Heading1"/>
        <w:sectPr w:rsidR="00A9078B" w:rsidSect="00314699">
          <w:footerReference w:type="default" r:id="rId16"/>
          <w:footnotePr>
            <w:numRestart w:val="eachSect"/>
          </w:footnotePr>
          <w:type w:val="continuous"/>
          <w:pgSz w:w="12240" w:h="15840"/>
          <w:pgMar w:top="1440" w:right="1440" w:bottom="1440" w:left="1440" w:header="720" w:footer="720" w:gutter="0"/>
          <w:pgNumType w:fmt="lowerRoman" w:start="1"/>
          <w:cols w:space="720"/>
          <w:docGrid w:linePitch="272"/>
        </w:sectPr>
      </w:pPr>
      <w:bookmarkStart w:name="_Toc199932393" w:id="27"/>
      <w:bookmarkStart w:name="_Toc199932468" w:id="28"/>
      <w:bookmarkStart w:name="_Toc199932637" w:id="29"/>
      <w:bookmarkStart w:name="_Toc460412591" w:id="30"/>
      <w:bookmarkStart w:name="_Toc72840009" w:id="31"/>
    </w:p>
    <w:p w:rsidRPr="00C25CB8" w:rsidR="00D520BD" w:rsidP="00D520BD" w:rsidRDefault="00D520BD" w14:paraId="47228DF2" w14:textId="7EB405FC">
      <w:pPr>
        <w:pStyle w:val="Heading1"/>
      </w:pPr>
      <w:bookmarkStart w:name="_Toc105681482" w:id="32"/>
      <w:r>
        <w:lastRenderedPageBreak/>
        <w:t>1.</w:t>
      </w:r>
      <w:r>
        <w:tab/>
      </w:r>
      <w:r w:rsidRPr="00C25CB8">
        <w:t>Introduction</w:t>
      </w:r>
      <w:bookmarkEnd w:id="27"/>
      <w:bookmarkEnd w:id="28"/>
      <w:bookmarkEnd w:id="29"/>
      <w:bookmarkEnd w:id="30"/>
      <w:bookmarkEnd w:id="31"/>
      <w:bookmarkEnd w:id="32"/>
    </w:p>
    <w:p w:rsidRPr="005A5966" w:rsidR="00D520BD" w:rsidP="00D520BD" w:rsidRDefault="00D520BD" w14:paraId="13AC5063" w14:textId="77777777">
      <w:pPr>
        <w:pStyle w:val="Level1"/>
        <w:keepNext/>
        <w:numPr>
          <w:ilvl w:val="12"/>
          <w:numId w:val="0"/>
        </w:numPr>
        <w:rPr>
          <w:sz w:val="22"/>
          <w:szCs w:val="22"/>
        </w:rPr>
      </w:pPr>
    </w:p>
    <w:p w:rsidR="00D520BD" w:rsidP="00D520BD" w:rsidRDefault="00D520BD" w14:paraId="5494A6C7" w14:textId="6D9DBB05">
      <w:pPr>
        <w:autoSpaceDE/>
        <w:autoSpaceDN/>
        <w:adjustRightInd/>
        <w:rPr>
          <w:sz w:val="22"/>
          <w:szCs w:val="22"/>
        </w:rPr>
      </w:pPr>
      <w:r w:rsidRPr="005A5966">
        <w:rPr>
          <w:sz w:val="22"/>
          <w:szCs w:val="22"/>
        </w:rPr>
        <w:t xml:space="preserve">This document </w:t>
      </w:r>
      <w:r>
        <w:rPr>
          <w:sz w:val="22"/>
          <w:szCs w:val="22"/>
        </w:rPr>
        <w:t xml:space="preserve">presents </w:t>
      </w:r>
      <w:r w:rsidRPr="005A5966">
        <w:rPr>
          <w:sz w:val="22"/>
          <w:szCs w:val="22"/>
        </w:rPr>
        <w:t xml:space="preserve">the regulatory </w:t>
      </w:r>
      <w:r>
        <w:rPr>
          <w:sz w:val="22"/>
          <w:szCs w:val="22"/>
        </w:rPr>
        <w:t>a</w:t>
      </w:r>
      <w:r w:rsidRPr="005A5966">
        <w:rPr>
          <w:sz w:val="22"/>
          <w:szCs w:val="22"/>
        </w:rPr>
        <w:t xml:space="preserve">nalysis of </w:t>
      </w:r>
      <w:r>
        <w:rPr>
          <w:sz w:val="22"/>
          <w:szCs w:val="22"/>
        </w:rPr>
        <w:t xml:space="preserve">the </w:t>
      </w:r>
      <w:r>
        <w:rPr>
          <w:rFonts w:cs="Arial"/>
          <w:bCs/>
          <w:sz w:val="22"/>
          <w:szCs w:val="22"/>
        </w:rPr>
        <w:t>U.S. </w:t>
      </w:r>
      <w:r w:rsidRPr="00362A6E">
        <w:rPr>
          <w:rFonts w:cs="Arial"/>
          <w:bCs/>
          <w:sz w:val="22"/>
          <w:szCs w:val="22"/>
        </w:rPr>
        <w:t>Nuclear Regulatory Commission</w:t>
      </w:r>
      <w:r>
        <w:rPr>
          <w:rFonts w:cs="Arial"/>
          <w:bCs/>
          <w:sz w:val="22"/>
          <w:szCs w:val="22"/>
        </w:rPr>
        <w:t>’s</w:t>
      </w:r>
      <w:r w:rsidRPr="00362A6E">
        <w:rPr>
          <w:rFonts w:cs="Arial"/>
          <w:bCs/>
          <w:sz w:val="22"/>
          <w:szCs w:val="22"/>
        </w:rPr>
        <w:t xml:space="preserve"> (NRC</w:t>
      </w:r>
      <w:r>
        <w:rPr>
          <w:rFonts w:cs="Arial"/>
          <w:bCs/>
          <w:sz w:val="22"/>
          <w:szCs w:val="22"/>
        </w:rPr>
        <w:t>’s</w:t>
      </w:r>
      <w:r w:rsidRPr="00362A6E">
        <w:rPr>
          <w:rFonts w:cs="Arial"/>
          <w:bCs/>
          <w:sz w:val="22"/>
          <w:szCs w:val="22"/>
        </w:rPr>
        <w:t>)</w:t>
      </w:r>
      <w:r>
        <w:rPr>
          <w:rFonts w:cs="Arial"/>
          <w:bCs/>
          <w:sz w:val="22"/>
          <w:szCs w:val="22"/>
        </w:rPr>
        <w:t xml:space="preserve"> </w:t>
      </w:r>
      <w:r w:rsidRPr="005A5966">
        <w:rPr>
          <w:sz w:val="22"/>
          <w:szCs w:val="22"/>
        </w:rPr>
        <w:t xml:space="preserve">amendments to the </w:t>
      </w:r>
      <w:r>
        <w:rPr>
          <w:sz w:val="22"/>
          <w:szCs w:val="22"/>
        </w:rPr>
        <w:t>fitness</w:t>
      </w:r>
      <w:r w:rsidR="00A60A46">
        <w:rPr>
          <w:sz w:val="22"/>
          <w:szCs w:val="22"/>
        </w:rPr>
        <w:t xml:space="preserve"> </w:t>
      </w:r>
      <w:r>
        <w:rPr>
          <w:sz w:val="22"/>
          <w:szCs w:val="22"/>
        </w:rPr>
        <w:t>for</w:t>
      </w:r>
      <w:r w:rsidR="00A60A46">
        <w:rPr>
          <w:sz w:val="22"/>
          <w:szCs w:val="22"/>
        </w:rPr>
        <w:t xml:space="preserve"> </w:t>
      </w:r>
      <w:r>
        <w:rPr>
          <w:sz w:val="22"/>
          <w:szCs w:val="22"/>
        </w:rPr>
        <w:t>duty (</w:t>
      </w:r>
      <w:r w:rsidRPr="005A5966">
        <w:rPr>
          <w:sz w:val="22"/>
          <w:szCs w:val="22"/>
        </w:rPr>
        <w:t>FFD</w:t>
      </w:r>
      <w:r>
        <w:rPr>
          <w:sz w:val="22"/>
          <w:szCs w:val="22"/>
        </w:rPr>
        <w:t xml:space="preserve">) </w:t>
      </w:r>
      <w:r w:rsidRPr="005A5966">
        <w:rPr>
          <w:sz w:val="22"/>
          <w:szCs w:val="22"/>
        </w:rPr>
        <w:t xml:space="preserve">requirements in </w:t>
      </w:r>
      <w:r>
        <w:rPr>
          <w:sz w:val="22"/>
          <w:szCs w:val="22"/>
        </w:rPr>
        <w:t xml:space="preserve">Title 10 of the </w:t>
      </w:r>
      <w:r w:rsidRPr="00B10C2E">
        <w:rPr>
          <w:i/>
          <w:sz w:val="22"/>
          <w:szCs w:val="22"/>
        </w:rPr>
        <w:t>Code of Federal Regulations</w:t>
      </w:r>
      <w:r>
        <w:rPr>
          <w:sz w:val="22"/>
          <w:szCs w:val="22"/>
        </w:rPr>
        <w:t xml:space="preserve"> (10 CFR) Part 26</w:t>
      </w:r>
      <w:r w:rsidR="00646A79">
        <w:rPr>
          <w:sz w:val="22"/>
          <w:szCs w:val="22"/>
        </w:rPr>
        <w:t>,</w:t>
      </w:r>
      <w:r w:rsidRPr="005A5966">
        <w:rPr>
          <w:sz w:val="22"/>
          <w:szCs w:val="22"/>
        </w:rPr>
        <w:t xml:space="preserve"> </w:t>
      </w:r>
      <w:r w:rsidR="00646A79">
        <w:rPr>
          <w:sz w:val="22"/>
          <w:szCs w:val="22"/>
        </w:rPr>
        <w:t>“</w:t>
      </w:r>
      <w:r w:rsidRPr="005A5966">
        <w:rPr>
          <w:sz w:val="22"/>
          <w:szCs w:val="22"/>
        </w:rPr>
        <w:t xml:space="preserve">Fitness for </w:t>
      </w:r>
      <w:r w:rsidR="00AB75BD">
        <w:rPr>
          <w:sz w:val="22"/>
          <w:szCs w:val="22"/>
        </w:rPr>
        <w:t>d</w:t>
      </w:r>
      <w:r w:rsidRPr="005A5966">
        <w:rPr>
          <w:sz w:val="22"/>
          <w:szCs w:val="22"/>
        </w:rPr>
        <w:t xml:space="preserve">uty </w:t>
      </w:r>
      <w:r w:rsidR="00AB75BD">
        <w:rPr>
          <w:sz w:val="22"/>
          <w:szCs w:val="22"/>
        </w:rPr>
        <w:t>p</w:t>
      </w:r>
      <w:r w:rsidRPr="005A5966">
        <w:rPr>
          <w:sz w:val="22"/>
          <w:szCs w:val="22"/>
        </w:rPr>
        <w:t>rograms</w:t>
      </w:r>
      <w:r w:rsidR="00646A79">
        <w:rPr>
          <w:sz w:val="22"/>
          <w:szCs w:val="22"/>
        </w:rPr>
        <w:t>,”</w:t>
      </w:r>
      <w:r>
        <w:rPr>
          <w:sz w:val="22"/>
          <w:szCs w:val="22"/>
        </w:rPr>
        <w:t xml:space="preserve"> and the associated Regulatory Guide </w:t>
      </w:r>
      <w:r w:rsidR="005577BE">
        <w:rPr>
          <w:sz w:val="22"/>
          <w:szCs w:val="22"/>
        </w:rPr>
        <w:t>5.89</w:t>
      </w:r>
      <w:r w:rsidR="00646A79">
        <w:rPr>
          <w:sz w:val="22"/>
          <w:szCs w:val="22"/>
        </w:rPr>
        <w:t>,</w:t>
      </w:r>
      <w:r>
        <w:rPr>
          <w:sz w:val="22"/>
          <w:szCs w:val="22"/>
        </w:rPr>
        <w:t xml:space="preserve"> </w:t>
      </w:r>
      <w:r w:rsidR="00C15AF1">
        <w:rPr>
          <w:sz w:val="22"/>
          <w:szCs w:val="22"/>
        </w:rPr>
        <w:t>“</w:t>
      </w:r>
      <w:r w:rsidRPr="000D0DC8" w:rsidR="00C15AF1">
        <w:rPr>
          <w:rFonts w:cs="Arial"/>
          <w:sz w:val="22"/>
          <w:szCs w:val="22"/>
        </w:rPr>
        <w:t xml:space="preserve">Fitness-for-Duty Programs for Commercial Power Reactor and Category I </w:t>
      </w:r>
      <w:r w:rsidR="0088161E">
        <w:rPr>
          <w:rFonts w:cs="Arial"/>
          <w:sz w:val="22"/>
          <w:szCs w:val="22"/>
        </w:rPr>
        <w:t>Special Nuclear Material Licensees</w:t>
      </w:r>
      <w:r w:rsidR="00C15AF1">
        <w:rPr>
          <w:rFonts w:cs="Arial"/>
          <w:sz w:val="22"/>
          <w:szCs w:val="22"/>
        </w:rPr>
        <w:t>.</w:t>
      </w:r>
      <w:r w:rsidRPr="00087459" w:rsidR="00C15AF1">
        <w:rPr>
          <w:rFonts w:cs="Arial"/>
          <w:sz w:val="22"/>
          <w:szCs w:val="22"/>
        </w:rPr>
        <w:t>”</w:t>
      </w:r>
    </w:p>
    <w:p w:rsidR="00D520BD" w:rsidP="00D520BD" w:rsidRDefault="00D520BD" w14:paraId="65CEFEB3" w14:textId="77777777">
      <w:pPr>
        <w:autoSpaceDE/>
        <w:autoSpaceDN/>
        <w:adjustRightInd/>
        <w:rPr>
          <w:sz w:val="22"/>
          <w:szCs w:val="22"/>
        </w:rPr>
      </w:pPr>
    </w:p>
    <w:p w:rsidR="00D520BD" w:rsidP="00D520BD" w:rsidRDefault="00D520BD" w14:paraId="510E1422" w14:textId="77D3B60D">
      <w:pPr>
        <w:rPr>
          <w:sz w:val="22"/>
          <w:szCs w:val="22"/>
        </w:rPr>
      </w:pPr>
      <w:r>
        <w:rPr>
          <w:sz w:val="22"/>
          <w:szCs w:val="22"/>
        </w:rPr>
        <w:t>The objectives of the rule</w:t>
      </w:r>
      <w:r w:rsidRPr="00415F7A">
        <w:rPr>
          <w:sz w:val="22"/>
          <w:szCs w:val="22"/>
        </w:rPr>
        <w:t>making a</w:t>
      </w:r>
      <w:r>
        <w:rPr>
          <w:sz w:val="22"/>
          <w:szCs w:val="22"/>
        </w:rPr>
        <w:t>re to (1) </w:t>
      </w:r>
      <w:r w:rsidRPr="00415F7A">
        <w:rPr>
          <w:sz w:val="22"/>
          <w:szCs w:val="22"/>
        </w:rPr>
        <w:t>maintain</w:t>
      </w:r>
      <w:r>
        <w:rPr>
          <w:sz w:val="22"/>
          <w:szCs w:val="22"/>
        </w:rPr>
        <w:t xml:space="preserve"> reasonable assurance of </w:t>
      </w:r>
      <w:r w:rsidRPr="00415F7A">
        <w:rPr>
          <w:sz w:val="22"/>
          <w:szCs w:val="22"/>
        </w:rPr>
        <w:t>a drug</w:t>
      </w:r>
      <w:r>
        <w:rPr>
          <w:sz w:val="22"/>
          <w:szCs w:val="22"/>
        </w:rPr>
        <w:noBreakHyphen/>
      </w:r>
      <w:r w:rsidRPr="00415F7A">
        <w:rPr>
          <w:sz w:val="22"/>
          <w:szCs w:val="22"/>
        </w:rPr>
        <w:t xml:space="preserve">free workplace through the </w:t>
      </w:r>
      <w:r>
        <w:rPr>
          <w:sz w:val="22"/>
          <w:szCs w:val="22"/>
        </w:rPr>
        <w:t xml:space="preserve">enhanced </w:t>
      </w:r>
      <w:r w:rsidRPr="00415F7A">
        <w:rPr>
          <w:rFonts w:cs="Arial"/>
          <w:sz w:val="22"/>
          <w:szCs w:val="22"/>
        </w:rPr>
        <w:t xml:space="preserve">detection of </w:t>
      </w:r>
      <w:r>
        <w:rPr>
          <w:rFonts w:cs="Arial"/>
          <w:sz w:val="22"/>
          <w:szCs w:val="22"/>
        </w:rPr>
        <w:t>individual</w:t>
      </w:r>
      <w:r w:rsidRPr="00415F7A">
        <w:rPr>
          <w:rFonts w:cs="Arial"/>
          <w:sz w:val="22"/>
          <w:szCs w:val="22"/>
        </w:rPr>
        <w:t xml:space="preserve">s who are not fit for duty </w:t>
      </w:r>
      <w:r>
        <w:rPr>
          <w:rFonts w:cs="Arial"/>
          <w:sz w:val="22"/>
          <w:szCs w:val="22"/>
        </w:rPr>
        <w:t>because of</w:t>
      </w:r>
      <w:r w:rsidRPr="00415F7A">
        <w:rPr>
          <w:rFonts w:cs="Arial"/>
          <w:sz w:val="22"/>
          <w:szCs w:val="22"/>
        </w:rPr>
        <w:t xml:space="preserve"> illegal drug use</w:t>
      </w:r>
      <w:r w:rsidR="00646A79">
        <w:rPr>
          <w:rFonts w:cs="Arial"/>
          <w:sz w:val="22"/>
          <w:szCs w:val="22"/>
        </w:rPr>
        <w:t>,</w:t>
      </w:r>
      <w:r>
        <w:rPr>
          <w:rFonts w:cs="Arial"/>
          <w:sz w:val="22"/>
          <w:szCs w:val="22"/>
        </w:rPr>
        <w:t xml:space="preserve"> legal drug misuse</w:t>
      </w:r>
      <w:r w:rsidR="00646A79">
        <w:rPr>
          <w:rFonts w:cs="Arial"/>
          <w:sz w:val="22"/>
          <w:szCs w:val="22"/>
        </w:rPr>
        <w:t>,</w:t>
      </w:r>
      <w:r>
        <w:rPr>
          <w:rFonts w:cs="Arial"/>
          <w:sz w:val="22"/>
          <w:szCs w:val="22"/>
        </w:rPr>
        <w:t xml:space="preserve"> </w:t>
      </w:r>
      <w:r w:rsidRPr="00415F7A">
        <w:rPr>
          <w:rFonts w:cs="Arial"/>
          <w:sz w:val="22"/>
          <w:szCs w:val="22"/>
        </w:rPr>
        <w:t xml:space="preserve">or </w:t>
      </w:r>
      <w:r w:rsidR="00BB3936">
        <w:rPr>
          <w:rFonts w:cs="Arial"/>
          <w:sz w:val="22"/>
          <w:szCs w:val="22"/>
        </w:rPr>
        <w:t xml:space="preserve">an </w:t>
      </w:r>
      <w:r>
        <w:rPr>
          <w:rFonts w:cs="Arial"/>
          <w:sz w:val="22"/>
          <w:szCs w:val="22"/>
        </w:rPr>
        <w:t>attempt to subvert the drug testing process</w:t>
      </w:r>
      <w:r w:rsidR="005352D8">
        <w:rPr>
          <w:rFonts w:cs="Arial"/>
          <w:sz w:val="22"/>
          <w:szCs w:val="22"/>
        </w:rPr>
        <w:t>,</w:t>
      </w:r>
      <w:r>
        <w:rPr>
          <w:rFonts w:cs="Arial"/>
          <w:sz w:val="22"/>
          <w:szCs w:val="22"/>
        </w:rPr>
        <w:t xml:space="preserve"> (2) </w:t>
      </w:r>
      <w:r w:rsidRPr="00415F7A">
        <w:rPr>
          <w:rFonts w:cs="Arial"/>
          <w:sz w:val="22"/>
          <w:szCs w:val="22"/>
        </w:rPr>
        <w:t>harmoniz</w:t>
      </w:r>
      <w:r>
        <w:rPr>
          <w:rFonts w:cs="Arial"/>
          <w:sz w:val="22"/>
          <w:szCs w:val="22"/>
        </w:rPr>
        <w:t>e</w:t>
      </w:r>
      <w:r w:rsidRPr="00415F7A">
        <w:rPr>
          <w:rFonts w:cs="Arial"/>
          <w:sz w:val="22"/>
          <w:szCs w:val="22"/>
        </w:rPr>
        <w:t xml:space="preserve"> select drug testing requirements under </w:t>
      </w:r>
      <w:r>
        <w:rPr>
          <w:rFonts w:cs="Arial"/>
          <w:sz w:val="22"/>
          <w:szCs w:val="22"/>
        </w:rPr>
        <w:t>10 CFR Part 26</w:t>
      </w:r>
      <w:r w:rsidRPr="00415F7A">
        <w:rPr>
          <w:rFonts w:cs="Arial"/>
          <w:sz w:val="22"/>
          <w:szCs w:val="22"/>
        </w:rPr>
        <w:t xml:space="preserve"> with those </w:t>
      </w:r>
      <w:r>
        <w:rPr>
          <w:rFonts w:cs="Arial"/>
          <w:sz w:val="22"/>
          <w:szCs w:val="22"/>
        </w:rPr>
        <w:t>established</w:t>
      </w:r>
      <w:r w:rsidRPr="00415F7A">
        <w:rPr>
          <w:rFonts w:cs="Arial"/>
          <w:sz w:val="22"/>
          <w:szCs w:val="22"/>
        </w:rPr>
        <w:t xml:space="preserve"> by the </w:t>
      </w:r>
      <w:r>
        <w:rPr>
          <w:sz w:val="22"/>
          <w:szCs w:val="22"/>
        </w:rPr>
        <w:t xml:space="preserve">2008 </w:t>
      </w:r>
      <w:r w:rsidR="001729D4">
        <w:rPr>
          <w:sz w:val="22"/>
          <w:szCs w:val="22"/>
        </w:rPr>
        <w:t xml:space="preserve">and 2017 </w:t>
      </w:r>
      <w:r>
        <w:rPr>
          <w:sz w:val="22"/>
          <w:szCs w:val="22"/>
        </w:rPr>
        <w:t>U.S. Department of Health and Human Services</w:t>
      </w:r>
      <w:r w:rsidR="00AF3000">
        <w:rPr>
          <w:sz w:val="22"/>
          <w:szCs w:val="22"/>
        </w:rPr>
        <w:t>’</w:t>
      </w:r>
      <w:r>
        <w:rPr>
          <w:sz w:val="22"/>
          <w:szCs w:val="22"/>
        </w:rPr>
        <w:t xml:space="preserve"> (HHS) </w:t>
      </w:r>
      <w:r w:rsidR="00646A79">
        <w:rPr>
          <w:sz w:val="22"/>
          <w:szCs w:val="22"/>
        </w:rPr>
        <w:t>“</w:t>
      </w:r>
      <w:r>
        <w:rPr>
          <w:sz w:val="22"/>
          <w:szCs w:val="22"/>
        </w:rPr>
        <w:t>Mandatory Guidelines</w:t>
      </w:r>
      <w:r w:rsidRPr="009C746D">
        <w:rPr>
          <w:sz w:val="22"/>
          <w:szCs w:val="22"/>
        </w:rPr>
        <w:t xml:space="preserve"> </w:t>
      </w:r>
      <w:r>
        <w:rPr>
          <w:sz w:val="22"/>
          <w:szCs w:val="22"/>
        </w:rPr>
        <w:t>for Federal Workplace Drug Testing Programs</w:t>
      </w:r>
      <w:r w:rsidR="00646A79">
        <w:rPr>
          <w:sz w:val="22"/>
          <w:szCs w:val="22"/>
        </w:rPr>
        <w:t>,”</w:t>
      </w:r>
      <w:r>
        <w:rPr>
          <w:sz w:val="22"/>
          <w:szCs w:val="22"/>
        </w:rPr>
        <w:t xml:space="preserve"> published on </w:t>
      </w:r>
      <w:r w:rsidRPr="00022BCA">
        <w:rPr>
          <w:sz w:val="22"/>
          <w:szCs w:val="22"/>
        </w:rPr>
        <w:t>November</w:t>
      </w:r>
      <w:r>
        <w:rPr>
          <w:sz w:val="22"/>
          <w:szCs w:val="22"/>
        </w:rPr>
        <w:t> 25</w:t>
      </w:r>
      <w:r w:rsidR="00646A79">
        <w:rPr>
          <w:sz w:val="22"/>
          <w:szCs w:val="22"/>
        </w:rPr>
        <w:t>,</w:t>
      </w:r>
      <w:r>
        <w:rPr>
          <w:sz w:val="22"/>
          <w:szCs w:val="22"/>
        </w:rPr>
        <w:t> </w:t>
      </w:r>
      <w:r w:rsidRPr="001B5788">
        <w:rPr>
          <w:sz w:val="22"/>
          <w:szCs w:val="22"/>
        </w:rPr>
        <w:t>2008</w:t>
      </w:r>
      <w:r w:rsidR="00646A79">
        <w:rPr>
          <w:sz w:val="22"/>
          <w:szCs w:val="22"/>
        </w:rPr>
        <w:t>,</w:t>
      </w:r>
      <w:r w:rsidRPr="001B5788">
        <w:rPr>
          <w:sz w:val="22"/>
          <w:szCs w:val="22"/>
        </w:rPr>
        <w:t xml:space="preserve"> </w:t>
      </w:r>
      <w:r w:rsidRPr="005A5966">
        <w:rPr>
          <w:sz w:val="22"/>
          <w:szCs w:val="22"/>
        </w:rPr>
        <w:t xml:space="preserve">in </w:t>
      </w:r>
      <w:r>
        <w:rPr>
          <w:sz w:val="22"/>
          <w:szCs w:val="22"/>
        </w:rPr>
        <w:t>Volume 73</w:t>
      </w:r>
      <w:r w:rsidRPr="005352D8" w:rsidR="005352D8">
        <w:rPr>
          <w:sz w:val="22"/>
          <w:szCs w:val="22"/>
        </w:rPr>
        <w:t xml:space="preserve"> </w:t>
      </w:r>
      <w:r w:rsidR="005352D8">
        <w:rPr>
          <w:sz w:val="22"/>
          <w:szCs w:val="22"/>
        </w:rPr>
        <w:t xml:space="preserve">of </w:t>
      </w:r>
      <w:r w:rsidRPr="005A5966" w:rsidR="005352D8">
        <w:rPr>
          <w:sz w:val="22"/>
          <w:szCs w:val="22"/>
        </w:rPr>
        <w:t>the</w:t>
      </w:r>
      <w:r w:rsidR="005352D8">
        <w:rPr>
          <w:sz w:val="22"/>
          <w:szCs w:val="22"/>
        </w:rPr>
        <w:t xml:space="preserve"> </w:t>
      </w:r>
      <w:r w:rsidR="005352D8">
        <w:rPr>
          <w:i/>
          <w:sz w:val="22"/>
          <w:szCs w:val="22"/>
        </w:rPr>
        <w:t xml:space="preserve">Federal </w:t>
      </w:r>
      <w:r w:rsidRPr="00022BCA" w:rsidR="005352D8">
        <w:rPr>
          <w:i/>
          <w:sz w:val="22"/>
          <w:szCs w:val="22"/>
        </w:rPr>
        <w:t>Register</w:t>
      </w:r>
      <w:r w:rsidR="005352D8">
        <w:rPr>
          <w:iCs/>
          <w:sz w:val="22"/>
          <w:szCs w:val="22"/>
        </w:rPr>
        <w:t xml:space="preserve"> (FR)</w:t>
      </w:r>
      <w:r w:rsidR="00646A79">
        <w:rPr>
          <w:sz w:val="22"/>
          <w:szCs w:val="22"/>
        </w:rPr>
        <w:t>,</w:t>
      </w:r>
      <w:r>
        <w:rPr>
          <w:sz w:val="22"/>
          <w:szCs w:val="22"/>
        </w:rPr>
        <w:t xml:space="preserve"> page 71858 </w:t>
      </w:r>
      <w:r w:rsidRPr="001B5788">
        <w:rPr>
          <w:sz w:val="22"/>
          <w:szCs w:val="22"/>
        </w:rPr>
        <w:t>(</w:t>
      </w:r>
      <w:r>
        <w:rPr>
          <w:rFonts w:cs="Arial"/>
          <w:color w:val="000000"/>
          <w:sz w:val="22"/>
          <w:szCs w:val="22"/>
        </w:rPr>
        <w:t>73 FR </w:t>
      </w:r>
      <w:r w:rsidRPr="00B37854">
        <w:rPr>
          <w:rFonts w:cs="Arial"/>
          <w:color w:val="000000"/>
          <w:sz w:val="22"/>
          <w:szCs w:val="22"/>
        </w:rPr>
        <w:t>71858</w:t>
      </w:r>
      <w:r>
        <w:rPr>
          <w:rFonts w:cs="Arial"/>
          <w:color w:val="000000"/>
          <w:sz w:val="22"/>
          <w:szCs w:val="22"/>
        </w:rPr>
        <w:t>)</w:t>
      </w:r>
      <w:r w:rsidRPr="009C746D">
        <w:rPr>
          <w:rFonts w:cs="Arial"/>
          <w:color w:val="000000"/>
          <w:sz w:val="22"/>
          <w:szCs w:val="22"/>
        </w:rPr>
        <w:t xml:space="preserve"> </w:t>
      </w:r>
      <w:r>
        <w:rPr>
          <w:rFonts w:cs="Arial"/>
          <w:color w:val="000000"/>
          <w:sz w:val="22"/>
          <w:szCs w:val="22"/>
        </w:rPr>
        <w:t>(</w:t>
      </w:r>
      <w:r w:rsidRPr="009C746D">
        <w:rPr>
          <w:rFonts w:cs="Arial"/>
          <w:color w:val="000000"/>
          <w:sz w:val="22"/>
          <w:szCs w:val="22"/>
        </w:rPr>
        <w:t xml:space="preserve">hereafter referred to as </w:t>
      </w:r>
      <w:r w:rsidRPr="009C746D">
        <w:rPr>
          <w:sz w:val="22"/>
          <w:szCs w:val="22"/>
        </w:rPr>
        <w:t xml:space="preserve">the </w:t>
      </w:r>
      <w:r w:rsidR="00646A79">
        <w:rPr>
          <w:sz w:val="22"/>
          <w:szCs w:val="22"/>
        </w:rPr>
        <w:t>“</w:t>
      </w:r>
      <w:r>
        <w:rPr>
          <w:sz w:val="22"/>
          <w:szCs w:val="22"/>
        </w:rPr>
        <w:t xml:space="preserve">2008 </w:t>
      </w:r>
      <w:r w:rsidRPr="009C746D">
        <w:rPr>
          <w:sz w:val="22"/>
          <w:szCs w:val="22"/>
        </w:rPr>
        <w:t>HHS Guidelines</w:t>
      </w:r>
      <w:r w:rsidR="00646A79">
        <w:rPr>
          <w:sz w:val="22"/>
          <w:szCs w:val="22"/>
        </w:rPr>
        <w:t>”</w:t>
      </w:r>
      <w:r w:rsidRPr="009C746D">
        <w:rPr>
          <w:sz w:val="22"/>
          <w:szCs w:val="22"/>
        </w:rPr>
        <w:t>)</w:t>
      </w:r>
      <w:r w:rsidR="00DC76C5">
        <w:rPr>
          <w:sz w:val="22"/>
          <w:szCs w:val="22"/>
        </w:rPr>
        <w:t>,</w:t>
      </w:r>
      <w:r>
        <w:rPr>
          <w:sz w:val="22"/>
          <w:szCs w:val="22"/>
        </w:rPr>
        <w:t xml:space="preserve"> </w:t>
      </w:r>
      <w:r w:rsidR="001729D4">
        <w:rPr>
          <w:sz w:val="22"/>
          <w:szCs w:val="22"/>
        </w:rPr>
        <w:t>and on Jan</w:t>
      </w:r>
      <w:r w:rsidR="00A02BE9">
        <w:rPr>
          <w:sz w:val="22"/>
          <w:szCs w:val="22"/>
        </w:rPr>
        <w:t>u</w:t>
      </w:r>
      <w:r w:rsidR="001729D4">
        <w:rPr>
          <w:sz w:val="22"/>
          <w:szCs w:val="22"/>
        </w:rPr>
        <w:t>ary 23</w:t>
      </w:r>
      <w:r w:rsidR="00646A79">
        <w:rPr>
          <w:sz w:val="22"/>
          <w:szCs w:val="22"/>
        </w:rPr>
        <w:t>,</w:t>
      </w:r>
      <w:r w:rsidR="001729D4">
        <w:rPr>
          <w:sz w:val="22"/>
          <w:szCs w:val="22"/>
        </w:rPr>
        <w:t xml:space="preserve"> 2017</w:t>
      </w:r>
      <w:r w:rsidR="00646A79">
        <w:rPr>
          <w:sz w:val="22"/>
          <w:szCs w:val="22"/>
        </w:rPr>
        <w:t>,</w:t>
      </w:r>
      <w:r w:rsidR="001729D4">
        <w:rPr>
          <w:sz w:val="22"/>
          <w:szCs w:val="22"/>
        </w:rPr>
        <w:t xml:space="preserve"> </w:t>
      </w:r>
      <w:r w:rsidR="00393B4E">
        <w:rPr>
          <w:sz w:val="22"/>
          <w:szCs w:val="22"/>
        </w:rPr>
        <w:t xml:space="preserve">at </w:t>
      </w:r>
      <w:r w:rsidRPr="001729D4" w:rsidR="001729D4">
        <w:rPr>
          <w:sz w:val="22"/>
          <w:szCs w:val="22"/>
        </w:rPr>
        <w:t xml:space="preserve">82 FR 7920 </w:t>
      </w:r>
      <w:r w:rsidR="001729D4">
        <w:rPr>
          <w:rFonts w:cs="Arial"/>
          <w:sz w:val="22"/>
          <w:szCs w:val="22"/>
        </w:rPr>
        <w:t xml:space="preserve">(hereafter referred to as the </w:t>
      </w:r>
      <w:r w:rsidR="00646A79">
        <w:rPr>
          <w:rFonts w:cs="Arial"/>
          <w:sz w:val="22"/>
          <w:szCs w:val="22"/>
        </w:rPr>
        <w:t>“</w:t>
      </w:r>
      <w:r w:rsidR="001729D4">
        <w:rPr>
          <w:rFonts w:cs="Arial"/>
          <w:sz w:val="22"/>
          <w:szCs w:val="22"/>
        </w:rPr>
        <w:t>2017 HHS Guidelines</w:t>
      </w:r>
      <w:r w:rsidR="00E8327C">
        <w:rPr>
          <w:rFonts w:cs="Arial"/>
          <w:sz w:val="22"/>
          <w:szCs w:val="22"/>
        </w:rPr>
        <w:t>”</w:t>
      </w:r>
      <w:r w:rsidR="001729D4">
        <w:rPr>
          <w:rFonts w:cs="Arial"/>
          <w:sz w:val="22"/>
          <w:szCs w:val="22"/>
        </w:rPr>
        <w:t xml:space="preserve">) </w:t>
      </w:r>
      <w:r w:rsidRPr="00415F7A">
        <w:rPr>
          <w:rFonts w:cs="Arial"/>
          <w:sz w:val="22"/>
          <w:szCs w:val="22"/>
        </w:rPr>
        <w:t xml:space="preserve">and </w:t>
      </w:r>
      <w:r>
        <w:rPr>
          <w:rFonts w:cs="Arial"/>
          <w:sz w:val="22"/>
          <w:szCs w:val="22"/>
        </w:rPr>
        <w:t xml:space="preserve">implemented by </w:t>
      </w:r>
      <w:r w:rsidRPr="00415F7A">
        <w:rPr>
          <w:rFonts w:cs="Arial"/>
          <w:sz w:val="22"/>
          <w:szCs w:val="22"/>
        </w:rPr>
        <w:t>other Federal agencies</w:t>
      </w:r>
      <w:r w:rsidR="00305FA1">
        <w:rPr>
          <w:rFonts w:cs="Arial"/>
          <w:sz w:val="22"/>
          <w:szCs w:val="22"/>
        </w:rPr>
        <w:t>,</w:t>
      </w:r>
      <w:r>
        <w:rPr>
          <w:rFonts w:cs="Arial"/>
          <w:sz w:val="22"/>
          <w:szCs w:val="22"/>
        </w:rPr>
        <w:t xml:space="preserve"> and (3) enhance </w:t>
      </w:r>
      <w:r w:rsidR="001A5B9D">
        <w:rPr>
          <w:rFonts w:cs="Arial"/>
          <w:sz w:val="22"/>
          <w:szCs w:val="22"/>
        </w:rPr>
        <w:t>donor</w:t>
      </w:r>
      <w:r>
        <w:rPr>
          <w:rFonts w:cs="Arial"/>
          <w:sz w:val="22"/>
          <w:szCs w:val="22"/>
        </w:rPr>
        <w:t xml:space="preserve"> protection </w:t>
      </w:r>
      <w:r w:rsidR="001A5B9D">
        <w:rPr>
          <w:rFonts w:cs="Arial"/>
          <w:sz w:val="22"/>
          <w:szCs w:val="22"/>
        </w:rPr>
        <w:t xml:space="preserve">and due process requirements for </w:t>
      </w:r>
      <w:r>
        <w:rPr>
          <w:rFonts w:cs="Arial"/>
          <w:sz w:val="22"/>
          <w:szCs w:val="22"/>
        </w:rPr>
        <w:t>individual</w:t>
      </w:r>
      <w:r w:rsidR="001A5B9D">
        <w:rPr>
          <w:rFonts w:cs="Arial"/>
          <w:sz w:val="22"/>
          <w:szCs w:val="22"/>
        </w:rPr>
        <w:t>s</w:t>
      </w:r>
      <w:r>
        <w:rPr>
          <w:rFonts w:cs="Arial"/>
          <w:sz w:val="22"/>
          <w:szCs w:val="22"/>
        </w:rPr>
        <w:t xml:space="preserve"> </w:t>
      </w:r>
      <w:r w:rsidR="001A5B9D">
        <w:rPr>
          <w:rFonts w:cs="Arial"/>
          <w:sz w:val="22"/>
          <w:szCs w:val="22"/>
        </w:rPr>
        <w:t>subject to drug testing</w:t>
      </w:r>
      <w:r>
        <w:rPr>
          <w:rFonts w:cs="Arial"/>
          <w:sz w:val="22"/>
          <w:szCs w:val="22"/>
        </w:rPr>
        <w:t>.  In support of these three objectives</w:t>
      </w:r>
      <w:r w:rsidR="00646A79">
        <w:rPr>
          <w:rFonts w:cs="Arial"/>
          <w:sz w:val="22"/>
          <w:szCs w:val="22"/>
        </w:rPr>
        <w:t>,</w:t>
      </w:r>
      <w:r>
        <w:rPr>
          <w:rFonts w:cs="Arial"/>
          <w:sz w:val="22"/>
          <w:szCs w:val="22"/>
        </w:rPr>
        <w:t xml:space="preserve"> the </w:t>
      </w:r>
      <w:r w:rsidR="00C82438">
        <w:rPr>
          <w:rFonts w:cs="Arial"/>
          <w:sz w:val="22"/>
          <w:szCs w:val="22"/>
        </w:rPr>
        <w:t>final</w:t>
      </w:r>
      <w:r>
        <w:rPr>
          <w:rFonts w:cs="Arial"/>
          <w:sz w:val="22"/>
          <w:szCs w:val="22"/>
        </w:rPr>
        <w:t xml:space="preserve"> rule also improve</w:t>
      </w:r>
      <w:r w:rsidR="00C16268">
        <w:rPr>
          <w:rFonts w:cs="Arial"/>
          <w:sz w:val="22"/>
          <w:szCs w:val="22"/>
        </w:rPr>
        <w:t>s</w:t>
      </w:r>
      <w:r w:rsidRPr="00415F7A">
        <w:rPr>
          <w:rFonts w:cs="Arial"/>
          <w:sz w:val="22"/>
          <w:szCs w:val="22"/>
        </w:rPr>
        <w:t xml:space="preserve"> the clarity</w:t>
      </w:r>
      <w:r w:rsidR="00646A79">
        <w:rPr>
          <w:rFonts w:cs="Arial"/>
          <w:sz w:val="22"/>
          <w:szCs w:val="22"/>
        </w:rPr>
        <w:t>,</w:t>
      </w:r>
      <w:r w:rsidRPr="00415F7A">
        <w:rPr>
          <w:rFonts w:cs="Arial"/>
          <w:sz w:val="22"/>
          <w:szCs w:val="22"/>
        </w:rPr>
        <w:t xml:space="preserve"> organization</w:t>
      </w:r>
      <w:r w:rsidR="00646A79">
        <w:rPr>
          <w:rFonts w:cs="Arial"/>
          <w:sz w:val="22"/>
          <w:szCs w:val="22"/>
        </w:rPr>
        <w:t>,</w:t>
      </w:r>
      <w:r w:rsidRPr="00415F7A">
        <w:rPr>
          <w:rFonts w:cs="Arial"/>
          <w:sz w:val="22"/>
          <w:szCs w:val="22"/>
        </w:rPr>
        <w:t xml:space="preserve"> and flexibility of </w:t>
      </w:r>
      <w:r>
        <w:rPr>
          <w:rFonts w:cs="Arial"/>
          <w:sz w:val="22"/>
          <w:szCs w:val="22"/>
        </w:rPr>
        <w:t>10 CFR Part 26</w:t>
      </w:r>
      <w:r w:rsidRPr="00415F7A">
        <w:rPr>
          <w:rFonts w:cs="Arial"/>
          <w:sz w:val="22"/>
          <w:szCs w:val="22"/>
        </w:rPr>
        <w:t xml:space="preserve"> rule language</w:t>
      </w:r>
      <w:r w:rsidRPr="005A5966">
        <w:rPr>
          <w:sz w:val="22"/>
          <w:szCs w:val="22"/>
        </w:rPr>
        <w:t>.</w:t>
      </w:r>
    </w:p>
    <w:p w:rsidR="00D520BD" w:rsidP="00D520BD" w:rsidRDefault="00D520BD" w14:paraId="242746E7" w14:textId="77777777">
      <w:pPr>
        <w:autoSpaceDE/>
        <w:autoSpaceDN/>
        <w:adjustRightInd/>
        <w:rPr>
          <w:sz w:val="22"/>
          <w:szCs w:val="22"/>
        </w:rPr>
      </w:pPr>
    </w:p>
    <w:p w:rsidR="00D520BD" w:rsidP="00D520BD" w:rsidRDefault="00D520BD" w14:paraId="11D7CAA3" w14:textId="1023972B">
      <w:pPr>
        <w:autoSpaceDE/>
        <w:autoSpaceDN/>
        <w:adjustRightInd/>
        <w:rPr>
          <w:sz w:val="22"/>
          <w:szCs w:val="22"/>
        </w:rPr>
      </w:pPr>
      <w:r w:rsidRPr="005A5966">
        <w:rPr>
          <w:sz w:val="22"/>
          <w:szCs w:val="22"/>
        </w:rPr>
        <w:t xml:space="preserve">This introduction </w:t>
      </w:r>
      <w:r>
        <w:rPr>
          <w:sz w:val="22"/>
          <w:szCs w:val="22"/>
        </w:rPr>
        <w:t>contains</w:t>
      </w:r>
      <w:r w:rsidRPr="005A5966">
        <w:rPr>
          <w:sz w:val="22"/>
          <w:szCs w:val="22"/>
        </w:rPr>
        <w:t xml:space="preserve"> two sections.  Section</w:t>
      </w:r>
      <w:r>
        <w:rPr>
          <w:sz w:val="22"/>
          <w:szCs w:val="22"/>
        </w:rPr>
        <w:t> </w:t>
      </w:r>
      <w:r w:rsidRPr="005A5966">
        <w:rPr>
          <w:sz w:val="22"/>
          <w:szCs w:val="22"/>
        </w:rPr>
        <w:t>1.1 provides background information</w:t>
      </w:r>
      <w:r w:rsidR="00646A79">
        <w:rPr>
          <w:sz w:val="22"/>
          <w:szCs w:val="22"/>
        </w:rPr>
        <w:t>,</w:t>
      </w:r>
      <w:r w:rsidRPr="005A5966">
        <w:rPr>
          <w:sz w:val="22"/>
          <w:szCs w:val="22"/>
        </w:rPr>
        <w:t xml:space="preserve"> and Section</w:t>
      </w:r>
      <w:r>
        <w:rPr>
          <w:sz w:val="22"/>
          <w:szCs w:val="22"/>
        </w:rPr>
        <w:t> </w:t>
      </w:r>
      <w:r w:rsidRPr="005A5966">
        <w:rPr>
          <w:sz w:val="22"/>
          <w:szCs w:val="22"/>
        </w:rPr>
        <w:t xml:space="preserve">1.2 </w:t>
      </w:r>
      <w:r w:rsidR="00D24E13">
        <w:rPr>
          <w:sz w:val="22"/>
          <w:szCs w:val="22"/>
        </w:rPr>
        <w:t xml:space="preserve">presents </w:t>
      </w:r>
      <w:r w:rsidRPr="005A5966">
        <w:rPr>
          <w:sz w:val="22"/>
          <w:szCs w:val="22"/>
        </w:rPr>
        <w:t xml:space="preserve">the </w:t>
      </w:r>
      <w:r w:rsidR="007A7101">
        <w:rPr>
          <w:sz w:val="22"/>
          <w:szCs w:val="22"/>
        </w:rPr>
        <w:t xml:space="preserve">statement of the </w:t>
      </w:r>
      <w:r w:rsidRPr="005A5966">
        <w:rPr>
          <w:sz w:val="22"/>
          <w:szCs w:val="22"/>
        </w:rPr>
        <w:t xml:space="preserve">problem and the objectives for the </w:t>
      </w:r>
      <w:r w:rsidR="00C82438">
        <w:rPr>
          <w:sz w:val="22"/>
          <w:szCs w:val="22"/>
        </w:rPr>
        <w:t>final</w:t>
      </w:r>
      <w:r w:rsidRPr="005A5966">
        <w:rPr>
          <w:sz w:val="22"/>
          <w:szCs w:val="22"/>
        </w:rPr>
        <w:t xml:space="preserve"> rule.</w:t>
      </w:r>
    </w:p>
    <w:p w:rsidRPr="00646A79" w:rsidR="00D520BD" w:rsidP="006077FA" w:rsidRDefault="00D520BD" w14:paraId="1E8583F7" w14:textId="2EE85E88">
      <w:pPr>
        <w:rPr>
          <w:sz w:val="22"/>
          <w:szCs w:val="22"/>
        </w:rPr>
      </w:pPr>
    </w:p>
    <w:p w:rsidRPr="005A5966" w:rsidR="00D520BD" w:rsidP="00D520BD" w:rsidRDefault="00D520BD" w14:paraId="03246FC7" w14:textId="77777777">
      <w:pPr>
        <w:pStyle w:val="Heading2"/>
      </w:pPr>
      <w:bookmarkStart w:name="_Toc354162805" w:id="33"/>
      <w:bookmarkStart w:name="_Toc199932469" w:id="34"/>
      <w:bookmarkStart w:name="_Toc199932638" w:id="35"/>
      <w:bookmarkStart w:name="_Toc460412592" w:id="36"/>
      <w:bookmarkStart w:name="_Toc72840010" w:id="37"/>
      <w:bookmarkStart w:name="_Toc105681483" w:id="38"/>
      <w:r w:rsidRPr="005A5966">
        <w:t>1.1</w:t>
      </w:r>
      <w:r w:rsidRPr="005A5966">
        <w:tab/>
        <w:t>Background</w:t>
      </w:r>
      <w:bookmarkEnd w:id="33"/>
      <w:bookmarkEnd w:id="34"/>
      <w:bookmarkEnd w:id="35"/>
      <w:bookmarkEnd w:id="36"/>
      <w:bookmarkEnd w:id="37"/>
      <w:bookmarkEnd w:id="38"/>
    </w:p>
    <w:p w:rsidRPr="005A5966" w:rsidR="00D520BD" w:rsidP="00D520BD" w:rsidRDefault="00D520BD" w14:paraId="27E0DEFD" w14:textId="5DFCCC73">
      <w:pPr>
        <w:keepNext/>
        <w:rPr>
          <w:rFonts w:cs="Arial"/>
          <w:sz w:val="22"/>
          <w:szCs w:val="22"/>
        </w:rPr>
      </w:pPr>
    </w:p>
    <w:p w:rsidR="00D520BD" w:rsidP="00D520BD" w:rsidRDefault="00D520BD" w14:paraId="78D76481" w14:textId="5A0255C1">
      <w:pPr>
        <w:rPr>
          <w:rFonts w:cs="Arial"/>
          <w:sz w:val="22"/>
          <w:szCs w:val="22"/>
        </w:rPr>
      </w:pPr>
      <w:r>
        <w:rPr>
          <w:rFonts w:cs="Arial"/>
          <w:sz w:val="22"/>
          <w:szCs w:val="22"/>
        </w:rPr>
        <w:t>The regulations at 10 CFR Part 26 contain</w:t>
      </w:r>
      <w:r w:rsidRPr="005A5966">
        <w:rPr>
          <w:rFonts w:cs="Arial"/>
          <w:sz w:val="22"/>
          <w:szCs w:val="22"/>
        </w:rPr>
        <w:t xml:space="preserve"> </w:t>
      </w:r>
      <w:r>
        <w:rPr>
          <w:rFonts w:cs="Arial"/>
          <w:sz w:val="22"/>
          <w:szCs w:val="22"/>
        </w:rPr>
        <w:t xml:space="preserve">the </w:t>
      </w:r>
      <w:r w:rsidRPr="005A5966">
        <w:rPr>
          <w:rFonts w:cs="Arial"/>
          <w:sz w:val="22"/>
          <w:szCs w:val="22"/>
        </w:rPr>
        <w:t>NRC</w:t>
      </w:r>
      <w:r>
        <w:rPr>
          <w:rFonts w:cs="Arial"/>
          <w:sz w:val="22"/>
          <w:szCs w:val="22"/>
        </w:rPr>
        <w:t>’s</w:t>
      </w:r>
      <w:r w:rsidRPr="005A5966">
        <w:rPr>
          <w:rFonts w:cs="Arial"/>
          <w:sz w:val="22"/>
          <w:szCs w:val="22"/>
        </w:rPr>
        <w:t xml:space="preserve"> requirements for </w:t>
      </w:r>
      <w:r>
        <w:rPr>
          <w:rFonts w:cs="Arial"/>
          <w:sz w:val="22"/>
          <w:szCs w:val="22"/>
        </w:rPr>
        <w:t xml:space="preserve">the FFD programs of </w:t>
      </w:r>
      <w:r w:rsidRPr="005A5966">
        <w:rPr>
          <w:rFonts w:cs="Arial"/>
          <w:sz w:val="22"/>
          <w:szCs w:val="22"/>
        </w:rPr>
        <w:t>licensee</w:t>
      </w:r>
      <w:r>
        <w:rPr>
          <w:rFonts w:cs="Arial"/>
          <w:sz w:val="22"/>
          <w:szCs w:val="22"/>
        </w:rPr>
        <w:t>s</w:t>
      </w:r>
      <w:r w:rsidRPr="005A5966">
        <w:rPr>
          <w:rFonts w:cs="Arial"/>
          <w:sz w:val="22"/>
          <w:szCs w:val="22"/>
        </w:rPr>
        <w:t xml:space="preserve"> and other entit</w:t>
      </w:r>
      <w:r>
        <w:rPr>
          <w:rFonts w:cs="Arial"/>
          <w:sz w:val="22"/>
          <w:szCs w:val="22"/>
        </w:rPr>
        <w:t>ies</w:t>
      </w:r>
      <w:r w:rsidRPr="005A5966">
        <w:rPr>
          <w:rFonts w:cs="Arial"/>
          <w:sz w:val="22"/>
          <w:szCs w:val="22"/>
        </w:rPr>
        <w:t xml:space="preserve"> </w:t>
      </w:r>
      <w:r>
        <w:rPr>
          <w:rFonts w:cs="Arial"/>
          <w:sz w:val="22"/>
          <w:szCs w:val="22"/>
        </w:rPr>
        <w:t xml:space="preserve">(also referred to in this document as </w:t>
      </w:r>
      <w:r w:rsidR="00646A79">
        <w:rPr>
          <w:rFonts w:cs="Arial"/>
          <w:sz w:val="22"/>
          <w:szCs w:val="22"/>
        </w:rPr>
        <w:t>“</w:t>
      </w:r>
      <w:r>
        <w:rPr>
          <w:rFonts w:cs="Arial"/>
          <w:sz w:val="22"/>
          <w:szCs w:val="22"/>
        </w:rPr>
        <w:t>licensees</w:t>
      </w:r>
      <w:r w:rsidR="00646A79">
        <w:rPr>
          <w:rFonts w:cs="Arial"/>
          <w:sz w:val="22"/>
          <w:szCs w:val="22"/>
        </w:rPr>
        <w:t>”</w:t>
      </w:r>
      <w:r>
        <w:rPr>
          <w:rFonts w:cs="Arial"/>
          <w:sz w:val="22"/>
          <w:szCs w:val="22"/>
        </w:rPr>
        <w:t xml:space="preserve"> or </w:t>
      </w:r>
      <w:r w:rsidR="00646A79">
        <w:rPr>
          <w:rFonts w:cs="Arial"/>
          <w:sz w:val="22"/>
          <w:szCs w:val="22"/>
        </w:rPr>
        <w:t>“</w:t>
      </w:r>
      <w:r>
        <w:rPr>
          <w:rFonts w:cs="Arial"/>
          <w:sz w:val="22"/>
          <w:szCs w:val="22"/>
        </w:rPr>
        <w:t>affected entities</w:t>
      </w:r>
      <w:r w:rsidR="00646A79">
        <w:rPr>
          <w:rFonts w:cs="Arial"/>
          <w:sz w:val="22"/>
          <w:szCs w:val="22"/>
        </w:rPr>
        <w:t>”</w:t>
      </w:r>
      <w:r>
        <w:rPr>
          <w:rStyle w:val="FootnoteReference"/>
          <w:rFonts w:cs="Arial"/>
          <w:sz w:val="22"/>
          <w:szCs w:val="22"/>
        </w:rPr>
        <w:footnoteReference w:id="7"/>
      </w:r>
      <w:r>
        <w:rPr>
          <w:rFonts w:cs="Arial"/>
          <w:sz w:val="22"/>
          <w:szCs w:val="22"/>
        </w:rPr>
        <w:t>).  The regulations</w:t>
      </w:r>
      <w:r w:rsidRPr="005A5966">
        <w:rPr>
          <w:rFonts w:cs="Arial"/>
          <w:sz w:val="22"/>
          <w:szCs w:val="22"/>
        </w:rPr>
        <w:t xml:space="preserve"> focus</w:t>
      </w:r>
      <w:r w:rsidR="00646A79">
        <w:rPr>
          <w:rFonts w:cs="Arial"/>
          <w:sz w:val="22"/>
          <w:szCs w:val="22"/>
        </w:rPr>
        <w:t>,</w:t>
      </w:r>
      <w:r>
        <w:rPr>
          <w:rFonts w:cs="Arial"/>
          <w:sz w:val="22"/>
          <w:szCs w:val="22"/>
        </w:rPr>
        <w:t xml:space="preserve"> in part</w:t>
      </w:r>
      <w:r w:rsidR="00646A79">
        <w:rPr>
          <w:rFonts w:cs="Arial"/>
          <w:sz w:val="22"/>
          <w:szCs w:val="22"/>
        </w:rPr>
        <w:t>,</w:t>
      </w:r>
      <w:r w:rsidRPr="005A5966">
        <w:rPr>
          <w:rFonts w:cs="Arial"/>
          <w:sz w:val="22"/>
          <w:szCs w:val="22"/>
        </w:rPr>
        <w:t xml:space="preserve"> on preventing and detecting impairment among </w:t>
      </w:r>
      <w:r w:rsidRPr="00F86766">
        <w:rPr>
          <w:rFonts w:cs="Arial"/>
          <w:sz w:val="22"/>
          <w:szCs w:val="22"/>
        </w:rPr>
        <w:t>personnel</w:t>
      </w:r>
      <w:r w:rsidRPr="005A5966">
        <w:rPr>
          <w:rFonts w:cs="Arial"/>
          <w:sz w:val="22"/>
          <w:szCs w:val="22"/>
        </w:rPr>
        <w:t xml:space="preserve"> </w:t>
      </w:r>
      <w:r>
        <w:rPr>
          <w:rFonts w:cs="Arial"/>
          <w:sz w:val="22"/>
          <w:szCs w:val="22"/>
        </w:rPr>
        <w:t>subject to an FFD program by providing reasonable assurance that the workplace is free of drugs and the effects of such substances.</w:t>
      </w:r>
    </w:p>
    <w:p w:rsidR="00D520BD" w:rsidP="00D520BD" w:rsidRDefault="00D520BD" w14:paraId="7A379C79" w14:textId="37C84C41">
      <w:pPr>
        <w:rPr>
          <w:rFonts w:cs="Arial"/>
          <w:sz w:val="22"/>
          <w:szCs w:val="22"/>
        </w:rPr>
      </w:pPr>
    </w:p>
    <w:p w:rsidR="00D520BD" w:rsidP="00D520BD" w:rsidRDefault="00D520BD" w14:paraId="427AD8A6" w14:textId="50DC0CDC">
      <w:pPr>
        <w:rPr>
          <w:rFonts w:cs="Arial"/>
          <w:sz w:val="22"/>
          <w:szCs w:val="22"/>
        </w:rPr>
      </w:pPr>
      <w:r>
        <w:rPr>
          <w:rFonts w:cs="Arial"/>
          <w:sz w:val="22"/>
          <w:szCs w:val="22"/>
        </w:rPr>
        <w:t>The general performance objective of an FFD program</w:t>
      </w:r>
      <w:r w:rsidR="00646A79">
        <w:rPr>
          <w:rFonts w:cs="Arial"/>
          <w:sz w:val="22"/>
          <w:szCs w:val="22"/>
        </w:rPr>
        <w:t>,</w:t>
      </w:r>
      <w:r>
        <w:rPr>
          <w:rFonts w:cs="Arial"/>
          <w:sz w:val="22"/>
          <w:szCs w:val="22"/>
        </w:rPr>
        <w:t xml:space="preserve"> as described in the original 10 CFR Part 26 final rule (54 FR 24468; June 7</w:t>
      </w:r>
      <w:r w:rsidR="00646A79">
        <w:rPr>
          <w:rFonts w:cs="Arial"/>
          <w:sz w:val="22"/>
          <w:szCs w:val="22"/>
        </w:rPr>
        <w:t>,</w:t>
      </w:r>
      <w:r>
        <w:rPr>
          <w:rFonts w:cs="Arial"/>
          <w:sz w:val="22"/>
          <w:szCs w:val="22"/>
        </w:rPr>
        <w:t> 1989)</w:t>
      </w:r>
      <w:r w:rsidR="00646A79">
        <w:rPr>
          <w:rFonts w:cs="Arial"/>
          <w:sz w:val="22"/>
          <w:szCs w:val="22"/>
        </w:rPr>
        <w:t>,</w:t>
      </w:r>
      <w:r>
        <w:rPr>
          <w:rFonts w:cs="Arial"/>
          <w:sz w:val="22"/>
          <w:szCs w:val="22"/>
        </w:rPr>
        <w:t xml:space="preserve"> </w:t>
      </w:r>
      <w:r w:rsidR="00646A79">
        <w:rPr>
          <w:rFonts w:cs="Arial"/>
          <w:sz w:val="22"/>
          <w:szCs w:val="22"/>
        </w:rPr>
        <w:t>“</w:t>
      </w:r>
      <w:r>
        <w:rPr>
          <w:rFonts w:cs="Arial"/>
          <w:sz w:val="22"/>
          <w:szCs w:val="22"/>
        </w:rPr>
        <w:t>is to provide reasonable assurance that nuclear power plant personnel are reliable</w:t>
      </w:r>
      <w:r w:rsidR="00646A79">
        <w:rPr>
          <w:rFonts w:cs="Arial"/>
          <w:sz w:val="22"/>
          <w:szCs w:val="22"/>
        </w:rPr>
        <w:t>,</w:t>
      </w:r>
      <w:r>
        <w:rPr>
          <w:rFonts w:cs="Arial"/>
          <w:sz w:val="22"/>
          <w:szCs w:val="22"/>
        </w:rPr>
        <w:t xml:space="preserve"> trustworthy</w:t>
      </w:r>
      <w:r w:rsidR="00646A79">
        <w:rPr>
          <w:rFonts w:cs="Arial"/>
          <w:sz w:val="22"/>
          <w:szCs w:val="22"/>
        </w:rPr>
        <w:t>,</w:t>
      </w:r>
      <w:r>
        <w:rPr>
          <w:rFonts w:cs="Arial"/>
          <w:sz w:val="22"/>
          <w:szCs w:val="22"/>
        </w:rPr>
        <w:t xml:space="preserve"> and not under the influence of any substance</w:t>
      </w:r>
      <w:r w:rsidR="00646A79">
        <w:rPr>
          <w:rFonts w:cs="Arial"/>
          <w:sz w:val="22"/>
          <w:szCs w:val="22"/>
        </w:rPr>
        <w:t>,</w:t>
      </w:r>
      <w:r>
        <w:rPr>
          <w:rFonts w:cs="Arial"/>
          <w:sz w:val="22"/>
          <w:szCs w:val="22"/>
        </w:rPr>
        <w:t xml:space="preserve"> legal or illegal</w:t>
      </w:r>
      <w:r w:rsidR="00646A79">
        <w:rPr>
          <w:rFonts w:cs="Arial"/>
          <w:sz w:val="22"/>
          <w:szCs w:val="22"/>
        </w:rPr>
        <w:t>,</w:t>
      </w:r>
      <w:r>
        <w:rPr>
          <w:rFonts w:cs="Arial"/>
          <w:sz w:val="22"/>
          <w:szCs w:val="22"/>
        </w:rPr>
        <w:t xml:space="preserve"> or mentally or physically impaired from any cause</w:t>
      </w:r>
      <w:r w:rsidR="00646A79">
        <w:rPr>
          <w:rFonts w:cs="Arial"/>
          <w:sz w:val="22"/>
          <w:szCs w:val="22"/>
        </w:rPr>
        <w:t>,</w:t>
      </w:r>
      <w:r>
        <w:rPr>
          <w:rFonts w:cs="Arial"/>
          <w:sz w:val="22"/>
          <w:szCs w:val="22"/>
        </w:rPr>
        <w:t xml:space="preserve"> which in any way adversely affects their ability to safely and competently perform their duties.</w:t>
      </w:r>
      <w:r w:rsidR="00646A79">
        <w:rPr>
          <w:rFonts w:cs="Arial"/>
          <w:sz w:val="22"/>
          <w:szCs w:val="22"/>
        </w:rPr>
        <w:t>”</w:t>
      </w:r>
      <w:r>
        <w:rPr>
          <w:rFonts w:cs="Arial"/>
          <w:sz w:val="22"/>
          <w:szCs w:val="22"/>
        </w:rPr>
        <w:t xml:space="preserve">  This 1989 final rule also states that an </w:t>
      </w:r>
      <w:r w:rsidRPr="00953CF5">
        <w:rPr>
          <w:rFonts w:cs="Arial"/>
          <w:sz w:val="22"/>
          <w:szCs w:val="22"/>
        </w:rPr>
        <w:t xml:space="preserve">FFD program </w:t>
      </w:r>
      <w:r w:rsidR="00646A79">
        <w:rPr>
          <w:rFonts w:cs="Arial"/>
          <w:sz w:val="22"/>
          <w:szCs w:val="22"/>
        </w:rPr>
        <w:t>“</w:t>
      </w:r>
      <w:r w:rsidRPr="00953CF5">
        <w:rPr>
          <w:rFonts w:cs="Arial"/>
          <w:sz w:val="22"/>
          <w:szCs w:val="22"/>
        </w:rPr>
        <w:t>developed under the requirements of this rule is intended to create an environment which is free of drugs and the effects of such substances</w:t>
      </w:r>
      <w:r w:rsidR="00646A79">
        <w:rPr>
          <w:rFonts w:cs="Arial"/>
          <w:sz w:val="22"/>
          <w:szCs w:val="22"/>
        </w:rPr>
        <w:t>”</w:t>
      </w:r>
      <w:r>
        <w:rPr>
          <w:rFonts w:cs="Arial"/>
          <w:sz w:val="22"/>
          <w:szCs w:val="22"/>
        </w:rPr>
        <w:t xml:space="preserve"> (</w:t>
      </w:r>
      <w:r w:rsidRPr="00F86766">
        <w:rPr>
          <w:rFonts w:cs="Arial"/>
          <w:sz w:val="22"/>
          <w:szCs w:val="22"/>
        </w:rPr>
        <w:t>54</w:t>
      </w:r>
      <w:r w:rsidR="00823323">
        <w:rPr>
          <w:rFonts w:cs="Arial"/>
          <w:sz w:val="22"/>
          <w:szCs w:val="22"/>
        </w:rPr>
        <w:t> </w:t>
      </w:r>
      <w:r w:rsidRPr="00F86766">
        <w:rPr>
          <w:rFonts w:cs="Arial"/>
          <w:sz w:val="22"/>
          <w:szCs w:val="22"/>
        </w:rPr>
        <w:t>FR</w:t>
      </w:r>
      <w:r w:rsidR="004A3DF4">
        <w:rPr>
          <w:rFonts w:cs="Arial"/>
          <w:sz w:val="22"/>
          <w:szCs w:val="22"/>
        </w:rPr>
        <w:t> </w:t>
      </w:r>
      <w:r w:rsidRPr="00F86766">
        <w:rPr>
          <w:rFonts w:cs="Arial"/>
          <w:sz w:val="22"/>
          <w:szCs w:val="22"/>
        </w:rPr>
        <w:t>24468</w:t>
      </w:r>
      <w:r w:rsidR="003760ED">
        <w:rPr>
          <w:rFonts w:cs="Arial"/>
          <w:sz w:val="22"/>
          <w:szCs w:val="22"/>
        </w:rPr>
        <w:t>; June 7</w:t>
      </w:r>
      <w:r w:rsidR="00646A79">
        <w:rPr>
          <w:rFonts w:cs="Arial"/>
          <w:sz w:val="22"/>
          <w:szCs w:val="22"/>
        </w:rPr>
        <w:t>,</w:t>
      </w:r>
      <w:r w:rsidR="003760ED">
        <w:rPr>
          <w:rFonts w:cs="Arial"/>
          <w:sz w:val="22"/>
          <w:szCs w:val="22"/>
        </w:rPr>
        <w:t xml:space="preserve"> 1989</w:t>
      </w:r>
      <w:r>
        <w:rPr>
          <w:rFonts w:cs="Arial"/>
          <w:sz w:val="22"/>
          <w:szCs w:val="22"/>
        </w:rPr>
        <w:t xml:space="preserve">). </w:t>
      </w:r>
      <w:r w:rsidRPr="002F5E85">
        <w:rPr>
          <w:rFonts w:cs="Arial"/>
          <w:sz w:val="22"/>
          <w:szCs w:val="22"/>
        </w:rPr>
        <w:t xml:space="preserve"> </w:t>
      </w:r>
      <w:r>
        <w:rPr>
          <w:rFonts w:cs="Arial"/>
          <w:sz w:val="22"/>
          <w:szCs w:val="22"/>
        </w:rPr>
        <w:t>The regulations at 10 CFR 26.23</w:t>
      </w:r>
      <w:r w:rsidR="00646A79">
        <w:rPr>
          <w:rFonts w:cs="Arial"/>
          <w:sz w:val="22"/>
          <w:szCs w:val="22"/>
        </w:rPr>
        <w:t>,</w:t>
      </w:r>
      <w:r>
        <w:rPr>
          <w:rFonts w:cs="Arial"/>
          <w:sz w:val="22"/>
          <w:szCs w:val="22"/>
        </w:rPr>
        <w:t xml:space="preserve"> </w:t>
      </w:r>
      <w:r w:rsidR="00646A79">
        <w:rPr>
          <w:rFonts w:cs="Arial"/>
          <w:sz w:val="22"/>
          <w:szCs w:val="22"/>
        </w:rPr>
        <w:t>“</w:t>
      </w:r>
      <w:r>
        <w:rPr>
          <w:rFonts w:cs="Arial"/>
          <w:sz w:val="22"/>
          <w:szCs w:val="22"/>
        </w:rPr>
        <w:t xml:space="preserve">Performance </w:t>
      </w:r>
      <w:r w:rsidR="001A1700">
        <w:rPr>
          <w:rFonts w:cs="Arial"/>
          <w:sz w:val="22"/>
          <w:szCs w:val="22"/>
        </w:rPr>
        <w:t>o</w:t>
      </w:r>
      <w:r>
        <w:rPr>
          <w:rFonts w:cs="Arial"/>
          <w:sz w:val="22"/>
          <w:szCs w:val="22"/>
        </w:rPr>
        <w:t>bjectives</w:t>
      </w:r>
      <w:r w:rsidR="00646A79">
        <w:rPr>
          <w:rFonts w:cs="Arial"/>
          <w:sz w:val="22"/>
          <w:szCs w:val="22"/>
        </w:rPr>
        <w:t>,”</w:t>
      </w:r>
      <w:r>
        <w:rPr>
          <w:rFonts w:cs="Arial"/>
          <w:sz w:val="22"/>
          <w:szCs w:val="22"/>
        </w:rPr>
        <w:t xml:space="preserve"> establish these drug</w:t>
      </w:r>
      <w:r>
        <w:rPr>
          <w:rFonts w:cs="Arial"/>
          <w:sz w:val="22"/>
          <w:szCs w:val="22"/>
        </w:rPr>
        <w:noBreakHyphen/>
        <w:t>free workplace requirements.</w:t>
      </w:r>
    </w:p>
    <w:p w:rsidR="00D520BD" w:rsidP="00D520BD" w:rsidRDefault="00D520BD" w14:paraId="7DD63A88" w14:textId="77777777">
      <w:pPr>
        <w:rPr>
          <w:rFonts w:cs="Arial"/>
          <w:sz w:val="22"/>
          <w:szCs w:val="22"/>
        </w:rPr>
      </w:pPr>
    </w:p>
    <w:p w:rsidRPr="005A5966" w:rsidR="00D520BD" w:rsidP="006C6488" w:rsidRDefault="00D520BD" w14:paraId="1E9078A2" w14:textId="18547833">
      <w:pPr>
        <w:pStyle w:val="CommentText"/>
        <w:rPr>
          <w:rFonts w:cs="Arial"/>
          <w:sz w:val="22"/>
          <w:szCs w:val="22"/>
        </w:rPr>
      </w:pPr>
      <w:r w:rsidRPr="005A5966">
        <w:rPr>
          <w:rFonts w:cs="Arial"/>
          <w:sz w:val="22"/>
          <w:szCs w:val="22"/>
        </w:rPr>
        <w:lastRenderedPageBreak/>
        <w:t>The</w:t>
      </w:r>
      <w:r>
        <w:rPr>
          <w:rFonts w:cs="Arial"/>
          <w:sz w:val="22"/>
          <w:szCs w:val="22"/>
        </w:rPr>
        <w:t xml:space="preserve"> drug</w:t>
      </w:r>
      <w:r>
        <w:rPr>
          <w:rFonts w:cs="Arial"/>
          <w:sz w:val="22"/>
          <w:szCs w:val="22"/>
        </w:rPr>
        <w:noBreakHyphen/>
        <w:t xml:space="preserve">free workplace performance objectives </w:t>
      </w:r>
      <w:r w:rsidRPr="005A5966">
        <w:rPr>
          <w:rFonts w:cs="Arial"/>
          <w:sz w:val="22"/>
          <w:szCs w:val="22"/>
        </w:rPr>
        <w:t xml:space="preserve">contribute to </w:t>
      </w:r>
      <w:r>
        <w:rPr>
          <w:rFonts w:cs="Arial"/>
          <w:sz w:val="22"/>
          <w:szCs w:val="22"/>
        </w:rPr>
        <w:t xml:space="preserve">the ability to provide </w:t>
      </w:r>
      <w:r w:rsidRPr="005A5966">
        <w:rPr>
          <w:rFonts w:cs="Arial"/>
          <w:sz w:val="22"/>
          <w:szCs w:val="22"/>
        </w:rPr>
        <w:t>reasonable assurance that persons who have</w:t>
      </w:r>
      <w:r>
        <w:rPr>
          <w:rFonts w:cs="Arial"/>
          <w:sz w:val="22"/>
          <w:szCs w:val="22"/>
        </w:rPr>
        <w:t xml:space="preserve"> been granted</w:t>
      </w:r>
      <w:r w:rsidRPr="005A5966">
        <w:rPr>
          <w:rFonts w:cs="Arial"/>
          <w:sz w:val="22"/>
          <w:szCs w:val="22"/>
        </w:rPr>
        <w:t xml:space="preserve"> unescorted access to</w:t>
      </w:r>
      <w:r>
        <w:rPr>
          <w:rFonts w:cs="Arial"/>
          <w:sz w:val="22"/>
          <w:szCs w:val="22"/>
        </w:rPr>
        <w:t xml:space="preserve"> the </w:t>
      </w:r>
      <w:r w:rsidRPr="005A5966">
        <w:rPr>
          <w:rFonts w:cs="Arial"/>
          <w:sz w:val="22"/>
          <w:szCs w:val="22"/>
        </w:rPr>
        <w:t>protected areas of NRC</w:t>
      </w:r>
      <w:r>
        <w:rPr>
          <w:rFonts w:cs="Arial"/>
          <w:sz w:val="22"/>
          <w:szCs w:val="22"/>
        </w:rPr>
        <w:noBreakHyphen/>
        <w:t>licensed</w:t>
      </w:r>
      <w:r w:rsidRPr="005A5966">
        <w:rPr>
          <w:rFonts w:cs="Arial"/>
          <w:sz w:val="22"/>
          <w:szCs w:val="22"/>
        </w:rPr>
        <w:t xml:space="preserve"> facilities </w:t>
      </w:r>
      <w:r>
        <w:rPr>
          <w:rFonts w:cs="Arial"/>
          <w:sz w:val="22"/>
          <w:szCs w:val="22"/>
        </w:rPr>
        <w:t>(i.e.</w:t>
      </w:r>
      <w:r w:rsidR="00646A79">
        <w:rPr>
          <w:rFonts w:cs="Arial"/>
          <w:sz w:val="22"/>
          <w:szCs w:val="22"/>
        </w:rPr>
        <w:t>,</w:t>
      </w:r>
      <w:r>
        <w:rPr>
          <w:rFonts w:cs="Arial"/>
          <w:sz w:val="22"/>
          <w:szCs w:val="22"/>
        </w:rPr>
        <w:t> </w:t>
      </w:r>
      <w:r w:rsidRPr="00BF4E0D">
        <w:rPr>
          <w:rFonts w:cs="Arial"/>
          <w:sz w:val="22"/>
          <w:szCs w:val="22"/>
        </w:rPr>
        <w:t>operating nuclear power reactors</w:t>
      </w:r>
      <w:r w:rsidR="00646A79">
        <w:rPr>
          <w:rFonts w:cs="Arial"/>
          <w:sz w:val="22"/>
          <w:szCs w:val="22"/>
        </w:rPr>
        <w:t>,</w:t>
      </w:r>
      <w:r w:rsidRPr="00BF4E0D">
        <w:rPr>
          <w:rFonts w:cs="Arial"/>
          <w:sz w:val="22"/>
          <w:szCs w:val="22"/>
        </w:rPr>
        <w:t xml:space="preserve"> nuclear power reactors under construction</w:t>
      </w:r>
      <w:r w:rsidR="00646A79">
        <w:rPr>
          <w:rFonts w:cs="Arial"/>
          <w:sz w:val="22"/>
          <w:szCs w:val="22"/>
        </w:rPr>
        <w:t>,</w:t>
      </w:r>
      <w:r>
        <w:rPr>
          <w:rFonts w:cs="Arial"/>
          <w:sz w:val="22"/>
          <w:szCs w:val="22"/>
        </w:rPr>
        <w:t xml:space="preserve"> and</w:t>
      </w:r>
      <w:r w:rsidRPr="00BF4E0D">
        <w:rPr>
          <w:rFonts w:cs="Arial"/>
          <w:sz w:val="22"/>
          <w:szCs w:val="22"/>
        </w:rPr>
        <w:t xml:space="preserve"> Ca</w:t>
      </w:r>
      <w:r>
        <w:rPr>
          <w:rFonts w:cs="Arial"/>
          <w:sz w:val="22"/>
          <w:szCs w:val="22"/>
        </w:rPr>
        <w:t xml:space="preserve">tegory I </w:t>
      </w:r>
      <w:r w:rsidR="0088161E">
        <w:rPr>
          <w:rFonts w:cs="Arial"/>
          <w:sz w:val="22"/>
          <w:szCs w:val="22"/>
        </w:rPr>
        <w:t>special nuclear material licensee</w:t>
      </w:r>
      <w:r w:rsidR="007520D6">
        <w:rPr>
          <w:rFonts w:cs="Arial"/>
          <w:sz w:val="22"/>
          <w:szCs w:val="22"/>
        </w:rPr>
        <w:t xml:space="preserve"> facilitie</w:t>
      </w:r>
      <w:r w:rsidR="0088161E">
        <w:rPr>
          <w:rFonts w:cs="Arial"/>
          <w:sz w:val="22"/>
          <w:szCs w:val="22"/>
        </w:rPr>
        <w:t>s</w:t>
      </w:r>
      <w:r>
        <w:rPr>
          <w:rFonts w:cs="Arial"/>
          <w:sz w:val="22"/>
          <w:szCs w:val="22"/>
        </w:rPr>
        <w:t>)</w:t>
      </w:r>
      <w:r w:rsidR="00646A79">
        <w:rPr>
          <w:rFonts w:cs="Arial"/>
          <w:sz w:val="22"/>
          <w:szCs w:val="22"/>
        </w:rPr>
        <w:t>,</w:t>
      </w:r>
      <w:r w:rsidRPr="00BF4E0D">
        <w:rPr>
          <w:rFonts w:cs="Arial"/>
          <w:sz w:val="22"/>
          <w:szCs w:val="22"/>
        </w:rPr>
        <w:t xml:space="preserve"> </w:t>
      </w:r>
      <w:r>
        <w:rPr>
          <w:rFonts w:cs="Arial"/>
          <w:sz w:val="22"/>
          <w:szCs w:val="22"/>
        </w:rPr>
        <w:t>who are required by a</w:t>
      </w:r>
      <w:r w:rsidRPr="00BF4E0D">
        <w:rPr>
          <w:rFonts w:cs="Arial"/>
          <w:sz w:val="22"/>
          <w:szCs w:val="22"/>
        </w:rPr>
        <w:t xml:space="preserve"> </w:t>
      </w:r>
      <w:r>
        <w:rPr>
          <w:rFonts w:cs="Arial"/>
          <w:sz w:val="22"/>
          <w:szCs w:val="22"/>
        </w:rPr>
        <w:t xml:space="preserve">licensee to physically report to other </w:t>
      </w:r>
      <w:r w:rsidRPr="00BF4E0D">
        <w:rPr>
          <w:rFonts w:cs="Arial"/>
          <w:sz w:val="22"/>
          <w:szCs w:val="22"/>
        </w:rPr>
        <w:t>locations (e.g.</w:t>
      </w:r>
      <w:r w:rsidR="00646A79">
        <w:rPr>
          <w:rFonts w:cs="Arial"/>
          <w:sz w:val="22"/>
          <w:szCs w:val="22"/>
        </w:rPr>
        <w:t>,</w:t>
      </w:r>
      <w:r w:rsidRPr="00BF4E0D">
        <w:rPr>
          <w:rFonts w:cs="Arial"/>
          <w:sz w:val="22"/>
          <w:szCs w:val="22"/>
        </w:rPr>
        <w:t xml:space="preserve"> </w:t>
      </w:r>
      <w:r w:rsidRPr="006C6488">
        <w:rPr>
          <w:rFonts w:cs="Arial"/>
          <w:sz w:val="22"/>
          <w:szCs w:val="22"/>
        </w:rPr>
        <w:t>Emergency Operations Facilities</w:t>
      </w:r>
      <w:r w:rsidR="006C6488">
        <w:rPr>
          <w:rFonts w:cs="Arial"/>
          <w:sz w:val="22"/>
          <w:szCs w:val="22"/>
        </w:rPr>
        <w:t>,</w:t>
      </w:r>
      <w:r w:rsidRPr="006C6488">
        <w:rPr>
          <w:rFonts w:cs="Arial"/>
          <w:sz w:val="22"/>
          <w:szCs w:val="22"/>
        </w:rPr>
        <w:t xml:space="preserve"> Technical Support Centers</w:t>
      </w:r>
      <w:r w:rsidRPr="00BF4E0D">
        <w:rPr>
          <w:rFonts w:cs="Arial"/>
          <w:sz w:val="22"/>
          <w:szCs w:val="22"/>
        </w:rPr>
        <w:t>)</w:t>
      </w:r>
      <w:r w:rsidR="00646A79">
        <w:rPr>
          <w:rFonts w:cs="Arial"/>
          <w:sz w:val="22"/>
          <w:szCs w:val="22"/>
        </w:rPr>
        <w:t>,</w:t>
      </w:r>
      <w:r w:rsidRPr="00BF4E0D">
        <w:rPr>
          <w:rFonts w:cs="Arial"/>
          <w:sz w:val="22"/>
          <w:szCs w:val="22"/>
        </w:rPr>
        <w:t xml:space="preserve"> </w:t>
      </w:r>
      <w:r>
        <w:rPr>
          <w:rFonts w:cs="Arial"/>
          <w:sz w:val="22"/>
          <w:szCs w:val="22"/>
        </w:rPr>
        <w:t xml:space="preserve">or who have access to </w:t>
      </w:r>
      <w:r w:rsidRPr="005A5966">
        <w:rPr>
          <w:rFonts w:cs="Arial"/>
          <w:sz w:val="22"/>
          <w:szCs w:val="22"/>
        </w:rPr>
        <w:t>SSNM</w:t>
      </w:r>
      <w:r>
        <w:rPr>
          <w:rFonts w:cs="Arial"/>
          <w:sz w:val="22"/>
          <w:szCs w:val="22"/>
        </w:rPr>
        <w:t xml:space="preserve"> or sensitive information</w:t>
      </w:r>
      <w:r w:rsidRPr="005A5966">
        <w:rPr>
          <w:rFonts w:cs="Arial"/>
          <w:sz w:val="22"/>
          <w:szCs w:val="22"/>
        </w:rPr>
        <w:t xml:space="preserve"> are trustworthy and reliable and can safely and competently perform </w:t>
      </w:r>
      <w:r>
        <w:rPr>
          <w:rFonts w:cs="Arial"/>
          <w:sz w:val="22"/>
          <w:szCs w:val="22"/>
        </w:rPr>
        <w:t xml:space="preserve">their </w:t>
      </w:r>
      <w:r w:rsidRPr="005A5966">
        <w:rPr>
          <w:rFonts w:cs="Arial"/>
          <w:sz w:val="22"/>
          <w:szCs w:val="22"/>
        </w:rPr>
        <w:t>assigned duties.</w:t>
      </w:r>
    </w:p>
    <w:p w:rsidRPr="005A5966" w:rsidR="00D520BD" w:rsidP="00D520BD" w:rsidRDefault="00D520BD" w14:paraId="277090D5" w14:textId="77777777">
      <w:pPr>
        <w:rPr>
          <w:rFonts w:cs="Arial"/>
          <w:sz w:val="22"/>
          <w:szCs w:val="22"/>
        </w:rPr>
      </w:pPr>
    </w:p>
    <w:p w:rsidRPr="005A5966" w:rsidR="00D520BD" w:rsidP="00D520BD" w:rsidRDefault="00D520BD" w14:paraId="2470F4C7" w14:textId="78A422EA">
      <w:pPr>
        <w:pStyle w:val="CommentText"/>
        <w:rPr>
          <w:sz w:val="22"/>
          <w:szCs w:val="22"/>
        </w:rPr>
      </w:pPr>
      <w:r w:rsidRPr="005A5966">
        <w:rPr>
          <w:rFonts w:cs="Arial"/>
          <w:sz w:val="22"/>
          <w:szCs w:val="22"/>
        </w:rPr>
        <w:t xml:space="preserve">The NRC issued a significant revision to </w:t>
      </w:r>
      <w:r>
        <w:rPr>
          <w:rFonts w:cs="Arial"/>
          <w:sz w:val="22"/>
          <w:szCs w:val="22"/>
        </w:rPr>
        <w:t xml:space="preserve">the original 1989 FFD </w:t>
      </w:r>
      <w:r w:rsidRPr="00C74583">
        <w:rPr>
          <w:rFonts w:cs="Arial"/>
          <w:sz w:val="22"/>
          <w:szCs w:val="22"/>
        </w:rPr>
        <w:t>rule (</w:t>
      </w:r>
      <w:r w:rsidR="003760ED">
        <w:rPr>
          <w:rFonts w:cs="Arial"/>
          <w:sz w:val="22"/>
          <w:szCs w:val="22"/>
        </w:rPr>
        <w:t>54 FR 24468; June</w:t>
      </w:r>
      <w:r w:rsidR="006C6488">
        <w:rPr>
          <w:rFonts w:cs="Arial"/>
          <w:sz w:val="22"/>
          <w:szCs w:val="22"/>
        </w:rPr>
        <w:t> </w:t>
      </w:r>
      <w:r w:rsidR="003760ED">
        <w:rPr>
          <w:rFonts w:cs="Arial"/>
          <w:sz w:val="22"/>
          <w:szCs w:val="22"/>
        </w:rPr>
        <w:t>7</w:t>
      </w:r>
      <w:r w:rsidR="00646A79">
        <w:rPr>
          <w:rFonts w:cs="Arial"/>
          <w:sz w:val="22"/>
          <w:szCs w:val="22"/>
        </w:rPr>
        <w:t>,</w:t>
      </w:r>
      <w:r w:rsidR="006C6488">
        <w:rPr>
          <w:rFonts w:cs="Arial"/>
          <w:sz w:val="22"/>
          <w:szCs w:val="22"/>
        </w:rPr>
        <w:t> </w:t>
      </w:r>
      <w:r w:rsidR="003760ED">
        <w:rPr>
          <w:rFonts w:cs="Arial"/>
          <w:sz w:val="22"/>
          <w:szCs w:val="22"/>
        </w:rPr>
        <w:t>1989</w:t>
      </w:r>
      <w:r w:rsidRPr="00C74583">
        <w:rPr>
          <w:rFonts w:cs="Arial"/>
          <w:sz w:val="22"/>
          <w:szCs w:val="22"/>
        </w:rPr>
        <w:t>)</w:t>
      </w:r>
      <w:r w:rsidRPr="005A5966">
        <w:rPr>
          <w:rFonts w:cs="Arial"/>
          <w:sz w:val="22"/>
          <w:szCs w:val="22"/>
        </w:rPr>
        <w:t xml:space="preserve"> in a final rule </w:t>
      </w:r>
      <w:r>
        <w:rPr>
          <w:rFonts w:cs="Arial"/>
          <w:sz w:val="22"/>
          <w:szCs w:val="22"/>
        </w:rPr>
        <w:t xml:space="preserve">published </w:t>
      </w:r>
      <w:r w:rsidRPr="005A5966">
        <w:rPr>
          <w:rFonts w:cs="Arial"/>
          <w:sz w:val="22"/>
          <w:szCs w:val="22"/>
        </w:rPr>
        <w:t>on March</w:t>
      </w:r>
      <w:r>
        <w:rPr>
          <w:rFonts w:cs="Arial"/>
          <w:sz w:val="22"/>
          <w:szCs w:val="22"/>
        </w:rPr>
        <w:t> 31</w:t>
      </w:r>
      <w:r w:rsidR="00646A79">
        <w:rPr>
          <w:rFonts w:cs="Arial"/>
          <w:sz w:val="22"/>
          <w:szCs w:val="22"/>
        </w:rPr>
        <w:t>,</w:t>
      </w:r>
      <w:r>
        <w:rPr>
          <w:rFonts w:cs="Arial"/>
          <w:sz w:val="22"/>
          <w:szCs w:val="22"/>
        </w:rPr>
        <w:t> </w:t>
      </w:r>
      <w:r w:rsidRPr="005A5966">
        <w:rPr>
          <w:rFonts w:cs="Arial"/>
          <w:sz w:val="22"/>
          <w:szCs w:val="22"/>
        </w:rPr>
        <w:t>2008 (</w:t>
      </w:r>
      <w:r w:rsidR="001841EA">
        <w:rPr>
          <w:rFonts w:cs="Arial"/>
          <w:sz w:val="22"/>
          <w:szCs w:val="22"/>
        </w:rPr>
        <w:t>73 FR 16966</w:t>
      </w:r>
      <w:r w:rsidRPr="005A5966">
        <w:rPr>
          <w:rFonts w:cs="Arial"/>
          <w:sz w:val="22"/>
          <w:szCs w:val="22"/>
        </w:rPr>
        <w:t>)</w:t>
      </w:r>
      <w:r w:rsidR="001B7A26">
        <w:rPr>
          <w:rFonts w:cs="Arial"/>
          <w:sz w:val="22"/>
          <w:szCs w:val="22"/>
        </w:rPr>
        <w:t>,</w:t>
      </w:r>
      <w:r w:rsidR="00601EDA">
        <w:rPr>
          <w:rFonts w:cs="Arial"/>
          <w:sz w:val="22"/>
          <w:szCs w:val="22"/>
        </w:rPr>
        <w:t xml:space="preserve"> </w:t>
      </w:r>
      <w:r w:rsidR="00A42455">
        <w:rPr>
          <w:rFonts w:cs="Arial"/>
          <w:sz w:val="22"/>
          <w:szCs w:val="22"/>
        </w:rPr>
        <w:t xml:space="preserve">that </w:t>
      </w:r>
      <w:r w:rsidR="00601EDA">
        <w:rPr>
          <w:rFonts w:cs="Arial"/>
          <w:sz w:val="22"/>
          <w:szCs w:val="22"/>
        </w:rPr>
        <w:t>incorporate</w:t>
      </w:r>
      <w:r w:rsidR="00A42455">
        <w:rPr>
          <w:rFonts w:cs="Arial"/>
          <w:sz w:val="22"/>
          <w:szCs w:val="22"/>
        </w:rPr>
        <w:t>d</w:t>
      </w:r>
      <w:r w:rsidR="001B0210">
        <w:rPr>
          <w:rFonts w:cs="Arial"/>
          <w:sz w:val="22"/>
          <w:szCs w:val="22"/>
        </w:rPr>
        <w:t xml:space="preserve"> elements of</w:t>
      </w:r>
      <w:r w:rsidR="00BD2010">
        <w:rPr>
          <w:rFonts w:cs="Arial"/>
          <w:sz w:val="22"/>
          <w:szCs w:val="22"/>
        </w:rPr>
        <w:t xml:space="preserve"> the 2004 HHS Guidelines (69 FR 19643</w:t>
      </w:r>
      <w:r w:rsidR="001B7A26">
        <w:rPr>
          <w:rFonts w:cs="Arial"/>
          <w:sz w:val="22"/>
          <w:szCs w:val="22"/>
        </w:rPr>
        <w:t>;</w:t>
      </w:r>
      <w:r w:rsidR="009629E4">
        <w:rPr>
          <w:rFonts w:cs="Arial"/>
          <w:sz w:val="22"/>
          <w:szCs w:val="22"/>
        </w:rPr>
        <w:t xml:space="preserve"> April 13, 2004)</w:t>
      </w:r>
      <w:r w:rsidRPr="005A5966">
        <w:rPr>
          <w:rFonts w:cs="Arial"/>
          <w:sz w:val="22"/>
          <w:szCs w:val="22"/>
        </w:rPr>
        <w:t>.</w:t>
      </w:r>
      <w:bookmarkStart w:name="OLE_LINK1" w:id="39"/>
      <w:r w:rsidRPr="005A5966">
        <w:rPr>
          <w:rFonts w:cs="Arial"/>
          <w:sz w:val="22"/>
          <w:szCs w:val="22"/>
        </w:rPr>
        <w:t xml:space="preserve">  </w:t>
      </w:r>
      <w:r w:rsidRPr="005A5966">
        <w:rPr>
          <w:sz w:val="22"/>
          <w:szCs w:val="22"/>
        </w:rPr>
        <w:t xml:space="preserve">The </w:t>
      </w:r>
      <w:r>
        <w:rPr>
          <w:sz w:val="22"/>
          <w:szCs w:val="22"/>
        </w:rPr>
        <w:t>2008 revision</w:t>
      </w:r>
      <w:r w:rsidRPr="005A5966">
        <w:rPr>
          <w:sz w:val="22"/>
          <w:szCs w:val="22"/>
        </w:rPr>
        <w:t xml:space="preserve"> to </w:t>
      </w:r>
      <w:r>
        <w:rPr>
          <w:sz w:val="22"/>
          <w:szCs w:val="22"/>
        </w:rPr>
        <w:t>the FFD requirements had</w:t>
      </w:r>
      <w:r w:rsidRPr="005A5966">
        <w:rPr>
          <w:sz w:val="22"/>
          <w:szCs w:val="22"/>
        </w:rPr>
        <w:t xml:space="preserve"> several objectives. </w:t>
      </w:r>
      <w:r>
        <w:rPr>
          <w:sz w:val="22"/>
          <w:szCs w:val="22"/>
        </w:rPr>
        <w:t xml:space="preserve"> </w:t>
      </w:r>
      <w:r w:rsidRPr="005A5966">
        <w:rPr>
          <w:sz w:val="22"/>
          <w:szCs w:val="22"/>
        </w:rPr>
        <w:t xml:space="preserve">The revision </w:t>
      </w:r>
      <w:r>
        <w:rPr>
          <w:sz w:val="22"/>
          <w:szCs w:val="22"/>
        </w:rPr>
        <w:t>enhanced</w:t>
      </w:r>
      <w:r w:rsidRPr="005A5966">
        <w:rPr>
          <w:sz w:val="22"/>
          <w:szCs w:val="22"/>
        </w:rPr>
        <w:t xml:space="preserve"> the effectiveness of FFD programs by </w:t>
      </w:r>
      <w:r>
        <w:rPr>
          <w:sz w:val="22"/>
          <w:szCs w:val="22"/>
        </w:rPr>
        <w:t>applying</w:t>
      </w:r>
      <w:r w:rsidRPr="005A5966">
        <w:rPr>
          <w:sz w:val="22"/>
          <w:szCs w:val="22"/>
        </w:rPr>
        <w:t xml:space="preserve"> advancements in drug and alcohol testing technologies and lessons learned from </w:t>
      </w:r>
      <w:r>
        <w:rPr>
          <w:sz w:val="22"/>
          <w:szCs w:val="22"/>
        </w:rPr>
        <w:t xml:space="preserve">licensees’ implementation of the 1989 FFD </w:t>
      </w:r>
      <w:r w:rsidRPr="005A5966">
        <w:rPr>
          <w:sz w:val="22"/>
          <w:szCs w:val="22"/>
        </w:rPr>
        <w:t xml:space="preserve">rule. </w:t>
      </w:r>
      <w:r>
        <w:rPr>
          <w:sz w:val="22"/>
          <w:szCs w:val="22"/>
        </w:rPr>
        <w:t xml:space="preserve"> </w:t>
      </w:r>
      <w:r w:rsidRPr="005A5966">
        <w:rPr>
          <w:sz w:val="22"/>
          <w:szCs w:val="22"/>
        </w:rPr>
        <w:t xml:space="preserve">It also improved the efficiency of FFD regulations by eliminating unnecessary requirements and by harmonizing </w:t>
      </w:r>
      <w:r>
        <w:rPr>
          <w:sz w:val="22"/>
          <w:szCs w:val="22"/>
        </w:rPr>
        <w:t>the NRC’s original FFD rule</w:t>
      </w:r>
      <w:r w:rsidRPr="005A5966">
        <w:rPr>
          <w:sz w:val="22"/>
          <w:szCs w:val="22"/>
        </w:rPr>
        <w:t xml:space="preserve"> with </w:t>
      </w:r>
      <w:r w:rsidRPr="0062110B">
        <w:rPr>
          <w:sz w:val="22"/>
          <w:szCs w:val="22"/>
        </w:rPr>
        <w:t>other Federal drug testing rules</w:t>
      </w:r>
      <w:r w:rsidRPr="005A5966">
        <w:rPr>
          <w:sz w:val="22"/>
          <w:szCs w:val="22"/>
        </w:rPr>
        <w:t xml:space="preserve"> and guidelines. </w:t>
      </w:r>
      <w:r>
        <w:rPr>
          <w:sz w:val="22"/>
          <w:szCs w:val="22"/>
        </w:rPr>
        <w:t xml:space="preserve"> </w:t>
      </w:r>
      <w:r w:rsidRPr="005A5966">
        <w:rPr>
          <w:sz w:val="22"/>
          <w:szCs w:val="22"/>
        </w:rPr>
        <w:t>Furthermore</w:t>
      </w:r>
      <w:r w:rsidR="00646A79">
        <w:rPr>
          <w:sz w:val="22"/>
          <w:szCs w:val="22"/>
        </w:rPr>
        <w:t>,</w:t>
      </w:r>
      <w:r w:rsidRPr="005A5966">
        <w:rPr>
          <w:sz w:val="22"/>
          <w:szCs w:val="22"/>
        </w:rPr>
        <w:t xml:space="preserve"> it improved the</w:t>
      </w:r>
      <w:r>
        <w:rPr>
          <w:sz w:val="22"/>
          <w:szCs w:val="22"/>
        </w:rPr>
        <w:t xml:space="preserve"> consistency between FFD requirements and the access authorization requirements established in 10 CFR 73.56</w:t>
      </w:r>
      <w:r w:rsidR="00646A79">
        <w:rPr>
          <w:sz w:val="22"/>
          <w:szCs w:val="22"/>
        </w:rPr>
        <w:t>,</w:t>
      </w:r>
      <w:r>
        <w:rPr>
          <w:sz w:val="22"/>
          <w:szCs w:val="22"/>
        </w:rPr>
        <w:t xml:space="preserve"> </w:t>
      </w:r>
      <w:r w:rsidR="00646A79">
        <w:rPr>
          <w:sz w:val="22"/>
          <w:szCs w:val="22"/>
        </w:rPr>
        <w:t>“</w:t>
      </w:r>
      <w:r w:rsidR="00101C0A">
        <w:rPr>
          <w:sz w:val="22"/>
          <w:szCs w:val="22"/>
        </w:rPr>
        <w:t>Personnel</w:t>
      </w:r>
      <w:r w:rsidR="00141356">
        <w:rPr>
          <w:sz w:val="22"/>
          <w:szCs w:val="22"/>
        </w:rPr>
        <w:t xml:space="preserve"> access</w:t>
      </w:r>
      <w:r>
        <w:rPr>
          <w:sz w:val="22"/>
          <w:szCs w:val="22"/>
        </w:rPr>
        <w:t xml:space="preserve"> </w:t>
      </w:r>
      <w:r w:rsidR="001A1700">
        <w:rPr>
          <w:sz w:val="22"/>
          <w:szCs w:val="22"/>
        </w:rPr>
        <w:t>a</w:t>
      </w:r>
      <w:r>
        <w:rPr>
          <w:sz w:val="22"/>
          <w:szCs w:val="22"/>
        </w:rPr>
        <w:t>uthorization</w:t>
      </w:r>
      <w:r w:rsidR="00141356">
        <w:rPr>
          <w:sz w:val="22"/>
          <w:szCs w:val="22"/>
        </w:rPr>
        <w:t xml:space="preserve"> requirements for nuclear power plants</w:t>
      </w:r>
      <w:r w:rsidR="00646A79">
        <w:rPr>
          <w:sz w:val="22"/>
          <w:szCs w:val="22"/>
        </w:rPr>
        <w:t>,”</w:t>
      </w:r>
      <w:r>
        <w:rPr>
          <w:sz w:val="22"/>
          <w:szCs w:val="22"/>
        </w:rPr>
        <w:t xml:space="preserve"> as supplemented by NRC orders to nuclear power plant licensees dated January 7</w:t>
      </w:r>
      <w:r w:rsidR="00646A79">
        <w:rPr>
          <w:sz w:val="22"/>
          <w:szCs w:val="22"/>
        </w:rPr>
        <w:t>,</w:t>
      </w:r>
      <w:r>
        <w:rPr>
          <w:sz w:val="22"/>
          <w:szCs w:val="22"/>
        </w:rPr>
        <w:t> 2003</w:t>
      </w:r>
      <w:r w:rsidR="00646A79">
        <w:rPr>
          <w:sz w:val="22"/>
          <w:szCs w:val="22"/>
        </w:rPr>
        <w:t>,</w:t>
      </w:r>
      <w:r>
        <w:rPr>
          <w:sz w:val="22"/>
          <w:szCs w:val="22"/>
        </w:rPr>
        <w:t xml:space="preserve"> thereby strengthening regulatory assurance that persons of questionable integrity</w:t>
      </w:r>
      <w:r w:rsidR="00646A79">
        <w:rPr>
          <w:sz w:val="22"/>
          <w:szCs w:val="22"/>
        </w:rPr>
        <w:t>,</w:t>
      </w:r>
      <w:r>
        <w:rPr>
          <w:sz w:val="22"/>
          <w:szCs w:val="22"/>
        </w:rPr>
        <w:t xml:space="preserve"> honesty</w:t>
      </w:r>
      <w:r w:rsidR="00646A79">
        <w:rPr>
          <w:sz w:val="22"/>
          <w:szCs w:val="22"/>
        </w:rPr>
        <w:t>,</w:t>
      </w:r>
      <w:r>
        <w:rPr>
          <w:sz w:val="22"/>
          <w:szCs w:val="22"/>
        </w:rPr>
        <w:t xml:space="preserve"> trustworthiness</w:t>
      </w:r>
      <w:r w:rsidR="00646A79">
        <w:rPr>
          <w:sz w:val="22"/>
          <w:szCs w:val="22"/>
        </w:rPr>
        <w:t>,</w:t>
      </w:r>
      <w:r>
        <w:rPr>
          <w:sz w:val="22"/>
          <w:szCs w:val="22"/>
        </w:rPr>
        <w:t xml:space="preserve"> and reliability are not granted unescorted access authorization to the protected areas of commercial nuclear power plants and Category I </w:t>
      </w:r>
      <w:r w:rsidR="0088161E">
        <w:rPr>
          <w:sz w:val="22"/>
          <w:szCs w:val="22"/>
        </w:rPr>
        <w:t>special nuclear material licensee</w:t>
      </w:r>
      <w:r w:rsidR="007A1946">
        <w:rPr>
          <w:sz w:val="22"/>
          <w:szCs w:val="22"/>
        </w:rPr>
        <w:t xml:space="preserve"> </w:t>
      </w:r>
      <w:r w:rsidR="007A1946">
        <w:rPr>
          <w:rFonts w:cs="Arial"/>
          <w:sz w:val="22"/>
          <w:szCs w:val="22"/>
        </w:rPr>
        <w:t>facilitie</w:t>
      </w:r>
      <w:r w:rsidR="0088161E">
        <w:rPr>
          <w:sz w:val="22"/>
          <w:szCs w:val="22"/>
        </w:rPr>
        <w:t>s</w:t>
      </w:r>
      <w:r w:rsidR="00070ECD">
        <w:rPr>
          <w:sz w:val="22"/>
          <w:szCs w:val="22"/>
        </w:rPr>
        <w:t>,</w:t>
      </w:r>
      <w:r>
        <w:rPr>
          <w:sz w:val="22"/>
          <w:szCs w:val="22"/>
        </w:rPr>
        <w:t xml:space="preserve"> to SSNM</w:t>
      </w:r>
      <w:r w:rsidR="00070ECD">
        <w:rPr>
          <w:sz w:val="22"/>
          <w:szCs w:val="22"/>
        </w:rPr>
        <w:t>,</w:t>
      </w:r>
      <w:r>
        <w:rPr>
          <w:sz w:val="22"/>
          <w:szCs w:val="22"/>
        </w:rPr>
        <w:t xml:space="preserve"> or </w:t>
      </w:r>
      <w:r w:rsidR="00070ECD">
        <w:rPr>
          <w:sz w:val="22"/>
          <w:szCs w:val="22"/>
        </w:rPr>
        <w:t xml:space="preserve">to </w:t>
      </w:r>
      <w:r>
        <w:rPr>
          <w:sz w:val="22"/>
          <w:szCs w:val="22"/>
        </w:rPr>
        <w:t>sensitive information</w:t>
      </w:r>
      <w:r w:rsidRPr="005A5966">
        <w:rPr>
          <w:sz w:val="22"/>
          <w:szCs w:val="22"/>
        </w:rPr>
        <w:t>.  In addition</w:t>
      </w:r>
      <w:r w:rsidR="00646A79">
        <w:rPr>
          <w:sz w:val="22"/>
          <w:szCs w:val="22"/>
        </w:rPr>
        <w:t>,</w:t>
      </w:r>
      <w:r w:rsidRPr="005A5966">
        <w:rPr>
          <w:sz w:val="22"/>
          <w:szCs w:val="22"/>
        </w:rPr>
        <w:t xml:space="preserve"> the </w:t>
      </w:r>
      <w:r>
        <w:rPr>
          <w:sz w:val="22"/>
          <w:szCs w:val="22"/>
        </w:rPr>
        <w:t xml:space="preserve">2008 FFD final rule </w:t>
      </w:r>
      <w:r w:rsidRPr="005A5966">
        <w:rPr>
          <w:sz w:val="22"/>
          <w:szCs w:val="22"/>
        </w:rPr>
        <w:t xml:space="preserve">helped to protect the privacy and other rights (including due process) of individuals subject to </w:t>
      </w:r>
      <w:r>
        <w:rPr>
          <w:sz w:val="22"/>
          <w:szCs w:val="22"/>
        </w:rPr>
        <w:t>the NRC FFD requirements</w:t>
      </w:r>
      <w:r w:rsidR="00646A79">
        <w:rPr>
          <w:sz w:val="22"/>
          <w:szCs w:val="22"/>
        </w:rPr>
        <w:t>,</w:t>
      </w:r>
      <w:r w:rsidRPr="005A5966">
        <w:rPr>
          <w:sz w:val="22"/>
          <w:szCs w:val="22"/>
        </w:rPr>
        <w:t xml:space="preserve"> and it established clear and enforceable requirements for the management of worker fatigue.</w:t>
      </w:r>
    </w:p>
    <w:p w:rsidRPr="005A5966" w:rsidR="00D520BD" w:rsidP="00D520BD" w:rsidRDefault="00D520BD" w14:paraId="1C6B2F04" w14:textId="77777777">
      <w:pPr>
        <w:pStyle w:val="CommentText"/>
        <w:rPr>
          <w:sz w:val="22"/>
          <w:szCs w:val="22"/>
        </w:rPr>
      </w:pPr>
    </w:p>
    <w:p w:rsidRPr="005A5966" w:rsidR="00D520BD" w:rsidP="00D520BD" w:rsidRDefault="00D520BD" w14:paraId="56F7732F" w14:textId="0F35A40E">
      <w:pPr>
        <w:keepNext/>
        <w:rPr>
          <w:rFonts w:cs="Arial"/>
          <w:i/>
          <w:sz w:val="22"/>
          <w:szCs w:val="22"/>
        </w:rPr>
      </w:pPr>
      <w:r>
        <w:rPr>
          <w:rFonts w:cs="Arial"/>
          <w:i/>
          <w:sz w:val="22"/>
          <w:szCs w:val="22"/>
        </w:rPr>
        <w:t xml:space="preserve">NRC </w:t>
      </w:r>
      <w:r w:rsidRPr="005A5966">
        <w:rPr>
          <w:rFonts w:cs="Arial"/>
          <w:i/>
          <w:sz w:val="22"/>
          <w:szCs w:val="22"/>
        </w:rPr>
        <w:t>F</w:t>
      </w:r>
      <w:r w:rsidR="00070ECD">
        <w:rPr>
          <w:rFonts w:cs="Arial"/>
          <w:i/>
          <w:sz w:val="22"/>
          <w:szCs w:val="22"/>
        </w:rPr>
        <w:t xml:space="preserve">itness for </w:t>
      </w:r>
      <w:r>
        <w:rPr>
          <w:rFonts w:cs="Arial"/>
          <w:i/>
          <w:sz w:val="22"/>
          <w:szCs w:val="22"/>
        </w:rPr>
        <w:t>D</w:t>
      </w:r>
      <w:r w:rsidR="00070ECD">
        <w:rPr>
          <w:rFonts w:cs="Arial"/>
          <w:i/>
          <w:sz w:val="22"/>
          <w:szCs w:val="22"/>
        </w:rPr>
        <w:t>uty</w:t>
      </w:r>
      <w:r>
        <w:rPr>
          <w:rFonts w:cs="Arial"/>
          <w:i/>
          <w:sz w:val="22"/>
          <w:szCs w:val="22"/>
        </w:rPr>
        <w:t xml:space="preserve"> Program </w:t>
      </w:r>
      <w:r w:rsidRPr="005A5966">
        <w:rPr>
          <w:rFonts w:cs="Arial"/>
          <w:i/>
          <w:sz w:val="22"/>
          <w:szCs w:val="22"/>
        </w:rPr>
        <w:t xml:space="preserve">and the </w:t>
      </w:r>
      <w:r>
        <w:rPr>
          <w:rFonts w:cs="Arial"/>
          <w:i/>
          <w:sz w:val="22"/>
          <w:szCs w:val="22"/>
        </w:rPr>
        <w:t xml:space="preserve">HHS </w:t>
      </w:r>
      <w:r w:rsidRPr="005A5966">
        <w:rPr>
          <w:rFonts w:cs="Arial"/>
          <w:i/>
          <w:sz w:val="22"/>
          <w:szCs w:val="22"/>
        </w:rPr>
        <w:t>Guidelines</w:t>
      </w:r>
    </w:p>
    <w:p w:rsidRPr="005A5966" w:rsidR="00D520BD" w:rsidP="00D520BD" w:rsidRDefault="00D520BD" w14:paraId="6E0ABDE5" w14:textId="77777777">
      <w:pPr>
        <w:keepNext/>
        <w:rPr>
          <w:rFonts w:cs="Arial"/>
          <w:sz w:val="22"/>
          <w:szCs w:val="22"/>
        </w:rPr>
      </w:pPr>
    </w:p>
    <w:p w:rsidRPr="00773487" w:rsidR="00D520BD" w:rsidP="00D520BD" w:rsidRDefault="00530A4E" w14:paraId="2D23E2A5" w14:textId="2B221795">
      <w:pPr>
        <w:rPr>
          <w:rFonts w:cs="Arial"/>
          <w:sz w:val="22"/>
          <w:szCs w:val="22"/>
        </w:rPr>
      </w:pPr>
      <w:r>
        <w:rPr>
          <w:rFonts w:cs="Arial"/>
          <w:sz w:val="22"/>
          <w:szCs w:val="22"/>
        </w:rPr>
        <w:t xml:space="preserve">The </w:t>
      </w:r>
      <w:r w:rsidRPr="005A5966" w:rsidR="00D520BD">
        <w:rPr>
          <w:rFonts w:cs="Arial"/>
          <w:sz w:val="22"/>
          <w:szCs w:val="22"/>
        </w:rPr>
        <w:t xml:space="preserve">HHS is designated as the Federal agency responsible for </w:t>
      </w:r>
      <w:r w:rsidR="00D520BD">
        <w:rPr>
          <w:rFonts w:cs="Arial"/>
          <w:sz w:val="22"/>
          <w:szCs w:val="22"/>
        </w:rPr>
        <w:t xml:space="preserve">developing the scientific and technical guidelines for </w:t>
      </w:r>
      <w:r w:rsidRPr="005A5966" w:rsidR="00D520BD">
        <w:rPr>
          <w:rFonts w:cs="Arial"/>
          <w:sz w:val="22"/>
          <w:szCs w:val="22"/>
        </w:rPr>
        <w:t xml:space="preserve">Federal </w:t>
      </w:r>
      <w:r w:rsidR="00D520BD">
        <w:rPr>
          <w:rFonts w:cs="Arial"/>
          <w:sz w:val="22"/>
          <w:szCs w:val="22"/>
        </w:rPr>
        <w:t xml:space="preserve">employee </w:t>
      </w:r>
      <w:r w:rsidRPr="005A5966" w:rsidR="00D520BD">
        <w:rPr>
          <w:rFonts w:cs="Arial"/>
          <w:sz w:val="22"/>
          <w:szCs w:val="22"/>
        </w:rPr>
        <w:t xml:space="preserve">workplace drug testing </w:t>
      </w:r>
      <w:r w:rsidR="00D520BD">
        <w:rPr>
          <w:rFonts w:cs="Arial"/>
          <w:sz w:val="22"/>
          <w:szCs w:val="22"/>
        </w:rPr>
        <w:t>programs</w:t>
      </w:r>
      <w:r w:rsidRPr="005A5966" w:rsidR="00D520BD">
        <w:rPr>
          <w:rFonts w:cs="Arial"/>
          <w:sz w:val="22"/>
          <w:szCs w:val="22"/>
        </w:rPr>
        <w:t xml:space="preserve">.  </w:t>
      </w:r>
      <w:r>
        <w:rPr>
          <w:rFonts w:cs="Arial"/>
          <w:sz w:val="22"/>
          <w:szCs w:val="22"/>
        </w:rPr>
        <w:t xml:space="preserve">The </w:t>
      </w:r>
      <w:r w:rsidRPr="005A5966" w:rsidR="00D520BD">
        <w:rPr>
          <w:rFonts w:cs="Arial"/>
          <w:sz w:val="22"/>
          <w:szCs w:val="22"/>
        </w:rPr>
        <w:t xml:space="preserve">HHS is responsible for maintaining </w:t>
      </w:r>
      <w:r w:rsidR="00D520BD">
        <w:rPr>
          <w:sz w:val="22"/>
          <w:szCs w:val="22"/>
        </w:rPr>
        <w:t>its g</w:t>
      </w:r>
      <w:r w:rsidRPr="009C746D" w:rsidR="00D520BD">
        <w:rPr>
          <w:sz w:val="22"/>
          <w:szCs w:val="22"/>
        </w:rPr>
        <w:t xml:space="preserve">uidelines </w:t>
      </w:r>
      <w:r w:rsidRPr="005A5966" w:rsidR="00D520BD">
        <w:rPr>
          <w:rFonts w:cs="Arial"/>
          <w:sz w:val="22"/>
          <w:szCs w:val="22"/>
        </w:rPr>
        <w:t xml:space="preserve">based on the most recent research and lessons learned </w:t>
      </w:r>
      <w:r w:rsidRPr="004373A0" w:rsidR="00D520BD">
        <w:rPr>
          <w:rFonts w:cs="Arial"/>
          <w:sz w:val="22"/>
          <w:szCs w:val="22"/>
        </w:rPr>
        <w:t xml:space="preserve">from Federal employee </w:t>
      </w:r>
      <w:r w:rsidR="00D520BD">
        <w:rPr>
          <w:rFonts w:cs="Arial"/>
          <w:sz w:val="22"/>
          <w:szCs w:val="22"/>
        </w:rPr>
        <w:t xml:space="preserve">workplace </w:t>
      </w:r>
      <w:r w:rsidRPr="004373A0" w:rsidR="00D520BD">
        <w:rPr>
          <w:rFonts w:cs="Arial"/>
          <w:sz w:val="22"/>
          <w:szCs w:val="22"/>
        </w:rPr>
        <w:t>and Federal agency drug testing programs.</w:t>
      </w:r>
      <w:r w:rsidRPr="005A5966" w:rsidR="00D520BD">
        <w:rPr>
          <w:rFonts w:cs="Arial"/>
          <w:sz w:val="22"/>
          <w:szCs w:val="22"/>
        </w:rPr>
        <w:t xml:space="preserve">  The</w:t>
      </w:r>
      <w:r w:rsidR="00D520BD">
        <w:rPr>
          <w:rFonts w:cs="Arial"/>
          <w:sz w:val="22"/>
          <w:szCs w:val="22"/>
        </w:rPr>
        <w:t xml:space="preserve"> </w:t>
      </w:r>
      <w:r w:rsidR="0026236A">
        <w:rPr>
          <w:rFonts w:cs="Arial"/>
          <w:sz w:val="22"/>
          <w:szCs w:val="22"/>
        </w:rPr>
        <w:t>2017</w:t>
      </w:r>
      <w:r w:rsidR="00D520BD">
        <w:rPr>
          <w:rFonts w:cs="Arial"/>
          <w:sz w:val="22"/>
          <w:szCs w:val="22"/>
        </w:rPr>
        <w:t xml:space="preserve"> HHS G</w:t>
      </w:r>
      <w:r w:rsidRPr="005A5966" w:rsidR="00D520BD">
        <w:rPr>
          <w:rFonts w:cs="Arial"/>
          <w:sz w:val="22"/>
          <w:szCs w:val="22"/>
        </w:rPr>
        <w:t>uidelines establish a legal framework to conduct drug testing that provides reasonable assurance of privacy</w:t>
      </w:r>
      <w:r w:rsidR="00646A79">
        <w:rPr>
          <w:rFonts w:cs="Arial"/>
          <w:sz w:val="22"/>
          <w:szCs w:val="22"/>
        </w:rPr>
        <w:t>,</w:t>
      </w:r>
      <w:r w:rsidRPr="005A5966" w:rsidR="00D520BD">
        <w:rPr>
          <w:rFonts w:cs="Arial"/>
          <w:sz w:val="22"/>
          <w:szCs w:val="22"/>
        </w:rPr>
        <w:t xml:space="preserve"> drug test accuracy and precision</w:t>
      </w:r>
      <w:r w:rsidR="00646A79">
        <w:rPr>
          <w:rFonts w:cs="Arial"/>
          <w:sz w:val="22"/>
          <w:szCs w:val="22"/>
        </w:rPr>
        <w:t>,</w:t>
      </w:r>
      <w:r w:rsidRPr="005A5966" w:rsidR="00D520BD">
        <w:rPr>
          <w:rFonts w:cs="Arial"/>
          <w:sz w:val="22"/>
          <w:szCs w:val="22"/>
        </w:rPr>
        <w:t xml:space="preserve"> </w:t>
      </w:r>
      <w:r w:rsidR="00D520BD">
        <w:rPr>
          <w:rFonts w:cs="Arial"/>
          <w:sz w:val="22"/>
          <w:szCs w:val="22"/>
        </w:rPr>
        <w:t xml:space="preserve">and </w:t>
      </w:r>
      <w:r w:rsidRPr="005A5966" w:rsidR="00D520BD">
        <w:rPr>
          <w:rFonts w:cs="Arial"/>
          <w:sz w:val="22"/>
          <w:szCs w:val="22"/>
        </w:rPr>
        <w:t>custody and control of specimens collected and tested</w:t>
      </w:r>
      <w:r w:rsidR="00D520BD">
        <w:rPr>
          <w:rFonts w:cs="Arial"/>
          <w:sz w:val="22"/>
          <w:szCs w:val="22"/>
        </w:rPr>
        <w:t>.</w:t>
      </w:r>
      <w:r w:rsidRPr="005A5966" w:rsidR="00D520BD">
        <w:rPr>
          <w:rFonts w:cs="Arial"/>
          <w:sz w:val="22"/>
          <w:szCs w:val="22"/>
        </w:rPr>
        <w:t xml:space="preserve"> </w:t>
      </w:r>
      <w:r w:rsidR="00D520BD">
        <w:rPr>
          <w:rFonts w:cs="Arial"/>
          <w:sz w:val="22"/>
          <w:szCs w:val="22"/>
        </w:rPr>
        <w:t xml:space="preserve"> It also</w:t>
      </w:r>
      <w:r w:rsidRPr="005A5966" w:rsidR="00D520BD">
        <w:rPr>
          <w:rFonts w:cs="Arial"/>
          <w:sz w:val="22"/>
          <w:szCs w:val="22"/>
        </w:rPr>
        <w:t xml:space="preserve"> </w:t>
      </w:r>
      <w:r w:rsidR="00D520BD">
        <w:rPr>
          <w:rFonts w:cs="Arial"/>
          <w:sz w:val="22"/>
          <w:szCs w:val="22"/>
        </w:rPr>
        <w:t xml:space="preserve">provides for </w:t>
      </w:r>
      <w:r w:rsidRPr="005A5966" w:rsidR="00D520BD">
        <w:rPr>
          <w:rFonts w:cs="Arial"/>
          <w:sz w:val="22"/>
          <w:szCs w:val="22"/>
        </w:rPr>
        <w:t xml:space="preserve">due process to individuals subject to drug testing.  The </w:t>
      </w:r>
      <w:r w:rsidR="0026236A">
        <w:rPr>
          <w:rFonts w:cs="Arial"/>
          <w:sz w:val="22"/>
          <w:szCs w:val="22"/>
        </w:rPr>
        <w:t>2017</w:t>
      </w:r>
      <w:r w:rsidR="00D520BD">
        <w:rPr>
          <w:rFonts w:cs="Arial"/>
          <w:sz w:val="22"/>
          <w:szCs w:val="22"/>
        </w:rPr>
        <w:t xml:space="preserve"> HHS G</w:t>
      </w:r>
      <w:r w:rsidRPr="005A5966" w:rsidR="00D520BD">
        <w:rPr>
          <w:rFonts w:cs="Arial"/>
          <w:sz w:val="22"/>
          <w:szCs w:val="22"/>
        </w:rPr>
        <w:t xml:space="preserve">uidelines can be viewed as </w:t>
      </w:r>
      <w:r w:rsidR="00D520BD">
        <w:rPr>
          <w:rFonts w:cs="Arial"/>
          <w:sz w:val="22"/>
          <w:szCs w:val="22"/>
        </w:rPr>
        <w:t xml:space="preserve">the </w:t>
      </w:r>
      <w:r w:rsidRPr="005A5966" w:rsidR="00D520BD">
        <w:rPr>
          <w:rFonts w:cs="Arial"/>
          <w:sz w:val="22"/>
          <w:szCs w:val="22"/>
        </w:rPr>
        <w:t>national</w:t>
      </w:r>
      <w:r w:rsidR="00D520BD">
        <w:rPr>
          <w:rFonts w:cs="Arial"/>
          <w:sz w:val="22"/>
          <w:szCs w:val="22"/>
        </w:rPr>
        <w:t xml:space="preserve"> </w:t>
      </w:r>
      <w:r w:rsidRPr="005A5966" w:rsidR="00D520BD">
        <w:rPr>
          <w:rFonts w:cs="Arial"/>
          <w:sz w:val="22"/>
          <w:szCs w:val="22"/>
        </w:rPr>
        <w:t xml:space="preserve">standard for </w:t>
      </w:r>
      <w:r w:rsidRPr="002D5EF1" w:rsidR="00D520BD">
        <w:rPr>
          <w:rFonts w:cs="Arial"/>
          <w:sz w:val="22"/>
          <w:szCs w:val="22"/>
        </w:rPr>
        <w:t xml:space="preserve">drug testing </w:t>
      </w:r>
      <w:r w:rsidRPr="000B3622" w:rsidR="00D520BD">
        <w:rPr>
          <w:rFonts w:cs="Arial"/>
          <w:sz w:val="22"/>
          <w:szCs w:val="22"/>
        </w:rPr>
        <w:t xml:space="preserve">based on </w:t>
      </w:r>
      <w:r w:rsidR="00D520BD">
        <w:rPr>
          <w:rFonts w:cs="Arial"/>
          <w:sz w:val="22"/>
          <w:szCs w:val="22"/>
        </w:rPr>
        <w:t xml:space="preserve">use by all </w:t>
      </w:r>
      <w:r w:rsidRPr="004373A0" w:rsidR="00D520BD">
        <w:rPr>
          <w:rFonts w:cs="Arial"/>
          <w:sz w:val="22"/>
          <w:szCs w:val="22"/>
        </w:rPr>
        <w:t xml:space="preserve">Federal </w:t>
      </w:r>
      <w:r w:rsidR="00D520BD">
        <w:rPr>
          <w:rFonts w:cs="Arial"/>
          <w:sz w:val="22"/>
          <w:szCs w:val="22"/>
        </w:rPr>
        <w:t>employee workplace drug testing programs</w:t>
      </w:r>
      <w:r w:rsidR="00646A79">
        <w:rPr>
          <w:rFonts w:cs="Arial"/>
          <w:sz w:val="22"/>
          <w:szCs w:val="22"/>
        </w:rPr>
        <w:t>,</w:t>
      </w:r>
      <w:r w:rsidR="00D520BD">
        <w:rPr>
          <w:rFonts w:cs="Arial"/>
          <w:sz w:val="22"/>
          <w:szCs w:val="22"/>
        </w:rPr>
        <w:t xml:space="preserve"> prevalence of use by Federal </w:t>
      </w:r>
      <w:r w:rsidRPr="004373A0" w:rsidR="00D520BD">
        <w:rPr>
          <w:rFonts w:cs="Arial"/>
          <w:sz w:val="22"/>
          <w:szCs w:val="22"/>
        </w:rPr>
        <w:t xml:space="preserve">agency </w:t>
      </w:r>
      <w:r w:rsidR="00D520BD">
        <w:rPr>
          <w:rFonts w:cs="Arial"/>
          <w:sz w:val="22"/>
          <w:szCs w:val="22"/>
        </w:rPr>
        <w:t xml:space="preserve">drug testing </w:t>
      </w:r>
      <w:r w:rsidRPr="004373A0" w:rsidR="00D520BD">
        <w:rPr>
          <w:rFonts w:cs="Arial"/>
          <w:sz w:val="22"/>
          <w:szCs w:val="22"/>
        </w:rPr>
        <w:t>programs</w:t>
      </w:r>
      <w:r w:rsidR="00D520BD">
        <w:rPr>
          <w:rFonts w:cs="Arial"/>
          <w:sz w:val="22"/>
          <w:szCs w:val="22"/>
        </w:rPr>
        <w:t xml:space="preserve"> of civilians in safety- and security-sensitive positions</w:t>
      </w:r>
      <w:r w:rsidR="00646A79">
        <w:rPr>
          <w:rFonts w:cs="Arial"/>
          <w:sz w:val="22"/>
          <w:szCs w:val="22"/>
        </w:rPr>
        <w:t>,</w:t>
      </w:r>
      <w:r w:rsidR="00D520BD">
        <w:rPr>
          <w:rFonts w:cs="Arial"/>
          <w:sz w:val="22"/>
          <w:szCs w:val="22"/>
        </w:rPr>
        <w:t xml:space="preserve"> </w:t>
      </w:r>
      <w:r w:rsidRPr="004373A0" w:rsidR="00D520BD">
        <w:rPr>
          <w:rFonts w:cs="Arial"/>
          <w:sz w:val="22"/>
          <w:szCs w:val="22"/>
        </w:rPr>
        <w:t>and</w:t>
      </w:r>
      <w:r w:rsidRPr="004A3D68" w:rsidR="00D520BD">
        <w:rPr>
          <w:rFonts w:cs="Arial"/>
          <w:sz w:val="22"/>
          <w:szCs w:val="22"/>
        </w:rPr>
        <w:t xml:space="preserve"> </w:t>
      </w:r>
      <w:r w:rsidR="00D520BD">
        <w:rPr>
          <w:rFonts w:cs="Arial"/>
          <w:sz w:val="22"/>
          <w:szCs w:val="22"/>
        </w:rPr>
        <w:t xml:space="preserve">use by </w:t>
      </w:r>
      <w:r w:rsidRPr="004A3D68" w:rsidR="00D520BD">
        <w:rPr>
          <w:rFonts w:cs="Arial"/>
          <w:sz w:val="22"/>
          <w:szCs w:val="22"/>
        </w:rPr>
        <w:t>the private sector.</w:t>
      </w:r>
    </w:p>
    <w:p w:rsidRPr="00635BDF" w:rsidR="00D520BD" w:rsidP="00D520BD" w:rsidRDefault="00D520BD" w14:paraId="54BA8F82" w14:textId="13BB5CE5">
      <w:pPr>
        <w:rPr>
          <w:rFonts w:cs="Arial"/>
          <w:sz w:val="22"/>
          <w:szCs w:val="22"/>
        </w:rPr>
      </w:pPr>
    </w:p>
    <w:p w:rsidRPr="00F80750" w:rsidR="00D520BD" w:rsidP="00D520BD" w:rsidRDefault="00D520BD" w14:paraId="14205794" w14:textId="635C86A1">
      <w:pPr>
        <w:rPr>
          <w:rFonts w:cs="Arial"/>
          <w:sz w:val="22"/>
          <w:szCs w:val="22"/>
        </w:rPr>
      </w:pPr>
      <w:r w:rsidRPr="00F80750" w:rsidDel="006F0840">
        <w:rPr>
          <w:rFonts w:cs="Arial"/>
          <w:sz w:val="22"/>
          <w:szCs w:val="22"/>
        </w:rPr>
        <w:t xml:space="preserve">The NRC has relied on </w:t>
      </w:r>
      <w:r w:rsidR="00530A4E">
        <w:rPr>
          <w:rFonts w:cs="Arial"/>
          <w:sz w:val="22"/>
          <w:szCs w:val="22"/>
        </w:rPr>
        <w:t xml:space="preserve">the </w:t>
      </w:r>
      <w:r w:rsidRPr="00F80750" w:rsidDel="006F0840">
        <w:rPr>
          <w:rFonts w:cs="Arial"/>
          <w:sz w:val="22"/>
          <w:szCs w:val="22"/>
        </w:rPr>
        <w:t>HHS to establish the technical requirements for urine specimen collection</w:t>
      </w:r>
      <w:r w:rsidR="00646A79">
        <w:rPr>
          <w:rFonts w:cs="Arial"/>
          <w:sz w:val="22"/>
          <w:szCs w:val="22"/>
        </w:rPr>
        <w:t>,</w:t>
      </w:r>
      <w:r w:rsidRPr="00F80750" w:rsidDel="006F0840">
        <w:rPr>
          <w:rFonts w:cs="Arial"/>
          <w:sz w:val="22"/>
          <w:szCs w:val="22"/>
        </w:rPr>
        <w:t xml:space="preserve"> testing</w:t>
      </w:r>
      <w:r w:rsidR="00646A79">
        <w:rPr>
          <w:rFonts w:cs="Arial"/>
          <w:sz w:val="22"/>
          <w:szCs w:val="22"/>
        </w:rPr>
        <w:t>,</w:t>
      </w:r>
      <w:r w:rsidRPr="00F80750" w:rsidDel="006F0840">
        <w:rPr>
          <w:rFonts w:cs="Arial"/>
          <w:sz w:val="22"/>
          <w:szCs w:val="22"/>
        </w:rPr>
        <w:t xml:space="preserve"> and evaluation</w:t>
      </w:r>
      <w:r w:rsidRPr="00F80750">
        <w:rPr>
          <w:rFonts w:cs="Arial"/>
          <w:sz w:val="22"/>
          <w:szCs w:val="22"/>
        </w:rPr>
        <w:t xml:space="preserve"> and</w:t>
      </w:r>
      <w:r w:rsidRPr="00F80750" w:rsidDel="006F0840">
        <w:rPr>
          <w:rFonts w:cs="Arial"/>
          <w:sz w:val="22"/>
          <w:szCs w:val="22"/>
        </w:rPr>
        <w:t xml:space="preserve"> has deviated from the</w:t>
      </w:r>
      <w:r w:rsidRPr="00F80750">
        <w:rPr>
          <w:rFonts w:cs="Arial"/>
          <w:sz w:val="22"/>
          <w:szCs w:val="22"/>
        </w:rPr>
        <w:t xml:space="preserve"> HHS</w:t>
      </w:r>
      <w:r w:rsidRPr="00F80750" w:rsidDel="006F0840">
        <w:rPr>
          <w:rFonts w:cs="Arial"/>
          <w:sz w:val="22"/>
          <w:szCs w:val="22"/>
        </w:rPr>
        <w:t xml:space="preserve"> </w:t>
      </w:r>
      <w:r w:rsidRPr="00F80750">
        <w:rPr>
          <w:rFonts w:cs="Arial"/>
          <w:sz w:val="22"/>
          <w:szCs w:val="22"/>
        </w:rPr>
        <w:t>G</w:t>
      </w:r>
      <w:r w:rsidRPr="00F80750" w:rsidDel="006F0840">
        <w:rPr>
          <w:rFonts w:cs="Arial"/>
          <w:sz w:val="22"/>
          <w:szCs w:val="22"/>
        </w:rPr>
        <w:t xml:space="preserve">uidelines </w:t>
      </w:r>
      <w:r w:rsidR="002D44AC">
        <w:rPr>
          <w:rFonts w:cs="Arial"/>
          <w:sz w:val="22"/>
          <w:szCs w:val="22"/>
        </w:rPr>
        <w:t xml:space="preserve">only </w:t>
      </w:r>
      <w:r w:rsidRPr="00F80750" w:rsidDel="006F0840">
        <w:rPr>
          <w:rFonts w:cs="Arial"/>
          <w:sz w:val="22"/>
          <w:szCs w:val="22"/>
        </w:rPr>
        <w:t xml:space="preserve">for considerations specific to the nuclear industry.  </w:t>
      </w:r>
      <w:r w:rsidRPr="00F80750">
        <w:rPr>
          <w:rFonts w:cs="Arial"/>
          <w:sz w:val="22"/>
          <w:szCs w:val="22"/>
        </w:rPr>
        <w:t xml:space="preserve">One goal of the 2008 FFD final rule was to </w:t>
      </w:r>
      <w:r w:rsidR="00646A79">
        <w:rPr>
          <w:rFonts w:cs="Arial"/>
          <w:sz w:val="22"/>
          <w:szCs w:val="22"/>
        </w:rPr>
        <w:t>“</w:t>
      </w:r>
      <w:r w:rsidRPr="00F80750">
        <w:rPr>
          <w:sz w:val="22"/>
        </w:rPr>
        <w:t>u</w:t>
      </w:r>
      <w:r w:rsidRPr="00F80750">
        <w:rPr>
          <w:rFonts w:cs="Arial"/>
          <w:sz w:val="22"/>
          <w:szCs w:val="22"/>
        </w:rPr>
        <w:t>pdate and enhance the consistency of 10 CFR Part 26 with advances in other relevant Federal rules and guidelines</w:t>
      </w:r>
      <w:r w:rsidR="00646A79">
        <w:rPr>
          <w:rFonts w:cs="Arial"/>
          <w:sz w:val="22"/>
          <w:szCs w:val="22"/>
        </w:rPr>
        <w:t>,</w:t>
      </w:r>
      <w:r w:rsidRPr="00F80750">
        <w:rPr>
          <w:rFonts w:cs="Arial"/>
          <w:sz w:val="22"/>
          <w:szCs w:val="22"/>
        </w:rPr>
        <w:t xml:space="preserve"> including the HHS Guidelines and other Federal drug and alcohol testing programs (</w:t>
      </w:r>
      <w:r w:rsidRPr="00F80750">
        <w:rPr>
          <w:rFonts w:cs="Arial"/>
          <w:iCs/>
          <w:sz w:val="22"/>
          <w:szCs w:val="22"/>
        </w:rPr>
        <w:t>e.g.</w:t>
      </w:r>
      <w:r w:rsidR="00646A79">
        <w:rPr>
          <w:rFonts w:cs="Arial"/>
          <w:sz w:val="22"/>
          <w:szCs w:val="22"/>
        </w:rPr>
        <w:t>,</w:t>
      </w:r>
      <w:r w:rsidRPr="00F80750">
        <w:rPr>
          <w:rFonts w:cs="Arial"/>
          <w:sz w:val="22"/>
          <w:szCs w:val="22"/>
        </w:rPr>
        <w:t xml:space="preserve"> those required by the U.S. Department of Transportation [DOT]) that impose similar requirements on the private sector</w:t>
      </w:r>
      <w:r w:rsidR="00646A79">
        <w:rPr>
          <w:rFonts w:cs="Arial"/>
          <w:sz w:val="22"/>
          <w:szCs w:val="22"/>
        </w:rPr>
        <w:t>”</w:t>
      </w:r>
      <w:r w:rsidRPr="00F80750">
        <w:rPr>
          <w:rFonts w:cs="Arial"/>
          <w:sz w:val="22"/>
          <w:szCs w:val="22"/>
        </w:rPr>
        <w:t xml:space="preserve"> (73 FR 16970; March 31</w:t>
      </w:r>
      <w:r w:rsidR="00646A79">
        <w:rPr>
          <w:rFonts w:cs="Arial"/>
          <w:sz w:val="22"/>
          <w:szCs w:val="22"/>
        </w:rPr>
        <w:t>,</w:t>
      </w:r>
      <w:r w:rsidRPr="00F80750">
        <w:rPr>
          <w:rFonts w:cs="Arial"/>
          <w:sz w:val="22"/>
          <w:szCs w:val="22"/>
        </w:rPr>
        <w:t xml:space="preserve"> 2008)</w:t>
      </w:r>
      <w:bookmarkEnd w:id="39"/>
      <w:r w:rsidRPr="00F80750">
        <w:rPr>
          <w:rFonts w:cs="Arial"/>
          <w:sz w:val="22"/>
          <w:szCs w:val="22"/>
        </w:rPr>
        <w:t>.  On November 25</w:t>
      </w:r>
      <w:r w:rsidR="00646A79">
        <w:rPr>
          <w:rFonts w:cs="Arial"/>
          <w:sz w:val="22"/>
          <w:szCs w:val="22"/>
        </w:rPr>
        <w:t>,</w:t>
      </w:r>
      <w:r w:rsidRPr="00F80750">
        <w:rPr>
          <w:rFonts w:cs="Arial"/>
          <w:sz w:val="22"/>
          <w:szCs w:val="22"/>
        </w:rPr>
        <w:t> 2008</w:t>
      </w:r>
      <w:r w:rsidR="00646A79">
        <w:rPr>
          <w:rFonts w:cs="Arial"/>
          <w:sz w:val="22"/>
          <w:szCs w:val="22"/>
        </w:rPr>
        <w:t>,</w:t>
      </w:r>
      <w:r w:rsidRPr="00F80750">
        <w:rPr>
          <w:rFonts w:cs="Arial"/>
          <w:sz w:val="22"/>
          <w:szCs w:val="22"/>
        </w:rPr>
        <w:t xml:space="preserve"> nearly 8 months after publication of the NRC’s 2008 FFD final rule</w:t>
      </w:r>
      <w:r w:rsidR="00646A79">
        <w:rPr>
          <w:rFonts w:cs="Arial"/>
          <w:sz w:val="22"/>
          <w:szCs w:val="22"/>
        </w:rPr>
        <w:t>,</w:t>
      </w:r>
      <w:r w:rsidRPr="00F80750">
        <w:rPr>
          <w:rFonts w:cs="Arial"/>
          <w:sz w:val="22"/>
          <w:szCs w:val="22"/>
        </w:rPr>
        <w:t xml:space="preserve"> </w:t>
      </w:r>
      <w:r w:rsidR="00A3475F">
        <w:rPr>
          <w:rFonts w:cs="Arial"/>
          <w:sz w:val="22"/>
          <w:szCs w:val="22"/>
        </w:rPr>
        <w:t xml:space="preserve">the </w:t>
      </w:r>
      <w:r w:rsidRPr="00F80750">
        <w:rPr>
          <w:rFonts w:cs="Arial"/>
          <w:sz w:val="22"/>
          <w:szCs w:val="22"/>
        </w:rPr>
        <w:t>HHS issued the 2008 HHS Guidelines (</w:t>
      </w:r>
      <w:r w:rsidR="009B72F4">
        <w:rPr>
          <w:rFonts w:cs="Arial"/>
          <w:sz w:val="22"/>
          <w:szCs w:val="22"/>
        </w:rPr>
        <w:t>73 FR 71858</w:t>
      </w:r>
      <w:r w:rsidRPr="00F80750">
        <w:rPr>
          <w:rFonts w:cs="Arial"/>
          <w:sz w:val="22"/>
          <w:szCs w:val="22"/>
        </w:rPr>
        <w:t>)</w:t>
      </w:r>
      <w:r w:rsidR="00646A79">
        <w:rPr>
          <w:rFonts w:cs="Arial"/>
          <w:sz w:val="22"/>
          <w:szCs w:val="22"/>
        </w:rPr>
        <w:t>,</w:t>
      </w:r>
      <w:r w:rsidRPr="00F80750">
        <w:rPr>
          <w:rFonts w:cs="Arial"/>
          <w:sz w:val="22"/>
          <w:szCs w:val="22"/>
        </w:rPr>
        <w:t xml:space="preserve"> which incorporated advancements in drug testing technologies to improve the detection of drugs.  The 2008 HHS Guidelines became </w:t>
      </w:r>
      <w:r w:rsidRPr="00F80750">
        <w:rPr>
          <w:rFonts w:cs="Arial"/>
          <w:sz w:val="22"/>
          <w:szCs w:val="22"/>
        </w:rPr>
        <w:lastRenderedPageBreak/>
        <w:t>effective on October 1</w:t>
      </w:r>
      <w:r w:rsidR="00646A79">
        <w:rPr>
          <w:rFonts w:cs="Arial"/>
          <w:sz w:val="22"/>
          <w:szCs w:val="22"/>
        </w:rPr>
        <w:t>,</w:t>
      </w:r>
      <w:r w:rsidRPr="00F80750">
        <w:rPr>
          <w:rFonts w:cs="Arial"/>
          <w:sz w:val="22"/>
          <w:szCs w:val="22"/>
        </w:rPr>
        <w:t> 2010.  The NRC’s 10 CFR Part 26 regulation predates and does not fully reflect this subsequent revision of the HHS Guidelines.</w:t>
      </w:r>
    </w:p>
    <w:p w:rsidR="00D520BD" w:rsidP="008266EB" w:rsidRDefault="00D520BD" w14:paraId="0A5C20F6" w14:textId="466828F8">
      <w:pPr>
        <w:numPr>
          <w:ilvl w:val="12"/>
          <w:numId w:val="0"/>
        </w:numPr>
        <w:spacing w:before="220"/>
        <w:rPr>
          <w:rFonts w:cs="Arial"/>
          <w:sz w:val="22"/>
          <w:szCs w:val="22"/>
        </w:rPr>
      </w:pPr>
      <w:r w:rsidRPr="00F80750">
        <w:rPr>
          <w:rFonts w:cs="Arial"/>
          <w:sz w:val="22"/>
          <w:szCs w:val="22"/>
        </w:rPr>
        <w:t>Following publication of the 2008 HHS Guidelines</w:t>
      </w:r>
      <w:r w:rsidR="00646A79">
        <w:rPr>
          <w:rFonts w:cs="Arial"/>
          <w:sz w:val="22"/>
          <w:szCs w:val="22"/>
        </w:rPr>
        <w:t>,</w:t>
      </w:r>
      <w:r w:rsidRPr="00F80750">
        <w:rPr>
          <w:rFonts w:cs="Arial"/>
          <w:sz w:val="22"/>
          <w:szCs w:val="22"/>
        </w:rPr>
        <w:t xml:space="preserve"> the NRC held four public meetings</w:t>
      </w:r>
      <w:r w:rsidR="00646A79">
        <w:rPr>
          <w:rFonts w:cs="Arial"/>
          <w:sz w:val="22"/>
          <w:szCs w:val="22"/>
        </w:rPr>
        <w:t>,</w:t>
      </w:r>
      <w:r w:rsidRPr="00F80750">
        <w:rPr>
          <w:rFonts w:cs="Arial"/>
          <w:sz w:val="22"/>
          <w:szCs w:val="22"/>
        </w:rPr>
        <w:t xml:space="preserve"> on February 24</w:t>
      </w:r>
      <w:r w:rsidR="00646A79">
        <w:rPr>
          <w:rFonts w:cs="Arial"/>
          <w:sz w:val="22"/>
          <w:szCs w:val="22"/>
        </w:rPr>
        <w:t>,</w:t>
      </w:r>
      <w:r w:rsidRPr="00F80750">
        <w:rPr>
          <w:rFonts w:cs="Arial"/>
          <w:sz w:val="22"/>
          <w:szCs w:val="22"/>
        </w:rPr>
        <w:t> 2009 (</w:t>
      </w:r>
      <w:r w:rsidR="00773487">
        <w:rPr>
          <w:rFonts w:cs="Arial"/>
          <w:sz w:val="22"/>
          <w:szCs w:val="22"/>
        </w:rPr>
        <w:t>NRC</w:t>
      </w:r>
      <w:r w:rsidR="00646A79">
        <w:rPr>
          <w:rFonts w:cs="Arial"/>
          <w:sz w:val="22"/>
          <w:szCs w:val="22"/>
        </w:rPr>
        <w:t>,</w:t>
      </w:r>
      <w:r w:rsidR="00773487">
        <w:rPr>
          <w:rFonts w:cs="Arial"/>
          <w:sz w:val="22"/>
          <w:szCs w:val="22"/>
        </w:rPr>
        <w:t xml:space="preserve"> 2009a</w:t>
      </w:r>
      <w:r w:rsidRPr="00F80750">
        <w:rPr>
          <w:rFonts w:cs="Arial"/>
          <w:sz w:val="22"/>
          <w:szCs w:val="22"/>
        </w:rPr>
        <w:t>)</w:t>
      </w:r>
      <w:r w:rsidR="0077397D">
        <w:rPr>
          <w:rFonts w:cs="Arial"/>
          <w:sz w:val="22"/>
          <w:szCs w:val="22"/>
        </w:rPr>
        <w:t>;</w:t>
      </w:r>
      <w:r w:rsidRPr="00F80750">
        <w:rPr>
          <w:rFonts w:cs="Arial"/>
          <w:sz w:val="22"/>
          <w:szCs w:val="22"/>
        </w:rPr>
        <w:t xml:space="preserve"> June 24</w:t>
      </w:r>
      <w:r w:rsidR="00646A79">
        <w:rPr>
          <w:rFonts w:cs="Arial"/>
          <w:sz w:val="22"/>
          <w:szCs w:val="22"/>
        </w:rPr>
        <w:t>,</w:t>
      </w:r>
      <w:r w:rsidRPr="00F80750">
        <w:rPr>
          <w:rFonts w:cs="Arial"/>
          <w:sz w:val="22"/>
          <w:szCs w:val="22"/>
        </w:rPr>
        <w:t> 2009 (</w:t>
      </w:r>
      <w:r w:rsidR="00773487">
        <w:rPr>
          <w:rFonts w:cs="Arial"/>
          <w:sz w:val="22"/>
          <w:szCs w:val="22"/>
        </w:rPr>
        <w:t>NRC</w:t>
      </w:r>
      <w:r w:rsidR="00646A79">
        <w:rPr>
          <w:rFonts w:cs="Arial"/>
          <w:sz w:val="22"/>
          <w:szCs w:val="22"/>
        </w:rPr>
        <w:t>,</w:t>
      </w:r>
      <w:r w:rsidR="00773487">
        <w:rPr>
          <w:rFonts w:cs="Arial"/>
          <w:sz w:val="22"/>
          <w:szCs w:val="22"/>
        </w:rPr>
        <w:t xml:space="preserve"> 2009</w:t>
      </w:r>
      <w:r w:rsidR="00082C4F">
        <w:rPr>
          <w:rFonts w:cs="Arial"/>
          <w:sz w:val="22"/>
          <w:szCs w:val="22"/>
        </w:rPr>
        <w:t>d</w:t>
      </w:r>
      <w:r w:rsidRPr="00F80750">
        <w:rPr>
          <w:rFonts w:cs="Arial"/>
          <w:sz w:val="22"/>
          <w:szCs w:val="22"/>
        </w:rPr>
        <w:t>)</w:t>
      </w:r>
      <w:r w:rsidR="0077397D">
        <w:rPr>
          <w:rFonts w:cs="Arial"/>
          <w:sz w:val="22"/>
          <w:szCs w:val="22"/>
        </w:rPr>
        <w:t>;</w:t>
      </w:r>
      <w:r w:rsidRPr="00F80750">
        <w:rPr>
          <w:rFonts w:cs="Arial"/>
          <w:sz w:val="22"/>
          <w:szCs w:val="22"/>
        </w:rPr>
        <w:t xml:space="preserve"> October 11</w:t>
      </w:r>
      <w:r w:rsidR="00646A79">
        <w:rPr>
          <w:rFonts w:cs="Arial"/>
          <w:sz w:val="22"/>
          <w:szCs w:val="22"/>
        </w:rPr>
        <w:t>,</w:t>
      </w:r>
      <w:r w:rsidRPr="00F80750">
        <w:rPr>
          <w:rFonts w:cs="Arial"/>
          <w:sz w:val="22"/>
          <w:szCs w:val="22"/>
        </w:rPr>
        <w:t> 2011 (</w:t>
      </w:r>
      <w:r w:rsidR="00773487">
        <w:rPr>
          <w:rFonts w:cs="Arial"/>
          <w:sz w:val="22"/>
          <w:szCs w:val="22"/>
        </w:rPr>
        <w:t>NRC</w:t>
      </w:r>
      <w:r w:rsidR="00646A79">
        <w:rPr>
          <w:rFonts w:cs="Arial"/>
          <w:sz w:val="22"/>
          <w:szCs w:val="22"/>
        </w:rPr>
        <w:t>,</w:t>
      </w:r>
      <w:r w:rsidR="00773487">
        <w:rPr>
          <w:rFonts w:cs="Arial"/>
          <w:sz w:val="22"/>
          <w:szCs w:val="22"/>
        </w:rPr>
        <w:t xml:space="preserve"> 2011b</w:t>
      </w:r>
      <w:r w:rsidRPr="00F80750">
        <w:rPr>
          <w:rFonts w:cs="Arial"/>
          <w:sz w:val="22"/>
          <w:szCs w:val="22"/>
        </w:rPr>
        <w:t>)</w:t>
      </w:r>
      <w:r w:rsidR="0077397D">
        <w:rPr>
          <w:rFonts w:cs="Arial"/>
          <w:sz w:val="22"/>
          <w:szCs w:val="22"/>
        </w:rPr>
        <w:t>;</w:t>
      </w:r>
      <w:r w:rsidRPr="00F80750">
        <w:rPr>
          <w:rFonts w:cs="Arial"/>
          <w:sz w:val="22"/>
          <w:szCs w:val="22"/>
        </w:rPr>
        <w:t xml:space="preserve"> and September 11</w:t>
      </w:r>
      <w:r w:rsidR="00646A79">
        <w:rPr>
          <w:rFonts w:cs="Arial"/>
          <w:sz w:val="22"/>
          <w:szCs w:val="22"/>
        </w:rPr>
        <w:t>,</w:t>
      </w:r>
      <w:r w:rsidRPr="00F80750">
        <w:rPr>
          <w:rFonts w:cs="Arial"/>
          <w:sz w:val="22"/>
          <w:szCs w:val="22"/>
        </w:rPr>
        <w:t> 2013 (</w:t>
      </w:r>
      <w:r w:rsidR="00773487">
        <w:rPr>
          <w:rFonts w:cs="Arial"/>
          <w:sz w:val="22"/>
          <w:szCs w:val="22"/>
        </w:rPr>
        <w:t>NRC</w:t>
      </w:r>
      <w:r w:rsidR="00646A79">
        <w:rPr>
          <w:rFonts w:cs="Arial"/>
          <w:sz w:val="22"/>
          <w:szCs w:val="22"/>
        </w:rPr>
        <w:t>,</w:t>
      </w:r>
      <w:r w:rsidR="00773487">
        <w:rPr>
          <w:rFonts w:cs="Arial"/>
          <w:sz w:val="22"/>
          <w:szCs w:val="22"/>
        </w:rPr>
        <w:t xml:space="preserve"> 2013b)</w:t>
      </w:r>
      <w:r w:rsidR="00646A79">
        <w:rPr>
          <w:rFonts w:cs="Arial"/>
          <w:sz w:val="22"/>
          <w:szCs w:val="22"/>
        </w:rPr>
        <w:t>,</w:t>
      </w:r>
      <w:r w:rsidRPr="00F80750">
        <w:rPr>
          <w:rFonts w:cs="Arial"/>
          <w:sz w:val="22"/>
          <w:szCs w:val="22"/>
        </w:rPr>
        <w:t xml:space="preserve"> to review the changes in the 2008 HHS Guidelines and to discuss the potential impacts on the NRC FFD drug testing requirements.  Based on external stakeholder feedback and an NRC staff assessment</w:t>
      </w:r>
      <w:r w:rsidR="00646A79">
        <w:rPr>
          <w:rFonts w:cs="Arial"/>
          <w:sz w:val="22"/>
          <w:szCs w:val="22"/>
        </w:rPr>
        <w:t>,</w:t>
      </w:r>
      <w:r w:rsidRPr="00F80750">
        <w:rPr>
          <w:rFonts w:cs="Arial"/>
          <w:sz w:val="22"/>
          <w:szCs w:val="22"/>
        </w:rPr>
        <w:t xml:space="preserve"> the NRC staff elected to forego another 10 CFR Part 26 rulemaking so soon after publishing the 2008 FFD final rule.  This decision helped promote regulatory stability and allowed time for the NRC staff to evaluate the effectiveness of Federal agency programs implementing the revised 2008 HHS Guidelines since </w:t>
      </w:r>
      <w:r w:rsidRPr="00F80750">
        <w:rPr>
          <w:sz w:val="22"/>
          <w:szCs w:val="22"/>
        </w:rPr>
        <w:t>October 2010</w:t>
      </w:r>
      <w:r w:rsidRPr="00F80750">
        <w:rPr>
          <w:rFonts w:cs="Arial"/>
          <w:sz w:val="22"/>
          <w:szCs w:val="22"/>
        </w:rPr>
        <w:t>.  Additionally</w:t>
      </w:r>
      <w:r w:rsidR="00646A79">
        <w:rPr>
          <w:rFonts w:cs="Arial"/>
          <w:sz w:val="22"/>
          <w:szCs w:val="22"/>
        </w:rPr>
        <w:t>,</w:t>
      </w:r>
      <w:r w:rsidRPr="00F80750">
        <w:rPr>
          <w:rFonts w:cs="Arial"/>
          <w:sz w:val="22"/>
          <w:szCs w:val="22"/>
        </w:rPr>
        <w:t xml:space="preserve"> it allowed time for the NRC and licensees and other entities to learn lessons from implementing the 2008 FFD final rule.</w:t>
      </w:r>
      <w:r w:rsidR="00304546">
        <w:rPr>
          <w:rFonts w:cs="Arial"/>
          <w:sz w:val="22"/>
          <w:szCs w:val="22"/>
        </w:rPr>
        <w:t xml:space="preserve">  </w:t>
      </w:r>
      <w:r w:rsidRPr="00F80750">
        <w:rPr>
          <w:rFonts w:cs="Arial"/>
          <w:sz w:val="22"/>
          <w:szCs w:val="22"/>
        </w:rPr>
        <w:t>During the</w:t>
      </w:r>
      <w:r w:rsidR="00304546">
        <w:rPr>
          <w:rFonts w:cs="Arial"/>
          <w:sz w:val="22"/>
          <w:szCs w:val="22"/>
        </w:rPr>
        <w:t>se</w:t>
      </w:r>
      <w:r w:rsidRPr="00F80750">
        <w:rPr>
          <w:rFonts w:cs="Arial"/>
          <w:sz w:val="22"/>
          <w:szCs w:val="22"/>
        </w:rPr>
        <w:t xml:space="preserve"> public meetings</w:t>
      </w:r>
      <w:r w:rsidR="00646A79">
        <w:rPr>
          <w:rFonts w:cs="Arial"/>
          <w:sz w:val="22"/>
          <w:szCs w:val="22"/>
        </w:rPr>
        <w:t>,</w:t>
      </w:r>
      <w:r w:rsidRPr="00F80750">
        <w:rPr>
          <w:rFonts w:cs="Arial"/>
          <w:sz w:val="22"/>
          <w:szCs w:val="22"/>
        </w:rPr>
        <w:t xml:space="preserve"> representatives from the commercial nuclear power industry expressed support for revising 10 CFR Part 26 to (1) incorporate select provisions from the 2008 HHS Guidelines</w:t>
      </w:r>
      <w:r w:rsidR="00646A79">
        <w:rPr>
          <w:rFonts w:cs="Arial"/>
          <w:sz w:val="22"/>
          <w:szCs w:val="22"/>
        </w:rPr>
        <w:t>,</w:t>
      </w:r>
      <w:r w:rsidRPr="00F80750">
        <w:rPr>
          <w:rFonts w:cs="Arial"/>
          <w:sz w:val="22"/>
          <w:szCs w:val="22"/>
        </w:rPr>
        <w:t xml:space="preserve"> (2) enhance the detection of illegal drug use and misuse of prescription drugs</w:t>
      </w:r>
      <w:r w:rsidR="00646A79">
        <w:rPr>
          <w:rFonts w:cs="Arial"/>
          <w:sz w:val="22"/>
          <w:szCs w:val="22"/>
        </w:rPr>
        <w:t>,</w:t>
      </w:r>
      <w:r w:rsidRPr="00F80750">
        <w:rPr>
          <w:rFonts w:cs="Arial"/>
          <w:sz w:val="22"/>
          <w:szCs w:val="22"/>
        </w:rPr>
        <w:t xml:space="preserve"> and (3) enhance the methods to identify attempts to subvert the drug testing process.</w:t>
      </w:r>
    </w:p>
    <w:p w:rsidR="00F80750" w:rsidP="00D520BD" w:rsidRDefault="00F80750" w14:paraId="68D274AD" w14:textId="30DC64AA">
      <w:pPr>
        <w:rPr>
          <w:rFonts w:cs="Arial"/>
          <w:sz w:val="22"/>
          <w:szCs w:val="22"/>
        </w:rPr>
      </w:pPr>
    </w:p>
    <w:p w:rsidR="00F80750" w:rsidP="00D520BD" w:rsidRDefault="00F80750" w14:paraId="120EA581" w14:textId="6FA5C94B">
      <w:pPr>
        <w:rPr>
          <w:rFonts w:cs="Arial"/>
          <w:sz w:val="22"/>
          <w:szCs w:val="22"/>
        </w:rPr>
      </w:pPr>
      <w:r>
        <w:rPr>
          <w:rFonts w:cs="Arial"/>
          <w:sz w:val="22"/>
          <w:szCs w:val="22"/>
        </w:rPr>
        <w:t>Subsequently</w:t>
      </w:r>
      <w:r w:rsidR="00646A79">
        <w:rPr>
          <w:rFonts w:cs="Arial"/>
          <w:sz w:val="22"/>
          <w:szCs w:val="22"/>
        </w:rPr>
        <w:t>,</w:t>
      </w:r>
      <w:r>
        <w:rPr>
          <w:rFonts w:cs="Arial"/>
          <w:sz w:val="22"/>
          <w:szCs w:val="22"/>
        </w:rPr>
        <w:t xml:space="preserve"> </w:t>
      </w:r>
      <w:r w:rsidR="00A3475F">
        <w:rPr>
          <w:rFonts w:cs="Arial"/>
          <w:sz w:val="22"/>
          <w:szCs w:val="22"/>
        </w:rPr>
        <w:t xml:space="preserve">the </w:t>
      </w:r>
      <w:r>
        <w:rPr>
          <w:rFonts w:cs="Arial"/>
          <w:sz w:val="22"/>
          <w:szCs w:val="22"/>
        </w:rPr>
        <w:t>HHS published the 2017 HHS Guidelines in January 2017</w:t>
      </w:r>
      <w:r w:rsidR="007F36D3">
        <w:rPr>
          <w:rFonts w:cs="Arial"/>
          <w:sz w:val="22"/>
          <w:szCs w:val="22"/>
        </w:rPr>
        <w:t xml:space="preserve"> (</w:t>
      </w:r>
      <w:r w:rsidRPr="001729D4" w:rsidR="007F36D3">
        <w:rPr>
          <w:sz w:val="22"/>
          <w:szCs w:val="22"/>
        </w:rPr>
        <w:t>82 FR 7920</w:t>
      </w:r>
      <w:r w:rsidR="007F36D3">
        <w:rPr>
          <w:sz w:val="22"/>
          <w:szCs w:val="22"/>
        </w:rPr>
        <w:t>)</w:t>
      </w:r>
      <w:r>
        <w:rPr>
          <w:rFonts w:cs="Arial"/>
          <w:sz w:val="22"/>
          <w:szCs w:val="22"/>
        </w:rPr>
        <w:t xml:space="preserve">.  </w:t>
      </w:r>
      <w:r w:rsidR="00304546">
        <w:rPr>
          <w:rFonts w:cs="Arial"/>
          <w:sz w:val="22"/>
          <w:szCs w:val="22"/>
        </w:rPr>
        <w:t>The NRC held a public meeting on November 7, 2019 (NRC, 2019)</w:t>
      </w:r>
      <w:r w:rsidR="007F36D3">
        <w:rPr>
          <w:rFonts w:cs="Arial"/>
          <w:sz w:val="22"/>
          <w:szCs w:val="22"/>
        </w:rPr>
        <w:t>,</w:t>
      </w:r>
      <w:r w:rsidR="00304546">
        <w:rPr>
          <w:rFonts w:cs="Arial"/>
          <w:sz w:val="22"/>
          <w:szCs w:val="22"/>
        </w:rPr>
        <w:t xml:space="preserve"> to provide an opportunity for the NRC staff and external stakeholders to exchange information on the proposed rule to update the FFD testing requirements and to discuss and solicit feedback on the draft regulatory analysis, draft regulatory guidance, and specific requests for comments in the proposed rule.  </w:t>
      </w:r>
      <w:r>
        <w:rPr>
          <w:rFonts w:cs="Arial"/>
          <w:sz w:val="22"/>
          <w:szCs w:val="22"/>
        </w:rPr>
        <w:t>Based on external stakeholder feedback and an NRC staff assessment</w:t>
      </w:r>
      <w:r w:rsidR="00646A79">
        <w:rPr>
          <w:rFonts w:cs="Arial"/>
          <w:sz w:val="22"/>
          <w:szCs w:val="22"/>
        </w:rPr>
        <w:t>,</w:t>
      </w:r>
      <w:r>
        <w:rPr>
          <w:rFonts w:cs="Arial"/>
          <w:sz w:val="22"/>
          <w:szCs w:val="22"/>
        </w:rPr>
        <w:t xml:space="preserve"> the NRC elected to incorporate the changes in the 2008 and 2017 HHS Guidelines into </w:t>
      </w:r>
      <w:r w:rsidR="007F36D3">
        <w:rPr>
          <w:rFonts w:cs="Arial"/>
          <w:sz w:val="22"/>
          <w:szCs w:val="22"/>
        </w:rPr>
        <w:t xml:space="preserve">the </w:t>
      </w:r>
      <w:r>
        <w:rPr>
          <w:rFonts w:cs="Arial"/>
          <w:sz w:val="22"/>
          <w:szCs w:val="22"/>
        </w:rPr>
        <w:t>NRC FFD drug test</w:t>
      </w:r>
      <w:r w:rsidR="00F265A9">
        <w:rPr>
          <w:rFonts w:cs="Arial"/>
          <w:sz w:val="22"/>
          <w:szCs w:val="22"/>
        </w:rPr>
        <w:t>ing</w:t>
      </w:r>
      <w:r>
        <w:rPr>
          <w:rFonts w:cs="Arial"/>
          <w:sz w:val="22"/>
          <w:szCs w:val="22"/>
        </w:rPr>
        <w:t xml:space="preserve"> requirements.  The 2017 HHS Guidelines provide for the testing </w:t>
      </w:r>
      <w:r w:rsidR="00611A8B">
        <w:rPr>
          <w:rFonts w:cs="Arial"/>
          <w:sz w:val="22"/>
          <w:szCs w:val="22"/>
        </w:rPr>
        <w:t>of</w:t>
      </w:r>
      <w:r w:rsidRPr="006C4B70" w:rsidR="00611A8B">
        <w:rPr>
          <w:rFonts w:cs="Arial"/>
          <w:sz w:val="22"/>
          <w:szCs w:val="22"/>
        </w:rPr>
        <w:t xml:space="preserve"> </w:t>
      </w:r>
      <w:r w:rsidRPr="006C4B70">
        <w:rPr>
          <w:rFonts w:cs="Arial"/>
          <w:sz w:val="22"/>
          <w:szCs w:val="22"/>
        </w:rPr>
        <w:t xml:space="preserve">four </w:t>
      </w:r>
      <w:r w:rsidRPr="006C4B70" w:rsidR="002E22E1">
        <w:rPr>
          <w:rFonts w:cs="Arial"/>
          <w:sz w:val="22"/>
          <w:szCs w:val="22"/>
        </w:rPr>
        <w:t xml:space="preserve">prescription </w:t>
      </w:r>
      <w:r w:rsidRPr="006C4B70" w:rsidR="006C4B70">
        <w:rPr>
          <w:rFonts w:cs="Arial"/>
          <w:sz w:val="22"/>
          <w:szCs w:val="22"/>
        </w:rPr>
        <w:t xml:space="preserve">opioid </w:t>
      </w:r>
      <w:r w:rsidRPr="006C4B70" w:rsidR="002E22E1">
        <w:rPr>
          <w:rFonts w:cs="Arial"/>
          <w:sz w:val="22"/>
          <w:szCs w:val="22"/>
        </w:rPr>
        <w:t>pain</w:t>
      </w:r>
      <w:r w:rsidR="0005757E">
        <w:rPr>
          <w:rFonts w:cs="Arial"/>
          <w:sz w:val="22"/>
          <w:szCs w:val="22"/>
        </w:rPr>
        <w:t xml:space="preserve"> relievers</w:t>
      </w:r>
      <w:r w:rsidRPr="006C4B70" w:rsidR="002E22E1">
        <w:rPr>
          <w:rFonts w:cs="Arial"/>
          <w:sz w:val="22"/>
          <w:szCs w:val="22"/>
        </w:rPr>
        <w:t xml:space="preserve"> </w:t>
      </w:r>
      <w:r w:rsidRPr="006C4B70">
        <w:rPr>
          <w:rFonts w:cs="Arial"/>
          <w:sz w:val="22"/>
          <w:szCs w:val="22"/>
        </w:rPr>
        <w:t>(i.e.</w:t>
      </w:r>
      <w:r w:rsidRPr="006C4B70" w:rsidR="00646A79">
        <w:rPr>
          <w:rFonts w:cs="Arial"/>
          <w:sz w:val="22"/>
          <w:szCs w:val="22"/>
        </w:rPr>
        <w:t>,</w:t>
      </w:r>
      <w:r w:rsidRPr="006C4B70">
        <w:rPr>
          <w:rFonts w:cs="Arial"/>
          <w:sz w:val="22"/>
          <w:szCs w:val="22"/>
        </w:rPr>
        <w:t xml:space="preserve"> hydrocodone</w:t>
      </w:r>
      <w:r w:rsidRPr="006C4B70" w:rsidR="00FC01A8">
        <w:rPr>
          <w:rFonts w:cs="Arial"/>
          <w:sz w:val="22"/>
          <w:szCs w:val="22"/>
        </w:rPr>
        <w:t xml:space="preserve"> (HYC)</w:t>
      </w:r>
      <w:r w:rsidRPr="006C4B70" w:rsidR="007D5F30">
        <w:rPr>
          <w:rFonts w:cs="Arial"/>
          <w:sz w:val="22"/>
          <w:szCs w:val="22"/>
        </w:rPr>
        <w:t>,</w:t>
      </w:r>
      <w:r w:rsidRPr="006C4B70">
        <w:rPr>
          <w:rFonts w:cs="Arial"/>
          <w:sz w:val="22"/>
          <w:szCs w:val="22"/>
        </w:rPr>
        <w:t xml:space="preserve"> hydromorphone</w:t>
      </w:r>
      <w:r w:rsidRPr="006C4B70" w:rsidR="00B97089">
        <w:rPr>
          <w:rFonts w:cs="Arial"/>
          <w:sz w:val="22"/>
          <w:szCs w:val="22"/>
        </w:rPr>
        <w:t xml:space="preserve"> (HYM)</w:t>
      </w:r>
      <w:r w:rsidRPr="006C4B70" w:rsidR="00FD0C39">
        <w:rPr>
          <w:rFonts w:cs="Arial"/>
          <w:sz w:val="22"/>
          <w:szCs w:val="22"/>
        </w:rPr>
        <w:t>,</w:t>
      </w:r>
      <w:r w:rsidRPr="006C4B70" w:rsidR="007D5F30">
        <w:rPr>
          <w:rFonts w:cs="Arial"/>
          <w:sz w:val="22"/>
          <w:szCs w:val="22"/>
        </w:rPr>
        <w:t xml:space="preserve"> oxycodone</w:t>
      </w:r>
      <w:r w:rsidRPr="006C4B70" w:rsidR="0043084F">
        <w:rPr>
          <w:rFonts w:cs="Arial"/>
          <w:sz w:val="22"/>
          <w:szCs w:val="22"/>
        </w:rPr>
        <w:t xml:space="preserve"> (OXYC</w:t>
      </w:r>
      <w:r w:rsidR="0043084F">
        <w:rPr>
          <w:rFonts w:cs="Arial"/>
          <w:sz w:val="22"/>
          <w:szCs w:val="22"/>
        </w:rPr>
        <w:t>)</w:t>
      </w:r>
      <w:r w:rsidR="007D5F30">
        <w:rPr>
          <w:rFonts w:cs="Arial"/>
          <w:sz w:val="22"/>
          <w:szCs w:val="22"/>
        </w:rPr>
        <w:t>,</w:t>
      </w:r>
      <w:r w:rsidRPr="00F80750" w:rsidR="007D5F30">
        <w:rPr>
          <w:rFonts w:cs="Arial"/>
          <w:sz w:val="22"/>
          <w:szCs w:val="22"/>
        </w:rPr>
        <w:t xml:space="preserve"> </w:t>
      </w:r>
      <w:r w:rsidR="007D5F30">
        <w:rPr>
          <w:rFonts w:cs="Arial"/>
          <w:sz w:val="22"/>
          <w:szCs w:val="22"/>
        </w:rPr>
        <w:t xml:space="preserve">and </w:t>
      </w:r>
      <w:r w:rsidRPr="00F80750" w:rsidR="007D5F30">
        <w:rPr>
          <w:rFonts w:cs="Arial"/>
          <w:sz w:val="22"/>
          <w:szCs w:val="22"/>
        </w:rPr>
        <w:t>oxymorphone</w:t>
      </w:r>
      <w:r w:rsidR="00BB1FB1">
        <w:rPr>
          <w:rFonts w:cs="Arial"/>
          <w:sz w:val="22"/>
          <w:szCs w:val="22"/>
        </w:rPr>
        <w:t xml:space="preserve"> (OXYM)</w:t>
      </w:r>
      <w:r w:rsidRPr="004D7CD6">
        <w:rPr>
          <w:rFonts w:cs="Arial"/>
          <w:sz w:val="22"/>
          <w:szCs w:val="22"/>
        </w:rPr>
        <w:t>)</w:t>
      </w:r>
      <w:r w:rsidR="00646A79">
        <w:rPr>
          <w:rFonts w:cs="Arial"/>
          <w:sz w:val="22"/>
          <w:szCs w:val="22"/>
        </w:rPr>
        <w:t>,</w:t>
      </w:r>
      <w:r w:rsidRPr="004D7CD6">
        <w:rPr>
          <w:rFonts w:cs="Arial"/>
          <w:sz w:val="22"/>
          <w:szCs w:val="22"/>
        </w:rPr>
        <w:t xml:space="preserve"> the removal of methylenedioxyethylamphetamine (MDEA)</w:t>
      </w:r>
      <w:r w:rsidR="00646A79">
        <w:rPr>
          <w:rFonts w:cs="Arial"/>
          <w:sz w:val="22"/>
          <w:szCs w:val="22"/>
        </w:rPr>
        <w:t>,</w:t>
      </w:r>
      <w:r w:rsidRPr="00F80750">
        <w:rPr>
          <w:rFonts w:cs="Arial"/>
          <w:sz w:val="22"/>
          <w:szCs w:val="22"/>
        </w:rPr>
        <w:t xml:space="preserve"> </w:t>
      </w:r>
      <w:r>
        <w:rPr>
          <w:rFonts w:cs="Arial"/>
          <w:sz w:val="22"/>
          <w:szCs w:val="22"/>
        </w:rPr>
        <w:t>raising</w:t>
      </w:r>
      <w:r w:rsidRPr="00F80750">
        <w:rPr>
          <w:rFonts w:cs="Arial"/>
          <w:sz w:val="22"/>
          <w:szCs w:val="22"/>
        </w:rPr>
        <w:t xml:space="preserve"> the lower pH cutoff from 3 to 4 for identifying adulterated</w:t>
      </w:r>
      <w:r>
        <w:rPr>
          <w:rFonts w:cs="Arial"/>
          <w:sz w:val="22"/>
          <w:szCs w:val="22"/>
        </w:rPr>
        <w:t xml:space="preserve"> </w:t>
      </w:r>
      <w:r w:rsidRPr="00F80750">
        <w:rPr>
          <w:rFonts w:cs="Arial"/>
          <w:sz w:val="22"/>
          <w:szCs w:val="22"/>
        </w:rPr>
        <w:t>specimens</w:t>
      </w:r>
      <w:r w:rsidR="00646A79">
        <w:rPr>
          <w:rFonts w:cs="Arial"/>
          <w:sz w:val="22"/>
          <w:szCs w:val="22"/>
        </w:rPr>
        <w:t>,</w:t>
      </w:r>
      <w:r w:rsidRPr="00F80750">
        <w:rPr>
          <w:rFonts w:cs="Arial"/>
          <w:sz w:val="22"/>
          <w:szCs w:val="22"/>
        </w:rPr>
        <w:t xml:space="preserve"> </w:t>
      </w:r>
      <w:r w:rsidR="00D03925">
        <w:rPr>
          <w:rFonts w:cs="Arial"/>
          <w:sz w:val="22"/>
          <w:szCs w:val="22"/>
        </w:rPr>
        <w:t xml:space="preserve">and </w:t>
      </w:r>
      <w:r>
        <w:rPr>
          <w:rFonts w:cs="Arial"/>
          <w:sz w:val="22"/>
          <w:szCs w:val="22"/>
        </w:rPr>
        <w:t>requiring</w:t>
      </w:r>
      <w:r w:rsidRPr="00F80750">
        <w:rPr>
          <w:rFonts w:cs="Arial"/>
          <w:sz w:val="22"/>
          <w:szCs w:val="22"/>
        </w:rPr>
        <w:t xml:space="preserve"> </w:t>
      </w:r>
      <w:r w:rsidR="00B12588">
        <w:rPr>
          <w:rFonts w:cs="Arial"/>
          <w:sz w:val="22"/>
          <w:szCs w:val="22"/>
        </w:rPr>
        <w:t>m</w:t>
      </w:r>
      <w:r w:rsidRPr="00953CF5" w:rsidR="00B12588">
        <w:rPr>
          <w:rFonts w:cs="Arial"/>
          <w:sz w:val="22"/>
          <w:szCs w:val="22"/>
        </w:rPr>
        <w:t xml:space="preserve">edical </w:t>
      </w:r>
      <w:r w:rsidR="00B12588">
        <w:rPr>
          <w:rFonts w:cs="Arial"/>
          <w:sz w:val="22"/>
          <w:szCs w:val="22"/>
        </w:rPr>
        <w:t>r</w:t>
      </w:r>
      <w:r w:rsidRPr="00953CF5" w:rsidR="00B12588">
        <w:rPr>
          <w:rFonts w:cs="Arial"/>
          <w:sz w:val="22"/>
          <w:szCs w:val="22"/>
        </w:rPr>
        <w:t xml:space="preserve">eview </w:t>
      </w:r>
      <w:r w:rsidR="00B12588">
        <w:rPr>
          <w:rFonts w:cs="Arial"/>
          <w:sz w:val="22"/>
          <w:szCs w:val="22"/>
        </w:rPr>
        <w:t>o</w:t>
      </w:r>
      <w:r w:rsidRPr="00953CF5" w:rsidR="00B12588">
        <w:rPr>
          <w:rFonts w:cs="Arial"/>
          <w:sz w:val="22"/>
          <w:szCs w:val="22"/>
        </w:rPr>
        <w:t>fficer</w:t>
      </w:r>
      <w:r w:rsidRPr="00F80750" w:rsidR="00B12588">
        <w:rPr>
          <w:rFonts w:cs="Arial"/>
          <w:sz w:val="22"/>
          <w:szCs w:val="22"/>
        </w:rPr>
        <w:t xml:space="preserve"> </w:t>
      </w:r>
      <w:r w:rsidR="00B12588">
        <w:rPr>
          <w:rFonts w:cs="Arial"/>
          <w:sz w:val="22"/>
          <w:szCs w:val="22"/>
        </w:rPr>
        <w:t>(</w:t>
      </w:r>
      <w:r w:rsidRPr="00F80750">
        <w:rPr>
          <w:rFonts w:cs="Arial"/>
          <w:sz w:val="22"/>
          <w:szCs w:val="22"/>
        </w:rPr>
        <w:t>MRO</w:t>
      </w:r>
      <w:r w:rsidR="00B12588">
        <w:rPr>
          <w:rFonts w:cs="Arial"/>
          <w:sz w:val="22"/>
          <w:szCs w:val="22"/>
        </w:rPr>
        <w:t>)</w:t>
      </w:r>
      <w:r w:rsidRPr="00F80750">
        <w:rPr>
          <w:rFonts w:cs="Arial"/>
          <w:sz w:val="22"/>
          <w:szCs w:val="22"/>
        </w:rPr>
        <w:t xml:space="preserve"> requalification training and reexamination at least every </w:t>
      </w:r>
      <w:r w:rsidR="007B640D">
        <w:rPr>
          <w:rFonts w:cs="Arial"/>
          <w:sz w:val="22"/>
          <w:szCs w:val="22"/>
        </w:rPr>
        <w:t>5</w:t>
      </w:r>
      <w:r w:rsidRPr="00F80750">
        <w:rPr>
          <w:rFonts w:cs="Arial"/>
          <w:sz w:val="22"/>
          <w:szCs w:val="22"/>
        </w:rPr>
        <w:t xml:space="preserve"> years after initial MRO certification</w:t>
      </w:r>
      <w:r w:rsidR="00EE7D4E">
        <w:rPr>
          <w:rFonts w:cs="Arial"/>
          <w:sz w:val="22"/>
          <w:szCs w:val="22"/>
        </w:rPr>
        <w:t>.</w:t>
      </w:r>
      <w:r w:rsidRPr="00EE7D4E" w:rsidR="00EE7D4E">
        <w:rPr>
          <w:rFonts w:cs="Arial"/>
          <w:sz w:val="22"/>
          <w:szCs w:val="22"/>
        </w:rPr>
        <w:t xml:space="preserve">  </w:t>
      </w:r>
      <w:r w:rsidRPr="00445AF5" w:rsidR="00EE7D4E">
        <w:rPr>
          <w:sz w:val="22"/>
          <w:szCs w:val="22"/>
        </w:rPr>
        <w:t xml:space="preserve">On </w:t>
      </w:r>
      <w:r w:rsidRPr="00FA1966" w:rsidR="00EE7D4E">
        <w:rPr>
          <w:rFonts w:cs="Arial"/>
          <w:sz w:val="22"/>
          <w:szCs w:val="22"/>
        </w:rPr>
        <w:t xml:space="preserve">October 25, 2019, </w:t>
      </w:r>
      <w:r w:rsidR="00A3475F">
        <w:rPr>
          <w:rFonts w:cs="Arial"/>
          <w:sz w:val="22"/>
          <w:szCs w:val="22"/>
        </w:rPr>
        <w:t xml:space="preserve">the </w:t>
      </w:r>
      <w:r w:rsidRPr="00FA1966" w:rsidR="00EE7D4E">
        <w:rPr>
          <w:rFonts w:cs="Arial"/>
          <w:sz w:val="22"/>
          <w:szCs w:val="22"/>
        </w:rPr>
        <w:t xml:space="preserve">HHS published </w:t>
      </w:r>
      <w:r w:rsidR="007B640D">
        <w:rPr>
          <w:rFonts w:cs="Arial"/>
          <w:sz w:val="22"/>
          <w:szCs w:val="22"/>
        </w:rPr>
        <w:t>its</w:t>
      </w:r>
      <w:r w:rsidRPr="00FA1966" w:rsidR="00EE7D4E">
        <w:rPr>
          <w:rFonts w:cs="Arial"/>
          <w:sz w:val="22"/>
          <w:szCs w:val="22"/>
        </w:rPr>
        <w:t xml:space="preserve"> 2019 HHS Guidelines (84 FR 57554) for</w:t>
      </w:r>
      <w:r w:rsidRPr="00445AF5" w:rsidR="002C212A">
        <w:rPr>
          <w:rFonts w:cs="Arial"/>
          <w:sz w:val="22"/>
          <w:szCs w:val="22"/>
        </w:rPr>
        <w:t xml:space="preserve"> </w:t>
      </w:r>
      <w:r w:rsidRPr="00FA1966">
        <w:rPr>
          <w:rFonts w:cs="Arial"/>
          <w:sz w:val="22"/>
          <w:szCs w:val="22"/>
        </w:rPr>
        <w:t>allowing the collection and</w:t>
      </w:r>
      <w:r w:rsidRPr="00FA1966" w:rsidR="009B6ABC">
        <w:rPr>
          <w:rFonts w:cs="Arial"/>
          <w:sz w:val="22"/>
          <w:szCs w:val="22"/>
        </w:rPr>
        <w:t xml:space="preserve"> drug</w:t>
      </w:r>
      <w:r w:rsidRPr="00FA1966">
        <w:rPr>
          <w:rFonts w:cs="Arial"/>
          <w:sz w:val="22"/>
          <w:szCs w:val="22"/>
        </w:rPr>
        <w:t xml:space="preserve"> testing of an </w:t>
      </w:r>
      <w:r w:rsidRPr="00FA1966" w:rsidR="00906C41">
        <w:rPr>
          <w:rFonts w:cs="Arial"/>
          <w:sz w:val="22"/>
          <w:szCs w:val="22"/>
        </w:rPr>
        <w:t>alternative</w:t>
      </w:r>
      <w:r w:rsidRPr="00FA1966">
        <w:rPr>
          <w:rFonts w:cs="Arial"/>
          <w:sz w:val="22"/>
          <w:szCs w:val="22"/>
        </w:rPr>
        <w:t xml:space="preserve"> specimen (</w:t>
      </w:r>
      <w:r w:rsidRPr="00FA1966" w:rsidR="009B6ABC">
        <w:rPr>
          <w:rFonts w:cs="Arial"/>
          <w:sz w:val="22"/>
          <w:szCs w:val="22"/>
        </w:rPr>
        <w:t>i.e</w:t>
      </w:r>
      <w:r w:rsidRPr="00FA1966" w:rsidDel="009B6ABC">
        <w:rPr>
          <w:rFonts w:cs="Arial"/>
          <w:sz w:val="22"/>
          <w:szCs w:val="22"/>
        </w:rPr>
        <w:t>.</w:t>
      </w:r>
      <w:r w:rsidRPr="00FA1966" w:rsidR="00646A79">
        <w:rPr>
          <w:rFonts w:cs="Arial"/>
          <w:sz w:val="22"/>
          <w:szCs w:val="22"/>
        </w:rPr>
        <w:t>,</w:t>
      </w:r>
      <w:r w:rsidRPr="00FA1966">
        <w:rPr>
          <w:rFonts w:cs="Arial"/>
          <w:sz w:val="22"/>
          <w:szCs w:val="22"/>
        </w:rPr>
        <w:t xml:space="preserve"> oral fluid).</w:t>
      </w:r>
    </w:p>
    <w:p w:rsidRPr="005A5966" w:rsidR="00D520BD" w:rsidP="00D520BD" w:rsidRDefault="00D520BD" w14:paraId="0B694261" w14:textId="38E11D7A">
      <w:pPr>
        <w:rPr>
          <w:rFonts w:cs="Arial"/>
          <w:sz w:val="22"/>
          <w:szCs w:val="22"/>
        </w:rPr>
      </w:pPr>
    </w:p>
    <w:p w:rsidRPr="005A5966" w:rsidR="00D520BD" w:rsidP="00D520BD" w:rsidRDefault="00D520BD" w14:paraId="602441E0" w14:textId="77777777">
      <w:pPr>
        <w:pStyle w:val="Heading2"/>
        <w:ind w:left="720" w:hanging="720"/>
      </w:pPr>
      <w:bookmarkStart w:name="_Toc199932470" w:id="40"/>
      <w:bookmarkStart w:name="_Toc199932639" w:id="41"/>
      <w:bookmarkStart w:name="_Toc354162806" w:id="42"/>
      <w:bookmarkStart w:name="_Toc460412593" w:id="43"/>
      <w:bookmarkStart w:name="_Toc72840011" w:id="44"/>
      <w:bookmarkStart w:name="_Toc105681484" w:id="45"/>
      <w:r w:rsidRPr="005A5966">
        <w:t>1.2</w:t>
      </w:r>
      <w:r w:rsidRPr="005A5966">
        <w:tab/>
      </w:r>
      <w:bookmarkEnd w:id="40"/>
      <w:bookmarkEnd w:id="41"/>
      <w:r w:rsidRPr="005A5966">
        <w:t xml:space="preserve">Statement of the Problem and </w:t>
      </w:r>
      <w:r>
        <w:t>U.S. </w:t>
      </w:r>
      <w:r w:rsidRPr="005A5966">
        <w:t>N</w:t>
      </w:r>
      <w:r>
        <w:t xml:space="preserve">uclear </w:t>
      </w:r>
      <w:r w:rsidRPr="005A5966">
        <w:t>R</w:t>
      </w:r>
      <w:r>
        <w:t xml:space="preserve">egulatory </w:t>
      </w:r>
      <w:r w:rsidRPr="005A5966">
        <w:t>C</w:t>
      </w:r>
      <w:r>
        <w:t>ommission</w:t>
      </w:r>
      <w:r w:rsidRPr="005A5966">
        <w:t xml:space="preserve"> Objectives for the Rulemaking</w:t>
      </w:r>
      <w:bookmarkEnd w:id="42"/>
      <w:bookmarkEnd w:id="43"/>
      <w:bookmarkEnd w:id="44"/>
      <w:bookmarkEnd w:id="45"/>
    </w:p>
    <w:p w:rsidRPr="005A5966" w:rsidR="00D520BD" w:rsidP="00D520BD" w:rsidRDefault="00D520BD" w14:paraId="6A0028E1" w14:textId="77777777">
      <w:pPr>
        <w:keepNext/>
        <w:rPr>
          <w:rFonts w:cs="Arial"/>
          <w:sz w:val="22"/>
          <w:szCs w:val="22"/>
        </w:rPr>
      </w:pPr>
    </w:p>
    <w:p w:rsidR="00D520BD" w:rsidP="00D520BD" w:rsidRDefault="00D520BD" w14:paraId="232D3F45" w14:textId="55E6294B">
      <w:pPr>
        <w:rPr>
          <w:rFonts w:cs="Arial"/>
          <w:sz w:val="22"/>
          <w:szCs w:val="22"/>
        </w:rPr>
      </w:pPr>
      <w:r w:rsidRPr="005A5966">
        <w:rPr>
          <w:rFonts w:cs="Arial"/>
          <w:sz w:val="22"/>
          <w:szCs w:val="22"/>
        </w:rPr>
        <w:t xml:space="preserve">The </w:t>
      </w:r>
      <w:r w:rsidR="0026236A">
        <w:rPr>
          <w:rFonts w:cs="Arial"/>
          <w:sz w:val="22"/>
          <w:szCs w:val="22"/>
        </w:rPr>
        <w:t>2017</w:t>
      </w:r>
      <w:r w:rsidRPr="005A5966">
        <w:rPr>
          <w:rFonts w:cs="Arial"/>
          <w:sz w:val="22"/>
          <w:szCs w:val="22"/>
        </w:rPr>
        <w:t xml:space="preserve"> HHS </w:t>
      </w:r>
      <w:r w:rsidRPr="006766F1">
        <w:rPr>
          <w:rFonts w:cs="Arial"/>
          <w:sz w:val="22"/>
          <w:szCs w:val="22"/>
        </w:rPr>
        <w:t>Guidelines (</w:t>
      </w:r>
      <w:r w:rsidR="009B72F4">
        <w:rPr>
          <w:rFonts w:cs="Arial"/>
          <w:sz w:val="22"/>
          <w:szCs w:val="22"/>
        </w:rPr>
        <w:t>82 FR 7920</w:t>
      </w:r>
      <w:r w:rsidR="00281708">
        <w:rPr>
          <w:rFonts w:cs="Arial"/>
          <w:sz w:val="22"/>
          <w:szCs w:val="22"/>
        </w:rPr>
        <w:t>;</w:t>
      </w:r>
      <w:r w:rsidR="009B72F4">
        <w:rPr>
          <w:rFonts w:cs="Arial"/>
          <w:sz w:val="22"/>
          <w:szCs w:val="22"/>
        </w:rPr>
        <w:t xml:space="preserve"> January 23</w:t>
      </w:r>
      <w:r w:rsidRPr="00D1227B" w:rsidR="00646A79">
        <w:rPr>
          <w:rFonts w:cs="Arial"/>
          <w:sz w:val="22"/>
          <w:szCs w:val="22"/>
        </w:rPr>
        <w:t>,</w:t>
      </w:r>
      <w:r w:rsidRPr="00D1227B" w:rsidR="009B72F4">
        <w:rPr>
          <w:rFonts w:cs="Arial"/>
          <w:sz w:val="22"/>
          <w:szCs w:val="22"/>
        </w:rPr>
        <w:t xml:space="preserve"> 2017</w:t>
      </w:r>
      <w:r w:rsidRPr="00D1227B">
        <w:rPr>
          <w:rFonts w:cs="Arial"/>
          <w:sz w:val="22"/>
          <w:szCs w:val="22"/>
        </w:rPr>
        <w:t xml:space="preserve">) </w:t>
      </w:r>
      <w:r w:rsidRPr="00D1227B" w:rsidR="00F80750">
        <w:rPr>
          <w:rFonts w:cs="Arial"/>
          <w:sz w:val="22"/>
          <w:szCs w:val="22"/>
        </w:rPr>
        <w:t>modified the</w:t>
      </w:r>
      <w:r w:rsidRPr="00D1227B">
        <w:rPr>
          <w:rFonts w:cs="Arial"/>
          <w:sz w:val="22"/>
          <w:szCs w:val="22"/>
        </w:rPr>
        <w:t xml:space="preserve"> advancements in drug testing technologies </w:t>
      </w:r>
      <w:r w:rsidRPr="00D1227B" w:rsidR="00F80750">
        <w:rPr>
          <w:rFonts w:cs="Arial"/>
          <w:sz w:val="22"/>
          <w:szCs w:val="22"/>
        </w:rPr>
        <w:t xml:space="preserve">established by the 2008 HHS Guidelines </w:t>
      </w:r>
      <w:r w:rsidRPr="00D1227B">
        <w:rPr>
          <w:rFonts w:cs="Arial"/>
          <w:sz w:val="22"/>
          <w:szCs w:val="22"/>
        </w:rPr>
        <w:t>to enhance</w:t>
      </w:r>
      <w:r>
        <w:rPr>
          <w:rFonts w:cs="Arial"/>
          <w:sz w:val="22"/>
          <w:szCs w:val="22"/>
        </w:rPr>
        <w:t xml:space="preserve"> </w:t>
      </w:r>
      <w:r w:rsidRPr="005A5966">
        <w:rPr>
          <w:rFonts w:cs="Arial"/>
          <w:sz w:val="22"/>
          <w:szCs w:val="22"/>
        </w:rPr>
        <w:t xml:space="preserve">the detection of drug use within the Federal </w:t>
      </w:r>
      <w:r>
        <w:rPr>
          <w:rFonts w:cs="Arial"/>
          <w:sz w:val="22"/>
          <w:szCs w:val="22"/>
        </w:rPr>
        <w:t xml:space="preserve">employee </w:t>
      </w:r>
      <w:r w:rsidRPr="005A5966">
        <w:rPr>
          <w:rFonts w:cs="Arial"/>
          <w:sz w:val="22"/>
          <w:szCs w:val="22"/>
        </w:rPr>
        <w:t xml:space="preserve">workplace.  </w:t>
      </w:r>
      <w:r w:rsidR="007B0F71">
        <w:rPr>
          <w:rFonts w:cs="Arial"/>
          <w:sz w:val="22"/>
          <w:szCs w:val="22"/>
        </w:rPr>
        <w:t>The NRC did not incorporate t</w:t>
      </w:r>
      <w:r w:rsidRPr="005A5966">
        <w:rPr>
          <w:rFonts w:cs="Arial"/>
          <w:sz w:val="22"/>
          <w:szCs w:val="22"/>
        </w:rPr>
        <w:t>he</w:t>
      </w:r>
      <w:r>
        <w:rPr>
          <w:rFonts w:cs="Arial"/>
          <w:sz w:val="22"/>
          <w:szCs w:val="22"/>
        </w:rPr>
        <w:t xml:space="preserve">se revisions into the </w:t>
      </w:r>
      <w:r w:rsidRPr="005A5966">
        <w:rPr>
          <w:rFonts w:cs="Arial"/>
          <w:sz w:val="22"/>
          <w:szCs w:val="22"/>
        </w:rPr>
        <w:t>2008</w:t>
      </w:r>
      <w:r>
        <w:rPr>
          <w:rFonts w:cs="Arial"/>
          <w:sz w:val="22"/>
          <w:szCs w:val="22"/>
        </w:rPr>
        <w:t xml:space="preserve"> FFD final rule (</w:t>
      </w:r>
      <w:r w:rsidR="001841EA">
        <w:rPr>
          <w:rFonts w:cs="Arial"/>
          <w:sz w:val="22"/>
          <w:szCs w:val="22"/>
        </w:rPr>
        <w:t>73 FR 16966; March 31</w:t>
      </w:r>
      <w:r w:rsidR="00646A79">
        <w:rPr>
          <w:rFonts w:cs="Arial"/>
          <w:sz w:val="22"/>
          <w:szCs w:val="22"/>
        </w:rPr>
        <w:t>,</w:t>
      </w:r>
      <w:r w:rsidR="001841EA">
        <w:rPr>
          <w:rFonts w:cs="Arial"/>
          <w:sz w:val="22"/>
          <w:szCs w:val="22"/>
        </w:rPr>
        <w:t xml:space="preserve"> 2008</w:t>
      </w:r>
      <w:r>
        <w:rPr>
          <w:rFonts w:cs="Arial"/>
          <w:sz w:val="22"/>
          <w:szCs w:val="22"/>
        </w:rPr>
        <w:t>)</w:t>
      </w:r>
      <w:r w:rsidR="00646A79">
        <w:rPr>
          <w:rFonts w:cs="Arial"/>
          <w:sz w:val="22"/>
          <w:szCs w:val="22"/>
        </w:rPr>
        <w:t>,</w:t>
      </w:r>
      <w:r>
        <w:rPr>
          <w:rFonts w:cs="Arial"/>
          <w:sz w:val="22"/>
          <w:szCs w:val="22"/>
        </w:rPr>
        <w:t xml:space="preserve"> which was published earlier</w:t>
      </w:r>
      <w:r w:rsidRPr="005A5966">
        <w:rPr>
          <w:rFonts w:cs="Arial"/>
          <w:sz w:val="22"/>
          <w:szCs w:val="22"/>
        </w:rPr>
        <w:t xml:space="preserve">.  </w:t>
      </w:r>
      <w:r w:rsidRPr="001B5F58">
        <w:rPr>
          <w:rFonts w:cs="Arial"/>
          <w:sz w:val="22"/>
          <w:szCs w:val="22"/>
        </w:rPr>
        <w:t>Therefore</w:t>
      </w:r>
      <w:r w:rsidR="00646A79">
        <w:rPr>
          <w:rFonts w:cs="Arial"/>
          <w:sz w:val="22"/>
          <w:szCs w:val="22"/>
        </w:rPr>
        <w:t>,</w:t>
      </w:r>
      <w:r w:rsidRPr="001B5F58">
        <w:rPr>
          <w:rFonts w:cs="Arial"/>
          <w:sz w:val="22"/>
          <w:szCs w:val="22"/>
        </w:rPr>
        <w:t xml:space="preserve"> the drug detection and deterrence provisions in </w:t>
      </w:r>
      <w:r>
        <w:rPr>
          <w:rFonts w:cs="Arial"/>
          <w:sz w:val="22"/>
          <w:szCs w:val="22"/>
        </w:rPr>
        <w:t>10 CFR Part </w:t>
      </w:r>
      <w:r w:rsidRPr="001B5F58">
        <w:rPr>
          <w:rFonts w:cs="Arial"/>
          <w:sz w:val="22"/>
          <w:szCs w:val="22"/>
        </w:rPr>
        <w:t>26 are not equivalent to th</w:t>
      </w:r>
      <w:r>
        <w:rPr>
          <w:rFonts w:cs="Arial"/>
          <w:sz w:val="22"/>
          <w:szCs w:val="22"/>
        </w:rPr>
        <w:t>ose in the 2008</w:t>
      </w:r>
      <w:r w:rsidR="0026236A">
        <w:rPr>
          <w:rFonts w:cs="Arial"/>
          <w:sz w:val="22"/>
          <w:szCs w:val="22"/>
        </w:rPr>
        <w:t xml:space="preserve"> and 2017</w:t>
      </w:r>
      <w:r>
        <w:rPr>
          <w:rFonts w:cs="Arial"/>
          <w:sz w:val="22"/>
          <w:szCs w:val="22"/>
        </w:rPr>
        <w:t xml:space="preserve"> </w:t>
      </w:r>
      <w:r w:rsidRPr="001B5F58">
        <w:rPr>
          <w:rFonts w:cs="Arial"/>
          <w:sz w:val="22"/>
          <w:szCs w:val="22"/>
        </w:rPr>
        <w:t>HHS Guidelines.</w:t>
      </w:r>
    </w:p>
    <w:p w:rsidR="00D520BD" w:rsidP="00D520BD" w:rsidRDefault="00D520BD" w14:paraId="19E0F364" w14:textId="239EE32D">
      <w:pPr>
        <w:rPr>
          <w:rFonts w:cs="Arial"/>
          <w:sz w:val="22"/>
          <w:szCs w:val="22"/>
        </w:rPr>
      </w:pPr>
    </w:p>
    <w:p w:rsidR="00D520BD" w:rsidP="00D520BD" w:rsidRDefault="00D520BD" w14:paraId="65E5F514" w14:textId="631A254A">
      <w:pPr>
        <w:rPr>
          <w:rFonts w:cs="Arial"/>
          <w:sz w:val="22"/>
          <w:szCs w:val="22"/>
        </w:rPr>
      </w:pPr>
      <w:r>
        <w:rPr>
          <w:rFonts w:cs="Arial"/>
          <w:sz w:val="22"/>
          <w:szCs w:val="22"/>
        </w:rPr>
        <w:t>Consequently</w:t>
      </w:r>
      <w:r w:rsidR="00646A79">
        <w:rPr>
          <w:rFonts w:cs="Arial"/>
          <w:sz w:val="22"/>
          <w:szCs w:val="22"/>
        </w:rPr>
        <w:t>,</w:t>
      </w:r>
      <w:r>
        <w:rPr>
          <w:rFonts w:cs="Arial"/>
          <w:sz w:val="22"/>
          <w:szCs w:val="22"/>
        </w:rPr>
        <w:t xml:space="preserve"> the 10 CFR Part 26 drug testing program does not conform with (1) the workplace drug testing programs implemented by more than 100 Federal </w:t>
      </w:r>
      <w:r>
        <w:rPr>
          <w:sz w:val="22"/>
          <w:szCs w:val="22"/>
        </w:rPr>
        <w:t>agencies</w:t>
      </w:r>
      <w:r>
        <w:rPr>
          <w:rStyle w:val="FootnoteReference"/>
          <w:sz w:val="22"/>
          <w:szCs w:val="22"/>
        </w:rPr>
        <w:footnoteReference w:id="8"/>
      </w:r>
      <w:r>
        <w:rPr>
          <w:rFonts w:cs="Arial"/>
          <w:sz w:val="22"/>
          <w:szCs w:val="22"/>
        </w:rPr>
        <w:t xml:space="preserve"> that test </w:t>
      </w:r>
      <w:r>
        <w:rPr>
          <w:rFonts w:cs="Arial"/>
          <w:sz w:val="22"/>
          <w:szCs w:val="22"/>
        </w:rPr>
        <w:lastRenderedPageBreak/>
        <w:t>Federal employees</w:t>
      </w:r>
      <w:r w:rsidR="00646A79">
        <w:rPr>
          <w:rFonts w:cs="Arial"/>
          <w:sz w:val="22"/>
          <w:szCs w:val="22"/>
        </w:rPr>
        <w:t>,</w:t>
      </w:r>
      <w:r>
        <w:rPr>
          <w:rFonts w:cs="Arial"/>
          <w:sz w:val="22"/>
          <w:szCs w:val="22"/>
        </w:rPr>
        <w:t xml:space="preserve"> (2) other Federal agency programs that drug test civilians </w:t>
      </w:r>
      <w:r w:rsidRPr="0086326D">
        <w:rPr>
          <w:sz w:val="22"/>
          <w:szCs w:val="22"/>
        </w:rPr>
        <w:t>such as those implemented by the DOT</w:t>
      </w:r>
      <w:r w:rsidR="004F1686">
        <w:rPr>
          <w:sz w:val="22"/>
          <w:szCs w:val="22"/>
        </w:rPr>
        <w:t>,</w:t>
      </w:r>
      <w:r>
        <w:rPr>
          <w:sz w:val="22"/>
          <w:szCs w:val="22"/>
        </w:rPr>
        <w:t xml:space="preserve"> </w:t>
      </w:r>
      <w:r w:rsidRPr="0086326D">
        <w:rPr>
          <w:sz w:val="22"/>
          <w:szCs w:val="22"/>
        </w:rPr>
        <w:t>U.S.</w:t>
      </w:r>
      <w:r>
        <w:rPr>
          <w:sz w:val="22"/>
          <w:szCs w:val="22"/>
        </w:rPr>
        <w:t> </w:t>
      </w:r>
      <w:r w:rsidRPr="0086326D">
        <w:rPr>
          <w:sz w:val="22"/>
          <w:szCs w:val="22"/>
        </w:rPr>
        <w:t>Department of Energy</w:t>
      </w:r>
      <w:r w:rsidR="00646A79">
        <w:rPr>
          <w:sz w:val="22"/>
          <w:szCs w:val="22"/>
        </w:rPr>
        <w:t>,</w:t>
      </w:r>
      <w:r w:rsidRPr="0086326D">
        <w:rPr>
          <w:sz w:val="22"/>
          <w:szCs w:val="22"/>
        </w:rPr>
        <w:t xml:space="preserve"> U.S.</w:t>
      </w:r>
      <w:r>
        <w:rPr>
          <w:sz w:val="22"/>
          <w:szCs w:val="22"/>
        </w:rPr>
        <w:t> </w:t>
      </w:r>
      <w:r w:rsidRPr="0086326D">
        <w:rPr>
          <w:sz w:val="22"/>
          <w:szCs w:val="22"/>
        </w:rPr>
        <w:t>Department of Defense</w:t>
      </w:r>
      <w:r w:rsidR="00646A79">
        <w:rPr>
          <w:sz w:val="22"/>
          <w:szCs w:val="22"/>
        </w:rPr>
        <w:t>,</w:t>
      </w:r>
      <w:r w:rsidRPr="0086326D">
        <w:rPr>
          <w:sz w:val="22"/>
          <w:szCs w:val="22"/>
        </w:rPr>
        <w:t xml:space="preserve"> </w:t>
      </w:r>
      <w:r>
        <w:rPr>
          <w:sz w:val="22"/>
          <w:szCs w:val="22"/>
        </w:rPr>
        <w:t xml:space="preserve">and </w:t>
      </w:r>
      <w:r w:rsidRPr="0086326D">
        <w:rPr>
          <w:sz w:val="22"/>
          <w:szCs w:val="22"/>
        </w:rPr>
        <w:t>U.S.</w:t>
      </w:r>
      <w:r>
        <w:rPr>
          <w:sz w:val="22"/>
          <w:szCs w:val="22"/>
        </w:rPr>
        <w:t> </w:t>
      </w:r>
      <w:r w:rsidRPr="0086326D">
        <w:rPr>
          <w:sz w:val="22"/>
          <w:szCs w:val="22"/>
        </w:rPr>
        <w:t>Department of Homeland Security</w:t>
      </w:r>
      <w:r w:rsidR="00646A79">
        <w:rPr>
          <w:sz w:val="22"/>
          <w:szCs w:val="22"/>
        </w:rPr>
        <w:t>,</w:t>
      </w:r>
      <w:r>
        <w:rPr>
          <w:sz w:val="22"/>
          <w:szCs w:val="22"/>
        </w:rPr>
        <w:t xml:space="preserve"> and (3) programs run by </w:t>
      </w:r>
      <w:r>
        <w:rPr>
          <w:rFonts w:cs="Arial"/>
          <w:sz w:val="22"/>
          <w:szCs w:val="22"/>
        </w:rPr>
        <w:t xml:space="preserve">private entities that use the </w:t>
      </w:r>
      <w:r w:rsidR="0026236A">
        <w:rPr>
          <w:rFonts w:cs="Arial"/>
          <w:sz w:val="22"/>
          <w:szCs w:val="22"/>
        </w:rPr>
        <w:t>2017</w:t>
      </w:r>
      <w:r>
        <w:rPr>
          <w:rFonts w:cs="Arial"/>
          <w:sz w:val="22"/>
          <w:szCs w:val="22"/>
        </w:rPr>
        <w:t xml:space="preserve"> HHS Guidelines as a technical basis for their drug testing programs.  </w:t>
      </w:r>
      <w:r w:rsidRPr="0086326D">
        <w:rPr>
          <w:sz w:val="22"/>
          <w:szCs w:val="22"/>
        </w:rPr>
        <w:t xml:space="preserve">These </w:t>
      </w:r>
      <w:r>
        <w:rPr>
          <w:sz w:val="22"/>
          <w:szCs w:val="22"/>
        </w:rPr>
        <w:t xml:space="preserve">tested populations </w:t>
      </w:r>
      <w:r w:rsidRPr="0086326D">
        <w:rPr>
          <w:sz w:val="22"/>
          <w:szCs w:val="22"/>
        </w:rPr>
        <w:t>transport people</w:t>
      </w:r>
      <w:r w:rsidRPr="001B7DA4">
        <w:rPr>
          <w:sz w:val="22"/>
          <w:szCs w:val="22"/>
        </w:rPr>
        <w:t xml:space="preserve"> and hazardous materials</w:t>
      </w:r>
      <w:r>
        <w:rPr>
          <w:sz w:val="22"/>
          <w:szCs w:val="22"/>
        </w:rPr>
        <w:t xml:space="preserve"> (e.g.</w:t>
      </w:r>
      <w:r w:rsidR="00646A79">
        <w:rPr>
          <w:sz w:val="22"/>
          <w:szCs w:val="22"/>
        </w:rPr>
        <w:t>,</w:t>
      </w:r>
      <w:r>
        <w:rPr>
          <w:sz w:val="22"/>
          <w:szCs w:val="22"/>
        </w:rPr>
        <w:t xml:space="preserve"> motor carriers</w:t>
      </w:r>
      <w:r w:rsidR="00646A79">
        <w:rPr>
          <w:sz w:val="22"/>
          <w:szCs w:val="22"/>
        </w:rPr>
        <w:t>,</w:t>
      </w:r>
      <w:r>
        <w:rPr>
          <w:sz w:val="22"/>
          <w:szCs w:val="22"/>
        </w:rPr>
        <w:t xml:space="preserve"> aviation</w:t>
      </w:r>
      <w:r w:rsidR="00646A79">
        <w:rPr>
          <w:sz w:val="22"/>
          <w:szCs w:val="22"/>
        </w:rPr>
        <w:t>,</w:t>
      </w:r>
      <w:r>
        <w:rPr>
          <w:sz w:val="22"/>
          <w:szCs w:val="22"/>
        </w:rPr>
        <w:t xml:space="preserve"> railroad</w:t>
      </w:r>
      <w:r w:rsidR="00646A79">
        <w:rPr>
          <w:sz w:val="22"/>
          <w:szCs w:val="22"/>
        </w:rPr>
        <w:t>,</w:t>
      </w:r>
      <w:r>
        <w:rPr>
          <w:sz w:val="22"/>
          <w:szCs w:val="22"/>
        </w:rPr>
        <w:t xml:space="preserve"> public transit</w:t>
      </w:r>
      <w:r w:rsidR="00646A79">
        <w:rPr>
          <w:sz w:val="22"/>
          <w:szCs w:val="22"/>
        </w:rPr>
        <w:t>,</w:t>
      </w:r>
      <w:r>
        <w:rPr>
          <w:sz w:val="22"/>
          <w:szCs w:val="22"/>
        </w:rPr>
        <w:t xml:space="preserve"> and maritime workers)</w:t>
      </w:r>
      <w:r w:rsidRPr="009E1A11">
        <w:rPr>
          <w:sz w:val="22"/>
          <w:szCs w:val="22"/>
        </w:rPr>
        <w:t xml:space="preserve">; </w:t>
      </w:r>
      <w:r w:rsidRPr="00C00320">
        <w:rPr>
          <w:sz w:val="22"/>
          <w:szCs w:val="22"/>
        </w:rPr>
        <w:t>operate and maintain ou</w:t>
      </w:r>
      <w:r w:rsidRPr="00F33A7D">
        <w:rPr>
          <w:sz w:val="22"/>
          <w:szCs w:val="22"/>
        </w:rPr>
        <w:t>r Nation’s electrical</w:t>
      </w:r>
      <w:r w:rsidR="00646A79">
        <w:rPr>
          <w:sz w:val="22"/>
          <w:szCs w:val="22"/>
        </w:rPr>
        <w:t>,</w:t>
      </w:r>
      <w:r w:rsidRPr="00F33A7D">
        <w:rPr>
          <w:sz w:val="22"/>
          <w:szCs w:val="22"/>
        </w:rPr>
        <w:t xml:space="preserve"> </w:t>
      </w:r>
      <w:r>
        <w:rPr>
          <w:sz w:val="22"/>
          <w:szCs w:val="22"/>
        </w:rPr>
        <w:t xml:space="preserve">oil and gas </w:t>
      </w:r>
      <w:r w:rsidRPr="00F33A7D">
        <w:rPr>
          <w:sz w:val="22"/>
          <w:szCs w:val="22"/>
        </w:rPr>
        <w:t>pipeline</w:t>
      </w:r>
      <w:r w:rsidR="00646A79">
        <w:rPr>
          <w:sz w:val="22"/>
          <w:szCs w:val="22"/>
        </w:rPr>
        <w:t>,</w:t>
      </w:r>
      <w:r w:rsidRPr="00F33A7D">
        <w:rPr>
          <w:sz w:val="22"/>
          <w:szCs w:val="22"/>
        </w:rPr>
        <w:t xml:space="preserve"> and hydrodynamic infrastructure; protect property and national resources; and make decisions and ex</w:t>
      </w:r>
      <w:r w:rsidRPr="00F128C7">
        <w:rPr>
          <w:sz w:val="22"/>
          <w:szCs w:val="22"/>
        </w:rPr>
        <w:t>ecu</w:t>
      </w:r>
      <w:r w:rsidRPr="00C70D0D">
        <w:rPr>
          <w:sz w:val="22"/>
          <w:szCs w:val="22"/>
        </w:rPr>
        <w:t>te e</w:t>
      </w:r>
      <w:r w:rsidRPr="0086326D">
        <w:rPr>
          <w:sz w:val="22"/>
          <w:szCs w:val="22"/>
        </w:rPr>
        <w:t>mergency response plans that contribute to public health and safety or protection of the environment following a natural disaster or se</w:t>
      </w:r>
      <w:r>
        <w:rPr>
          <w:sz w:val="22"/>
          <w:szCs w:val="22"/>
        </w:rPr>
        <w:t>curity activity.</w:t>
      </w:r>
    </w:p>
    <w:p w:rsidR="00D520BD" w:rsidP="00D520BD" w:rsidRDefault="00D520BD" w14:paraId="41F7F17C" w14:textId="77777777">
      <w:pPr>
        <w:rPr>
          <w:rFonts w:cs="Arial"/>
          <w:sz w:val="22"/>
          <w:szCs w:val="22"/>
        </w:rPr>
      </w:pPr>
    </w:p>
    <w:p w:rsidRPr="00CD4D83" w:rsidR="00D520BD" w:rsidP="00D520BD" w:rsidRDefault="00D520BD" w14:paraId="5FF7E721" w14:textId="5EBB431E">
      <w:pPr>
        <w:rPr>
          <w:rFonts w:cs="Arial"/>
          <w:sz w:val="22"/>
          <w:szCs w:val="22"/>
        </w:rPr>
      </w:pPr>
      <w:r>
        <w:rPr>
          <w:rFonts w:cs="Arial"/>
          <w:sz w:val="22"/>
          <w:szCs w:val="22"/>
        </w:rPr>
        <w:t>Because some individuals seeking employment in or already working in the commercial nuclear workforce may use illegal drugs or misuse legal drugs</w:t>
      </w:r>
      <w:r w:rsidR="00646A79">
        <w:rPr>
          <w:rFonts w:cs="Arial"/>
          <w:sz w:val="22"/>
          <w:szCs w:val="22"/>
        </w:rPr>
        <w:t>,</w:t>
      </w:r>
      <w:r>
        <w:rPr>
          <w:rFonts w:cs="Arial"/>
          <w:sz w:val="22"/>
          <w:szCs w:val="22"/>
        </w:rPr>
        <w:t xml:space="preserve"> or both</w:t>
      </w:r>
      <w:r w:rsidR="00646A79">
        <w:rPr>
          <w:rFonts w:cs="Arial"/>
          <w:sz w:val="22"/>
          <w:szCs w:val="22"/>
        </w:rPr>
        <w:t>,</w:t>
      </w:r>
      <w:r>
        <w:rPr>
          <w:rFonts w:cs="Arial"/>
          <w:sz w:val="22"/>
          <w:szCs w:val="22"/>
        </w:rPr>
        <w:t xml:space="preserve"> this rule focuses on enhancing the identification of those individuals using illegal drugs whose potential impairment could result in u</w:t>
      </w:r>
      <w:r w:rsidRPr="00CA4D88">
        <w:rPr>
          <w:rFonts w:cs="Arial"/>
          <w:sz w:val="22"/>
          <w:szCs w:val="22"/>
        </w:rPr>
        <w:t xml:space="preserve">nsafe </w:t>
      </w:r>
      <w:r>
        <w:rPr>
          <w:rFonts w:cs="Arial"/>
          <w:sz w:val="22"/>
          <w:szCs w:val="22"/>
        </w:rPr>
        <w:t xml:space="preserve">or unsecure </w:t>
      </w:r>
      <w:r w:rsidRPr="00CA4D88">
        <w:rPr>
          <w:rFonts w:cs="Arial"/>
          <w:sz w:val="22"/>
          <w:szCs w:val="22"/>
        </w:rPr>
        <w:t xml:space="preserve">conditions at NRC-licensed facilities.  </w:t>
      </w:r>
      <w:r>
        <w:rPr>
          <w:rFonts w:cs="Arial"/>
          <w:sz w:val="22"/>
          <w:szCs w:val="22"/>
        </w:rPr>
        <w:t>Granting or maintaining access authorizatio</w:t>
      </w:r>
      <w:r w:rsidRPr="000B3622">
        <w:rPr>
          <w:rFonts w:cs="Arial"/>
          <w:sz w:val="22"/>
          <w:szCs w:val="22"/>
        </w:rPr>
        <w:t>n</w:t>
      </w:r>
      <w:r>
        <w:rPr>
          <w:rFonts w:cs="Arial"/>
          <w:sz w:val="22"/>
          <w:szCs w:val="22"/>
        </w:rPr>
        <w:t xml:space="preserve"> </w:t>
      </w:r>
      <w:r w:rsidRPr="000B3622">
        <w:rPr>
          <w:rFonts w:cs="Arial"/>
          <w:sz w:val="22"/>
          <w:szCs w:val="22"/>
        </w:rPr>
        <w:t xml:space="preserve">to these individuals </w:t>
      </w:r>
      <w:r w:rsidRPr="00BC1695">
        <w:rPr>
          <w:rFonts w:cs="Arial"/>
          <w:sz w:val="22"/>
          <w:szCs w:val="22"/>
        </w:rPr>
        <w:t xml:space="preserve">represents a </w:t>
      </w:r>
      <w:r w:rsidRPr="00B65263">
        <w:rPr>
          <w:rFonts w:cs="Arial"/>
          <w:sz w:val="22"/>
          <w:szCs w:val="22"/>
        </w:rPr>
        <w:t>safety vulnerability because</w:t>
      </w:r>
      <w:r w:rsidRPr="000B3622">
        <w:rPr>
          <w:rFonts w:cs="Arial"/>
          <w:sz w:val="22"/>
          <w:szCs w:val="22"/>
        </w:rPr>
        <w:t xml:space="preserve"> </w:t>
      </w:r>
      <w:r w:rsidRPr="00CA4D88">
        <w:rPr>
          <w:sz w:val="22"/>
          <w:szCs w:val="22"/>
        </w:rPr>
        <w:t>drug-induced impairment may cause or contribute to human performance errors t</w:t>
      </w:r>
      <w:r w:rsidRPr="005A5966">
        <w:rPr>
          <w:sz w:val="22"/>
          <w:szCs w:val="22"/>
        </w:rPr>
        <w:t xml:space="preserve">hat </w:t>
      </w:r>
      <w:r>
        <w:rPr>
          <w:sz w:val="22"/>
          <w:szCs w:val="22"/>
        </w:rPr>
        <w:t>may</w:t>
      </w:r>
      <w:r w:rsidRPr="005A5966">
        <w:rPr>
          <w:sz w:val="22"/>
          <w:szCs w:val="22"/>
        </w:rPr>
        <w:t xml:space="preserve"> result in </w:t>
      </w:r>
      <w:r>
        <w:rPr>
          <w:sz w:val="22"/>
          <w:szCs w:val="22"/>
        </w:rPr>
        <w:t xml:space="preserve">unplanned occupational exposure; </w:t>
      </w:r>
      <w:r w:rsidRPr="005A5966">
        <w:rPr>
          <w:sz w:val="22"/>
          <w:szCs w:val="22"/>
        </w:rPr>
        <w:t>personal safety issues</w:t>
      </w:r>
      <w:r>
        <w:rPr>
          <w:sz w:val="22"/>
          <w:szCs w:val="22"/>
        </w:rPr>
        <w:t>;</w:t>
      </w:r>
      <w:r w:rsidRPr="005A5966">
        <w:rPr>
          <w:sz w:val="22"/>
          <w:szCs w:val="22"/>
        </w:rPr>
        <w:t xml:space="preserve"> unplanned radiological releases</w:t>
      </w:r>
      <w:r>
        <w:rPr>
          <w:sz w:val="22"/>
          <w:szCs w:val="22"/>
        </w:rPr>
        <w:t>;</w:t>
      </w:r>
      <w:r w:rsidRPr="005A5966">
        <w:rPr>
          <w:sz w:val="22"/>
          <w:szCs w:val="22"/>
        </w:rPr>
        <w:t xml:space="preserve"> or improper operation</w:t>
      </w:r>
      <w:r w:rsidR="00646A79">
        <w:rPr>
          <w:sz w:val="22"/>
          <w:szCs w:val="22"/>
        </w:rPr>
        <w:t>,</w:t>
      </w:r>
      <w:r w:rsidRPr="005A5966">
        <w:rPr>
          <w:sz w:val="22"/>
          <w:szCs w:val="22"/>
        </w:rPr>
        <w:t xml:space="preserve"> maintenance</w:t>
      </w:r>
      <w:r w:rsidR="00646A79">
        <w:rPr>
          <w:sz w:val="22"/>
          <w:szCs w:val="22"/>
        </w:rPr>
        <w:t>,</w:t>
      </w:r>
      <w:r w:rsidRPr="005A5966">
        <w:rPr>
          <w:sz w:val="22"/>
          <w:szCs w:val="22"/>
        </w:rPr>
        <w:t xml:space="preserve"> or surveillance of safety- </w:t>
      </w:r>
      <w:r w:rsidRPr="00F842AD">
        <w:rPr>
          <w:sz w:val="22"/>
          <w:szCs w:val="22"/>
        </w:rPr>
        <w:t>or security-related structures</w:t>
      </w:r>
      <w:r w:rsidR="00646A79">
        <w:rPr>
          <w:sz w:val="22"/>
          <w:szCs w:val="22"/>
        </w:rPr>
        <w:t>,</w:t>
      </w:r>
      <w:r w:rsidRPr="005A5966">
        <w:rPr>
          <w:sz w:val="22"/>
          <w:szCs w:val="22"/>
        </w:rPr>
        <w:t xml:space="preserve"> systems</w:t>
      </w:r>
      <w:r w:rsidR="00646A79">
        <w:rPr>
          <w:sz w:val="22"/>
          <w:szCs w:val="22"/>
        </w:rPr>
        <w:t>,</w:t>
      </w:r>
      <w:r w:rsidRPr="005A5966">
        <w:rPr>
          <w:sz w:val="22"/>
          <w:szCs w:val="22"/>
        </w:rPr>
        <w:t xml:space="preserve"> or components </w:t>
      </w:r>
      <w:r>
        <w:rPr>
          <w:sz w:val="22"/>
          <w:szCs w:val="22"/>
        </w:rPr>
        <w:t>(</w:t>
      </w:r>
      <w:r w:rsidRPr="005A5966">
        <w:rPr>
          <w:sz w:val="22"/>
          <w:szCs w:val="22"/>
        </w:rPr>
        <w:t>SSCs</w:t>
      </w:r>
      <w:r>
        <w:rPr>
          <w:sz w:val="22"/>
          <w:szCs w:val="22"/>
        </w:rPr>
        <w:t>)</w:t>
      </w:r>
      <w:r w:rsidRPr="005A5966">
        <w:rPr>
          <w:sz w:val="22"/>
          <w:szCs w:val="22"/>
        </w:rPr>
        <w:t>.</w:t>
      </w:r>
      <w:r w:rsidRPr="00CE5FCC">
        <w:rPr>
          <w:sz w:val="22"/>
          <w:szCs w:val="22"/>
        </w:rPr>
        <w:t xml:space="preserve"> </w:t>
      </w:r>
      <w:r>
        <w:rPr>
          <w:sz w:val="22"/>
          <w:szCs w:val="22"/>
        </w:rPr>
        <w:t xml:space="preserve"> Additionally</w:t>
      </w:r>
      <w:r w:rsidR="00646A79">
        <w:rPr>
          <w:sz w:val="22"/>
          <w:szCs w:val="22"/>
        </w:rPr>
        <w:t>,</w:t>
      </w:r>
      <w:r>
        <w:rPr>
          <w:sz w:val="22"/>
          <w:szCs w:val="22"/>
        </w:rPr>
        <w:t xml:space="preserve"> granting or maintaining unescorted access authorization to these individuals also presents a </w:t>
      </w:r>
      <w:r w:rsidRPr="00B65263">
        <w:rPr>
          <w:sz w:val="22"/>
          <w:szCs w:val="22"/>
        </w:rPr>
        <w:t>security vulnerability</w:t>
      </w:r>
      <w:r>
        <w:rPr>
          <w:sz w:val="22"/>
          <w:szCs w:val="22"/>
        </w:rPr>
        <w:t xml:space="preserve"> because the use of illegal drugs</w:t>
      </w:r>
      <w:r w:rsidR="00646A79">
        <w:rPr>
          <w:sz w:val="22"/>
          <w:szCs w:val="22"/>
        </w:rPr>
        <w:t>,</w:t>
      </w:r>
      <w:r>
        <w:rPr>
          <w:sz w:val="22"/>
          <w:szCs w:val="22"/>
        </w:rPr>
        <w:t xml:space="preserve"> misuse of legal drugs</w:t>
      </w:r>
      <w:r w:rsidR="00646A79">
        <w:rPr>
          <w:sz w:val="22"/>
          <w:szCs w:val="22"/>
        </w:rPr>
        <w:t>,</w:t>
      </w:r>
      <w:r>
        <w:rPr>
          <w:sz w:val="22"/>
          <w:szCs w:val="22"/>
        </w:rPr>
        <w:t xml:space="preserve"> and subversion of the 10 CFR Part 26 drug testing program are indicators that an individual is not trustworthy and reliable.  An individual exhibiting these characteristics cannot be granted unescorted access authorization</w:t>
      </w:r>
      <w:r>
        <w:rPr>
          <w:rStyle w:val="FootnoteReference"/>
          <w:sz w:val="22"/>
          <w:szCs w:val="22"/>
        </w:rPr>
        <w:footnoteReference w:id="9"/>
      </w:r>
      <w:r>
        <w:rPr>
          <w:sz w:val="22"/>
          <w:szCs w:val="22"/>
        </w:rPr>
        <w:t xml:space="preserve"> (either physically or electronically) because </w:t>
      </w:r>
      <w:r w:rsidR="00C16268">
        <w:rPr>
          <w:sz w:val="22"/>
          <w:szCs w:val="22"/>
        </w:rPr>
        <w:t>granting access</w:t>
      </w:r>
      <w:r>
        <w:rPr>
          <w:sz w:val="22"/>
          <w:szCs w:val="22"/>
        </w:rPr>
        <w:t xml:space="preserve"> challenge</w:t>
      </w:r>
      <w:r w:rsidR="00C16268">
        <w:rPr>
          <w:sz w:val="22"/>
          <w:szCs w:val="22"/>
        </w:rPr>
        <w:t>s</w:t>
      </w:r>
      <w:r>
        <w:rPr>
          <w:sz w:val="22"/>
          <w:szCs w:val="22"/>
        </w:rPr>
        <w:t xml:space="preserve"> the defense</w:t>
      </w:r>
      <w:r w:rsidR="00BF58BE">
        <w:rPr>
          <w:sz w:val="22"/>
          <w:szCs w:val="22"/>
        </w:rPr>
        <w:t xml:space="preserve"> </w:t>
      </w:r>
      <w:r>
        <w:rPr>
          <w:sz w:val="22"/>
          <w:szCs w:val="22"/>
        </w:rPr>
        <w:t>in</w:t>
      </w:r>
      <w:r w:rsidR="00BF58BE">
        <w:rPr>
          <w:sz w:val="22"/>
          <w:szCs w:val="22"/>
        </w:rPr>
        <w:t xml:space="preserve"> </w:t>
      </w:r>
      <w:r>
        <w:rPr>
          <w:sz w:val="22"/>
          <w:szCs w:val="22"/>
        </w:rPr>
        <w:t>depth afforded by the FFD authorization requirements in 10 CFR Part 26 and access authorization requirements in 10 CFR Part 73</w:t>
      </w:r>
      <w:r w:rsidR="00646A79">
        <w:rPr>
          <w:rFonts w:cs="Arial"/>
          <w:sz w:val="22"/>
          <w:szCs w:val="22"/>
        </w:rPr>
        <w:t>,</w:t>
      </w:r>
      <w:r>
        <w:rPr>
          <w:rFonts w:cs="Arial"/>
          <w:sz w:val="22"/>
          <w:szCs w:val="22"/>
        </w:rPr>
        <w:t xml:space="preserve"> </w:t>
      </w:r>
      <w:r w:rsidR="00646A79">
        <w:rPr>
          <w:rFonts w:cs="Arial"/>
          <w:sz w:val="22"/>
          <w:szCs w:val="22"/>
        </w:rPr>
        <w:t>“</w:t>
      </w:r>
      <w:r>
        <w:rPr>
          <w:rFonts w:cs="Arial"/>
          <w:sz w:val="22"/>
          <w:szCs w:val="22"/>
        </w:rPr>
        <w:t xml:space="preserve">Physical </w:t>
      </w:r>
      <w:r w:rsidR="00B13160">
        <w:rPr>
          <w:rFonts w:cs="Arial"/>
          <w:sz w:val="22"/>
          <w:szCs w:val="22"/>
        </w:rPr>
        <w:t>p</w:t>
      </w:r>
      <w:r>
        <w:rPr>
          <w:rFonts w:cs="Arial"/>
          <w:sz w:val="22"/>
          <w:szCs w:val="22"/>
        </w:rPr>
        <w:t xml:space="preserve">rotection of </w:t>
      </w:r>
      <w:r w:rsidR="00B13160">
        <w:rPr>
          <w:rFonts w:cs="Arial"/>
          <w:sz w:val="22"/>
          <w:szCs w:val="22"/>
        </w:rPr>
        <w:t>p</w:t>
      </w:r>
      <w:r>
        <w:rPr>
          <w:rFonts w:cs="Arial"/>
          <w:sz w:val="22"/>
          <w:szCs w:val="22"/>
        </w:rPr>
        <w:t xml:space="preserve">lants and </w:t>
      </w:r>
      <w:r w:rsidR="00B13160">
        <w:rPr>
          <w:rFonts w:cs="Arial"/>
          <w:sz w:val="22"/>
          <w:szCs w:val="22"/>
        </w:rPr>
        <w:t>m</w:t>
      </w:r>
      <w:r>
        <w:rPr>
          <w:rFonts w:cs="Arial"/>
          <w:sz w:val="22"/>
          <w:szCs w:val="22"/>
        </w:rPr>
        <w:t>aterials</w:t>
      </w:r>
      <w:r w:rsidR="00773487">
        <w:rPr>
          <w:rFonts w:cs="Arial"/>
          <w:sz w:val="22"/>
          <w:szCs w:val="22"/>
        </w:rPr>
        <w:t>.</w:t>
      </w:r>
      <w:r w:rsidR="00646A79">
        <w:rPr>
          <w:sz w:val="22"/>
          <w:szCs w:val="22"/>
        </w:rPr>
        <w:t>”</w:t>
      </w:r>
    </w:p>
    <w:p w:rsidRPr="00304546" w:rsidR="00D520BD" w:rsidP="00D520BD" w:rsidRDefault="00D520BD" w14:paraId="446AC8F6" w14:textId="0E9E034E">
      <w:pPr>
        <w:rPr>
          <w:rFonts w:cs="Arial"/>
          <w:sz w:val="22"/>
          <w:szCs w:val="22"/>
        </w:rPr>
      </w:pPr>
    </w:p>
    <w:p w:rsidR="00D520BD" w:rsidP="00D520BD" w:rsidRDefault="00D520BD" w14:paraId="4FAC5564" w14:textId="2275BAFD">
      <w:pPr>
        <w:rPr>
          <w:rFonts w:cs="Arial"/>
          <w:sz w:val="22"/>
          <w:szCs w:val="22"/>
        </w:rPr>
      </w:pPr>
      <w:r>
        <w:rPr>
          <w:rFonts w:cs="Arial"/>
          <w:sz w:val="22"/>
          <w:szCs w:val="22"/>
        </w:rPr>
        <w:t>T</w:t>
      </w:r>
      <w:r w:rsidRPr="00447449">
        <w:rPr>
          <w:rFonts w:cs="Arial"/>
          <w:sz w:val="22"/>
          <w:szCs w:val="22"/>
        </w:rPr>
        <w:t xml:space="preserve">he </w:t>
      </w:r>
      <w:r>
        <w:rPr>
          <w:rFonts w:cs="Arial"/>
          <w:sz w:val="22"/>
          <w:szCs w:val="22"/>
        </w:rPr>
        <w:t xml:space="preserve">first </w:t>
      </w:r>
      <w:r w:rsidRPr="000B3622">
        <w:rPr>
          <w:rFonts w:cs="Arial"/>
          <w:sz w:val="22"/>
          <w:szCs w:val="22"/>
        </w:rPr>
        <w:t xml:space="preserve">objective of this rulemaking </w:t>
      </w:r>
      <w:r>
        <w:rPr>
          <w:rFonts w:cs="Arial"/>
          <w:sz w:val="22"/>
          <w:szCs w:val="22"/>
        </w:rPr>
        <w:t>is to</w:t>
      </w:r>
      <w:r w:rsidRPr="000B3622">
        <w:rPr>
          <w:rFonts w:cs="Arial"/>
          <w:sz w:val="22"/>
          <w:szCs w:val="22"/>
        </w:rPr>
        <w:t xml:space="preserve"> </w:t>
      </w:r>
      <w:r>
        <w:rPr>
          <w:rFonts w:cs="Arial"/>
          <w:sz w:val="22"/>
          <w:szCs w:val="22"/>
        </w:rPr>
        <w:t>maintain reasonable assurance of a drug</w:t>
      </w:r>
      <w:r>
        <w:rPr>
          <w:rFonts w:cs="Arial"/>
          <w:sz w:val="22"/>
          <w:szCs w:val="22"/>
        </w:rPr>
        <w:noBreakHyphen/>
        <w:t>free workplace at licensee facilities through the enhanced detection of individuals who are not fit for duty because of illegal drug use</w:t>
      </w:r>
      <w:r w:rsidR="00646A79">
        <w:rPr>
          <w:rFonts w:cs="Arial"/>
          <w:sz w:val="22"/>
          <w:szCs w:val="22"/>
        </w:rPr>
        <w:t>,</w:t>
      </w:r>
      <w:r>
        <w:rPr>
          <w:rFonts w:cs="Arial"/>
          <w:sz w:val="22"/>
          <w:szCs w:val="22"/>
        </w:rPr>
        <w:t xml:space="preserve"> legal drug misuse</w:t>
      </w:r>
      <w:r w:rsidR="00646A79">
        <w:rPr>
          <w:rFonts w:cs="Arial"/>
          <w:sz w:val="22"/>
          <w:szCs w:val="22"/>
        </w:rPr>
        <w:t>,</w:t>
      </w:r>
      <w:r>
        <w:rPr>
          <w:rFonts w:cs="Arial"/>
          <w:sz w:val="22"/>
          <w:szCs w:val="22"/>
        </w:rPr>
        <w:t xml:space="preserve"> or attempt</w:t>
      </w:r>
      <w:r w:rsidR="00D46614">
        <w:rPr>
          <w:rFonts w:cs="Arial"/>
          <w:sz w:val="22"/>
          <w:szCs w:val="22"/>
        </w:rPr>
        <w:t>s</w:t>
      </w:r>
      <w:r>
        <w:rPr>
          <w:rFonts w:cs="Arial"/>
          <w:sz w:val="22"/>
          <w:szCs w:val="22"/>
        </w:rPr>
        <w:t xml:space="preserve"> to subvert the drug testing process.  Enhancing the detection of additional individuals using drugs also includes strengthening the methods used to identify </w:t>
      </w:r>
      <w:r w:rsidRPr="000B3622">
        <w:rPr>
          <w:rFonts w:cs="Arial"/>
          <w:sz w:val="22"/>
          <w:szCs w:val="22"/>
        </w:rPr>
        <w:t>individuals attempting to subvert the drug testing process</w:t>
      </w:r>
      <w:r w:rsidR="00646A79">
        <w:rPr>
          <w:rFonts w:cs="Arial"/>
          <w:sz w:val="22"/>
          <w:szCs w:val="22"/>
        </w:rPr>
        <w:t>,</w:t>
      </w:r>
      <w:r>
        <w:rPr>
          <w:rFonts w:cs="Arial"/>
          <w:sz w:val="22"/>
          <w:szCs w:val="22"/>
        </w:rPr>
        <w:t xml:space="preserve"> which is a lesson learned from implementing the current 10 CFR Part 26 rule</w:t>
      </w:r>
      <w:r w:rsidRPr="000B3622">
        <w:rPr>
          <w:rFonts w:cs="Arial"/>
          <w:sz w:val="22"/>
          <w:szCs w:val="22"/>
        </w:rPr>
        <w:t>.</w:t>
      </w:r>
    </w:p>
    <w:p w:rsidR="00D520BD" w:rsidP="00D520BD" w:rsidRDefault="00D520BD" w14:paraId="2154B6DF" w14:textId="77777777">
      <w:pPr>
        <w:rPr>
          <w:rFonts w:cs="Arial"/>
          <w:sz w:val="22"/>
          <w:szCs w:val="22"/>
        </w:rPr>
      </w:pPr>
    </w:p>
    <w:p w:rsidR="00D520BD" w:rsidP="00D520BD" w:rsidRDefault="00D520BD" w14:paraId="49F83ECF" w14:textId="510AB043">
      <w:pPr>
        <w:rPr>
          <w:rFonts w:cs="Arial"/>
          <w:sz w:val="22"/>
          <w:szCs w:val="22"/>
        </w:rPr>
      </w:pPr>
      <w:r>
        <w:rPr>
          <w:rFonts w:cs="Arial"/>
          <w:sz w:val="22"/>
          <w:szCs w:val="22"/>
        </w:rPr>
        <w:t xml:space="preserve">The second objective of this rulemaking is to </w:t>
      </w:r>
      <w:r w:rsidRPr="00D258BD">
        <w:rPr>
          <w:rFonts w:cs="Arial"/>
          <w:sz w:val="22"/>
          <w:szCs w:val="22"/>
        </w:rPr>
        <w:t>harmoniz</w:t>
      </w:r>
      <w:r>
        <w:rPr>
          <w:rFonts w:cs="Arial"/>
          <w:sz w:val="22"/>
          <w:szCs w:val="22"/>
        </w:rPr>
        <w:t xml:space="preserve">e select drug </w:t>
      </w:r>
      <w:r w:rsidRPr="00D258BD">
        <w:rPr>
          <w:rFonts w:cs="Arial"/>
          <w:sz w:val="22"/>
          <w:szCs w:val="22"/>
        </w:rPr>
        <w:t>te</w:t>
      </w:r>
      <w:r>
        <w:rPr>
          <w:rFonts w:cs="Arial"/>
          <w:sz w:val="22"/>
          <w:szCs w:val="22"/>
        </w:rPr>
        <w:t>sting requirements under 10 CFR </w:t>
      </w:r>
      <w:r w:rsidRPr="00D258BD">
        <w:rPr>
          <w:rFonts w:cs="Arial"/>
          <w:sz w:val="22"/>
          <w:szCs w:val="22"/>
        </w:rPr>
        <w:t>Part</w:t>
      </w:r>
      <w:r>
        <w:rPr>
          <w:rFonts w:cs="Arial"/>
          <w:sz w:val="22"/>
          <w:szCs w:val="22"/>
        </w:rPr>
        <w:t> </w:t>
      </w:r>
      <w:r w:rsidRPr="00D258BD">
        <w:rPr>
          <w:rFonts w:cs="Arial"/>
          <w:sz w:val="22"/>
          <w:szCs w:val="22"/>
        </w:rPr>
        <w:t xml:space="preserve">26 with the </w:t>
      </w:r>
      <w:r w:rsidR="00EB0D61">
        <w:rPr>
          <w:rFonts w:cs="Arial"/>
          <w:sz w:val="22"/>
          <w:szCs w:val="22"/>
        </w:rPr>
        <w:t xml:space="preserve">2008 and </w:t>
      </w:r>
      <w:r w:rsidRPr="00D258BD">
        <w:rPr>
          <w:rFonts w:cs="Arial"/>
          <w:sz w:val="22"/>
          <w:szCs w:val="22"/>
        </w:rPr>
        <w:t>20</w:t>
      </w:r>
      <w:r w:rsidR="001729D4">
        <w:rPr>
          <w:rFonts w:cs="Arial"/>
          <w:sz w:val="22"/>
          <w:szCs w:val="22"/>
        </w:rPr>
        <w:t>17</w:t>
      </w:r>
      <w:r w:rsidRPr="00D258BD">
        <w:rPr>
          <w:rFonts w:cs="Arial"/>
          <w:sz w:val="22"/>
          <w:szCs w:val="22"/>
        </w:rPr>
        <w:t xml:space="preserve"> HHS Guidelines</w:t>
      </w:r>
      <w:r>
        <w:rPr>
          <w:rFonts w:cs="Arial"/>
          <w:sz w:val="22"/>
          <w:szCs w:val="22"/>
        </w:rPr>
        <w:t>.  Updating 10 CFR Part 26 with the testing improvements in the HHS Guidelines align</w:t>
      </w:r>
      <w:r w:rsidR="00C16268">
        <w:rPr>
          <w:rFonts w:cs="Arial"/>
          <w:sz w:val="22"/>
          <w:szCs w:val="22"/>
        </w:rPr>
        <w:t>s</w:t>
      </w:r>
      <w:r>
        <w:rPr>
          <w:rFonts w:cs="Arial"/>
          <w:sz w:val="22"/>
          <w:szCs w:val="22"/>
        </w:rPr>
        <w:t xml:space="preserve"> the NRC’s FFD program with this</w:t>
      </w:r>
      <w:r w:rsidRPr="00AD2816">
        <w:rPr>
          <w:rFonts w:cs="Arial"/>
          <w:sz w:val="22"/>
          <w:szCs w:val="22"/>
        </w:rPr>
        <w:t xml:space="preserve"> national drug testing standard </w:t>
      </w:r>
      <w:r>
        <w:rPr>
          <w:rFonts w:cs="Arial"/>
          <w:sz w:val="22"/>
          <w:szCs w:val="22"/>
        </w:rPr>
        <w:t>and</w:t>
      </w:r>
      <w:r w:rsidR="009A0D68">
        <w:rPr>
          <w:rFonts w:cs="Arial"/>
          <w:sz w:val="22"/>
          <w:szCs w:val="22"/>
        </w:rPr>
        <w:t>,</w:t>
      </w:r>
      <w:r>
        <w:rPr>
          <w:rFonts w:cs="Arial"/>
          <w:sz w:val="22"/>
          <w:szCs w:val="22"/>
        </w:rPr>
        <w:t xml:space="preserve"> therefore</w:t>
      </w:r>
      <w:r w:rsidR="00646A79">
        <w:rPr>
          <w:rFonts w:cs="Arial"/>
          <w:sz w:val="22"/>
          <w:szCs w:val="22"/>
        </w:rPr>
        <w:t>,</w:t>
      </w:r>
      <w:r>
        <w:rPr>
          <w:rFonts w:eastAsia="Calibri" w:cs="Arial"/>
          <w:color w:val="000000"/>
          <w:sz w:val="22"/>
          <w:szCs w:val="22"/>
        </w:rPr>
        <w:t xml:space="preserve"> </w:t>
      </w:r>
      <w:r w:rsidR="001A1700">
        <w:rPr>
          <w:rFonts w:eastAsia="Calibri" w:cs="Arial"/>
          <w:color w:val="000000"/>
          <w:sz w:val="22"/>
          <w:szCs w:val="22"/>
        </w:rPr>
        <w:t>enhance</w:t>
      </w:r>
      <w:r w:rsidR="00C16268">
        <w:rPr>
          <w:rFonts w:eastAsia="Calibri" w:cs="Arial"/>
          <w:color w:val="000000"/>
          <w:sz w:val="22"/>
          <w:szCs w:val="22"/>
        </w:rPr>
        <w:t>s</w:t>
      </w:r>
      <w:r w:rsidR="001A1700">
        <w:rPr>
          <w:rFonts w:eastAsia="Calibri" w:cs="Arial"/>
          <w:color w:val="000000"/>
          <w:sz w:val="22"/>
          <w:szCs w:val="22"/>
        </w:rPr>
        <w:t xml:space="preserve"> licensees’</w:t>
      </w:r>
      <w:r>
        <w:rPr>
          <w:rFonts w:eastAsia="Calibri" w:cs="Arial"/>
          <w:color w:val="000000"/>
          <w:sz w:val="22"/>
          <w:szCs w:val="22"/>
        </w:rPr>
        <w:t xml:space="preserve"> ability to</w:t>
      </w:r>
      <w:r w:rsidRPr="00BC467A">
        <w:rPr>
          <w:rFonts w:eastAsia="Calibri"/>
          <w:color w:val="000000"/>
          <w:sz w:val="22"/>
        </w:rPr>
        <w:t xml:space="preserve"> </w:t>
      </w:r>
      <w:r>
        <w:rPr>
          <w:rFonts w:cs="Arial"/>
          <w:sz w:val="22"/>
          <w:szCs w:val="22"/>
        </w:rPr>
        <w:t xml:space="preserve">maintain reasonable assurance that the workplace is </w:t>
      </w:r>
      <w:r w:rsidRPr="00700C4D">
        <w:rPr>
          <w:rFonts w:cs="Arial"/>
          <w:sz w:val="22"/>
          <w:szCs w:val="22"/>
        </w:rPr>
        <w:t>free of drugs and the effects of such substances</w:t>
      </w:r>
      <w:r>
        <w:rPr>
          <w:rFonts w:cs="Arial"/>
          <w:sz w:val="22"/>
          <w:szCs w:val="22"/>
        </w:rPr>
        <w:t>.</w:t>
      </w:r>
    </w:p>
    <w:p w:rsidR="00D520BD" w:rsidP="00D520BD" w:rsidRDefault="00D520BD" w14:paraId="538E7512" w14:textId="77777777">
      <w:pPr>
        <w:rPr>
          <w:rFonts w:cs="Arial"/>
          <w:sz w:val="22"/>
          <w:szCs w:val="22"/>
        </w:rPr>
      </w:pPr>
    </w:p>
    <w:p w:rsidR="00D520BD" w:rsidP="00D520BD" w:rsidRDefault="00D520BD" w14:paraId="1B2E26A2" w14:textId="79337428">
      <w:pPr>
        <w:rPr>
          <w:sz w:val="22"/>
          <w:szCs w:val="22"/>
        </w:rPr>
      </w:pPr>
      <w:r w:rsidRPr="000B3622">
        <w:rPr>
          <w:rFonts w:cs="Arial"/>
          <w:sz w:val="22"/>
          <w:szCs w:val="22"/>
        </w:rPr>
        <w:t xml:space="preserve">The </w:t>
      </w:r>
      <w:r>
        <w:rPr>
          <w:rFonts w:cs="Arial"/>
          <w:sz w:val="22"/>
          <w:szCs w:val="22"/>
        </w:rPr>
        <w:t>third</w:t>
      </w:r>
      <w:r w:rsidRPr="000B3622">
        <w:rPr>
          <w:rFonts w:cs="Arial"/>
          <w:sz w:val="22"/>
          <w:szCs w:val="22"/>
        </w:rPr>
        <w:t xml:space="preserve"> objective</w:t>
      </w:r>
      <w:r>
        <w:rPr>
          <w:rFonts w:cs="Arial"/>
          <w:sz w:val="22"/>
          <w:szCs w:val="22"/>
        </w:rPr>
        <w:t xml:space="preserve"> is to enhance donor protection and due process requirements for individuals subject to drug testing by </w:t>
      </w:r>
      <w:r w:rsidRPr="00E53334">
        <w:rPr>
          <w:rFonts w:cs="Arial"/>
          <w:sz w:val="22"/>
          <w:szCs w:val="22"/>
        </w:rPr>
        <w:t>(1)</w:t>
      </w:r>
      <w:r>
        <w:rPr>
          <w:rFonts w:cs="Arial"/>
          <w:sz w:val="22"/>
          <w:szCs w:val="22"/>
        </w:rPr>
        <w:t> </w:t>
      </w:r>
      <w:r w:rsidRPr="00E53334">
        <w:rPr>
          <w:rFonts w:cs="Arial"/>
          <w:sz w:val="22"/>
          <w:szCs w:val="22"/>
        </w:rPr>
        <w:t>adding instructions for same</w:t>
      </w:r>
      <w:r w:rsidR="001A1700">
        <w:rPr>
          <w:rFonts w:cs="Arial"/>
          <w:sz w:val="22"/>
          <w:szCs w:val="22"/>
        </w:rPr>
        <w:t>-</w:t>
      </w:r>
      <w:r w:rsidRPr="00E53334">
        <w:rPr>
          <w:rFonts w:cs="Arial"/>
          <w:sz w:val="22"/>
          <w:szCs w:val="22"/>
        </w:rPr>
        <w:t>gender observers who perform</w:t>
      </w:r>
      <w:r>
        <w:rPr>
          <w:rFonts w:cs="Arial"/>
          <w:sz w:val="22"/>
          <w:szCs w:val="22"/>
        </w:rPr>
        <w:t xml:space="preserve"> an</w:t>
      </w:r>
      <w:r w:rsidRPr="00E53334">
        <w:rPr>
          <w:rFonts w:cs="Arial"/>
          <w:sz w:val="22"/>
          <w:szCs w:val="22"/>
        </w:rPr>
        <w:t xml:space="preserve"> observed collection</w:t>
      </w:r>
      <w:r>
        <w:rPr>
          <w:rFonts w:cs="Arial"/>
          <w:sz w:val="22"/>
          <w:szCs w:val="22"/>
        </w:rPr>
        <w:t xml:space="preserve"> when a trained collector of the same gender as the donor is not available</w:t>
      </w:r>
      <w:r w:rsidR="00646A79">
        <w:rPr>
          <w:rFonts w:cs="Arial"/>
          <w:sz w:val="22"/>
          <w:szCs w:val="22"/>
        </w:rPr>
        <w:t>,</w:t>
      </w:r>
      <w:r w:rsidRPr="00953CF5">
        <w:rPr>
          <w:rFonts w:cs="Arial"/>
          <w:sz w:val="22"/>
          <w:szCs w:val="22"/>
        </w:rPr>
        <w:t xml:space="preserve"> </w:t>
      </w:r>
      <w:r w:rsidRPr="00953CF5">
        <w:rPr>
          <w:rFonts w:cs="Arial"/>
          <w:sz w:val="22"/>
          <w:szCs w:val="22"/>
        </w:rPr>
        <w:lastRenderedPageBreak/>
        <w:t>(2)</w:t>
      </w:r>
      <w:r>
        <w:rPr>
          <w:rFonts w:cs="Arial"/>
          <w:sz w:val="22"/>
          <w:szCs w:val="22"/>
        </w:rPr>
        <w:t> </w:t>
      </w:r>
      <w:r w:rsidRPr="00953CF5">
        <w:rPr>
          <w:rFonts w:cs="Arial"/>
          <w:sz w:val="22"/>
          <w:szCs w:val="22"/>
        </w:rPr>
        <w:t xml:space="preserve">requiring the limit of quantitation </w:t>
      </w:r>
      <w:r w:rsidR="00E0046B">
        <w:rPr>
          <w:rFonts w:cs="Arial"/>
          <w:sz w:val="22"/>
          <w:szCs w:val="22"/>
        </w:rPr>
        <w:t>(LOQ)</w:t>
      </w:r>
      <w:r w:rsidR="002C3094">
        <w:rPr>
          <w:rStyle w:val="FootnoteReference"/>
          <w:rFonts w:cs="Arial"/>
          <w:sz w:val="22"/>
          <w:szCs w:val="22"/>
        </w:rPr>
        <w:footnoteReference w:id="10"/>
      </w:r>
      <w:r w:rsidR="00E0046B">
        <w:rPr>
          <w:rFonts w:cs="Arial"/>
          <w:sz w:val="22"/>
          <w:szCs w:val="22"/>
        </w:rPr>
        <w:t xml:space="preserve"> </w:t>
      </w:r>
      <w:r w:rsidRPr="00953CF5">
        <w:rPr>
          <w:rFonts w:cs="Arial"/>
          <w:sz w:val="22"/>
          <w:szCs w:val="22"/>
        </w:rPr>
        <w:t>for special analyses testing of drugs and testing for adulterants (an add</w:t>
      </w:r>
      <w:r>
        <w:rPr>
          <w:rFonts w:cs="Arial"/>
          <w:sz w:val="22"/>
          <w:szCs w:val="22"/>
        </w:rPr>
        <w:t>ed measure of testing accuracy)</w:t>
      </w:r>
      <w:r w:rsidR="00646A79">
        <w:rPr>
          <w:rFonts w:cs="Arial"/>
          <w:sz w:val="22"/>
          <w:szCs w:val="22"/>
        </w:rPr>
        <w:t>,</w:t>
      </w:r>
      <w:r w:rsidRPr="00953CF5">
        <w:rPr>
          <w:rFonts w:cs="Arial"/>
          <w:sz w:val="22"/>
          <w:szCs w:val="22"/>
        </w:rPr>
        <w:t xml:space="preserve"> (3)</w:t>
      </w:r>
      <w:r>
        <w:rPr>
          <w:rFonts w:cs="Arial"/>
          <w:sz w:val="22"/>
          <w:szCs w:val="22"/>
        </w:rPr>
        <w:t> </w:t>
      </w:r>
      <w:r w:rsidRPr="00953CF5">
        <w:rPr>
          <w:rFonts w:cs="Arial"/>
          <w:sz w:val="22"/>
          <w:szCs w:val="22"/>
        </w:rPr>
        <w:t xml:space="preserve">adding </w:t>
      </w:r>
      <w:r>
        <w:rPr>
          <w:rFonts w:cs="Arial"/>
          <w:sz w:val="22"/>
          <w:szCs w:val="22"/>
        </w:rPr>
        <w:t>a</w:t>
      </w:r>
      <w:r w:rsidR="00B12588">
        <w:rPr>
          <w:rFonts w:cs="Arial"/>
          <w:sz w:val="22"/>
          <w:szCs w:val="22"/>
        </w:rPr>
        <w:t>n</w:t>
      </w:r>
      <w:r>
        <w:rPr>
          <w:rFonts w:cs="Arial"/>
          <w:sz w:val="22"/>
          <w:szCs w:val="22"/>
        </w:rPr>
        <w:t xml:space="preserve"> </w:t>
      </w:r>
      <w:r w:rsidRPr="00953CF5">
        <w:rPr>
          <w:rFonts w:cs="Arial"/>
          <w:sz w:val="22"/>
          <w:szCs w:val="22"/>
        </w:rPr>
        <w:t>MRO review of invalid test results of high pH (9.0 to</w:t>
      </w:r>
      <w:r>
        <w:rPr>
          <w:rFonts w:cs="Arial"/>
          <w:sz w:val="22"/>
          <w:szCs w:val="22"/>
        </w:rPr>
        <w:t xml:space="preserve"> 9.5)</w:t>
      </w:r>
      <w:r w:rsidR="00646A79">
        <w:rPr>
          <w:rFonts w:cs="Arial"/>
          <w:sz w:val="22"/>
          <w:szCs w:val="22"/>
        </w:rPr>
        <w:t>,</w:t>
      </w:r>
      <w:r w:rsidRPr="00E53334">
        <w:rPr>
          <w:rFonts w:cs="Arial"/>
          <w:sz w:val="22"/>
          <w:szCs w:val="22"/>
        </w:rPr>
        <w:t xml:space="preserve"> and (4) </w:t>
      </w:r>
      <w:r w:rsidRPr="0098384C">
        <w:rPr>
          <w:sz w:val="22"/>
          <w:szCs w:val="22"/>
        </w:rPr>
        <w:t>requiring the MRO to document the date and time an oral request was received from a donor to initiate the retesting of a specimen.</w:t>
      </w:r>
    </w:p>
    <w:p w:rsidR="00D520BD" w:rsidP="00D520BD" w:rsidRDefault="00D520BD" w14:paraId="548CC854" w14:textId="77777777">
      <w:pPr>
        <w:rPr>
          <w:sz w:val="22"/>
          <w:szCs w:val="22"/>
        </w:rPr>
      </w:pPr>
    </w:p>
    <w:p w:rsidRPr="003943D7" w:rsidR="00D520BD" w:rsidP="00D520BD" w:rsidRDefault="00D520BD" w14:paraId="37EE1030" w14:textId="5503042E">
      <w:pPr>
        <w:rPr>
          <w:sz w:val="22"/>
          <w:szCs w:val="22"/>
        </w:rPr>
      </w:pPr>
      <w:r>
        <w:rPr>
          <w:rFonts w:cs="Arial"/>
          <w:sz w:val="22"/>
          <w:szCs w:val="22"/>
        </w:rPr>
        <w:t>In support of these three objectives</w:t>
      </w:r>
      <w:r w:rsidR="00646A79">
        <w:rPr>
          <w:rFonts w:cs="Arial"/>
          <w:sz w:val="22"/>
          <w:szCs w:val="22"/>
        </w:rPr>
        <w:t>,</w:t>
      </w:r>
      <w:r>
        <w:rPr>
          <w:rFonts w:cs="Arial"/>
          <w:sz w:val="22"/>
          <w:szCs w:val="22"/>
        </w:rPr>
        <w:t xml:space="preserve"> the </w:t>
      </w:r>
      <w:r w:rsidR="00A731D5">
        <w:rPr>
          <w:rFonts w:cs="Arial"/>
          <w:sz w:val="22"/>
          <w:szCs w:val="22"/>
        </w:rPr>
        <w:t xml:space="preserve">final </w:t>
      </w:r>
      <w:r>
        <w:rPr>
          <w:rFonts w:cs="Arial"/>
          <w:sz w:val="22"/>
          <w:szCs w:val="22"/>
        </w:rPr>
        <w:t>rule also improve</w:t>
      </w:r>
      <w:r w:rsidR="00A731D5">
        <w:rPr>
          <w:rFonts w:cs="Arial"/>
          <w:sz w:val="22"/>
          <w:szCs w:val="22"/>
        </w:rPr>
        <w:t>s</w:t>
      </w:r>
      <w:r w:rsidRPr="00415F7A">
        <w:rPr>
          <w:rFonts w:cs="Arial"/>
          <w:sz w:val="22"/>
          <w:szCs w:val="22"/>
        </w:rPr>
        <w:t xml:space="preserve"> the clarity</w:t>
      </w:r>
      <w:r w:rsidR="00646A79">
        <w:rPr>
          <w:rFonts w:cs="Arial"/>
          <w:sz w:val="22"/>
          <w:szCs w:val="22"/>
        </w:rPr>
        <w:t>,</w:t>
      </w:r>
      <w:r w:rsidRPr="00415F7A">
        <w:rPr>
          <w:rFonts w:cs="Arial"/>
          <w:sz w:val="22"/>
          <w:szCs w:val="22"/>
        </w:rPr>
        <w:t xml:space="preserve"> organization</w:t>
      </w:r>
      <w:r w:rsidR="00646A79">
        <w:rPr>
          <w:rFonts w:cs="Arial"/>
          <w:sz w:val="22"/>
          <w:szCs w:val="22"/>
        </w:rPr>
        <w:t>,</w:t>
      </w:r>
      <w:r w:rsidRPr="00415F7A">
        <w:rPr>
          <w:rFonts w:cs="Arial"/>
          <w:sz w:val="22"/>
          <w:szCs w:val="22"/>
        </w:rPr>
        <w:t xml:space="preserve"> and flexibility of </w:t>
      </w:r>
      <w:r>
        <w:rPr>
          <w:rFonts w:cs="Arial"/>
          <w:sz w:val="22"/>
          <w:szCs w:val="22"/>
        </w:rPr>
        <w:t>10 CFR Part 26</w:t>
      </w:r>
      <w:r w:rsidRPr="00415F7A">
        <w:rPr>
          <w:rFonts w:cs="Arial"/>
          <w:sz w:val="22"/>
          <w:szCs w:val="22"/>
        </w:rPr>
        <w:t xml:space="preserve"> rule language</w:t>
      </w:r>
      <w:r w:rsidRPr="005A5966">
        <w:rPr>
          <w:sz w:val="22"/>
          <w:szCs w:val="22"/>
        </w:rPr>
        <w:t>.</w:t>
      </w:r>
    </w:p>
    <w:p w:rsidRPr="00646A79" w:rsidR="00D520BD" w:rsidP="0059453C" w:rsidRDefault="00D520BD" w14:paraId="42EFDAD4" w14:textId="77777777">
      <w:pPr>
        <w:rPr>
          <w:sz w:val="22"/>
          <w:szCs w:val="22"/>
        </w:rPr>
      </w:pPr>
    </w:p>
    <w:p w:rsidRPr="00304546" w:rsidR="00D520BD" w:rsidP="001729D4" w:rsidRDefault="00D520BD" w14:paraId="06AAC53F" w14:textId="77777777">
      <w:pPr>
        <w:rPr>
          <w:rFonts w:cs="Arial"/>
          <w:kern w:val="32"/>
          <w:sz w:val="22"/>
          <w:szCs w:val="22"/>
        </w:rPr>
      </w:pPr>
      <w:bookmarkStart w:name="_Toc199932394" w:id="46"/>
      <w:bookmarkStart w:name="_Toc199932472" w:id="47"/>
      <w:bookmarkStart w:name="_Toc199932645" w:id="48"/>
      <w:bookmarkStart w:name="_Toc460412594" w:id="49"/>
      <w:r w:rsidRPr="00304546">
        <w:rPr>
          <w:sz w:val="22"/>
          <w:szCs w:val="22"/>
        </w:rPr>
        <w:br w:type="page"/>
      </w:r>
    </w:p>
    <w:p w:rsidRPr="005A5966" w:rsidR="00D520BD" w:rsidP="00D520BD" w:rsidRDefault="00D520BD" w14:paraId="605DA746" w14:textId="77777777">
      <w:pPr>
        <w:pStyle w:val="Heading1"/>
        <w:ind w:left="720" w:hanging="720"/>
      </w:pPr>
      <w:bookmarkStart w:name="_Toc72840012" w:id="50"/>
      <w:bookmarkStart w:name="_Toc105681485" w:id="51"/>
      <w:r w:rsidRPr="005A5966">
        <w:lastRenderedPageBreak/>
        <w:t>2.</w:t>
      </w:r>
      <w:r w:rsidRPr="005A5966">
        <w:tab/>
        <w:t>Identification and Preliminary Analysis of Alternative Approaches</w:t>
      </w:r>
      <w:bookmarkEnd w:id="46"/>
      <w:bookmarkEnd w:id="47"/>
      <w:bookmarkEnd w:id="48"/>
      <w:bookmarkEnd w:id="49"/>
      <w:bookmarkEnd w:id="50"/>
      <w:bookmarkEnd w:id="51"/>
    </w:p>
    <w:p w:rsidRPr="005A5966" w:rsidR="00D520BD" w:rsidP="00D520BD" w:rsidRDefault="00D520BD" w14:paraId="03E71AC6" w14:textId="77777777">
      <w:pPr>
        <w:keepNext/>
        <w:numPr>
          <w:ilvl w:val="12"/>
          <w:numId w:val="0"/>
        </w:numPr>
        <w:tabs>
          <w:tab w:val="left" w:pos="721"/>
        </w:tabs>
        <w:rPr>
          <w:sz w:val="22"/>
          <w:szCs w:val="22"/>
        </w:rPr>
      </w:pPr>
    </w:p>
    <w:p w:rsidRPr="005A5966" w:rsidR="00D520BD" w:rsidP="00D520BD" w:rsidRDefault="00D520BD" w14:paraId="53FAD873" w14:textId="77777777">
      <w:pPr>
        <w:rPr>
          <w:rFonts w:cs="Arial"/>
          <w:sz w:val="22"/>
          <w:szCs w:val="22"/>
        </w:rPr>
      </w:pPr>
      <w:r w:rsidRPr="005A5966">
        <w:rPr>
          <w:rFonts w:cs="Arial"/>
          <w:sz w:val="22"/>
          <w:szCs w:val="22"/>
        </w:rPr>
        <w:t xml:space="preserve">The </w:t>
      </w:r>
      <w:r>
        <w:rPr>
          <w:rFonts w:cs="Arial"/>
          <w:sz w:val="22"/>
          <w:szCs w:val="22"/>
        </w:rPr>
        <w:t xml:space="preserve">NRC </w:t>
      </w:r>
      <w:r w:rsidRPr="005A5966">
        <w:rPr>
          <w:rFonts w:cs="Arial"/>
          <w:sz w:val="22"/>
          <w:szCs w:val="22"/>
        </w:rPr>
        <w:t>staff considered the following three alternatives to address the regulatory problem identified in Section</w:t>
      </w:r>
      <w:r>
        <w:rPr>
          <w:rFonts w:cs="Arial"/>
          <w:sz w:val="22"/>
          <w:szCs w:val="22"/>
        </w:rPr>
        <w:t> </w:t>
      </w:r>
      <w:r w:rsidRPr="005A5966">
        <w:rPr>
          <w:rFonts w:cs="Arial"/>
          <w:sz w:val="22"/>
          <w:szCs w:val="22"/>
        </w:rPr>
        <w:t>1.2:</w:t>
      </w:r>
    </w:p>
    <w:p w:rsidRPr="005A5966" w:rsidR="00D520BD" w:rsidP="00D520BD" w:rsidRDefault="00D520BD" w14:paraId="594E884C" w14:textId="77777777">
      <w:pPr>
        <w:rPr>
          <w:rFonts w:cs="Arial"/>
          <w:sz w:val="22"/>
          <w:szCs w:val="22"/>
        </w:rPr>
      </w:pPr>
    </w:p>
    <w:p w:rsidRPr="000D3B34" w:rsidR="00D520BD" w:rsidP="00FD2FD1" w:rsidRDefault="00D520BD" w14:paraId="34CFA141" w14:textId="53999E07">
      <w:pPr>
        <w:pStyle w:val="ListParagraph"/>
        <w:numPr>
          <w:ilvl w:val="0"/>
          <w:numId w:val="5"/>
        </w:numPr>
        <w:ind w:hanging="720"/>
        <w:rPr>
          <w:rFonts w:cs="Arial"/>
          <w:sz w:val="22"/>
          <w:szCs w:val="22"/>
        </w:rPr>
      </w:pPr>
      <w:r w:rsidRPr="000D3B34">
        <w:rPr>
          <w:rFonts w:cs="Arial"/>
          <w:sz w:val="22"/>
          <w:szCs w:val="22"/>
        </w:rPr>
        <w:t xml:space="preserve">Alternative 1:  </w:t>
      </w:r>
      <w:r w:rsidRPr="000D3B34" w:rsidR="00EF3EAF">
        <w:rPr>
          <w:rFonts w:cs="Arial"/>
          <w:sz w:val="22"/>
          <w:szCs w:val="22"/>
        </w:rPr>
        <w:t xml:space="preserve">Take </w:t>
      </w:r>
      <w:r w:rsidRPr="000D3B34">
        <w:rPr>
          <w:rFonts w:cs="Arial"/>
          <w:sz w:val="22"/>
          <w:szCs w:val="22"/>
        </w:rPr>
        <w:t>No Action</w:t>
      </w:r>
    </w:p>
    <w:p w:rsidRPr="005A5966" w:rsidR="00D520BD" w:rsidP="004626EC" w:rsidRDefault="00D520BD" w14:paraId="28E1A9E9" w14:textId="77777777">
      <w:pPr>
        <w:pStyle w:val="ListParagraph"/>
        <w:ind w:hanging="720"/>
        <w:rPr>
          <w:rFonts w:cs="Arial"/>
          <w:sz w:val="22"/>
          <w:szCs w:val="22"/>
        </w:rPr>
      </w:pPr>
    </w:p>
    <w:p w:rsidRPr="000D3B34" w:rsidR="00D520BD" w:rsidP="00FD2FD1" w:rsidRDefault="00D520BD" w14:paraId="2A69314B" w14:textId="47505B84">
      <w:pPr>
        <w:pStyle w:val="ListParagraph"/>
        <w:numPr>
          <w:ilvl w:val="0"/>
          <w:numId w:val="5"/>
        </w:numPr>
        <w:ind w:hanging="720"/>
        <w:rPr>
          <w:rFonts w:cs="Arial"/>
          <w:sz w:val="22"/>
          <w:szCs w:val="22"/>
        </w:rPr>
      </w:pPr>
      <w:r w:rsidRPr="000D3B34">
        <w:rPr>
          <w:rFonts w:cs="Arial"/>
          <w:sz w:val="22"/>
          <w:szCs w:val="22"/>
        </w:rPr>
        <w:t>Alternative 2:  Amend 10 CFR Part 26</w:t>
      </w:r>
    </w:p>
    <w:p w:rsidRPr="005A5966" w:rsidR="00D520BD" w:rsidP="00D520BD" w:rsidRDefault="00D520BD" w14:paraId="74401B65" w14:textId="77777777">
      <w:pPr>
        <w:pStyle w:val="ListParagraph"/>
        <w:ind w:hanging="720"/>
        <w:rPr>
          <w:rFonts w:cs="Arial"/>
          <w:sz w:val="22"/>
          <w:szCs w:val="22"/>
        </w:rPr>
      </w:pPr>
    </w:p>
    <w:p w:rsidRPr="000D3B34" w:rsidR="00D520BD" w:rsidP="00FD2FD1" w:rsidRDefault="00D520BD" w14:paraId="061C89ED" w14:textId="70D3C326">
      <w:pPr>
        <w:pStyle w:val="ListParagraph"/>
        <w:numPr>
          <w:ilvl w:val="0"/>
          <w:numId w:val="5"/>
        </w:numPr>
        <w:ind w:hanging="720"/>
        <w:rPr>
          <w:sz w:val="22"/>
          <w:szCs w:val="22"/>
        </w:rPr>
      </w:pPr>
      <w:r w:rsidRPr="000D3B34">
        <w:rPr>
          <w:rFonts w:cs="Arial"/>
          <w:sz w:val="22"/>
          <w:szCs w:val="22"/>
        </w:rPr>
        <w:t xml:space="preserve">Alternative 3:  Address </w:t>
      </w:r>
      <w:r w:rsidRPr="000D3B34" w:rsidR="00EF3EAF">
        <w:rPr>
          <w:rFonts w:cs="Arial"/>
          <w:sz w:val="22"/>
          <w:szCs w:val="22"/>
        </w:rPr>
        <w:t>I</w:t>
      </w:r>
      <w:r w:rsidRPr="000D3B34">
        <w:rPr>
          <w:rFonts w:cs="Arial"/>
          <w:sz w:val="22"/>
          <w:szCs w:val="22"/>
        </w:rPr>
        <w:t xml:space="preserve">ssues </w:t>
      </w:r>
      <w:r w:rsidRPr="000D3B34" w:rsidR="00EF3EAF">
        <w:rPr>
          <w:rFonts w:cs="Arial"/>
          <w:sz w:val="22"/>
          <w:szCs w:val="22"/>
        </w:rPr>
        <w:t>Without Rulemaking</w:t>
      </w:r>
    </w:p>
    <w:p w:rsidRPr="00576716" w:rsidR="00D520BD" w:rsidP="00D520BD" w:rsidRDefault="00D520BD" w14:paraId="0FE3F1B6" w14:textId="77777777">
      <w:pPr>
        <w:rPr>
          <w:sz w:val="22"/>
          <w:szCs w:val="22"/>
        </w:rPr>
      </w:pPr>
    </w:p>
    <w:p w:rsidRPr="005A5966" w:rsidR="00D520BD" w:rsidP="00D520BD" w:rsidRDefault="00D520BD" w14:paraId="36BC97D4" w14:textId="22286B20">
      <w:pPr>
        <w:pStyle w:val="Heading2"/>
      </w:pPr>
      <w:bookmarkStart w:name="_Toc460412595" w:id="52"/>
      <w:bookmarkStart w:name="_Toc72840013" w:id="53"/>
      <w:bookmarkStart w:name="_Toc105681486" w:id="54"/>
      <w:r w:rsidRPr="005A5966">
        <w:t>2.1</w:t>
      </w:r>
      <w:r w:rsidRPr="005A5966">
        <w:tab/>
      </w:r>
      <w:r>
        <w:t>Alternative </w:t>
      </w:r>
      <w:r w:rsidRPr="005A5966">
        <w:t xml:space="preserve">1:  </w:t>
      </w:r>
      <w:r w:rsidR="00EF3EAF">
        <w:t xml:space="preserve">Take </w:t>
      </w:r>
      <w:r w:rsidRPr="005A5966">
        <w:t>No Action</w:t>
      </w:r>
      <w:bookmarkEnd w:id="52"/>
      <w:bookmarkEnd w:id="53"/>
      <w:bookmarkEnd w:id="54"/>
    </w:p>
    <w:p w:rsidRPr="005A5966" w:rsidR="00D520BD" w:rsidP="00D520BD" w:rsidRDefault="00D520BD" w14:paraId="7C196924" w14:textId="77777777">
      <w:pPr>
        <w:keepNext/>
        <w:numPr>
          <w:ilvl w:val="12"/>
          <w:numId w:val="0"/>
        </w:numPr>
        <w:tabs>
          <w:tab w:val="left" w:pos="721"/>
        </w:tabs>
        <w:rPr>
          <w:sz w:val="22"/>
          <w:szCs w:val="22"/>
        </w:rPr>
      </w:pPr>
    </w:p>
    <w:p w:rsidRPr="005A5966" w:rsidR="00D520BD" w:rsidP="00D520BD" w:rsidRDefault="00D520BD" w14:paraId="75E39511" w14:textId="6FF2EFCB">
      <w:pPr>
        <w:numPr>
          <w:ilvl w:val="12"/>
          <w:numId w:val="0"/>
        </w:numPr>
        <w:tabs>
          <w:tab w:val="left" w:pos="721"/>
        </w:tabs>
        <w:rPr>
          <w:rFonts w:cs="Arial"/>
          <w:sz w:val="22"/>
          <w:szCs w:val="22"/>
        </w:rPr>
      </w:pPr>
      <w:r>
        <w:rPr>
          <w:sz w:val="22"/>
          <w:szCs w:val="22"/>
        </w:rPr>
        <w:t xml:space="preserve">The </w:t>
      </w:r>
      <w:r w:rsidR="00EF3EAF">
        <w:rPr>
          <w:sz w:val="22"/>
          <w:szCs w:val="22"/>
        </w:rPr>
        <w:t xml:space="preserve">take </w:t>
      </w:r>
      <w:r w:rsidR="00A33207">
        <w:rPr>
          <w:sz w:val="22"/>
          <w:szCs w:val="22"/>
        </w:rPr>
        <w:t>no action</w:t>
      </w:r>
      <w:r>
        <w:rPr>
          <w:sz w:val="22"/>
          <w:szCs w:val="22"/>
        </w:rPr>
        <w:t xml:space="preserve"> alternative is </w:t>
      </w:r>
      <w:r w:rsidR="00A33207">
        <w:rPr>
          <w:sz w:val="22"/>
          <w:szCs w:val="22"/>
        </w:rPr>
        <w:t>to maintain the</w:t>
      </w:r>
      <w:r>
        <w:rPr>
          <w:sz w:val="22"/>
          <w:szCs w:val="22"/>
        </w:rPr>
        <w:t xml:space="preserve"> status quo</w:t>
      </w:r>
      <w:r w:rsidRPr="005A5966">
        <w:rPr>
          <w:sz w:val="22"/>
          <w:szCs w:val="22"/>
        </w:rPr>
        <w:t xml:space="preserve">.  </w:t>
      </w:r>
      <w:r w:rsidRPr="00EB3C50">
        <w:rPr>
          <w:sz w:val="22"/>
          <w:szCs w:val="22"/>
        </w:rPr>
        <w:t xml:space="preserve">This alternative is the regulatory baseline from which the other alternatives are measured.  </w:t>
      </w:r>
      <w:r w:rsidRPr="005A5966">
        <w:rPr>
          <w:sz w:val="22"/>
          <w:szCs w:val="22"/>
        </w:rPr>
        <w:t xml:space="preserve">Under </w:t>
      </w:r>
      <w:r w:rsidR="00A33207">
        <w:rPr>
          <w:sz w:val="22"/>
          <w:szCs w:val="22"/>
        </w:rPr>
        <w:t xml:space="preserve">the </w:t>
      </w:r>
      <w:r w:rsidR="00EF3EAF">
        <w:rPr>
          <w:sz w:val="22"/>
          <w:szCs w:val="22"/>
        </w:rPr>
        <w:t xml:space="preserve">take </w:t>
      </w:r>
      <w:r w:rsidR="00A33207">
        <w:rPr>
          <w:sz w:val="22"/>
          <w:szCs w:val="22"/>
        </w:rPr>
        <w:t>no action</w:t>
      </w:r>
      <w:r w:rsidRPr="005A5966">
        <w:rPr>
          <w:sz w:val="22"/>
          <w:szCs w:val="22"/>
        </w:rPr>
        <w:t xml:space="preserve"> alternative</w:t>
      </w:r>
      <w:r w:rsidR="00646A79">
        <w:rPr>
          <w:sz w:val="22"/>
          <w:szCs w:val="22"/>
        </w:rPr>
        <w:t>,</w:t>
      </w:r>
      <w:r w:rsidRPr="005A5966">
        <w:rPr>
          <w:sz w:val="22"/>
          <w:szCs w:val="22"/>
        </w:rPr>
        <w:t xml:space="preserve"> the NRC would not amend the current FFD regulations</w:t>
      </w:r>
      <w:r w:rsidR="00443196">
        <w:rPr>
          <w:sz w:val="22"/>
          <w:szCs w:val="22"/>
        </w:rPr>
        <w:t>,</w:t>
      </w:r>
      <w:r>
        <w:rPr>
          <w:sz w:val="22"/>
          <w:szCs w:val="22"/>
        </w:rPr>
        <w:t xml:space="preserve"> and l</w:t>
      </w:r>
      <w:r w:rsidRPr="005A5966">
        <w:rPr>
          <w:sz w:val="22"/>
          <w:szCs w:val="22"/>
        </w:rPr>
        <w:t>icensees</w:t>
      </w:r>
      <w:r>
        <w:rPr>
          <w:sz w:val="22"/>
          <w:szCs w:val="22"/>
        </w:rPr>
        <w:t xml:space="preserve"> and other entities</w:t>
      </w:r>
      <w:r w:rsidRPr="005A5966">
        <w:rPr>
          <w:sz w:val="22"/>
          <w:szCs w:val="22"/>
        </w:rPr>
        <w:t xml:space="preserve"> would continue to comply with the existing requirements </w:t>
      </w:r>
      <w:r>
        <w:rPr>
          <w:sz w:val="22"/>
          <w:szCs w:val="22"/>
        </w:rPr>
        <w:t>in 10 CFR Part 26</w:t>
      </w:r>
      <w:r w:rsidRPr="005A5966">
        <w:rPr>
          <w:sz w:val="22"/>
          <w:szCs w:val="22"/>
        </w:rPr>
        <w:t xml:space="preserve">.  </w:t>
      </w:r>
      <w:r>
        <w:rPr>
          <w:sz w:val="22"/>
          <w:szCs w:val="22"/>
        </w:rPr>
        <w:t xml:space="preserve">As a </w:t>
      </w:r>
      <w:r w:rsidRPr="002B5149">
        <w:rPr>
          <w:sz w:val="22"/>
          <w:szCs w:val="22"/>
        </w:rPr>
        <w:t>result</w:t>
      </w:r>
      <w:r w:rsidR="00646A79">
        <w:rPr>
          <w:sz w:val="22"/>
          <w:szCs w:val="22"/>
        </w:rPr>
        <w:t>,</w:t>
      </w:r>
      <w:r w:rsidRPr="002B5149">
        <w:rPr>
          <w:sz w:val="22"/>
          <w:szCs w:val="22"/>
        </w:rPr>
        <w:t xml:space="preserve"> </w:t>
      </w:r>
      <w:r>
        <w:rPr>
          <w:sz w:val="22"/>
          <w:szCs w:val="22"/>
        </w:rPr>
        <w:t>t</w:t>
      </w:r>
      <w:r w:rsidRPr="002B5149">
        <w:rPr>
          <w:sz w:val="22"/>
          <w:szCs w:val="22"/>
        </w:rPr>
        <w:t xml:space="preserve">he </w:t>
      </w:r>
      <w:r>
        <w:rPr>
          <w:sz w:val="22"/>
          <w:szCs w:val="22"/>
        </w:rPr>
        <w:t>10 CFR Part 26</w:t>
      </w:r>
      <w:r w:rsidRPr="002B5149">
        <w:rPr>
          <w:sz w:val="22"/>
          <w:szCs w:val="22"/>
        </w:rPr>
        <w:t xml:space="preserve"> drug testing provisions </w:t>
      </w:r>
      <w:r>
        <w:rPr>
          <w:sz w:val="22"/>
          <w:szCs w:val="22"/>
        </w:rPr>
        <w:t>would</w:t>
      </w:r>
      <w:r w:rsidRPr="002B5149">
        <w:rPr>
          <w:sz w:val="22"/>
          <w:szCs w:val="22"/>
        </w:rPr>
        <w:t xml:space="preserve"> </w:t>
      </w:r>
      <w:r w:rsidRPr="00BA51CB">
        <w:rPr>
          <w:sz w:val="22"/>
          <w:szCs w:val="22"/>
        </w:rPr>
        <w:t xml:space="preserve">not </w:t>
      </w:r>
      <w:r>
        <w:rPr>
          <w:sz w:val="22"/>
          <w:szCs w:val="22"/>
        </w:rPr>
        <w:t xml:space="preserve">include the drug testing advancements and donor protections in the </w:t>
      </w:r>
      <w:r w:rsidRPr="00BA51CB">
        <w:rPr>
          <w:sz w:val="22"/>
          <w:szCs w:val="22"/>
        </w:rPr>
        <w:t>2008</w:t>
      </w:r>
      <w:r w:rsidR="00A33207">
        <w:rPr>
          <w:sz w:val="22"/>
          <w:szCs w:val="22"/>
        </w:rPr>
        <w:t xml:space="preserve"> or 2017</w:t>
      </w:r>
      <w:r w:rsidR="001841EA">
        <w:rPr>
          <w:sz w:val="22"/>
          <w:szCs w:val="22"/>
        </w:rPr>
        <w:t> </w:t>
      </w:r>
      <w:r w:rsidRPr="00BA51CB">
        <w:rPr>
          <w:sz w:val="22"/>
          <w:szCs w:val="22"/>
        </w:rPr>
        <w:t>HHS Guidelines</w:t>
      </w:r>
      <w:r>
        <w:rPr>
          <w:sz w:val="22"/>
          <w:szCs w:val="22"/>
        </w:rPr>
        <w:t xml:space="preserve"> </w:t>
      </w:r>
      <w:r w:rsidR="00EF3EAF">
        <w:rPr>
          <w:sz w:val="22"/>
          <w:szCs w:val="22"/>
        </w:rPr>
        <w:t>n</w:t>
      </w:r>
      <w:r>
        <w:rPr>
          <w:sz w:val="22"/>
          <w:szCs w:val="22"/>
        </w:rPr>
        <w:t>or conform with the other Federal agency testing programs that follow them</w:t>
      </w:r>
      <w:r w:rsidRPr="00BA51CB">
        <w:rPr>
          <w:sz w:val="22"/>
          <w:szCs w:val="22"/>
        </w:rPr>
        <w:t>.</w:t>
      </w:r>
    </w:p>
    <w:p w:rsidR="00D520BD" w:rsidP="00D520BD" w:rsidRDefault="00D520BD" w14:paraId="36DAAB48" w14:textId="77777777">
      <w:pPr>
        <w:numPr>
          <w:ilvl w:val="12"/>
          <w:numId w:val="0"/>
        </w:numPr>
        <w:tabs>
          <w:tab w:val="left" w:pos="721"/>
        </w:tabs>
        <w:rPr>
          <w:sz w:val="22"/>
          <w:szCs w:val="22"/>
        </w:rPr>
      </w:pPr>
    </w:p>
    <w:p w:rsidR="00D520BD" w:rsidP="00D520BD" w:rsidRDefault="00D520BD" w14:paraId="7DE9B79A" w14:textId="13C47431">
      <w:pPr>
        <w:numPr>
          <w:ilvl w:val="12"/>
          <w:numId w:val="0"/>
        </w:numPr>
        <w:tabs>
          <w:tab w:val="left" w:pos="721"/>
        </w:tabs>
        <w:rPr>
          <w:rFonts w:cs="Arial"/>
          <w:sz w:val="22"/>
          <w:szCs w:val="22"/>
        </w:rPr>
      </w:pPr>
      <w:r>
        <w:rPr>
          <w:rFonts w:cs="Arial"/>
          <w:sz w:val="22"/>
          <w:szCs w:val="22"/>
        </w:rPr>
        <w:t xml:space="preserve">Because the NRC requires all </w:t>
      </w:r>
      <w:r w:rsidRPr="005A5966">
        <w:rPr>
          <w:rFonts w:cs="Arial"/>
          <w:sz w:val="22"/>
          <w:szCs w:val="22"/>
        </w:rPr>
        <w:t xml:space="preserve">licensees to use </w:t>
      </w:r>
      <w:r>
        <w:rPr>
          <w:rFonts w:cs="Arial"/>
          <w:sz w:val="22"/>
          <w:szCs w:val="22"/>
        </w:rPr>
        <w:t>HHS</w:t>
      </w:r>
      <w:r>
        <w:rPr>
          <w:rFonts w:cs="Arial"/>
          <w:sz w:val="22"/>
          <w:szCs w:val="22"/>
        </w:rPr>
        <w:noBreakHyphen/>
        <w:t xml:space="preserve">certified </w:t>
      </w:r>
      <w:r w:rsidRPr="005A5966">
        <w:rPr>
          <w:rFonts w:cs="Arial"/>
          <w:sz w:val="22"/>
          <w:szCs w:val="22"/>
        </w:rPr>
        <w:t xml:space="preserve">laboratories for </w:t>
      </w:r>
      <w:r>
        <w:rPr>
          <w:rFonts w:cs="Arial"/>
          <w:sz w:val="22"/>
          <w:szCs w:val="22"/>
        </w:rPr>
        <w:t xml:space="preserve">confirmatory </w:t>
      </w:r>
      <w:r w:rsidRPr="005A5966">
        <w:rPr>
          <w:rFonts w:cs="Arial"/>
          <w:sz w:val="22"/>
          <w:szCs w:val="22"/>
        </w:rPr>
        <w:t>specimen testing</w:t>
      </w:r>
      <w:r w:rsidR="00646A79">
        <w:rPr>
          <w:rFonts w:cs="Arial"/>
          <w:sz w:val="22"/>
          <w:szCs w:val="22"/>
        </w:rPr>
        <w:t>,</w:t>
      </w:r>
      <w:r w:rsidRPr="005A5966">
        <w:rPr>
          <w:rFonts w:cs="Arial"/>
          <w:sz w:val="22"/>
          <w:szCs w:val="22"/>
        </w:rPr>
        <w:t xml:space="preserve"> </w:t>
      </w:r>
      <w:r>
        <w:rPr>
          <w:rFonts w:cs="Arial"/>
          <w:sz w:val="22"/>
          <w:szCs w:val="22"/>
        </w:rPr>
        <w:t>specimens submitted by licensees and other entities must be treated differently than the specimens submitted by more than</w:t>
      </w:r>
      <w:r w:rsidR="00050ACA">
        <w:rPr>
          <w:rFonts w:cs="Arial"/>
          <w:sz w:val="22"/>
          <w:szCs w:val="22"/>
        </w:rPr>
        <w:t xml:space="preserve"> </w:t>
      </w:r>
      <w:r>
        <w:rPr>
          <w:rFonts w:cs="Arial"/>
          <w:sz w:val="22"/>
          <w:szCs w:val="22"/>
        </w:rPr>
        <w:t>100</w:t>
      </w:r>
      <w:r w:rsidR="00B27ECC">
        <w:rPr>
          <w:rFonts w:cs="Arial"/>
          <w:sz w:val="22"/>
          <w:szCs w:val="22"/>
        </w:rPr>
        <w:t> </w:t>
      </w:r>
      <w:r>
        <w:rPr>
          <w:rFonts w:cs="Arial"/>
          <w:sz w:val="22"/>
          <w:szCs w:val="22"/>
        </w:rPr>
        <w:t>Federal agency employee workplace drug testing programs.  Laboratories</w:t>
      </w:r>
      <w:r w:rsidRPr="005A5966">
        <w:rPr>
          <w:rFonts w:cs="Arial"/>
          <w:sz w:val="22"/>
          <w:szCs w:val="22"/>
        </w:rPr>
        <w:t xml:space="preserve"> </w:t>
      </w:r>
      <w:r>
        <w:rPr>
          <w:rFonts w:cs="Arial"/>
          <w:sz w:val="22"/>
          <w:szCs w:val="22"/>
        </w:rPr>
        <w:t>would continue to segregate the 10 CFR Part 26 specimens from all other Federal agency specimens because of the different testing parameters (e.g.</w:t>
      </w:r>
      <w:r w:rsidR="00646A79">
        <w:rPr>
          <w:rFonts w:cs="Arial"/>
          <w:sz w:val="22"/>
          <w:szCs w:val="22"/>
        </w:rPr>
        <w:t>,</w:t>
      </w:r>
      <w:r>
        <w:rPr>
          <w:rFonts w:cs="Arial"/>
          <w:sz w:val="22"/>
          <w:szCs w:val="22"/>
        </w:rPr>
        <w:t> drug testing panel and cutoff levels</w:t>
      </w:r>
      <w:r w:rsidR="00646A79">
        <w:rPr>
          <w:rFonts w:cs="Arial"/>
          <w:sz w:val="22"/>
          <w:szCs w:val="22"/>
        </w:rPr>
        <w:t>,</w:t>
      </w:r>
      <w:r>
        <w:rPr>
          <w:rFonts w:cs="Arial"/>
          <w:sz w:val="22"/>
          <w:szCs w:val="22"/>
        </w:rPr>
        <w:t xml:space="preserve"> initial testing protocol for heroin</w:t>
      </w:r>
      <w:r w:rsidR="00646A79">
        <w:rPr>
          <w:rFonts w:cs="Arial"/>
          <w:sz w:val="22"/>
          <w:szCs w:val="22"/>
        </w:rPr>
        <w:t>,</w:t>
      </w:r>
      <w:r>
        <w:rPr>
          <w:rFonts w:cs="Arial"/>
          <w:sz w:val="22"/>
          <w:szCs w:val="22"/>
        </w:rPr>
        <w:t xml:space="preserve"> calibrators and controls used for assays) and would have to maintain amended procedures and training.</w:t>
      </w:r>
    </w:p>
    <w:p w:rsidR="00D520BD" w:rsidP="00D520BD" w:rsidRDefault="00D520BD" w14:paraId="0A3595F8" w14:textId="3FB9CB6E">
      <w:pPr>
        <w:numPr>
          <w:ilvl w:val="12"/>
          <w:numId w:val="0"/>
        </w:numPr>
        <w:tabs>
          <w:tab w:val="left" w:pos="721"/>
        </w:tabs>
        <w:rPr>
          <w:rFonts w:cs="Arial"/>
          <w:sz w:val="22"/>
          <w:szCs w:val="22"/>
        </w:rPr>
      </w:pPr>
    </w:p>
    <w:p w:rsidR="00D520BD" w:rsidP="00D520BD" w:rsidRDefault="00D520BD" w14:paraId="44C70ADC" w14:textId="2192424E">
      <w:pPr>
        <w:numPr>
          <w:ilvl w:val="12"/>
          <w:numId w:val="0"/>
        </w:numPr>
        <w:tabs>
          <w:tab w:val="left" w:pos="721"/>
        </w:tabs>
        <w:rPr>
          <w:sz w:val="22"/>
          <w:szCs w:val="22"/>
        </w:rPr>
      </w:pPr>
      <w:r>
        <w:rPr>
          <w:rFonts w:cs="Arial"/>
          <w:sz w:val="22"/>
          <w:szCs w:val="22"/>
        </w:rPr>
        <w:t xml:space="preserve">Under the </w:t>
      </w:r>
      <w:r w:rsidR="00EF3EAF">
        <w:rPr>
          <w:rFonts w:cs="Arial"/>
          <w:sz w:val="22"/>
          <w:szCs w:val="22"/>
        </w:rPr>
        <w:t xml:space="preserve">take </w:t>
      </w:r>
      <w:r>
        <w:rPr>
          <w:rFonts w:cs="Arial"/>
          <w:sz w:val="22"/>
          <w:szCs w:val="22"/>
        </w:rPr>
        <w:t>no</w:t>
      </w:r>
      <w:r w:rsidR="00A33207">
        <w:rPr>
          <w:rFonts w:cs="Arial"/>
          <w:sz w:val="22"/>
          <w:szCs w:val="22"/>
        </w:rPr>
        <w:t xml:space="preserve"> </w:t>
      </w:r>
      <w:r>
        <w:rPr>
          <w:rFonts w:cs="Arial"/>
          <w:sz w:val="22"/>
          <w:szCs w:val="22"/>
        </w:rPr>
        <w:t>action alternative</w:t>
      </w:r>
      <w:r w:rsidR="00646A79">
        <w:rPr>
          <w:rFonts w:cs="Arial"/>
          <w:sz w:val="22"/>
          <w:szCs w:val="22"/>
        </w:rPr>
        <w:t>,</w:t>
      </w:r>
      <w:r>
        <w:rPr>
          <w:rFonts w:cs="Arial"/>
          <w:sz w:val="22"/>
          <w:szCs w:val="22"/>
        </w:rPr>
        <w:t xml:space="preserve"> the NRC would not require licensees to test for additional substances or use lower cutoff levels to test for existing drugs and drug metabolites in the testing panel.  C</w:t>
      </w:r>
      <w:r>
        <w:rPr>
          <w:sz w:val="22"/>
          <w:szCs w:val="22"/>
        </w:rPr>
        <w:t>urrently</w:t>
      </w:r>
      <w:r w:rsidR="00646A79">
        <w:rPr>
          <w:sz w:val="22"/>
          <w:szCs w:val="22"/>
        </w:rPr>
        <w:t>,</w:t>
      </w:r>
      <w:r w:rsidRPr="005A5966">
        <w:rPr>
          <w:sz w:val="22"/>
          <w:szCs w:val="22"/>
        </w:rPr>
        <w:t xml:space="preserve"> </w:t>
      </w:r>
      <w:r>
        <w:rPr>
          <w:sz w:val="22"/>
          <w:szCs w:val="22"/>
        </w:rPr>
        <w:t>10 CFR 26.31(d) provides</w:t>
      </w:r>
      <w:r w:rsidRPr="005A5966">
        <w:rPr>
          <w:sz w:val="22"/>
          <w:szCs w:val="22"/>
        </w:rPr>
        <w:t xml:space="preserve"> licensees </w:t>
      </w:r>
      <w:r>
        <w:rPr>
          <w:sz w:val="22"/>
          <w:szCs w:val="22"/>
        </w:rPr>
        <w:t xml:space="preserve">and other entities with </w:t>
      </w:r>
      <w:r w:rsidRPr="005A5966">
        <w:rPr>
          <w:sz w:val="22"/>
          <w:szCs w:val="22"/>
        </w:rPr>
        <w:t>th</w:t>
      </w:r>
      <w:r>
        <w:rPr>
          <w:sz w:val="22"/>
          <w:szCs w:val="22"/>
        </w:rPr>
        <w:t xml:space="preserve">e </w:t>
      </w:r>
      <w:r w:rsidRPr="005A5966">
        <w:rPr>
          <w:sz w:val="22"/>
          <w:szCs w:val="22"/>
        </w:rPr>
        <w:t>flexibility</w:t>
      </w:r>
      <w:r>
        <w:rPr>
          <w:sz w:val="22"/>
          <w:szCs w:val="22"/>
        </w:rPr>
        <w:t xml:space="preserve"> </w:t>
      </w:r>
      <w:r w:rsidR="00A75E50">
        <w:rPr>
          <w:sz w:val="22"/>
          <w:szCs w:val="22"/>
        </w:rPr>
        <w:t xml:space="preserve">to </w:t>
      </w:r>
      <w:r>
        <w:rPr>
          <w:sz w:val="22"/>
          <w:szCs w:val="22"/>
        </w:rPr>
        <w:t>use lower testing cutoff levels than specified by rule for the NRC</w:t>
      </w:r>
      <w:r>
        <w:rPr>
          <w:sz w:val="22"/>
          <w:szCs w:val="22"/>
        </w:rPr>
        <w:noBreakHyphen/>
        <w:t>required drug testing panel</w:t>
      </w:r>
      <w:r w:rsidR="00A75E50">
        <w:rPr>
          <w:sz w:val="22"/>
          <w:szCs w:val="22"/>
        </w:rPr>
        <w:t xml:space="preserve"> or</w:t>
      </w:r>
      <w:r>
        <w:rPr>
          <w:sz w:val="22"/>
          <w:szCs w:val="22"/>
        </w:rPr>
        <w:t xml:space="preserve"> </w:t>
      </w:r>
      <w:r w:rsidR="00A75E50">
        <w:rPr>
          <w:sz w:val="22"/>
          <w:szCs w:val="22"/>
        </w:rPr>
        <w:t xml:space="preserve">to test for additional drugs, </w:t>
      </w:r>
      <w:r>
        <w:rPr>
          <w:sz w:val="22"/>
          <w:szCs w:val="22"/>
        </w:rPr>
        <w:t>or both.  However</w:t>
      </w:r>
      <w:r w:rsidR="00646A79">
        <w:rPr>
          <w:sz w:val="22"/>
          <w:szCs w:val="22"/>
        </w:rPr>
        <w:t>,</w:t>
      </w:r>
      <w:r>
        <w:rPr>
          <w:sz w:val="22"/>
          <w:szCs w:val="22"/>
        </w:rPr>
        <w:t xml:space="preserve"> no licensee or other entity testing program has incorporated the use of the lower testing cutoff levels or tests for the additional substances included in the 2008 </w:t>
      </w:r>
      <w:r w:rsidR="00A33207">
        <w:rPr>
          <w:sz w:val="22"/>
          <w:szCs w:val="22"/>
        </w:rPr>
        <w:t xml:space="preserve">or 2017 </w:t>
      </w:r>
      <w:r>
        <w:rPr>
          <w:sz w:val="22"/>
          <w:szCs w:val="22"/>
        </w:rPr>
        <w:t xml:space="preserve">HHS Guidelines.  </w:t>
      </w:r>
      <w:r w:rsidR="00EF3EAF">
        <w:rPr>
          <w:sz w:val="22"/>
          <w:szCs w:val="22"/>
        </w:rPr>
        <w:t>Following</w:t>
      </w:r>
      <w:r>
        <w:rPr>
          <w:sz w:val="22"/>
          <w:szCs w:val="22"/>
        </w:rPr>
        <w:t xml:space="preserve"> the second public meeting held </w:t>
      </w:r>
      <w:r w:rsidR="00C82438">
        <w:rPr>
          <w:sz w:val="22"/>
          <w:szCs w:val="22"/>
        </w:rPr>
        <w:t>during</w:t>
      </w:r>
      <w:r>
        <w:rPr>
          <w:sz w:val="22"/>
          <w:szCs w:val="22"/>
        </w:rPr>
        <w:t xml:space="preserve"> rulemaking </w:t>
      </w:r>
      <w:r w:rsidR="00C82438">
        <w:rPr>
          <w:sz w:val="22"/>
          <w:szCs w:val="22"/>
        </w:rPr>
        <w:t xml:space="preserve">activities </w:t>
      </w:r>
      <w:r>
        <w:rPr>
          <w:sz w:val="22"/>
          <w:szCs w:val="22"/>
        </w:rPr>
        <w:t>in 2009</w:t>
      </w:r>
      <w:r w:rsidR="00646A79">
        <w:rPr>
          <w:sz w:val="22"/>
          <w:szCs w:val="22"/>
        </w:rPr>
        <w:t>,</w:t>
      </w:r>
      <w:r>
        <w:rPr>
          <w:sz w:val="22"/>
          <w:szCs w:val="22"/>
        </w:rPr>
        <w:t xml:space="preserve"> the Nuclear Energy Institute submitted a letter on May 31</w:t>
      </w:r>
      <w:r w:rsidR="00646A79">
        <w:rPr>
          <w:sz w:val="22"/>
          <w:szCs w:val="22"/>
        </w:rPr>
        <w:t>,</w:t>
      </w:r>
      <w:r>
        <w:rPr>
          <w:sz w:val="22"/>
          <w:szCs w:val="22"/>
        </w:rPr>
        <w:t> 2009 (</w:t>
      </w:r>
      <w:r w:rsidR="00773487">
        <w:rPr>
          <w:sz w:val="22"/>
          <w:szCs w:val="22"/>
        </w:rPr>
        <w:t>NRC</w:t>
      </w:r>
      <w:r w:rsidR="00646A79">
        <w:rPr>
          <w:sz w:val="22"/>
          <w:szCs w:val="22"/>
        </w:rPr>
        <w:t>,</w:t>
      </w:r>
      <w:r w:rsidR="00773487">
        <w:rPr>
          <w:sz w:val="22"/>
          <w:szCs w:val="22"/>
        </w:rPr>
        <w:t xml:space="preserve"> 2009</w:t>
      </w:r>
      <w:r w:rsidR="0065747F">
        <w:rPr>
          <w:sz w:val="22"/>
          <w:szCs w:val="22"/>
        </w:rPr>
        <w:t>e</w:t>
      </w:r>
      <w:r>
        <w:rPr>
          <w:sz w:val="22"/>
          <w:szCs w:val="22"/>
        </w:rPr>
        <w:t>)</w:t>
      </w:r>
      <w:r w:rsidR="00646A79">
        <w:rPr>
          <w:sz w:val="22"/>
          <w:szCs w:val="22"/>
        </w:rPr>
        <w:t>,</w:t>
      </w:r>
      <w:r>
        <w:rPr>
          <w:sz w:val="22"/>
          <w:szCs w:val="22"/>
        </w:rPr>
        <w:t xml:space="preserve"> detailing the results of a survey it had conducted of its members and stating the following:</w:t>
      </w:r>
    </w:p>
    <w:p w:rsidR="00D520BD" w:rsidP="00D520BD" w:rsidRDefault="00D520BD" w14:paraId="22F86381" w14:textId="77EB349C">
      <w:pPr>
        <w:numPr>
          <w:ilvl w:val="12"/>
          <w:numId w:val="0"/>
        </w:numPr>
        <w:tabs>
          <w:tab w:val="left" w:pos="721"/>
        </w:tabs>
        <w:jc w:val="both"/>
        <w:rPr>
          <w:sz w:val="22"/>
          <w:szCs w:val="22"/>
        </w:rPr>
      </w:pPr>
    </w:p>
    <w:p w:rsidR="00D520BD" w:rsidP="006446D6" w:rsidRDefault="00D520BD" w14:paraId="2E0E0D94" w14:textId="070B316A">
      <w:pPr>
        <w:numPr>
          <w:ilvl w:val="12"/>
          <w:numId w:val="0"/>
        </w:numPr>
        <w:tabs>
          <w:tab w:val="left" w:pos="721"/>
        </w:tabs>
        <w:ind w:left="720" w:right="720"/>
        <w:rPr>
          <w:sz w:val="22"/>
          <w:szCs w:val="22"/>
        </w:rPr>
      </w:pPr>
      <w:r>
        <w:rPr>
          <w:sz w:val="22"/>
          <w:szCs w:val="22"/>
        </w:rPr>
        <w:t>While many of the respondents are in favor of expanding the panel</w:t>
      </w:r>
      <w:r w:rsidR="00646A79">
        <w:rPr>
          <w:sz w:val="22"/>
          <w:szCs w:val="22"/>
        </w:rPr>
        <w:t>,</w:t>
      </w:r>
      <w:r>
        <w:rPr>
          <w:sz w:val="22"/>
          <w:szCs w:val="22"/>
        </w:rPr>
        <w:t xml:space="preserve"> all companies responding to the survey responded that they would change their panel </w:t>
      </w:r>
      <w:r w:rsidRPr="00F97DA6">
        <w:rPr>
          <w:b/>
          <w:i/>
          <w:sz w:val="22"/>
          <w:szCs w:val="22"/>
        </w:rPr>
        <w:t>only</w:t>
      </w:r>
      <w:r>
        <w:rPr>
          <w:sz w:val="22"/>
          <w:szCs w:val="22"/>
        </w:rPr>
        <w:t xml:space="preserve"> </w:t>
      </w:r>
      <w:r w:rsidR="009D1479">
        <w:rPr>
          <w:sz w:val="22"/>
          <w:szCs w:val="22"/>
        </w:rPr>
        <w:t xml:space="preserve">[sic] </w:t>
      </w:r>
      <w:r>
        <w:rPr>
          <w:sz w:val="22"/>
          <w:szCs w:val="22"/>
        </w:rPr>
        <w:t>if the NRC mandated the expansion of the panel to the 7 drugs specified in the HHS Guidelines.  The reason is that many of the companies have had to negotiate with bargaining units on the drug testing process and expansion of the panel by the company without a mandate within the rule would subject the panel to the negotiation process and not guarantee its adoption.</w:t>
      </w:r>
    </w:p>
    <w:p w:rsidRPr="00E511B5" w:rsidR="00D520BD" w:rsidP="00D520BD" w:rsidRDefault="00D520BD" w14:paraId="6C2BA5B4" w14:textId="77777777">
      <w:pPr>
        <w:numPr>
          <w:ilvl w:val="12"/>
          <w:numId w:val="0"/>
        </w:numPr>
        <w:tabs>
          <w:tab w:val="left" w:pos="721"/>
        </w:tabs>
        <w:rPr>
          <w:sz w:val="22"/>
          <w:szCs w:val="22"/>
        </w:rPr>
      </w:pPr>
    </w:p>
    <w:p w:rsidRPr="0006455D" w:rsidR="00D520BD" w:rsidP="00D520BD" w:rsidRDefault="00D520BD" w14:paraId="6180DA68" w14:textId="7DB99030">
      <w:pPr>
        <w:numPr>
          <w:ilvl w:val="12"/>
          <w:numId w:val="0"/>
        </w:numPr>
        <w:tabs>
          <w:tab w:val="left" w:pos="721"/>
        </w:tabs>
        <w:rPr>
          <w:sz w:val="22"/>
          <w:szCs w:val="22"/>
        </w:rPr>
      </w:pPr>
      <w:r w:rsidRPr="0006455D">
        <w:rPr>
          <w:sz w:val="22"/>
          <w:szCs w:val="22"/>
        </w:rPr>
        <w:lastRenderedPageBreak/>
        <w:t xml:space="preserve">Regardless of whether this </w:t>
      </w:r>
      <w:r w:rsidR="00EF3EAF">
        <w:rPr>
          <w:sz w:val="22"/>
          <w:szCs w:val="22"/>
        </w:rPr>
        <w:t xml:space="preserve">final </w:t>
      </w:r>
      <w:r w:rsidRPr="0006455D">
        <w:rPr>
          <w:sz w:val="22"/>
          <w:szCs w:val="22"/>
        </w:rPr>
        <w:t xml:space="preserve">rule is </w:t>
      </w:r>
      <w:r w:rsidR="00EF3EAF">
        <w:rPr>
          <w:sz w:val="22"/>
          <w:szCs w:val="22"/>
        </w:rPr>
        <w:t>issued</w:t>
      </w:r>
      <w:r w:rsidR="00646A79">
        <w:rPr>
          <w:sz w:val="22"/>
          <w:szCs w:val="22"/>
        </w:rPr>
        <w:t>,</w:t>
      </w:r>
      <w:r w:rsidRPr="0006455D">
        <w:rPr>
          <w:sz w:val="22"/>
          <w:szCs w:val="22"/>
        </w:rPr>
        <w:t xml:space="preserve"> the NRC </w:t>
      </w:r>
      <w:r>
        <w:rPr>
          <w:sz w:val="22"/>
          <w:szCs w:val="22"/>
        </w:rPr>
        <w:t xml:space="preserve">will </w:t>
      </w:r>
      <w:r w:rsidRPr="0006455D">
        <w:rPr>
          <w:sz w:val="22"/>
          <w:szCs w:val="22"/>
        </w:rPr>
        <w:t xml:space="preserve">continue to inform the public </w:t>
      </w:r>
      <w:r>
        <w:rPr>
          <w:sz w:val="22"/>
          <w:szCs w:val="22"/>
        </w:rPr>
        <w:t>about</w:t>
      </w:r>
      <w:r w:rsidRPr="0006455D">
        <w:rPr>
          <w:sz w:val="22"/>
          <w:szCs w:val="22"/>
        </w:rPr>
        <w:t xml:space="preserve"> 10</w:t>
      </w:r>
      <w:r>
        <w:rPr>
          <w:sz w:val="22"/>
          <w:szCs w:val="22"/>
        </w:rPr>
        <w:t> </w:t>
      </w:r>
      <w:r w:rsidRPr="0006455D">
        <w:rPr>
          <w:sz w:val="22"/>
          <w:szCs w:val="22"/>
        </w:rPr>
        <w:t>CFR</w:t>
      </w:r>
      <w:r>
        <w:rPr>
          <w:sz w:val="22"/>
          <w:szCs w:val="22"/>
        </w:rPr>
        <w:t> </w:t>
      </w:r>
      <w:r w:rsidRPr="0006455D">
        <w:rPr>
          <w:sz w:val="22"/>
          <w:szCs w:val="22"/>
        </w:rPr>
        <w:t>Part</w:t>
      </w:r>
      <w:r>
        <w:rPr>
          <w:sz w:val="22"/>
          <w:szCs w:val="22"/>
        </w:rPr>
        <w:t> </w:t>
      </w:r>
      <w:r w:rsidRPr="0006455D">
        <w:rPr>
          <w:sz w:val="22"/>
          <w:szCs w:val="22"/>
        </w:rPr>
        <w:t>26 FFD program performance to maintain the pu</w:t>
      </w:r>
      <w:r>
        <w:rPr>
          <w:sz w:val="22"/>
          <w:szCs w:val="22"/>
        </w:rPr>
        <w:t>blic’s trust.  The NRC publishes</w:t>
      </w:r>
      <w:r w:rsidRPr="0006455D">
        <w:rPr>
          <w:sz w:val="22"/>
          <w:szCs w:val="22"/>
        </w:rPr>
        <w:t xml:space="preserve"> data on the NRC </w:t>
      </w:r>
      <w:r>
        <w:rPr>
          <w:sz w:val="22"/>
          <w:szCs w:val="22"/>
        </w:rPr>
        <w:t>W</w:t>
      </w:r>
      <w:r w:rsidRPr="0006455D">
        <w:rPr>
          <w:sz w:val="22"/>
          <w:szCs w:val="22"/>
        </w:rPr>
        <w:t>eb</w:t>
      </w:r>
      <w:r>
        <w:rPr>
          <w:sz w:val="22"/>
          <w:szCs w:val="22"/>
        </w:rPr>
        <w:t xml:space="preserve"> </w:t>
      </w:r>
      <w:r w:rsidRPr="0006455D">
        <w:rPr>
          <w:sz w:val="22"/>
          <w:szCs w:val="22"/>
        </w:rPr>
        <w:t xml:space="preserve">site </w:t>
      </w:r>
      <w:r w:rsidR="00954448">
        <w:rPr>
          <w:sz w:val="22"/>
          <w:szCs w:val="22"/>
        </w:rPr>
        <w:t>about</w:t>
      </w:r>
      <w:r w:rsidRPr="0006455D">
        <w:rPr>
          <w:sz w:val="22"/>
          <w:szCs w:val="22"/>
        </w:rPr>
        <w:t xml:space="preserve"> domestic operating events</w:t>
      </w:r>
      <w:r w:rsidR="00646A79">
        <w:rPr>
          <w:sz w:val="22"/>
          <w:szCs w:val="22"/>
        </w:rPr>
        <w:t>,</w:t>
      </w:r>
      <w:r>
        <w:rPr>
          <w:sz w:val="22"/>
          <w:szCs w:val="22"/>
        </w:rPr>
        <w:t xml:space="preserve"> including significant FFD policy violations or programmatic failures</w:t>
      </w:r>
      <w:r w:rsidR="00646A79">
        <w:rPr>
          <w:sz w:val="22"/>
          <w:szCs w:val="22"/>
        </w:rPr>
        <w:t>,</w:t>
      </w:r>
      <w:r>
        <w:rPr>
          <w:sz w:val="22"/>
          <w:szCs w:val="22"/>
        </w:rPr>
        <w:t xml:space="preserve"> drug and alcohol testing errors</w:t>
      </w:r>
      <w:r w:rsidR="00646A79">
        <w:rPr>
          <w:sz w:val="22"/>
          <w:szCs w:val="22"/>
        </w:rPr>
        <w:t>,</w:t>
      </w:r>
      <w:r>
        <w:rPr>
          <w:sz w:val="22"/>
          <w:szCs w:val="22"/>
        </w:rPr>
        <w:t xml:space="preserve"> and indicators of programmatic weaknesses</w:t>
      </w:r>
      <w:r w:rsidRPr="0006455D">
        <w:rPr>
          <w:sz w:val="22"/>
          <w:szCs w:val="22"/>
        </w:rPr>
        <w:t xml:space="preserve"> (</w:t>
      </w:r>
      <w:r>
        <w:rPr>
          <w:sz w:val="22"/>
          <w:szCs w:val="22"/>
        </w:rPr>
        <w:t>i.e.</w:t>
      </w:r>
      <w:r w:rsidR="00646A79">
        <w:rPr>
          <w:sz w:val="22"/>
          <w:szCs w:val="22"/>
        </w:rPr>
        <w:t>,</w:t>
      </w:r>
      <w:r>
        <w:rPr>
          <w:sz w:val="22"/>
          <w:szCs w:val="22"/>
        </w:rPr>
        <w:t xml:space="preserve"> </w:t>
      </w:r>
      <w:r w:rsidRPr="0006455D">
        <w:rPr>
          <w:sz w:val="22"/>
          <w:szCs w:val="22"/>
        </w:rPr>
        <w:t>24</w:t>
      </w:r>
      <w:r>
        <w:rPr>
          <w:sz w:val="22"/>
          <w:szCs w:val="22"/>
        </w:rPr>
        <w:noBreakHyphen/>
      </w:r>
      <w:r w:rsidRPr="0006455D">
        <w:rPr>
          <w:sz w:val="22"/>
          <w:szCs w:val="22"/>
        </w:rPr>
        <w:t>hour an</w:t>
      </w:r>
      <w:r>
        <w:rPr>
          <w:sz w:val="22"/>
          <w:szCs w:val="22"/>
        </w:rPr>
        <w:t>d 30</w:t>
      </w:r>
      <w:r>
        <w:rPr>
          <w:sz w:val="22"/>
          <w:szCs w:val="22"/>
        </w:rPr>
        <w:noBreakHyphen/>
        <w:t>day reportable events under</w:t>
      </w:r>
      <w:r w:rsidRPr="0006455D">
        <w:rPr>
          <w:sz w:val="22"/>
          <w:szCs w:val="22"/>
        </w:rPr>
        <w:t xml:space="preserve"> 10</w:t>
      </w:r>
      <w:r>
        <w:rPr>
          <w:sz w:val="22"/>
          <w:szCs w:val="22"/>
        </w:rPr>
        <w:t> </w:t>
      </w:r>
      <w:r w:rsidRPr="0006455D">
        <w:rPr>
          <w:sz w:val="22"/>
          <w:szCs w:val="22"/>
        </w:rPr>
        <w:t>CFR</w:t>
      </w:r>
      <w:r>
        <w:rPr>
          <w:sz w:val="22"/>
          <w:szCs w:val="22"/>
        </w:rPr>
        <w:t> </w:t>
      </w:r>
      <w:r w:rsidRPr="0006455D">
        <w:rPr>
          <w:sz w:val="22"/>
          <w:szCs w:val="22"/>
        </w:rPr>
        <w:t>26.719</w:t>
      </w:r>
      <w:r w:rsidR="00646A79">
        <w:rPr>
          <w:sz w:val="22"/>
          <w:szCs w:val="22"/>
        </w:rPr>
        <w:t>,</w:t>
      </w:r>
      <w:r>
        <w:rPr>
          <w:sz w:val="22"/>
          <w:szCs w:val="22"/>
        </w:rPr>
        <w:t xml:space="preserve"> </w:t>
      </w:r>
      <w:r w:rsidR="00646A79">
        <w:rPr>
          <w:sz w:val="22"/>
          <w:szCs w:val="22"/>
        </w:rPr>
        <w:t>“</w:t>
      </w:r>
      <w:r>
        <w:rPr>
          <w:sz w:val="22"/>
          <w:szCs w:val="22"/>
        </w:rPr>
        <w:t xml:space="preserve">Reporting </w:t>
      </w:r>
      <w:r w:rsidR="001A1700">
        <w:rPr>
          <w:sz w:val="22"/>
          <w:szCs w:val="22"/>
        </w:rPr>
        <w:t>r</w:t>
      </w:r>
      <w:r>
        <w:rPr>
          <w:sz w:val="22"/>
          <w:szCs w:val="22"/>
        </w:rPr>
        <w:t>equirements</w:t>
      </w:r>
      <w:r w:rsidR="00646A79">
        <w:rPr>
          <w:sz w:val="22"/>
          <w:szCs w:val="22"/>
        </w:rPr>
        <w:t>”</w:t>
      </w:r>
      <w:r w:rsidRPr="0006455D">
        <w:rPr>
          <w:sz w:val="22"/>
          <w:szCs w:val="22"/>
        </w:rPr>
        <w:t>)</w:t>
      </w:r>
      <w:r>
        <w:rPr>
          <w:sz w:val="22"/>
          <w:szCs w:val="22"/>
        </w:rPr>
        <w:t>.</w:t>
      </w:r>
      <w:r w:rsidRPr="0006455D">
        <w:rPr>
          <w:sz w:val="22"/>
          <w:szCs w:val="22"/>
        </w:rPr>
        <w:t xml:space="preserve">  </w:t>
      </w:r>
      <w:r>
        <w:rPr>
          <w:sz w:val="22"/>
          <w:szCs w:val="22"/>
        </w:rPr>
        <w:t>T</w:t>
      </w:r>
      <w:r w:rsidRPr="0006455D">
        <w:rPr>
          <w:sz w:val="22"/>
          <w:szCs w:val="22"/>
        </w:rPr>
        <w:t xml:space="preserve">he </w:t>
      </w:r>
      <w:r>
        <w:rPr>
          <w:sz w:val="22"/>
          <w:szCs w:val="22"/>
        </w:rPr>
        <w:t xml:space="preserve">agency also provides </w:t>
      </w:r>
      <w:r w:rsidRPr="0006455D">
        <w:rPr>
          <w:sz w:val="22"/>
          <w:szCs w:val="22"/>
        </w:rPr>
        <w:t>analysis</w:t>
      </w:r>
      <w:r w:rsidR="00646A79">
        <w:rPr>
          <w:sz w:val="22"/>
          <w:szCs w:val="22"/>
        </w:rPr>
        <w:t>,</w:t>
      </w:r>
      <w:r w:rsidRPr="0006455D">
        <w:rPr>
          <w:sz w:val="22"/>
          <w:szCs w:val="22"/>
        </w:rPr>
        <w:t xml:space="preserve"> trending</w:t>
      </w:r>
      <w:r w:rsidR="00646A79">
        <w:rPr>
          <w:sz w:val="22"/>
          <w:szCs w:val="22"/>
        </w:rPr>
        <w:t>,</w:t>
      </w:r>
      <w:r w:rsidRPr="0006455D">
        <w:rPr>
          <w:sz w:val="22"/>
          <w:szCs w:val="22"/>
        </w:rPr>
        <w:t xml:space="preserve"> and summary of annual FFD program performance data submitted </w:t>
      </w:r>
      <w:r>
        <w:rPr>
          <w:sz w:val="22"/>
          <w:szCs w:val="22"/>
        </w:rPr>
        <w:t>under</w:t>
      </w:r>
      <w:r w:rsidRPr="0006455D">
        <w:rPr>
          <w:sz w:val="22"/>
          <w:szCs w:val="22"/>
        </w:rPr>
        <w:t xml:space="preserve"> 10</w:t>
      </w:r>
      <w:r>
        <w:rPr>
          <w:sz w:val="22"/>
          <w:szCs w:val="22"/>
        </w:rPr>
        <w:t> </w:t>
      </w:r>
      <w:r w:rsidRPr="0006455D">
        <w:rPr>
          <w:sz w:val="22"/>
          <w:szCs w:val="22"/>
        </w:rPr>
        <w:t>CFR</w:t>
      </w:r>
      <w:r>
        <w:rPr>
          <w:sz w:val="22"/>
          <w:szCs w:val="22"/>
        </w:rPr>
        <w:t> </w:t>
      </w:r>
      <w:r w:rsidRPr="0006455D">
        <w:rPr>
          <w:sz w:val="22"/>
          <w:szCs w:val="22"/>
        </w:rPr>
        <w:t>26.717</w:t>
      </w:r>
      <w:r w:rsidR="00646A79">
        <w:rPr>
          <w:sz w:val="22"/>
          <w:szCs w:val="22"/>
        </w:rPr>
        <w:t>,</w:t>
      </w:r>
      <w:r>
        <w:rPr>
          <w:sz w:val="22"/>
          <w:szCs w:val="22"/>
        </w:rPr>
        <w:t xml:space="preserve"> </w:t>
      </w:r>
      <w:r w:rsidR="00646A79">
        <w:rPr>
          <w:sz w:val="22"/>
          <w:szCs w:val="22"/>
        </w:rPr>
        <w:t>“</w:t>
      </w:r>
      <w:r w:rsidRPr="00953CF5">
        <w:rPr>
          <w:rFonts w:cs="Arial"/>
          <w:sz w:val="22"/>
          <w:szCs w:val="22"/>
        </w:rPr>
        <w:t>Fitness</w:t>
      </w:r>
      <w:r>
        <w:rPr>
          <w:rFonts w:cs="Arial"/>
          <w:sz w:val="22"/>
          <w:szCs w:val="22"/>
        </w:rPr>
        <w:noBreakHyphen/>
      </w:r>
      <w:r w:rsidRPr="00953CF5">
        <w:rPr>
          <w:rFonts w:cs="Arial"/>
          <w:sz w:val="22"/>
          <w:szCs w:val="22"/>
        </w:rPr>
        <w:t>for</w:t>
      </w:r>
      <w:r>
        <w:rPr>
          <w:rFonts w:cs="Arial"/>
          <w:sz w:val="22"/>
          <w:szCs w:val="22"/>
        </w:rPr>
        <w:noBreakHyphen/>
      </w:r>
      <w:r w:rsidR="001A1700">
        <w:rPr>
          <w:rFonts w:cs="Arial"/>
          <w:sz w:val="22"/>
          <w:szCs w:val="22"/>
        </w:rPr>
        <w:t>d</w:t>
      </w:r>
      <w:r w:rsidRPr="00953CF5">
        <w:rPr>
          <w:rFonts w:cs="Arial"/>
          <w:sz w:val="22"/>
          <w:szCs w:val="22"/>
        </w:rPr>
        <w:t xml:space="preserve">uty </w:t>
      </w:r>
      <w:r w:rsidR="001A1700">
        <w:rPr>
          <w:rFonts w:cs="Arial"/>
          <w:sz w:val="22"/>
          <w:szCs w:val="22"/>
        </w:rPr>
        <w:t>p</w:t>
      </w:r>
      <w:r w:rsidRPr="00953CF5">
        <w:rPr>
          <w:rFonts w:cs="Arial"/>
          <w:sz w:val="22"/>
          <w:szCs w:val="22"/>
        </w:rPr>
        <w:t xml:space="preserve">rogram </w:t>
      </w:r>
      <w:r w:rsidR="001A1700">
        <w:rPr>
          <w:rFonts w:cs="Arial"/>
          <w:sz w:val="22"/>
          <w:szCs w:val="22"/>
        </w:rPr>
        <w:t>p</w:t>
      </w:r>
      <w:r w:rsidRPr="00953CF5">
        <w:rPr>
          <w:rFonts w:cs="Arial"/>
          <w:sz w:val="22"/>
          <w:szCs w:val="22"/>
        </w:rPr>
        <w:t xml:space="preserve">erformance </w:t>
      </w:r>
      <w:r w:rsidR="001A1700">
        <w:rPr>
          <w:rFonts w:cs="Arial"/>
          <w:sz w:val="22"/>
          <w:szCs w:val="22"/>
        </w:rPr>
        <w:t>d</w:t>
      </w:r>
      <w:r w:rsidRPr="00953CF5">
        <w:rPr>
          <w:rFonts w:cs="Arial"/>
          <w:sz w:val="22"/>
          <w:szCs w:val="22"/>
        </w:rPr>
        <w:t>ata</w:t>
      </w:r>
      <w:r w:rsidR="00646A79">
        <w:rPr>
          <w:rFonts w:cs="Arial"/>
          <w:sz w:val="22"/>
          <w:szCs w:val="22"/>
        </w:rPr>
        <w:t>,”</w:t>
      </w:r>
      <w:r>
        <w:rPr>
          <w:sz w:val="22"/>
          <w:szCs w:val="22"/>
        </w:rPr>
        <w:t xml:space="preserve"> </w:t>
      </w:r>
      <w:r w:rsidRPr="0006455D">
        <w:rPr>
          <w:sz w:val="22"/>
          <w:szCs w:val="22"/>
        </w:rPr>
        <w:t xml:space="preserve">through the publication of the NRC’s Summary of Fitness for Duty </w:t>
      </w:r>
      <w:r>
        <w:rPr>
          <w:sz w:val="22"/>
          <w:szCs w:val="22"/>
        </w:rPr>
        <w:t xml:space="preserve">Program </w:t>
      </w:r>
      <w:r w:rsidRPr="0006455D">
        <w:rPr>
          <w:sz w:val="22"/>
          <w:szCs w:val="22"/>
        </w:rPr>
        <w:t>Performance Reports (</w:t>
      </w:r>
      <w:r w:rsidR="0069468E">
        <w:rPr>
          <w:rFonts w:cs="Arial"/>
          <w:sz w:val="22"/>
          <w:szCs w:val="22"/>
        </w:rPr>
        <w:t>NRC, 2017</w:t>
      </w:r>
      <w:r w:rsidRPr="0006455D">
        <w:rPr>
          <w:sz w:val="22"/>
          <w:szCs w:val="22"/>
        </w:rPr>
        <w:t>).  This information also is used to inform NRC oversight program</w:t>
      </w:r>
      <w:r w:rsidR="003A44C5">
        <w:rPr>
          <w:sz w:val="22"/>
          <w:szCs w:val="22"/>
        </w:rPr>
        <w:t>s</w:t>
      </w:r>
      <w:r w:rsidRPr="0006455D">
        <w:rPr>
          <w:sz w:val="22"/>
          <w:szCs w:val="22"/>
        </w:rPr>
        <w:t>.</w:t>
      </w:r>
    </w:p>
    <w:p w:rsidR="00D520BD" w:rsidP="00EE6AF1" w:rsidRDefault="00D520BD" w14:paraId="2747B6E7" w14:textId="384FC2F2">
      <w:pPr>
        <w:numPr>
          <w:ilvl w:val="12"/>
          <w:numId w:val="0"/>
        </w:numPr>
        <w:tabs>
          <w:tab w:val="left" w:pos="721"/>
          <w:tab w:val="left" w:pos="1320"/>
        </w:tabs>
        <w:rPr>
          <w:sz w:val="22"/>
          <w:szCs w:val="22"/>
        </w:rPr>
      </w:pPr>
    </w:p>
    <w:p w:rsidR="00D520BD" w:rsidP="00D520BD" w:rsidRDefault="00D520BD" w14:paraId="05407DB5" w14:textId="1C921DD7">
      <w:pPr>
        <w:numPr>
          <w:ilvl w:val="12"/>
          <w:numId w:val="0"/>
        </w:numPr>
        <w:tabs>
          <w:tab w:val="left" w:pos="721"/>
        </w:tabs>
        <w:rPr>
          <w:sz w:val="22"/>
          <w:szCs w:val="22"/>
        </w:rPr>
      </w:pPr>
      <w:r w:rsidRPr="0006455D">
        <w:rPr>
          <w:sz w:val="22"/>
          <w:szCs w:val="22"/>
        </w:rPr>
        <w:t>In 2009</w:t>
      </w:r>
      <w:r w:rsidR="00646A79">
        <w:rPr>
          <w:sz w:val="22"/>
          <w:szCs w:val="22"/>
        </w:rPr>
        <w:t>,</w:t>
      </w:r>
      <w:r w:rsidRPr="0006455D">
        <w:rPr>
          <w:sz w:val="22"/>
          <w:szCs w:val="22"/>
        </w:rPr>
        <w:t xml:space="preserve"> the NRC developed (with input from industry) and implemented a vo</w:t>
      </w:r>
      <w:r>
        <w:rPr>
          <w:sz w:val="22"/>
          <w:szCs w:val="22"/>
        </w:rPr>
        <w:t>luntary electronic reporting (e</w:t>
      </w:r>
      <w:r>
        <w:rPr>
          <w:sz w:val="22"/>
          <w:szCs w:val="22"/>
        </w:rPr>
        <w:noBreakHyphen/>
      </w:r>
      <w:r w:rsidRPr="0006455D">
        <w:rPr>
          <w:sz w:val="22"/>
          <w:szCs w:val="22"/>
        </w:rPr>
        <w:t>reporting) system to s</w:t>
      </w:r>
      <w:r>
        <w:rPr>
          <w:sz w:val="22"/>
          <w:szCs w:val="22"/>
        </w:rPr>
        <w:t>ubmit 10 CFR 26.717 information</w:t>
      </w:r>
      <w:r w:rsidRPr="0006455D">
        <w:rPr>
          <w:sz w:val="22"/>
          <w:szCs w:val="22"/>
        </w:rPr>
        <w:t xml:space="preserve">.  This enhanced data collection method has </w:t>
      </w:r>
      <w:r>
        <w:rPr>
          <w:sz w:val="22"/>
          <w:szCs w:val="22"/>
        </w:rPr>
        <w:t>led to the NRC’s receipt of</w:t>
      </w:r>
      <w:r w:rsidRPr="0006455D">
        <w:rPr>
          <w:sz w:val="22"/>
          <w:szCs w:val="22"/>
        </w:rPr>
        <w:t xml:space="preserve"> much more precise</w:t>
      </w:r>
      <w:r w:rsidR="00646A79">
        <w:rPr>
          <w:sz w:val="22"/>
          <w:szCs w:val="22"/>
        </w:rPr>
        <w:t>,</w:t>
      </w:r>
      <w:r w:rsidRPr="0006455D">
        <w:rPr>
          <w:sz w:val="22"/>
          <w:szCs w:val="22"/>
        </w:rPr>
        <w:t xml:space="preserve"> detailed</w:t>
      </w:r>
      <w:r w:rsidR="00646A79">
        <w:rPr>
          <w:sz w:val="22"/>
          <w:szCs w:val="22"/>
        </w:rPr>
        <w:t>,</w:t>
      </w:r>
      <w:r w:rsidRPr="0006455D">
        <w:rPr>
          <w:sz w:val="22"/>
          <w:szCs w:val="22"/>
        </w:rPr>
        <w:t xml:space="preserve"> and uniform information on site</w:t>
      </w:r>
      <w:r>
        <w:rPr>
          <w:sz w:val="22"/>
          <w:szCs w:val="22"/>
        </w:rPr>
        <w:noBreakHyphen/>
      </w:r>
      <w:r w:rsidRPr="0006455D">
        <w:rPr>
          <w:sz w:val="22"/>
          <w:szCs w:val="22"/>
        </w:rPr>
        <w:t xml:space="preserve">specific performance.  </w:t>
      </w:r>
      <w:r>
        <w:rPr>
          <w:sz w:val="22"/>
          <w:szCs w:val="22"/>
        </w:rPr>
        <w:t xml:space="preserve">The </w:t>
      </w:r>
      <w:r w:rsidR="009F415F">
        <w:rPr>
          <w:sz w:val="22"/>
          <w:szCs w:val="22"/>
        </w:rPr>
        <w:t>NRC</w:t>
      </w:r>
      <w:r>
        <w:rPr>
          <w:sz w:val="22"/>
          <w:szCs w:val="22"/>
        </w:rPr>
        <w:t xml:space="preserve"> staff has used t</w:t>
      </w:r>
      <w:r w:rsidRPr="0006455D">
        <w:rPr>
          <w:sz w:val="22"/>
          <w:szCs w:val="22"/>
        </w:rPr>
        <w:t>hese data throughout this analysis.  The NRC also regularly consults with regulatory partners (e.g.</w:t>
      </w:r>
      <w:r w:rsidR="00646A79">
        <w:rPr>
          <w:sz w:val="22"/>
          <w:szCs w:val="22"/>
        </w:rPr>
        <w:t>,</w:t>
      </w:r>
      <w:r>
        <w:rPr>
          <w:sz w:val="22"/>
          <w:szCs w:val="22"/>
        </w:rPr>
        <w:t> </w:t>
      </w:r>
      <w:r w:rsidRPr="0006455D">
        <w:rPr>
          <w:sz w:val="22"/>
          <w:szCs w:val="22"/>
        </w:rPr>
        <w:t>HHS</w:t>
      </w:r>
      <w:r w:rsidR="00646A79">
        <w:rPr>
          <w:sz w:val="22"/>
          <w:szCs w:val="22"/>
        </w:rPr>
        <w:t>,</w:t>
      </w:r>
      <w:r w:rsidRPr="0006455D">
        <w:rPr>
          <w:sz w:val="22"/>
          <w:szCs w:val="22"/>
        </w:rPr>
        <w:t xml:space="preserve"> DOT</w:t>
      </w:r>
      <w:r w:rsidR="00646A79">
        <w:rPr>
          <w:sz w:val="22"/>
          <w:szCs w:val="22"/>
        </w:rPr>
        <w:t>,</w:t>
      </w:r>
      <w:r w:rsidRPr="0006455D">
        <w:rPr>
          <w:sz w:val="22"/>
          <w:szCs w:val="22"/>
        </w:rPr>
        <w:t xml:space="preserve"> Office of National Drug Control Policy) to assess the effectiveness of the 2008 </w:t>
      </w:r>
      <w:r w:rsidR="00AC3615">
        <w:rPr>
          <w:sz w:val="22"/>
          <w:szCs w:val="22"/>
        </w:rPr>
        <w:t xml:space="preserve">and 2017 </w:t>
      </w:r>
      <w:r w:rsidRPr="0006455D">
        <w:rPr>
          <w:sz w:val="22"/>
          <w:szCs w:val="22"/>
        </w:rPr>
        <w:t>HHS Guidelines</w:t>
      </w:r>
      <w:r w:rsidR="00646A79">
        <w:rPr>
          <w:sz w:val="22"/>
          <w:szCs w:val="22"/>
        </w:rPr>
        <w:t>,</w:t>
      </w:r>
      <w:r w:rsidRPr="0006455D">
        <w:rPr>
          <w:sz w:val="22"/>
          <w:szCs w:val="22"/>
        </w:rPr>
        <w:t xml:space="preserve"> societal changes in drug use</w:t>
      </w:r>
      <w:r w:rsidR="00646A79">
        <w:rPr>
          <w:sz w:val="22"/>
          <w:szCs w:val="22"/>
        </w:rPr>
        <w:t>,</w:t>
      </w:r>
      <w:r w:rsidRPr="0006455D">
        <w:rPr>
          <w:sz w:val="22"/>
          <w:szCs w:val="22"/>
        </w:rPr>
        <w:t xml:space="preserve"> and the prevalence of </w:t>
      </w:r>
      <w:r>
        <w:rPr>
          <w:sz w:val="22"/>
          <w:szCs w:val="22"/>
        </w:rPr>
        <w:t xml:space="preserve">products in the marketplace to enable test </w:t>
      </w:r>
      <w:r w:rsidRPr="0006455D">
        <w:rPr>
          <w:sz w:val="22"/>
          <w:szCs w:val="22"/>
        </w:rPr>
        <w:t xml:space="preserve">subversion and </w:t>
      </w:r>
      <w:r>
        <w:rPr>
          <w:sz w:val="22"/>
          <w:szCs w:val="22"/>
        </w:rPr>
        <w:t xml:space="preserve">sample </w:t>
      </w:r>
      <w:r w:rsidRPr="0006455D">
        <w:rPr>
          <w:sz w:val="22"/>
          <w:szCs w:val="22"/>
        </w:rPr>
        <w:t>adulteration</w:t>
      </w:r>
      <w:r>
        <w:rPr>
          <w:sz w:val="22"/>
          <w:szCs w:val="22"/>
        </w:rPr>
        <w:t>.  The agency</w:t>
      </w:r>
      <w:r w:rsidRPr="0006455D">
        <w:rPr>
          <w:sz w:val="22"/>
          <w:szCs w:val="22"/>
        </w:rPr>
        <w:t xml:space="preserve"> periodically provides this information to the NRC inspectors assigned to commercial power reactors and Category</w:t>
      </w:r>
      <w:r>
        <w:rPr>
          <w:sz w:val="22"/>
          <w:szCs w:val="22"/>
        </w:rPr>
        <w:t> </w:t>
      </w:r>
      <w:r w:rsidRPr="0006455D">
        <w:rPr>
          <w:sz w:val="22"/>
          <w:szCs w:val="22"/>
        </w:rPr>
        <w:t xml:space="preserve">I </w:t>
      </w:r>
      <w:r w:rsidR="0088161E">
        <w:rPr>
          <w:sz w:val="22"/>
          <w:szCs w:val="22"/>
        </w:rPr>
        <w:t>special nuclear material licensee</w:t>
      </w:r>
      <w:r w:rsidR="00171EE7">
        <w:rPr>
          <w:sz w:val="22"/>
          <w:szCs w:val="22"/>
        </w:rPr>
        <w:t>s</w:t>
      </w:r>
      <w:r w:rsidRPr="0006455D">
        <w:rPr>
          <w:sz w:val="22"/>
          <w:szCs w:val="22"/>
        </w:rPr>
        <w:t xml:space="preserve"> during training sessions.  Collectively</w:t>
      </w:r>
      <w:r w:rsidR="00646A79">
        <w:rPr>
          <w:sz w:val="22"/>
          <w:szCs w:val="22"/>
        </w:rPr>
        <w:t>,</w:t>
      </w:r>
      <w:r w:rsidRPr="0006455D">
        <w:rPr>
          <w:sz w:val="22"/>
          <w:szCs w:val="22"/>
        </w:rPr>
        <w:t xml:space="preserve"> these efforts </w:t>
      </w:r>
      <w:r w:rsidR="003A44C5">
        <w:rPr>
          <w:sz w:val="22"/>
          <w:szCs w:val="22"/>
        </w:rPr>
        <w:t xml:space="preserve">have </w:t>
      </w:r>
      <w:r w:rsidRPr="0006455D" w:rsidR="003A44C5">
        <w:rPr>
          <w:sz w:val="22"/>
          <w:szCs w:val="22"/>
        </w:rPr>
        <w:t>enhanced oversight of existing licensee and other entity FFD programs</w:t>
      </w:r>
      <w:r w:rsidR="003A44C5">
        <w:rPr>
          <w:sz w:val="22"/>
          <w:szCs w:val="22"/>
        </w:rPr>
        <w:t>.  However</w:t>
      </w:r>
      <w:r w:rsidR="00646A79">
        <w:rPr>
          <w:sz w:val="22"/>
          <w:szCs w:val="22"/>
        </w:rPr>
        <w:t>,</w:t>
      </w:r>
      <w:r w:rsidR="003A44C5">
        <w:rPr>
          <w:sz w:val="22"/>
          <w:szCs w:val="22"/>
        </w:rPr>
        <w:t xml:space="preserve"> FFD programs and NRC oversight programs cannot benefit under the current regulations from the enhancement in</w:t>
      </w:r>
      <w:r w:rsidRPr="0006455D">
        <w:rPr>
          <w:sz w:val="22"/>
          <w:szCs w:val="22"/>
        </w:rPr>
        <w:t xml:space="preserve"> the effectiveness of the laboratory testing methods </w:t>
      </w:r>
      <w:r>
        <w:rPr>
          <w:sz w:val="22"/>
          <w:szCs w:val="22"/>
        </w:rPr>
        <w:t>or the choice of</w:t>
      </w:r>
      <w:r w:rsidRPr="0006455D">
        <w:rPr>
          <w:sz w:val="22"/>
          <w:szCs w:val="22"/>
        </w:rPr>
        <w:t xml:space="preserve"> drugs included in the testing panel (</w:t>
      </w:r>
      <w:r>
        <w:rPr>
          <w:sz w:val="22"/>
          <w:szCs w:val="22"/>
        </w:rPr>
        <w:t>i.e.</w:t>
      </w:r>
      <w:r w:rsidR="00646A79">
        <w:rPr>
          <w:sz w:val="22"/>
          <w:szCs w:val="22"/>
        </w:rPr>
        <w:t>,</w:t>
      </w:r>
      <w:r>
        <w:rPr>
          <w:sz w:val="22"/>
          <w:szCs w:val="22"/>
        </w:rPr>
        <w:t> </w:t>
      </w:r>
      <w:r w:rsidRPr="0006455D">
        <w:rPr>
          <w:sz w:val="22"/>
          <w:szCs w:val="22"/>
        </w:rPr>
        <w:t>the aspects of Alternative</w:t>
      </w:r>
      <w:r>
        <w:rPr>
          <w:sz w:val="22"/>
          <w:szCs w:val="22"/>
        </w:rPr>
        <w:t> </w:t>
      </w:r>
      <w:r w:rsidRPr="0006455D">
        <w:rPr>
          <w:sz w:val="22"/>
          <w:szCs w:val="22"/>
        </w:rPr>
        <w:t xml:space="preserve">2 that are estimated to result in the majority of </w:t>
      </w:r>
      <w:r w:rsidR="00C07694">
        <w:rPr>
          <w:sz w:val="22"/>
          <w:szCs w:val="22"/>
        </w:rPr>
        <w:t>Alternative 2’s</w:t>
      </w:r>
      <w:r>
        <w:rPr>
          <w:sz w:val="22"/>
          <w:szCs w:val="22"/>
        </w:rPr>
        <w:t xml:space="preserve"> </w:t>
      </w:r>
      <w:r w:rsidRPr="0006455D">
        <w:rPr>
          <w:sz w:val="22"/>
          <w:szCs w:val="22"/>
        </w:rPr>
        <w:t>quantified benefit).</w:t>
      </w:r>
    </w:p>
    <w:p w:rsidR="00D520BD" w:rsidP="00D520BD" w:rsidRDefault="00D520BD" w14:paraId="16234EAA" w14:textId="77777777">
      <w:pPr>
        <w:numPr>
          <w:ilvl w:val="12"/>
          <w:numId w:val="0"/>
        </w:numPr>
        <w:tabs>
          <w:tab w:val="left" w:pos="721"/>
        </w:tabs>
        <w:rPr>
          <w:sz w:val="22"/>
          <w:szCs w:val="22"/>
        </w:rPr>
      </w:pPr>
    </w:p>
    <w:p w:rsidRPr="00E511B5" w:rsidR="00D520BD" w:rsidP="00D520BD" w:rsidRDefault="00D520BD" w14:paraId="638D954A" w14:textId="3870CB76">
      <w:pPr>
        <w:numPr>
          <w:ilvl w:val="12"/>
          <w:numId w:val="0"/>
        </w:numPr>
        <w:tabs>
          <w:tab w:val="left" w:pos="721"/>
        </w:tabs>
        <w:rPr>
          <w:sz w:val="22"/>
          <w:szCs w:val="22"/>
        </w:rPr>
      </w:pPr>
      <w:r>
        <w:rPr>
          <w:sz w:val="22"/>
          <w:szCs w:val="22"/>
        </w:rPr>
        <w:t>Lastly</w:t>
      </w:r>
      <w:r w:rsidR="00646A79">
        <w:rPr>
          <w:sz w:val="22"/>
          <w:szCs w:val="22"/>
        </w:rPr>
        <w:t>,</w:t>
      </w:r>
      <w:r>
        <w:rPr>
          <w:sz w:val="22"/>
          <w:szCs w:val="22"/>
        </w:rPr>
        <w:t xml:space="preserve"> not pursuing rulemaking at this time would not incorporate lessons learned from implementation of the 2008 FFD final rule that would improve the efficiency of the regulatory framework and enhance the detection of subversion attempts</w:t>
      </w:r>
      <w:r w:rsidRPr="007637B8">
        <w:rPr>
          <w:sz w:val="22"/>
          <w:szCs w:val="22"/>
        </w:rPr>
        <w:t>.</w:t>
      </w:r>
    </w:p>
    <w:p w:rsidR="00D520BD" w:rsidP="00D520BD" w:rsidRDefault="00D520BD" w14:paraId="49A5274D" w14:textId="77777777">
      <w:pPr>
        <w:rPr>
          <w:rFonts w:cs="Arial"/>
          <w:sz w:val="22"/>
          <w:szCs w:val="22"/>
        </w:rPr>
      </w:pPr>
    </w:p>
    <w:p w:rsidR="00D520BD" w:rsidP="00D520BD" w:rsidRDefault="00D520BD" w14:paraId="5FE192A2" w14:textId="541EA4CF">
      <w:pPr>
        <w:rPr>
          <w:rFonts w:cs="Arial"/>
          <w:sz w:val="22"/>
          <w:szCs w:val="22"/>
        </w:rPr>
      </w:pPr>
      <w:r w:rsidRPr="005A5966">
        <w:rPr>
          <w:rFonts w:cs="Arial"/>
          <w:sz w:val="22"/>
          <w:szCs w:val="22"/>
        </w:rPr>
        <w:t>By definition</w:t>
      </w:r>
      <w:r w:rsidR="00646A79">
        <w:rPr>
          <w:rFonts w:cs="Arial"/>
          <w:sz w:val="22"/>
          <w:szCs w:val="22"/>
        </w:rPr>
        <w:t>,</w:t>
      </w:r>
      <w:r w:rsidRPr="005A5966">
        <w:rPr>
          <w:rFonts w:cs="Arial"/>
          <w:sz w:val="22"/>
          <w:szCs w:val="22"/>
        </w:rPr>
        <w:t xml:space="preserve"> </w:t>
      </w:r>
      <w:r>
        <w:rPr>
          <w:rFonts w:cs="Arial"/>
          <w:sz w:val="22"/>
          <w:szCs w:val="22"/>
        </w:rPr>
        <w:t>this</w:t>
      </w:r>
      <w:r w:rsidRPr="005A5966">
        <w:rPr>
          <w:rFonts w:cs="Arial"/>
          <w:sz w:val="22"/>
          <w:szCs w:val="22"/>
        </w:rPr>
        <w:t xml:space="preserve"> alternative has no incremental benefits or costs</w:t>
      </w:r>
      <w:r w:rsidR="00646A79">
        <w:rPr>
          <w:rFonts w:cs="Arial"/>
          <w:sz w:val="22"/>
          <w:szCs w:val="22"/>
        </w:rPr>
        <w:t>,</w:t>
      </w:r>
      <w:r w:rsidRPr="005A5966">
        <w:rPr>
          <w:rFonts w:cs="Arial"/>
          <w:sz w:val="22"/>
          <w:szCs w:val="22"/>
        </w:rPr>
        <w:t xml:space="preserve"> as it does not change the status quo.</w:t>
      </w:r>
    </w:p>
    <w:p w:rsidRPr="005A5966" w:rsidR="00D520BD" w:rsidP="00D520BD" w:rsidRDefault="00D520BD" w14:paraId="6BC32CA3" w14:textId="77777777">
      <w:pPr>
        <w:rPr>
          <w:rFonts w:cs="Arial"/>
          <w:sz w:val="22"/>
          <w:szCs w:val="22"/>
        </w:rPr>
      </w:pPr>
    </w:p>
    <w:p w:rsidRPr="00FE3AD1" w:rsidR="00D520BD" w:rsidP="00D520BD" w:rsidRDefault="00D520BD" w14:paraId="3994569C" w14:textId="77777777">
      <w:pPr>
        <w:pStyle w:val="Heading2"/>
      </w:pPr>
      <w:bookmarkStart w:name="_Toc460412596" w:id="55"/>
      <w:bookmarkStart w:name="_Toc72840014" w:id="56"/>
      <w:bookmarkStart w:name="_Toc105681487" w:id="57"/>
      <w:r w:rsidRPr="00FE3AD1">
        <w:t>2.2</w:t>
      </w:r>
      <w:r w:rsidRPr="00FE3AD1">
        <w:tab/>
        <w:t>Alternative</w:t>
      </w:r>
      <w:r>
        <w:t> </w:t>
      </w:r>
      <w:r w:rsidRPr="00FE3AD1">
        <w:t xml:space="preserve">2:  Amend </w:t>
      </w:r>
      <w:r>
        <w:t>10 CFR Part 26</w:t>
      </w:r>
      <w:bookmarkEnd w:id="55"/>
      <w:bookmarkEnd w:id="56"/>
      <w:bookmarkEnd w:id="57"/>
    </w:p>
    <w:p w:rsidRPr="0014460C" w:rsidR="00D520BD" w:rsidP="00D520BD" w:rsidRDefault="00D520BD" w14:paraId="0ACB8002" w14:textId="77777777">
      <w:pPr>
        <w:keepNext/>
        <w:numPr>
          <w:ilvl w:val="12"/>
          <w:numId w:val="0"/>
        </w:numPr>
        <w:tabs>
          <w:tab w:val="left" w:pos="721"/>
        </w:tabs>
        <w:rPr>
          <w:sz w:val="22"/>
          <w:szCs w:val="22"/>
        </w:rPr>
      </w:pPr>
    </w:p>
    <w:p w:rsidR="00D520BD" w:rsidP="00D520BD" w:rsidRDefault="00D520BD" w14:paraId="3BFA7E54" w14:textId="1B744FC7">
      <w:pPr>
        <w:rPr>
          <w:rFonts w:cs="Arial"/>
          <w:sz w:val="22"/>
          <w:szCs w:val="22"/>
        </w:rPr>
      </w:pPr>
      <w:r w:rsidRPr="00AB7402">
        <w:rPr>
          <w:sz w:val="22"/>
          <w:szCs w:val="22"/>
        </w:rPr>
        <w:t>This a</w:t>
      </w:r>
      <w:r w:rsidRPr="0014460C">
        <w:rPr>
          <w:sz w:val="22"/>
          <w:szCs w:val="22"/>
        </w:rPr>
        <w:t>lternative resolve</w:t>
      </w:r>
      <w:r w:rsidR="009D29E5">
        <w:rPr>
          <w:sz w:val="22"/>
          <w:szCs w:val="22"/>
        </w:rPr>
        <w:t>s</w:t>
      </w:r>
      <w:r w:rsidRPr="0014460C">
        <w:rPr>
          <w:sz w:val="22"/>
          <w:szCs w:val="22"/>
        </w:rPr>
        <w:t xml:space="preserve"> </w:t>
      </w:r>
      <w:r>
        <w:rPr>
          <w:sz w:val="22"/>
          <w:szCs w:val="22"/>
        </w:rPr>
        <w:t>the</w:t>
      </w:r>
      <w:r w:rsidRPr="0014460C">
        <w:rPr>
          <w:sz w:val="22"/>
          <w:szCs w:val="22"/>
        </w:rPr>
        <w:t xml:space="preserve"> </w:t>
      </w:r>
      <w:r w:rsidRPr="00447449">
        <w:rPr>
          <w:sz w:val="22"/>
          <w:szCs w:val="22"/>
        </w:rPr>
        <w:t>problem</w:t>
      </w:r>
      <w:r>
        <w:rPr>
          <w:sz w:val="22"/>
          <w:szCs w:val="22"/>
        </w:rPr>
        <w:t xml:space="preserve"> described in Section 1</w:t>
      </w:r>
      <w:r w:rsidR="00AC3615">
        <w:rPr>
          <w:sz w:val="22"/>
          <w:szCs w:val="22"/>
        </w:rPr>
        <w:t>.2</w:t>
      </w:r>
      <w:r>
        <w:rPr>
          <w:sz w:val="22"/>
          <w:szCs w:val="22"/>
        </w:rPr>
        <w:t xml:space="preserve"> about the</w:t>
      </w:r>
      <w:r w:rsidRPr="00FE3AD1">
        <w:rPr>
          <w:sz w:val="22"/>
          <w:szCs w:val="22"/>
        </w:rPr>
        <w:t xml:space="preserve"> </w:t>
      </w:r>
      <w:r>
        <w:rPr>
          <w:sz w:val="22"/>
          <w:szCs w:val="22"/>
        </w:rPr>
        <w:t>current 10 CFR Part 26</w:t>
      </w:r>
      <w:r w:rsidRPr="00FE3AD1">
        <w:rPr>
          <w:sz w:val="22"/>
          <w:szCs w:val="22"/>
        </w:rPr>
        <w:t xml:space="preserve"> </w:t>
      </w:r>
      <w:r>
        <w:rPr>
          <w:sz w:val="22"/>
          <w:szCs w:val="22"/>
        </w:rPr>
        <w:t xml:space="preserve">rule </w:t>
      </w:r>
      <w:r w:rsidRPr="00447449">
        <w:rPr>
          <w:sz w:val="22"/>
          <w:szCs w:val="22"/>
        </w:rPr>
        <w:t>and its implementation</w:t>
      </w:r>
      <w:r>
        <w:rPr>
          <w:sz w:val="22"/>
          <w:szCs w:val="22"/>
        </w:rPr>
        <w:t xml:space="preserve">.  </w:t>
      </w:r>
      <w:r>
        <w:rPr>
          <w:rFonts w:cs="Arial"/>
          <w:sz w:val="22"/>
          <w:szCs w:val="22"/>
        </w:rPr>
        <w:t xml:space="preserve">The </w:t>
      </w:r>
      <w:r w:rsidRPr="005A5966">
        <w:rPr>
          <w:rFonts w:cs="Arial"/>
          <w:sz w:val="22"/>
          <w:szCs w:val="22"/>
        </w:rPr>
        <w:t xml:space="preserve">requirements </w:t>
      </w:r>
      <w:r>
        <w:rPr>
          <w:rFonts w:cs="Arial"/>
          <w:sz w:val="22"/>
          <w:szCs w:val="22"/>
        </w:rPr>
        <w:t>for licensee FFD programs</w:t>
      </w:r>
      <w:r w:rsidRPr="005A5966">
        <w:rPr>
          <w:rFonts w:cs="Arial"/>
          <w:sz w:val="22"/>
          <w:szCs w:val="22"/>
        </w:rPr>
        <w:t xml:space="preserve"> focus on preventing and detecting impairment among personnel </w:t>
      </w:r>
      <w:r>
        <w:rPr>
          <w:rFonts w:cs="Arial"/>
          <w:sz w:val="22"/>
          <w:szCs w:val="22"/>
        </w:rPr>
        <w:t>subject to an FFD program by providing reasonable assurance that the workplace is free of drugs and the effects of such substances.  This alternative enhance</w:t>
      </w:r>
      <w:r w:rsidR="009D29E5">
        <w:rPr>
          <w:rFonts w:cs="Arial"/>
          <w:sz w:val="22"/>
          <w:szCs w:val="22"/>
        </w:rPr>
        <w:t>s</w:t>
      </w:r>
      <w:r>
        <w:rPr>
          <w:rFonts w:cs="Arial"/>
          <w:sz w:val="22"/>
          <w:szCs w:val="22"/>
        </w:rPr>
        <w:t xml:space="preserve"> </w:t>
      </w:r>
      <w:r w:rsidRPr="000B3622">
        <w:rPr>
          <w:rFonts w:cs="Arial"/>
          <w:sz w:val="22"/>
          <w:szCs w:val="22"/>
        </w:rPr>
        <w:t xml:space="preserve">the detection of </w:t>
      </w:r>
      <w:r>
        <w:rPr>
          <w:sz w:val="22"/>
          <w:szCs w:val="22"/>
        </w:rPr>
        <w:t>individuals who are not fit for duty because of illegal drug use</w:t>
      </w:r>
      <w:r w:rsidR="00646A79">
        <w:rPr>
          <w:sz w:val="22"/>
          <w:szCs w:val="22"/>
        </w:rPr>
        <w:t>,</w:t>
      </w:r>
      <w:r>
        <w:rPr>
          <w:sz w:val="22"/>
          <w:szCs w:val="22"/>
        </w:rPr>
        <w:t xml:space="preserve"> legal drug misuse</w:t>
      </w:r>
      <w:r w:rsidR="00646A79">
        <w:rPr>
          <w:sz w:val="22"/>
          <w:szCs w:val="22"/>
        </w:rPr>
        <w:t>,</w:t>
      </w:r>
      <w:r>
        <w:rPr>
          <w:sz w:val="22"/>
          <w:szCs w:val="22"/>
        </w:rPr>
        <w:t xml:space="preserve"> or an attempt to subvert the drug testing process.  Specifically</w:t>
      </w:r>
      <w:r w:rsidR="00646A79">
        <w:rPr>
          <w:sz w:val="22"/>
          <w:szCs w:val="22"/>
        </w:rPr>
        <w:t>,</w:t>
      </w:r>
      <w:r>
        <w:rPr>
          <w:sz w:val="22"/>
          <w:szCs w:val="22"/>
        </w:rPr>
        <w:t xml:space="preserve"> </w:t>
      </w:r>
      <w:r w:rsidR="009D29E5">
        <w:rPr>
          <w:sz w:val="22"/>
          <w:szCs w:val="22"/>
        </w:rPr>
        <w:t>this final rule</w:t>
      </w:r>
      <w:r w:rsidR="00AC3615">
        <w:rPr>
          <w:sz w:val="22"/>
          <w:szCs w:val="22"/>
        </w:rPr>
        <w:t xml:space="preserve"> </w:t>
      </w:r>
      <w:r>
        <w:rPr>
          <w:sz w:val="22"/>
          <w:szCs w:val="22"/>
        </w:rPr>
        <w:t>align</w:t>
      </w:r>
      <w:r w:rsidR="009D29E5">
        <w:rPr>
          <w:sz w:val="22"/>
          <w:szCs w:val="22"/>
        </w:rPr>
        <w:t>s</w:t>
      </w:r>
      <w:r>
        <w:rPr>
          <w:sz w:val="22"/>
          <w:szCs w:val="22"/>
        </w:rPr>
        <w:t xml:space="preserve"> </w:t>
      </w:r>
      <w:r w:rsidR="00AC3615">
        <w:rPr>
          <w:sz w:val="22"/>
          <w:szCs w:val="22"/>
        </w:rPr>
        <w:t xml:space="preserve">the NRC’s drug testing requirements in </w:t>
      </w:r>
      <w:r>
        <w:rPr>
          <w:sz w:val="22"/>
          <w:szCs w:val="22"/>
        </w:rPr>
        <w:t>10 CFR Part 26</w:t>
      </w:r>
      <w:r w:rsidRPr="008D2D60">
        <w:rPr>
          <w:sz w:val="22"/>
          <w:szCs w:val="22"/>
        </w:rPr>
        <w:t xml:space="preserve"> </w:t>
      </w:r>
      <w:r w:rsidR="00B94666">
        <w:rPr>
          <w:sz w:val="22"/>
          <w:szCs w:val="22"/>
        </w:rPr>
        <w:t xml:space="preserve">more closely </w:t>
      </w:r>
      <w:r>
        <w:rPr>
          <w:sz w:val="22"/>
          <w:szCs w:val="22"/>
        </w:rPr>
        <w:t>with</w:t>
      </w:r>
      <w:r w:rsidRPr="008D2D60">
        <w:rPr>
          <w:sz w:val="22"/>
          <w:szCs w:val="22"/>
        </w:rPr>
        <w:t xml:space="preserve"> </w:t>
      </w:r>
      <w:r w:rsidR="00AC3615">
        <w:rPr>
          <w:sz w:val="22"/>
          <w:szCs w:val="22"/>
        </w:rPr>
        <w:t>those specified in the 2008 and</w:t>
      </w:r>
      <w:r>
        <w:rPr>
          <w:sz w:val="22"/>
          <w:szCs w:val="22"/>
        </w:rPr>
        <w:t xml:space="preserve"> 20</w:t>
      </w:r>
      <w:r w:rsidR="001729D4">
        <w:rPr>
          <w:sz w:val="22"/>
          <w:szCs w:val="22"/>
        </w:rPr>
        <w:t>17</w:t>
      </w:r>
      <w:r>
        <w:rPr>
          <w:sz w:val="22"/>
          <w:szCs w:val="22"/>
        </w:rPr>
        <w:t xml:space="preserve"> HHS Guidelines that are used by more than 100 </w:t>
      </w:r>
      <w:r w:rsidRPr="008D2D60">
        <w:rPr>
          <w:sz w:val="22"/>
          <w:szCs w:val="22"/>
        </w:rPr>
        <w:t xml:space="preserve">Federal employee workplace drug testing programs and comparable Federal agency drug testing programs </w:t>
      </w:r>
      <w:r>
        <w:rPr>
          <w:sz w:val="22"/>
          <w:szCs w:val="22"/>
        </w:rPr>
        <w:t>that test civilians in safety</w:t>
      </w:r>
      <w:r>
        <w:rPr>
          <w:sz w:val="22"/>
          <w:szCs w:val="22"/>
        </w:rPr>
        <w:noBreakHyphen/>
        <w:t xml:space="preserve"> and security-sensitive positions.  </w:t>
      </w:r>
      <w:r w:rsidR="009D29E5">
        <w:rPr>
          <w:sz w:val="22"/>
          <w:szCs w:val="22"/>
        </w:rPr>
        <w:t>This rule</w:t>
      </w:r>
      <w:r>
        <w:rPr>
          <w:sz w:val="22"/>
          <w:szCs w:val="22"/>
        </w:rPr>
        <w:t xml:space="preserve"> also </w:t>
      </w:r>
      <w:r w:rsidRPr="00FE3AD1">
        <w:rPr>
          <w:rFonts w:cs="Arial"/>
          <w:sz w:val="22"/>
          <w:szCs w:val="22"/>
        </w:rPr>
        <w:t>incorporate</w:t>
      </w:r>
      <w:r w:rsidR="00BA6BEA">
        <w:rPr>
          <w:rFonts w:cs="Arial"/>
          <w:sz w:val="22"/>
          <w:szCs w:val="22"/>
        </w:rPr>
        <w:t>s</w:t>
      </w:r>
      <w:r w:rsidRPr="00FE3AD1">
        <w:rPr>
          <w:rFonts w:cs="Arial"/>
          <w:sz w:val="22"/>
          <w:szCs w:val="22"/>
        </w:rPr>
        <w:t xml:space="preserve"> lessons learned from implement</w:t>
      </w:r>
      <w:r>
        <w:rPr>
          <w:rFonts w:cs="Arial"/>
          <w:sz w:val="22"/>
          <w:szCs w:val="22"/>
        </w:rPr>
        <w:t>ation of</w:t>
      </w:r>
      <w:r w:rsidRPr="0014460C">
        <w:rPr>
          <w:rFonts w:cs="Arial"/>
          <w:sz w:val="22"/>
          <w:szCs w:val="22"/>
        </w:rPr>
        <w:t xml:space="preserve"> the 2008 FFD </w:t>
      </w:r>
      <w:r>
        <w:rPr>
          <w:rFonts w:cs="Arial"/>
          <w:sz w:val="22"/>
          <w:szCs w:val="22"/>
        </w:rPr>
        <w:t xml:space="preserve">final </w:t>
      </w:r>
      <w:r w:rsidRPr="0014460C">
        <w:rPr>
          <w:rFonts w:cs="Arial"/>
          <w:sz w:val="22"/>
          <w:szCs w:val="22"/>
        </w:rPr>
        <w:t>rule</w:t>
      </w:r>
      <w:r>
        <w:rPr>
          <w:rFonts w:cs="Arial"/>
          <w:sz w:val="22"/>
          <w:szCs w:val="22"/>
        </w:rPr>
        <w:t xml:space="preserve"> </w:t>
      </w:r>
      <w:r w:rsidR="00AC3615">
        <w:rPr>
          <w:rFonts w:cs="Arial"/>
          <w:sz w:val="22"/>
          <w:szCs w:val="22"/>
        </w:rPr>
        <w:t>and enhance</w:t>
      </w:r>
      <w:r w:rsidR="00BA6BEA">
        <w:rPr>
          <w:rFonts w:cs="Arial"/>
          <w:sz w:val="22"/>
          <w:szCs w:val="22"/>
        </w:rPr>
        <w:t>s</w:t>
      </w:r>
      <w:r w:rsidR="00AC3615">
        <w:rPr>
          <w:rFonts w:cs="Arial"/>
          <w:sz w:val="22"/>
          <w:szCs w:val="22"/>
        </w:rPr>
        <w:t xml:space="preserve"> donor protection and due process requirements for individuals subject to drug testing</w:t>
      </w:r>
      <w:r>
        <w:rPr>
          <w:rFonts w:cs="Arial"/>
          <w:sz w:val="22"/>
          <w:szCs w:val="22"/>
        </w:rPr>
        <w:t>.</w:t>
      </w:r>
    </w:p>
    <w:p w:rsidR="007508A4" w:rsidP="00D520BD" w:rsidRDefault="007508A4" w14:paraId="4DFBCAAE" w14:textId="77777777">
      <w:pPr>
        <w:rPr>
          <w:rFonts w:cs="Arial"/>
          <w:sz w:val="22"/>
          <w:szCs w:val="22"/>
        </w:rPr>
      </w:pPr>
    </w:p>
    <w:p w:rsidR="00D520BD" w:rsidP="00D520BD" w:rsidRDefault="00D520BD" w14:paraId="13CD3FCC" w14:textId="427DAB5F">
      <w:pPr>
        <w:numPr>
          <w:ilvl w:val="12"/>
          <w:numId w:val="0"/>
        </w:numPr>
        <w:tabs>
          <w:tab w:val="left" w:pos="721"/>
        </w:tabs>
        <w:rPr>
          <w:sz w:val="22"/>
          <w:szCs w:val="22"/>
        </w:rPr>
      </w:pPr>
      <w:r>
        <w:rPr>
          <w:sz w:val="22"/>
          <w:szCs w:val="22"/>
        </w:rPr>
        <w:lastRenderedPageBreak/>
        <w:t>T</w:t>
      </w:r>
      <w:r w:rsidRPr="0014460C">
        <w:rPr>
          <w:sz w:val="22"/>
          <w:szCs w:val="22"/>
        </w:rPr>
        <w:t xml:space="preserve">he NRC </w:t>
      </w:r>
      <w:r>
        <w:rPr>
          <w:sz w:val="22"/>
          <w:szCs w:val="22"/>
        </w:rPr>
        <w:t xml:space="preserve">staff </w:t>
      </w:r>
      <w:r w:rsidRPr="0014460C">
        <w:rPr>
          <w:sz w:val="22"/>
          <w:szCs w:val="22"/>
        </w:rPr>
        <w:t xml:space="preserve">performed a comprehensive review and comparison of </w:t>
      </w:r>
      <w:r>
        <w:rPr>
          <w:sz w:val="22"/>
          <w:szCs w:val="22"/>
        </w:rPr>
        <w:t>10 CFR Part 26</w:t>
      </w:r>
      <w:r w:rsidRPr="0014460C">
        <w:rPr>
          <w:sz w:val="22"/>
          <w:szCs w:val="22"/>
        </w:rPr>
        <w:t xml:space="preserve"> and the 2008 HHS Guidelines</w:t>
      </w:r>
      <w:r>
        <w:rPr>
          <w:sz w:val="22"/>
          <w:szCs w:val="22"/>
        </w:rPr>
        <w:t xml:space="preserve"> to identify the specific 10 CFR Part 26 provisions that should be revised</w:t>
      </w:r>
      <w:r w:rsidRPr="0014460C">
        <w:rPr>
          <w:sz w:val="22"/>
          <w:szCs w:val="22"/>
        </w:rPr>
        <w:t xml:space="preserve">.  The NRC </w:t>
      </w:r>
      <w:r>
        <w:rPr>
          <w:sz w:val="22"/>
          <w:szCs w:val="22"/>
        </w:rPr>
        <w:t xml:space="preserve">staff </w:t>
      </w:r>
      <w:r w:rsidRPr="0014460C">
        <w:rPr>
          <w:sz w:val="22"/>
          <w:szCs w:val="22"/>
        </w:rPr>
        <w:t xml:space="preserve">also analyzed the DOT </w:t>
      </w:r>
      <w:r w:rsidRPr="0014460C">
        <w:rPr>
          <w:rFonts w:cs="Arial"/>
          <w:sz w:val="22"/>
          <w:szCs w:val="22"/>
        </w:rPr>
        <w:t>testing policies in 49 CFR Part 40</w:t>
      </w:r>
      <w:r w:rsidR="00646A79">
        <w:rPr>
          <w:rFonts w:cs="Arial"/>
          <w:sz w:val="22"/>
          <w:szCs w:val="22"/>
        </w:rPr>
        <w:t>,</w:t>
      </w:r>
      <w:r w:rsidRPr="0014460C">
        <w:rPr>
          <w:rFonts w:cs="Arial"/>
          <w:sz w:val="22"/>
          <w:szCs w:val="22"/>
        </w:rPr>
        <w:t xml:space="preserve"> </w:t>
      </w:r>
      <w:r w:rsidR="00646A79">
        <w:rPr>
          <w:rFonts w:cs="Arial"/>
          <w:sz w:val="22"/>
          <w:szCs w:val="22"/>
        </w:rPr>
        <w:t>“</w:t>
      </w:r>
      <w:r w:rsidRPr="00C86C0D" w:rsidR="003D7272">
        <w:rPr>
          <w:rFonts w:cs="Arial"/>
          <w:sz w:val="22"/>
          <w:szCs w:val="22"/>
        </w:rPr>
        <w:t>Procedures</w:t>
      </w:r>
      <w:r w:rsidRPr="00C86C0D">
        <w:rPr>
          <w:rFonts w:cs="Arial"/>
          <w:sz w:val="22"/>
          <w:szCs w:val="22"/>
        </w:rPr>
        <w:t xml:space="preserve"> for </w:t>
      </w:r>
      <w:r w:rsidRPr="00C86C0D" w:rsidR="00392DCF">
        <w:rPr>
          <w:rFonts w:cs="Arial"/>
          <w:sz w:val="22"/>
          <w:szCs w:val="22"/>
        </w:rPr>
        <w:t>transportation workplace drug</w:t>
      </w:r>
      <w:r w:rsidRPr="00C86C0D">
        <w:rPr>
          <w:rFonts w:cs="Arial"/>
          <w:sz w:val="22"/>
          <w:szCs w:val="22"/>
        </w:rPr>
        <w:t xml:space="preserve"> and </w:t>
      </w:r>
      <w:r w:rsidRPr="00C86C0D" w:rsidR="00392DCF">
        <w:rPr>
          <w:rFonts w:cs="Arial"/>
          <w:sz w:val="22"/>
          <w:szCs w:val="22"/>
        </w:rPr>
        <w:t>alcohol testing programs</w:t>
      </w:r>
      <w:r w:rsidR="00646A79">
        <w:rPr>
          <w:rFonts w:cs="Arial"/>
          <w:sz w:val="22"/>
          <w:szCs w:val="22"/>
        </w:rPr>
        <w:t>,”</w:t>
      </w:r>
      <w:r w:rsidRPr="00C86C0D">
        <w:rPr>
          <w:rFonts w:cs="Arial"/>
          <w:sz w:val="22"/>
          <w:szCs w:val="22"/>
        </w:rPr>
        <w:t xml:space="preserve"> </w:t>
      </w:r>
      <w:r w:rsidRPr="0014460C">
        <w:rPr>
          <w:sz w:val="22"/>
          <w:szCs w:val="22"/>
        </w:rPr>
        <w:t xml:space="preserve">and the technical and policy issues identified during implementation of the 2008 FFD </w:t>
      </w:r>
      <w:r>
        <w:rPr>
          <w:sz w:val="22"/>
          <w:szCs w:val="22"/>
        </w:rPr>
        <w:t xml:space="preserve">final </w:t>
      </w:r>
      <w:r w:rsidRPr="0014460C">
        <w:rPr>
          <w:sz w:val="22"/>
          <w:szCs w:val="22"/>
        </w:rPr>
        <w:t xml:space="preserve">rule.  These efforts resulted in a list of potential changes to </w:t>
      </w:r>
      <w:r>
        <w:rPr>
          <w:sz w:val="22"/>
          <w:szCs w:val="22"/>
        </w:rPr>
        <w:t>10 CFR Part 26</w:t>
      </w:r>
      <w:r w:rsidRPr="0014460C">
        <w:rPr>
          <w:sz w:val="22"/>
          <w:szCs w:val="22"/>
        </w:rPr>
        <w:t xml:space="preserve"> (</w:t>
      </w:r>
      <w:r w:rsidR="00773487">
        <w:rPr>
          <w:sz w:val="22"/>
          <w:szCs w:val="22"/>
        </w:rPr>
        <w:t>NRC</w:t>
      </w:r>
      <w:r w:rsidR="00646A79">
        <w:rPr>
          <w:sz w:val="22"/>
          <w:szCs w:val="22"/>
        </w:rPr>
        <w:t>,</w:t>
      </w:r>
      <w:r w:rsidR="00773487">
        <w:rPr>
          <w:sz w:val="22"/>
          <w:szCs w:val="22"/>
        </w:rPr>
        <w:t xml:space="preserve"> 2011a</w:t>
      </w:r>
      <w:r w:rsidRPr="0014460C">
        <w:rPr>
          <w:rFonts w:cs="Arial"/>
          <w:sz w:val="22"/>
          <w:szCs w:val="22"/>
        </w:rPr>
        <w:t>)</w:t>
      </w:r>
      <w:r w:rsidR="00646A79">
        <w:rPr>
          <w:sz w:val="22"/>
          <w:szCs w:val="22"/>
        </w:rPr>
        <w:t>,</w:t>
      </w:r>
      <w:r w:rsidRPr="0014460C">
        <w:rPr>
          <w:sz w:val="22"/>
          <w:szCs w:val="22"/>
        </w:rPr>
        <w:t xml:space="preserve"> which the NRC staff presented to stakeholders in a series of public meetings to elicit feedback to further inform the </w:t>
      </w:r>
      <w:r w:rsidRPr="00447449">
        <w:rPr>
          <w:sz w:val="22"/>
          <w:szCs w:val="22"/>
        </w:rPr>
        <w:t>decisionmaking</w:t>
      </w:r>
      <w:r w:rsidRPr="00FE3AD1">
        <w:rPr>
          <w:sz w:val="22"/>
          <w:szCs w:val="22"/>
        </w:rPr>
        <w:t xml:space="preserve"> process on potential regulatory changes</w:t>
      </w:r>
      <w:r w:rsidRPr="0014460C">
        <w:rPr>
          <w:sz w:val="22"/>
          <w:szCs w:val="22"/>
        </w:rPr>
        <w:t>.</w:t>
      </w:r>
    </w:p>
    <w:p w:rsidRPr="0014460C" w:rsidR="00D520BD" w:rsidP="00D520BD" w:rsidRDefault="00D520BD" w14:paraId="4415426F" w14:textId="350308ED">
      <w:pPr>
        <w:numPr>
          <w:ilvl w:val="12"/>
          <w:numId w:val="0"/>
        </w:numPr>
        <w:tabs>
          <w:tab w:val="left" w:pos="721"/>
        </w:tabs>
        <w:rPr>
          <w:sz w:val="22"/>
          <w:szCs w:val="22"/>
        </w:rPr>
      </w:pPr>
    </w:p>
    <w:p w:rsidR="00D520BD" w:rsidP="00D520BD" w:rsidRDefault="00D520BD" w14:paraId="7EA2878B" w14:textId="58344B38">
      <w:pPr>
        <w:numPr>
          <w:ilvl w:val="12"/>
          <w:numId w:val="0"/>
        </w:numPr>
        <w:tabs>
          <w:tab w:val="left" w:pos="721"/>
        </w:tabs>
        <w:rPr>
          <w:rFonts w:cs="Arial" w:eastAsiaTheme="minorHAnsi"/>
          <w:sz w:val="22"/>
          <w:szCs w:val="22"/>
        </w:rPr>
      </w:pPr>
      <w:r w:rsidRPr="0014460C">
        <w:rPr>
          <w:rFonts w:cs="Arial" w:eastAsiaTheme="minorHAnsi"/>
          <w:sz w:val="22"/>
          <w:szCs w:val="22"/>
        </w:rPr>
        <w:t xml:space="preserve">Based on the </w:t>
      </w:r>
      <w:r w:rsidR="00C82BFF">
        <w:rPr>
          <w:rFonts w:cs="Arial" w:eastAsiaTheme="minorHAnsi"/>
          <w:sz w:val="22"/>
          <w:szCs w:val="22"/>
        </w:rPr>
        <w:t>result</w:t>
      </w:r>
      <w:r>
        <w:rPr>
          <w:rFonts w:cs="Arial" w:eastAsiaTheme="minorHAnsi"/>
          <w:sz w:val="22"/>
          <w:szCs w:val="22"/>
        </w:rPr>
        <w:t>s presented in Section 5 of this document</w:t>
      </w:r>
      <w:r w:rsidR="00646A79">
        <w:rPr>
          <w:rFonts w:cs="Arial" w:eastAsiaTheme="minorHAnsi"/>
          <w:sz w:val="22"/>
          <w:szCs w:val="22"/>
        </w:rPr>
        <w:t>,</w:t>
      </w:r>
      <w:r w:rsidRPr="0014460C">
        <w:rPr>
          <w:rFonts w:cs="Arial" w:eastAsiaTheme="minorHAnsi"/>
          <w:sz w:val="22"/>
          <w:szCs w:val="22"/>
        </w:rPr>
        <w:t xml:space="preserve"> </w:t>
      </w:r>
      <w:r>
        <w:rPr>
          <w:rFonts w:cs="Arial" w:eastAsiaTheme="minorHAnsi"/>
          <w:sz w:val="22"/>
          <w:szCs w:val="22"/>
        </w:rPr>
        <w:t xml:space="preserve">the </w:t>
      </w:r>
      <w:r w:rsidRPr="0014460C">
        <w:rPr>
          <w:rFonts w:cs="Arial" w:eastAsiaTheme="minorHAnsi"/>
          <w:sz w:val="22"/>
          <w:szCs w:val="22"/>
        </w:rPr>
        <w:t xml:space="preserve">NRC staff expects that the revisions to </w:t>
      </w:r>
      <w:r>
        <w:rPr>
          <w:rFonts w:cs="Arial" w:eastAsiaTheme="minorHAnsi"/>
          <w:sz w:val="22"/>
          <w:szCs w:val="22"/>
        </w:rPr>
        <w:t>10 CFR Part 26</w:t>
      </w:r>
      <w:r w:rsidRPr="0014460C">
        <w:rPr>
          <w:rFonts w:cs="Arial" w:eastAsiaTheme="minorHAnsi"/>
          <w:sz w:val="22"/>
          <w:szCs w:val="22"/>
        </w:rPr>
        <w:t xml:space="preserve"> </w:t>
      </w:r>
      <w:r w:rsidR="001A13A9">
        <w:rPr>
          <w:rFonts w:cs="Arial" w:eastAsiaTheme="minorHAnsi"/>
          <w:sz w:val="22"/>
          <w:szCs w:val="22"/>
        </w:rPr>
        <w:t>will</w:t>
      </w:r>
      <w:r w:rsidRPr="0014460C">
        <w:rPr>
          <w:rFonts w:cs="Arial" w:eastAsiaTheme="minorHAnsi"/>
          <w:sz w:val="22"/>
          <w:szCs w:val="22"/>
        </w:rPr>
        <w:t xml:space="preserve"> </w:t>
      </w:r>
      <w:r w:rsidR="007A548B">
        <w:rPr>
          <w:rFonts w:cs="Arial" w:eastAsiaTheme="minorHAnsi"/>
          <w:sz w:val="22"/>
          <w:szCs w:val="22"/>
        </w:rPr>
        <w:t xml:space="preserve">substantially </w:t>
      </w:r>
      <w:r>
        <w:rPr>
          <w:rFonts w:cs="Arial" w:eastAsiaTheme="minorHAnsi"/>
          <w:sz w:val="22"/>
          <w:szCs w:val="22"/>
        </w:rPr>
        <w:t xml:space="preserve">enhance safety and security at </w:t>
      </w:r>
      <w:r w:rsidRPr="00CD4D83">
        <w:rPr>
          <w:rFonts w:cs="Arial" w:eastAsiaTheme="minorHAnsi"/>
          <w:sz w:val="22"/>
          <w:szCs w:val="22"/>
        </w:rPr>
        <w:t>NRC</w:t>
      </w:r>
      <w:r w:rsidR="00BA6BEA">
        <w:rPr>
          <w:rFonts w:cs="Arial" w:eastAsiaTheme="minorHAnsi"/>
          <w:sz w:val="22"/>
          <w:szCs w:val="22"/>
        </w:rPr>
        <w:noBreakHyphen/>
      </w:r>
      <w:r w:rsidRPr="00CD4D83">
        <w:rPr>
          <w:rFonts w:cs="Arial" w:eastAsiaTheme="minorHAnsi"/>
          <w:sz w:val="22"/>
          <w:szCs w:val="22"/>
        </w:rPr>
        <w:t xml:space="preserve">licensed facilities by identifying approximately </w:t>
      </w:r>
      <w:r w:rsidR="000B76EB">
        <w:rPr>
          <w:sz w:val="22"/>
          <w:szCs w:val="22"/>
        </w:rPr>
        <w:t>22</w:t>
      </w:r>
      <w:r w:rsidRPr="00CD4D83">
        <w:rPr>
          <w:sz w:val="22"/>
          <w:szCs w:val="22"/>
        </w:rPr>
        <w:t> percent more</w:t>
      </w:r>
      <w:r w:rsidRPr="00CD4D83">
        <w:rPr>
          <w:rFonts w:cs="Arial" w:eastAsiaTheme="minorHAnsi"/>
          <w:sz w:val="22"/>
          <w:szCs w:val="22"/>
        </w:rPr>
        <w:t xml:space="preserve"> individuals (potential</w:t>
      </w:r>
      <w:r w:rsidRPr="00FE3AD1">
        <w:rPr>
          <w:rFonts w:cs="Arial" w:eastAsiaTheme="minorHAnsi"/>
          <w:sz w:val="22"/>
          <w:szCs w:val="22"/>
        </w:rPr>
        <w:t xml:space="preserve"> employees and employees of licensees and other entities</w:t>
      </w:r>
      <w:r>
        <w:rPr>
          <w:rFonts w:cs="Arial" w:eastAsiaTheme="minorHAnsi"/>
          <w:sz w:val="22"/>
          <w:szCs w:val="22"/>
        </w:rPr>
        <w:t xml:space="preserve">) each year using </w:t>
      </w:r>
      <w:r w:rsidRPr="00FE3AD1">
        <w:rPr>
          <w:rFonts w:cs="Arial" w:eastAsiaTheme="minorHAnsi"/>
          <w:sz w:val="22"/>
          <w:szCs w:val="22"/>
        </w:rPr>
        <w:t>illegal drug</w:t>
      </w:r>
      <w:r>
        <w:rPr>
          <w:rFonts w:cs="Arial" w:eastAsiaTheme="minorHAnsi"/>
          <w:sz w:val="22"/>
          <w:szCs w:val="22"/>
        </w:rPr>
        <w:t>s</w:t>
      </w:r>
      <w:r w:rsidR="00646A79">
        <w:rPr>
          <w:rFonts w:cs="Arial" w:eastAsiaTheme="minorHAnsi"/>
          <w:sz w:val="22"/>
          <w:szCs w:val="22"/>
        </w:rPr>
        <w:t>,</w:t>
      </w:r>
      <w:r>
        <w:rPr>
          <w:rFonts w:cs="Arial" w:eastAsiaTheme="minorHAnsi"/>
          <w:sz w:val="22"/>
          <w:szCs w:val="22"/>
        </w:rPr>
        <w:t xml:space="preserve"> misusing </w:t>
      </w:r>
      <w:r w:rsidRPr="00FE3AD1">
        <w:rPr>
          <w:rFonts w:cs="Arial" w:eastAsiaTheme="minorHAnsi"/>
          <w:sz w:val="22"/>
          <w:szCs w:val="22"/>
        </w:rPr>
        <w:t>legal drug</w:t>
      </w:r>
      <w:r>
        <w:rPr>
          <w:rFonts w:cs="Arial" w:eastAsiaTheme="minorHAnsi"/>
          <w:sz w:val="22"/>
          <w:szCs w:val="22"/>
        </w:rPr>
        <w:t>s</w:t>
      </w:r>
      <w:r w:rsidR="00646A79">
        <w:rPr>
          <w:rFonts w:cs="Arial" w:eastAsiaTheme="minorHAnsi"/>
          <w:sz w:val="22"/>
          <w:szCs w:val="22"/>
        </w:rPr>
        <w:t>,</w:t>
      </w:r>
      <w:r>
        <w:rPr>
          <w:rFonts w:cs="Arial" w:eastAsiaTheme="minorHAnsi"/>
          <w:sz w:val="22"/>
          <w:szCs w:val="22"/>
        </w:rPr>
        <w:t xml:space="preserve"> or attempting to subvert the drug testing process</w:t>
      </w:r>
      <w:r w:rsidRPr="00FE3AD1">
        <w:rPr>
          <w:rFonts w:cs="Arial" w:eastAsiaTheme="minorHAnsi"/>
          <w:sz w:val="22"/>
          <w:szCs w:val="22"/>
        </w:rPr>
        <w:t xml:space="preserve">.  </w:t>
      </w:r>
      <w:r>
        <w:rPr>
          <w:rFonts w:cs="Arial" w:eastAsiaTheme="minorHAnsi"/>
          <w:sz w:val="22"/>
          <w:szCs w:val="22"/>
        </w:rPr>
        <w:t>The changes to the drug testing program (e.g.</w:t>
      </w:r>
      <w:r w:rsidR="00646A79">
        <w:rPr>
          <w:rFonts w:cs="Arial" w:eastAsiaTheme="minorHAnsi"/>
          <w:sz w:val="22"/>
          <w:szCs w:val="22"/>
        </w:rPr>
        <w:t>,</w:t>
      </w:r>
      <w:r>
        <w:rPr>
          <w:rFonts w:cs="Arial" w:eastAsiaTheme="minorHAnsi"/>
          <w:sz w:val="22"/>
          <w:szCs w:val="22"/>
        </w:rPr>
        <w:t> lower testing cutoff levels</w:t>
      </w:r>
      <w:r w:rsidR="00646A79">
        <w:rPr>
          <w:rFonts w:cs="Arial" w:eastAsiaTheme="minorHAnsi"/>
          <w:sz w:val="22"/>
          <w:szCs w:val="22"/>
        </w:rPr>
        <w:t>,</w:t>
      </w:r>
      <w:r>
        <w:rPr>
          <w:rFonts w:cs="Arial" w:eastAsiaTheme="minorHAnsi"/>
          <w:sz w:val="22"/>
          <w:szCs w:val="22"/>
        </w:rPr>
        <w:t xml:space="preserve"> expanded drug testing panel</w:t>
      </w:r>
      <w:r w:rsidR="00646A79">
        <w:rPr>
          <w:rFonts w:cs="Arial" w:eastAsiaTheme="minorHAnsi"/>
          <w:sz w:val="22"/>
          <w:szCs w:val="22"/>
        </w:rPr>
        <w:t>,</w:t>
      </w:r>
      <w:r>
        <w:rPr>
          <w:rFonts w:cs="Arial" w:eastAsiaTheme="minorHAnsi"/>
          <w:sz w:val="22"/>
          <w:szCs w:val="22"/>
        </w:rPr>
        <w:t xml:space="preserve"> subversion detection methods) also </w:t>
      </w:r>
      <w:r w:rsidR="005A214C">
        <w:rPr>
          <w:rFonts w:cs="Arial" w:eastAsiaTheme="minorHAnsi"/>
          <w:sz w:val="22"/>
          <w:szCs w:val="22"/>
        </w:rPr>
        <w:t>may</w:t>
      </w:r>
      <w:r w:rsidRPr="00FE3AD1">
        <w:rPr>
          <w:rFonts w:cs="Arial" w:eastAsiaTheme="minorHAnsi"/>
          <w:sz w:val="22"/>
          <w:szCs w:val="22"/>
        </w:rPr>
        <w:t xml:space="preserve"> deter </w:t>
      </w:r>
      <w:r>
        <w:rPr>
          <w:rFonts w:cs="Arial" w:eastAsiaTheme="minorHAnsi"/>
          <w:sz w:val="22"/>
          <w:szCs w:val="22"/>
        </w:rPr>
        <w:t>additional individuals using drugs from seeking employment in 10 CFR</w:t>
      </w:r>
      <w:r w:rsidR="00F5345E">
        <w:rPr>
          <w:rFonts w:cs="Arial" w:eastAsiaTheme="minorHAnsi"/>
          <w:sz w:val="22"/>
          <w:szCs w:val="22"/>
        </w:rPr>
        <w:t xml:space="preserve"> </w:t>
      </w:r>
      <w:r>
        <w:rPr>
          <w:rFonts w:cs="Arial" w:eastAsiaTheme="minorHAnsi"/>
          <w:sz w:val="22"/>
          <w:szCs w:val="22"/>
        </w:rPr>
        <w:t>Part 26</w:t>
      </w:r>
      <w:r w:rsidR="00F5345E">
        <w:rPr>
          <w:rFonts w:cs="Arial" w:eastAsiaTheme="minorHAnsi"/>
          <w:sz w:val="22"/>
          <w:szCs w:val="22"/>
        </w:rPr>
        <w:t xml:space="preserve"> </w:t>
      </w:r>
      <w:r>
        <w:rPr>
          <w:rFonts w:cs="Arial" w:eastAsiaTheme="minorHAnsi"/>
          <w:sz w:val="22"/>
          <w:szCs w:val="22"/>
        </w:rPr>
        <w:t>regulated workplaces</w:t>
      </w:r>
      <w:r w:rsidR="00E72ED8">
        <w:rPr>
          <w:rFonts w:cs="Arial" w:eastAsiaTheme="minorHAnsi"/>
          <w:sz w:val="22"/>
          <w:szCs w:val="22"/>
        </w:rPr>
        <w:t>,</w:t>
      </w:r>
      <w:r>
        <w:rPr>
          <w:rFonts w:cs="Arial" w:eastAsiaTheme="minorHAnsi"/>
          <w:sz w:val="22"/>
          <w:szCs w:val="22"/>
        </w:rPr>
        <w:t xml:space="preserve"> and </w:t>
      </w:r>
      <w:r w:rsidR="002B5D13">
        <w:rPr>
          <w:rFonts w:cs="Arial" w:eastAsiaTheme="minorHAnsi"/>
          <w:sz w:val="22"/>
          <w:szCs w:val="22"/>
        </w:rPr>
        <w:t>may incentivize those already in regulated positions</w:t>
      </w:r>
      <w:r>
        <w:rPr>
          <w:rFonts w:cs="Arial" w:eastAsiaTheme="minorHAnsi"/>
          <w:sz w:val="22"/>
          <w:szCs w:val="22"/>
        </w:rPr>
        <w:t xml:space="preserve"> to cease undetected use or seek medical assistance to address an addiction or misuse issue.</w:t>
      </w:r>
    </w:p>
    <w:p w:rsidR="00D520BD" w:rsidP="00D520BD" w:rsidRDefault="00D520BD" w14:paraId="3C36DCED" w14:textId="77777777">
      <w:pPr>
        <w:numPr>
          <w:ilvl w:val="12"/>
          <w:numId w:val="0"/>
        </w:numPr>
        <w:tabs>
          <w:tab w:val="left" w:pos="721"/>
        </w:tabs>
        <w:rPr>
          <w:rFonts w:cs="Arial" w:eastAsiaTheme="minorHAnsi"/>
          <w:sz w:val="22"/>
          <w:szCs w:val="22"/>
        </w:rPr>
      </w:pPr>
    </w:p>
    <w:p w:rsidRPr="0014460C" w:rsidR="00D520BD" w:rsidP="00D520BD" w:rsidRDefault="00D520BD" w14:paraId="1FC64CA3" w14:textId="7782BFB1">
      <w:pPr>
        <w:rPr>
          <w:sz w:val="22"/>
          <w:szCs w:val="22"/>
        </w:rPr>
      </w:pPr>
      <w:r w:rsidRPr="000B6A6A">
        <w:rPr>
          <w:rFonts w:cs="Arial"/>
          <w:sz w:val="22"/>
          <w:szCs w:val="22"/>
        </w:rPr>
        <w:t xml:space="preserve">The </w:t>
      </w:r>
      <w:r w:rsidR="00BA6BEA">
        <w:rPr>
          <w:rFonts w:cs="Arial"/>
          <w:sz w:val="22"/>
          <w:szCs w:val="22"/>
        </w:rPr>
        <w:t xml:space="preserve">final </w:t>
      </w:r>
      <w:r w:rsidRPr="000B6A6A">
        <w:rPr>
          <w:rFonts w:cs="Arial"/>
          <w:sz w:val="22"/>
          <w:szCs w:val="22"/>
        </w:rPr>
        <w:t xml:space="preserve">rule </w:t>
      </w:r>
      <w:r>
        <w:rPr>
          <w:rFonts w:cs="Arial"/>
          <w:sz w:val="22"/>
          <w:szCs w:val="22"/>
        </w:rPr>
        <w:t xml:space="preserve">also </w:t>
      </w:r>
      <w:r w:rsidRPr="000B6A6A">
        <w:rPr>
          <w:rFonts w:cs="Arial"/>
          <w:sz w:val="22"/>
          <w:szCs w:val="22"/>
        </w:rPr>
        <w:t>improve</w:t>
      </w:r>
      <w:r w:rsidR="00BA6BEA">
        <w:rPr>
          <w:rFonts w:cs="Arial"/>
          <w:sz w:val="22"/>
          <w:szCs w:val="22"/>
        </w:rPr>
        <w:t>s</w:t>
      </w:r>
      <w:r w:rsidRPr="000B6A6A">
        <w:rPr>
          <w:rFonts w:cs="Arial"/>
          <w:sz w:val="22"/>
          <w:szCs w:val="22"/>
        </w:rPr>
        <w:t xml:space="preserve"> regulatory efficiency </w:t>
      </w:r>
      <w:r>
        <w:rPr>
          <w:rFonts w:cs="Arial"/>
          <w:sz w:val="22"/>
          <w:szCs w:val="22"/>
        </w:rPr>
        <w:t>(e.g.</w:t>
      </w:r>
      <w:r w:rsidR="00646A79">
        <w:rPr>
          <w:rFonts w:cs="Arial"/>
          <w:sz w:val="22"/>
          <w:szCs w:val="22"/>
        </w:rPr>
        <w:t>,</w:t>
      </w:r>
      <w:r>
        <w:rPr>
          <w:rFonts w:cs="Arial"/>
          <w:sz w:val="22"/>
          <w:szCs w:val="22"/>
        </w:rPr>
        <w:t xml:space="preserve"> by </w:t>
      </w:r>
      <w:r w:rsidRPr="000B6A6A">
        <w:rPr>
          <w:rFonts w:cs="Arial"/>
          <w:sz w:val="22"/>
          <w:szCs w:val="22"/>
          <w:lang w:eastAsia="ko-KR"/>
        </w:rPr>
        <w:t>adding and updating definitions</w:t>
      </w:r>
      <w:r w:rsidR="00646A79">
        <w:rPr>
          <w:rFonts w:cs="Arial"/>
          <w:sz w:val="22"/>
          <w:szCs w:val="22"/>
          <w:lang w:eastAsia="ko-KR"/>
        </w:rPr>
        <w:t>,</w:t>
      </w:r>
      <w:r w:rsidRPr="000B6A6A">
        <w:rPr>
          <w:rFonts w:cs="Arial"/>
          <w:sz w:val="22"/>
          <w:szCs w:val="22"/>
          <w:lang w:eastAsia="ko-KR"/>
        </w:rPr>
        <w:t xml:space="preserve"> </w:t>
      </w:r>
      <w:r>
        <w:rPr>
          <w:rFonts w:cs="Arial"/>
          <w:sz w:val="22"/>
          <w:szCs w:val="22"/>
          <w:lang w:eastAsia="ko-KR"/>
        </w:rPr>
        <w:t xml:space="preserve">incorporating </w:t>
      </w:r>
      <w:r w:rsidRPr="000B6A6A">
        <w:rPr>
          <w:rFonts w:cs="Arial"/>
          <w:sz w:val="22"/>
          <w:szCs w:val="22"/>
          <w:lang w:eastAsia="ko-KR"/>
        </w:rPr>
        <w:t xml:space="preserve">lessons learned </w:t>
      </w:r>
      <w:r>
        <w:rPr>
          <w:rFonts w:cs="Arial"/>
          <w:sz w:val="22"/>
          <w:szCs w:val="22"/>
          <w:lang w:eastAsia="ko-KR"/>
        </w:rPr>
        <w:t>from</w:t>
      </w:r>
      <w:r w:rsidRPr="000B6A6A">
        <w:rPr>
          <w:rFonts w:cs="Arial"/>
          <w:sz w:val="22"/>
          <w:szCs w:val="22"/>
          <w:lang w:eastAsia="ko-KR"/>
        </w:rPr>
        <w:t xml:space="preserve"> implementation of the 2008 FFD final rule</w:t>
      </w:r>
      <w:r w:rsidR="00646A79">
        <w:rPr>
          <w:rFonts w:cs="Arial"/>
          <w:sz w:val="22"/>
          <w:szCs w:val="22"/>
          <w:lang w:eastAsia="ko-KR"/>
        </w:rPr>
        <w:t>,</w:t>
      </w:r>
      <w:r w:rsidRPr="000B6A6A">
        <w:rPr>
          <w:rFonts w:cs="Arial"/>
          <w:sz w:val="22"/>
          <w:szCs w:val="22"/>
          <w:lang w:eastAsia="ko-KR"/>
        </w:rPr>
        <w:t xml:space="preserve"> increasing flex</w:t>
      </w:r>
      <w:r>
        <w:rPr>
          <w:rFonts w:cs="Arial"/>
          <w:sz w:val="22"/>
          <w:szCs w:val="22"/>
          <w:lang w:eastAsia="ko-KR"/>
        </w:rPr>
        <w:t>ibility) and</w:t>
      </w:r>
      <w:r w:rsidRPr="000B6A6A">
        <w:rPr>
          <w:rFonts w:cs="Arial"/>
          <w:sz w:val="22"/>
          <w:szCs w:val="22"/>
          <w:lang w:eastAsia="ko-KR"/>
        </w:rPr>
        <w:t xml:space="preserve"> enhance</w:t>
      </w:r>
      <w:r w:rsidR="00CA32BF">
        <w:rPr>
          <w:rFonts w:cs="Arial"/>
          <w:sz w:val="22"/>
          <w:szCs w:val="22"/>
          <w:lang w:eastAsia="ko-KR"/>
        </w:rPr>
        <w:t>s</w:t>
      </w:r>
      <w:r w:rsidRPr="000B6A6A">
        <w:rPr>
          <w:rFonts w:cs="Arial"/>
          <w:sz w:val="22"/>
          <w:szCs w:val="22"/>
          <w:lang w:eastAsia="ko-KR"/>
        </w:rPr>
        <w:t xml:space="preserve"> donor protection and due process requirements</w:t>
      </w:r>
      <w:r>
        <w:rPr>
          <w:rFonts w:cs="Arial"/>
          <w:sz w:val="22"/>
          <w:szCs w:val="22"/>
          <w:lang w:eastAsia="ko-KR"/>
        </w:rPr>
        <w:t xml:space="preserve"> (e.g.</w:t>
      </w:r>
      <w:r w:rsidR="00646A79">
        <w:rPr>
          <w:rFonts w:cs="Arial"/>
          <w:sz w:val="22"/>
          <w:szCs w:val="22"/>
          <w:lang w:eastAsia="ko-KR"/>
        </w:rPr>
        <w:t>,</w:t>
      </w:r>
      <w:r>
        <w:rPr>
          <w:rFonts w:cs="Arial"/>
          <w:sz w:val="22"/>
          <w:szCs w:val="22"/>
          <w:lang w:eastAsia="ko-KR"/>
        </w:rPr>
        <w:t xml:space="preserve"> by </w:t>
      </w:r>
      <w:r w:rsidRPr="000B6A6A">
        <w:rPr>
          <w:rFonts w:cs="Arial"/>
          <w:sz w:val="22"/>
          <w:szCs w:val="22"/>
          <w:lang w:eastAsia="ko-KR"/>
        </w:rPr>
        <w:t>adding instructions for same</w:t>
      </w:r>
      <w:r>
        <w:rPr>
          <w:rFonts w:cs="Arial"/>
          <w:sz w:val="22"/>
          <w:szCs w:val="22"/>
          <w:lang w:eastAsia="ko-KR"/>
        </w:rPr>
        <w:noBreakHyphen/>
      </w:r>
      <w:r w:rsidRPr="000B6A6A">
        <w:rPr>
          <w:rFonts w:cs="Arial"/>
          <w:sz w:val="22"/>
          <w:szCs w:val="22"/>
          <w:lang w:eastAsia="ko-KR"/>
        </w:rPr>
        <w:t>gender observers who perform an</w:t>
      </w:r>
      <w:r>
        <w:rPr>
          <w:rFonts w:cs="Arial"/>
          <w:sz w:val="22"/>
          <w:szCs w:val="22"/>
          <w:lang w:eastAsia="ko-KR"/>
        </w:rPr>
        <w:t xml:space="preserve"> observed collection when a trained collector of the same gender as the donor is not available</w:t>
      </w:r>
      <w:r w:rsidR="00646A79">
        <w:rPr>
          <w:rFonts w:cs="Arial"/>
          <w:sz w:val="22"/>
          <w:szCs w:val="22"/>
          <w:lang w:eastAsia="ko-KR"/>
        </w:rPr>
        <w:t>,</w:t>
      </w:r>
      <w:r>
        <w:rPr>
          <w:rFonts w:cs="Arial"/>
          <w:sz w:val="22"/>
          <w:szCs w:val="22"/>
          <w:lang w:eastAsia="ko-KR"/>
        </w:rPr>
        <w:t xml:space="preserve"> </w:t>
      </w:r>
      <w:r w:rsidRPr="000B6A6A">
        <w:rPr>
          <w:rFonts w:cs="Arial"/>
          <w:sz w:val="22"/>
          <w:szCs w:val="22"/>
          <w:lang w:eastAsia="ko-KR"/>
        </w:rPr>
        <w:t xml:space="preserve">requiring the </w:t>
      </w:r>
      <w:r>
        <w:rPr>
          <w:rFonts w:cs="Arial"/>
          <w:sz w:val="22"/>
          <w:szCs w:val="22"/>
          <w:lang w:eastAsia="ko-KR"/>
        </w:rPr>
        <w:t>LOQ</w:t>
      </w:r>
      <w:r w:rsidRPr="000B6A6A">
        <w:rPr>
          <w:rFonts w:cs="Arial"/>
          <w:sz w:val="22"/>
          <w:szCs w:val="22"/>
          <w:lang w:eastAsia="ko-KR"/>
        </w:rPr>
        <w:t xml:space="preserve"> for special analyses testing of drugs and testing for adulterants</w:t>
      </w:r>
      <w:r w:rsidR="00646A79">
        <w:rPr>
          <w:rFonts w:cs="Arial"/>
          <w:sz w:val="22"/>
          <w:szCs w:val="22"/>
          <w:lang w:eastAsia="ko-KR"/>
        </w:rPr>
        <w:t>,</w:t>
      </w:r>
      <w:r>
        <w:rPr>
          <w:rFonts w:cs="Arial"/>
          <w:sz w:val="22"/>
          <w:szCs w:val="22"/>
          <w:lang w:eastAsia="ko-KR"/>
        </w:rPr>
        <w:t xml:space="preserve"> </w:t>
      </w:r>
      <w:r w:rsidRPr="000B6A6A">
        <w:rPr>
          <w:rFonts w:cs="Arial"/>
          <w:sz w:val="22"/>
          <w:szCs w:val="22"/>
          <w:lang w:eastAsia="ko-KR"/>
        </w:rPr>
        <w:t xml:space="preserve">adding </w:t>
      </w:r>
      <w:r>
        <w:rPr>
          <w:rFonts w:cs="Arial"/>
          <w:sz w:val="22"/>
          <w:szCs w:val="22"/>
          <w:lang w:eastAsia="ko-KR"/>
        </w:rPr>
        <w:t xml:space="preserve">a provision for </w:t>
      </w:r>
      <w:r w:rsidRPr="000B6A6A">
        <w:rPr>
          <w:rFonts w:cs="Arial"/>
          <w:sz w:val="22"/>
          <w:szCs w:val="22"/>
          <w:lang w:eastAsia="ko-KR"/>
        </w:rPr>
        <w:t xml:space="preserve">MRO review of invalid test results </w:t>
      </w:r>
      <w:r>
        <w:rPr>
          <w:rFonts w:cs="Arial"/>
          <w:sz w:val="22"/>
          <w:szCs w:val="22"/>
          <w:lang w:eastAsia="ko-KR"/>
        </w:rPr>
        <w:t xml:space="preserve">due to </w:t>
      </w:r>
      <w:r w:rsidRPr="000B6A6A">
        <w:rPr>
          <w:rFonts w:cs="Arial"/>
          <w:sz w:val="22"/>
          <w:szCs w:val="22"/>
          <w:lang w:eastAsia="ko-KR"/>
        </w:rPr>
        <w:t xml:space="preserve">high pH </w:t>
      </w:r>
      <w:r>
        <w:rPr>
          <w:rFonts w:cs="Arial"/>
          <w:sz w:val="22"/>
          <w:szCs w:val="22"/>
          <w:lang w:eastAsia="ko-KR"/>
        </w:rPr>
        <w:t xml:space="preserve">values </w:t>
      </w:r>
      <w:r w:rsidRPr="000B6A6A">
        <w:rPr>
          <w:rFonts w:cs="Arial"/>
          <w:sz w:val="22"/>
          <w:szCs w:val="22"/>
          <w:lang w:eastAsia="ko-KR"/>
        </w:rPr>
        <w:t>(9.0 to</w:t>
      </w:r>
      <w:r>
        <w:rPr>
          <w:rFonts w:cs="Arial"/>
          <w:sz w:val="22"/>
          <w:szCs w:val="22"/>
          <w:lang w:eastAsia="ko-KR"/>
        </w:rPr>
        <w:t xml:space="preserve"> 9.5))</w:t>
      </w:r>
      <w:r w:rsidRPr="000B6A6A">
        <w:rPr>
          <w:rFonts w:cs="Arial"/>
          <w:sz w:val="22"/>
          <w:szCs w:val="22"/>
          <w:lang w:eastAsia="ko-KR"/>
        </w:rPr>
        <w:t>.</w:t>
      </w:r>
    </w:p>
    <w:p w:rsidRPr="0014460C" w:rsidR="00D520BD" w:rsidP="00D520BD" w:rsidRDefault="00D520BD" w14:paraId="1576C935" w14:textId="77777777">
      <w:pPr>
        <w:numPr>
          <w:ilvl w:val="12"/>
          <w:numId w:val="0"/>
        </w:numPr>
        <w:tabs>
          <w:tab w:val="left" w:pos="721"/>
        </w:tabs>
        <w:rPr>
          <w:sz w:val="22"/>
          <w:szCs w:val="22"/>
        </w:rPr>
      </w:pPr>
    </w:p>
    <w:p w:rsidRPr="005A5966" w:rsidR="00D520BD" w:rsidP="00D520BD" w:rsidRDefault="00D520BD" w14:paraId="0911AE61" w14:textId="276518D0">
      <w:pPr>
        <w:pStyle w:val="Heading2"/>
        <w:ind w:left="720" w:hanging="720"/>
      </w:pPr>
      <w:bookmarkStart w:name="_Toc460412597" w:id="58"/>
      <w:bookmarkStart w:name="_Toc72840015" w:id="59"/>
      <w:bookmarkStart w:name="_Toc105681488" w:id="60"/>
      <w:bookmarkStart w:name="_Toc199932395" w:id="61"/>
      <w:bookmarkStart w:name="_Toc199932473" w:id="62"/>
      <w:bookmarkStart w:name="_Toc199932648" w:id="63"/>
      <w:r w:rsidRPr="005A5966">
        <w:t>2.3</w:t>
      </w:r>
      <w:r w:rsidRPr="005A5966">
        <w:tab/>
      </w:r>
      <w:r>
        <w:t>Alternative </w:t>
      </w:r>
      <w:r w:rsidRPr="005A5966">
        <w:t xml:space="preserve">3:  Address Issues </w:t>
      </w:r>
      <w:r w:rsidR="00A33207">
        <w:t>Without</w:t>
      </w:r>
      <w:r w:rsidRPr="005A5966">
        <w:t xml:space="preserve"> </w:t>
      </w:r>
      <w:r>
        <w:t>Rulemaking</w:t>
      </w:r>
      <w:bookmarkEnd w:id="58"/>
      <w:bookmarkEnd w:id="59"/>
      <w:bookmarkEnd w:id="60"/>
    </w:p>
    <w:p w:rsidRPr="000F6561" w:rsidR="00D520BD" w:rsidP="00D520BD" w:rsidRDefault="00D520BD" w14:paraId="065B7497" w14:textId="77777777">
      <w:pPr>
        <w:keepNext/>
        <w:numPr>
          <w:ilvl w:val="12"/>
          <w:numId w:val="0"/>
        </w:numPr>
        <w:tabs>
          <w:tab w:val="left" w:pos="721"/>
        </w:tabs>
        <w:rPr>
          <w:sz w:val="22"/>
          <w:szCs w:val="22"/>
        </w:rPr>
      </w:pPr>
    </w:p>
    <w:p w:rsidRPr="005A5966" w:rsidR="00D520BD" w:rsidP="00D520BD" w:rsidRDefault="00D520BD" w14:paraId="7D9484EA" w14:textId="30791EBB">
      <w:pPr>
        <w:rPr>
          <w:rFonts w:cs="Arial"/>
          <w:sz w:val="22"/>
          <w:szCs w:val="22"/>
        </w:rPr>
      </w:pPr>
      <w:r w:rsidRPr="005A5966">
        <w:rPr>
          <w:rFonts w:cs="Arial"/>
          <w:sz w:val="22"/>
          <w:szCs w:val="22"/>
        </w:rPr>
        <w:t>Under this alternative</w:t>
      </w:r>
      <w:r w:rsidR="00646A79">
        <w:rPr>
          <w:rFonts w:cs="Arial"/>
          <w:sz w:val="22"/>
          <w:szCs w:val="22"/>
        </w:rPr>
        <w:t>,</w:t>
      </w:r>
      <w:r w:rsidRPr="005A5966">
        <w:rPr>
          <w:rFonts w:cs="Arial"/>
          <w:sz w:val="22"/>
          <w:szCs w:val="22"/>
        </w:rPr>
        <w:t xml:space="preserve"> the NRC staff would not amend </w:t>
      </w:r>
      <w:r>
        <w:rPr>
          <w:rFonts w:cs="Arial"/>
          <w:sz w:val="22"/>
          <w:szCs w:val="22"/>
        </w:rPr>
        <w:t>10 CFR Part 26</w:t>
      </w:r>
      <w:r w:rsidRPr="005A5966">
        <w:rPr>
          <w:rFonts w:cs="Arial"/>
          <w:sz w:val="22"/>
          <w:szCs w:val="22"/>
        </w:rPr>
        <w:t xml:space="preserve">.  This alternative differs from the </w:t>
      </w:r>
      <w:r w:rsidR="00EF3EAF">
        <w:rPr>
          <w:rFonts w:cs="Arial"/>
          <w:sz w:val="22"/>
          <w:szCs w:val="22"/>
        </w:rPr>
        <w:t xml:space="preserve">Take </w:t>
      </w:r>
      <w:r>
        <w:rPr>
          <w:rFonts w:cs="Arial"/>
          <w:sz w:val="22"/>
          <w:szCs w:val="22"/>
        </w:rPr>
        <w:t>N</w:t>
      </w:r>
      <w:r w:rsidRPr="005A5966">
        <w:rPr>
          <w:rFonts w:cs="Arial"/>
          <w:sz w:val="22"/>
          <w:szCs w:val="22"/>
        </w:rPr>
        <w:t xml:space="preserve">o </w:t>
      </w:r>
      <w:r>
        <w:rPr>
          <w:rFonts w:cs="Arial"/>
          <w:sz w:val="22"/>
          <w:szCs w:val="22"/>
        </w:rPr>
        <w:t>A</w:t>
      </w:r>
      <w:r w:rsidRPr="005A5966">
        <w:rPr>
          <w:rFonts w:cs="Arial"/>
          <w:sz w:val="22"/>
          <w:szCs w:val="22"/>
        </w:rPr>
        <w:t>ction</w:t>
      </w:r>
      <w:r>
        <w:rPr>
          <w:rFonts w:cs="Arial"/>
          <w:sz w:val="22"/>
          <w:szCs w:val="22"/>
        </w:rPr>
        <w:t xml:space="preserve"> alternative</w:t>
      </w:r>
      <w:r w:rsidRPr="005A5966">
        <w:rPr>
          <w:rFonts w:cs="Arial"/>
          <w:sz w:val="22"/>
          <w:szCs w:val="22"/>
        </w:rPr>
        <w:t xml:space="preserve"> </w:t>
      </w:r>
      <w:r>
        <w:rPr>
          <w:rFonts w:cs="Arial"/>
          <w:sz w:val="22"/>
          <w:szCs w:val="22"/>
        </w:rPr>
        <w:t xml:space="preserve">(Alternative 1) </w:t>
      </w:r>
      <w:r w:rsidRPr="005A5966">
        <w:rPr>
          <w:rFonts w:cs="Arial"/>
          <w:sz w:val="22"/>
          <w:szCs w:val="22"/>
        </w:rPr>
        <w:t xml:space="preserve">because </w:t>
      </w:r>
      <w:r>
        <w:rPr>
          <w:rFonts w:cs="Arial"/>
          <w:sz w:val="22"/>
          <w:szCs w:val="22"/>
        </w:rPr>
        <w:t>it</w:t>
      </w:r>
      <w:r w:rsidRPr="005A5966">
        <w:rPr>
          <w:rFonts w:cs="Arial"/>
          <w:sz w:val="22"/>
          <w:szCs w:val="22"/>
        </w:rPr>
        <w:t xml:space="preserve"> would </w:t>
      </w:r>
      <w:r>
        <w:rPr>
          <w:rFonts w:cs="Arial"/>
          <w:sz w:val="22"/>
          <w:szCs w:val="22"/>
        </w:rPr>
        <w:t xml:space="preserve">attempt to </w:t>
      </w:r>
      <w:r w:rsidRPr="005A5966">
        <w:rPr>
          <w:rFonts w:cs="Arial"/>
          <w:sz w:val="22"/>
          <w:szCs w:val="22"/>
        </w:rPr>
        <w:t>address FFD concerns through other means</w:t>
      </w:r>
      <w:r w:rsidR="00646A79">
        <w:rPr>
          <w:rFonts w:cs="Arial"/>
          <w:sz w:val="22"/>
          <w:szCs w:val="22"/>
        </w:rPr>
        <w:t>,</w:t>
      </w:r>
      <w:r w:rsidRPr="005A5966">
        <w:rPr>
          <w:rFonts w:cs="Arial"/>
          <w:sz w:val="22"/>
          <w:szCs w:val="22"/>
        </w:rPr>
        <w:t xml:space="preserve"> such as </w:t>
      </w:r>
      <w:r>
        <w:rPr>
          <w:rFonts w:cs="Arial"/>
          <w:sz w:val="22"/>
          <w:szCs w:val="22"/>
        </w:rPr>
        <w:t xml:space="preserve">a </w:t>
      </w:r>
      <w:r w:rsidRPr="005A5966">
        <w:rPr>
          <w:rFonts w:cs="Arial"/>
          <w:sz w:val="22"/>
          <w:szCs w:val="22"/>
        </w:rPr>
        <w:t>new regulatory guide</w:t>
      </w:r>
      <w:r w:rsidR="00646A79">
        <w:rPr>
          <w:rFonts w:cs="Arial"/>
          <w:sz w:val="22"/>
          <w:szCs w:val="22"/>
        </w:rPr>
        <w:t>,</w:t>
      </w:r>
      <w:r w:rsidRPr="005A5966">
        <w:rPr>
          <w:rFonts w:cs="Arial"/>
          <w:sz w:val="22"/>
          <w:szCs w:val="22"/>
        </w:rPr>
        <w:t xml:space="preserve"> generic communications</w:t>
      </w:r>
      <w:r w:rsidR="00646A79">
        <w:rPr>
          <w:rFonts w:cs="Arial"/>
          <w:sz w:val="22"/>
          <w:szCs w:val="22"/>
        </w:rPr>
        <w:t>,</w:t>
      </w:r>
      <w:r w:rsidRPr="005A5966">
        <w:rPr>
          <w:rFonts w:cs="Arial"/>
          <w:sz w:val="22"/>
          <w:szCs w:val="22"/>
        </w:rPr>
        <w:t xml:space="preserve"> stakeholder meetings</w:t>
      </w:r>
      <w:r w:rsidR="00646A79">
        <w:rPr>
          <w:rFonts w:cs="Arial"/>
          <w:sz w:val="22"/>
          <w:szCs w:val="22"/>
        </w:rPr>
        <w:t>,</w:t>
      </w:r>
      <w:r w:rsidRPr="005A5966">
        <w:rPr>
          <w:rFonts w:cs="Arial"/>
          <w:sz w:val="22"/>
          <w:szCs w:val="22"/>
        </w:rPr>
        <w:t xml:space="preserve"> </w:t>
      </w:r>
      <w:r>
        <w:rPr>
          <w:rFonts w:cs="Arial"/>
          <w:sz w:val="22"/>
          <w:szCs w:val="22"/>
        </w:rPr>
        <w:t>NRC inspections</w:t>
      </w:r>
      <w:r w:rsidR="00646A79">
        <w:rPr>
          <w:rFonts w:cs="Arial"/>
          <w:sz w:val="22"/>
          <w:szCs w:val="22"/>
        </w:rPr>
        <w:t>,</w:t>
      </w:r>
      <w:r>
        <w:rPr>
          <w:rFonts w:cs="Arial"/>
          <w:sz w:val="22"/>
          <w:szCs w:val="22"/>
        </w:rPr>
        <w:t xml:space="preserve"> or</w:t>
      </w:r>
      <w:r w:rsidRPr="005A5966">
        <w:rPr>
          <w:rFonts w:cs="Arial"/>
          <w:sz w:val="22"/>
          <w:szCs w:val="22"/>
        </w:rPr>
        <w:t xml:space="preserve"> other agency initiatives</w:t>
      </w:r>
      <w:r w:rsidR="00646A79">
        <w:rPr>
          <w:rFonts w:cs="Arial"/>
          <w:sz w:val="22"/>
          <w:szCs w:val="22"/>
        </w:rPr>
        <w:t>,</w:t>
      </w:r>
      <w:r>
        <w:rPr>
          <w:rFonts w:cs="Arial"/>
          <w:sz w:val="22"/>
          <w:szCs w:val="22"/>
        </w:rPr>
        <w:t xml:space="preserve"> or a combination of approaches</w:t>
      </w:r>
      <w:r w:rsidRPr="005A5966">
        <w:rPr>
          <w:rFonts w:cs="Arial"/>
          <w:sz w:val="22"/>
          <w:szCs w:val="22"/>
        </w:rPr>
        <w:t>.</w:t>
      </w:r>
    </w:p>
    <w:p w:rsidRPr="005A5966" w:rsidR="00D520BD" w:rsidP="00D520BD" w:rsidRDefault="00D520BD" w14:paraId="45BC10D3" w14:textId="77777777">
      <w:pPr>
        <w:rPr>
          <w:rFonts w:cs="Arial"/>
          <w:sz w:val="22"/>
          <w:szCs w:val="22"/>
        </w:rPr>
      </w:pPr>
    </w:p>
    <w:p w:rsidRPr="005A5966" w:rsidR="00D520BD" w:rsidP="00D520BD" w:rsidRDefault="00D520BD" w14:paraId="5ADE4664" w14:textId="77777777">
      <w:pPr>
        <w:keepNext/>
        <w:rPr>
          <w:rFonts w:cs="Arial"/>
          <w:sz w:val="22"/>
          <w:szCs w:val="22"/>
        </w:rPr>
      </w:pPr>
      <w:r w:rsidRPr="005A5966">
        <w:rPr>
          <w:rFonts w:cs="Arial"/>
          <w:sz w:val="22"/>
          <w:szCs w:val="22"/>
        </w:rPr>
        <w:t xml:space="preserve">This </w:t>
      </w:r>
      <w:r>
        <w:rPr>
          <w:rFonts w:cs="Arial"/>
          <w:sz w:val="22"/>
          <w:szCs w:val="22"/>
        </w:rPr>
        <w:t>alternative</w:t>
      </w:r>
      <w:r w:rsidRPr="005A5966">
        <w:rPr>
          <w:rFonts w:cs="Arial"/>
          <w:sz w:val="22"/>
          <w:szCs w:val="22"/>
        </w:rPr>
        <w:t xml:space="preserve"> is </w:t>
      </w:r>
      <w:r>
        <w:rPr>
          <w:rFonts w:cs="Arial"/>
          <w:sz w:val="22"/>
          <w:szCs w:val="22"/>
        </w:rPr>
        <w:t xml:space="preserve">not desirable </w:t>
      </w:r>
      <w:r w:rsidRPr="005A5966">
        <w:rPr>
          <w:rFonts w:cs="Arial"/>
          <w:sz w:val="22"/>
          <w:szCs w:val="22"/>
        </w:rPr>
        <w:t>for the following reasons:</w:t>
      </w:r>
    </w:p>
    <w:p w:rsidRPr="005A5966" w:rsidR="00D520BD" w:rsidP="00D520BD" w:rsidRDefault="00D520BD" w14:paraId="1C3F5F12" w14:textId="77777777">
      <w:pPr>
        <w:keepNext/>
        <w:ind w:left="360" w:hanging="360"/>
        <w:rPr>
          <w:rFonts w:cs="Arial"/>
          <w:sz w:val="22"/>
          <w:szCs w:val="22"/>
        </w:rPr>
      </w:pPr>
    </w:p>
    <w:p w:rsidR="00D520BD" w:rsidP="005C6BA3" w:rsidRDefault="00A33207" w14:paraId="462EE8DD" w14:textId="4081A0F1">
      <w:pPr>
        <w:pStyle w:val="ListParagraph"/>
        <w:numPr>
          <w:ilvl w:val="0"/>
          <w:numId w:val="3"/>
        </w:numPr>
        <w:ind w:hanging="720"/>
        <w:rPr>
          <w:rFonts w:cs="Arial"/>
          <w:sz w:val="22"/>
          <w:szCs w:val="22"/>
        </w:rPr>
      </w:pPr>
      <w:r>
        <w:rPr>
          <w:rFonts w:cs="Arial"/>
          <w:sz w:val="22"/>
          <w:szCs w:val="22"/>
        </w:rPr>
        <w:t>This alternative</w:t>
      </w:r>
      <w:r w:rsidRPr="005A5966" w:rsidR="00D520BD">
        <w:rPr>
          <w:rFonts w:cs="Arial"/>
          <w:sz w:val="22"/>
          <w:szCs w:val="22"/>
        </w:rPr>
        <w:t xml:space="preserve"> would not address all identified issues (see Section</w:t>
      </w:r>
      <w:r w:rsidR="00D520BD">
        <w:rPr>
          <w:rFonts w:cs="Arial"/>
          <w:sz w:val="22"/>
          <w:szCs w:val="22"/>
        </w:rPr>
        <w:t> </w:t>
      </w:r>
      <w:r w:rsidRPr="005A5966" w:rsidR="00D520BD">
        <w:rPr>
          <w:rFonts w:cs="Arial"/>
          <w:sz w:val="22"/>
          <w:szCs w:val="22"/>
        </w:rPr>
        <w:t>1.</w:t>
      </w:r>
      <w:r w:rsidR="00D520BD">
        <w:rPr>
          <w:rFonts w:cs="Arial"/>
          <w:sz w:val="22"/>
          <w:szCs w:val="22"/>
        </w:rPr>
        <w:t>2 of this document</w:t>
      </w:r>
      <w:r w:rsidRPr="005A5966" w:rsidR="00D520BD">
        <w:rPr>
          <w:rFonts w:cs="Arial"/>
          <w:sz w:val="22"/>
          <w:szCs w:val="22"/>
        </w:rPr>
        <w:t>)</w:t>
      </w:r>
      <w:r w:rsidR="00646A79">
        <w:rPr>
          <w:rFonts w:cs="Arial"/>
          <w:sz w:val="22"/>
          <w:szCs w:val="22"/>
        </w:rPr>
        <w:t>,</w:t>
      </w:r>
      <w:r w:rsidRPr="005A5966" w:rsidR="00D520BD">
        <w:rPr>
          <w:rFonts w:cs="Arial"/>
          <w:sz w:val="22"/>
          <w:szCs w:val="22"/>
        </w:rPr>
        <w:t xml:space="preserve"> because </w:t>
      </w:r>
      <w:r w:rsidR="006706FD">
        <w:rPr>
          <w:rFonts w:cs="Arial"/>
          <w:sz w:val="22"/>
          <w:szCs w:val="22"/>
        </w:rPr>
        <w:t>the resolutions for</w:t>
      </w:r>
      <w:r w:rsidR="006F0066">
        <w:rPr>
          <w:rFonts w:cs="Arial"/>
          <w:sz w:val="22"/>
          <w:szCs w:val="22"/>
        </w:rPr>
        <w:t xml:space="preserve"> </w:t>
      </w:r>
      <w:r w:rsidRPr="005A5966" w:rsidR="00D520BD">
        <w:rPr>
          <w:rFonts w:cs="Arial"/>
          <w:sz w:val="22"/>
          <w:szCs w:val="22"/>
        </w:rPr>
        <w:t>many issues</w:t>
      </w:r>
      <w:r w:rsidR="00646A79">
        <w:rPr>
          <w:rFonts w:cs="Arial"/>
          <w:sz w:val="22"/>
          <w:szCs w:val="22"/>
        </w:rPr>
        <w:t>,</w:t>
      </w:r>
      <w:r w:rsidR="00D520BD">
        <w:rPr>
          <w:rFonts w:cs="Arial"/>
          <w:sz w:val="22"/>
          <w:szCs w:val="22"/>
        </w:rPr>
        <w:t xml:space="preserve"> such as inconsistencies with the 2008 </w:t>
      </w:r>
      <w:r w:rsidR="00C71583">
        <w:rPr>
          <w:rFonts w:cs="Arial"/>
          <w:sz w:val="22"/>
          <w:szCs w:val="22"/>
        </w:rPr>
        <w:t xml:space="preserve">or 2017 </w:t>
      </w:r>
      <w:r w:rsidR="00D520BD">
        <w:rPr>
          <w:rFonts w:cs="Arial"/>
          <w:sz w:val="22"/>
          <w:szCs w:val="22"/>
        </w:rPr>
        <w:t>HHS Guidelines</w:t>
      </w:r>
      <w:r w:rsidR="00646A79">
        <w:rPr>
          <w:rFonts w:cs="Arial"/>
          <w:sz w:val="22"/>
          <w:szCs w:val="22"/>
        </w:rPr>
        <w:t>,</w:t>
      </w:r>
      <w:r w:rsidRPr="005A5966" w:rsidR="00D520BD">
        <w:rPr>
          <w:rFonts w:cs="Arial"/>
          <w:sz w:val="22"/>
          <w:szCs w:val="22"/>
        </w:rPr>
        <w:t xml:space="preserve"> require changes</w:t>
      </w:r>
      <w:r w:rsidR="00D520BD">
        <w:rPr>
          <w:rFonts w:cs="Arial"/>
          <w:sz w:val="22"/>
          <w:szCs w:val="22"/>
        </w:rPr>
        <w:t xml:space="preserve"> to 10 CFR Part 26</w:t>
      </w:r>
      <w:r w:rsidRPr="005A5966" w:rsidR="00D520BD">
        <w:rPr>
          <w:rFonts w:cs="Arial"/>
          <w:sz w:val="22"/>
          <w:szCs w:val="22"/>
        </w:rPr>
        <w:t>.</w:t>
      </w:r>
    </w:p>
    <w:p w:rsidR="00D520BD" w:rsidP="00D520BD" w:rsidRDefault="00D520BD" w14:paraId="10A85063" w14:textId="77777777">
      <w:pPr>
        <w:pStyle w:val="ListParagraph"/>
        <w:ind w:hanging="720"/>
        <w:rPr>
          <w:rFonts w:cs="Arial"/>
          <w:sz w:val="22"/>
          <w:szCs w:val="22"/>
        </w:rPr>
      </w:pPr>
    </w:p>
    <w:p w:rsidRPr="00817C43" w:rsidR="00D520BD" w:rsidP="005C6BA3" w:rsidRDefault="00A33207" w14:paraId="2420A13C" w14:textId="5825352C">
      <w:pPr>
        <w:pStyle w:val="ListParagraph"/>
        <w:numPr>
          <w:ilvl w:val="0"/>
          <w:numId w:val="3"/>
        </w:numPr>
        <w:ind w:hanging="720"/>
        <w:rPr>
          <w:sz w:val="22"/>
          <w:szCs w:val="22"/>
        </w:rPr>
      </w:pPr>
      <w:r>
        <w:rPr>
          <w:rFonts w:cs="Arial"/>
          <w:sz w:val="22"/>
          <w:szCs w:val="22"/>
        </w:rPr>
        <w:t>This alternative</w:t>
      </w:r>
      <w:r w:rsidRPr="005A5966">
        <w:rPr>
          <w:rFonts w:cs="Arial"/>
          <w:sz w:val="22"/>
          <w:szCs w:val="22"/>
        </w:rPr>
        <w:t xml:space="preserve"> </w:t>
      </w:r>
      <w:r w:rsidRPr="005A5966" w:rsidR="00D520BD">
        <w:rPr>
          <w:rFonts w:cs="Arial"/>
          <w:sz w:val="22"/>
          <w:szCs w:val="22"/>
        </w:rPr>
        <w:t xml:space="preserve">would </w:t>
      </w:r>
      <w:r w:rsidR="00D520BD">
        <w:rPr>
          <w:rFonts w:cs="Arial"/>
          <w:sz w:val="22"/>
          <w:szCs w:val="22"/>
        </w:rPr>
        <w:t>not incorporate comments from affected entities</w:t>
      </w:r>
      <w:r w:rsidRPr="005A5966" w:rsidR="00D520BD">
        <w:rPr>
          <w:rFonts w:cs="Arial"/>
          <w:sz w:val="22"/>
          <w:szCs w:val="22"/>
        </w:rPr>
        <w:t xml:space="preserve"> received by the NRC staff </w:t>
      </w:r>
      <w:r w:rsidR="00D520BD">
        <w:rPr>
          <w:rFonts w:cs="Arial"/>
          <w:sz w:val="22"/>
          <w:szCs w:val="22"/>
        </w:rPr>
        <w:t>at</w:t>
      </w:r>
      <w:r w:rsidRPr="005A5966" w:rsidR="00D520BD">
        <w:rPr>
          <w:rFonts w:cs="Arial"/>
          <w:sz w:val="22"/>
          <w:szCs w:val="22"/>
        </w:rPr>
        <w:t xml:space="preserve"> public meetings </w:t>
      </w:r>
      <w:r w:rsidR="00D520BD">
        <w:rPr>
          <w:rFonts w:cs="Arial"/>
          <w:sz w:val="22"/>
          <w:szCs w:val="22"/>
        </w:rPr>
        <w:t xml:space="preserve">that advocate </w:t>
      </w:r>
      <w:r w:rsidRPr="005A5966" w:rsidR="00D520BD">
        <w:rPr>
          <w:rFonts w:cs="Arial"/>
          <w:sz w:val="22"/>
          <w:szCs w:val="22"/>
        </w:rPr>
        <w:t>promulgat</w:t>
      </w:r>
      <w:r w:rsidR="00D520BD">
        <w:rPr>
          <w:rFonts w:cs="Arial"/>
          <w:sz w:val="22"/>
          <w:szCs w:val="22"/>
        </w:rPr>
        <w:t>ing rule changes</w:t>
      </w:r>
      <w:r w:rsidRPr="005A5966" w:rsidR="00D520BD">
        <w:rPr>
          <w:rFonts w:cs="Arial"/>
          <w:sz w:val="22"/>
          <w:szCs w:val="22"/>
        </w:rPr>
        <w:t xml:space="preserve"> to </w:t>
      </w:r>
      <w:r w:rsidR="00D520BD">
        <w:rPr>
          <w:rFonts w:cs="Arial"/>
          <w:sz w:val="22"/>
          <w:szCs w:val="22"/>
        </w:rPr>
        <w:t xml:space="preserve">update </w:t>
      </w:r>
      <w:r w:rsidRPr="005A5966" w:rsidR="00D520BD">
        <w:rPr>
          <w:rFonts w:cs="Arial"/>
          <w:sz w:val="22"/>
          <w:szCs w:val="22"/>
        </w:rPr>
        <w:t xml:space="preserve">the drug testing </w:t>
      </w:r>
      <w:r w:rsidR="00D520BD">
        <w:rPr>
          <w:rFonts w:cs="Arial"/>
          <w:sz w:val="22"/>
          <w:szCs w:val="22"/>
        </w:rPr>
        <w:t>panel</w:t>
      </w:r>
      <w:r w:rsidR="00646A79">
        <w:rPr>
          <w:rFonts w:cs="Arial"/>
          <w:sz w:val="22"/>
          <w:szCs w:val="22"/>
        </w:rPr>
        <w:t>,</w:t>
      </w:r>
      <w:r w:rsidR="00D520BD">
        <w:rPr>
          <w:rFonts w:cs="Arial"/>
          <w:sz w:val="22"/>
          <w:szCs w:val="22"/>
        </w:rPr>
        <w:t xml:space="preserve"> testing </w:t>
      </w:r>
      <w:r w:rsidRPr="005A5966" w:rsidR="00D520BD">
        <w:rPr>
          <w:rFonts w:cs="Arial"/>
          <w:sz w:val="22"/>
          <w:szCs w:val="22"/>
        </w:rPr>
        <w:t>methodologies</w:t>
      </w:r>
      <w:r w:rsidR="00646A79">
        <w:rPr>
          <w:rFonts w:cs="Arial"/>
          <w:sz w:val="22"/>
          <w:szCs w:val="22"/>
        </w:rPr>
        <w:t>,</w:t>
      </w:r>
      <w:r w:rsidRPr="005A5966" w:rsidR="00D520BD">
        <w:rPr>
          <w:rFonts w:cs="Arial"/>
          <w:sz w:val="22"/>
          <w:szCs w:val="22"/>
        </w:rPr>
        <w:t xml:space="preserve"> and evaluation criteria to help assure integrity</w:t>
      </w:r>
      <w:r w:rsidR="00646A79">
        <w:rPr>
          <w:rFonts w:cs="Arial"/>
          <w:sz w:val="22"/>
          <w:szCs w:val="22"/>
        </w:rPr>
        <w:t>,</w:t>
      </w:r>
      <w:r w:rsidRPr="005A5966" w:rsidR="00D520BD">
        <w:rPr>
          <w:rFonts w:cs="Arial"/>
          <w:sz w:val="22"/>
          <w:szCs w:val="22"/>
        </w:rPr>
        <w:t xml:space="preserve"> accuracy</w:t>
      </w:r>
      <w:r w:rsidR="00646A79">
        <w:rPr>
          <w:rFonts w:cs="Arial"/>
          <w:sz w:val="22"/>
          <w:szCs w:val="22"/>
        </w:rPr>
        <w:t>,</w:t>
      </w:r>
      <w:r w:rsidR="00D520BD">
        <w:rPr>
          <w:rFonts w:cs="Arial"/>
          <w:sz w:val="22"/>
          <w:szCs w:val="22"/>
        </w:rPr>
        <w:t xml:space="preserve"> sensitivity</w:t>
      </w:r>
      <w:r w:rsidR="00646A79">
        <w:rPr>
          <w:rFonts w:cs="Arial"/>
          <w:sz w:val="22"/>
          <w:szCs w:val="22"/>
        </w:rPr>
        <w:t>,</w:t>
      </w:r>
      <w:r w:rsidRPr="005A5966" w:rsidR="00D520BD">
        <w:rPr>
          <w:rFonts w:cs="Arial"/>
          <w:sz w:val="22"/>
          <w:szCs w:val="22"/>
        </w:rPr>
        <w:t xml:space="preserve"> and due process</w:t>
      </w:r>
      <w:r w:rsidR="00D520BD">
        <w:rPr>
          <w:rFonts w:cs="Arial"/>
          <w:sz w:val="22"/>
          <w:szCs w:val="22"/>
        </w:rPr>
        <w:t xml:space="preserve"> (</w:t>
      </w:r>
      <w:r w:rsidR="00ED66A3">
        <w:rPr>
          <w:rFonts w:cs="Arial"/>
          <w:sz w:val="22"/>
          <w:szCs w:val="22"/>
        </w:rPr>
        <w:t>NRC</w:t>
      </w:r>
      <w:r w:rsidR="00646A79">
        <w:rPr>
          <w:rFonts w:cs="Arial"/>
          <w:sz w:val="22"/>
          <w:szCs w:val="22"/>
        </w:rPr>
        <w:t>,</w:t>
      </w:r>
      <w:r w:rsidR="00ED66A3">
        <w:rPr>
          <w:rFonts w:cs="Arial"/>
          <w:sz w:val="22"/>
          <w:szCs w:val="22"/>
        </w:rPr>
        <w:t xml:space="preserve"> 2009a; NRC</w:t>
      </w:r>
      <w:r w:rsidR="00646A79">
        <w:rPr>
          <w:rFonts w:cs="Arial"/>
          <w:sz w:val="22"/>
          <w:szCs w:val="22"/>
        </w:rPr>
        <w:t>,</w:t>
      </w:r>
      <w:r w:rsidR="00ED66A3">
        <w:rPr>
          <w:rFonts w:cs="Arial"/>
          <w:sz w:val="22"/>
          <w:szCs w:val="22"/>
        </w:rPr>
        <w:t xml:space="preserve"> 2009</w:t>
      </w:r>
      <w:r w:rsidR="00082C4F">
        <w:rPr>
          <w:rFonts w:cs="Arial"/>
          <w:sz w:val="22"/>
          <w:szCs w:val="22"/>
        </w:rPr>
        <w:t>d</w:t>
      </w:r>
      <w:r w:rsidR="00ED66A3">
        <w:rPr>
          <w:rFonts w:cs="Arial"/>
          <w:sz w:val="22"/>
          <w:szCs w:val="22"/>
        </w:rPr>
        <w:t>; NRC</w:t>
      </w:r>
      <w:r w:rsidR="00646A79">
        <w:rPr>
          <w:rFonts w:cs="Arial"/>
          <w:sz w:val="22"/>
          <w:szCs w:val="22"/>
        </w:rPr>
        <w:t>,</w:t>
      </w:r>
      <w:r w:rsidR="00ED66A3">
        <w:rPr>
          <w:rFonts w:cs="Arial"/>
          <w:sz w:val="22"/>
          <w:szCs w:val="22"/>
        </w:rPr>
        <w:t xml:space="preserve"> 2009</w:t>
      </w:r>
      <w:r w:rsidR="0065747F">
        <w:rPr>
          <w:rFonts w:cs="Arial"/>
          <w:sz w:val="22"/>
          <w:szCs w:val="22"/>
        </w:rPr>
        <w:t>e</w:t>
      </w:r>
      <w:r w:rsidR="00ED66A3">
        <w:rPr>
          <w:rFonts w:cs="Arial"/>
          <w:sz w:val="22"/>
          <w:szCs w:val="22"/>
        </w:rPr>
        <w:t>; NRC</w:t>
      </w:r>
      <w:r w:rsidR="00646A79">
        <w:rPr>
          <w:rFonts w:cs="Arial"/>
          <w:sz w:val="22"/>
          <w:szCs w:val="22"/>
        </w:rPr>
        <w:t>,</w:t>
      </w:r>
      <w:r w:rsidR="009A6A65">
        <w:rPr>
          <w:rFonts w:cs="Arial"/>
          <w:sz w:val="22"/>
          <w:szCs w:val="22"/>
        </w:rPr>
        <w:t> </w:t>
      </w:r>
      <w:r w:rsidR="00ED66A3">
        <w:rPr>
          <w:rFonts w:cs="Arial"/>
          <w:sz w:val="22"/>
          <w:szCs w:val="22"/>
        </w:rPr>
        <w:t>2011b; and NRC</w:t>
      </w:r>
      <w:r w:rsidR="00646A79">
        <w:rPr>
          <w:rFonts w:cs="Arial"/>
          <w:sz w:val="22"/>
          <w:szCs w:val="22"/>
        </w:rPr>
        <w:t>,</w:t>
      </w:r>
      <w:r w:rsidR="00ED66A3">
        <w:rPr>
          <w:rFonts w:cs="Arial"/>
          <w:sz w:val="22"/>
          <w:szCs w:val="22"/>
        </w:rPr>
        <w:t xml:space="preserve"> 2013b)</w:t>
      </w:r>
      <w:r w:rsidRPr="005A5966" w:rsidR="00D520BD">
        <w:rPr>
          <w:rFonts w:cs="Arial"/>
          <w:sz w:val="22"/>
          <w:szCs w:val="22"/>
        </w:rPr>
        <w:t>.</w:t>
      </w:r>
    </w:p>
    <w:p w:rsidRPr="00817C43" w:rsidR="00D520BD" w:rsidP="00D520BD" w:rsidRDefault="00D520BD" w14:paraId="12D64847" w14:textId="77777777">
      <w:pPr>
        <w:pStyle w:val="ListParagraph"/>
        <w:ind w:hanging="720"/>
        <w:rPr>
          <w:sz w:val="22"/>
          <w:szCs w:val="22"/>
        </w:rPr>
      </w:pPr>
    </w:p>
    <w:p w:rsidRPr="00241256" w:rsidR="00D520BD" w:rsidP="005C6BA3" w:rsidRDefault="00A33207" w14:paraId="419F783A" w14:textId="4C376993">
      <w:pPr>
        <w:pStyle w:val="ListParagraph"/>
        <w:numPr>
          <w:ilvl w:val="0"/>
          <w:numId w:val="3"/>
        </w:numPr>
        <w:ind w:hanging="720"/>
        <w:rPr>
          <w:sz w:val="22"/>
          <w:szCs w:val="22"/>
        </w:rPr>
      </w:pPr>
      <w:r>
        <w:rPr>
          <w:rFonts w:cs="Arial"/>
          <w:sz w:val="22"/>
          <w:szCs w:val="22"/>
        </w:rPr>
        <w:t>This alternative</w:t>
      </w:r>
      <w:r w:rsidRPr="005A5966">
        <w:rPr>
          <w:rFonts w:cs="Arial"/>
          <w:sz w:val="22"/>
          <w:szCs w:val="22"/>
        </w:rPr>
        <w:t xml:space="preserve"> </w:t>
      </w:r>
      <w:r w:rsidRPr="00241256" w:rsidR="00D520BD">
        <w:rPr>
          <w:sz w:val="22"/>
          <w:szCs w:val="22"/>
        </w:rPr>
        <w:t xml:space="preserve">would not address an </w:t>
      </w:r>
      <w:r w:rsidR="00D520BD">
        <w:rPr>
          <w:sz w:val="22"/>
          <w:szCs w:val="22"/>
        </w:rPr>
        <w:t>NRC</w:t>
      </w:r>
      <w:r w:rsidDel="00BD3CBE" w:rsidR="00D520BD">
        <w:rPr>
          <w:sz w:val="22"/>
          <w:szCs w:val="22"/>
        </w:rPr>
        <w:t xml:space="preserve"> </w:t>
      </w:r>
      <w:r w:rsidR="006057F4">
        <w:rPr>
          <w:sz w:val="22"/>
          <w:szCs w:val="22"/>
        </w:rPr>
        <w:t>“</w:t>
      </w:r>
      <w:r w:rsidRPr="003F4791" w:rsidR="006057F4">
        <w:rPr>
          <w:rFonts w:cs="Arial"/>
          <w:sz w:val="22"/>
          <w:szCs w:val="22"/>
        </w:rPr>
        <w:t>Enforcement Guidance Memorandum—Dispositioning Violations of NRC Requirements for Initial Validity and Drug Tests at Licensee Testing Facilities</w:t>
      </w:r>
      <w:r w:rsidR="005D7709">
        <w:rPr>
          <w:rFonts w:cs="Arial"/>
          <w:sz w:val="22"/>
          <w:szCs w:val="22"/>
        </w:rPr>
        <w:t>,</w:t>
      </w:r>
      <w:r w:rsidR="006057F4">
        <w:rPr>
          <w:rFonts w:cs="Arial"/>
          <w:sz w:val="22"/>
          <w:szCs w:val="22"/>
        </w:rPr>
        <w:t>”</w:t>
      </w:r>
      <w:r w:rsidR="00816A8D">
        <w:rPr>
          <w:rFonts w:cs="Arial"/>
          <w:sz w:val="22"/>
          <w:szCs w:val="22"/>
        </w:rPr>
        <w:t xml:space="preserve"> EGM</w:t>
      </w:r>
      <w:r w:rsidR="00D547A2">
        <w:rPr>
          <w:rFonts w:cs="Arial"/>
          <w:sz w:val="22"/>
          <w:szCs w:val="22"/>
        </w:rPr>
        <w:t> </w:t>
      </w:r>
      <w:r w:rsidR="00816A8D">
        <w:rPr>
          <w:rFonts w:cs="Arial"/>
          <w:sz w:val="22"/>
          <w:szCs w:val="22"/>
        </w:rPr>
        <w:t>09</w:t>
      </w:r>
      <w:r w:rsidR="00D547A2">
        <w:rPr>
          <w:rFonts w:cs="Arial"/>
          <w:sz w:val="22"/>
          <w:szCs w:val="22"/>
        </w:rPr>
        <w:noBreakHyphen/>
      </w:r>
      <w:r w:rsidR="00DF676F">
        <w:rPr>
          <w:rFonts w:cs="Arial"/>
          <w:sz w:val="22"/>
          <w:szCs w:val="22"/>
        </w:rPr>
        <w:t>003,</w:t>
      </w:r>
      <w:r w:rsidRPr="00241256" w:rsidR="00D520BD">
        <w:rPr>
          <w:sz w:val="22"/>
          <w:szCs w:val="22"/>
        </w:rPr>
        <w:t xml:space="preserve"> </w:t>
      </w:r>
      <w:r w:rsidR="00D520BD">
        <w:rPr>
          <w:sz w:val="22"/>
          <w:szCs w:val="22"/>
        </w:rPr>
        <w:t>dated March 31</w:t>
      </w:r>
      <w:r w:rsidR="00646A79">
        <w:rPr>
          <w:sz w:val="22"/>
          <w:szCs w:val="22"/>
        </w:rPr>
        <w:t>,</w:t>
      </w:r>
      <w:r w:rsidR="00D520BD">
        <w:rPr>
          <w:sz w:val="22"/>
          <w:szCs w:val="22"/>
        </w:rPr>
        <w:t> 2009 (</w:t>
      </w:r>
      <w:r w:rsidR="00773487">
        <w:rPr>
          <w:sz w:val="22"/>
          <w:szCs w:val="22"/>
        </w:rPr>
        <w:t>NRC</w:t>
      </w:r>
      <w:r w:rsidR="00646A79">
        <w:rPr>
          <w:sz w:val="22"/>
          <w:szCs w:val="22"/>
        </w:rPr>
        <w:t>,</w:t>
      </w:r>
      <w:r w:rsidR="00773487">
        <w:rPr>
          <w:sz w:val="22"/>
          <w:szCs w:val="22"/>
        </w:rPr>
        <w:t xml:space="preserve"> 2009</w:t>
      </w:r>
      <w:r w:rsidR="001B382F">
        <w:rPr>
          <w:sz w:val="22"/>
          <w:szCs w:val="22"/>
        </w:rPr>
        <w:t>c</w:t>
      </w:r>
      <w:r w:rsidRPr="00241256" w:rsidR="00D520BD">
        <w:rPr>
          <w:sz w:val="22"/>
          <w:szCs w:val="22"/>
        </w:rPr>
        <w:t>)</w:t>
      </w:r>
      <w:r w:rsidR="00646A79">
        <w:rPr>
          <w:sz w:val="22"/>
          <w:szCs w:val="22"/>
        </w:rPr>
        <w:t>,</w:t>
      </w:r>
      <w:r w:rsidRPr="00241256" w:rsidR="00D520BD">
        <w:rPr>
          <w:sz w:val="22"/>
          <w:szCs w:val="22"/>
        </w:rPr>
        <w:t xml:space="preserve"> w</w:t>
      </w:r>
      <w:r w:rsidR="00D520BD">
        <w:rPr>
          <w:sz w:val="22"/>
          <w:szCs w:val="22"/>
        </w:rPr>
        <w:t>hich</w:t>
      </w:r>
      <w:r w:rsidRPr="00241256" w:rsidR="00D520BD">
        <w:rPr>
          <w:sz w:val="22"/>
          <w:szCs w:val="22"/>
        </w:rPr>
        <w:t xml:space="preserve"> </w:t>
      </w:r>
      <w:r w:rsidRPr="00241256" w:rsidR="00D520BD">
        <w:rPr>
          <w:sz w:val="22"/>
          <w:szCs w:val="22"/>
        </w:rPr>
        <w:lastRenderedPageBreak/>
        <w:t>describes inconsistencies in terminology associated with</w:t>
      </w:r>
      <w:r w:rsidR="00B834DD">
        <w:rPr>
          <w:sz w:val="22"/>
          <w:szCs w:val="22"/>
        </w:rPr>
        <w:t xml:space="preserve"> the testing of</w:t>
      </w:r>
      <w:r w:rsidRPr="00241256" w:rsidR="00D520BD">
        <w:rPr>
          <w:sz w:val="22"/>
          <w:szCs w:val="22"/>
        </w:rPr>
        <w:t xml:space="preserve"> quality control samples at licensee testing facilities</w:t>
      </w:r>
      <w:r w:rsidR="00B0769E">
        <w:rPr>
          <w:sz w:val="22"/>
          <w:szCs w:val="22"/>
        </w:rPr>
        <w:t xml:space="preserve"> (LTFs)</w:t>
      </w:r>
      <w:r w:rsidRPr="00241256" w:rsidR="00D520BD">
        <w:rPr>
          <w:sz w:val="22"/>
          <w:szCs w:val="22"/>
        </w:rPr>
        <w:t>.</w:t>
      </w:r>
    </w:p>
    <w:p w:rsidRPr="006D1625" w:rsidR="00D520BD" w:rsidP="00D520BD" w:rsidRDefault="00D520BD" w14:paraId="1DD417E6" w14:textId="77777777">
      <w:pPr>
        <w:pStyle w:val="ListParagraph"/>
        <w:ind w:hanging="720"/>
        <w:rPr>
          <w:sz w:val="22"/>
          <w:szCs w:val="22"/>
        </w:rPr>
      </w:pPr>
    </w:p>
    <w:p w:rsidR="00D520BD" w:rsidP="005C6BA3" w:rsidRDefault="00A33207" w14:paraId="6CA58953" w14:textId="2C8F88F7">
      <w:pPr>
        <w:pStyle w:val="ListParagraph"/>
        <w:numPr>
          <w:ilvl w:val="0"/>
          <w:numId w:val="3"/>
        </w:numPr>
        <w:ind w:hanging="720"/>
        <w:rPr>
          <w:sz w:val="22"/>
          <w:szCs w:val="22"/>
        </w:rPr>
      </w:pPr>
      <w:r>
        <w:rPr>
          <w:rFonts w:cs="Arial"/>
          <w:sz w:val="22"/>
          <w:szCs w:val="22"/>
        </w:rPr>
        <w:t>This alternative</w:t>
      </w:r>
      <w:r w:rsidRPr="005A5966">
        <w:rPr>
          <w:rFonts w:cs="Arial"/>
          <w:sz w:val="22"/>
          <w:szCs w:val="22"/>
        </w:rPr>
        <w:t xml:space="preserve"> </w:t>
      </w:r>
      <w:r w:rsidRPr="00C56042" w:rsidR="00D520BD">
        <w:rPr>
          <w:sz w:val="22"/>
          <w:szCs w:val="22"/>
        </w:rPr>
        <w:t>likely would result in inconsistenc</w:t>
      </w:r>
      <w:r w:rsidR="00D520BD">
        <w:rPr>
          <w:sz w:val="22"/>
          <w:szCs w:val="22"/>
        </w:rPr>
        <w:t>ies</w:t>
      </w:r>
      <w:r w:rsidRPr="00C56042" w:rsidR="00D520BD">
        <w:rPr>
          <w:sz w:val="22"/>
          <w:szCs w:val="22"/>
        </w:rPr>
        <w:t xml:space="preserve"> in </w:t>
      </w:r>
      <w:r w:rsidR="00D520BD">
        <w:rPr>
          <w:sz w:val="22"/>
          <w:szCs w:val="22"/>
        </w:rPr>
        <w:t xml:space="preserve">FFD </w:t>
      </w:r>
      <w:r w:rsidRPr="00C56042" w:rsidR="00D520BD">
        <w:rPr>
          <w:sz w:val="22"/>
          <w:szCs w:val="22"/>
        </w:rPr>
        <w:t xml:space="preserve">program implementation.  </w:t>
      </w:r>
      <w:r w:rsidRPr="00810152" w:rsidR="00D520BD">
        <w:rPr>
          <w:sz w:val="22"/>
          <w:szCs w:val="22"/>
        </w:rPr>
        <w:t xml:space="preserve">Under this </w:t>
      </w:r>
      <w:r w:rsidR="00D520BD">
        <w:rPr>
          <w:sz w:val="22"/>
          <w:szCs w:val="22"/>
        </w:rPr>
        <w:t>alternative</w:t>
      </w:r>
      <w:r w:rsidR="00646A79">
        <w:rPr>
          <w:sz w:val="22"/>
          <w:szCs w:val="22"/>
        </w:rPr>
        <w:t>,</w:t>
      </w:r>
      <w:r w:rsidRPr="00810152" w:rsidR="00D520BD">
        <w:rPr>
          <w:sz w:val="22"/>
          <w:szCs w:val="22"/>
        </w:rPr>
        <w:t xml:space="preserve"> affected entities </w:t>
      </w:r>
      <w:r w:rsidR="00D520BD">
        <w:rPr>
          <w:sz w:val="22"/>
          <w:szCs w:val="22"/>
        </w:rPr>
        <w:t>c</w:t>
      </w:r>
      <w:r w:rsidRPr="00810152" w:rsidR="00D520BD">
        <w:rPr>
          <w:sz w:val="22"/>
          <w:szCs w:val="22"/>
        </w:rPr>
        <w:t xml:space="preserve">ould </w:t>
      </w:r>
      <w:r w:rsidR="00D520BD">
        <w:rPr>
          <w:sz w:val="22"/>
          <w:szCs w:val="22"/>
        </w:rPr>
        <w:t>choose</w:t>
      </w:r>
      <w:r w:rsidRPr="00810152" w:rsidR="00D520BD">
        <w:rPr>
          <w:sz w:val="22"/>
          <w:szCs w:val="22"/>
        </w:rPr>
        <w:t xml:space="preserve"> to commit to all</w:t>
      </w:r>
      <w:r w:rsidR="00646A79">
        <w:rPr>
          <w:sz w:val="22"/>
          <w:szCs w:val="22"/>
        </w:rPr>
        <w:t>,</w:t>
      </w:r>
      <w:r w:rsidRPr="00810152" w:rsidR="00D520BD">
        <w:rPr>
          <w:sz w:val="22"/>
          <w:szCs w:val="22"/>
        </w:rPr>
        <w:t xml:space="preserve"> none</w:t>
      </w:r>
      <w:r w:rsidR="00646A79">
        <w:rPr>
          <w:sz w:val="22"/>
          <w:szCs w:val="22"/>
        </w:rPr>
        <w:t>,</w:t>
      </w:r>
      <w:r w:rsidRPr="00810152" w:rsidR="00D520BD">
        <w:rPr>
          <w:sz w:val="22"/>
          <w:szCs w:val="22"/>
        </w:rPr>
        <w:t xml:space="preserve"> or a portion of the</w:t>
      </w:r>
      <w:r w:rsidRPr="00C56042" w:rsidR="00D520BD">
        <w:rPr>
          <w:sz w:val="22"/>
          <w:szCs w:val="22"/>
        </w:rPr>
        <w:t xml:space="preserve"> guidance</w:t>
      </w:r>
      <w:r w:rsidR="00646A79">
        <w:rPr>
          <w:sz w:val="22"/>
          <w:szCs w:val="22"/>
        </w:rPr>
        <w:t>,</w:t>
      </w:r>
      <w:r w:rsidRPr="00C56042" w:rsidR="00D520BD">
        <w:rPr>
          <w:sz w:val="22"/>
          <w:szCs w:val="22"/>
        </w:rPr>
        <w:t xml:space="preserve"> which could lead to inconsistent implementati</w:t>
      </w:r>
      <w:r w:rsidRPr="00816E83" w:rsidR="00D520BD">
        <w:rPr>
          <w:sz w:val="22"/>
          <w:szCs w:val="22"/>
        </w:rPr>
        <w:t>on across the</w:t>
      </w:r>
      <w:r w:rsidRPr="00810152" w:rsidR="00D520BD">
        <w:rPr>
          <w:sz w:val="22"/>
          <w:szCs w:val="22"/>
        </w:rPr>
        <w:t xml:space="preserve"> industry and challenge regulatory effectiveness.</w:t>
      </w:r>
      <w:r w:rsidR="00D520BD">
        <w:rPr>
          <w:sz w:val="22"/>
          <w:szCs w:val="22"/>
        </w:rPr>
        <w:t xml:space="preserve">  However</w:t>
      </w:r>
      <w:r w:rsidR="00646A79">
        <w:rPr>
          <w:sz w:val="22"/>
          <w:szCs w:val="22"/>
        </w:rPr>
        <w:t>,</w:t>
      </w:r>
      <w:r w:rsidR="00D520BD">
        <w:rPr>
          <w:sz w:val="22"/>
          <w:szCs w:val="22"/>
        </w:rPr>
        <w:t xml:space="preserve"> as stated in the discussion of Alternative 1</w:t>
      </w:r>
      <w:r w:rsidR="00646A79">
        <w:rPr>
          <w:sz w:val="22"/>
          <w:szCs w:val="22"/>
        </w:rPr>
        <w:t>,</w:t>
      </w:r>
      <w:r w:rsidR="00D520BD">
        <w:rPr>
          <w:sz w:val="22"/>
          <w:szCs w:val="22"/>
        </w:rPr>
        <w:t xml:space="preserve"> 10 CFR 26.31(d) currently provides licensees with the flexibility to test for additional drugs or to use lower testing cutoff levels than required by 10 CFR Part 26</w:t>
      </w:r>
      <w:r w:rsidR="00646A79">
        <w:rPr>
          <w:sz w:val="22"/>
          <w:szCs w:val="22"/>
        </w:rPr>
        <w:t>,</w:t>
      </w:r>
      <w:r w:rsidR="00D520BD">
        <w:rPr>
          <w:sz w:val="22"/>
          <w:szCs w:val="22"/>
        </w:rPr>
        <w:t xml:space="preserve"> or both</w:t>
      </w:r>
      <w:r w:rsidR="00646A79">
        <w:rPr>
          <w:sz w:val="22"/>
          <w:szCs w:val="22"/>
        </w:rPr>
        <w:t>,</w:t>
      </w:r>
      <w:r w:rsidR="00D520BD">
        <w:rPr>
          <w:sz w:val="22"/>
          <w:szCs w:val="22"/>
        </w:rPr>
        <w:t xml:space="preserve"> but no FFD program has incorporated the changes in the 2008 </w:t>
      </w:r>
      <w:r>
        <w:rPr>
          <w:sz w:val="22"/>
          <w:szCs w:val="22"/>
        </w:rPr>
        <w:t xml:space="preserve">or 2017 </w:t>
      </w:r>
      <w:r w:rsidR="00D520BD">
        <w:rPr>
          <w:sz w:val="22"/>
          <w:szCs w:val="22"/>
        </w:rPr>
        <w:t>HHS Guidelines.  In addition</w:t>
      </w:r>
      <w:r w:rsidR="00646A79">
        <w:rPr>
          <w:sz w:val="22"/>
          <w:szCs w:val="22"/>
        </w:rPr>
        <w:t>,</w:t>
      </w:r>
      <w:r w:rsidR="00D520BD">
        <w:rPr>
          <w:sz w:val="22"/>
          <w:szCs w:val="22"/>
        </w:rPr>
        <w:t xml:space="preserve"> variability in drug testing programs could lead to additional burden on the NRC staff to assess and address compliance issues</w:t>
      </w:r>
      <w:r w:rsidR="00646A79">
        <w:rPr>
          <w:sz w:val="22"/>
          <w:szCs w:val="22"/>
        </w:rPr>
        <w:t>,</w:t>
      </w:r>
      <w:r w:rsidR="00D520BD">
        <w:rPr>
          <w:sz w:val="22"/>
          <w:szCs w:val="22"/>
        </w:rPr>
        <w:t xml:space="preserve"> answer questions from licensees</w:t>
      </w:r>
      <w:r w:rsidR="00646A79">
        <w:rPr>
          <w:sz w:val="22"/>
          <w:szCs w:val="22"/>
        </w:rPr>
        <w:t>,</w:t>
      </w:r>
      <w:r w:rsidR="00D520BD">
        <w:rPr>
          <w:sz w:val="22"/>
          <w:szCs w:val="22"/>
        </w:rPr>
        <w:t xml:space="preserve"> and answer questions from personnel subject to FFD program testing (especially for individuals</w:t>
      </w:r>
      <w:r w:rsidR="00646A79">
        <w:rPr>
          <w:sz w:val="22"/>
          <w:szCs w:val="22"/>
        </w:rPr>
        <w:t>,</w:t>
      </w:r>
      <w:r w:rsidR="00D520BD">
        <w:rPr>
          <w:sz w:val="22"/>
          <w:szCs w:val="22"/>
        </w:rPr>
        <w:t xml:space="preserve"> such as outage workers</w:t>
      </w:r>
      <w:r w:rsidR="00646A79">
        <w:rPr>
          <w:sz w:val="22"/>
          <w:szCs w:val="22"/>
        </w:rPr>
        <w:t>,</w:t>
      </w:r>
      <w:r w:rsidR="00D520BD">
        <w:rPr>
          <w:sz w:val="22"/>
          <w:szCs w:val="22"/>
        </w:rPr>
        <w:t xml:space="preserve"> who work for a variety of licensee programs).</w:t>
      </w:r>
    </w:p>
    <w:p w:rsidRPr="006975ED" w:rsidR="00D520BD" w:rsidP="00822500" w:rsidRDefault="00D520BD" w14:paraId="73D0E47E" w14:textId="77777777">
      <w:pPr>
        <w:rPr>
          <w:rFonts w:cs="Arial"/>
          <w:kern w:val="32"/>
          <w:sz w:val="22"/>
          <w:szCs w:val="22"/>
        </w:rPr>
      </w:pPr>
      <w:bookmarkStart w:name="_Toc460412598" w:id="64"/>
      <w:r w:rsidRPr="006975ED">
        <w:rPr>
          <w:sz w:val="22"/>
          <w:szCs w:val="22"/>
        </w:rPr>
        <w:br w:type="page"/>
      </w:r>
    </w:p>
    <w:p w:rsidRPr="005A5966" w:rsidR="00D520BD" w:rsidP="00D520BD" w:rsidRDefault="00D520BD" w14:paraId="2FDAA26C" w14:textId="77777777">
      <w:pPr>
        <w:pStyle w:val="Heading1"/>
        <w:ind w:left="720" w:hanging="720"/>
      </w:pPr>
      <w:bookmarkStart w:name="_Toc72840016" w:id="65"/>
      <w:bookmarkStart w:name="_Toc105681489" w:id="66"/>
      <w:r>
        <w:lastRenderedPageBreak/>
        <w:t>3.</w:t>
      </w:r>
      <w:r>
        <w:tab/>
      </w:r>
      <w:r w:rsidRPr="005A5966">
        <w:t>Safety Goal Evaluation</w:t>
      </w:r>
      <w:bookmarkEnd w:id="64"/>
      <w:bookmarkEnd w:id="65"/>
      <w:bookmarkEnd w:id="66"/>
    </w:p>
    <w:p w:rsidRPr="005A5966" w:rsidR="00D520BD" w:rsidP="00D520BD" w:rsidRDefault="00D520BD" w14:paraId="7195CB65"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D520BD" w:rsidP="00D520BD" w:rsidRDefault="00D520BD" w14:paraId="1AA8CA72" w14:textId="13714387">
      <w:pPr>
        <w:rPr>
          <w:sz w:val="22"/>
          <w:szCs w:val="22"/>
        </w:rPr>
      </w:pPr>
      <w:r w:rsidRPr="005A5966">
        <w:rPr>
          <w:sz w:val="22"/>
          <w:szCs w:val="22"/>
        </w:rPr>
        <w:t xml:space="preserve">A safety goal evaluation determines whether a regulatory requirement should not be imposed generically on nuclear power plants because </w:t>
      </w:r>
      <w:r w:rsidRPr="00DD46C1">
        <w:rPr>
          <w:sz w:val="22"/>
          <w:szCs w:val="22"/>
        </w:rPr>
        <w:t>the residual risk</w:t>
      </w:r>
      <w:r w:rsidRPr="005A5966">
        <w:rPr>
          <w:sz w:val="22"/>
          <w:szCs w:val="22"/>
        </w:rPr>
        <w:t xml:space="preserve"> is already acceptably low.</w:t>
      </w:r>
      <w:r>
        <w:rPr>
          <w:sz w:val="22"/>
          <w:szCs w:val="22"/>
        </w:rPr>
        <w:t xml:space="preserve">  The 1989 FFD rule addressed the significance of drug and alcohol testing on public health and safety by stating the following </w:t>
      </w:r>
      <w:r w:rsidR="006461FE">
        <w:rPr>
          <w:sz w:val="22"/>
          <w:szCs w:val="22"/>
        </w:rPr>
        <w:t>(54</w:t>
      </w:r>
      <w:r w:rsidR="00EF3EAF">
        <w:rPr>
          <w:sz w:val="22"/>
          <w:szCs w:val="22"/>
        </w:rPr>
        <w:t> </w:t>
      </w:r>
      <w:r w:rsidR="006461FE">
        <w:rPr>
          <w:sz w:val="22"/>
          <w:szCs w:val="22"/>
        </w:rPr>
        <w:t>FR</w:t>
      </w:r>
      <w:r w:rsidR="00EF3EAF">
        <w:rPr>
          <w:sz w:val="22"/>
          <w:szCs w:val="22"/>
        </w:rPr>
        <w:t> </w:t>
      </w:r>
      <w:r w:rsidR="006461FE">
        <w:rPr>
          <w:sz w:val="22"/>
          <w:szCs w:val="22"/>
        </w:rPr>
        <w:t>24468, June 7, 1989)</w:t>
      </w:r>
      <w:r>
        <w:rPr>
          <w:sz w:val="22"/>
          <w:szCs w:val="22"/>
        </w:rPr>
        <w:t>:</w:t>
      </w:r>
    </w:p>
    <w:p w:rsidR="00D520BD" w:rsidP="00D520BD" w:rsidRDefault="00D520BD" w14:paraId="586B287E" w14:textId="77777777">
      <w:pPr>
        <w:rPr>
          <w:sz w:val="22"/>
          <w:szCs w:val="22"/>
        </w:rPr>
      </w:pPr>
    </w:p>
    <w:p w:rsidR="00D520BD" w:rsidP="00D520BD" w:rsidRDefault="00D520BD" w14:paraId="21FD42A4" w14:textId="599444CB">
      <w:pPr>
        <w:ind w:left="720" w:right="720"/>
        <w:rPr>
          <w:sz w:val="22"/>
          <w:szCs w:val="22"/>
        </w:rPr>
      </w:pPr>
      <w:r w:rsidRPr="00CC25FF">
        <w:rPr>
          <w:sz w:val="22"/>
          <w:szCs w:val="22"/>
        </w:rPr>
        <w:t xml:space="preserve">The Commission is taking this action to significantly increase assurance of public health and safety. </w:t>
      </w:r>
      <w:r>
        <w:rPr>
          <w:sz w:val="22"/>
          <w:szCs w:val="22"/>
        </w:rPr>
        <w:t xml:space="preserve"> </w:t>
      </w:r>
      <w:r w:rsidRPr="00CC25FF">
        <w:rPr>
          <w:sz w:val="22"/>
          <w:szCs w:val="22"/>
        </w:rPr>
        <w:t>The scientific evidence is conclusive that significant detriments in cognitive and physical task performance result from intoxication due to illicit drug abuse</w:t>
      </w:r>
      <w:r w:rsidR="00646A79">
        <w:rPr>
          <w:sz w:val="22"/>
          <w:szCs w:val="22"/>
        </w:rPr>
        <w:t>,</w:t>
      </w:r>
      <w:r w:rsidRPr="00CC25FF">
        <w:rPr>
          <w:sz w:val="22"/>
          <w:szCs w:val="22"/>
        </w:rPr>
        <w:t xml:space="preserve"> as</w:t>
      </w:r>
      <w:r>
        <w:rPr>
          <w:sz w:val="22"/>
          <w:szCs w:val="22"/>
        </w:rPr>
        <w:t xml:space="preserve"> </w:t>
      </w:r>
      <w:r w:rsidRPr="00CC25FF">
        <w:rPr>
          <w:sz w:val="22"/>
          <w:szCs w:val="22"/>
        </w:rPr>
        <w:t xml:space="preserve">well as the use and misuse of legal substances. </w:t>
      </w:r>
      <w:r>
        <w:rPr>
          <w:sz w:val="22"/>
          <w:szCs w:val="22"/>
        </w:rPr>
        <w:t xml:space="preserve"> </w:t>
      </w:r>
      <w:r w:rsidRPr="00CC25FF">
        <w:rPr>
          <w:sz w:val="22"/>
          <w:szCs w:val="22"/>
        </w:rPr>
        <w:t>Given the addictive and impairing nature of certain drugs</w:t>
      </w:r>
      <w:r w:rsidR="00646A79">
        <w:rPr>
          <w:sz w:val="22"/>
          <w:szCs w:val="22"/>
        </w:rPr>
        <w:t>,</w:t>
      </w:r>
      <w:r w:rsidRPr="00CC25FF">
        <w:rPr>
          <w:sz w:val="22"/>
          <w:szCs w:val="22"/>
        </w:rPr>
        <w:t xml:space="preserve"> while recognizing that the presence of drug metabolites does not necessarily relate directly to a current impaired state</w:t>
      </w:r>
      <w:r w:rsidR="00646A79">
        <w:rPr>
          <w:sz w:val="22"/>
          <w:szCs w:val="22"/>
        </w:rPr>
        <w:t>,</w:t>
      </w:r>
      <w:r w:rsidRPr="00CC25FF">
        <w:rPr>
          <w:sz w:val="22"/>
          <w:szCs w:val="22"/>
        </w:rPr>
        <w:t xml:space="preserve"> the presence of drugs does strongly suggest the likelihood of past</w:t>
      </w:r>
      <w:r w:rsidR="00646A79">
        <w:rPr>
          <w:sz w:val="22"/>
          <w:szCs w:val="22"/>
        </w:rPr>
        <w:t>,</w:t>
      </w:r>
      <w:r w:rsidRPr="00CC25FF">
        <w:rPr>
          <w:sz w:val="22"/>
          <w:szCs w:val="22"/>
        </w:rPr>
        <w:t xml:space="preserve"> present</w:t>
      </w:r>
      <w:r w:rsidR="00646A79">
        <w:rPr>
          <w:sz w:val="22"/>
          <w:szCs w:val="22"/>
        </w:rPr>
        <w:t>,</w:t>
      </w:r>
      <w:r w:rsidRPr="00CC25FF">
        <w:rPr>
          <w:sz w:val="22"/>
          <w:szCs w:val="22"/>
        </w:rPr>
        <w:t xml:space="preserve"> or future impairment affecting job activities. </w:t>
      </w:r>
      <w:r>
        <w:rPr>
          <w:sz w:val="22"/>
          <w:szCs w:val="22"/>
        </w:rPr>
        <w:t xml:space="preserve"> </w:t>
      </w:r>
      <w:r w:rsidRPr="00CC25FF">
        <w:rPr>
          <w:sz w:val="22"/>
          <w:szCs w:val="22"/>
        </w:rPr>
        <w:t>In addition</w:t>
      </w:r>
      <w:r w:rsidR="00646A79">
        <w:rPr>
          <w:sz w:val="22"/>
          <w:szCs w:val="22"/>
        </w:rPr>
        <w:t>,</w:t>
      </w:r>
      <w:r w:rsidRPr="00CC25FF">
        <w:rPr>
          <w:sz w:val="22"/>
          <w:szCs w:val="22"/>
        </w:rPr>
        <w:t xml:space="preserve"> the NRC believes that the reliability</w:t>
      </w:r>
      <w:r w:rsidR="00646A79">
        <w:rPr>
          <w:sz w:val="22"/>
          <w:szCs w:val="22"/>
        </w:rPr>
        <w:t>,</w:t>
      </w:r>
      <w:r w:rsidRPr="00CC25FF">
        <w:rPr>
          <w:sz w:val="22"/>
          <w:szCs w:val="22"/>
        </w:rPr>
        <w:t xml:space="preserve"> integrity</w:t>
      </w:r>
      <w:r w:rsidR="00646A79">
        <w:rPr>
          <w:sz w:val="22"/>
          <w:szCs w:val="22"/>
        </w:rPr>
        <w:t>,</w:t>
      </w:r>
      <w:r w:rsidRPr="00CC25FF">
        <w:rPr>
          <w:sz w:val="22"/>
          <w:szCs w:val="22"/>
        </w:rPr>
        <w:t xml:space="preserve"> and trustworthiness of persons working within nuclear power plants is important to assure public health and safety</w:t>
      </w:r>
      <w:r>
        <w:rPr>
          <w:sz w:val="22"/>
          <w:szCs w:val="22"/>
        </w:rPr>
        <w:t>.</w:t>
      </w:r>
    </w:p>
    <w:p w:rsidR="00D520BD" w:rsidP="00D520BD" w:rsidRDefault="00D520BD" w14:paraId="0BF25164" w14:textId="77777777">
      <w:pPr>
        <w:rPr>
          <w:sz w:val="22"/>
          <w:szCs w:val="22"/>
        </w:rPr>
      </w:pPr>
    </w:p>
    <w:p w:rsidR="00D520BD" w:rsidP="00D520BD" w:rsidRDefault="00D520BD" w14:paraId="6A292B90" w14:textId="47B38D1D">
      <w:pPr>
        <w:rPr>
          <w:sz w:val="22"/>
          <w:szCs w:val="22"/>
        </w:rPr>
      </w:pPr>
      <w:r>
        <w:rPr>
          <w:sz w:val="22"/>
          <w:szCs w:val="22"/>
        </w:rPr>
        <w:t>The calendar year (CY) 2013 performance report (</w:t>
      </w:r>
      <w:r w:rsidR="003760ED">
        <w:rPr>
          <w:sz w:val="22"/>
          <w:szCs w:val="22"/>
        </w:rPr>
        <w:t>NRC</w:t>
      </w:r>
      <w:r w:rsidR="00646A79">
        <w:rPr>
          <w:sz w:val="22"/>
          <w:szCs w:val="22"/>
        </w:rPr>
        <w:t>,</w:t>
      </w:r>
      <w:r w:rsidR="003760ED">
        <w:rPr>
          <w:sz w:val="22"/>
          <w:szCs w:val="22"/>
        </w:rPr>
        <w:t xml:space="preserve"> 201</w:t>
      </w:r>
      <w:r w:rsidR="00F70124">
        <w:rPr>
          <w:sz w:val="22"/>
          <w:szCs w:val="22"/>
        </w:rPr>
        <w:t>4</w:t>
      </w:r>
      <w:r>
        <w:rPr>
          <w:sz w:val="22"/>
          <w:szCs w:val="22"/>
        </w:rPr>
        <w:t>)</w:t>
      </w:r>
      <w:r w:rsidR="00646A79">
        <w:rPr>
          <w:sz w:val="22"/>
          <w:szCs w:val="22"/>
        </w:rPr>
        <w:t>,</w:t>
      </w:r>
      <w:r>
        <w:rPr>
          <w:sz w:val="22"/>
          <w:szCs w:val="22"/>
        </w:rPr>
        <w:t xml:space="preserve"> summarizes the performance of the FFD drug testing program and states the following:</w:t>
      </w:r>
    </w:p>
    <w:p w:rsidR="00D520BD" w:rsidP="00D520BD" w:rsidRDefault="00D520BD" w14:paraId="48792308" w14:textId="77777777">
      <w:pPr>
        <w:rPr>
          <w:sz w:val="22"/>
          <w:szCs w:val="22"/>
        </w:rPr>
      </w:pPr>
    </w:p>
    <w:p w:rsidR="00D520BD" w:rsidP="00EE7D4E" w:rsidRDefault="00D520BD" w14:paraId="6A41BD13" w14:textId="355FB089">
      <w:pPr>
        <w:ind w:left="720" w:right="720"/>
        <w:rPr>
          <w:rFonts w:cs="Arial"/>
          <w:sz w:val="22"/>
          <w:szCs w:val="22"/>
        </w:rPr>
      </w:pPr>
      <w:r>
        <w:rPr>
          <w:sz w:val="22"/>
          <w:szCs w:val="22"/>
        </w:rPr>
        <w:t xml:space="preserve">Based on </w:t>
      </w:r>
      <w:r w:rsidR="00987A77">
        <w:rPr>
          <w:sz w:val="22"/>
          <w:szCs w:val="22"/>
        </w:rPr>
        <w:t xml:space="preserve">the </w:t>
      </w:r>
      <w:r>
        <w:rPr>
          <w:sz w:val="22"/>
          <w:szCs w:val="22"/>
        </w:rPr>
        <w:t>fitness</w:t>
      </w:r>
      <w:r w:rsidR="007D63A3">
        <w:rPr>
          <w:sz w:val="22"/>
          <w:szCs w:val="22"/>
        </w:rPr>
        <w:t>-</w:t>
      </w:r>
      <w:r>
        <w:rPr>
          <w:sz w:val="22"/>
          <w:szCs w:val="22"/>
        </w:rPr>
        <w:t>for</w:t>
      </w:r>
      <w:r w:rsidR="007D63A3">
        <w:rPr>
          <w:sz w:val="22"/>
          <w:szCs w:val="22"/>
        </w:rPr>
        <w:t>-</w:t>
      </w:r>
      <w:r>
        <w:rPr>
          <w:sz w:val="22"/>
          <w:szCs w:val="22"/>
        </w:rPr>
        <w:t xml:space="preserve">duty (FFD) performance information </w:t>
      </w:r>
      <w:r w:rsidRPr="00041B18">
        <w:rPr>
          <w:rFonts w:cs="Arial"/>
          <w:sz w:val="22"/>
          <w:szCs w:val="22"/>
        </w:rPr>
        <w:t xml:space="preserve">reported to the NRC and a comparison of this information to previous years </w:t>
      </w:r>
      <w:r w:rsidR="00987A77">
        <w:rPr>
          <w:rFonts w:cs="Arial"/>
          <w:sz w:val="22"/>
          <w:szCs w:val="22"/>
        </w:rPr>
        <w:t xml:space="preserve">data </w:t>
      </w:r>
      <w:r w:rsidRPr="00041B18">
        <w:rPr>
          <w:rFonts w:cs="Arial"/>
          <w:sz w:val="22"/>
          <w:szCs w:val="22"/>
        </w:rPr>
        <w:t>and other indicators</w:t>
      </w:r>
      <w:r w:rsidR="00646A79">
        <w:rPr>
          <w:rFonts w:cs="Arial"/>
          <w:sz w:val="22"/>
          <w:szCs w:val="22"/>
        </w:rPr>
        <w:t>,</w:t>
      </w:r>
      <w:r w:rsidRPr="00041B18">
        <w:rPr>
          <w:rFonts w:cs="Arial"/>
          <w:sz w:val="22"/>
          <w:szCs w:val="22"/>
        </w:rPr>
        <w:t xml:space="preserve"> the commercial nuclear industry continues to effectively implement the </w:t>
      </w:r>
      <w:r>
        <w:rPr>
          <w:rFonts w:cs="Arial"/>
          <w:sz w:val="22"/>
          <w:szCs w:val="22"/>
        </w:rPr>
        <w:t>Part </w:t>
      </w:r>
      <w:r w:rsidRPr="00041B18">
        <w:rPr>
          <w:rFonts w:cs="Arial"/>
          <w:sz w:val="22"/>
          <w:szCs w:val="22"/>
        </w:rPr>
        <w:t xml:space="preserve">26 drug and alcohol </w:t>
      </w:r>
      <w:r w:rsidR="007D63A3">
        <w:rPr>
          <w:rFonts w:cs="Arial"/>
          <w:sz w:val="22"/>
          <w:szCs w:val="22"/>
        </w:rPr>
        <w:t xml:space="preserve">(D&amp;A) </w:t>
      </w:r>
      <w:r w:rsidRPr="00041B18">
        <w:rPr>
          <w:rFonts w:cs="Arial"/>
          <w:sz w:val="22"/>
          <w:szCs w:val="22"/>
        </w:rPr>
        <w:t xml:space="preserve">provisions and FFD program results have directly contributed to public health and safety and the common defense and security. </w:t>
      </w:r>
      <w:r>
        <w:rPr>
          <w:rFonts w:cs="Arial"/>
          <w:sz w:val="22"/>
          <w:szCs w:val="22"/>
        </w:rPr>
        <w:t xml:space="preserve"> </w:t>
      </w:r>
      <w:r w:rsidRPr="00041B18">
        <w:rPr>
          <w:rFonts w:cs="Arial"/>
          <w:sz w:val="22"/>
          <w:szCs w:val="22"/>
        </w:rPr>
        <w:t>The data indicates no adverse trends</w:t>
      </w:r>
      <w:r w:rsidRPr="000D3B34" w:rsidR="007D2DE2">
        <w:rPr>
          <w:rFonts w:cs="Arial"/>
          <w:sz w:val="22"/>
          <w:szCs w:val="22"/>
          <w:vertAlign w:val="superscript"/>
        </w:rPr>
        <w:t>6</w:t>
      </w:r>
      <w:r w:rsidRPr="00041B18">
        <w:rPr>
          <w:rFonts w:cs="Arial"/>
          <w:sz w:val="22"/>
          <w:szCs w:val="22"/>
        </w:rPr>
        <w:t>; persons under the influence of illicit drugs and/or alcohol are being identified and remo</w:t>
      </w:r>
      <w:r>
        <w:rPr>
          <w:rFonts w:cs="Arial"/>
          <w:sz w:val="22"/>
          <w:szCs w:val="22"/>
        </w:rPr>
        <w:t xml:space="preserve">ved from the protected area </w:t>
      </w:r>
      <w:r w:rsidR="007D63A3">
        <w:rPr>
          <w:rFonts w:cs="Arial"/>
          <w:sz w:val="22"/>
          <w:szCs w:val="22"/>
        </w:rPr>
        <w:t xml:space="preserve">(PA) </w:t>
      </w:r>
      <w:r>
        <w:rPr>
          <w:rFonts w:cs="Arial"/>
          <w:sz w:val="22"/>
          <w:szCs w:val="22"/>
        </w:rPr>
        <w:t>of NRC</w:t>
      </w:r>
      <w:r>
        <w:rPr>
          <w:rFonts w:cs="Arial"/>
          <w:sz w:val="22"/>
          <w:szCs w:val="22"/>
        </w:rPr>
        <w:noBreakHyphen/>
      </w:r>
      <w:r w:rsidRPr="00041B18">
        <w:rPr>
          <w:rFonts w:cs="Arial"/>
          <w:sz w:val="22"/>
          <w:szCs w:val="22"/>
        </w:rPr>
        <w:t xml:space="preserve">licensed facilities; </w:t>
      </w:r>
      <w:proofErr w:type="gramStart"/>
      <w:r w:rsidRPr="00041B18">
        <w:rPr>
          <w:rFonts w:cs="Arial"/>
          <w:sz w:val="22"/>
          <w:szCs w:val="22"/>
        </w:rPr>
        <w:t>and</w:t>
      </w:r>
      <w:r w:rsidR="00646A79">
        <w:rPr>
          <w:rFonts w:cs="Arial"/>
          <w:sz w:val="22"/>
          <w:szCs w:val="22"/>
        </w:rPr>
        <w:t>,</w:t>
      </w:r>
      <w:proofErr w:type="gramEnd"/>
      <w:r w:rsidRPr="00041B18">
        <w:rPr>
          <w:rFonts w:cs="Arial"/>
          <w:sz w:val="22"/>
          <w:szCs w:val="22"/>
        </w:rPr>
        <w:t xml:space="preserve"> persons of questionable trustworthiness and reliability are being identified through aggressive testing methods (e.g.</w:t>
      </w:r>
      <w:r w:rsidR="00646A79">
        <w:rPr>
          <w:rFonts w:cs="Arial"/>
          <w:sz w:val="22"/>
          <w:szCs w:val="22"/>
        </w:rPr>
        <w:t>,</w:t>
      </w:r>
      <w:r>
        <w:rPr>
          <w:rFonts w:cs="Arial"/>
          <w:sz w:val="22"/>
          <w:szCs w:val="22"/>
        </w:rPr>
        <w:t> </w:t>
      </w:r>
      <w:r w:rsidRPr="00041B18">
        <w:rPr>
          <w:rFonts w:cs="Arial"/>
          <w:sz w:val="22"/>
          <w:szCs w:val="22"/>
        </w:rPr>
        <w:t>limit</w:t>
      </w:r>
      <w:r>
        <w:rPr>
          <w:rFonts w:cs="Arial"/>
          <w:sz w:val="22"/>
          <w:szCs w:val="22"/>
        </w:rPr>
        <w:noBreakHyphen/>
        <w:t>of</w:t>
      </w:r>
      <w:r>
        <w:rPr>
          <w:rFonts w:cs="Arial"/>
          <w:sz w:val="22"/>
          <w:szCs w:val="22"/>
        </w:rPr>
        <w:noBreakHyphen/>
      </w:r>
      <w:r w:rsidRPr="00041B18">
        <w:rPr>
          <w:rFonts w:cs="Arial"/>
          <w:sz w:val="22"/>
          <w:szCs w:val="22"/>
        </w:rPr>
        <w:t>detection testing</w:t>
      </w:r>
      <w:r w:rsidR="00646A79">
        <w:rPr>
          <w:rFonts w:cs="Arial"/>
          <w:sz w:val="22"/>
          <w:szCs w:val="22"/>
        </w:rPr>
        <w:t>,</w:t>
      </w:r>
      <w:r w:rsidRPr="00041B18">
        <w:rPr>
          <w:rFonts w:cs="Arial"/>
          <w:sz w:val="22"/>
          <w:szCs w:val="22"/>
        </w:rPr>
        <w:t xml:space="preserve"> lower cutoffs</w:t>
      </w:r>
      <w:r w:rsidR="00646A79">
        <w:rPr>
          <w:rFonts w:cs="Arial"/>
          <w:sz w:val="22"/>
          <w:szCs w:val="22"/>
        </w:rPr>
        <w:t>,</w:t>
      </w:r>
      <w:r w:rsidRPr="00041B18">
        <w:rPr>
          <w:rFonts w:cs="Arial"/>
          <w:sz w:val="22"/>
          <w:szCs w:val="22"/>
        </w:rPr>
        <w:t xml:space="preserve"> and effective monitoring during specimen collections). </w:t>
      </w:r>
      <w:r>
        <w:rPr>
          <w:rFonts w:cs="Arial"/>
          <w:sz w:val="22"/>
          <w:szCs w:val="22"/>
        </w:rPr>
        <w:t xml:space="preserve"> </w:t>
      </w:r>
      <w:r w:rsidRPr="00041B18">
        <w:rPr>
          <w:rFonts w:cs="Arial"/>
          <w:sz w:val="22"/>
          <w:szCs w:val="22"/>
        </w:rPr>
        <w:t>Industry identification and communication of program weaknesses</w:t>
      </w:r>
      <w:r w:rsidR="00646A79">
        <w:rPr>
          <w:rFonts w:cs="Arial"/>
          <w:sz w:val="22"/>
          <w:szCs w:val="22"/>
        </w:rPr>
        <w:t>,</w:t>
      </w:r>
      <w:r w:rsidRPr="00041B18">
        <w:rPr>
          <w:rFonts w:cs="Arial"/>
          <w:sz w:val="22"/>
          <w:szCs w:val="22"/>
        </w:rPr>
        <w:t xml:space="preserve"> lessons learned</w:t>
      </w:r>
      <w:r w:rsidR="00646A79">
        <w:rPr>
          <w:rFonts w:cs="Arial"/>
          <w:sz w:val="22"/>
          <w:szCs w:val="22"/>
        </w:rPr>
        <w:t>,</w:t>
      </w:r>
      <w:r w:rsidRPr="00041B18">
        <w:rPr>
          <w:rFonts w:cs="Arial"/>
          <w:sz w:val="22"/>
          <w:szCs w:val="22"/>
        </w:rPr>
        <w:t xml:space="preserve"> and corrective actions demonstrate commitment to improved performance and a drug</w:t>
      </w:r>
      <w:r w:rsidR="00987A77">
        <w:rPr>
          <w:rFonts w:cs="Arial"/>
          <w:sz w:val="22"/>
          <w:szCs w:val="22"/>
        </w:rPr>
        <w:noBreakHyphen/>
      </w:r>
      <w:r w:rsidRPr="00041B18">
        <w:rPr>
          <w:rFonts w:cs="Arial"/>
          <w:sz w:val="22"/>
          <w:szCs w:val="22"/>
        </w:rPr>
        <w:t xml:space="preserve">free </w:t>
      </w:r>
      <w:r>
        <w:rPr>
          <w:rFonts w:cs="Arial"/>
          <w:sz w:val="22"/>
          <w:szCs w:val="22"/>
        </w:rPr>
        <w:t>work environment</w:t>
      </w:r>
      <w:r w:rsidRPr="00041B18">
        <w:rPr>
          <w:rFonts w:cs="Arial"/>
          <w:sz w:val="22"/>
          <w:szCs w:val="22"/>
        </w:rPr>
        <w:t>.</w:t>
      </w:r>
    </w:p>
    <w:p w:rsidR="007D2DE2" w:rsidP="000D35B1" w:rsidRDefault="007D2DE2" w14:paraId="726DE585" w14:textId="77777777">
      <w:pPr>
        <w:ind w:left="720" w:right="720"/>
        <w:rPr>
          <w:rFonts w:cs="Arial"/>
          <w:sz w:val="22"/>
          <w:szCs w:val="22"/>
        </w:rPr>
      </w:pPr>
    </w:p>
    <w:p w:rsidRPr="000D3B34" w:rsidR="007D2DE2" w:rsidP="000D3B34" w:rsidRDefault="007D2DE2" w14:paraId="3F226FC8" w14:textId="56B299C8">
      <w:pPr>
        <w:ind w:left="1440" w:right="720" w:hanging="720"/>
        <w:rPr>
          <w:sz w:val="18"/>
          <w:szCs w:val="18"/>
        </w:rPr>
      </w:pPr>
      <w:r w:rsidRPr="000D3B34">
        <w:rPr>
          <w:rFonts w:cs="Arial"/>
          <w:sz w:val="18"/>
          <w:szCs w:val="18"/>
        </w:rPr>
        <w:t xml:space="preserve">6 </w:t>
      </w:r>
      <w:r>
        <w:rPr>
          <w:rFonts w:cs="Arial"/>
          <w:sz w:val="18"/>
          <w:szCs w:val="18"/>
        </w:rPr>
        <w:tab/>
      </w:r>
      <w:r w:rsidRPr="000D3B34">
        <w:rPr>
          <w:rFonts w:cs="Arial"/>
          <w:sz w:val="18"/>
          <w:szCs w:val="18"/>
        </w:rPr>
        <w:t>An adverse trend is one in which the NRC would evaluate the necessity to undertake a scalable response based on the severity or significance of the trend.  NRC response could include, but not be limited to:  inspection, issuance of guidance, licensing, or rulemaking.</w:t>
      </w:r>
    </w:p>
    <w:p w:rsidRPr="00987A77" w:rsidR="00D520BD" w:rsidP="00D520BD" w:rsidRDefault="00D520BD" w14:paraId="76FF7391" w14:textId="0364C76B">
      <w:pPr>
        <w:rPr>
          <w:sz w:val="22"/>
          <w:szCs w:val="22"/>
        </w:rPr>
      </w:pPr>
    </w:p>
    <w:p w:rsidR="00D520BD" w:rsidP="00D520BD" w:rsidRDefault="00D520BD" w14:paraId="41017092" w14:textId="6BCAB5EC">
      <w:pPr>
        <w:spacing w:after="220"/>
        <w:rPr>
          <w:sz w:val="22"/>
          <w:szCs w:val="22"/>
        </w:rPr>
      </w:pPr>
      <w:r w:rsidRPr="009C220A">
        <w:rPr>
          <w:sz w:val="22"/>
          <w:szCs w:val="22"/>
        </w:rPr>
        <w:t>The</w:t>
      </w:r>
      <w:r>
        <w:rPr>
          <w:sz w:val="22"/>
          <w:szCs w:val="22"/>
        </w:rPr>
        <w:t xml:space="preserve"> </w:t>
      </w:r>
      <w:r w:rsidR="008D1DF5">
        <w:rPr>
          <w:sz w:val="22"/>
          <w:szCs w:val="22"/>
        </w:rPr>
        <w:t>NRC evaluated</w:t>
      </w:r>
      <w:r>
        <w:rPr>
          <w:sz w:val="22"/>
          <w:szCs w:val="22"/>
        </w:rPr>
        <w:t xml:space="preserve"> </w:t>
      </w:r>
      <w:r w:rsidR="00313E6D">
        <w:rPr>
          <w:sz w:val="22"/>
          <w:szCs w:val="22"/>
        </w:rPr>
        <w:t xml:space="preserve">FFD program performance </w:t>
      </w:r>
      <w:r w:rsidR="008D1DF5">
        <w:rPr>
          <w:sz w:val="22"/>
          <w:szCs w:val="22"/>
        </w:rPr>
        <w:t xml:space="preserve">data </w:t>
      </w:r>
      <w:r w:rsidR="001A591D">
        <w:rPr>
          <w:sz w:val="22"/>
          <w:szCs w:val="22"/>
        </w:rPr>
        <w:t xml:space="preserve">and </w:t>
      </w:r>
      <w:r w:rsidR="00F218ED">
        <w:rPr>
          <w:sz w:val="22"/>
          <w:szCs w:val="22"/>
        </w:rPr>
        <w:t>trends in</w:t>
      </w:r>
      <w:r>
        <w:rPr>
          <w:sz w:val="22"/>
          <w:szCs w:val="22"/>
        </w:rPr>
        <w:t xml:space="preserve"> year-over-year increases in </w:t>
      </w:r>
      <w:r w:rsidR="00DB0121">
        <w:rPr>
          <w:sz w:val="22"/>
          <w:szCs w:val="22"/>
        </w:rPr>
        <w:t xml:space="preserve">the </w:t>
      </w:r>
      <w:r>
        <w:rPr>
          <w:sz w:val="22"/>
          <w:szCs w:val="22"/>
        </w:rPr>
        <w:t xml:space="preserve">positive </w:t>
      </w:r>
      <w:r w:rsidR="00DB0121">
        <w:rPr>
          <w:sz w:val="22"/>
          <w:szCs w:val="22"/>
        </w:rPr>
        <w:t xml:space="preserve">test rate </w:t>
      </w:r>
      <w:r>
        <w:rPr>
          <w:sz w:val="22"/>
          <w:szCs w:val="22"/>
        </w:rPr>
        <w:t xml:space="preserve">for amphetamines and </w:t>
      </w:r>
      <w:r w:rsidR="00313E6D">
        <w:rPr>
          <w:sz w:val="22"/>
          <w:szCs w:val="22"/>
        </w:rPr>
        <w:t>a</w:t>
      </w:r>
      <w:r>
        <w:rPr>
          <w:sz w:val="22"/>
          <w:szCs w:val="22"/>
        </w:rPr>
        <w:t xml:space="preserve"> significant number of subversion attempts </w:t>
      </w:r>
      <w:r w:rsidR="006B0EA9">
        <w:rPr>
          <w:sz w:val="22"/>
          <w:szCs w:val="22"/>
        </w:rPr>
        <w:t xml:space="preserve">from </w:t>
      </w:r>
      <w:r>
        <w:rPr>
          <w:sz w:val="22"/>
          <w:szCs w:val="22"/>
        </w:rPr>
        <w:t>CY 2011</w:t>
      </w:r>
      <w:r w:rsidR="006B0EA9">
        <w:rPr>
          <w:sz w:val="22"/>
          <w:szCs w:val="22"/>
        </w:rPr>
        <w:t xml:space="preserve"> through CY 2019</w:t>
      </w:r>
      <w:r>
        <w:rPr>
          <w:sz w:val="22"/>
          <w:szCs w:val="22"/>
        </w:rPr>
        <w:t xml:space="preserve">.  </w:t>
      </w:r>
      <w:r w:rsidR="00431536">
        <w:rPr>
          <w:sz w:val="22"/>
          <w:szCs w:val="22"/>
        </w:rPr>
        <w:t xml:space="preserve">The NRC </w:t>
      </w:r>
      <w:r w:rsidR="00085893">
        <w:rPr>
          <w:sz w:val="22"/>
          <w:szCs w:val="22"/>
        </w:rPr>
        <w:t xml:space="preserve">also </w:t>
      </w:r>
      <w:r w:rsidR="00D648A6">
        <w:rPr>
          <w:sz w:val="22"/>
          <w:szCs w:val="22"/>
        </w:rPr>
        <w:t>performed a risk-</w:t>
      </w:r>
      <w:r w:rsidR="00682348">
        <w:rPr>
          <w:sz w:val="22"/>
          <w:szCs w:val="22"/>
        </w:rPr>
        <w:t>informed</w:t>
      </w:r>
      <w:r w:rsidR="00D648A6">
        <w:rPr>
          <w:sz w:val="22"/>
          <w:szCs w:val="22"/>
        </w:rPr>
        <w:t xml:space="preserve"> assessment of </w:t>
      </w:r>
      <w:r w:rsidR="00FA131B">
        <w:rPr>
          <w:sz w:val="22"/>
          <w:szCs w:val="22"/>
        </w:rPr>
        <w:t xml:space="preserve">the </w:t>
      </w:r>
      <w:r w:rsidR="00234E31">
        <w:rPr>
          <w:sz w:val="22"/>
          <w:szCs w:val="22"/>
        </w:rPr>
        <w:t xml:space="preserve">substances addressed </w:t>
      </w:r>
      <w:r w:rsidR="00910074">
        <w:rPr>
          <w:sz w:val="22"/>
          <w:szCs w:val="22"/>
        </w:rPr>
        <w:t>in</w:t>
      </w:r>
      <w:r w:rsidR="00234E31">
        <w:rPr>
          <w:sz w:val="22"/>
          <w:szCs w:val="22"/>
        </w:rPr>
        <w:t xml:space="preserve"> this rulemaking </w:t>
      </w:r>
      <w:r w:rsidR="00D648A6">
        <w:rPr>
          <w:sz w:val="22"/>
          <w:szCs w:val="22"/>
        </w:rPr>
        <w:t xml:space="preserve">by evaluating </w:t>
      </w:r>
      <w:r w:rsidR="005C14A1">
        <w:rPr>
          <w:sz w:val="22"/>
          <w:szCs w:val="22"/>
        </w:rPr>
        <w:t>the</w:t>
      </w:r>
      <w:r w:rsidR="00D648A6">
        <w:rPr>
          <w:sz w:val="22"/>
          <w:szCs w:val="22"/>
        </w:rPr>
        <w:t xml:space="preserve"> prevalence </w:t>
      </w:r>
      <w:r w:rsidR="005C14A1">
        <w:rPr>
          <w:sz w:val="22"/>
          <w:szCs w:val="22"/>
        </w:rPr>
        <w:t xml:space="preserve">of these substances in </w:t>
      </w:r>
      <w:r w:rsidR="00B5275B">
        <w:rPr>
          <w:sz w:val="22"/>
          <w:szCs w:val="22"/>
        </w:rPr>
        <w:t xml:space="preserve">tests performed when </w:t>
      </w:r>
      <w:r>
        <w:rPr>
          <w:sz w:val="22"/>
          <w:szCs w:val="22"/>
        </w:rPr>
        <w:t xml:space="preserve">potential impairment from substance use </w:t>
      </w:r>
      <w:r w:rsidR="00B5275B">
        <w:rPr>
          <w:sz w:val="22"/>
          <w:szCs w:val="22"/>
        </w:rPr>
        <w:t xml:space="preserve">is identified (for-cause tests) and after adverse </w:t>
      </w:r>
      <w:r w:rsidR="0050402E">
        <w:rPr>
          <w:sz w:val="22"/>
          <w:szCs w:val="22"/>
        </w:rPr>
        <w:t xml:space="preserve">safety </w:t>
      </w:r>
      <w:r w:rsidR="00B5275B">
        <w:rPr>
          <w:sz w:val="22"/>
          <w:szCs w:val="22"/>
        </w:rPr>
        <w:t>event</w:t>
      </w:r>
      <w:r w:rsidR="005C14A1">
        <w:rPr>
          <w:sz w:val="22"/>
          <w:szCs w:val="22"/>
        </w:rPr>
        <w:t>s</w:t>
      </w:r>
      <w:r w:rsidR="00B5275B">
        <w:rPr>
          <w:sz w:val="22"/>
          <w:szCs w:val="22"/>
        </w:rPr>
        <w:t xml:space="preserve"> (post-event tests)</w:t>
      </w:r>
      <w:r>
        <w:rPr>
          <w:sz w:val="22"/>
          <w:szCs w:val="22"/>
        </w:rPr>
        <w:t xml:space="preserve">.  </w:t>
      </w:r>
      <w:r w:rsidRPr="0082512C">
        <w:rPr>
          <w:sz w:val="22"/>
          <w:szCs w:val="22"/>
        </w:rPr>
        <w:t>For</w:t>
      </w:r>
      <w:r w:rsidR="002E5577">
        <w:rPr>
          <w:sz w:val="22"/>
          <w:szCs w:val="22"/>
        </w:rPr>
        <w:t>-</w:t>
      </w:r>
      <w:r w:rsidRPr="0082512C">
        <w:rPr>
          <w:sz w:val="22"/>
          <w:szCs w:val="22"/>
        </w:rPr>
        <w:t>cause testing</w:t>
      </w:r>
      <w:r w:rsidR="00646A79">
        <w:rPr>
          <w:sz w:val="22"/>
          <w:szCs w:val="22"/>
        </w:rPr>
        <w:t>,</w:t>
      </w:r>
      <w:r>
        <w:rPr>
          <w:sz w:val="22"/>
          <w:szCs w:val="22"/>
        </w:rPr>
        <w:t xml:space="preserve"> as described in 10 CFR 26.31(c)(2)</w:t>
      </w:r>
      <w:r w:rsidR="00646A79">
        <w:rPr>
          <w:sz w:val="22"/>
          <w:szCs w:val="22"/>
        </w:rPr>
        <w:t>,</w:t>
      </w:r>
      <w:r>
        <w:rPr>
          <w:sz w:val="22"/>
          <w:szCs w:val="22"/>
        </w:rPr>
        <w:t xml:space="preserve"> </w:t>
      </w:r>
      <w:r w:rsidRPr="0082512C">
        <w:rPr>
          <w:sz w:val="22"/>
          <w:szCs w:val="22"/>
        </w:rPr>
        <w:t xml:space="preserve">is required </w:t>
      </w:r>
      <w:r>
        <w:rPr>
          <w:sz w:val="22"/>
          <w:szCs w:val="22"/>
        </w:rPr>
        <w:t>when observed behavior</w:t>
      </w:r>
      <w:r w:rsidR="00646A79">
        <w:rPr>
          <w:sz w:val="22"/>
          <w:szCs w:val="22"/>
        </w:rPr>
        <w:t>,</w:t>
      </w:r>
      <w:r>
        <w:rPr>
          <w:sz w:val="22"/>
          <w:szCs w:val="22"/>
        </w:rPr>
        <w:t xml:space="preserve"> physical condition</w:t>
      </w:r>
      <w:r w:rsidR="00646A79">
        <w:rPr>
          <w:sz w:val="22"/>
          <w:szCs w:val="22"/>
        </w:rPr>
        <w:t>,</w:t>
      </w:r>
      <w:r>
        <w:rPr>
          <w:sz w:val="22"/>
          <w:szCs w:val="22"/>
        </w:rPr>
        <w:t xml:space="preserve"> or credible information</w:t>
      </w:r>
      <w:r w:rsidR="00646A79">
        <w:rPr>
          <w:sz w:val="22"/>
          <w:szCs w:val="22"/>
        </w:rPr>
        <w:t>,</w:t>
      </w:r>
      <w:r>
        <w:rPr>
          <w:sz w:val="22"/>
          <w:szCs w:val="22"/>
        </w:rPr>
        <w:t xml:space="preserve"> or a combination</w:t>
      </w:r>
      <w:r w:rsidR="00646A79">
        <w:rPr>
          <w:sz w:val="22"/>
          <w:szCs w:val="22"/>
        </w:rPr>
        <w:t>,</w:t>
      </w:r>
      <w:r>
        <w:rPr>
          <w:sz w:val="22"/>
          <w:szCs w:val="22"/>
        </w:rPr>
        <w:t xml:space="preserve"> indicate</w:t>
      </w:r>
      <w:r w:rsidR="009A0C3C">
        <w:rPr>
          <w:sz w:val="22"/>
          <w:szCs w:val="22"/>
        </w:rPr>
        <w:t>s</w:t>
      </w:r>
      <w:r>
        <w:rPr>
          <w:sz w:val="22"/>
          <w:szCs w:val="22"/>
        </w:rPr>
        <w:t xml:space="preserve"> the potential for substance use</w:t>
      </w:r>
      <w:r w:rsidRPr="0082512C">
        <w:rPr>
          <w:sz w:val="22"/>
          <w:szCs w:val="22"/>
        </w:rPr>
        <w:t>.  Post</w:t>
      </w:r>
      <w:r>
        <w:rPr>
          <w:sz w:val="22"/>
          <w:szCs w:val="22"/>
        </w:rPr>
        <w:t>-</w:t>
      </w:r>
      <w:r w:rsidRPr="0082512C">
        <w:rPr>
          <w:sz w:val="22"/>
          <w:szCs w:val="22"/>
        </w:rPr>
        <w:t xml:space="preserve">event testing is </w:t>
      </w:r>
      <w:r>
        <w:rPr>
          <w:sz w:val="22"/>
          <w:szCs w:val="22"/>
        </w:rPr>
        <w:t>required after</w:t>
      </w:r>
      <w:r w:rsidRPr="0082512C">
        <w:rPr>
          <w:sz w:val="22"/>
          <w:szCs w:val="22"/>
        </w:rPr>
        <w:t xml:space="preserve"> certain workplace safety events</w:t>
      </w:r>
      <w:r w:rsidR="00646A79">
        <w:rPr>
          <w:sz w:val="22"/>
          <w:szCs w:val="22"/>
        </w:rPr>
        <w:t>,</w:t>
      </w:r>
      <w:r>
        <w:rPr>
          <w:sz w:val="22"/>
          <w:szCs w:val="22"/>
        </w:rPr>
        <w:t xml:space="preserve"> as described in </w:t>
      </w:r>
      <w:r w:rsidRPr="0082512C">
        <w:rPr>
          <w:sz w:val="22"/>
          <w:szCs w:val="22"/>
        </w:rPr>
        <w:t>10</w:t>
      </w:r>
      <w:r>
        <w:rPr>
          <w:sz w:val="22"/>
          <w:szCs w:val="22"/>
        </w:rPr>
        <w:t> </w:t>
      </w:r>
      <w:r w:rsidRPr="0082512C">
        <w:rPr>
          <w:sz w:val="22"/>
          <w:szCs w:val="22"/>
        </w:rPr>
        <w:t>CFR</w:t>
      </w:r>
      <w:r>
        <w:rPr>
          <w:sz w:val="22"/>
          <w:szCs w:val="22"/>
        </w:rPr>
        <w:t> </w:t>
      </w:r>
      <w:r w:rsidRPr="0082512C">
        <w:rPr>
          <w:sz w:val="22"/>
          <w:szCs w:val="22"/>
        </w:rPr>
        <w:t>26.31(c)(</w:t>
      </w:r>
      <w:r w:rsidRPr="00821A5F">
        <w:rPr>
          <w:sz w:val="22"/>
          <w:szCs w:val="22"/>
        </w:rPr>
        <w:t>3)</w:t>
      </w:r>
      <w:r w:rsidR="00646A79">
        <w:rPr>
          <w:sz w:val="22"/>
          <w:szCs w:val="22"/>
        </w:rPr>
        <w:t>,</w:t>
      </w:r>
      <w:r w:rsidRPr="00821A5F">
        <w:rPr>
          <w:sz w:val="22"/>
          <w:szCs w:val="22"/>
        </w:rPr>
        <w:t xml:space="preserve"> which include but are not limited to events that cause death</w:t>
      </w:r>
      <w:r w:rsidR="00646A79">
        <w:rPr>
          <w:sz w:val="22"/>
          <w:szCs w:val="22"/>
        </w:rPr>
        <w:t>,</w:t>
      </w:r>
      <w:r w:rsidRPr="00821A5F">
        <w:rPr>
          <w:sz w:val="22"/>
          <w:szCs w:val="22"/>
        </w:rPr>
        <w:t xml:space="preserve"> days away from work</w:t>
      </w:r>
      <w:r w:rsidR="00646A79">
        <w:rPr>
          <w:sz w:val="22"/>
          <w:szCs w:val="22"/>
        </w:rPr>
        <w:t>,</w:t>
      </w:r>
      <w:r w:rsidRPr="00821A5F">
        <w:rPr>
          <w:sz w:val="22"/>
          <w:szCs w:val="22"/>
        </w:rPr>
        <w:t xml:space="preserve"> restricted work</w:t>
      </w:r>
      <w:r w:rsidR="00646A79">
        <w:rPr>
          <w:sz w:val="22"/>
          <w:szCs w:val="22"/>
        </w:rPr>
        <w:t>,</w:t>
      </w:r>
      <w:r w:rsidRPr="00821A5F">
        <w:rPr>
          <w:sz w:val="22"/>
          <w:szCs w:val="22"/>
        </w:rPr>
        <w:t xml:space="preserve"> medical treatment beyond first aid</w:t>
      </w:r>
      <w:r w:rsidR="00646A79">
        <w:rPr>
          <w:sz w:val="22"/>
          <w:szCs w:val="22"/>
        </w:rPr>
        <w:t>,</w:t>
      </w:r>
      <w:r w:rsidRPr="00821A5F">
        <w:rPr>
          <w:sz w:val="22"/>
          <w:szCs w:val="22"/>
        </w:rPr>
        <w:t xml:space="preserve"> loss of conscious</w:t>
      </w:r>
      <w:r>
        <w:rPr>
          <w:sz w:val="22"/>
          <w:szCs w:val="22"/>
        </w:rPr>
        <w:t>ness</w:t>
      </w:r>
      <w:r w:rsidR="00646A79">
        <w:rPr>
          <w:sz w:val="22"/>
          <w:szCs w:val="22"/>
        </w:rPr>
        <w:t>,</w:t>
      </w:r>
      <w:r w:rsidRPr="00821A5F">
        <w:rPr>
          <w:sz w:val="22"/>
          <w:szCs w:val="22"/>
        </w:rPr>
        <w:t xml:space="preserve"> radiation exposure or release in </w:t>
      </w:r>
      <w:r w:rsidRPr="00821A5F">
        <w:rPr>
          <w:sz w:val="22"/>
          <w:szCs w:val="22"/>
        </w:rPr>
        <w:lastRenderedPageBreak/>
        <w:t>excess of regulatory limits</w:t>
      </w:r>
      <w:r w:rsidR="00646A79">
        <w:rPr>
          <w:sz w:val="22"/>
          <w:szCs w:val="22"/>
        </w:rPr>
        <w:t>,</w:t>
      </w:r>
      <w:r w:rsidRPr="00821A5F">
        <w:rPr>
          <w:sz w:val="22"/>
          <w:szCs w:val="22"/>
        </w:rPr>
        <w:t xml:space="preserve"> or actua</w:t>
      </w:r>
      <w:r>
        <w:rPr>
          <w:sz w:val="22"/>
          <w:szCs w:val="22"/>
        </w:rPr>
        <w:t>l or potential substantial degra</w:t>
      </w:r>
      <w:r w:rsidRPr="00821A5F">
        <w:rPr>
          <w:sz w:val="22"/>
          <w:szCs w:val="22"/>
        </w:rPr>
        <w:t>dations of th</w:t>
      </w:r>
      <w:r>
        <w:rPr>
          <w:sz w:val="22"/>
          <w:szCs w:val="22"/>
        </w:rPr>
        <w:t>e plant safety level.</w:t>
      </w:r>
    </w:p>
    <w:p w:rsidR="00D520BD" w:rsidP="00D520BD" w:rsidRDefault="009A0C3C" w14:paraId="6F486448" w14:textId="263159D7">
      <w:pPr>
        <w:rPr>
          <w:sz w:val="22"/>
          <w:szCs w:val="22"/>
        </w:rPr>
      </w:pPr>
      <w:r>
        <w:rPr>
          <w:sz w:val="22"/>
          <w:szCs w:val="22"/>
        </w:rPr>
        <w:t>Table 3-1 presents t</w:t>
      </w:r>
      <w:r w:rsidR="00F85BE2">
        <w:rPr>
          <w:sz w:val="22"/>
          <w:szCs w:val="22"/>
        </w:rPr>
        <w:t>he NRC</w:t>
      </w:r>
      <w:r>
        <w:rPr>
          <w:sz w:val="22"/>
          <w:szCs w:val="22"/>
        </w:rPr>
        <w:t>’s</w:t>
      </w:r>
      <w:r w:rsidR="00F85BE2">
        <w:rPr>
          <w:sz w:val="22"/>
          <w:szCs w:val="22"/>
        </w:rPr>
        <w:t xml:space="preserve"> assessment of</w:t>
      </w:r>
      <w:r w:rsidR="00D520BD">
        <w:rPr>
          <w:sz w:val="22"/>
          <w:szCs w:val="22"/>
        </w:rPr>
        <w:t xml:space="preserve"> FFD program performance </w:t>
      </w:r>
      <w:r w:rsidR="00A74172">
        <w:rPr>
          <w:sz w:val="22"/>
          <w:szCs w:val="22"/>
        </w:rPr>
        <w:t xml:space="preserve">data </w:t>
      </w:r>
      <w:r w:rsidRPr="00CD4D83" w:rsidR="00D520BD">
        <w:rPr>
          <w:sz w:val="22"/>
          <w:szCs w:val="22"/>
        </w:rPr>
        <w:t>from CY 2011 through CY </w:t>
      </w:r>
      <w:r w:rsidR="00E45E1F">
        <w:rPr>
          <w:sz w:val="22"/>
          <w:szCs w:val="22"/>
        </w:rPr>
        <w:t>2019</w:t>
      </w:r>
      <w:r w:rsidRPr="00CD4D83" w:rsidR="00D520BD">
        <w:rPr>
          <w:sz w:val="22"/>
          <w:szCs w:val="22"/>
        </w:rPr>
        <w:t xml:space="preserve"> </w:t>
      </w:r>
      <w:r w:rsidR="00127436">
        <w:rPr>
          <w:sz w:val="22"/>
          <w:szCs w:val="22"/>
        </w:rPr>
        <w:t xml:space="preserve">on </w:t>
      </w:r>
      <w:r w:rsidRPr="00CD4D83" w:rsidR="00D520BD">
        <w:rPr>
          <w:sz w:val="22"/>
          <w:szCs w:val="22"/>
        </w:rPr>
        <w:t>for</w:t>
      </w:r>
      <w:r w:rsidR="00D520BD">
        <w:rPr>
          <w:sz w:val="22"/>
          <w:szCs w:val="22"/>
        </w:rPr>
        <w:t>-cause and post-event testing violations (i.e.</w:t>
      </w:r>
      <w:r w:rsidR="00646A79">
        <w:rPr>
          <w:sz w:val="22"/>
          <w:szCs w:val="22"/>
        </w:rPr>
        <w:t>,</w:t>
      </w:r>
      <w:r w:rsidR="00D520BD">
        <w:rPr>
          <w:sz w:val="22"/>
          <w:szCs w:val="22"/>
        </w:rPr>
        <w:t> drug positive results</w:t>
      </w:r>
      <w:r w:rsidR="00646A79">
        <w:rPr>
          <w:sz w:val="22"/>
          <w:szCs w:val="22"/>
        </w:rPr>
        <w:t>,</w:t>
      </w:r>
      <w:r w:rsidR="00D520BD">
        <w:rPr>
          <w:sz w:val="22"/>
          <w:szCs w:val="22"/>
        </w:rPr>
        <w:t xml:space="preserve"> </w:t>
      </w:r>
      <w:r w:rsidR="00C56043">
        <w:rPr>
          <w:sz w:val="22"/>
          <w:szCs w:val="22"/>
        </w:rPr>
        <w:t xml:space="preserve">identified </w:t>
      </w:r>
      <w:r w:rsidR="00D520BD">
        <w:rPr>
          <w:sz w:val="22"/>
          <w:szCs w:val="22"/>
        </w:rPr>
        <w:t>subversion attempts)</w:t>
      </w:r>
      <w:r w:rsidR="00F85BE2">
        <w:rPr>
          <w:sz w:val="22"/>
          <w:szCs w:val="22"/>
        </w:rPr>
        <w:t>.</w:t>
      </w:r>
      <w:r w:rsidR="00D520BD">
        <w:rPr>
          <w:sz w:val="22"/>
          <w:szCs w:val="22"/>
        </w:rPr>
        <w:t xml:space="preserve">  </w:t>
      </w:r>
      <w:r w:rsidRPr="00EF7549" w:rsidR="00D520BD">
        <w:rPr>
          <w:sz w:val="22"/>
          <w:szCs w:val="22"/>
        </w:rPr>
        <w:t xml:space="preserve">This table presents the number of individuals </w:t>
      </w:r>
      <w:r w:rsidRPr="00EF7549" w:rsidR="002115C2">
        <w:rPr>
          <w:sz w:val="22"/>
          <w:szCs w:val="22"/>
        </w:rPr>
        <w:t>who</w:t>
      </w:r>
      <w:r w:rsidRPr="00EF7549" w:rsidR="003C25FA">
        <w:rPr>
          <w:sz w:val="22"/>
          <w:szCs w:val="22"/>
        </w:rPr>
        <w:t xml:space="preserve"> </w:t>
      </w:r>
      <w:r w:rsidRPr="00EF7549" w:rsidR="00D520BD">
        <w:rPr>
          <w:sz w:val="22"/>
          <w:szCs w:val="22"/>
        </w:rPr>
        <w:t xml:space="preserve">tested positive for any of the drugs </w:t>
      </w:r>
      <w:r w:rsidRPr="00EF7549" w:rsidR="003C25FA">
        <w:rPr>
          <w:sz w:val="22"/>
          <w:szCs w:val="22"/>
        </w:rPr>
        <w:t xml:space="preserve">the final rule modifies </w:t>
      </w:r>
      <w:r w:rsidRPr="00EF7549" w:rsidR="00C67F6D">
        <w:rPr>
          <w:sz w:val="22"/>
          <w:szCs w:val="22"/>
        </w:rPr>
        <w:t xml:space="preserve">by </w:t>
      </w:r>
      <w:r w:rsidRPr="00EF7549" w:rsidR="003C25FA">
        <w:rPr>
          <w:sz w:val="22"/>
          <w:szCs w:val="22"/>
        </w:rPr>
        <w:t>lower</w:t>
      </w:r>
      <w:r w:rsidRPr="00EF7549" w:rsidR="00C67F6D">
        <w:rPr>
          <w:sz w:val="22"/>
          <w:szCs w:val="22"/>
        </w:rPr>
        <w:t>ing the</w:t>
      </w:r>
      <w:r w:rsidRPr="00EF7549" w:rsidR="003C25FA">
        <w:rPr>
          <w:sz w:val="22"/>
          <w:szCs w:val="22"/>
        </w:rPr>
        <w:t xml:space="preserve"> </w:t>
      </w:r>
      <w:r w:rsidRPr="00EF7549" w:rsidR="00D520BD">
        <w:rPr>
          <w:sz w:val="22"/>
          <w:szCs w:val="22"/>
        </w:rPr>
        <w:t>testing cutoff levels</w:t>
      </w:r>
      <w:r w:rsidRPr="00EF7549" w:rsidR="005976A2">
        <w:rPr>
          <w:sz w:val="22"/>
          <w:szCs w:val="22"/>
        </w:rPr>
        <w:t xml:space="preserve"> or</w:t>
      </w:r>
      <w:r w:rsidRPr="00EF7549" w:rsidR="00D520BD">
        <w:rPr>
          <w:sz w:val="22"/>
          <w:szCs w:val="22"/>
        </w:rPr>
        <w:t xml:space="preserve"> </w:t>
      </w:r>
      <w:r w:rsidRPr="00EF7549" w:rsidR="003C25FA">
        <w:rPr>
          <w:sz w:val="22"/>
          <w:szCs w:val="22"/>
        </w:rPr>
        <w:t>improv</w:t>
      </w:r>
      <w:r w:rsidRPr="00EF7549" w:rsidR="00C67F6D">
        <w:rPr>
          <w:sz w:val="22"/>
          <w:szCs w:val="22"/>
        </w:rPr>
        <w:t>ing the</w:t>
      </w:r>
      <w:r w:rsidRPr="00EF7549" w:rsidR="00D520BD">
        <w:rPr>
          <w:sz w:val="22"/>
          <w:szCs w:val="22"/>
        </w:rPr>
        <w:t xml:space="preserve"> testing methods</w:t>
      </w:r>
      <w:r w:rsidRPr="00EF7549" w:rsidR="00646A79">
        <w:rPr>
          <w:sz w:val="22"/>
          <w:szCs w:val="22"/>
        </w:rPr>
        <w:t>,</w:t>
      </w:r>
      <w:r w:rsidRPr="00EF7549" w:rsidR="00D520BD">
        <w:rPr>
          <w:sz w:val="22"/>
          <w:szCs w:val="22"/>
        </w:rPr>
        <w:t xml:space="preserve"> and improved detection of subversion attempts.</w:t>
      </w:r>
      <w:r w:rsidRPr="00EF7549" w:rsidR="003C25FA">
        <w:rPr>
          <w:sz w:val="22"/>
          <w:szCs w:val="22"/>
        </w:rPr>
        <w:t xml:space="preserve"> </w:t>
      </w:r>
      <w:r w:rsidRPr="00EF7549" w:rsidR="003B5AD8">
        <w:rPr>
          <w:sz w:val="22"/>
          <w:szCs w:val="22"/>
        </w:rPr>
        <w:t xml:space="preserve"> Any individual that tested positive for more than one substance appears in the table row titled “multiple substances</w:t>
      </w:r>
      <w:r w:rsidRPr="00EF7549" w:rsidR="00EF7549">
        <w:rPr>
          <w:sz w:val="22"/>
          <w:szCs w:val="22"/>
        </w:rPr>
        <w:t>.</w:t>
      </w:r>
      <w:r w:rsidRPr="00EF7549" w:rsidR="003B5AD8">
        <w:rPr>
          <w:sz w:val="22"/>
          <w:szCs w:val="22"/>
        </w:rPr>
        <w:t xml:space="preserve">” </w:t>
      </w:r>
      <w:r w:rsidRPr="00EF7549" w:rsidR="00C4079B">
        <w:rPr>
          <w:sz w:val="22"/>
          <w:szCs w:val="22"/>
        </w:rPr>
        <w:t xml:space="preserve"> </w:t>
      </w:r>
      <w:r w:rsidRPr="00EF7549" w:rsidR="00D520BD">
        <w:rPr>
          <w:sz w:val="22"/>
          <w:szCs w:val="22"/>
        </w:rPr>
        <w:t>Th</w:t>
      </w:r>
      <w:r w:rsidRPr="00EF7549" w:rsidR="003C25FA">
        <w:rPr>
          <w:sz w:val="22"/>
          <w:szCs w:val="22"/>
        </w:rPr>
        <w:t>e</w:t>
      </w:r>
      <w:r w:rsidRPr="00EF7549" w:rsidR="00D520BD">
        <w:rPr>
          <w:sz w:val="22"/>
          <w:szCs w:val="22"/>
        </w:rPr>
        <w:t xml:space="preserve"> </w:t>
      </w:r>
      <w:r w:rsidRPr="00EF7549" w:rsidR="00C8458E">
        <w:rPr>
          <w:sz w:val="22"/>
          <w:szCs w:val="22"/>
        </w:rPr>
        <w:t xml:space="preserve">assessment </w:t>
      </w:r>
      <w:r w:rsidRPr="00EF7549" w:rsidR="00F85BE2">
        <w:rPr>
          <w:sz w:val="22"/>
          <w:szCs w:val="22"/>
        </w:rPr>
        <w:t xml:space="preserve">eliminated </w:t>
      </w:r>
      <w:r w:rsidRPr="00EF7549" w:rsidR="00D520BD">
        <w:rPr>
          <w:sz w:val="22"/>
          <w:szCs w:val="22"/>
        </w:rPr>
        <w:t xml:space="preserve">alcohol positive results because </w:t>
      </w:r>
      <w:r w:rsidRPr="00EF7549" w:rsidR="006425C8">
        <w:rPr>
          <w:sz w:val="22"/>
          <w:szCs w:val="22"/>
        </w:rPr>
        <w:t xml:space="preserve">the final rule does not include changes to the </w:t>
      </w:r>
      <w:r w:rsidRPr="00EF7549" w:rsidR="00D520BD">
        <w:rPr>
          <w:sz w:val="22"/>
          <w:szCs w:val="22"/>
        </w:rPr>
        <w:t>testing for this substance.</w:t>
      </w:r>
    </w:p>
    <w:p w:rsidR="00D520BD" w:rsidP="00D520BD" w:rsidRDefault="00D520BD" w14:paraId="473C16CA" w14:textId="77777777">
      <w:pPr>
        <w:rPr>
          <w:sz w:val="22"/>
          <w:szCs w:val="22"/>
        </w:rPr>
      </w:pPr>
    </w:p>
    <w:p w:rsidRPr="00822500" w:rsidR="00822500" w:rsidP="00822500" w:rsidRDefault="00822500" w14:paraId="3A498F43" w14:textId="7E68CC9E">
      <w:pPr>
        <w:pStyle w:val="Caption"/>
        <w:rPr>
          <w:b/>
          <w:bCs w:val="0"/>
        </w:rPr>
      </w:pPr>
      <w:bookmarkStart w:name="_Toc62203695" w:id="67"/>
      <w:bookmarkStart w:name="_Toc72490559" w:id="68"/>
      <w:bookmarkStart w:name="_Toc105681556" w:id="69"/>
      <w:r w:rsidRPr="00822500">
        <w:rPr>
          <w:b/>
          <w:bCs w:val="0"/>
        </w:rPr>
        <w:t>Table 3-</w:t>
      </w:r>
      <w:r w:rsidRPr="00822500">
        <w:rPr>
          <w:b/>
          <w:bCs w:val="0"/>
        </w:rPr>
        <w:fldChar w:fldCharType="begin"/>
      </w:r>
      <w:r w:rsidRPr="00822500">
        <w:rPr>
          <w:b/>
          <w:bCs w:val="0"/>
        </w:rPr>
        <w:instrText xml:space="preserve"> SEQ Table \* ARABIC </w:instrText>
      </w:r>
      <w:r>
        <w:rPr>
          <w:b/>
          <w:bCs w:val="0"/>
        </w:rPr>
        <w:instrText>\r 1</w:instrText>
      </w:r>
      <w:r w:rsidRPr="00822500">
        <w:rPr>
          <w:b/>
          <w:bCs w:val="0"/>
        </w:rPr>
        <w:fldChar w:fldCharType="separate"/>
      </w:r>
      <w:r w:rsidR="00A6777F">
        <w:rPr>
          <w:b/>
          <w:bCs w:val="0"/>
          <w:noProof/>
        </w:rPr>
        <w:t>1</w:t>
      </w:r>
      <w:r w:rsidRPr="00822500">
        <w:rPr>
          <w:b/>
          <w:bCs w:val="0"/>
        </w:rPr>
        <w:fldChar w:fldCharType="end"/>
      </w:r>
      <w:r w:rsidRPr="00822500">
        <w:rPr>
          <w:b/>
          <w:bCs w:val="0"/>
        </w:rPr>
        <w:t xml:space="preserve">  FFD Program Performance Data on Possible Impairment from Substance Use</w:t>
      </w:r>
      <w:bookmarkEnd w:id="67"/>
      <w:bookmarkEnd w:id="68"/>
      <w:bookmarkEnd w:id="69"/>
    </w:p>
    <w:tbl>
      <w:tblPr>
        <w:tblStyle w:val="TableGrid"/>
        <w:tblW w:w="9445" w:type="dxa"/>
        <w:jc w:val="center"/>
        <w:tblLayout w:type="fixed"/>
        <w:tblLook w:val="04A0" w:firstRow="1" w:lastRow="0" w:firstColumn="1" w:lastColumn="0" w:noHBand="0" w:noVBand="1"/>
      </w:tblPr>
      <w:tblGrid>
        <w:gridCol w:w="1435"/>
        <w:gridCol w:w="816"/>
        <w:gridCol w:w="902"/>
        <w:gridCol w:w="902"/>
        <w:gridCol w:w="903"/>
        <w:gridCol w:w="903"/>
        <w:gridCol w:w="889"/>
        <w:gridCol w:w="900"/>
        <w:gridCol w:w="920"/>
        <w:gridCol w:w="875"/>
      </w:tblGrid>
      <w:tr w:rsidRPr="00165F43" w:rsidR="00D22A8B" w:rsidTr="00D27E66" w14:paraId="1C4D1547" w14:textId="77777777">
        <w:trPr>
          <w:trHeight w:val="20"/>
          <w:jc w:val="center"/>
        </w:trPr>
        <w:tc>
          <w:tcPr>
            <w:tcW w:w="1435" w:type="dxa"/>
            <w:tcBorders>
              <w:bottom w:val="single" w:color="auto" w:sz="4" w:space="0"/>
            </w:tcBorders>
            <w:shd w:val="clear" w:color="auto" w:fill="D9D9D9" w:themeFill="background1" w:themeFillShade="D9"/>
            <w:vAlign w:val="center"/>
          </w:tcPr>
          <w:p w:rsidRPr="00165F43" w:rsidR="00FA1ACA" w:rsidP="009D0FAD" w:rsidRDefault="00FA1ACA" w14:paraId="47BD1071" w14:textId="77777777">
            <w:pPr>
              <w:keepNext/>
              <w:keepLines/>
              <w:jc w:val="center"/>
              <w:rPr>
                <w:rFonts w:cs="Arial"/>
                <w:b/>
                <w:sz w:val="18"/>
                <w:szCs w:val="18"/>
              </w:rPr>
            </w:pPr>
            <w:r w:rsidRPr="00165F43">
              <w:rPr>
                <w:rFonts w:cs="Arial"/>
                <w:b/>
                <w:sz w:val="18"/>
                <w:szCs w:val="18"/>
              </w:rPr>
              <w:t>Performance Data</w:t>
            </w:r>
          </w:p>
        </w:tc>
        <w:tc>
          <w:tcPr>
            <w:tcW w:w="816" w:type="dxa"/>
            <w:tcBorders>
              <w:bottom w:val="single" w:color="auto" w:sz="4" w:space="0"/>
            </w:tcBorders>
            <w:shd w:val="clear" w:color="auto" w:fill="D9D9D9" w:themeFill="background1" w:themeFillShade="D9"/>
            <w:vAlign w:val="center"/>
          </w:tcPr>
          <w:p w:rsidRPr="00165F43" w:rsidR="00FA1ACA" w:rsidP="009D0FAD" w:rsidRDefault="00FA1ACA" w14:paraId="3B2C8C9A" w14:textId="77777777">
            <w:pPr>
              <w:keepNext/>
              <w:keepLines/>
              <w:jc w:val="center"/>
              <w:rPr>
                <w:rFonts w:cs="Arial"/>
                <w:b/>
                <w:sz w:val="18"/>
                <w:szCs w:val="18"/>
              </w:rPr>
            </w:pPr>
            <w:r w:rsidRPr="00165F43">
              <w:rPr>
                <w:rFonts w:cs="Arial"/>
                <w:b/>
                <w:sz w:val="18"/>
                <w:szCs w:val="18"/>
              </w:rPr>
              <w:t>2011</w:t>
            </w:r>
          </w:p>
        </w:tc>
        <w:tc>
          <w:tcPr>
            <w:tcW w:w="902" w:type="dxa"/>
            <w:tcBorders>
              <w:bottom w:val="single" w:color="auto" w:sz="4" w:space="0"/>
            </w:tcBorders>
            <w:shd w:val="clear" w:color="auto" w:fill="D9D9D9" w:themeFill="background1" w:themeFillShade="D9"/>
            <w:vAlign w:val="center"/>
          </w:tcPr>
          <w:p w:rsidRPr="00165F43" w:rsidR="00FA1ACA" w:rsidP="009D0FAD" w:rsidRDefault="00FA1ACA" w14:paraId="371AC9B6" w14:textId="77777777">
            <w:pPr>
              <w:keepNext/>
              <w:keepLines/>
              <w:jc w:val="center"/>
              <w:rPr>
                <w:rFonts w:cs="Arial"/>
                <w:b/>
                <w:sz w:val="18"/>
                <w:szCs w:val="18"/>
              </w:rPr>
            </w:pPr>
            <w:r w:rsidRPr="00165F43">
              <w:rPr>
                <w:rFonts w:cs="Arial"/>
                <w:b/>
                <w:sz w:val="18"/>
                <w:szCs w:val="18"/>
              </w:rPr>
              <w:t>2012</w:t>
            </w:r>
          </w:p>
        </w:tc>
        <w:tc>
          <w:tcPr>
            <w:tcW w:w="902" w:type="dxa"/>
            <w:tcBorders>
              <w:bottom w:val="single" w:color="auto" w:sz="4" w:space="0"/>
            </w:tcBorders>
            <w:shd w:val="clear" w:color="auto" w:fill="D9D9D9" w:themeFill="background1" w:themeFillShade="D9"/>
            <w:vAlign w:val="center"/>
          </w:tcPr>
          <w:p w:rsidRPr="00165F43" w:rsidR="00FA1ACA" w:rsidP="009D0FAD" w:rsidRDefault="00FA1ACA" w14:paraId="19B915D3" w14:textId="77777777">
            <w:pPr>
              <w:keepNext/>
              <w:keepLines/>
              <w:jc w:val="center"/>
              <w:rPr>
                <w:rFonts w:cs="Arial"/>
                <w:b/>
                <w:sz w:val="18"/>
                <w:szCs w:val="18"/>
              </w:rPr>
            </w:pPr>
            <w:r w:rsidRPr="00165F43">
              <w:rPr>
                <w:rFonts w:cs="Arial"/>
                <w:b/>
                <w:sz w:val="18"/>
                <w:szCs w:val="18"/>
              </w:rPr>
              <w:t>2013</w:t>
            </w:r>
          </w:p>
        </w:tc>
        <w:tc>
          <w:tcPr>
            <w:tcW w:w="903" w:type="dxa"/>
            <w:tcBorders>
              <w:bottom w:val="single" w:color="auto" w:sz="4" w:space="0"/>
            </w:tcBorders>
            <w:shd w:val="clear" w:color="auto" w:fill="D9D9D9" w:themeFill="background1" w:themeFillShade="D9"/>
            <w:vAlign w:val="center"/>
          </w:tcPr>
          <w:p w:rsidRPr="00165F43" w:rsidR="00FA1ACA" w:rsidP="009D0FAD" w:rsidRDefault="00FA1ACA" w14:paraId="6C86F6CC" w14:textId="77777777">
            <w:pPr>
              <w:keepNext/>
              <w:keepLines/>
              <w:jc w:val="center"/>
              <w:rPr>
                <w:rFonts w:cs="Arial"/>
                <w:b/>
                <w:sz w:val="18"/>
                <w:szCs w:val="18"/>
              </w:rPr>
            </w:pPr>
            <w:r w:rsidRPr="00165F43">
              <w:rPr>
                <w:rFonts w:cs="Arial"/>
                <w:b/>
                <w:sz w:val="18"/>
                <w:szCs w:val="18"/>
              </w:rPr>
              <w:t>2014</w:t>
            </w:r>
          </w:p>
        </w:tc>
        <w:tc>
          <w:tcPr>
            <w:tcW w:w="903" w:type="dxa"/>
            <w:tcBorders>
              <w:bottom w:val="single" w:color="auto" w:sz="4" w:space="0"/>
            </w:tcBorders>
            <w:shd w:val="clear" w:color="auto" w:fill="D9D9D9" w:themeFill="background1" w:themeFillShade="D9"/>
            <w:vAlign w:val="center"/>
          </w:tcPr>
          <w:p w:rsidRPr="00165F43" w:rsidR="00FA1ACA" w:rsidP="009D0FAD" w:rsidRDefault="00FA1ACA" w14:paraId="10B6E454" w14:textId="77777777">
            <w:pPr>
              <w:keepNext/>
              <w:keepLines/>
              <w:jc w:val="center"/>
              <w:rPr>
                <w:rFonts w:cs="Arial"/>
                <w:b/>
                <w:sz w:val="18"/>
                <w:szCs w:val="18"/>
              </w:rPr>
            </w:pPr>
            <w:r w:rsidRPr="00165F43">
              <w:rPr>
                <w:rFonts w:cs="Arial"/>
                <w:b/>
                <w:sz w:val="18"/>
                <w:szCs w:val="18"/>
              </w:rPr>
              <w:t>2015</w:t>
            </w:r>
          </w:p>
        </w:tc>
        <w:tc>
          <w:tcPr>
            <w:tcW w:w="889" w:type="dxa"/>
            <w:tcBorders>
              <w:bottom w:val="single" w:color="auto" w:sz="4" w:space="0"/>
            </w:tcBorders>
            <w:shd w:val="clear" w:color="auto" w:fill="D9D9D9" w:themeFill="background1" w:themeFillShade="D9"/>
            <w:vAlign w:val="center"/>
          </w:tcPr>
          <w:p w:rsidRPr="00165F43" w:rsidR="00FA1ACA" w:rsidP="009D0FAD" w:rsidRDefault="00FA1ACA" w14:paraId="53621380" w14:textId="77777777">
            <w:pPr>
              <w:keepNext/>
              <w:keepLines/>
              <w:jc w:val="center"/>
              <w:rPr>
                <w:rFonts w:cs="Arial"/>
                <w:b/>
                <w:sz w:val="18"/>
                <w:szCs w:val="18"/>
              </w:rPr>
            </w:pPr>
            <w:r w:rsidRPr="00165F43">
              <w:rPr>
                <w:rFonts w:cs="Arial"/>
                <w:b/>
                <w:sz w:val="18"/>
                <w:szCs w:val="18"/>
              </w:rPr>
              <w:t>2016</w:t>
            </w:r>
          </w:p>
        </w:tc>
        <w:tc>
          <w:tcPr>
            <w:tcW w:w="900" w:type="dxa"/>
            <w:tcBorders>
              <w:bottom w:val="single" w:color="auto" w:sz="4" w:space="0"/>
            </w:tcBorders>
            <w:shd w:val="clear" w:color="auto" w:fill="D9D9D9" w:themeFill="background1" w:themeFillShade="D9"/>
            <w:vAlign w:val="center"/>
          </w:tcPr>
          <w:p w:rsidRPr="00165F43" w:rsidR="00FA1ACA" w:rsidP="009D0FAD" w:rsidRDefault="00FA1ACA" w14:paraId="7492FD0C" w14:textId="77777777">
            <w:pPr>
              <w:keepNext/>
              <w:keepLines/>
              <w:jc w:val="center"/>
              <w:rPr>
                <w:rFonts w:cs="Arial"/>
                <w:b/>
                <w:sz w:val="18"/>
                <w:szCs w:val="18"/>
              </w:rPr>
            </w:pPr>
            <w:r w:rsidRPr="00165F43">
              <w:rPr>
                <w:rFonts w:cs="Arial"/>
                <w:b/>
                <w:sz w:val="18"/>
                <w:szCs w:val="18"/>
              </w:rPr>
              <w:t>2017</w:t>
            </w:r>
          </w:p>
        </w:tc>
        <w:tc>
          <w:tcPr>
            <w:tcW w:w="920" w:type="dxa"/>
            <w:tcBorders>
              <w:bottom w:val="single" w:color="auto" w:sz="4" w:space="0"/>
            </w:tcBorders>
            <w:shd w:val="clear" w:color="auto" w:fill="D9D9D9" w:themeFill="background1" w:themeFillShade="D9"/>
            <w:vAlign w:val="center"/>
          </w:tcPr>
          <w:p w:rsidRPr="00165F43" w:rsidR="00FA1ACA" w:rsidP="009D0FAD" w:rsidRDefault="00FA1ACA" w14:paraId="4602B69C" w14:textId="77777777">
            <w:pPr>
              <w:keepNext/>
              <w:keepLines/>
              <w:jc w:val="center"/>
              <w:rPr>
                <w:rFonts w:cs="Arial"/>
                <w:b/>
                <w:sz w:val="18"/>
                <w:szCs w:val="18"/>
              </w:rPr>
            </w:pPr>
            <w:r w:rsidRPr="00165F43">
              <w:rPr>
                <w:rFonts w:cs="Arial"/>
                <w:b/>
                <w:sz w:val="18"/>
                <w:szCs w:val="18"/>
              </w:rPr>
              <w:t>2018</w:t>
            </w:r>
          </w:p>
        </w:tc>
        <w:tc>
          <w:tcPr>
            <w:tcW w:w="875" w:type="dxa"/>
            <w:tcBorders>
              <w:bottom w:val="single" w:color="auto" w:sz="4" w:space="0"/>
            </w:tcBorders>
            <w:shd w:val="clear" w:color="auto" w:fill="D9D9D9" w:themeFill="background1" w:themeFillShade="D9"/>
            <w:vAlign w:val="center"/>
          </w:tcPr>
          <w:p w:rsidRPr="00165F43" w:rsidR="00FA1ACA" w:rsidP="009D0FAD" w:rsidRDefault="00FA1ACA" w14:paraId="7124653F" w14:textId="77777777">
            <w:pPr>
              <w:keepNext/>
              <w:keepLines/>
              <w:jc w:val="center"/>
              <w:rPr>
                <w:rFonts w:cs="Arial"/>
                <w:b/>
                <w:sz w:val="18"/>
                <w:szCs w:val="18"/>
              </w:rPr>
            </w:pPr>
            <w:r w:rsidRPr="00165F43">
              <w:rPr>
                <w:rFonts w:cs="Arial"/>
                <w:b/>
                <w:sz w:val="18"/>
                <w:szCs w:val="18"/>
              </w:rPr>
              <w:t>2019</w:t>
            </w:r>
          </w:p>
        </w:tc>
      </w:tr>
      <w:tr w:rsidRPr="00165F43" w:rsidR="00FA1ACA" w:rsidTr="0035159A" w14:paraId="39AF90A1" w14:textId="77777777">
        <w:trPr>
          <w:trHeight w:val="288"/>
          <w:jc w:val="center"/>
        </w:trPr>
        <w:tc>
          <w:tcPr>
            <w:tcW w:w="9445" w:type="dxa"/>
            <w:gridSpan w:val="10"/>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54361424" w14:textId="567B7447">
            <w:pPr>
              <w:jc w:val="center"/>
              <w:rPr>
                <w:rFonts w:cs="Arial"/>
                <w:b/>
                <w:bCs/>
                <w:sz w:val="18"/>
                <w:szCs w:val="18"/>
              </w:rPr>
            </w:pPr>
            <w:r w:rsidRPr="00165F43">
              <w:rPr>
                <w:rFonts w:cs="Arial"/>
                <w:b/>
                <w:bCs/>
                <w:sz w:val="18"/>
                <w:szCs w:val="18"/>
              </w:rPr>
              <w:t>For</w:t>
            </w:r>
            <w:r>
              <w:rPr>
                <w:rFonts w:cs="Arial"/>
                <w:b/>
                <w:bCs/>
                <w:sz w:val="18"/>
                <w:szCs w:val="18"/>
              </w:rPr>
              <w:t>-</w:t>
            </w:r>
            <w:r w:rsidRPr="00165F43">
              <w:rPr>
                <w:rFonts w:cs="Arial"/>
                <w:b/>
                <w:bCs/>
                <w:sz w:val="18"/>
                <w:szCs w:val="18"/>
              </w:rPr>
              <w:t>Cause</w:t>
            </w:r>
          </w:p>
        </w:tc>
      </w:tr>
      <w:tr w:rsidRPr="00897EE4" w:rsidR="00D22A8B" w:rsidTr="00D27E66" w14:paraId="26D70E2D" w14:textId="77777777">
        <w:trPr>
          <w:trHeight w:val="20"/>
          <w:jc w:val="center"/>
        </w:trPr>
        <w:tc>
          <w:tcPr>
            <w:tcW w:w="1435" w:type="dxa"/>
            <w:tcBorders>
              <w:top w:val="single" w:color="auto" w:sz="4" w:space="0"/>
            </w:tcBorders>
            <w:tcMar>
              <w:left w:w="58" w:type="dxa"/>
              <w:right w:w="58" w:type="dxa"/>
            </w:tcMar>
            <w:vAlign w:val="center"/>
          </w:tcPr>
          <w:p w:rsidR="00EE44C4" w:rsidP="009D0FAD" w:rsidRDefault="00FA1ACA" w14:paraId="0DC0C0EA" w14:textId="0CA30D36">
            <w:pPr>
              <w:rPr>
                <w:rFonts w:cs="Arial"/>
                <w:sz w:val="16"/>
                <w:szCs w:val="16"/>
              </w:rPr>
            </w:pPr>
            <w:r w:rsidRPr="00165F43">
              <w:rPr>
                <w:rFonts w:cs="Arial"/>
                <w:sz w:val="16"/>
                <w:szCs w:val="16"/>
              </w:rPr>
              <w:t xml:space="preserve">Total results </w:t>
            </w:r>
          </w:p>
          <w:p w:rsidRPr="00165F43" w:rsidR="00FA1ACA" w:rsidP="009D0FAD" w:rsidRDefault="00FA1ACA" w14:paraId="1F4C4B61" w14:textId="6C22CA88">
            <w:pPr>
              <w:rPr>
                <w:rFonts w:cs="Arial"/>
                <w:sz w:val="16"/>
                <w:szCs w:val="16"/>
              </w:rPr>
            </w:pPr>
            <w:r w:rsidRPr="00165F43">
              <w:rPr>
                <w:rFonts w:cs="Arial"/>
                <w:sz w:val="16"/>
                <w:szCs w:val="16"/>
              </w:rPr>
              <w:t>(drug &amp; alcohol positives &amp; subversions)</w:t>
            </w:r>
          </w:p>
        </w:tc>
        <w:tc>
          <w:tcPr>
            <w:tcW w:w="816" w:type="dxa"/>
            <w:tcBorders>
              <w:top w:val="single" w:color="auto" w:sz="4" w:space="0"/>
            </w:tcBorders>
            <w:tcMar>
              <w:left w:w="58" w:type="dxa"/>
              <w:right w:w="58" w:type="dxa"/>
            </w:tcMar>
            <w:vAlign w:val="center"/>
          </w:tcPr>
          <w:p w:rsidRPr="00165F43" w:rsidR="00FA1ACA" w:rsidP="009D0FAD" w:rsidRDefault="00FA1ACA" w14:paraId="4CF48860" w14:textId="77777777">
            <w:pPr>
              <w:keepNext/>
              <w:keepLines/>
              <w:jc w:val="center"/>
              <w:rPr>
                <w:rFonts w:cs="Arial"/>
                <w:sz w:val="16"/>
                <w:szCs w:val="16"/>
                <w:highlight w:val="yellow"/>
              </w:rPr>
            </w:pPr>
            <w:r w:rsidRPr="00165F43">
              <w:rPr>
                <w:rFonts w:cs="Arial"/>
                <w:sz w:val="16"/>
                <w:szCs w:val="16"/>
              </w:rPr>
              <w:t>66</w:t>
            </w:r>
          </w:p>
        </w:tc>
        <w:tc>
          <w:tcPr>
            <w:tcW w:w="902" w:type="dxa"/>
            <w:tcBorders>
              <w:top w:val="single" w:color="auto" w:sz="4" w:space="0"/>
            </w:tcBorders>
            <w:tcMar>
              <w:left w:w="58" w:type="dxa"/>
              <w:right w:w="58" w:type="dxa"/>
            </w:tcMar>
            <w:vAlign w:val="center"/>
          </w:tcPr>
          <w:p w:rsidRPr="00165F43" w:rsidR="00FA1ACA" w:rsidP="009D0FAD" w:rsidRDefault="00FA1ACA" w14:paraId="5C20B74B" w14:textId="77777777">
            <w:pPr>
              <w:keepNext/>
              <w:keepLines/>
              <w:jc w:val="center"/>
              <w:rPr>
                <w:rFonts w:cs="Arial"/>
                <w:sz w:val="16"/>
                <w:szCs w:val="16"/>
                <w:highlight w:val="yellow"/>
              </w:rPr>
            </w:pPr>
            <w:r w:rsidRPr="00165F43">
              <w:rPr>
                <w:rFonts w:cs="Arial"/>
                <w:sz w:val="16"/>
                <w:szCs w:val="16"/>
              </w:rPr>
              <w:t>65</w:t>
            </w:r>
          </w:p>
        </w:tc>
        <w:tc>
          <w:tcPr>
            <w:tcW w:w="902" w:type="dxa"/>
            <w:tcBorders>
              <w:top w:val="single" w:color="auto" w:sz="4" w:space="0"/>
            </w:tcBorders>
            <w:tcMar>
              <w:left w:w="58" w:type="dxa"/>
              <w:right w:w="58" w:type="dxa"/>
            </w:tcMar>
            <w:vAlign w:val="center"/>
          </w:tcPr>
          <w:p w:rsidRPr="00165F43" w:rsidR="00FA1ACA" w:rsidP="009D0FAD" w:rsidRDefault="00FA1ACA" w14:paraId="6E24B214" w14:textId="77777777">
            <w:pPr>
              <w:keepNext/>
              <w:keepLines/>
              <w:jc w:val="center"/>
              <w:rPr>
                <w:rFonts w:cs="Arial"/>
                <w:sz w:val="16"/>
                <w:szCs w:val="16"/>
                <w:highlight w:val="yellow"/>
              </w:rPr>
            </w:pPr>
            <w:r w:rsidRPr="00165F43">
              <w:rPr>
                <w:rFonts w:cs="Arial"/>
                <w:sz w:val="16"/>
                <w:szCs w:val="16"/>
              </w:rPr>
              <w:t>80</w:t>
            </w:r>
          </w:p>
        </w:tc>
        <w:tc>
          <w:tcPr>
            <w:tcW w:w="903" w:type="dxa"/>
            <w:tcBorders>
              <w:top w:val="single" w:color="auto" w:sz="4" w:space="0"/>
            </w:tcBorders>
            <w:tcMar>
              <w:left w:w="58" w:type="dxa"/>
              <w:right w:w="58" w:type="dxa"/>
            </w:tcMar>
            <w:vAlign w:val="center"/>
          </w:tcPr>
          <w:p w:rsidRPr="00165F43" w:rsidR="00FA1ACA" w:rsidP="009D0FAD" w:rsidRDefault="00FA1ACA" w14:paraId="10D09072" w14:textId="77777777">
            <w:pPr>
              <w:keepNext/>
              <w:keepLines/>
              <w:jc w:val="center"/>
              <w:rPr>
                <w:rFonts w:cs="Arial"/>
                <w:sz w:val="16"/>
                <w:szCs w:val="16"/>
                <w:highlight w:val="yellow"/>
              </w:rPr>
            </w:pPr>
            <w:r w:rsidRPr="00165F43">
              <w:rPr>
                <w:rFonts w:cs="Arial"/>
                <w:sz w:val="16"/>
                <w:szCs w:val="16"/>
              </w:rPr>
              <w:t>83</w:t>
            </w:r>
          </w:p>
        </w:tc>
        <w:tc>
          <w:tcPr>
            <w:tcW w:w="903"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2C421D89" w14:textId="77777777">
            <w:pPr>
              <w:keepNext/>
              <w:keepLines/>
              <w:jc w:val="center"/>
              <w:rPr>
                <w:rFonts w:cs="Arial"/>
                <w:sz w:val="16"/>
                <w:szCs w:val="16"/>
              </w:rPr>
            </w:pPr>
            <w:r>
              <w:rPr>
                <w:rFonts w:cs="Arial"/>
                <w:sz w:val="16"/>
                <w:szCs w:val="16"/>
              </w:rPr>
              <w:t>87</w:t>
            </w:r>
          </w:p>
        </w:tc>
        <w:tc>
          <w:tcPr>
            <w:tcW w:w="889" w:type="dxa"/>
            <w:tcBorders>
              <w:top w:val="single" w:color="auto" w:sz="4" w:space="0"/>
            </w:tcBorders>
            <w:shd w:val="clear" w:color="auto" w:fill="FFFFFF" w:themeFill="background1"/>
            <w:tcMar>
              <w:left w:w="58" w:type="dxa"/>
              <w:right w:w="58" w:type="dxa"/>
            </w:tcMar>
            <w:vAlign w:val="center"/>
          </w:tcPr>
          <w:p w:rsidRPr="00165F43" w:rsidR="00FA1ACA" w:rsidP="009D0FAD" w:rsidRDefault="00AE5641" w14:paraId="7F73EC7A" w14:textId="4EAC3CDF">
            <w:pPr>
              <w:keepNext/>
              <w:keepLines/>
              <w:jc w:val="center"/>
              <w:rPr>
                <w:rFonts w:cs="Arial"/>
                <w:sz w:val="16"/>
                <w:szCs w:val="16"/>
              </w:rPr>
            </w:pPr>
            <w:r>
              <w:rPr>
                <w:rFonts w:cs="Arial"/>
                <w:sz w:val="16"/>
                <w:szCs w:val="16"/>
              </w:rPr>
              <w:t>75</w:t>
            </w:r>
          </w:p>
        </w:tc>
        <w:tc>
          <w:tcPr>
            <w:tcW w:w="900" w:type="dxa"/>
            <w:tcBorders>
              <w:top w:val="single" w:color="auto" w:sz="4" w:space="0"/>
            </w:tcBorders>
            <w:shd w:val="clear" w:color="auto" w:fill="FFFFFF" w:themeFill="background1"/>
            <w:tcMar>
              <w:left w:w="58" w:type="dxa"/>
              <w:right w:w="58" w:type="dxa"/>
            </w:tcMar>
            <w:vAlign w:val="center"/>
          </w:tcPr>
          <w:p w:rsidRPr="00165F43" w:rsidR="00FA1ACA" w:rsidP="009D0FAD" w:rsidRDefault="002E563C" w14:paraId="1D44111D" w14:textId="45AFA280">
            <w:pPr>
              <w:keepNext/>
              <w:keepLines/>
              <w:jc w:val="center"/>
              <w:rPr>
                <w:rFonts w:cs="Arial"/>
                <w:sz w:val="16"/>
                <w:szCs w:val="16"/>
              </w:rPr>
            </w:pPr>
            <w:r>
              <w:rPr>
                <w:rFonts w:cs="Arial"/>
                <w:sz w:val="16"/>
                <w:szCs w:val="16"/>
              </w:rPr>
              <w:t>79</w:t>
            </w:r>
          </w:p>
        </w:tc>
        <w:tc>
          <w:tcPr>
            <w:tcW w:w="920" w:type="dxa"/>
            <w:tcBorders>
              <w:top w:val="single" w:color="auto" w:sz="4" w:space="0"/>
            </w:tcBorders>
            <w:shd w:val="clear" w:color="auto" w:fill="FFFFFF" w:themeFill="background1"/>
            <w:tcMar>
              <w:left w:w="58" w:type="dxa"/>
              <w:right w:w="58" w:type="dxa"/>
            </w:tcMar>
            <w:vAlign w:val="center"/>
          </w:tcPr>
          <w:p w:rsidRPr="00165F43" w:rsidR="00FA1ACA" w:rsidP="009D0FAD" w:rsidRDefault="00E44370" w14:paraId="575144B3" w14:textId="78450ADE">
            <w:pPr>
              <w:keepNext/>
              <w:keepLines/>
              <w:jc w:val="center"/>
              <w:rPr>
                <w:rFonts w:cs="Arial"/>
                <w:sz w:val="16"/>
                <w:szCs w:val="16"/>
              </w:rPr>
            </w:pPr>
            <w:r>
              <w:rPr>
                <w:rFonts w:cs="Arial"/>
                <w:sz w:val="16"/>
                <w:szCs w:val="16"/>
              </w:rPr>
              <w:t>76</w:t>
            </w:r>
          </w:p>
        </w:tc>
        <w:tc>
          <w:tcPr>
            <w:tcW w:w="875" w:type="dxa"/>
            <w:tcBorders>
              <w:top w:val="single" w:color="auto" w:sz="4" w:space="0"/>
            </w:tcBorders>
            <w:shd w:val="clear" w:color="auto" w:fill="FFFFFF" w:themeFill="background1"/>
            <w:tcMar>
              <w:left w:w="58" w:type="dxa"/>
              <w:right w:w="58" w:type="dxa"/>
            </w:tcMar>
            <w:vAlign w:val="center"/>
          </w:tcPr>
          <w:p w:rsidRPr="00165F43" w:rsidR="00FA1ACA" w:rsidP="009D0FAD" w:rsidRDefault="00893472" w14:paraId="63C56596" w14:textId="1E17D304">
            <w:pPr>
              <w:keepNext/>
              <w:keepLines/>
              <w:jc w:val="center"/>
              <w:rPr>
                <w:rFonts w:cs="Arial"/>
                <w:sz w:val="16"/>
                <w:szCs w:val="16"/>
              </w:rPr>
            </w:pPr>
            <w:r>
              <w:rPr>
                <w:rFonts w:cs="Arial"/>
                <w:sz w:val="16"/>
                <w:szCs w:val="16"/>
              </w:rPr>
              <w:t>67</w:t>
            </w:r>
          </w:p>
        </w:tc>
      </w:tr>
      <w:tr w:rsidRPr="00897EE4" w:rsidR="00BD24CD" w:rsidTr="00D27E66" w14:paraId="7DEE5339" w14:textId="77777777">
        <w:trPr>
          <w:trHeight w:val="20"/>
          <w:jc w:val="center"/>
        </w:trPr>
        <w:tc>
          <w:tcPr>
            <w:tcW w:w="1435" w:type="dxa"/>
            <w:tcBorders>
              <w:top w:val="single" w:color="auto" w:sz="4" w:space="0"/>
            </w:tcBorders>
            <w:tcMar>
              <w:left w:w="58" w:type="dxa"/>
              <w:right w:w="58" w:type="dxa"/>
            </w:tcMar>
            <w:vAlign w:val="center"/>
          </w:tcPr>
          <w:p w:rsidR="006A2048" w:rsidP="009D0FAD" w:rsidRDefault="00FA1ACA" w14:paraId="5476479D" w14:textId="77777777">
            <w:pPr>
              <w:rPr>
                <w:rFonts w:cs="Arial"/>
                <w:sz w:val="16"/>
                <w:szCs w:val="16"/>
              </w:rPr>
            </w:pPr>
            <w:r w:rsidRPr="00165F43">
              <w:rPr>
                <w:rFonts w:cs="Arial"/>
                <w:sz w:val="16"/>
                <w:szCs w:val="16"/>
              </w:rPr>
              <w:t xml:space="preserve">Total results </w:t>
            </w:r>
          </w:p>
          <w:p w:rsidR="004F58E8" w:rsidP="009D0FAD" w:rsidRDefault="00FA1ACA" w14:paraId="432A034F" w14:textId="77777777">
            <w:pPr>
              <w:rPr>
                <w:rFonts w:cs="Arial"/>
                <w:sz w:val="16"/>
                <w:szCs w:val="16"/>
              </w:rPr>
            </w:pPr>
            <w:r w:rsidRPr="00165F43">
              <w:rPr>
                <w:rFonts w:cs="Arial"/>
                <w:sz w:val="16"/>
                <w:szCs w:val="16"/>
              </w:rPr>
              <w:t xml:space="preserve">(drug positives </w:t>
            </w:r>
          </w:p>
          <w:p w:rsidRPr="00165F43" w:rsidR="00FA1ACA" w:rsidP="009D0FAD" w:rsidRDefault="00FA1ACA" w14:paraId="2347904B" w14:textId="6B15ECCA">
            <w:pPr>
              <w:rPr>
                <w:rFonts w:cs="Arial"/>
                <w:sz w:val="16"/>
                <w:szCs w:val="16"/>
              </w:rPr>
            </w:pPr>
            <w:r w:rsidRPr="00165F43">
              <w:rPr>
                <w:rFonts w:cs="Arial"/>
                <w:sz w:val="16"/>
                <w:szCs w:val="16"/>
              </w:rPr>
              <w:t>&amp; subversions)</w:t>
            </w:r>
          </w:p>
        </w:tc>
        <w:tc>
          <w:tcPr>
            <w:tcW w:w="816" w:type="dxa"/>
            <w:tcBorders>
              <w:top w:val="single" w:color="auto" w:sz="4" w:space="0"/>
            </w:tcBorders>
            <w:tcMar>
              <w:left w:w="58" w:type="dxa"/>
              <w:right w:w="58" w:type="dxa"/>
            </w:tcMar>
            <w:vAlign w:val="center"/>
          </w:tcPr>
          <w:p w:rsidRPr="00165F43" w:rsidR="00FA1ACA" w:rsidP="009D0FAD" w:rsidRDefault="00FA1ACA" w14:paraId="0B774CB7" w14:textId="77777777">
            <w:pPr>
              <w:keepNext/>
              <w:keepLines/>
              <w:jc w:val="center"/>
              <w:rPr>
                <w:rFonts w:cs="Arial"/>
                <w:sz w:val="16"/>
                <w:szCs w:val="16"/>
              </w:rPr>
            </w:pPr>
            <w:r w:rsidRPr="00165F43">
              <w:rPr>
                <w:rFonts w:cs="Arial"/>
                <w:sz w:val="16"/>
                <w:szCs w:val="16"/>
              </w:rPr>
              <w:t>27</w:t>
            </w:r>
          </w:p>
        </w:tc>
        <w:tc>
          <w:tcPr>
            <w:tcW w:w="902" w:type="dxa"/>
            <w:tcBorders>
              <w:top w:val="single" w:color="auto" w:sz="4" w:space="0"/>
            </w:tcBorders>
            <w:tcMar>
              <w:left w:w="58" w:type="dxa"/>
              <w:right w:w="58" w:type="dxa"/>
            </w:tcMar>
            <w:vAlign w:val="center"/>
          </w:tcPr>
          <w:p w:rsidRPr="00165F43" w:rsidR="00FA1ACA" w:rsidP="009D0FAD" w:rsidRDefault="00FA1ACA" w14:paraId="7AC6B62F" w14:textId="77777777">
            <w:pPr>
              <w:keepNext/>
              <w:keepLines/>
              <w:jc w:val="center"/>
              <w:rPr>
                <w:rFonts w:cs="Arial"/>
                <w:sz w:val="16"/>
                <w:szCs w:val="16"/>
              </w:rPr>
            </w:pPr>
            <w:r w:rsidRPr="00165F43">
              <w:rPr>
                <w:rFonts w:cs="Arial"/>
                <w:sz w:val="16"/>
                <w:szCs w:val="16"/>
              </w:rPr>
              <w:t>19</w:t>
            </w:r>
          </w:p>
        </w:tc>
        <w:tc>
          <w:tcPr>
            <w:tcW w:w="902" w:type="dxa"/>
            <w:tcBorders>
              <w:top w:val="single" w:color="auto" w:sz="4" w:space="0"/>
            </w:tcBorders>
            <w:tcMar>
              <w:left w:w="58" w:type="dxa"/>
              <w:right w:w="58" w:type="dxa"/>
            </w:tcMar>
            <w:vAlign w:val="center"/>
          </w:tcPr>
          <w:p w:rsidRPr="00165F43" w:rsidR="00FA1ACA" w:rsidP="009D0FAD" w:rsidRDefault="00FA1ACA" w14:paraId="344821A3" w14:textId="77777777">
            <w:pPr>
              <w:keepNext/>
              <w:keepLines/>
              <w:jc w:val="center"/>
              <w:rPr>
                <w:rFonts w:cs="Arial"/>
                <w:sz w:val="16"/>
                <w:szCs w:val="16"/>
              </w:rPr>
            </w:pPr>
            <w:r w:rsidRPr="00165F43">
              <w:rPr>
                <w:rFonts w:cs="Arial"/>
                <w:sz w:val="16"/>
                <w:szCs w:val="16"/>
              </w:rPr>
              <w:t>30</w:t>
            </w:r>
          </w:p>
        </w:tc>
        <w:tc>
          <w:tcPr>
            <w:tcW w:w="903" w:type="dxa"/>
            <w:tcBorders>
              <w:top w:val="single" w:color="auto" w:sz="4" w:space="0"/>
            </w:tcBorders>
            <w:tcMar>
              <w:left w:w="58" w:type="dxa"/>
              <w:right w:w="58" w:type="dxa"/>
            </w:tcMar>
            <w:vAlign w:val="center"/>
          </w:tcPr>
          <w:p w:rsidRPr="00165F43" w:rsidR="00FA1ACA" w:rsidP="009D0FAD" w:rsidRDefault="00FA1ACA" w14:paraId="4E3F27BB" w14:textId="77777777">
            <w:pPr>
              <w:keepNext/>
              <w:keepLines/>
              <w:jc w:val="center"/>
              <w:rPr>
                <w:rFonts w:cs="Arial"/>
                <w:sz w:val="16"/>
                <w:szCs w:val="16"/>
              </w:rPr>
            </w:pPr>
            <w:r w:rsidRPr="00165F43">
              <w:rPr>
                <w:rFonts w:cs="Arial"/>
                <w:sz w:val="16"/>
                <w:szCs w:val="16"/>
              </w:rPr>
              <w:t>36</w:t>
            </w:r>
          </w:p>
        </w:tc>
        <w:tc>
          <w:tcPr>
            <w:tcW w:w="903" w:type="dxa"/>
            <w:tcBorders>
              <w:top w:val="single" w:color="auto" w:sz="4" w:space="0"/>
            </w:tcBorders>
            <w:shd w:val="clear" w:color="auto" w:fill="FFFFFF" w:themeFill="background1"/>
            <w:tcMar>
              <w:left w:w="58" w:type="dxa"/>
              <w:right w:w="58" w:type="dxa"/>
            </w:tcMar>
            <w:vAlign w:val="center"/>
          </w:tcPr>
          <w:p w:rsidRPr="00165F43" w:rsidR="00FA1ACA" w:rsidP="009D0FAD" w:rsidRDefault="009A7E55" w14:paraId="67E40FA4" w14:textId="688FA5CB">
            <w:pPr>
              <w:keepNext/>
              <w:keepLines/>
              <w:jc w:val="center"/>
              <w:rPr>
                <w:rFonts w:cs="Arial"/>
                <w:sz w:val="16"/>
                <w:szCs w:val="16"/>
              </w:rPr>
            </w:pPr>
            <w:r>
              <w:rPr>
                <w:rFonts w:cs="Arial"/>
                <w:sz w:val="16"/>
                <w:szCs w:val="16"/>
              </w:rPr>
              <w:t>43</w:t>
            </w:r>
          </w:p>
        </w:tc>
        <w:tc>
          <w:tcPr>
            <w:tcW w:w="889" w:type="dxa"/>
            <w:tcBorders>
              <w:top w:val="single" w:color="auto" w:sz="4" w:space="0"/>
            </w:tcBorders>
            <w:shd w:val="clear" w:color="auto" w:fill="FFFFFF" w:themeFill="background1"/>
            <w:tcMar>
              <w:left w:w="58" w:type="dxa"/>
              <w:right w:w="58" w:type="dxa"/>
            </w:tcMar>
            <w:vAlign w:val="center"/>
          </w:tcPr>
          <w:p w:rsidRPr="00165F43" w:rsidR="00FA1ACA" w:rsidP="009D0FAD" w:rsidRDefault="00C91FA8" w14:paraId="3338F732" w14:textId="6F542E13">
            <w:pPr>
              <w:keepNext/>
              <w:keepLines/>
              <w:jc w:val="center"/>
              <w:rPr>
                <w:rFonts w:cs="Arial"/>
                <w:sz w:val="16"/>
                <w:szCs w:val="16"/>
              </w:rPr>
            </w:pPr>
            <w:r>
              <w:rPr>
                <w:rFonts w:cs="Arial"/>
                <w:sz w:val="16"/>
                <w:szCs w:val="16"/>
              </w:rPr>
              <w:t>42</w:t>
            </w:r>
          </w:p>
        </w:tc>
        <w:tc>
          <w:tcPr>
            <w:tcW w:w="900" w:type="dxa"/>
            <w:tcBorders>
              <w:top w:val="single" w:color="auto" w:sz="4" w:space="0"/>
            </w:tcBorders>
            <w:shd w:val="clear" w:color="auto" w:fill="FFFFFF" w:themeFill="background1"/>
            <w:tcMar>
              <w:left w:w="58" w:type="dxa"/>
              <w:right w:w="58" w:type="dxa"/>
            </w:tcMar>
            <w:vAlign w:val="center"/>
          </w:tcPr>
          <w:p w:rsidRPr="00165F43" w:rsidR="00FA1ACA" w:rsidP="009D0FAD" w:rsidRDefault="00DA5E89" w14:paraId="2B70133B" w14:textId="04AB56DD">
            <w:pPr>
              <w:keepNext/>
              <w:keepLines/>
              <w:jc w:val="center"/>
              <w:rPr>
                <w:rFonts w:cs="Arial"/>
                <w:sz w:val="16"/>
                <w:szCs w:val="16"/>
              </w:rPr>
            </w:pPr>
            <w:r>
              <w:rPr>
                <w:rFonts w:cs="Arial"/>
                <w:sz w:val="16"/>
                <w:szCs w:val="16"/>
              </w:rPr>
              <w:t>39</w:t>
            </w:r>
          </w:p>
        </w:tc>
        <w:tc>
          <w:tcPr>
            <w:tcW w:w="920" w:type="dxa"/>
            <w:tcBorders>
              <w:top w:val="single" w:color="auto" w:sz="4" w:space="0"/>
            </w:tcBorders>
            <w:shd w:val="clear" w:color="auto" w:fill="FFFFFF" w:themeFill="background1"/>
            <w:tcMar>
              <w:left w:w="58" w:type="dxa"/>
              <w:right w:w="58" w:type="dxa"/>
            </w:tcMar>
            <w:vAlign w:val="center"/>
          </w:tcPr>
          <w:p w:rsidRPr="00165F43" w:rsidR="00FA1ACA" w:rsidP="009D0FAD" w:rsidRDefault="00440821" w14:paraId="059E7EA7" w14:textId="7E20931F">
            <w:pPr>
              <w:keepNext/>
              <w:keepLines/>
              <w:jc w:val="center"/>
              <w:rPr>
                <w:rFonts w:cs="Arial"/>
                <w:sz w:val="16"/>
                <w:szCs w:val="16"/>
              </w:rPr>
            </w:pPr>
            <w:r>
              <w:rPr>
                <w:rFonts w:cs="Arial"/>
                <w:sz w:val="16"/>
                <w:szCs w:val="16"/>
              </w:rPr>
              <w:t>3</w:t>
            </w:r>
            <w:r w:rsidR="00FE523F">
              <w:rPr>
                <w:rFonts w:cs="Arial"/>
                <w:sz w:val="16"/>
                <w:szCs w:val="16"/>
              </w:rPr>
              <w:t>9</w:t>
            </w:r>
          </w:p>
        </w:tc>
        <w:tc>
          <w:tcPr>
            <w:tcW w:w="875" w:type="dxa"/>
            <w:tcBorders>
              <w:top w:val="single" w:color="auto" w:sz="4" w:space="0"/>
            </w:tcBorders>
            <w:shd w:val="clear" w:color="auto" w:fill="FFFFFF" w:themeFill="background1"/>
            <w:tcMar>
              <w:left w:w="58" w:type="dxa"/>
              <w:right w:w="58" w:type="dxa"/>
            </w:tcMar>
            <w:vAlign w:val="center"/>
          </w:tcPr>
          <w:p w:rsidRPr="00165F43" w:rsidR="00FA1ACA" w:rsidP="009D0FAD" w:rsidRDefault="005D48F1" w14:paraId="2C6D7355" w14:textId="79E95BC2">
            <w:pPr>
              <w:keepNext/>
              <w:keepLines/>
              <w:jc w:val="center"/>
              <w:rPr>
                <w:rFonts w:cs="Arial"/>
                <w:sz w:val="16"/>
                <w:szCs w:val="16"/>
              </w:rPr>
            </w:pPr>
            <w:r>
              <w:rPr>
                <w:rFonts w:cs="Arial"/>
                <w:sz w:val="16"/>
                <w:szCs w:val="16"/>
              </w:rPr>
              <w:t>28</w:t>
            </w:r>
          </w:p>
        </w:tc>
      </w:tr>
      <w:tr w:rsidRPr="00897EE4" w:rsidR="00FA1ACA" w:rsidTr="0035159A" w14:paraId="66F311CC" w14:textId="77777777">
        <w:trPr>
          <w:trHeight w:val="288"/>
          <w:jc w:val="center"/>
        </w:trPr>
        <w:tc>
          <w:tcPr>
            <w:tcW w:w="9445" w:type="dxa"/>
            <w:gridSpan w:val="10"/>
            <w:tcBorders>
              <w:top w:val="single" w:color="auto" w:sz="4" w:space="0"/>
            </w:tcBorders>
            <w:shd w:val="clear" w:color="auto" w:fill="FFFFFF" w:themeFill="background1"/>
            <w:tcMar>
              <w:left w:w="58" w:type="dxa"/>
              <w:right w:w="58" w:type="dxa"/>
            </w:tcMar>
            <w:vAlign w:val="center"/>
          </w:tcPr>
          <w:p w:rsidRPr="00664CBB" w:rsidR="00FA1ACA" w:rsidP="009D0FAD" w:rsidRDefault="00FA1ACA" w14:paraId="3AFBBF9F" w14:textId="5418E25E">
            <w:pPr>
              <w:jc w:val="center"/>
              <w:rPr>
                <w:rFonts w:cs="Arial"/>
                <w:b/>
                <w:bCs/>
                <w:sz w:val="16"/>
                <w:szCs w:val="16"/>
                <w:highlight w:val="yellow"/>
                <w:u w:val="single"/>
              </w:rPr>
            </w:pPr>
            <w:r w:rsidRPr="001E280C">
              <w:rPr>
                <w:rFonts w:cs="Arial"/>
                <w:b/>
                <w:bCs/>
                <w:sz w:val="16"/>
                <w:szCs w:val="16"/>
              </w:rPr>
              <w:t>Test Results Associated with Rule Changes (Panel of Drugs or Subversions)</w:t>
            </w:r>
          </w:p>
        </w:tc>
      </w:tr>
      <w:tr w:rsidRPr="00897EE4" w:rsidR="00D22A8B" w:rsidTr="00D27E66" w14:paraId="5D0186B9" w14:textId="77777777">
        <w:trPr>
          <w:trHeight w:val="216"/>
          <w:jc w:val="center"/>
        </w:trPr>
        <w:tc>
          <w:tcPr>
            <w:tcW w:w="1435" w:type="dxa"/>
            <w:tcBorders>
              <w:top w:val="single" w:color="auto" w:sz="4" w:space="0"/>
            </w:tcBorders>
            <w:tcMar>
              <w:left w:w="58" w:type="dxa"/>
              <w:right w:w="58" w:type="dxa"/>
            </w:tcMar>
            <w:vAlign w:val="center"/>
          </w:tcPr>
          <w:p w:rsidRPr="00165F43" w:rsidR="00FA1ACA" w:rsidP="009D0FAD" w:rsidRDefault="00FA1ACA" w14:paraId="15FEB38D" w14:textId="77777777">
            <w:pPr>
              <w:rPr>
                <w:rFonts w:cs="Arial"/>
                <w:sz w:val="16"/>
                <w:szCs w:val="16"/>
              </w:rPr>
            </w:pPr>
            <w:proofErr w:type="spellStart"/>
            <w:r w:rsidRPr="00165F43">
              <w:rPr>
                <w:rFonts w:cs="Arial"/>
                <w:sz w:val="16"/>
                <w:szCs w:val="16"/>
              </w:rPr>
              <w:t>Amphetamines</w:t>
            </w:r>
            <w:r w:rsidRPr="00D40C12">
              <w:rPr>
                <w:rFonts w:cs="Arial"/>
                <w:sz w:val="16"/>
                <w:szCs w:val="16"/>
                <w:vertAlign w:val="superscript"/>
              </w:rPr>
              <w:t>a</w:t>
            </w:r>
            <w:proofErr w:type="spellEnd"/>
          </w:p>
        </w:tc>
        <w:tc>
          <w:tcPr>
            <w:tcW w:w="816" w:type="dxa"/>
            <w:tcBorders>
              <w:top w:val="single" w:color="auto" w:sz="4" w:space="0"/>
            </w:tcBorders>
            <w:tcMar>
              <w:left w:w="58" w:type="dxa"/>
              <w:right w:w="58" w:type="dxa"/>
            </w:tcMar>
            <w:vAlign w:val="center"/>
          </w:tcPr>
          <w:p w:rsidRPr="00165F43" w:rsidR="00FA1ACA" w:rsidP="009D0FAD" w:rsidRDefault="00FA1ACA" w14:paraId="673AE609" w14:textId="77777777">
            <w:pPr>
              <w:jc w:val="center"/>
              <w:rPr>
                <w:rFonts w:cs="Arial"/>
                <w:sz w:val="16"/>
                <w:szCs w:val="16"/>
              </w:rPr>
            </w:pPr>
            <w:r w:rsidRPr="00165F43">
              <w:rPr>
                <w:rFonts w:cs="Arial"/>
                <w:sz w:val="16"/>
                <w:szCs w:val="16"/>
              </w:rPr>
              <w:t>2</w:t>
            </w:r>
          </w:p>
        </w:tc>
        <w:tc>
          <w:tcPr>
            <w:tcW w:w="902" w:type="dxa"/>
            <w:tcBorders>
              <w:top w:val="single" w:color="auto" w:sz="4" w:space="0"/>
            </w:tcBorders>
            <w:tcMar>
              <w:left w:w="58" w:type="dxa"/>
              <w:right w:w="58" w:type="dxa"/>
            </w:tcMar>
            <w:vAlign w:val="center"/>
          </w:tcPr>
          <w:p w:rsidRPr="00165F43" w:rsidR="00FA1ACA" w:rsidP="009D0FAD" w:rsidRDefault="00FA1ACA" w14:paraId="5997E1DA" w14:textId="77777777">
            <w:pPr>
              <w:jc w:val="center"/>
              <w:rPr>
                <w:rFonts w:cs="Arial"/>
                <w:sz w:val="16"/>
                <w:szCs w:val="16"/>
              </w:rPr>
            </w:pPr>
            <w:r w:rsidRPr="00165F43">
              <w:rPr>
                <w:rFonts w:cs="Arial"/>
                <w:sz w:val="16"/>
                <w:szCs w:val="16"/>
              </w:rPr>
              <w:t>4</w:t>
            </w:r>
          </w:p>
        </w:tc>
        <w:tc>
          <w:tcPr>
            <w:tcW w:w="902" w:type="dxa"/>
            <w:tcBorders>
              <w:top w:val="single" w:color="auto" w:sz="4" w:space="0"/>
            </w:tcBorders>
            <w:tcMar>
              <w:left w:w="58" w:type="dxa"/>
              <w:right w:w="58" w:type="dxa"/>
            </w:tcMar>
            <w:vAlign w:val="center"/>
          </w:tcPr>
          <w:p w:rsidRPr="00165F43" w:rsidR="00FA1ACA" w:rsidP="009D0FAD" w:rsidRDefault="00FA1ACA" w14:paraId="32C04854" w14:textId="77777777">
            <w:pPr>
              <w:jc w:val="center"/>
              <w:rPr>
                <w:rFonts w:cs="Arial"/>
                <w:sz w:val="16"/>
                <w:szCs w:val="16"/>
              </w:rPr>
            </w:pPr>
            <w:r w:rsidRPr="00165F43">
              <w:rPr>
                <w:rFonts w:cs="Arial"/>
                <w:sz w:val="16"/>
                <w:szCs w:val="16"/>
              </w:rPr>
              <w:t>2</w:t>
            </w:r>
          </w:p>
        </w:tc>
        <w:tc>
          <w:tcPr>
            <w:tcW w:w="903" w:type="dxa"/>
            <w:tcBorders>
              <w:top w:val="single" w:color="auto" w:sz="4" w:space="0"/>
            </w:tcBorders>
            <w:tcMar>
              <w:left w:w="58" w:type="dxa"/>
              <w:right w:w="58" w:type="dxa"/>
            </w:tcMar>
            <w:vAlign w:val="center"/>
          </w:tcPr>
          <w:p w:rsidRPr="00165F43" w:rsidR="00FA1ACA" w:rsidP="009D0FAD" w:rsidRDefault="00FA1ACA" w14:paraId="15A39A15" w14:textId="77777777">
            <w:pPr>
              <w:jc w:val="center"/>
              <w:rPr>
                <w:rFonts w:cs="Arial"/>
                <w:sz w:val="16"/>
                <w:szCs w:val="16"/>
              </w:rPr>
            </w:pPr>
            <w:r w:rsidRPr="00165F43">
              <w:rPr>
                <w:rFonts w:cs="Arial"/>
                <w:sz w:val="16"/>
                <w:szCs w:val="16"/>
              </w:rPr>
              <w:t>2</w:t>
            </w:r>
          </w:p>
        </w:tc>
        <w:tc>
          <w:tcPr>
            <w:tcW w:w="903"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405AC9C2" w14:textId="77777777">
            <w:pPr>
              <w:jc w:val="center"/>
              <w:rPr>
                <w:rFonts w:cs="Arial"/>
                <w:sz w:val="16"/>
                <w:szCs w:val="16"/>
              </w:rPr>
            </w:pPr>
            <w:r>
              <w:rPr>
                <w:rFonts w:cs="Arial"/>
                <w:sz w:val="16"/>
                <w:szCs w:val="16"/>
              </w:rPr>
              <w:t>17</w:t>
            </w:r>
          </w:p>
        </w:tc>
        <w:tc>
          <w:tcPr>
            <w:tcW w:w="889" w:type="dxa"/>
            <w:tcBorders>
              <w:top w:val="single" w:color="auto" w:sz="4" w:space="0"/>
            </w:tcBorders>
            <w:shd w:val="clear" w:color="auto" w:fill="FFFFFF" w:themeFill="background1"/>
            <w:tcMar>
              <w:left w:w="58" w:type="dxa"/>
              <w:right w:w="58" w:type="dxa"/>
            </w:tcMar>
            <w:vAlign w:val="center"/>
          </w:tcPr>
          <w:p w:rsidRPr="00165F43" w:rsidR="00FA1ACA" w:rsidP="009D0FAD" w:rsidRDefault="0001522A" w14:paraId="75FADECE" w14:textId="0FE5C5D1">
            <w:pPr>
              <w:jc w:val="center"/>
              <w:rPr>
                <w:rFonts w:cs="Arial"/>
                <w:sz w:val="16"/>
                <w:szCs w:val="16"/>
              </w:rPr>
            </w:pPr>
            <w:r>
              <w:rPr>
                <w:rFonts w:cs="Arial"/>
                <w:sz w:val="16"/>
                <w:szCs w:val="16"/>
              </w:rPr>
              <w:t>10</w:t>
            </w:r>
          </w:p>
        </w:tc>
        <w:tc>
          <w:tcPr>
            <w:tcW w:w="900" w:type="dxa"/>
            <w:tcBorders>
              <w:top w:val="single" w:color="auto" w:sz="4" w:space="0"/>
            </w:tcBorders>
            <w:shd w:val="clear" w:color="auto" w:fill="FFFFFF" w:themeFill="background1"/>
            <w:tcMar>
              <w:left w:w="58" w:type="dxa"/>
              <w:right w:w="58" w:type="dxa"/>
            </w:tcMar>
            <w:vAlign w:val="center"/>
          </w:tcPr>
          <w:p w:rsidRPr="00165F43" w:rsidR="00FA1ACA" w:rsidP="009D0FAD" w:rsidRDefault="00AF1758" w14:paraId="3442820B" w14:textId="465E23D5">
            <w:pPr>
              <w:jc w:val="center"/>
              <w:rPr>
                <w:rFonts w:cs="Arial"/>
                <w:sz w:val="16"/>
                <w:szCs w:val="16"/>
              </w:rPr>
            </w:pPr>
            <w:r>
              <w:rPr>
                <w:rFonts w:cs="Arial"/>
                <w:sz w:val="16"/>
                <w:szCs w:val="16"/>
              </w:rPr>
              <w:t>8</w:t>
            </w:r>
          </w:p>
        </w:tc>
        <w:tc>
          <w:tcPr>
            <w:tcW w:w="920" w:type="dxa"/>
            <w:tcBorders>
              <w:top w:val="single" w:color="auto" w:sz="4" w:space="0"/>
            </w:tcBorders>
            <w:shd w:val="clear" w:color="auto" w:fill="FFFFFF" w:themeFill="background1"/>
            <w:tcMar>
              <w:left w:w="58" w:type="dxa"/>
              <w:right w:w="58" w:type="dxa"/>
            </w:tcMar>
            <w:vAlign w:val="center"/>
          </w:tcPr>
          <w:p w:rsidRPr="00165F43" w:rsidR="00FA1ACA" w:rsidP="009D0FAD" w:rsidRDefault="00C8548A" w14:paraId="7683A78D" w14:textId="00161D92">
            <w:pPr>
              <w:jc w:val="center"/>
              <w:rPr>
                <w:rFonts w:cs="Arial"/>
                <w:sz w:val="16"/>
                <w:szCs w:val="16"/>
              </w:rPr>
            </w:pPr>
            <w:r>
              <w:rPr>
                <w:rFonts w:cs="Arial"/>
                <w:sz w:val="16"/>
                <w:szCs w:val="16"/>
              </w:rPr>
              <w:t>6</w:t>
            </w:r>
          </w:p>
        </w:tc>
        <w:tc>
          <w:tcPr>
            <w:tcW w:w="875" w:type="dxa"/>
            <w:tcBorders>
              <w:top w:val="single" w:color="auto" w:sz="4" w:space="0"/>
            </w:tcBorders>
            <w:shd w:val="clear" w:color="auto" w:fill="FFFFFF" w:themeFill="background1"/>
            <w:tcMar>
              <w:left w:w="58" w:type="dxa"/>
              <w:right w:w="58" w:type="dxa"/>
            </w:tcMar>
            <w:vAlign w:val="center"/>
          </w:tcPr>
          <w:p w:rsidRPr="00165F43" w:rsidR="00FA1ACA" w:rsidP="009D0FAD" w:rsidRDefault="004F0312" w14:paraId="33BFB7F8" w14:textId="02C8CF4D">
            <w:pPr>
              <w:jc w:val="center"/>
              <w:rPr>
                <w:rFonts w:cs="Arial"/>
                <w:sz w:val="16"/>
                <w:szCs w:val="16"/>
              </w:rPr>
            </w:pPr>
            <w:r>
              <w:rPr>
                <w:rFonts w:cs="Arial"/>
                <w:sz w:val="16"/>
                <w:szCs w:val="16"/>
              </w:rPr>
              <w:t>3</w:t>
            </w:r>
          </w:p>
        </w:tc>
      </w:tr>
      <w:tr w:rsidRPr="00897EE4" w:rsidR="00D22A8B" w:rsidTr="00D27E66" w14:paraId="33B670C8" w14:textId="77777777">
        <w:trPr>
          <w:trHeight w:val="216"/>
          <w:jc w:val="center"/>
        </w:trPr>
        <w:tc>
          <w:tcPr>
            <w:tcW w:w="1435" w:type="dxa"/>
            <w:tcBorders>
              <w:top w:val="single" w:color="auto" w:sz="4" w:space="0"/>
            </w:tcBorders>
            <w:tcMar>
              <w:left w:w="58" w:type="dxa"/>
              <w:right w:w="58" w:type="dxa"/>
            </w:tcMar>
            <w:vAlign w:val="center"/>
          </w:tcPr>
          <w:p w:rsidRPr="00165F43" w:rsidR="00FA1ACA" w:rsidP="009D0FAD" w:rsidRDefault="00FA1ACA" w14:paraId="1E9A5B0C" w14:textId="77777777">
            <w:pPr>
              <w:rPr>
                <w:rFonts w:cs="Arial"/>
                <w:sz w:val="16"/>
                <w:szCs w:val="16"/>
              </w:rPr>
            </w:pPr>
            <w:r w:rsidRPr="00165F43">
              <w:rPr>
                <w:rFonts w:cs="Arial"/>
                <w:sz w:val="16"/>
                <w:szCs w:val="16"/>
              </w:rPr>
              <w:t>Cocaine</w:t>
            </w:r>
          </w:p>
        </w:tc>
        <w:tc>
          <w:tcPr>
            <w:tcW w:w="816" w:type="dxa"/>
            <w:tcBorders>
              <w:top w:val="single" w:color="auto" w:sz="4" w:space="0"/>
            </w:tcBorders>
            <w:tcMar>
              <w:left w:w="58" w:type="dxa"/>
              <w:right w:w="58" w:type="dxa"/>
            </w:tcMar>
            <w:vAlign w:val="center"/>
          </w:tcPr>
          <w:p w:rsidRPr="00165F43" w:rsidR="00FA1ACA" w:rsidP="009D0FAD" w:rsidRDefault="00FA1ACA" w14:paraId="22A3AE28" w14:textId="77777777">
            <w:pPr>
              <w:jc w:val="center"/>
              <w:rPr>
                <w:rFonts w:cs="Arial"/>
                <w:sz w:val="16"/>
                <w:szCs w:val="16"/>
              </w:rPr>
            </w:pPr>
            <w:r w:rsidRPr="00165F43">
              <w:rPr>
                <w:rFonts w:cs="Arial"/>
                <w:sz w:val="16"/>
                <w:szCs w:val="16"/>
              </w:rPr>
              <w:t>3</w:t>
            </w:r>
          </w:p>
        </w:tc>
        <w:tc>
          <w:tcPr>
            <w:tcW w:w="902" w:type="dxa"/>
            <w:tcBorders>
              <w:top w:val="single" w:color="auto" w:sz="4" w:space="0"/>
            </w:tcBorders>
            <w:tcMar>
              <w:left w:w="58" w:type="dxa"/>
              <w:right w:w="58" w:type="dxa"/>
            </w:tcMar>
            <w:vAlign w:val="center"/>
          </w:tcPr>
          <w:p w:rsidRPr="00165F43" w:rsidR="00FA1ACA" w:rsidP="009D0FAD" w:rsidRDefault="00DE187F" w14:paraId="7C5D035A" w14:textId="2E20015E">
            <w:pPr>
              <w:jc w:val="center"/>
              <w:rPr>
                <w:rFonts w:cs="Arial"/>
                <w:sz w:val="16"/>
                <w:szCs w:val="16"/>
              </w:rPr>
            </w:pPr>
            <w:r>
              <w:rPr>
                <w:rFonts w:cs="Arial"/>
                <w:sz w:val="16"/>
                <w:szCs w:val="16"/>
              </w:rPr>
              <w:t>-</w:t>
            </w:r>
          </w:p>
        </w:tc>
        <w:tc>
          <w:tcPr>
            <w:tcW w:w="902" w:type="dxa"/>
            <w:tcBorders>
              <w:top w:val="single" w:color="auto" w:sz="4" w:space="0"/>
            </w:tcBorders>
            <w:tcMar>
              <w:left w:w="58" w:type="dxa"/>
              <w:right w:w="58" w:type="dxa"/>
            </w:tcMar>
            <w:vAlign w:val="center"/>
          </w:tcPr>
          <w:p w:rsidRPr="00165F43" w:rsidR="00FA1ACA" w:rsidP="009D0FAD" w:rsidRDefault="00FA1ACA" w14:paraId="17569733" w14:textId="77777777">
            <w:pPr>
              <w:jc w:val="center"/>
              <w:rPr>
                <w:rFonts w:cs="Arial"/>
                <w:sz w:val="16"/>
                <w:szCs w:val="16"/>
              </w:rPr>
            </w:pPr>
            <w:r w:rsidRPr="00165F43">
              <w:rPr>
                <w:rFonts w:cs="Arial"/>
                <w:sz w:val="16"/>
                <w:szCs w:val="16"/>
              </w:rPr>
              <w:t>3</w:t>
            </w:r>
          </w:p>
        </w:tc>
        <w:tc>
          <w:tcPr>
            <w:tcW w:w="903" w:type="dxa"/>
            <w:tcBorders>
              <w:top w:val="single" w:color="auto" w:sz="4" w:space="0"/>
            </w:tcBorders>
            <w:tcMar>
              <w:left w:w="58" w:type="dxa"/>
              <w:right w:w="58" w:type="dxa"/>
            </w:tcMar>
            <w:vAlign w:val="center"/>
          </w:tcPr>
          <w:p w:rsidRPr="00165F43" w:rsidR="00FA1ACA" w:rsidP="009D0FAD" w:rsidRDefault="00FA1ACA" w14:paraId="6FF32A9C" w14:textId="77777777">
            <w:pPr>
              <w:jc w:val="center"/>
              <w:rPr>
                <w:rFonts w:cs="Arial"/>
                <w:sz w:val="16"/>
                <w:szCs w:val="16"/>
              </w:rPr>
            </w:pPr>
            <w:r w:rsidRPr="00165F43">
              <w:rPr>
                <w:rFonts w:cs="Arial"/>
                <w:sz w:val="16"/>
                <w:szCs w:val="16"/>
              </w:rPr>
              <w:t>3</w:t>
            </w:r>
          </w:p>
        </w:tc>
        <w:tc>
          <w:tcPr>
            <w:tcW w:w="903"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5EB68D85" w14:textId="77777777">
            <w:pPr>
              <w:jc w:val="center"/>
              <w:rPr>
                <w:rFonts w:cs="Arial"/>
                <w:sz w:val="16"/>
                <w:szCs w:val="16"/>
              </w:rPr>
            </w:pPr>
            <w:r>
              <w:rPr>
                <w:rFonts w:cs="Arial"/>
                <w:sz w:val="16"/>
                <w:szCs w:val="16"/>
              </w:rPr>
              <w:t>8</w:t>
            </w:r>
          </w:p>
        </w:tc>
        <w:tc>
          <w:tcPr>
            <w:tcW w:w="889" w:type="dxa"/>
            <w:tcBorders>
              <w:top w:val="single" w:color="auto" w:sz="4" w:space="0"/>
            </w:tcBorders>
            <w:shd w:val="clear" w:color="auto" w:fill="FFFFFF" w:themeFill="background1"/>
            <w:tcMar>
              <w:left w:w="58" w:type="dxa"/>
              <w:right w:w="58" w:type="dxa"/>
            </w:tcMar>
            <w:vAlign w:val="center"/>
          </w:tcPr>
          <w:p w:rsidRPr="00165F43" w:rsidR="00FA1ACA" w:rsidP="009D0FAD" w:rsidRDefault="00997AED" w14:paraId="1C60020F" w14:textId="1ABC97B0">
            <w:pPr>
              <w:jc w:val="center"/>
              <w:rPr>
                <w:rFonts w:cs="Arial"/>
                <w:sz w:val="16"/>
                <w:szCs w:val="16"/>
              </w:rPr>
            </w:pPr>
            <w:r>
              <w:rPr>
                <w:rFonts w:cs="Arial"/>
                <w:sz w:val="16"/>
                <w:szCs w:val="16"/>
              </w:rPr>
              <w:t>5</w:t>
            </w:r>
          </w:p>
        </w:tc>
        <w:tc>
          <w:tcPr>
            <w:tcW w:w="900" w:type="dxa"/>
            <w:tcBorders>
              <w:top w:val="single" w:color="auto" w:sz="4" w:space="0"/>
            </w:tcBorders>
            <w:shd w:val="clear" w:color="auto" w:fill="FFFFFF" w:themeFill="background1"/>
            <w:tcMar>
              <w:left w:w="58" w:type="dxa"/>
              <w:right w:w="58" w:type="dxa"/>
            </w:tcMar>
            <w:vAlign w:val="center"/>
          </w:tcPr>
          <w:p w:rsidRPr="00165F43" w:rsidR="00FA1ACA" w:rsidP="009D0FAD" w:rsidRDefault="00493BA5" w14:paraId="2A3BABA7" w14:textId="568789B9">
            <w:pPr>
              <w:jc w:val="center"/>
              <w:rPr>
                <w:rFonts w:cs="Arial"/>
                <w:sz w:val="16"/>
                <w:szCs w:val="16"/>
              </w:rPr>
            </w:pPr>
            <w:r>
              <w:rPr>
                <w:rFonts w:cs="Arial"/>
                <w:sz w:val="16"/>
                <w:szCs w:val="16"/>
              </w:rPr>
              <w:t>5</w:t>
            </w:r>
          </w:p>
        </w:tc>
        <w:tc>
          <w:tcPr>
            <w:tcW w:w="920" w:type="dxa"/>
            <w:tcBorders>
              <w:top w:val="single" w:color="auto" w:sz="4" w:space="0"/>
            </w:tcBorders>
            <w:shd w:val="clear" w:color="auto" w:fill="FFFFFF" w:themeFill="background1"/>
            <w:tcMar>
              <w:left w:w="58" w:type="dxa"/>
              <w:right w:w="58" w:type="dxa"/>
            </w:tcMar>
            <w:vAlign w:val="center"/>
          </w:tcPr>
          <w:p w:rsidRPr="00165F43" w:rsidR="00FA1ACA" w:rsidP="009D0FAD" w:rsidRDefault="008E6825" w14:paraId="4E34F3F8" w14:textId="6176FF89">
            <w:pPr>
              <w:jc w:val="center"/>
              <w:rPr>
                <w:rFonts w:cs="Arial"/>
                <w:sz w:val="16"/>
                <w:szCs w:val="16"/>
              </w:rPr>
            </w:pPr>
            <w:r>
              <w:rPr>
                <w:rFonts w:cs="Arial"/>
                <w:sz w:val="16"/>
                <w:szCs w:val="16"/>
              </w:rPr>
              <w:t>15</w:t>
            </w:r>
          </w:p>
        </w:tc>
        <w:tc>
          <w:tcPr>
            <w:tcW w:w="875" w:type="dxa"/>
            <w:tcBorders>
              <w:top w:val="single" w:color="auto" w:sz="4" w:space="0"/>
            </w:tcBorders>
            <w:shd w:val="clear" w:color="auto" w:fill="FFFFFF" w:themeFill="background1"/>
            <w:tcMar>
              <w:left w:w="58" w:type="dxa"/>
              <w:right w:w="58" w:type="dxa"/>
            </w:tcMar>
            <w:vAlign w:val="center"/>
          </w:tcPr>
          <w:p w:rsidRPr="00165F43" w:rsidR="00FA1ACA" w:rsidP="009D0FAD" w:rsidRDefault="00805830" w14:paraId="608043D0" w14:textId="03600D9F">
            <w:pPr>
              <w:jc w:val="center"/>
              <w:rPr>
                <w:rFonts w:cs="Arial"/>
                <w:sz w:val="16"/>
                <w:szCs w:val="16"/>
              </w:rPr>
            </w:pPr>
            <w:r>
              <w:rPr>
                <w:rFonts w:cs="Arial"/>
                <w:sz w:val="16"/>
                <w:szCs w:val="16"/>
              </w:rPr>
              <w:t>1</w:t>
            </w:r>
          </w:p>
        </w:tc>
      </w:tr>
      <w:tr w:rsidRPr="00DC0A91" w:rsidR="00D22A8B" w:rsidTr="00D27E66" w14:paraId="36925E12" w14:textId="77777777">
        <w:trPr>
          <w:trHeight w:val="216"/>
          <w:jc w:val="center"/>
        </w:trPr>
        <w:tc>
          <w:tcPr>
            <w:tcW w:w="1435" w:type="dxa"/>
            <w:tcBorders>
              <w:top w:val="single" w:color="auto" w:sz="4" w:space="0"/>
            </w:tcBorders>
            <w:tcMar>
              <w:left w:w="58" w:type="dxa"/>
              <w:right w:w="58" w:type="dxa"/>
            </w:tcMar>
            <w:vAlign w:val="center"/>
          </w:tcPr>
          <w:p w:rsidRPr="00DC0A91" w:rsidR="00FA1ACA" w:rsidP="009D0FAD" w:rsidRDefault="00FA1ACA" w14:paraId="791189E9" w14:textId="4B7EEEFB">
            <w:pPr>
              <w:rPr>
                <w:rFonts w:cs="Arial"/>
                <w:sz w:val="16"/>
                <w:szCs w:val="16"/>
              </w:rPr>
            </w:pPr>
            <w:proofErr w:type="spellStart"/>
            <w:r w:rsidRPr="00DC0A91">
              <w:rPr>
                <w:rFonts w:cs="Arial"/>
                <w:sz w:val="16"/>
                <w:szCs w:val="16"/>
              </w:rPr>
              <w:t>Op</w:t>
            </w:r>
            <w:r w:rsidR="006B414D">
              <w:rPr>
                <w:rFonts w:cs="Arial"/>
                <w:sz w:val="16"/>
                <w:szCs w:val="16"/>
              </w:rPr>
              <w:t>ioids</w:t>
            </w:r>
            <w:r w:rsidRPr="00D40C12">
              <w:rPr>
                <w:rFonts w:cs="Arial"/>
                <w:sz w:val="16"/>
                <w:szCs w:val="16"/>
                <w:vertAlign w:val="superscript"/>
              </w:rPr>
              <w:t>b</w:t>
            </w:r>
            <w:proofErr w:type="spellEnd"/>
          </w:p>
        </w:tc>
        <w:tc>
          <w:tcPr>
            <w:tcW w:w="816" w:type="dxa"/>
            <w:tcBorders>
              <w:top w:val="single" w:color="auto" w:sz="4" w:space="0"/>
            </w:tcBorders>
            <w:tcMar>
              <w:left w:w="58" w:type="dxa"/>
              <w:right w:w="58" w:type="dxa"/>
            </w:tcMar>
            <w:vAlign w:val="center"/>
          </w:tcPr>
          <w:p w:rsidRPr="00DC0A91" w:rsidR="00FA1ACA" w:rsidP="009D0FAD" w:rsidRDefault="00DE187F" w14:paraId="30E4A702" w14:textId="08C6A96F">
            <w:pPr>
              <w:jc w:val="center"/>
              <w:rPr>
                <w:rFonts w:cs="Arial"/>
                <w:sz w:val="16"/>
                <w:szCs w:val="16"/>
              </w:rPr>
            </w:pPr>
            <w:r>
              <w:rPr>
                <w:rFonts w:cs="Arial"/>
                <w:sz w:val="16"/>
                <w:szCs w:val="16"/>
              </w:rPr>
              <w:t>-</w:t>
            </w:r>
          </w:p>
        </w:tc>
        <w:tc>
          <w:tcPr>
            <w:tcW w:w="902" w:type="dxa"/>
            <w:tcBorders>
              <w:top w:val="single" w:color="auto" w:sz="4" w:space="0"/>
            </w:tcBorders>
            <w:tcMar>
              <w:left w:w="58" w:type="dxa"/>
              <w:right w:w="58" w:type="dxa"/>
            </w:tcMar>
            <w:vAlign w:val="center"/>
          </w:tcPr>
          <w:p w:rsidRPr="00DC0A91" w:rsidR="00FA1ACA" w:rsidP="009D0FAD" w:rsidRDefault="00DE187F" w14:paraId="4EE7B8D7" w14:textId="1CE142A6">
            <w:pPr>
              <w:jc w:val="center"/>
              <w:rPr>
                <w:rFonts w:cs="Arial"/>
                <w:sz w:val="16"/>
                <w:szCs w:val="16"/>
              </w:rPr>
            </w:pPr>
            <w:r>
              <w:rPr>
                <w:rFonts w:cs="Arial"/>
                <w:sz w:val="16"/>
                <w:szCs w:val="16"/>
              </w:rPr>
              <w:t>-</w:t>
            </w:r>
          </w:p>
        </w:tc>
        <w:tc>
          <w:tcPr>
            <w:tcW w:w="902" w:type="dxa"/>
            <w:tcBorders>
              <w:top w:val="single" w:color="auto" w:sz="4" w:space="0"/>
            </w:tcBorders>
            <w:tcMar>
              <w:left w:w="58" w:type="dxa"/>
              <w:right w:w="58" w:type="dxa"/>
            </w:tcMar>
            <w:vAlign w:val="center"/>
          </w:tcPr>
          <w:p w:rsidRPr="00DC0A91" w:rsidR="00FA1ACA" w:rsidP="009D0FAD" w:rsidRDefault="00DE187F" w14:paraId="2AAAE407" w14:textId="485EB39B">
            <w:pPr>
              <w:jc w:val="center"/>
              <w:rPr>
                <w:rFonts w:cs="Arial"/>
                <w:sz w:val="16"/>
                <w:szCs w:val="16"/>
              </w:rPr>
            </w:pPr>
            <w:r>
              <w:rPr>
                <w:rFonts w:cs="Arial"/>
                <w:sz w:val="16"/>
                <w:szCs w:val="16"/>
              </w:rPr>
              <w:t>-</w:t>
            </w:r>
          </w:p>
        </w:tc>
        <w:tc>
          <w:tcPr>
            <w:tcW w:w="903" w:type="dxa"/>
            <w:tcBorders>
              <w:top w:val="single" w:color="auto" w:sz="4" w:space="0"/>
            </w:tcBorders>
            <w:tcMar>
              <w:left w:w="58" w:type="dxa"/>
              <w:right w:w="58" w:type="dxa"/>
            </w:tcMar>
            <w:vAlign w:val="center"/>
          </w:tcPr>
          <w:p w:rsidRPr="00DC0A91" w:rsidR="00FA1ACA" w:rsidP="009D0FAD" w:rsidRDefault="00DE187F" w14:paraId="78FAA4CD" w14:textId="741D288F">
            <w:pPr>
              <w:jc w:val="center"/>
              <w:rPr>
                <w:rFonts w:cs="Arial"/>
                <w:sz w:val="16"/>
                <w:szCs w:val="16"/>
              </w:rPr>
            </w:pPr>
            <w:r>
              <w:rPr>
                <w:rFonts w:cs="Arial"/>
                <w:sz w:val="16"/>
                <w:szCs w:val="16"/>
              </w:rPr>
              <w:t>-</w:t>
            </w:r>
          </w:p>
        </w:tc>
        <w:tc>
          <w:tcPr>
            <w:tcW w:w="903" w:type="dxa"/>
            <w:tcBorders>
              <w:top w:val="single" w:color="auto" w:sz="4" w:space="0"/>
            </w:tcBorders>
            <w:shd w:val="clear" w:color="auto" w:fill="FFFFFF" w:themeFill="background1"/>
            <w:tcMar>
              <w:left w:w="58" w:type="dxa"/>
              <w:right w:w="58" w:type="dxa"/>
            </w:tcMar>
            <w:vAlign w:val="center"/>
          </w:tcPr>
          <w:p w:rsidRPr="00DC0A91" w:rsidR="00FA1ACA" w:rsidP="009D0FAD" w:rsidRDefault="00FA1ACA" w14:paraId="42913885" w14:textId="77777777">
            <w:pPr>
              <w:jc w:val="center"/>
              <w:rPr>
                <w:rFonts w:cs="Arial"/>
                <w:sz w:val="16"/>
                <w:szCs w:val="16"/>
              </w:rPr>
            </w:pPr>
            <w:r>
              <w:rPr>
                <w:rFonts w:cs="Arial"/>
                <w:sz w:val="16"/>
                <w:szCs w:val="16"/>
              </w:rPr>
              <w:t>4</w:t>
            </w:r>
          </w:p>
        </w:tc>
        <w:tc>
          <w:tcPr>
            <w:tcW w:w="889" w:type="dxa"/>
            <w:tcBorders>
              <w:top w:val="single" w:color="auto" w:sz="4" w:space="0"/>
            </w:tcBorders>
            <w:shd w:val="clear" w:color="auto" w:fill="FFFFFF" w:themeFill="background1"/>
            <w:tcMar>
              <w:left w:w="58" w:type="dxa"/>
              <w:right w:w="58" w:type="dxa"/>
            </w:tcMar>
            <w:vAlign w:val="center"/>
          </w:tcPr>
          <w:p w:rsidRPr="00DC0A91" w:rsidR="00FA1ACA" w:rsidP="009D0FAD" w:rsidRDefault="00003CBF" w14:paraId="58321D75" w14:textId="194545F1">
            <w:pPr>
              <w:jc w:val="center"/>
              <w:rPr>
                <w:rFonts w:cs="Arial"/>
                <w:sz w:val="16"/>
                <w:szCs w:val="16"/>
              </w:rPr>
            </w:pPr>
            <w:r>
              <w:rPr>
                <w:rFonts w:cs="Arial"/>
                <w:sz w:val="16"/>
                <w:szCs w:val="16"/>
              </w:rPr>
              <w:t>1</w:t>
            </w:r>
          </w:p>
        </w:tc>
        <w:tc>
          <w:tcPr>
            <w:tcW w:w="900" w:type="dxa"/>
            <w:tcBorders>
              <w:top w:val="single" w:color="auto" w:sz="4" w:space="0"/>
            </w:tcBorders>
            <w:shd w:val="clear" w:color="auto" w:fill="FFFFFF" w:themeFill="background1"/>
            <w:tcMar>
              <w:left w:w="58" w:type="dxa"/>
              <w:right w:w="58" w:type="dxa"/>
            </w:tcMar>
            <w:vAlign w:val="center"/>
          </w:tcPr>
          <w:p w:rsidRPr="00DC0A91" w:rsidR="00FA1ACA" w:rsidP="009D0FAD" w:rsidRDefault="00FC5995" w14:paraId="15A0F4DD" w14:textId="68EB85DA">
            <w:pPr>
              <w:jc w:val="center"/>
              <w:rPr>
                <w:rFonts w:cs="Arial"/>
                <w:sz w:val="16"/>
                <w:szCs w:val="16"/>
              </w:rPr>
            </w:pPr>
            <w:r>
              <w:rPr>
                <w:rFonts w:cs="Arial"/>
                <w:sz w:val="16"/>
                <w:szCs w:val="16"/>
              </w:rPr>
              <w:t>2</w:t>
            </w:r>
          </w:p>
        </w:tc>
        <w:tc>
          <w:tcPr>
            <w:tcW w:w="920" w:type="dxa"/>
            <w:tcBorders>
              <w:top w:val="single" w:color="auto" w:sz="4" w:space="0"/>
            </w:tcBorders>
            <w:shd w:val="clear" w:color="auto" w:fill="FFFFFF" w:themeFill="background1"/>
            <w:tcMar>
              <w:left w:w="58" w:type="dxa"/>
              <w:right w:w="58" w:type="dxa"/>
            </w:tcMar>
            <w:vAlign w:val="center"/>
          </w:tcPr>
          <w:p w:rsidRPr="00DC0A91" w:rsidR="00FA1ACA" w:rsidP="009D0FAD" w:rsidRDefault="006C6F33" w14:paraId="5ADE7037" w14:textId="3B6E4E06">
            <w:pPr>
              <w:jc w:val="center"/>
              <w:rPr>
                <w:rFonts w:cs="Arial"/>
                <w:sz w:val="16"/>
                <w:szCs w:val="16"/>
              </w:rPr>
            </w:pPr>
            <w:r>
              <w:rPr>
                <w:rFonts w:cs="Arial"/>
                <w:sz w:val="16"/>
                <w:szCs w:val="16"/>
              </w:rPr>
              <w:t>2</w:t>
            </w:r>
          </w:p>
        </w:tc>
        <w:tc>
          <w:tcPr>
            <w:tcW w:w="875" w:type="dxa"/>
            <w:tcBorders>
              <w:top w:val="single" w:color="auto" w:sz="4" w:space="0"/>
            </w:tcBorders>
            <w:shd w:val="clear" w:color="auto" w:fill="FFFFFF" w:themeFill="background1"/>
            <w:tcMar>
              <w:left w:w="58" w:type="dxa"/>
              <w:right w:w="58" w:type="dxa"/>
            </w:tcMar>
            <w:vAlign w:val="center"/>
          </w:tcPr>
          <w:p w:rsidRPr="00DC0A91" w:rsidR="00FA1ACA" w:rsidP="009D0FAD" w:rsidRDefault="004F58E8" w14:paraId="2283D515" w14:textId="04A9F69D">
            <w:pPr>
              <w:jc w:val="center"/>
              <w:rPr>
                <w:rFonts w:cs="Arial"/>
                <w:sz w:val="16"/>
                <w:szCs w:val="16"/>
              </w:rPr>
            </w:pPr>
            <w:r>
              <w:rPr>
                <w:rFonts w:cs="Arial"/>
                <w:sz w:val="16"/>
                <w:szCs w:val="16"/>
              </w:rPr>
              <w:t>-</w:t>
            </w:r>
          </w:p>
        </w:tc>
      </w:tr>
      <w:tr w:rsidRPr="00897EE4" w:rsidR="00D22A8B" w:rsidTr="00D27E66" w14:paraId="5EA1EB28" w14:textId="77777777">
        <w:trPr>
          <w:trHeight w:val="242"/>
          <w:jc w:val="center"/>
        </w:trPr>
        <w:tc>
          <w:tcPr>
            <w:tcW w:w="1435" w:type="dxa"/>
            <w:tcBorders>
              <w:top w:val="single" w:color="auto" w:sz="4" w:space="0"/>
            </w:tcBorders>
            <w:tcMar>
              <w:left w:w="58" w:type="dxa"/>
              <w:right w:w="58" w:type="dxa"/>
            </w:tcMar>
            <w:vAlign w:val="center"/>
          </w:tcPr>
          <w:p w:rsidRPr="00165F43" w:rsidR="00FA1ACA" w:rsidP="009D0FAD" w:rsidRDefault="00FA1ACA" w14:paraId="282FB168" w14:textId="3CEBB9A1">
            <w:pPr>
              <w:rPr>
                <w:rFonts w:cs="Arial"/>
                <w:sz w:val="16"/>
                <w:szCs w:val="16"/>
              </w:rPr>
            </w:pPr>
            <w:r>
              <w:rPr>
                <w:rFonts w:cs="Arial"/>
                <w:sz w:val="16"/>
                <w:szCs w:val="16"/>
              </w:rPr>
              <w:t xml:space="preserve">Multiple </w:t>
            </w:r>
            <w:proofErr w:type="spellStart"/>
            <w:r>
              <w:rPr>
                <w:rFonts w:cs="Arial"/>
                <w:sz w:val="16"/>
                <w:szCs w:val="16"/>
              </w:rPr>
              <w:t>substance</w:t>
            </w:r>
            <w:r w:rsidR="003037E4">
              <w:rPr>
                <w:rFonts w:cs="Arial"/>
                <w:sz w:val="16"/>
                <w:szCs w:val="16"/>
              </w:rPr>
              <w:t>s</w:t>
            </w:r>
            <w:r w:rsidRPr="00D40C12">
              <w:rPr>
                <w:rFonts w:cs="Arial"/>
                <w:sz w:val="16"/>
                <w:szCs w:val="16"/>
                <w:vertAlign w:val="superscript"/>
              </w:rPr>
              <w:t>c</w:t>
            </w:r>
            <w:proofErr w:type="spellEnd"/>
          </w:p>
        </w:tc>
        <w:tc>
          <w:tcPr>
            <w:tcW w:w="816" w:type="dxa"/>
            <w:tcBorders>
              <w:top w:val="single" w:color="auto" w:sz="4" w:space="0"/>
            </w:tcBorders>
            <w:tcMar>
              <w:left w:w="58" w:type="dxa"/>
              <w:right w:w="58" w:type="dxa"/>
            </w:tcMar>
            <w:vAlign w:val="center"/>
          </w:tcPr>
          <w:p w:rsidRPr="00165F43" w:rsidR="00FA1ACA" w:rsidP="009D0FAD" w:rsidRDefault="00FA1ACA" w14:paraId="48B5A697" w14:textId="77777777">
            <w:pPr>
              <w:jc w:val="center"/>
              <w:rPr>
                <w:rFonts w:cs="Arial"/>
                <w:sz w:val="16"/>
                <w:szCs w:val="16"/>
              </w:rPr>
            </w:pPr>
            <w:r w:rsidRPr="00165F43">
              <w:rPr>
                <w:rFonts w:cs="Arial"/>
                <w:sz w:val="16"/>
                <w:szCs w:val="16"/>
              </w:rPr>
              <w:t>1</w:t>
            </w:r>
          </w:p>
        </w:tc>
        <w:tc>
          <w:tcPr>
            <w:tcW w:w="902" w:type="dxa"/>
            <w:tcBorders>
              <w:top w:val="single" w:color="auto" w:sz="4" w:space="0"/>
            </w:tcBorders>
            <w:tcMar>
              <w:left w:w="58" w:type="dxa"/>
              <w:right w:w="58" w:type="dxa"/>
            </w:tcMar>
            <w:vAlign w:val="center"/>
          </w:tcPr>
          <w:p w:rsidRPr="00165F43" w:rsidR="00FA1ACA" w:rsidP="009D0FAD" w:rsidRDefault="00FA1ACA" w14:paraId="7BC4D774" w14:textId="77777777">
            <w:pPr>
              <w:jc w:val="center"/>
              <w:rPr>
                <w:rFonts w:cs="Arial"/>
                <w:sz w:val="16"/>
                <w:szCs w:val="16"/>
              </w:rPr>
            </w:pPr>
            <w:r w:rsidRPr="00165F43">
              <w:rPr>
                <w:rFonts w:cs="Arial"/>
                <w:sz w:val="16"/>
                <w:szCs w:val="16"/>
              </w:rPr>
              <w:t>1</w:t>
            </w:r>
          </w:p>
        </w:tc>
        <w:tc>
          <w:tcPr>
            <w:tcW w:w="902" w:type="dxa"/>
            <w:tcBorders>
              <w:top w:val="single" w:color="auto" w:sz="4" w:space="0"/>
            </w:tcBorders>
            <w:tcMar>
              <w:left w:w="58" w:type="dxa"/>
              <w:right w:w="58" w:type="dxa"/>
            </w:tcMar>
            <w:vAlign w:val="center"/>
          </w:tcPr>
          <w:p w:rsidRPr="00165F43" w:rsidR="00FA1ACA" w:rsidP="009D0FAD" w:rsidRDefault="00FA1ACA" w14:paraId="498A6CDC" w14:textId="77777777">
            <w:pPr>
              <w:jc w:val="center"/>
              <w:rPr>
                <w:rFonts w:cs="Arial"/>
                <w:sz w:val="16"/>
                <w:szCs w:val="16"/>
              </w:rPr>
            </w:pPr>
            <w:r w:rsidRPr="00165F43">
              <w:rPr>
                <w:rFonts w:cs="Arial"/>
                <w:sz w:val="16"/>
                <w:szCs w:val="16"/>
              </w:rPr>
              <w:t>3</w:t>
            </w:r>
          </w:p>
        </w:tc>
        <w:tc>
          <w:tcPr>
            <w:tcW w:w="903" w:type="dxa"/>
            <w:tcBorders>
              <w:top w:val="single" w:color="auto" w:sz="4" w:space="0"/>
            </w:tcBorders>
            <w:tcMar>
              <w:left w:w="58" w:type="dxa"/>
              <w:right w:w="58" w:type="dxa"/>
            </w:tcMar>
            <w:vAlign w:val="center"/>
          </w:tcPr>
          <w:p w:rsidRPr="00165F43" w:rsidR="00FA1ACA" w:rsidP="009D0FAD" w:rsidRDefault="00FA1ACA" w14:paraId="5E7F072A" w14:textId="77777777">
            <w:pPr>
              <w:jc w:val="center"/>
              <w:rPr>
                <w:rFonts w:cs="Arial"/>
                <w:sz w:val="16"/>
                <w:szCs w:val="16"/>
              </w:rPr>
            </w:pPr>
            <w:r w:rsidRPr="00165F43">
              <w:rPr>
                <w:rFonts w:cs="Arial"/>
                <w:sz w:val="16"/>
                <w:szCs w:val="16"/>
              </w:rPr>
              <w:t>3</w:t>
            </w:r>
          </w:p>
        </w:tc>
        <w:tc>
          <w:tcPr>
            <w:tcW w:w="903"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4A42CEE4" w14:textId="77777777">
            <w:pPr>
              <w:jc w:val="center"/>
              <w:rPr>
                <w:rFonts w:cs="Arial"/>
                <w:sz w:val="16"/>
                <w:szCs w:val="16"/>
              </w:rPr>
            </w:pPr>
            <w:r>
              <w:rPr>
                <w:rFonts w:cs="Arial"/>
                <w:sz w:val="16"/>
                <w:szCs w:val="16"/>
              </w:rPr>
              <w:t>5</w:t>
            </w:r>
          </w:p>
        </w:tc>
        <w:tc>
          <w:tcPr>
            <w:tcW w:w="889" w:type="dxa"/>
            <w:tcBorders>
              <w:top w:val="single" w:color="auto" w:sz="4" w:space="0"/>
            </w:tcBorders>
            <w:shd w:val="clear" w:color="auto" w:fill="FFFFFF" w:themeFill="background1"/>
            <w:tcMar>
              <w:left w:w="58" w:type="dxa"/>
              <w:right w:w="58" w:type="dxa"/>
            </w:tcMar>
            <w:vAlign w:val="center"/>
          </w:tcPr>
          <w:p w:rsidRPr="00165F43" w:rsidR="00FA1ACA" w:rsidP="009D0FAD" w:rsidRDefault="00F3584F" w14:paraId="0007EB9B" w14:textId="0735905A">
            <w:pPr>
              <w:jc w:val="center"/>
              <w:rPr>
                <w:rFonts w:cs="Arial"/>
                <w:sz w:val="16"/>
                <w:szCs w:val="16"/>
              </w:rPr>
            </w:pPr>
            <w:r>
              <w:rPr>
                <w:rFonts w:cs="Arial"/>
                <w:sz w:val="16"/>
                <w:szCs w:val="16"/>
              </w:rPr>
              <w:t>3</w:t>
            </w:r>
          </w:p>
        </w:tc>
        <w:tc>
          <w:tcPr>
            <w:tcW w:w="900" w:type="dxa"/>
            <w:tcBorders>
              <w:top w:val="single" w:color="auto" w:sz="4" w:space="0"/>
            </w:tcBorders>
            <w:shd w:val="clear" w:color="auto" w:fill="FFFFFF" w:themeFill="background1"/>
            <w:tcMar>
              <w:left w:w="58" w:type="dxa"/>
              <w:right w:w="58" w:type="dxa"/>
            </w:tcMar>
            <w:vAlign w:val="center"/>
          </w:tcPr>
          <w:p w:rsidRPr="00165F43" w:rsidR="00FA1ACA" w:rsidP="009D0FAD" w:rsidRDefault="00E7174E" w14:paraId="4AE64691" w14:textId="32586C5A">
            <w:pPr>
              <w:jc w:val="center"/>
              <w:rPr>
                <w:rFonts w:cs="Arial"/>
                <w:sz w:val="16"/>
                <w:szCs w:val="16"/>
              </w:rPr>
            </w:pPr>
            <w:r>
              <w:rPr>
                <w:rFonts w:cs="Arial"/>
                <w:sz w:val="16"/>
                <w:szCs w:val="16"/>
              </w:rPr>
              <w:t>3</w:t>
            </w:r>
          </w:p>
        </w:tc>
        <w:tc>
          <w:tcPr>
            <w:tcW w:w="920" w:type="dxa"/>
            <w:tcBorders>
              <w:top w:val="single" w:color="auto" w:sz="4" w:space="0"/>
            </w:tcBorders>
            <w:shd w:val="clear" w:color="auto" w:fill="FFFFFF" w:themeFill="background1"/>
            <w:tcMar>
              <w:left w:w="58" w:type="dxa"/>
              <w:right w:w="58" w:type="dxa"/>
            </w:tcMar>
            <w:vAlign w:val="center"/>
          </w:tcPr>
          <w:p w:rsidRPr="00165F43" w:rsidR="00FA1ACA" w:rsidP="009D0FAD" w:rsidRDefault="008E6825" w14:paraId="7F2DF76C" w14:textId="43B71394">
            <w:pPr>
              <w:jc w:val="center"/>
              <w:rPr>
                <w:rFonts w:cs="Arial"/>
                <w:sz w:val="16"/>
                <w:szCs w:val="16"/>
              </w:rPr>
            </w:pPr>
            <w:r>
              <w:rPr>
                <w:rFonts w:cs="Arial"/>
                <w:sz w:val="16"/>
                <w:szCs w:val="16"/>
              </w:rPr>
              <w:t>2</w:t>
            </w:r>
          </w:p>
        </w:tc>
        <w:tc>
          <w:tcPr>
            <w:tcW w:w="875" w:type="dxa"/>
            <w:tcBorders>
              <w:top w:val="single" w:color="auto" w:sz="4" w:space="0"/>
            </w:tcBorders>
            <w:shd w:val="clear" w:color="auto" w:fill="FFFFFF" w:themeFill="background1"/>
            <w:tcMar>
              <w:left w:w="58" w:type="dxa"/>
              <w:right w:w="58" w:type="dxa"/>
            </w:tcMar>
            <w:vAlign w:val="center"/>
          </w:tcPr>
          <w:p w:rsidRPr="00165F43" w:rsidR="00FA1ACA" w:rsidP="009D0FAD" w:rsidRDefault="00D242C1" w14:paraId="2179F468" w14:textId="30E00939">
            <w:pPr>
              <w:jc w:val="center"/>
              <w:rPr>
                <w:rFonts w:cs="Arial"/>
                <w:sz w:val="16"/>
                <w:szCs w:val="16"/>
              </w:rPr>
            </w:pPr>
            <w:r>
              <w:rPr>
                <w:rFonts w:cs="Arial"/>
                <w:sz w:val="16"/>
                <w:szCs w:val="16"/>
              </w:rPr>
              <w:t>1</w:t>
            </w:r>
          </w:p>
        </w:tc>
      </w:tr>
      <w:tr w:rsidRPr="00897EE4" w:rsidR="00BD24CD" w:rsidTr="00D27E66" w14:paraId="38603A1D" w14:textId="77777777">
        <w:trPr>
          <w:trHeight w:val="216"/>
          <w:jc w:val="center"/>
        </w:trPr>
        <w:tc>
          <w:tcPr>
            <w:tcW w:w="1435" w:type="dxa"/>
            <w:tcBorders>
              <w:top w:val="single" w:color="auto" w:sz="4" w:space="0"/>
              <w:bottom w:val="double" w:color="auto" w:sz="4" w:space="0"/>
            </w:tcBorders>
            <w:tcMar>
              <w:left w:w="58" w:type="dxa"/>
              <w:right w:w="58" w:type="dxa"/>
            </w:tcMar>
            <w:vAlign w:val="center"/>
          </w:tcPr>
          <w:p w:rsidRPr="00165F43" w:rsidR="00FA1ACA" w:rsidP="009D0FAD" w:rsidRDefault="00FA1ACA" w14:paraId="04C75246" w14:textId="77777777">
            <w:pPr>
              <w:rPr>
                <w:rFonts w:cs="Arial"/>
                <w:sz w:val="16"/>
                <w:szCs w:val="16"/>
              </w:rPr>
            </w:pPr>
            <w:r w:rsidRPr="00165F43">
              <w:rPr>
                <w:rFonts w:cs="Arial"/>
                <w:sz w:val="16"/>
                <w:szCs w:val="16"/>
              </w:rPr>
              <w:t>Subversions</w:t>
            </w:r>
          </w:p>
        </w:tc>
        <w:tc>
          <w:tcPr>
            <w:tcW w:w="816" w:type="dxa"/>
            <w:tcBorders>
              <w:top w:val="single" w:color="auto" w:sz="4" w:space="0"/>
              <w:bottom w:val="double" w:color="auto" w:sz="4" w:space="0"/>
            </w:tcBorders>
            <w:tcMar>
              <w:left w:w="58" w:type="dxa"/>
              <w:right w:w="58" w:type="dxa"/>
            </w:tcMar>
            <w:vAlign w:val="center"/>
          </w:tcPr>
          <w:p w:rsidRPr="00165F43" w:rsidR="00FA1ACA" w:rsidP="009D0FAD" w:rsidRDefault="00FA1ACA" w14:paraId="6DABFAC1" w14:textId="77777777">
            <w:pPr>
              <w:jc w:val="center"/>
              <w:rPr>
                <w:rFonts w:cs="Arial"/>
                <w:sz w:val="16"/>
                <w:szCs w:val="16"/>
              </w:rPr>
            </w:pPr>
            <w:r w:rsidRPr="00165F43">
              <w:rPr>
                <w:rFonts w:cs="Arial"/>
                <w:sz w:val="16"/>
                <w:szCs w:val="16"/>
              </w:rPr>
              <w:t>6</w:t>
            </w:r>
          </w:p>
        </w:tc>
        <w:tc>
          <w:tcPr>
            <w:tcW w:w="902" w:type="dxa"/>
            <w:tcBorders>
              <w:top w:val="single" w:color="auto" w:sz="4" w:space="0"/>
              <w:bottom w:val="double" w:color="auto" w:sz="4" w:space="0"/>
            </w:tcBorders>
            <w:tcMar>
              <w:left w:w="58" w:type="dxa"/>
              <w:right w:w="58" w:type="dxa"/>
            </w:tcMar>
            <w:vAlign w:val="center"/>
          </w:tcPr>
          <w:p w:rsidRPr="00165F43" w:rsidR="00FA1ACA" w:rsidP="009D0FAD" w:rsidRDefault="00FA1ACA" w14:paraId="79BFA835" w14:textId="77777777">
            <w:pPr>
              <w:jc w:val="center"/>
              <w:rPr>
                <w:rFonts w:cs="Arial"/>
                <w:sz w:val="16"/>
                <w:szCs w:val="16"/>
              </w:rPr>
            </w:pPr>
            <w:r w:rsidRPr="00165F43">
              <w:rPr>
                <w:rFonts w:cs="Arial"/>
                <w:sz w:val="16"/>
                <w:szCs w:val="16"/>
              </w:rPr>
              <w:t>7</w:t>
            </w:r>
          </w:p>
        </w:tc>
        <w:tc>
          <w:tcPr>
            <w:tcW w:w="902" w:type="dxa"/>
            <w:tcBorders>
              <w:top w:val="single" w:color="auto" w:sz="4" w:space="0"/>
              <w:bottom w:val="double" w:color="auto" w:sz="4" w:space="0"/>
            </w:tcBorders>
            <w:tcMar>
              <w:left w:w="58" w:type="dxa"/>
              <w:right w:w="58" w:type="dxa"/>
            </w:tcMar>
            <w:vAlign w:val="center"/>
          </w:tcPr>
          <w:p w:rsidRPr="00165F43" w:rsidR="00FA1ACA" w:rsidP="009D0FAD" w:rsidRDefault="00FA1ACA" w14:paraId="48A50140" w14:textId="77777777">
            <w:pPr>
              <w:jc w:val="center"/>
              <w:rPr>
                <w:rFonts w:cs="Arial"/>
                <w:sz w:val="16"/>
                <w:szCs w:val="16"/>
              </w:rPr>
            </w:pPr>
            <w:r w:rsidRPr="00165F43">
              <w:rPr>
                <w:rFonts w:cs="Arial"/>
                <w:sz w:val="16"/>
                <w:szCs w:val="16"/>
              </w:rPr>
              <w:t>7</w:t>
            </w:r>
          </w:p>
        </w:tc>
        <w:tc>
          <w:tcPr>
            <w:tcW w:w="903" w:type="dxa"/>
            <w:tcBorders>
              <w:top w:val="single" w:color="auto" w:sz="4" w:space="0"/>
              <w:bottom w:val="double" w:color="auto" w:sz="4" w:space="0"/>
            </w:tcBorders>
            <w:tcMar>
              <w:left w:w="58" w:type="dxa"/>
              <w:right w:w="58" w:type="dxa"/>
            </w:tcMar>
            <w:vAlign w:val="center"/>
          </w:tcPr>
          <w:p w:rsidRPr="00165F43" w:rsidR="00FA1ACA" w:rsidP="009D0FAD" w:rsidRDefault="00FA1ACA" w14:paraId="7D2DC1CC" w14:textId="77777777">
            <w:pPr>
              <w:jc w:val="center"/>
              <w:rPr>
                <w:rFonts w:cs="Arial"/>
                <w:sz w:val="16"/>
                <w:szCs w:val="16"/>
              </w:rPr>
            </w:pPr>
            <w:r w:rsidRPr="00165F43">
              <w:rPr>
                <w:rFonts w:cs="Arial"/>
                <w:sz w:val="16"/>
                <w:szCs w:val="16"/>
              </w:rPr>
              <w:t>8</w:t>
            </w:r>
          </w:p>
        </w:tc>
        <w:tc>
          <w:tcPr>
            <w:tcW w:w="903" w:type="dxa"/>
            <w:tcBorders>
              <w:top w:val="single" w:color="auto" w:sz="4" w:space="0"/>
              <w:bottom w:val="double" w:color="auto" w:sz="4" w:space="0"/>
            </w:tcBorders>
            <w:shd w:val="clear" w:color="auto" w:fill="FFFFFF" w:themeFill="background1"/>
            <w:tcMar>
              <w:left w:w="58" w:type="dxa"/>
              <w:right w:w="58" w:type="dxa"/>
            </w:tcMar>
            <w:vAlign w:val="center"/>
          </w:tcPr>
          <w:p w:rsidRPr="00165F43" w:rsidR="00FA1ACA" w:rsidP="009D0FAD" w:rsidRDefault="00FA1ACA" w14:paraId="5F70AF3C" w14:textId="77777777">
            <w:pPr>
              <w:jc w:val="center"/>
              <w:rPr>
                <w:rFonts w:cs="Arial"/>
                <w:sz w:val="16"/>
                <w:szCs w:val="16"/>
              </w:rPr>
            </w:pPr>
            <w:r>
              <w:rPr>
                <w:rFonts w:cs="Arial"/>
                <w:sz w:val="16"/>
                <w:szCs w:val="16"/>
              </w:rPr>
              <w:t>11</w:t>
            </w:r>
          </w:p>
        </w:tc>
        <w:tc>
          <w:tcPr>
            <w:tcW w:w="889" w:type="dxa"/>
            <w:tcBorders>
              <w:top w:val="single" w:color="auto" w:sz="4" w:space="0"/>
              <w:bottom w:val="double" w:color="auto" w:sz="4" w:space="0"/>
            </w:tcBorders>
            <w:shd w:val="clear" w:color="auto" w:fill="FFFFFF" w:themeFill="background1"/>
            <w:tcMar>
              <w:left w:w="58" w:type="dxa"/>
              <w:right w:w="58" w:type="dxa"/>
            </w:tcMar>
            <w:vAlign w:val="center"/>
          </w:tcPr>
          <w:p w:rsidRPr="00165F43" w:rsidR="00FA1ACA" w:rsidP="009D0FAD" w:rsidRDefault="005F79DB" w14:paraId="00FF8205" w14:textId="4960CDDA">
            <w:pPr>
              <w:jc w:val="center"/>
              <w:rPr>
                <w:rFonts w:cs="Arial"/>
                <w:sz w:val="16"/>
                <w:szCs w:val="16"/>
              </w:rPr>
            </w:pPr>
            <w:r>
              <w:rPr>
                <w:rFonts w:cs="Arial"/>
                <w:sz w:val="16"/>
                <w:szCs w:val="16"/>
              </w:rPr>
              <w:t>11</w:t>
            </w:r>
          </w:p>
        </w:tc>
        <w:tc>
          <w:tcPr>
            <w:tcW w:w="900" w:type="dxa"/>
            <w:tcBorders>
              <w:top w:val="single" w:color="auto" w:sz="4" w:space="0"/>
              <w:bottom w:val="double" w:color="auto" w:sz="4" w:space="0"/>
            </w:tcBorders>
            <w:shd w:val="clear" w:color="auto" w:fill="FFFFFF" w:themeFill="background1"/>
            <w:tcMar>
              <w:left w:w="58" w:type="dxa"/>
              <w:right w:w="58" w:type="dxa"/>
            </w:tcMar>
            <w:vAlign w:val="center"/>
          </w:tcPr>
          <w:p w:rsidRPr="00165F43" w:rsidR="00FA1ACA" w:rsidP="009D0FAD" w:rsidRDefault="000E7708" w14:paraId="652B9889" w14:textId="0FB09252">
            <w:pPr>
              <w:jc w:val="center"/>
              <w:rPr>
                <w:rFonts w:cs="Arial"/>
                <w:sz w:val="16"/>
                <w:szCs w:val="16"/>
              </w:rPr>
            </w:pPr>
            <w:r>
              <w:rPr>
                <w:rFonts w:cs="Arial"/>
                <w:sz w:val="16"/>
                <w:szCs w:val="16"/>
              </w:rPr>
              <w:t>14</w:t>
            </w:r>
          </w:p>
        </w:tc>
        <w:tc>
          <w:tcPr>
            <w:tcW w:w="920" w:type="dxa"/>
            <w:tcBorders>
              <w:top w:val="single" w:color="auto" w:sz="4" w:space="0"/>
              <w:bottom w:val="double" w:color="auto" w:sz="4" w:space="0"/>
            </w:tcBorders>
            <w:shd w:val="clear" w:color="auto" w:fill="FFFFFF" w:themeFill="background1"/>
            <w:tcMar>
              <w:left w:w="58" w:type="dxa"/>
              <w:right w:w="58" w:type="dxa"/>
            </w:tcMar>
            <w:vAlign w:val="center"/>
          </w:tcPr>
          <w:p w:rsidRPr="00165F43" w:rsidR="00FA1ACA" w:rsidP="009D0FAD" w:rsidRDefault="00646874" w14:paraId="5487ABBE" w14:textId="6FDC1A3B">
            <w:pPr>
              <w:jc w:val="center"/>
              <w:rPr>
                <w:rFonts w:cs="Arial"/>
                <w:sz w:val="16"/>
                <w:szCs w:val="16"/>
              </w:rPr>
            </w:pPr>
            <w:r>
              <w:rPr>
                <w:rFonts w:cs="Arial"/>
                <w:sz w:val="16"/>
                <w:szCs w:val="16"/>
              </w:rPr>
              <w:t>9</w:t>
            </w:r>
          </w:p>
        </w:tc>
        <w:tc>
          <w:tcPr>
            <w:tcW w:w="875" w:type="dxa"/>
            <w:tcBorders>
              <w:top w:val="single" w:color="auto" w:sz="4" w:space="0"/>
              <w:bottom w:val="double" w:color="auto" w:sz="4" w:space="0"/>
            </w:tcBorders>
            <w:shd w:val="clear" w:color="auto" w:fill="FFFFFF" w:themeFill="background1"/>
            <w:tcMar>
              <w:left w:w="58" w:type="dxa"/>
              <w:right w:w="58" w:type="dxa"/>
            </w:tcMar>
            <w:vAlign w:val="center"/>
          </w:tcPr>
          <w:p w:rsidRPr="00165F43" w:rsidR="00FA1ACA" w:rsidP="009D0FAD" w:rsidRDefault="004D4743" w14:paraId="73D47382" w14:textId="683E5BC6">
            <w:pPr>
              <w:jc w:val="center"/>
              <w:rPr>
                <w:rFonts w:cs="Arial"/>
                <w:sz w:val="16"/>
                <w:szCs w:val="16"/>
              </w:rPr>
            </w:pPr>
            <w:r>
              <w:rPr>
                <w:rFonts w:cs="Arial"/>
                <w:sz w:val="16"/>
                <w:szCs w:val="16"/>
              </w:rPr>
              <w:t>13</w:t>
            </w:r>
          </w:p>
        </w:tc>
      </w:tr>
      <w:tr w:rsidRPr="00897EE4" w:rsidR="00D22A8B" w:rsidTr="00D27E66" w14:paraId="5CE2718D" w14:textId="77777777">
        <w:trPr>
          <w:trHeight w:val="432"/>
          <w:jc w:val="center"/>
        </w:trPr>
        <w:tc>
          <w:tcPr>
            <w:tcW w:w="1435" w:type="dxa"/>
            <w:tcBorders>
              <w:top w:val="double" w:color="auto" w:sz="4" w:space="0"/>
              <w:bottom w:val="single" w:color="auto" w:sz="4" w:space="0"/>
            </w:tcBorders>
            <w:tcMar>
              <w:left w:w="58" w:type="dxa"/>
              <w:right w:w="58" w:type="dxa"/>
            </w:tcMar>
            <w:vAlign w:val="center"/>
          </w:tcPr>
          <w:p w:rsidRPr="00165F43" w:rsidR="00FA1ACA" w:rsidP="009D0FAD" w:rsidRDefault="00FA1ACA" w14:paraId="5EA235FD" w14:textId="663E8969">
            <w:pPr>
              <w:rPr>
                <w:rFonts w:cs="Arial"/>
                <w:sz w:val="16"/>
                <w:szCs w:val="16"/>
              </w:rPr>
            </w:pPr>
            <w:r w:rsidRPr="00165F43">
              <w:rPr>
                <w:rFonts w:cs="Arial"/>
                <w:sz w:val="16"/>
                <w:szCs w:val="16"/>
              </w:rPr>
              <w:t xml:space="preserve">Percent </w:t>
            </w:r>
            <w:r w:rsidR="00A7111A">
              <w:rPr>
                <w:rFonts w:cs="Arial"/>
                <w:sz w:val="16"/>
                <w:szCs w:val="16"/>
              </w:rPr>
              <w:t>a</w:t>
            </w:r>
            <w:r w:rsidRPr="00165F43">
              <w:rPr>
                <w:rFonts w:cs="Arial"/>
                <w:sz w:val="16"/>
                <w:szCs w:val="16"/>
              </w:rPr>
              <w:t>ffected</w:t>
            </w:r>
          </w:p>
        </w:tc>
        <w:tc>
          <w:tcPr>
            <w:tcW w:w="816" w:type="dxa"/>
            <w:tcBorders>
              <w:top w:val="double" w:color="auto" w:sz="4" w:space="0"/>
              <w:bottom w:val="single" w:color="auto" w:sz="4" w:space="0"/>
            </w:tcBorders>
            <w:tcMar>
              <w:left w:w="58" w:type="dxa"/>
              <w:right w:w="58" w:type="dxa"/>
            </w:tcMar>
            <w:vAlign w:val="center"/>
          </w:tcPr>
          <w:p w:rsidRPr="00165F43" w:rsidR="00FA1ACA" w:rsidP="009D0FAD" w:rsidRDefault="00FA1ACA" w14:paraId="0FFE0161" w14:textId="77777777">
            <w:pPr>
              <w:jc w:val="center"/>
              <w:rPr>
                <w:rFonts w:cs="Arial"/>
                <w:sz w:val="16"/>
                <w:szCs w:val="16"/>
              </w:rPr>
            </w:pPr>
            <w:r w:rsidRPr="00165F43">
              <w:rPr>
                <w:rFonts w:cs="Arial"/>
                <w:sz w:val="16"/>
                <w:szCs w:val="16"/>
              </w:rPr>
              <w:t>44%</w:t>
            </w:r>
          </w:p>
          <w:p w:rsidRPr="00165F43" w:rsidR="00FA1ACA" w:rsidP="009D0FAD" w:rsidRDefault="00FA1ACA" w14:paraId="1E87B13E" w14:textId="77777777">
            <w:pPr>
              <w:jc w:val="center"/>
              <w:rPr>
                <w:rFonts w:cs="Arial"/>
                <w:sz w:val="16"/>
                <w:szCs w:val="16"/>
              </w:rPr>
            </w:pPr>
            <w:r w:rsidRPr="00165F43">
              <w:rPr>
                <w:rFonts w:cs="Arial"/>
                <w:sz w:val="16"/>
                <w:szCs w:val="16"/>
              </w:rPr>
              <w:t>(12 of 27)</w:t>
            </w:r>
          </w:p>
        </w:tc>
        <w:tc>
          <w:tcPr>
            <w:tcW w:w="902" w:type="dxa"/>
            <w:tcBorders>
              <w:top w:val="double" w:color="auto" w:sz="4" w:space="0"/>
              <w:bottom w:val="single" w:color="auto" w:sz="4" w:space="0"/>
            </w:tcBorders>
            <w:tcMar>
              <w:left w:w="58" w:type="dxa"/>
              <w:right w:w="58" w:type="dxa"/>
            </w:tcMar>
            <w:vAlign w:val="center"/>
          </w:tcPr>
          <w:p w:rsidRPr="00165F43" w:rsidR="00FA1ACA" w:rsidP="009D0FAD" w:rsidRDefault="00FA1ACA" w14:paraId="56A76A8B" w14:textId="77777777">
            <w:pPr>
              <w:jc w:val="center"/>
              <w:rPr>
                <w:rFonts w:cs="Arial"/>
                <w:sz w:val="16"/>
                <w:szCs w:val="16"/>
              </w:rPr>
            </w:pPr>
            <w:r w:rsidRPr="00165F43">
              <w:rPr>
                <w:rFonts w:cs="Arial"/>
                <w:sz w:val="16"/>
                <w:szCs w:val="16"/>
              </w:rPr>
              <w:t>64%</w:t>
            </w:r>
          </w:p>
          <w:p w:rsidRPr="00165F43" w:rsidR="00FA1ACA" w:rsidP="009D0FAD" w:rsidRDefault="00FA1ACA" w14:paraId="6FAF3A39" w14:textId="77777777">
            <w:pPr>
              <w:jc w:val="center"/>
              <w:rPr>
                <w:rFonts w:cs="Arial"/>
                <w:sz w:val="16"/>
                <w:szCs w:val="16"/>
              </w:rPr>
            </w:pPr>
            <w:r w:rsidRPr="00165F43">
              <w:rPr>
                <w:rFonts w:cs="Arial"/>
                <w:sz w:val="16"/>
                <w:szCs w:val="16"/>
              </w:rPr>
              <w:t>(12 of 19)</w:t>
            </w:r>
          </w:p>
        </w:tc>
        <w:tc>
          <w:tcPr>
            <w:tcW w:w="902" w:type="dxa"/>
            <w:tcBorders>
              <w:top w:val="double" w:color="auto" w:sz="4" w:space="0"/>
              <w:bottom w:val="single" w:color="auto" w:sz="4" w:space="0"/>
            </w:tcBorders>
            <w:tcMar>
              <w:left w:w="58" w:type="dxa"/>
              <w:right w:w="58" w:type="dxa"/>
            </w:tcMar>
            <w:vAlign w:val="center"/>
          </w:tcPr>
          <w:p w:rsidRPr="00165F43" w:rsidR="00FA1ACA" w:rsidP="009D0FAD" w:rsidRDefault="00FA1ACA" w14:paraId="305993D8" w14:textId="77777777">
            <w:pPr>
              <w:jc w:val="center"/>
              <w:rPr>
                <w:rFonts w:cs="Arial"/>
                <w:sz w:val="16"/>
                <w:szCs w:val="16"/>
              </w:rPr>
            </w:pPr>
            <w:r w:rsidRPr="00165F43">
              <w:rPr>
                <w:rFonts w:cs="Arial"/>
                <w:sz w:val="16"/>
                <w:szCs w:val="16"/>
              </w:rPr>
              <w:t>50%</w:t>
            </w:r>
          </w:p>
          <w:p w:rsidRPr="00165F43" w:rsidR="00FA1ACA" w:rsidP="009D0FAD" w:rsidRDefault="00FA1ACA" w14:paraId="7789981D" w14:textId="77777777">
            <w:pPr>
              <w:jc w:val="center"/>
              <w:rPr>
                <w:rFonts w:cs="Arial"/>
                <w:sz w:val="16"/>
                <w:szCs w:val="16"/>
              </w:rPr>
            </w:pPr>
            <w:r w:rsidRPr="00165F43">
              <w:rPr>
                <w:rFonts w:cs="Arial"/>
                <w:sz w:val="16"/>
                <w:szCs w:val="16"/>
              </w:rPr>
              <w:t>(15 of 30)</w:t>
            </w:r>
          </w:p>
        </w:tc>
        <w:tc>
          <w:tcPr>
            <w:tcW w:w="903" w:type="dxa"/>
            <w:tcBorders>
              <w:top w:val="double" w:color="auto" w:sz="4" w:space="0"/>
              <w:bottom w:val="single" w:color="auto" w:sz="4" w:space="0"/>
            </w:tcBorders>
            <w:tcMar>
              <w:left w:w="58" w:type="dxa"/>
              <w:right w:w="58" w:type="dxa"/>
            </w:tcMar>
            <w:vAlign w:val="center"/>
          </w:tcPr>
          <w:p w:rsidRPr="00165F43" w:rsidR="00FA1ACA" w:rsidP="009D0FAD" w:rsidRDefault="00FA1ACA" w14:paraId="749D77C9" w14:textId="77777777">
            <w:pPr>
              <w:jc w:val="center"/>
              <w:rPr>
                <w:rFonts w:cs="Arial"/>
                <w:sz w:val="16"/>
                <w:szCs w:val="16"/>
              </w:rPr>
            </w:pPr>
            <w:r w:rsidRPr="00165F43">
              <w:rPr>
                <w:rFonts w:cs="Arial"/>
                <w:sz w:val="16"/>
                <w:szCs w:val="16"/>
              </w:rPr>
              <w:t>44%</w:t>
            </w:r>
          </w:p>
          <w:p w:rsidRPr="00165F43" w:rsidR="00FA1ACA" w:rsidP="009D0FAD" w:rsidRDefault="00FA1ACA" w14:paraId="58093F8C" w14:textId="77777777">
            <w:pPr>
              <w:jc w:val="center"/>
              <w:rPr>
                <w:rFonts w:cs="Arial"/>
                <w:sz w:val="16"/>
                <w:szCs w:val="16"/>
              </w:rPr>
            </w:pPr>
            <w:r w:rsidRPr="00165F43">
              <w:rPr>
                <w:rFonts w:cs="Arial"/>
                <w:sz w:val="16"/>
                <w:szCs w:val="16"/>
              </w:rPr>
              <w:t>(16 of 36)</w:t>
            </w:r>
          </w:p>
        </w:tc>
        <w:tc>
          <w:tcPr>
            <w:tcW w:w="903" w:type="dxa"/>
            <w:tcBorders>
              <w:top w:val="double" w:color="auto" w:sz="4" w:space="0"/>
              <w:bottom w:val="single" w:color="auto" w:sz="4" w:space="0"/>
            </w:tcBorders>
            <w:tcMar>
              <w:left w:w="58" w:type="dxa"/>
              <w:right w:w="58" w:type="dxa"/>
            </w:tcMar>
            <w:vAlign w:val="center"/>
          </w:tcPr>
          <w:p w:rsidR="00FA1ACA" w:rsidP="009D0FAD" w:rsidRDefault="00EC46C4" w14:paraId="75D7BC7E" w14:textId="509E9A61">
            <w:pPr>
              <w:jc w:val="center"/>
              <w:rPr>
                <w:rFonts w:cs="Arial"/>
                <w:sz w:val="16"/>
                <w:szCs w:val="16"/>
              </w:rPr>
            </w:pPr>
            <w:r>
              <w:rPr>
                <w:rFonts w:cs="Arial"/>
                <w:sz w:val="16"/>
                <w:szCs w:val="16"/>
              </w:rPr>
              <w:t>72</w:t>
            </w:r>
            <w:r w:rsidR="00FA1ACA">
              <w:rPr>
                <w:rFonts w:cs="Arial"/>
                <w:sz w:val="16"/>
                <w:szCs w:val="16"/>
              </w:rPr>
              <w:t>%</w:t>
            </w:r>
          </w:p>
          <w:p w:rsidRPr="00165F43" w:rsidR="00FA1ACA" w:rsidP="009D0FAD" w:rsidRDefault="00FA1ACA" w14:paraId="7067176B" w14:textId="77F0EDDD">
            <w:pPr>
              <w:jc w:val="center"/>
              <w:rPr>
                <w:rFonts w:cs="Arial"/>
                <w:sz w:val="16"/>
                <w:szCs w:val="16"/>
              </w:rPr>
            </w:pPr>
            <w:r>
              <w:rPr>
                <w:rFonts w:cs="Arial"/>
                <w:sz w:val="16"/>
                <w:szCs w:val="16"/>
              </w:rPr>
              <w:t xml:space="preserve">(31 of </w:t>
            </w:r>
            <w:r w:rsidR="00F3713C">
              <w:rPr>
                <w:rFonts w:cs="Arial"/>
                <w:sz w:val="16"/>
                <w:szCs w:val="16"/>
              </w:rPr>
              <w:t>43</w:t>
            </w:r>
            <w:r>
              <w:rPr>
                <w:rFonts w:cs="Arial"/>
                <w:sz w:val="16"/>
                <w:szCs w:val="16"/>
              </w:rPr>
              <w:t>)</w:t>
            </w:r>
          </w:p>
        </w:tc>
        <w:tc>
          <w:tcPr>
            <w:tcW w:w="889" w:type="dxa"/>
            <w:tcBorders>
              <w:top w:val="double" w:color="auto" w:sz="4" w:space="0"/>
              <w:bottom w:val="single" w:color="auto" w:sz="4" w:space="0"/>
            </w:tcBorders>
            <w:shd w:val="clear" w:color="auto" w:fill="FFFFFF" w:themeFill="background1"/>
            <w:tcMar>
              <w:left w:w="58" w:type="dxa"/>
              <w:right w:w="58" w:type="dxa"/>
            </w:tcMar>
            <w:vAlign w:val="center"/>
          </w:tcPr>
          <w:p w:rsidR="00A6725A" w:rsidP="009D0FAD" w:rsidRDefault="005458D8" w14:paraId="253556CD" w14:textId="02A13C38">
            <w:pPr>
              <w:jc w:val="center"/>
              <w:rPr>
                <w:rFonts w:cs="Arial"/>
                <w:sz w:val="16"/>
                <w:szCs w:val="16"/>
              </w:rPr>
            </w:pPr>
            <w:r>
              <w:rPr>
                <w:rFonts w:cs="Arial"/>
                <w:sz w:val="16"/>
                <w:szCs w:val="16"/>
              </w:rPr>
              <w:t>71%</w:t>
            </w:r>
          </w:p>
          <w:p w:rsidRPr="00165F43" w:rsidR="00FA1ACA" w:rsidP="009D0FAD" w:rsidRDefault="00F3584F" w14:paraId="3DFA6892" w14:textId="28717F82">
            <w:pPr>
              <w:jc w:val="center"/>
              <w:rPr>
                <w:rFonts w:cs="Arial"/>
                <w:sz w:val="16"/>
                <w:szCs w:val="16"/>
              </w:rPr>
            </w:pPr>
            <w:r>
              <w:rPr>
                <w:rFonts w:cs="Arial"/>
                <w:sz w:val="16"/>
                <w:szCs w:val="16"/>
              </w:rPr>
              <w:t>(30 of 42)</w:t>
            </w:r>
          </w:p>
        </w:tc>
        <w:tc>
          <w:tcPr>
            <w:tcW w:w="900" w:type="dxa"/>
            <w:tcBorders>
              <w:top w:val="double" w:color="auto" w:sz="4" w:space="0"/>
              <w:bottom w:val="single" w:color="auto" w:sz="4" w:space="0"/>
            </w:tcBorders>
            <w:shd w:val="clear" w:color="auto" w:fill="FFFFFF" w:themeFill="background1"/>
            <w:tcMar>
              <w:left w:w="58" w:type="dxa"/>
              <w:right w:w="58" w:type="dxa"/>
            </w:tcMar>
            <w:vAlign w:val="center"/>
          </w:tcPr>
          <w:p w:rsidR="00747BE5" w:rsidP="009D0FAD" w:rsidRDefault="0066178A" w14:paraId="07B8956B" w14:textId="4AA9F7C7">
            <w:pPr>
              <w:jc w:val="center"/>
              <w:rPr>
                <w:rFonts w:cs="Arial"/>
                <w:sz w:val="16"/>
                <w:szCs w:val="16"/>
              </w:rPr>
            </w:pPr>
            <w:r>
              <w:rPr>
                <w:rFonts w:cs="Arial"/>
                <w:sz w:val="16"/>
                <w:szCs w:val="16"/>
              </w:rPr>
              <w:t>82%</w:t>
            </w:r>
          </w:p>
          <w:p w:rsidRPr="00165F43" w:rsidR="00FA1ACA" w:rsidP="009D0FAD" w:rsidRDefault="00747BE5" w14:paraId="4A8A76E4" w14:textId="78EBC384">
            <w:pPr>
              <w:jc w:val="center"/>
              <w:rPr>
                <w:rFonts w:cs="Arial"/>
                <w:sz w:val="16"/>
                <w:szCs w:val="16"/>
              </w:rPr>
            </w:pPr>
            <w:r>
              <w:rPr>
                <w:rFonts w:cs="Arial"/>
                <w:sz w:val="16"/>
                <w:szCs w:val="16"/>
              </w:rPr>
              <w:t>(32 of 39)</w:t>
            </w:r>
          </w:p>
        </w:tc>
        <w:tc>
          <w:tcPr>
            <w:tcW w:w="920" w:type="dxa"/>
            <w:tcBorders>
              <w:top w:val="double" w:color="auto" w:sz="4" w:space="0"/>
              <w:bottom w:val="single" w:color="auto" w:sz="4" w:space="0"/>
            </w:tcBorders>
            <w:shd w:val="clear" w:color="auto" w:fill="FFFFFF" w:themeFill="background1"/>
            <w:tcMar>
              <w:left w:w="58" w:type="dxa"/>
              <w:right w:w="58" w:type="dxa"/>
            </w:tcMar>
            <w:vAlign w:val="center"/>
          </w:tcPr>
          <w:p w:rsidR="00933E31" w:rsidP="009D0FAD" w:rsidRDefault="003D0ABC" w14:paraId="39BC1DF8" w14:textId="4E6C2994">
            <w:pPr>
              <w:jc w:val="center"/>
              <w:rPr>
                <w:rFonts w:cs="Arial"/>
                <w:sz w:val="16"/>
                <w:szCs w:val="16"/>
              </w:rPr>
            </w:pPr>
            <w:r>
              <w:rPr>
                <w:rFonts w:cs="Arial"/>
                <w:sz w:val="16"/>
                <w:szCs w:val="16"/>
              </w:rPr>
              <w:t>79%</w:t>
            </w:r>
          </w:p>
          <w:p w:rsidRPr="00165F43" w:rsidR="00FA1ACA" w:rsidP="009D0FAD" w:rsidRDefault="00933E31" w14:paraId="3CFFD81A" w14:textId="6DBE547C">
            <w:pPr>
              <w:jc w:val="center"/>
              <w:rPr>
                <w:rFonts w:cs="Arial"/>
                <w:sz w:val="16"/>
                <w:szCs w:val="16"/>
              </w:rPr>
            </w:pPr>
            <w:r>
              <w:rPr>
                <w:rFonts w:cs="Arial"/>
                <w:sz w:val="16"/>
                <w:szCs w:val="16"/>
              </w:rPr>
              <w:t>(31 of 39)</w:t>
            </w:r>
          </w:p>
        </w:tc>
        <w:tc>
          <w:tcPr>
            <w:tcW w:w="875" w:type="dxa"/>
            <w:tcBorders>
              <w:top w:val="double" w:color="auto" w:sz="4" w:space="0"/>
              <w:bottom w:val="single" w:color="auto" w:sz="4" w:space="0"/>
            </w:tcBorders>
            <w:shd w:val="clear" w:color="auto" w:fill="FFFFFF" w:themeFill="background1"/>
            <w:tcMar>
              <w:left w:w="58" w:type="dxa"/>
              <w:right w:w="58" w:type="dxa"/>
            </w:tcMar>
            <w:vAlign w:val="center"/>
          </w:tcPr>
          <w:p w:rsidR="004D4743" w:rsidP="009D0FAD" w:rsidRDefault="00457187" w14:paraId="4349CC11" w14:textId="11EAB489">
            <w:pPr>
              <w:jc w:val="center"/>
              <w:rPr>
                <w:rFonts w:cs="Arial"/>
                <w:sz w:val="16"/>
                <w:szCs w:val="16"/>
              </w:rPr>
            </w:pPr>
            <w:r>
              <w:rPr>
                <w:rFonts w:cs="Arial"/>
                <w:sz w:val="16"/>
                <w:szCs w:val="16"/>
              </w:rPr>
              <w:t>64%</w:t>
            </w:r>
          </w:p>
          <w:p w:rsidRPr="00165F43" w:rsidR="00FA1ACA" w:rsidP="009D0FAD" w:rsidRDefault="004D4743" w14:paraId="3E123E07" w14:textId="7B45E407">
            <w:pPr>
              <w:jc w:val="center"/>
              <w:rPr>
                <w:rFonts w:cs="Arial"/>
                <w:sz w:val="16"/>
                <w:szCs w:val="16"/>
              </w:rPr>
            </w:pPr>
            <w:r>
              <w:rPr>
                <w:rFonts w:cs="Arial"/>
                <w:sz w:val="16"/>
                <w:szCs w:val="16"/>
              </w:rPr>
              <w:t>(18 of 28)</w:t>
            </w:r>
          </w:p>
        </w:tc>
      </w:tr>
      <w:tr w:rsidRPr="00165F43" w:rsidR="00FA1ACA" w:rsidTr="0035159A" w14:paraId="6DB88A46" w14:textId="77777777">
        <w:trPr>
          <w:trHeight w:val="296"/>
          <w:jc w:val="center"/>
        </w:trPr>
        <w:tc>
          <w:tcPr>
            <w:tcW w:w="9445" w:type="dxa"/>
            <w:gridSpan w:val="10"/>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762B1459" w14:textId="235E1AEB">
            <w:pPr>
              <w:jc w:val="center"/>
              <w:rPr>
                <w:rFonts w:cs="Arial"/>
                <w:b/>
                <w:bCs/>
                <w:sz w:val="18"/>
                <w:szCs w:val="18"/>
              </w:rPr>
            </w:pPr>
            <w:r w:rsidRPr="00165F43">
              <w:rPr>
                <w:rFonts w:cs="Arial"/>
                <w:b/>
                <w:bCs/>
                <w:sz w:val="18"/>
                <w:szCs w:val="18"/>
              </w:rPr>
              <w:t>Post-Event</w:t>
            </w:r>
          </w:p>
        </w:tc>
      </w:tr>
      <w:tr w:rsidRPr="00897EE4" w:rsidR="00D22A8B" w:rsidTr="00D27E66" w14:paraId="48AD14DE" w14:textId="77777777">
        <w:trPr>
          <w:trHeight w:val="648"/>
          <w:jc w:val="center"/>
        </w:trPr>
        <w:tc>
          <w:tcPr>
            <w:tcW w:w="1435" w:type="dxa"/>
            <w:tcBorders>
              <w:top w:val="single" w:color="auto" w:sz="4" w:space="0"/>
            </w:tcBorders>
            <w:tcMar>
              <w:left w:w="58" w:type="dxa"/>
              <w:right w:w="58" w:type="dxa"/>
            </w:tcMar>
            <w:vAlign w:val="center"/>
          </w:tcPr>
          <w:p w:rsidR="0042094E" w:rsidP="009D0FAD" w:rsidRDefault="00FA1ACA" w14:paraId="6BD5DA36" w14:textId="77777777">
            <w:pPr>
              <w:rPr>
                <w:rFonts w:cs="Arial"/>
                <w:sz w:val="16"/>
                <w:szCs w:val="16"/>
              </w:rPr>
            </w:pPr>
            <w:r w:rsidRPr="00165F43">
              <w:rPr>
                <w:rFonts w:cs="Arial"/>
                <w:sz w:val="16"/>
                <w:szCs w:val="16"/>
              </w:rPr>
              <w:t xml:space="preserve">Total results </w:t>
            </w:r>
          </w:p>
          <w:p w:rsidRPr="00165F43" w:rsidR="00FA1ACA" w:rsidP="009D0FAD" w:rsidRDefault="00FA1ACA" w14:paraId="5B9D87A7" w14:textId="1348D310">
            <w:pPr>
              <w:rPr>
                <w:rFonts w:cs="Arial"/>
                <w:sz w:val="16"/>
                <w:szCs w:val="16"/>
              </w:rPr>
            </w:pPr>
            <w:r w:rsidRPr="00165F43">
              <w:rPr>
                <w:rFonts w:cs="Arial"/>
                <w:sz w:val="16"/>
                <w:szCs w:val="16"/>
              </w:rPr>
              <w:t>(drug &amp; alcohol positives &amp; subversions)</w:t>
            </w:r>
          </w:p>
        </w:tc>
        <w:tc>
          <w:tcPr>
            <w:tcW w:w="816"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456A04FC" w14:textId="77777777">
            <w:pPr>
              <w:jc w:val="center"/>
              <w:rPr>
                <w:rFonts w:cs="Arial"/>
                <w:sz w:val="16"/>
                <w:szCs w:val="16"/>
              </w:rPr>
            </w:pPr>
            <w:r w:rsidRPr="00165F43">
              <w:rPr>
                <w:rFonts w:cs="Arial"/>
                <w:sz w:val="16"/>
                <w:szCs w:val="16"/>
              </w:rPr>
              <w:t>7</w:t>
            </w:r>
          </w:p>
        </w:tc>
        <w:tc>
          <w:tcPr>
            <w:tcW w:w="902"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0F4DFFEE" w14:textId="77777777">
            <w:pPr>
              <w:jc w:val="center"/>
              <w:rPr>
                <w:rFonts w:cs="Arial"/>
                <w:sz w:val="16"/>
                <w:szCs w:val="16"/>
              </w:rPr>
            </w:pPr>
            <w:r w:rsidRPr="00165F43">
              <w:rPr>
                <w:rFonts w:cs="Arial"/>
                <w:sz w:val="16"/>
                <w:szCs w:val="16"/>
              </w:rPr>
              <w:t>7</w:t>
            </w:r>
          </w:p>
        </w:tc>
        <w:tc>
          <w:tcPr>
            <w:tcW w:w="902"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3E6012C5" w14:textId="77777777">
            <w:pPr>
              <w:jc w:val="center"/>
              <w:rPr>
                <w:rFonts w:cs="Arial"/>
                <w:sz w:val="16"/>
                <w:szCs w:val="16"/>
              </w:rPr>
            </w:pPr>
            <w:r w:rsidRPr="00165F43">
              <w:rPr>
                <w:rFonts w:cs="Arial"/>
                <w:sz w:val="16"/>
                <w:szCs w:val="16"/>
              </w:rPr>
              <w:t>5</w:t>
            </w:r>
          </w:p>
        </w:tc>
        <w:tc>
          <w:tcPr>
            <w:tcW w:w="903"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06BCEA15" w14:textId="77777777">
            <w:pPr>
              <w:jc w:val="center"/>
              <w:rPr>
                <w:rFonts w:cs="Arial"/>
                <w:sz w:val="16"/>
                <w:szCs w:val="16"/>
              </w:rPr>
            </w:pPr>
            <w:r w:rsidRPr="00165F43">
              <w:rPr>
                <w:rFonts w:cs="Arial"/>
                <w:sz w:val="16"/>
                <w:szCs w:val="16"/>
              </w:rPr>
              <w:t>13</w:t>
            </w:r>
          </w:p>
        </w:tc>
        <w:tc>
          <w:tcPr>
            <w:tcW w:w="903"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186CEB4B" w14:textId="77777777">
            <w:pPr>
              <w:jc w:val="center"/>
              <w:rPr>
                <w:rFonts w:cs="Arial"/>
                <w:sz w:val="16"/>
                <w:szCs w:val="16"/>
              </w:rPr>
            </w:pPr>
            <w:r>
              <w:rPr>
                <w:rFonts w:cs="Arial"/>
                <w:sz w:val="16"/>
                <w:szCs w:val="16"/>
              </w:rPr>
              <w:t>17</w:t>
            </w:r>
          </w:p>
        </w:tc>
        <w:tc>
          <w:tcPr>
            <w:tcW w:w="889" w:type="dxa"/>
            <w:tcBorders>
              <w:top w:val="single" w:color="auto" w:sz="4" w:space="0"/>
            </w:tcBorders>
            <w:shd w:val="clear" w:color="auto" w:fill="FFFFFF" w:themeFill="background1"/>
            <w:tcMar>
              <w:left w:w="58" w:type="dxa"/>
              <w:right w:w="58" w:type="dxa"/>
            </w:tcMar>
            <w:vAlign w:val="center"/>
          </w:tcPr>
          <w:p w:rsidRPr="00165F43" w:rsidR="00FA1ACA" w:rsidP="009D0FAD" w:rsidRDefault="0098435F" w14:paraId="258B508C" w14:textId="39472A84">
            <w:pPr>
              <w:jc w:val="center"/>
              <w:rPr>
                <w:rFonts w:cs="Arial"/>
                <w:sz w:val="16"/>
                <w:szCs w:val="16"/>
              </w:rPr>
            </w:pPr>
            <w:r>
              <w:rPr>
                <w:rFonts w:cs="Arial"/>
                <w:sz w:val="16"/>
                <w:szCs w:val="16"/>
              </w:rPr>
              <w:t>13</w:t>
            </w:r>
          </w:p>
        </w:tc>
        <w:tc>
          <w:tcPr>
            <w:tcW w:w="900" w:type="dxa"/>
            <w:tcBorders>
              <w:top w:val="single" w:color="auto" w:sz="4" w:space="0"/>
            </w:tcBorders>
            <w:shd w:val="clear" w:color="auto" w:fill="FFFFFF" w:themeFill="background1"/>
            <w:tcMar>
              <w:left w:w="58" w:type="dxa"/>
              <w:right w:w="58" w:type="dxa"/>
            </w:tcMar>
            <w:vAlign w:val="center"/>
          </w:tcPr>
          <w:p w:rsidRPr="00165F43" w:rsidR="00FA1ACA" w:rsidP="009D0FAD" w:rsidRDefault="00287D1B" w14:paraId="6C9DDC74" w14:textId="38B728AD">
            <w:pPr>
              <w:jc w:val="center"/>
              <w:rPr>
                <w:rFonts w:cs="Arial"/>
                <w:sz w:val="16"/>
                <w:szCs w:val="16"/>
              </w:rPr>
            </w:pPr>
            <w:r>
              <w:rPr>
                <w:rFonts w:cs="Arial"/>
                <w:sz w:val="16"/>
                <w:szCs w:val="16"/>
              </w:rPr>
              <w:t>11</w:t>
            </w:r>
          </w:p>
        </w:tc>
        <w:tc>
          <w:tcPr>
            <w:tcW w:w="920" w:type="dxa"/>
            <w:tcBorders>
              <w:top w:val="single" w:color="auto" w:sz="4" w:space="0"/>
            </w:tcBorders>
            <w:shd w:val="clear" w:color="auto" w:fill="FFFFFF" w:themeFill="background1"/>
            <w:tcMar>
              <w:left w:w="58" w:type="dxa"/>
              <w:right w:w="58" w:type="dxa"/>
            </w:tcMar>
            <w:vAlign w:val="center"/>
          </w:tcPr>
          <w:p w:rsidRPr="00165F43" w:rsidR="00FA1ACA" w:rsidP="009D0FAD" w:rsidRDefault="00A713F5" w14:paraId="7F1F46EC" w14:textId="413FE114">
            <w:pPr>
              <w:jc w:val="center"/>
              <w:rPr>
                <w:rFonts w:cs="Arial"/>
                <w:sz w:val="16"/>
                <w:szCs w:val="16"/>
              </w:rPr>
            </w:pPr>
            <w:r>
              <w:rPr>
                <w:rFonts w:cs="Arial"/>
                <w:sz w:val="16"/>
                <w:szCs w:val="16"/>
              </w:rPr>
              <w:t>2</w:t>
            </w:r>
          </w:p>
        </w:tc>
        <w:tc>
          <w:tcPr>
            <w:tcW w:w="875" w:type="dxa"/>
            <w:tcBorders>
              <w:top w:val="single" w:color="auto" w:sz="4" w:space="0"/>
            </w:tcBorders>
            <w:shd w:val="clear" w:color="auto" w:fill="FFFFFF" w:themeFill="background1"/>
            <w:tcMar>
              <w:left w:w="58" w:type="dxa"/>
              <w:right w:w="58" w:type="dxa"/>
            </w:tcMar>
            <w:vAlign w:val="center"/>
          </w:tcPr>
          <w:p w:rsidRPr="00165F43" w:rsidR="00FA1ACA" w:rsidP="009D0FAD" w:rsidRDefault="00A31742" w14:paraId="6DF0C471" w14:textId="695336D4">
            <w:pPr>
              <w:jc w:val="center"/>
              <w:rPr>
                <w:rFonts w:cs="Arial"/>
                <w:sz w:val="16"/>
                <w:szCs w:val="16"/>
              </w:rPr>
            </w:pPr>
            <w:r>
              <w:rPr>
                <w:rFonts w:cs="Arial"/>
                <w:sz w:val="16"/>
                <w:szCs w:val="16"/>
              </w:rPr>
              <w:t>4</w:t>
            </w:r>
          </w:p>
        </w:tc>
      </w:tr>
      <w:tr w:rsidRPr="00897EE4" w:rsidR="00BD24CD" w:rsidTr="00D27E66" w14:paraId="5CCE726A" w14:textId="77777777">
        <w:trPr>
          <w:trHeight w:val="602"/>
          <w:jc w:val="center"/>
        </w:trPr>
        <w:tc>
          <w:tcPr>
            <w:tcW w:w="1435" w:type="dxa"/>
            <w:tcBorders>
              <w:top w:val="single" w:color="auto" w:sz="4" w:space="0"/>
            </w:tcBorders>
            <w:tcMar>
              <w:left w:w="58" w:type="dxa"/>
              <w:right w:w="58" w:type="dxa"/>
            </w:tcMar>
            <w:vAlign w:val="center"/>
          </w:tcPr>
          <w:p w:rsidRPr="00165F43" w:rsidR="00FA1ACA" w:rsidP="009D0FAD" w:rsidRDefault="00FA1ACA" w14:paraId="33065F31" w14:textId="77777777">
            <w:pPr>
              <w:rPr>
                <w:rFonts w:cs="Arial"/>
                <w:sz w:val="16"/>
                <w:szCs w:val="16"/>
              </w:rPr>
            </w:pPr>
            <w:r w:rsidRPr="00165F43">
              <w:rPr>
                <w:rFonts w:cs="Arial"/>
                <w:sz w:val="16"/>
                <w:szCs w:val="16"/>
              </w:rPr>
              <w:t>Total results</w:t>
            </w:r>
          </w:p>
          <w:p w:rsidR="004F58E8" w:rsidP="009D0FAD" w:rsidRDefault="00FA1ACA" w14:paraId="1A3ECCE0" w14:textId="77777777">
            <w:pPr>
              <w:rPr>
                <w:rFonts w:cs="Arial"/>
                <w:sz w:val="16"/>
                <w:szCs w:val="16"/>
              </w:rPr>
            </w:pPr>
            <w:r w:rsidRPr="00165F43">
              <w:rPr>
                <w:rFonts w:cs="Arial"/>
                <w:sz w:val="16"/>
                <w:szCs w:val="16"/>
              </w:rPr>
              <w:t xml:space="preserve">(drug positive </w:t>
            </w:r>
          </w:p>
          <w:p w:rsidRPr="00165F43" w:rsidR="00FA1ACA" w:rsidP="009D0FAD" w:rsidRDefault="00FA1ACA" w14:paraId="167EACC6" w14:textId="3DCDC657">
            <w:pPr>
              <w:rPr>
                <w:rFonts w:cs="Arial"/>
                <w:sz w:val="16"/>
                <w:szCs w:val="16"/>
              </w:rPr>
            </w:pPr>
            <w:r w:rsidRPr="00165F43">
              <w:rPr>
                <w:rFonts w:cs="Arial"/>
                <w:sz w:val="16"/>
                <w:szCs w:val="16"/>
              </w:rPr>
              <w:t>&amp; subversions)</w:t>
            </w:r>
          </w:p>
        </w:tc>
        <w:tc>
          <w:tcPr>
            <w:tcW w:w="816"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14B6F6D5" w14:textId="77777777">
            <w:pPr>
              <w:jc w:val="center"/>
              <w:rPr>
                <w:rFonts w:cs="Arial"/>
                <w:sz w:val="16"/>
                <w:szCs w:val="16"/>
              </w:rPr>
            </w:pPr>
            <w:r w:rsidRPr="00165F43">
              <w:rPr>
                <w:rFonts w:cs="Arial"/>
                <w:sz w:val="16"/>
                <w:szCs w:val="16"/>
              </w:rPr>
              <w:t>6</w:t>
            </w:r>
          </w:p>
        </w:tc>
        <w:tc>
          <w:tcPr>
            <w:tcW w:w="902"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4A28071F" w14:textId="77777777">
            <w:pPr>
              <w:jc w:val="center"/>
              <w:rPr>
                <w:rFonts w:cs="Arial"/>
                <w:sz w:val="16"/>
                <w:szCs w:val="16"/>
              </w:rPr>
            </w:pPr>
            <w:r w:rsidRPr="00165F43">
              <w:rPr>
                <w:rFonts w:cs="Arial"/>
                <w:sz w:val="16"/>
                <w:szCs w:val="16"/>
              </w:rPr>
              <w:t>7</w:t>
            </w:r>
          </w:p>
        </w:tc>
        <w:tc>
          <w:tcPr>
            <w:tcW w:w="902"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7CA5FD82" w14:textId="77777777">
            <w:pPr>
              <w:jc w:val="center"/>
              <w:rPr>
                <w:rFonts w:cs="Arial"/>
                <w:sz w:val="16"/>
                <w:szCs w:val="16"/>
              </w:rPr>
            </w:pPr>
            <w:r w:rsidRPr="00165F43">
              <w:rPr>
                <w:rFonts w:cs="Arial"/>
                <w:sz w:val="16"/>
                <w:szCs w:val="16"/>
              </w:rPr>
              <w:t>4</w:t>
            </w:r>
          </w:p>
        </w:tc>
        <w:tc>
          <w:tcPr>
            <w:tcW w:w="903" w:type="dxa"/>
            <w:tcBorders>
              <w:top w:val="single" w:color="auto" w:sz="4" w:space="0"/>
            </w:tcBorders>
            <w:shd w:val="clear" w:color="auto" w:fill="FFFFFF" w:themeFill="background1"/>
            <w:tcMar>
              <w:left w:w="58" w:type="dxa"/>
              <w:right w:w="58" w:type="dxa"/>
            </w:tcMar>
            <w:vAlign w:val="center"/>
          </w:tcPr>
          <w:p w:rsidRPr="00165F43" w:rsidR="00FA1ACA" w:rsidP="009D0FAD" w:rsidRDefault="00FA1ACA" w14:paraId="06FB6ED9" w14:textId="77777777">
            <w:pPr>
              <w:jc w:val="center"/>
              <w:rPr>
                <w:rFonts w:cs="Arial"/>
                <w:sz w:val="16"/>
                <w:szCs w:val="16"/>
              </w:rPr>
            </w:pPr>
            <w:r w:rsidRPr="00165F43">
              <w:rPr>
                <w:rFonts w:cs="Arial"/>
                <w:sz w:val="16"/>
                <w:szCs w:val="16"/>
              </w:rPr>
              <w:t>11</w:t>
            </w:r>
          </w:p>
        </w:tc>
        <w:tc>
          <w:tcPr>
            <w:tcW w:w="903" w:type="dxa"/>
            <w:tcBorders>
              <w:top w:val="single" w:color="auto" w:sz="4" w:space="0"/>
            </w:tcBorders>
            <w:shd w:val="clear" w:color="auto" w:fill="FFFFFF" w:themeFill="background1"/>
            <w:tcMar>
              <w:left w:w="58" w:type="dxa"/>
              <w:right w:w="58" w:type="dxa"/>
            </w:tcMar>
            <w:vAlign w:val="center"/>
          </w:tcPr>
          <w:p w:rsidRPr="00165F43" w:rsidR="00FA1ACA" w:rsidP="009D0FAD" w:rsidRDefault="00A903FD" w14:paraId="76D82FCE" w14:textId="33090FBB">
            <w:pPr>
              <w:jc w:val="center"/>
              <w:rPr>
                <w:rFonts w:cs="Arial"/>
                <w:sz w:val="16"/>
                <w:szCs w:val="16"/>
              </w:rPr>
            </w:pPr>
            <w:r>
              <w:rPr>
                <w:rFonts w:cs="Arial"/>
                <w:sz w:val="16"/>
                <w:szCs w:val="16"/>
              </w:rPr>
              <w:t>15</w:t>
            </w:r>
          </w:p>
        </w:tc>
        <w:tc>
          <w:tcPr>
            <w:tcW w:w="889" w:type="dxa"/>
            <w:tcBorders>
              <w:top w:val="single" w:color="auto" w:sz="4" w:space="0"/>
            </w:tcBorders>
            <w:shd w:val="clear" w:color="auto" w:fill="FFFFFF" w:themeFill="background1"/>
            <w:tcMar>
              <w:left w:w="58" w:type="dxa"/>
              <w:right w:w="58" w:type="dxa"/>
            </w:tcMar>
            <w:vAlign w:val="center"/>
          </w:tcPr>
          <w:p w:rsidRPr="00165F43" w:rsidR="00FA1ACA" w:rsidP="009D0FAD" w:rsidRDefault="003469F0" w14:paraId="5EAEDBC8" w14:textId="419902E3">
            <w:pPr>
              <w:jc w:val="center"/>
              <w:rPr>
                <w:rFonts w:cs="Arial"/>
                <w:sz w:val="16"/>
                <w:szCs w:val="16"/>
              </w:rPr>
            </w:pPr>
            <w:r>
              <w:rPr>
                <w:rFonts w:cs="Arial"/>
                <w:sz w:val="16"/>
                <w:szCs w:val="16"/>
              </w:rPr>
              <w:t>11</w:t>
            </w:r>
          </w:p>
        </w:tc>
        <w:tc>
          <w:tcPr>
            <w:tcW w:w="900" w:type="dxa"/>
            <w:tcBorders>
              <w:top w:val="single" w:color="auto" w:sz="4" w:space="0"/>
            </w:tcBorders>
            <w:shd w:val="clear" w:color="auto" w:fill="FFFFFF" w:themeFill="background1"/>
            <w:tcMar>
              <w:left w:w="58" w:type="dxa"/>
              <w:right w:w="58" w:type="dxa"/>
            </w:tcMar>
            <w:vAlign w:val="center"/>
          </w:tcPr>
          <w:p w:rsidRPr="00165F43" w:rsidR="00FA1ACA" w:rsidP="009D0FAD" w:rsidRDefault="00E16F24" w14:paraId="753281DD" w14:textId="47DA4DDB">
            <w:pPr>
              <w:jc w:val="center"/>
              <w:rPr>
                <w:rFonts w:cs="Arial"/>
                <w:sz w:val="16"/>
                <w:szCs w:val="16"/>
              </w:rPr>
            </w:pPr>
            <w:r>
              <w:rPr>
                <w:rFonts w:cs="Arial"/>
                <w:sz w:val="16"/>
                <w:szCs w:val="16"/>
              </w:rPr>
              <w:t>11</w:t>
            </w:r>
          </w:p>
        </w:tc>
        <w:tc>
          <w:tcPr>
            <w:tcW w:w="920" w:type="dxa"/>
            <w:tcBorders>
              <w:top w:val="single" w:color="auto" w:sz="4" w:space="0"/>
            </w:tcBorders>
            <w:shd w:val="clear" w:color="auto" w:fill="FFFFFF" w:themeFill="background1"/>
            <w:tcMar>
              <w:left w:w="58" w:type="dxa"/>
              <w:right w:w="58" w:type="dxa"/>
            </w:tcMar>
            <w:vAlign w:val="center"/>
          </w:tcPr>
          <w:p w:rsidRPr="00165F43" w:rsidR="00FA1ACA" w:rsidP="009D0FAD" w:rsidRDefault="00A713F5" w14:paraId="2DACDEF1" w14:textId="4AAA96B4">
            <w:pPr>
              <w:jc w:val="center"/>
              <w:rPr>
                <w:rFonts w:cs="Arial"/>
                <w:sz w:val="16"/>
                <w:szCs w:val="16"/>
              </w:rPr>
            </w:pPr>
            <w:r>
              <w:rPr>
                <w:rFonts w:cs="Arial"/>
                <w:sz w:val="16"/>
                <w:szCs w:val="16"/>
              </w:rPr>
              <w:t>2</w:t>
            </w:r>
          </w:p>
        </w:tc>
        <w:tc>
          <w:tcPr>
            <w:tcW w:w="875" w:type="dxa"/>
            <w:tcBorders>
              <w:top w:val="single" w:color="auto" w:sz="4" w:space="0"/>
            </w:tcBorders>
            <w:shd w:val="clear" w:color="auto" w:fill="FFFFFF" w:themeFill="background1"/>
            <w:tcMar>
              <w:left w:w="58" w:type="dxa"/>
              <w:right w:w="58" w:type="dxa"/>
            </w:tcMar>
            <w:vAlign w:val="center"/>
          </w:tcPr>
          <w:p w:rsidRPr="00165F43" w:rsidR="00FA1ACA" w:rsidP="009D0FAD" w:rsidRDefault="00A31742" w14:paraId="5BF18D81" w14:textId="386B42C6">
            <w:pPr>
              <w:jc w:val="center"/>
              <w:rPr>
                <w:rFonts w:cs="Arial"/>
                <w:sz w:val="16"/>
                <w:szCs w:val="16"/>
              </w:rPr>
            </w:pPr>
            <w:r>
              <w:rPr>
                <w:rFonts w:cs="Arial"/>
                <w:sz w:val="16"/>
                <w:szCs w:val="16"/>
              </w:rPr>
              <w:t>4</w:t>
            </w:r>
          </w:p>
        </w:tc>
      </w:tr>
      <w:tr w:rsidRPr="003A1BA1" w:rsidR="00FA1ACA" w:rsidTr="0035159A" w14:paraId="13150392" w14:textId="77777777">
        <w:trPr>
          <w:trHeight w:val="288"/>
          <w:jc w:val="center"/>
        </w:trPr>
        <w:tc>
          <w:tcPr>
            <w:tcW w:w="9445" w:type="dxa"/>
            <w:gridSpan w:val="10"/>
            <w:shd w:val="clear" w:color="auto" w:fill="FFFFFF" w:themeFill="background1"/>
            <w:tcMar>
              <w:left w:w="58" w:type="dxa"/>
              <w:right w:w="58" w:type="dxa"/>
            </w:tcMar>
            <w:vAlign w:val="center"/>
          </w:tcPr>
          <w:p w:rsidRPr="003A1BA1" w:rsidR="00FA1ACA" w:rsidP="009D0FAD" w:rsidRDefault="00FA1ACA" w14:paraId="77084391" w14:textId="687F6F6E">
            <w:pPr>
              <w:jc w:val="center"/>
              <w:rPr>
                <w:rFonts w:cs="Arial"/>
                <w:sz w:val="16"/>
                <w:szCs w:val="16"/>
              </w:rPr>
            </w:pPr>
            <w:r w:rsidRPr="00165F43">
              <w:rPr>
                <w:rFonts w:cs="Arial"/>
                <w:b/>
                <w:bCs/>
                <w:sz w:val="16"/>
                <w:szCs w:val="16"/>
              </w:rPr>
              <w:t>Test Results Associated with Rule Changes (Panel of Drugs</w:t>
            </w:r>
            <w:r>
              <w:rPr>
                <w:rFonts w:cs="Arial"/>
                <w:b/>
                <w:bCs/>
                <w:sz w:val="16"/>
                <w:szCs w:val="16"/>
              </w:rPr>
              <w:t xml:space="preserve"> or</w:t>
            </w:r>
            <w:r w:rsidRPr="00165F43">
              <w:rPr>
                <w:rFonts w:cs="Arial"/>
                <w:b/>
                <w:bCs/>
                <w:sz w:val="16"/>
                <w:szCs w:val="16"/>
              </w:rPr>
              <w:t xml:space="preserve"> Subversions)</w:t>
            </w:r>
          </w:p>
        </w:tc>
      </w:tr>
      <w:tr w:rsidRPr="003A1BA1" w:rsidR="00D22A8B" w:rsidTr="00D27E66" w14:paraId="41FF6597" w14:textId="77777777">
        <w:trPr>
          <w:trHeight w:val="216"/>
          <w:jc w:val="center"/>
        </w:trPr>
        <w:tc>
          <w:tcPr>
            <w:tcW w:w="1435" w:type="dxa"/>
            <w:tcMar>
              <w:left w:w="58" w:type="dxa"/>
              <w:right w:w="58" w:type="dxa"/>
            </w:tcMar>
            <w:vAlign w:val="center"/>
          </w:tcPr>
          <w:p w:rsidRPr="003A1BA1" w:rsidR="00FA1ACA" w:rsidP="009D0FAD" w:rsidRDefault="00FA1ACA" w14:paraId="2836AF1D" w14:textId="77777777">
            <w:pPr>
              <w:rPr>
                <w:rFonts w:cs="Arial"/>
                <w:sz w:val="16"/>
                <w:szCs w:val="16"/>
              </w:rPr>
            </w:pPr>
            <w:r w:rsidRPr="003A1BA1">
              <w:rPr>
                <w:rFonts w:cs="Arial"/>
                <w:sz w:val="16"/>
                <w:szCs w:val="16"/>
              </w:rPr>
              <w:t>Amphetamines</w:t>
            </w:r>
          </w:p>
        </w:tc>
        <w:tc>
          <w:tcPr>
            <w:tcW w:w="816" w:type="dxa"/>
            <w:shd w:val="clear" w:color="auto" w:fill="FFFFFF" w:themeFill="background1"/>
            <w:tcMar>
              <w:left w:w="58" w:type="dxa"/>
              <w:right w:w="58" w:type="dxa"/>
            </w:tcMar>
            <w:vAlign w:val="center"/>
          </w:tcPr>
          <w:p w:rsidRPr="003A1BA1" w:rsidR="00FA1ACA" w:rsidP="009D0FAD" w:rsidRDefault="00FA1ACA" w14:paraId="54E8B26B" w14:textId="77777777">
            <w:pPr>
              <w:jc w:val="center"/>
              <w:rPr>
                <w:rFonts w:cs="Arial"/>
                <w:sz w:val="16"/>
                <w:szCs w:val="16"/>
              </w:rPr>
            </w:pPr>
            <w:r w:rsidRPr="003A1BA1">
              <w:rPr>
                <w:rFonts w:cs="Arial"/>
                <w:sz w:val="16"/>
                <w:szCs w:val="16"/>
              </w:rPr>
              <w:t>1</w:t>
            </w:r>
          </w:p>
        </w:tc>
        <w:tc>
          <w:tcPr>
            <w:tcW w:w="902" w:type="dxa"/>
            <w:shd w:val="clear" w:color="auto" w:fill="FFFFFF" w:themeFill="background1"/>
            <w:tcMar>
              <w:left w:w="58" w:type="dxa"/>
              <w:right w:w="58" w:type="dxa"/>
            </w:tcMar>
            <w:vAlign w:val="center"/>
          </w:tcPr>
          <w:p w:rsidRPr="003A1BA1" w:rsidR="00FA1ACA" w:rsidP="009D0FAD" w:rsidRDefault="00DE187F" w14:paraId="7E118643" w14:textId="51579A5B">
            <w:pPr>
              <w:jc w:val="center"/>
              <w:rPr>
                <w:rFonts w:cs="Arial"/>
                <w:sz w:val="16"/>
                <w:szCs w:val="16"/>
              </w:rPr>
            </w:pPr>
            <w:r>
              <w:rPr>
                <w:rFonts w:cs="Arial"/>
                <w:sz w:val="16"/>
                <w:szCs w:val="16"/>
              </w:rPr>
              <w:t>-</w:t>
            </w:r>
          </w:p>
        </w:tc>
        <w:tc>
          <w:tcPr>
            <w:tcW w:w="902" w:type="dxa"/>
            <w:shd w:val="clear" w:color="auto" w:fill="FFFFFF" w:themeFill="background1"/>
            <w:tcMar>
              <w:left w:w="58" w:type="dxa"/>
              <w:right w:w="58" w:type="dxa"/>
            </w:tcMar>
            <w:vAlign w:val="center"/>
          </w:tcPr>
          <w:p w:rsidRPr="003A1BA1" w:rsidR="00FA1ACA" w:rsidP="009D0FAD" w:rsidRDefault="00FA1ACA" w14:paraId="0158BEEA" w14:textId="77777777">
            <w:pPr>
              <w:jc w:val="center"/>
              <w:rPr>
                <w:rFonts w:cs="Arial"/>
                <w:sz w:val="16"/>
                <w:szCs w:val="16"/>
              </w:rPr>
            </w:pPr>
            <w:r>
              <w:rPr>
                <w:rFonts w:cs="Arial"/>
                <w:sz w:val="16"/>
                <w:szCs w:val="16"/>
              </w:rPr>
              <w:t>1</w:t>
            </w:r>
          </w:p>
        </w:tc>
        <w:tc>
          <w:tcPr>
            <w:tcW w:w="903" w:type="dxa"/>
            <w:shd w:val="clear" w:color="auto" w:fill="FFFFFF" w:themeFill="background1"/>
            <w:tcMar>
              <w:left w:w="58" w:type="dxa"/>
              <w:right w:w="58" w:type="dxa"/>
            </w:tcMar>
            <w:vAlign w:val="center"/>
          </w:tcPr>
          <w:p w:rsidRPr="003A1BA1" w:rsidR="00FA1ACA" w:rsidP="009D0FAD" w:rsidRDefault="00FA1ACA" w14:paraId="44A0D32D" w14:textId="77777777">
            <w:pPr>
              <w:jc w:val="center"/>
              <w:rPr>
                <w:rFonts w:cs="Arial"/>
                <w:sz w:val="16"/>
                <w:szCs w:val="16"/>
              </w:rPr>
            </w:pPr>
            <w:r>
              <w:rPr>
                <w:rFonts w:cs="Arial"/>
                <w:sz w:val="16"/>
                <w:szCs w:val="16"/>
              </w:rPr>
              <w:t>2</w:t>
            </w:r>
          </w:p>
        </w:tc>
        <w:tc>
          <w:tcPr>
            <w:tcW w:w="903" w:type="dxa"/>
            <w:shd w:val="clear" w:color="auto" w:fill="FFFFFF" w:themeFill="background1"/>
            <w:tcMar>
              <w:left w:w="58" w:type="dxa"/>
              <w:right w:w="58" w:type="dxa"/>
            </w:tcMar>
            <w:vAlign w:val="center"/>
          </w:tcPr>
          <w:p w:rsidRPr="003A1BA1" w:rsidR="00FA1ACA" w:rsidP="009D0FAD" w:rsidRDefault="00945308" w14:paraId="68D239B7" w14:textId="00E02C1D">
            <w:pPr>
              <w:jc w:val="center"/>
              <w:rPr>
                <w:rFonts w:cs="Arial"/>
                <w:sz w:val="16"/>
                <w:szCs w:val="16"/>
              </w:rPr>
            </w:pPr>
            <w:r>
              <w:rPr>
                <w:rFonts w:cs="Arial"/>
                <w:sz w:val="16"/>
                <w:szCs w:val="16"/>
              </w:rPr>
              <w:t>2</w:t>
            </w:r>
          </w:p>
        </w:tc>
        <w:tc>
          <w:tcPr>
            <w:tcW w:w="889" w:type="dxa"/>
            <w:shd w:val="clear" w:color="auto" w:fill="FFFFFF" w:themeFill="background1"/>
            <w:tcMar>
              <w:left w:w="58" w:type="dxa"/>
              <w:right w:w="58" w:type="dxa"/>
            </w:tcMar>
            <w:vAlign w:val="center"/>
          </w:tcPr>
          <w:p w:rsidRPr="003A1BA1" w:rsidR="00FA1ACA" w:rsidP="009D0FAD" w:rsidRDefault="00E35D6C" w14:paraId="63FD1B03" w14:textId="3AF9508D">
            <w:pPr>
              <w:jc w:val="center"/>
              <w:rPr>
                <w:rFonts w:cs="Arial"/>
                <w:sz w:val="16"/>
                <w:szCs w:val="16"/>
              </w:rPr>
            </w:pPr>
            <w:r>
              <w:rPr>
                <w:rFonts w:cs="Arial"/>
                <w:sz w:val="16"/>
                <w:szCs w:val="16"/>
              </w:rPr>
              <w:t>3</w:t>
            </w:r>
          </w:p>
        </w:tc>
        <w:tc>
          <w:tcPr>
            <w:tcW w:w="900" w:type="dxa"/>
            <w:shd w:val="clear" w:color="auto" w:fill="FFFFFF" w:themeFill="background1"/>
            <w:tcMar>
              <w:left w:w="58" w:type="dxa"/>
              <w:right w:w="58" w:type="dxa"/>
            </w:tcMar>
            <w:vAlign w:val="center"/>
          </w:tcPr>
          <w:p w:rsidRPr="003A1BA1" w:rsidR="00FA1ACA" w:rsidP="009D0FAD" w:rsidRDefault="00723470" w14:paraId="000233C3" w14:textId="4809A289">
            <w:pPr>
              <w:jc w:val="center"/>
              <w:rPr>
                <w:rFonts w:cs="Arial"/>
                <w:sz w:val="16"/>
                <w:szCs w:val="16"/>
              </w:rPr>
            </w:pPr>
            <w:r>
              <w:rPr>
                <w:rFonts w:cs="Arial"/>
                <w:sz w:val="16"/>
                <w:szCs w:val="16"/>
              </w:rPr>
              <w:t>3</w:t>
            </w:r>
          </w:p>
        </w:tc>
        <w:tc>
          <w:tcPr>
            <w:tcW w:w="920" w:type="dxa"/>
            <w:shd w:val="clear" w:color="auto" w:fill="FFFFFF" w:themeFill="background1"/>
            <w:tcMar>
              <w:left w:w="58" w:type="dxa"/>
              <w:right w:w="58" w:type="dxa"/>
            </w:tcMar>
            <w:vAlign w:val="center"/>
          </w:tcPr>
          <w:p w:rsidRPr="003A1BA1" w:rsidR="00FA1ACA" w:rsidP="009D0FAD" w:rsidRDefault="00DE187F" w14:paraId="6F886201" w14:textId="1DA9DB54">
            <w:pPr>
              <w:jc w:val="center"/>
              <w:rPr>
                <w:rFonts w:cs="Arial"/>
                <w:sz w:val="16"/>
                <w:szCs w:val="16"/>
              </w:rPr>
            </w:pPr>
            <w:r>
              <w:rPr>
                <w:rFonts w:cs="Arial"/>
                <w:sz w:val="16"/>
                <w:szCs w:val="16"/>
              </w:rPr>
              <w:t>-</w:t>
            </w:r>
          </w:p>
        </w:tc>
        <w:tc>
          <w:tcPr>
            <w:tcW w:w="875" w:type="dxa"/>
            <w:shd w:val="clear" w:color="auto" w:fill="FFFFFF" w:themeFill="background1"/>
            <w:tcMar>
              <w:left w:w="58" w:type="dxa"/>
              <w:right w:w="58" w:type="dxa"/>
            </w:tcMar>
            <w:vAlign w:val="center"/>
          </w:tcPr>
          <w:p w:rsidRPr="003A1BA1" w:rsidR="00FA1ACA" w:rsidP="009D0FAD" w:rsidRDefault="00DE187F" w14:paraId="5E24B9F9" w14:textId="49104DBD">
            <w:pPr>
              <w:jc w:val="center"/>
              <w:rPr>
                <w:rFonts w:cs="Arial"/>
                <w:sz w:val="16"/>
                <w:szCs w:val="16"/>
              </w:rPr>
            </w:pPr>
            <w:r>
              <w:rPr>
                <w:rFonts w:cs="Arial"/>
                <w:sz w:val="16"/>
                <w:szCs w:val="16"/>
              </w:rPr>
              <w:t>-</w:t>
            </w:r>
          </w:p>
        </w:tc>
      </w:tr>
      <w:tr w:rsidRPr="003A1BA1" w:rsidR="00D22A8B" w:rsidTr="00D27E66" w14:paraId="2CEABB24" w14:textId="77777777">
        <w:trPr>
          <w:trHeight w:val="216"/>
          <w:jc w:val="center"/>
        </w:trPr>
        <w:tc>
          <w:tcPr>
            <w:tcW w:w="1435" w:type="dxa"/>
            <w:tcMar>
              <w:left w:w="58" w:type="dxa"/>
              <w:right w:w="58" w:type="dxa"/>
            </w:tcMar>
            <w:vAlign w:val="center"/>
          </w:tcPr>
          <w:p w:rsidRPr="003A1BA1" w:rsidR="00FA1ACA" w:rsidP="009D0FAD" w:rsidRDefault="00FA1ACA" w14:paraId="7DE92D6A" w14:textId="77777777">
            <w:pPr>
              <w:rPr>
                <w:rFonts w:cs="Arial"/>
                <w:sz w:val="16"/>
                <w:szCs w:val="16"/>
              </w:rPr>
            </w:pPr>
            <w:r w:rsidRPr="003A1BA1">
              <w:rPr>
                <w:rFonts w:cs="Arial"/>
                <w:sz w:val="16"/>
                <w:szCs w:val="16"/>
              </w:rPr>
              <w:t>Cocaine</w:t>
            </w:r>
          </w:p>
        </w:tc>
        <w:tc>
          <w:tcPr>
            <w:tcW w:w="816" w:type="dxa"/>
            <w:shd w:val="clear" w:color="auto" w:fill="FFFFFF" w:themeFill="background1"/>
            <w:tcMar>
              <w:left w:w="58" w:type="dxa"/>
              <w:right w:w="58" w:type="dxa"/>
            </w:tcMar>
            <w:vAlign w:val="center"/>
          </w:tcPr>
          <w:p w:rsidRPr="003A1BA1" w:rsidR="00FA1ACA" w:rsidP="009D0FAD" w:rsidRDefault="00DE187F" w14:paraId="75803A5C" w14:textId="28C97DF6">
            <w:pPr>
              <w:jc w:val="center"/>
              <w:rPr>
                <w:rFonts w:cs="Arial"/>
                <w:sz w:val="16"/>
                <w:szCs w:val="16"/>
              </w:rPr>
            </w:pPr>
            <w:r>
              <w:rPr>
                <w:rFonts w:cs="Arial"/>
                <w:sz w:val="16"/>
                <w:szCs w:val="16"/>
              </w:rPr>
              <w:t>-</w:t>
            </w:r>
          </w:p>
        </w:tc>
        <w:tc>
          <w:tcPr>
            <w:tcW w:w="902" w:type="dxa"/>
            <w:shd w:val="clear" w:color="auto" w:fill="FFFFFF" w:themeFill="background1"/>
            <w:tcMar>
              <w:left w:w="58" w:type="dxa"/>
              <w:right w:w="58" w:type="dxa"/>
            </w:tcMar>
            <w:vAlign w:val="center"/>
          </w:tcPr>
          <w:p w:rsidRPr="003A1BA1" w:rsidR="00FA1ACA" w:rsidP="009D0FAD" w:rsidRDefault="00FA1ACA" w14:paraId="534BC931" w14:textId="77777777">
            <w:pPr>
              <w:jc w:val="center"/>
              <w:rPr>
                <w:rFonts w:cs="Arial"/>
                <w:sz w:val="16"/>
                <w:szCs w:val="16"/>
              </w:rPr>
            </w:pPr>
            <w:r>
              <w:rPr>
                <w:rFonts w:cs="Arial"/>
                <w:sz w:val="16"/>
                <w:szCs w:val="16"/>
              </w:rPr>
              <w:t>1</w:t>
            </w:r>
          </w:p>
        </w:tc>
        <w:tc>
          <w:tcPr>
            <w:tcW w:w="902" w:type="dxa"/>
            <w:shd w:val="clear" w:color="auto" w:fill="FFFFFF" w:themeFill="background1"/>
            <w:tcMar>
              <w:left w:w="58" w:type="dxa"/>
              <w:right w:w="58" w:type="dxa"/>
            </w:tcMar>
            <w:vAlign w:val="center"/>
          </w:tcPr>
          <w:p w:rsidRPr="003A1BA1" w:rsidR="00FA1ACA" w:rsidP="009D0FAD" w:rsidRDefault="00FA1ACA" w14:paraId="1D723AB0" w14:textId="77777777">
            <w:pPr>
              <w:jc w:val="center"/>
              <w:rPr>
                <w:rFonts w:cs="Arial"/>
                <w:sz w:val="16"/>
                <w:szCs w:val="16"/>
              </w:rPr>
            </w:pPr>
            <w:r>
              <w:rPr>
                <w:rFonts w:cs="Arial"/>
                <w:sz w:val="16"/>
                <w:szCs w:val="16"/>
              </w:rPr>
              <w:t>2</w:t>
            </w:r>
          </w:p>
        </w:tc>
        <w:tc>
          <w:tcPr>
            <w:tcW w:w="903" w:type="dxa"/>
            <w:shd w:val="clear" w:color="auto" w:fill="FFFFFF" w:themeFill="background1"/>
            <w:tcMar>
              <w:left w:w="58" w:type="dxa"/>
              <w:right w:w="58" w:type="dxa"/>
            </w:tcMar>
            <w:vAlign w:val="center"/>
          </w:tcPr>
          <w:p w:rsidRPr="003A1BA1" w:rsidR="00FA1ACA" w:rsidP="009D0FAD" w:rsidRDefault="00FA1ACA" w14:paraId="42423C44" w14:textId="77777777">
            <w:pPr>
              <w:jc w:val="center"/>
              <w:rPr>
                <w:rFonts w:cs="Arial"/>
                <w:sz w:val="16"/>
                <w:szCs w:val="16"/>
              </w:rPr>
            </w:pPr>
            <w:r>
              <w:rPr>
                <w:rFonts w:cs="Arial"/>
                <w:sz w:val="16"/>
                <w:szCs w:val="16"/>
              </w:rPr>
              <w:t>1</w:t>
            </w:r>
          </w:p>
        </w:tc>
        <w:tc>
          <w:tcPr>
            <w:tcW w:w="903" w:type="dxa"/>
            <w:shd w:val="clear" w:color="auto" w:fill="FFFFFF" w:themeFill="background1"/>
            <w:tcMar>
              <w:left w:w="58" w:type="dxa"/>
              <w:right w:w="58" w:type="dxa"/>
            </w:tcMar>
            <w:vAlign w:val="center"/>
          </w:tcPr>
          <w:p w:rsidRPr="003A1BA1" w:rsidR="00FA1ACA" w:rsidP="009D0FAD" w:rsidRDefault="00FA1ACA" w14:paraId="020EDDBD" w14:textId="77777777">
            <w:pPr>
              <w:jc w:val="center"/>
              <w:rPr>
                <w:rFonts w:cs="Arial"/>
                <w:sz w:val="16"/>
                <w:szCs w:val="16"/>
              </w:rPr>
            </w:pPr>
            <w:r>
              <w:rPr>
                <w:rFonts w:cs="Arial"/>
                <w:sz w:val="16"/>
                <w:szCs w:val="16"/>
              </w:rPr>
              <w:t>6</w:t>
            </w:r>
          </w:p>
        </w:tc>
        <w:tc>
          <w:tcPr>
            <w:tcW w:w="889" w:type="dxa"/>
            <w:shd w:val="clear" w:color="auto" w:fill="FFFFFF" w:themeFill="background1"/>
            <w:tcMar>
              <w:left w:w="58" w:type="dxa"/>
              <w:right w:w="58" w:type="dxa"/>
            </w:tcMar>
            <w:vAlign w:val="center"/>
          </w:tcPr>
          <w:p w:rsidRPr="003A1BA1" w:rsidR="00FA1ACA" w:rsidP="009D0FAD" w:rsidRDefault="00195B84" w14:paraId="0F5D57C2" w14:textId="220C4B2F">
            <w:pPr>
              <w:jc w:val="center"/>
              <w:rPr>
                <w:rFonts w:cs="Arial"/>
                <w:sz w:val="16"/>
                <w:szCs w:val="16"/>
              </w:rPr>
            </w:pPr>
            <w:r>
              <w:rPr>
                <w:rFonts w:cs="Arial"/>
                <w:sz w:val="16"/>
                <w:szCs w:val="16"/>
              </w:rPr>
              <w:t>1</w:t>
            </w:r>
          </w:p>
        </w:tc>
        <w:tc>
          <w:tcPr>
            <w:tcW w:w="900" w:type="dxa"/>
            <w:shd w:val="clear" w:color="auto" w:fill="FFFFFF" w:themeFill="background1"/>
            <w:tcMar>
              <w:left w:w="58" w:type="dxa"/>
              <w:right w:w="58" w:type="dxa"/>
            </w:tcMar>
            <w:vAlign w:val="center"/>
          </w:tcPr>
          <w:p w:rsidRPr="003A1BA1" w:rsidR="00FA1ACA" w:rsidP="009D0FAD" w:rsidRDefault="00F906D3" w14:paraId="0AFC5485" w14:textId="172CD045">
            <w:pPr>
              <w:jc w:val="center"/>
              <w:rPr>
                <w:rFonts w:cs="Arial"/>
                <w:sz w:val="16"/>
                <w:szCs w:val="16"/>
              </w:rPr>
            </w:pPr>
            <w:r>
              <w:rPr>
                <w:rFonts w:cs="Arial"/>
                <w:sz w:val="16"/>
                <w:szCs w:val="16"/>
              </w:rPr>
              <w:t>1</w:t>
            </w:r>
          </w:p>
        </w:tc>
        <w:tc>
          <w:tcPr>
            <w:tcW w:w="920" w:type="dxa"/>
            <w:shd w:val="clear" w:color="auto" w:fill="FFFFFF" w:themeFill="background1"/>
            <w:tcMar>
              <w:left w:w="58" w:type="dxa"/>
              <w:right w:w="58" w:type="dxa"/>
            </w:tcMar>
            <w:vAlign w:val="center"/>
          </w:tcPr>
          <w:p w:rsidRPr="003A1BA1" w:rsidR="00FA1ACA" w:rsidP="009D0FAD" w:rsidRDefault="00DE187F" w14:paraId="0D432EC9" w14:textId="184FF637">
            <w:pPr>
              <w:jc w:val="center"/>
              <w:rPr>
                <w:rFonts w:cs="Arial"/>
                <w:sz w:val="16"/>
                <w:szCs w:val="16"/>
              </w:rPr>
            </w:pPr>
            <w:r>
              <w:rPr>
                <w:rFonts w:cs="Arial"/>
                <w:sz w:val="16"/>
                <w:szCs w:val="16"/>
              </w:rPr>
              <w:t>-</w:t>
            </w:r>
          </w:p>
        </w:tc>
        <w:tc>
          <w:tcPr>
            <w:tcW w:w="875" w:type="dxa"/>
            <w:shd w:val="clear" w:color="auto" w:fill="FFFFFF" w:themeFill="background1"/>
            <w:tcMar>
              <w:left w:w="58" w:type="dxa"/>
              <w:right w:w="58" w:type="dxa"/>
            </w:tcMar>
            <w:vAlign w:val="center"/>
          </w:tcPr>
          <w:p w:rsidRPr="003A1BA1" w:rsidR="00FA1ACA" w:rsidP="009D0FAD" w:rsidRDefault="00A31742" w14:paraId="65669EE6" w14:textId="05ED8504">
            <w:pPr>
              <w:jc w:val="center"/>
              <w:rPr>
                <w:rFonts w:cs="Arial"/>
                <w:sz w:val="16"/>
                <w:szCs w:val="16"/>
              </w:rPr>
            </w:pPr>
            <w:r>
              <w:rPr>
                <w:rFonts w:cs="Arial"/>
                <w:sz w:val="16"/>
                <w:szCs w:val="16"/>
              </w:rPr>
              <w:t>1</w:t>
            </w:r>
          </w:p>
        </w:tc>
      </w:tr>
      <w:tr w:rsidRPr="007C45E7" w:rsidR="00BD24CD" w:rsidTr="00D27E66" w14:paraId="2535CCFC" w14:textId="77777777">
        <w:trPr>
          <w:trHeight w:val="216"/>
          <w:jc w:val="center"/>
        </w:trPr>
        <w:tc>
          <w:tcPr>
            <w:tcW w:w="1435" w:type="dxa"/>
            <w:tcMar>
              <w:left w:w="58" w:type="dxa"/>
              <w:right w:w="58" w:type="dxa"/>
            </w:tcMar>
            <w:vAlign w:val="center"/>
          </w:tcPr>
          <w:p w:rsidRPr="007C45E7" w:rsidR="00FA1ACA" w:rsidP="009D0FAD" w:rsidRDefault="00FA1ACA" w14:paraId="441A28E6" w14:textId="7065CF1A">
            <w:pPr>
              <w:rPr>
                <w:rFonts w:cs="Arial"/>
                <w:sz w:val="16"/>
                <w:szCs w:val="16"/>
              </w:rPr>
            </w:pPr>
            <w:r w:rsidRPr="007C45E7">
              <w:rPr>
                <w:rFonts w:cs="Arial"/>
                <w:sz w:val="16"/>
                <w:szCs w:val="16"/>
              </w:rPr>
              <w:t>Opi</w:t>
            </w:r>
            <w:r w:rsidR="006B414D">
              <w:rPr>
                <w:rFonts w:cs="Arial"/>
                <w:sz w:val="16"/>
                <w:szCs w:val="16"/>
              </w:rPr>
              <w:t>oids</w:t>
            </w:r>
          </w:p>
        </w:tc>
        <w:tc>
          <w:tcPr>
            <w:tcW w:w="816" w:type="dxa"/>
            <w:shd w:val="clear" w:color="auto" w:fill="FFFFFF" w:themeFill="background1"/>
            <w:tcMar>
              <w:left w:w="58" w:type="dxa"/>
              <w:right w:w="58" w:type="dxa"/>
            </w:tcMar>
            <w:vAlign w:val="center"/>
          </w:tcPr>
          <w:p w:rsidRPr="007C45E7" w:rsidR="00FA1ACA" w:rsidP="009D0FAD" w:rsidRDefault="0030250A" w14:paraId="3A9FCAB5" w14:textId="04F6C608">
            <w:pPr>
              <w:jc w:val="center"/>
              <w:rPr>
                <w:rFonts w:cs="Arial"/>
                <w:sz w:val="16"/>
                <w:szCs w:val="16"/>
              </w:rPr>
            </w:pPr>
            <w:r>
              <w:rPr>
                <w:rFonts w:cs="Arial"/>
                <w:sz w:val="16"/>
                <w:szCs w:val="16"/>
              </w:rPr>
              <w:t>2</w:t>
            </w:r>
          </w:p>
        </w:tc>
        <w:tc>
          <w:tcPr>
            <w:tcW w:w="902" w:type="dxa"/>
            <w:shd w:val="clear" w:color="auto" w:fill="FFFFFF" w:themeFill="background1"/>
            <w:tcMar>
              <w:left w:w="58" w:type="dxa"/>
              <w:right w:w="58" w:type="dxa"/>
            </w:tcMar>
            <w:vAlign w:val="center"/>
          </w:tcPr>
          <w:p w:rsidRPr="007C45E7" w:rsidR="00FA1ACA" w:rsidP="009D0FAD" w:rsidRDefault="00DE187F" w14:paraId="1F3062B7" w14:textId="1289F3B8">
            <w:pPr>
              <w:jc w:val="center"/>
              <w:rPr>
                <w:rFonts w:cs="Arial"/>
                <w:sz w:val="16"/>
                <w:szCs w:val="16"/>
              </w:rPr>
            </w:pPr>
            <w:r>
              <w:rPr>
                <w:rFonts w:cs="Arial"/>
                <w:sz w:val="16"/>
                <w:szCs w:val="16"/>
              </w:rPr>
              <w:t>-</w:t>
            </w:r>
          </w:p>
        </w:tc>
        <w:tc>
          <w:tcPr>
            <w:tcW w:w="902" w:type="dxa"/>
            <w:shd w:val="clear" w:color="auto" w:fill="FFFFFF" w:themeFill="background1"/>
            <w:tcMar>
              <w:left w:w="58" w:type="dxa"/>
              <w:right w:w="58" w:type="dxa"/>
            </w:tcMar>
            <w:vAlign w:val="center"/>
          </w:tcPr>
          <w:p w:rsidRPr="007C45E7" w:rsidR="00FA1ACA" w:rsidP="009D0FAD" w:rsidRDefault="00DE187F" w14:paraId="1E47BB9B" w14:textId="6E23326E">
            <w:pPr>
              <w:jc w:val="center"/>
              <w:rPr>
                <w:rFonts w:cs="Arial"/>
                <w:sz w:val="16"/>
                <w:szCs w:val="16"/>
              </w:rPr>
            </w:pPr>
            <w:r>
              <w:rPr>
                <w:rFonts w:cs="Arial"/>
                <w:sz w:val="16"/>
                <w:szCs w:val="16"/>
              </w:rPr>
              <w:t>-</w:t>
            </w:r>
          </w:p>
        </w:tc>
        <w:tc>
          <w:tcPr>
            <w:tcW w:w="903" w:type="dxa"/>
            <w:shd w:val="clear" w:color="auto" w:fill="FFFFFF" w:themeFill="background1"/>
            <w:tcMar>
              <w:left w:w="58" w:type="dxa"/>
              <w:right w:w="58" w:type="dxa"/>
            </w:tcMar>
            <w:vAlign w:val="center"/>
          </w:tcPr>
          <w:p w:rsidRPr="007C45E7" w:rsidR="00FA1ACA" w:rsidP="009D0FAD" w:rsidRDefault="00DE187F" w14:paraId="40F4FAD5" w14:textId="58591FBB">
            <w:pPr>
              <w:jc w:val="center"/>
              <w:rPr>
                <w:rFonts w:cs="Arial"/>
                <w:sz w:val="16"/>
                <w:szCs w:val="16"/>
              </w:rPr>
            </w:pPr>
            <w:r>
              <w:rPr>
                <w:rFonts w:cs="Arial"/>
                <w:sz w:val="16"/>
                <w:szCs w:val="16"/>
              </w:rPr>
              <w:t>-</w:t>
            </w:r>
          </w:p>
        </w:tc>
        <w:tc>
          <w:tcPr>
            <w:tcW w:w="903" w:type="dxa"/>
            <w:shd w:val="clear" w:color="auto" w:fill="FFFFFF" w:themeFill="background1"/>
            <w:tcMar>
              <w:left w:w="58" w:type="dxa"/>
              <w:right w:w="58" w:type="dxa"/>
            </w:tcMar>
            <w:vAlign w:val="center"/>
          </w:tcPr>
          <w:p w:rsidRPr="007C45E7" w:rsidR="00FA1ACA" w:rsidP="009D0FAD" w:rsidRDefault="00FA1ACA" w14:paraId="114788D6" w14:textId="77777777">
            <w:pPr>
              <w:jc w:val="center"/>
              <w:rPr>
                <w:rFonts w:cs="Arial"/>
                <w:sz w:val="16"/>
                <w:szCs w:val="16"/>
              </w:rPr>
            </w:pPr>
            <w:r>
              <w:rPr>
                <w:rFonts w:cs="Arial"/>
                <w:sz w:val="16"/>
                <w:szCs w:val="16"/>
              </w:rPr>
              <w:t>1</w:t>
            </w:r>
          </w:p>
        </w:tc>
        <w:tc>
          <w:tcPr>
            <w:tcW w:w="889" w:type="dxa"/>
            <w:shd w:val="clear" w:color="auto" w:fill="FFFFFF" w:themeFill="background1"/>
            <w:tcMar>
              <w:left w:w="58" w:type="dxa"/>
              <w:right w:w="58" w:type="dxa"/>
            </w:tcMar>
            <w:vAlign w:val="center"/>
          </w:tcPr>
          <w:p w:rsidRPr="007C45E7" w:rsidR="00FA1ACA" w:rsidP="009D0FAD" w:rsidRDefault="00D4691C" w14:paraId="005929DA" w14:textId="158C460A">
            <w:pPr>
              <w:jc w:val="center"/>
              <w:rPr>
                <w:rFonts w:cs="Arial"/>
                <w:sz w:val="16"/>
                <w:szCs w:val="16"/>
              </w:rPr>
            </w:pPr>
            <w:r>
              <w:rPr>
                <w:rFonts w:cs="Arial"/>
                <w:sz w:val="16"/>
                <w:szCs w:val="16"/>
              </w:rPr>
              <w:t>2</w:t>
            </w:r>
          </w:p>
        </w:tc>
        <w:tc>
          <w:tcPr>
            <w:tcW w:w="900" w:type="dxa"/>
            <w:shd w:val="clear" w:color="auto" w:fill="FFFFFF" w:themeFill="background1"/>
            <w:tcMar>
              <w:left w:w="58" w:type="dxa"/>
              <w:right w:w="58" w:type="dxa"/>
            </w:tcMar>
            <w:vAlign w:val="center"/>
          </w:tcPr>
          <w:p w:rsidRPr="007C45E7" w:rsidR="00FA1ACA" w:rsidP="009D0FAD" w:rsidRDefault="00DE187F" w14:paraId="77A734D5" w14:textId="1183352A">
            <w:pPr>
              <w:jc w:val="center"/>
              <w:rPr>
                <w:rFonts w:cs="Arial"/>
                <w:sz w:val="16"/>
                <w:szCs w:val="16"/>
              </w:rPr>
            </w:pPr>
            <w:r>
              <w:rPr>
                <w:rFonts w:cs="Arial"/>
                <w:sz w:val="16"/>
                <w:szCs w:val="16"/>
              </w:rPr>
              <w:t>-</w:t>
            </w:r>
          </w:p>
        </w:tc>
        <w:tc>
          <w:tcPr>
            <w:tcW w:w="920" w:type="dxa"/>
            <w:shd w:val="clear" w:color="auto" w:fill="FFFFFF" w:themeFill="background1"/>
            <w:tcMar>
              <w:left w:w="58" w:type="dxa"/>
              <w:right w:w="58" w:type="dxa"/>
            </w:tcMar>
            <w:vAlign w:val="center"/>
          </w:tcPr>
          <w:p w:rsidRPr="007C45E7" w:rsidR="00FA1ACA" w:rsidP="009D0FAD" w:rsidRDefault="00DE187F" w14:paraId="64A2C8C3" w14:textId="4EA56782">
            <w:pPr>
              <w:jc w:val="center"/>
              <w:rPr>
                <w:rFonts w:cs="Arial"/>
                <w:sz w:val="16"/>
                <w:szCs w:val="16"/>
              </w:rPr>
            </w:pPr>
            <w:r>
              <w:rPr>
                <w:rFonts w:cs="Arial"/>
                <w:sz w:val="16"/>
                <w:szCs w:val="16"/>
              </w:rPr>
              <w:t>-</w:t>
            </w:r>
          </w:p>
        </w:tc>
        <w:tc>
          <w:tcPr>
            <w:tcW w:w="875" w:type="dxa"/>
            <w:shd w:val="clear" w:color="auto" w:fill="FFFFFF" w:themeFill="background1"/>
            <w:tcMar>
              <w:left w:w="58" w:type="dxa"/>
              <w:right w:w="58" w:type="dxa"/>
            </w:tcMar>
            <w:vAlign w:val="center"/>
          </w:tcPr>
          <w:p w:rsidRPr="007C45E7" w:rsidR="00FA1ACA" w:rsidP="009D0FAD" w:rsidRDefault="00DE187F" w14:paraId="53FCD2F4" w14:textId="78DF17A3">
            <w:pPr>
              <w:jc w:val="center"/>
              <w:rPr>
                <w:rFonts w:cs="Arial"/>
                <w:sz w:val="16"/>
                <w:szCs w:val="16"/>
              </w:rPr>
            </w:pPr>
            <w:r>
              <w:rPr>
                <w:rFonts w:cs="Arial"/>
                <w:sz w:val="16"/>
                <w:szCs w:val="16"/>
              </w:rPr>
              <w:t>-</w:t>
            </w:r>
          </w:p>
        </w:tc>
      </w:tr>
      <w:tr w:rsidRPr="003A1BA1" w:rsidR="007506E3" w:rsidTr="00D27E66" w14:paraId="23324914" w14:textId="77777777">
        <w:trPr>
          <w:trHeight w:val="197"/>
          <w:jc w:val="center"/>
        </w:trPr>
        <w:tc>
          <w:tcPr>
            <w:tcW w:w="1435" w:type="dxa"/>
            <w:tcMar>
              <w:left w:w="58" w:type="dxa"/>
              <w:right w:w="58" w:type="dxa"/>
            </w:tcMar>
            <w:vAlign w:val="center"/>
          </w:tcPr>
          <w:p w:rsidRPr="003A1BA1" w:rsidR="00FA1ACA" w:rsidP="009D0FAD" w:rsidRDefault="00FA1ACA" w14:paraId="1C059A12" w14:textId="1BEC61D3">
            <w:pPr>
              <w:rPr>
                <w:rFonts w:cs="Arial"/>
                <w:sz w:val="16"/>
                <w:szCs w:val="16"/>
              </w:rPr>
            </w:pPr>
            <w:r>
              <w:rPr>
                <w:rFonts w:cs="Arial"/>
                <w:sz w:val="16"/>
                <w:szCs w:val="16"/>
              </w:rPr>
              <w:t>Multiple substance</w:t>
            </w:r>
            <w:r w:rsidR="003037E4">
              <w:rPr>
                <w:rFonts w:cs="Arial"/>
                <w:sz w:val="16"/>
                <w:szCs w:val="16"/>
              </w:rPr>
              <w:t>s</w:t>
            </w:r>
          </w:p>
        </w:tc>
        <w:tc>
          <w:tcPr>
            <w:tcW w:w="816" w:type="dxa"/>
            <w:shd w:val="clear" w:color="auto" w:fill="FFFFFF" w:themeFill="background1"/>
            <w:tcMar>
              <w:left w:w="58" w:type="dxa"/>
              <w:right w:w="58" w:type="dxa"/>
            </w:tcMar>
            <w:vAlign w:val="center"/>
          </w:tcPr>
          <w:p w:rsidRPr="003A1BA1" w:rsidR="00FA1ACA" w:rsidP="009D0FAD" w:rsidRDefault="00DE187F" w14:paraId="1DF452B3" w14:textId="54F2053B">
            <w:pPr>
              <w:jc w:val="center"/>
              <w:rPr>
                <w:rFonts w:cs="Arial"/>
                <w:sz w:val="16"/>
                <w:szCs w:val="16"/>
              </w:rPr>
            </w:pPr>
            <w:r>
              <w:rPr>
                <w:rFonts w:cs="Arial"/>
                <w:sz w:val="16"/>
                <w:szCs w:val="16"/>
              </w:rPr>
              <w:t>-</w:t>
            </w:r>
          </w:p>
        </w:tc>
        <w:tc>
          <w:tcPr>
            <w:tcW w:w="902" w:type="dxa"/>
            <w:shd w:val="clear" w:color="auto" w:fill="FFFFFF" w:themeFill="background1"/>
            <w:tcMar>
              <w:left w:w="58" w:type="dxa"/>
              <w:right w:w="58" w:type="dxa"/>
            </w:tcMar>
            <w:vAlign w:val="center"/>
          </w:tcPr>
          <w:p w:rsidRPr="003A1BA1" w:rsidR="00FA1ACA" w:rsidP="009D0FAD" w:rsidRDefault="00DE187F" w14:paraId="41154C4F" w14:textId="174D7B90">
            <w:pPr>
              <w:jc w:val="center"/>
              <w:rPr>
                <w:rFonts w:cs="Arial"/>
                <w:sz w:val="16"/>
                <w:szCs w:val="16"/>
              </w:rPr>
            </w:pPr>
            <w:r>
              <w:rPr>
                <w:rFonts w:cs="Arial"/>
                <w:sz w:val="16"/>
                <w:szCs w:val="16"/>
              </w:rPr>
              <w:t>-</w:t>
            </w:r>
          </w:p>
        </w:tc>
        <w:tc>
          <w:tcPr>
            <w:tcW w:w="902" w:type="dxa"/>
            <w:shd w:val="clear" w:color="auto" w:fill="FFFFFF" w:themeFill="background1"/>
            <w:tcMar>
              <w:left w:w="58" w:type="dxa"/>
              <w:right w:w="58" w:type="dxa"/>
            </w:tcMar>
            <w:vAlign w:val="center"/>
          </w:tcPr>
          <w:p w:rsidRPr="003A1BA1" w:rsidR="00FA1ACA" w:rsidP="009D0FAD" w:rsidRDefault="00DE187F" w14:paraId="691D3DC6" w14:textId="57529C92">
            <w:pPr>
              <w:jc w:val="center"/>
              <w:rPr>
                <w:rFonts w:cs="Arial"/>
                <w:sz w:val="16"/>
                <w:szCs w:val="16"/>
              </w:rPr>
            </w:pPr>
            <w:r>
              <w:rPr>
                <w:rFonts w:cs="Arial"/>
                <w:sz w:val="16"/>
                <w:szCs w:val="16"/>
              </w:rPr>
              <w:t>-</w:t>
            </w:r>
          </w:p>
        </w:tc>
        <w:tc>
          <w:tcPr>
            <w:tcW w:w="903" w:type="dxa"/>
            <w:shd w:val="clear" w:color="auto" w:fill="FFFFFF" w:themeFill="background1"/>
            <w:tcMar>
              <w:left w:w="58" w:type="dxa"/>
              <w:right w:w="58" w:type="dxa"/>
            </w:tcMar>
            <w:vAlign w:val="center"/>
          </w:tcPr>
          <w:p w:rsidRPr="003A1BA1" w:rsidR="00FA1ACA" w:rsidP="009D0FAD" w:rsidRDefault="00DE187F" w14:paraId="21D7D549" w14:textId="09D20010">
            <w:pPr>
              <w:jc w:val="center"/>
              <w:rPr>
                <w:rFonts w:cs="Arial"/>
                <w:sz w:val="16"/>
                <w:szCs w:val="16"/>
              </w:rPr>
            </w:pPr>
            <w:r>
              <w:rPr>
                <w:rFonts w:cs="Arial"/>
                <w:sz w:val="16"/>
                <w:szCs w:val="16"/>
              </w:rPr>
              <w:t>-</w:t>
            </w:r>
          </w:p>
        </w:tc>
        <w:tc>
          <w:tcPr>
            <w:tcW w:w="903" w:type="dxa"/>
            <w:shd w:val="clear" w:color="auto" w:fill="FFFFFF" w:themeFill="background1"/>
            <w:tcMar>
              <w:left w:w="58" w:type="dxa"/>
              <w:right w:w="58" w:type="dxa"/>
            </w:tcMar>
            <w:vAlign w:val="center"/>
          </w:tcPr>
          <w:p w:rsidRPr="003A1BA1" w:rsidR="00FA1ACA" w:rsidP="009D0FAD" w:rsidRDefault="00DE187F" w14:paraId="701E0AC3" w14:textId="3CD671A1">
            <w:pPr>
              <w:jc w:val="center"/>
              <w:rPr>
                <w:rFonts w:cs="Arial"/>
                <w:sz w:val="16"/>
                <w:szCs w:val="16"/>
              </w:rPr>
            </w:pPr>
            <w:r>
              <w:rPr>
                <w:rFonts w:cs="Arial"/>
                <w:sz w:val="16"/>
                <w:szCs w:val="16"/>
              </w:rPr>
              <w:t>-</w:t>
            </w:r>
          </w:p>
        </w:tc>
        <w:tc>
          <w:tcPr>
            <w:tcW w:w="889" w:type="dxa"/>
            <w:shd w:val="clear" w:color="auto" w:fill="FFFFFF" w:themeFill="background1"/>
            <w:tcMar>
              <w:left w:w="58" w:type="dxa"/>
              <w:right w:w="58" w:type="dxa"/>
            </w:tcMar>
            <w:vAlign w:val="center"/>
          </w:tcPr>
          <w:p w:rsidRPr="003A1BA1" w:rsidR="00FA1ACA" w:rsidP="009D0FAD" w:rsidRDefault="00DE187F" w14:paraId="4B8FD25A" w14:textId="6A78F185">
            <w:pPr>
              <w:jc w:val="center"/>
              <w:rPr>
                <w:rFonts w:cs="Arial"/>
                <w:sz w:val="16"/>
                <w:szCs w:val="16"/>
              </w:rPr>
            </w:pPr>
            <w:r>
              <w:rPr>
                <w:rFonts w:cs="Arial"/>
                <w:sz w:val="16"/>
                <w:szCs w:val="16"/>
              </w:rPr>
              <w:t>-</w:t>
            </w:r>
          </w:p>
        </w:tc>
        <w:tc>
          <w:tcPr>
            <w:tcW w:w="900" w:type="dxa"/>
            <w:shd w:val="clear" w:color="auto" w:fill="FFFFFF" w:themeFill="background1"/>
            <w:tcMar>
              <w:left w:w="58" w:type="dxa"/>
              <w:right w:w="58" w:type="dxa"/>
            </w:tcMar>
            <w:vAlign w:val="center"/>
          </w:tcPr>
          <w:p w:rsidRPr="003A1BA1" w:rsidR="00FA1ACA" w:rsidP="009D0FAD" w:rsidRDefault="00DE187F" w14:paraId="678595BE" w14:textId="719B3624">
            <w:pPr>
              <w:jc w:val="center"/>
              <w:rPr>
                <w:rFonts w:cs="Arial"/>
                <w:sz w:val="16"/>
                <w:szCs w:val="16"/>
              </w:rPr>
            </w:pPr>
            <w:r>
              <w:rPr>
                <w:rFonts w:cs="Arial"/>
                <w:sz w:val="16"/>
                <w:szCs w:val="16"/>
              </w:rPr>
              <w:t>-</w:t>
            </w:r>
          </w:p>
        </w:tc>
        <w:tc>
          <w:tcPr>
            <w:tcW w:w="920" w:type="dxa"/>
            <w:shd w:val="clear" w:color="auto" w:fill="FFFFFF" w:themeFill="background1"/>
            <w:tcMar>
              <w:left w:w="58" w:type="dxa"/>
              <w:right w:w="58" w:type="dxa"/>
            </w:tcMar>
            <w:vAlign w:val="center"/>
          </w:tcPr>
          <w:p w:rsidRPr="003A1BA1" w:rsidR="00FA1ACA" w:rsidP="009D0FAD" w:rsidRDefault="00DE187F" w14:paraId="0ACE8C11" w14:textId="3A80C3AA">
            <w:pPr>
              <w:jc w:val="center"/>
              <w:rPr>
                <w:rFonts w:cs="Arial"/>
                <w:sz w:val="16"/>
                <w:szCs w:val="16"/>
              </w:rPr>
            </w:pPr>
            <w:r>
              <w:rPr>
                <w:rFonts w:cs="Arial"/>
                <w:sz w:val="16"/>
                <w:szCs w:val="16"/>
              </w:rPr>
              <w:t>-</w:t>
            </w:r>
          </w:p>
        </w:tc>
        <w:tc>
          <w:tcPr>
            <w:tcW w:w="875" w:type="dxa"/>
            <w:shd w:val="clear" w:color="auto" w:fill="FFFFFF" w:themeFill="background1"/>
            <w:tcMar>
              <w:left w:w="58" w:type="dxa"/>
              <w:right w:w="58" w:type="dxa"/>
            </w:tcMar>
            <w:vAlign w:val="center"/>
          </w:tcPr>
          <w:p w:rsidRPr="003A1BA1" w:rsidR="00FA1ACA" w:rsidP="009D0FAD" w:rsidRDefault="00DE187F" w14:paraId="30E02D30" w14:textId="219AC1FA">
            <w:pPr>
              <w:jc w:val="center"/>
              <w:rPr>
                <w:rFonts w:cs="Arial"/>
                <w:sz w:val="16"/>
                <w:szCs w:val="16"/>
              </w:rPr>
            </w:pPr>
            <w:r>
              <w:rPr>
                <w:rFonts w:cs="Arial"/>
                <w:sz w:val="16"/>
                <w:szCs w:val="16"/>
              </w:rPr>
              <w:t>-</w:t>
            </w:r>
          </w:p>
        </w:tc>
      </w:tr>
      <w:tr w:rsidRPr="003A1BA1" w:rsidR="00BD24CD" w:rsidTr="00D27E66" w14:paraId="22A73F1B" w14:textId="77777777">
        <w:trPr>
          <w:trHeight w:val="216"/>
          <w:jc w:val="center"/>
        </w:trPr>
        <w:tc>
          <w:tcPr>
            <w:tcW w:w="1435" w:type="dxa"/>
            <w:tcBorders>
              <w:bottom w:val="double" w:color="auto" w:sz="4" w:space="0"/>
            </w:tcBorders>
            <w:tcMar>
              <w:left w:w="58" w:type="dxa"/>
              <w:right w:w="58" w:type="dxa"/>
            </w:tcMar>
            <w:vAlign w:val="center"/>
          </w:tcPr>
          <w:p w:rsidRPr="003A1BA1" w:rsidR="00FA1ACA" w:rsidP="009D0FAD" w:rsidRDefault="00FA1ACA" w14:paraId="5B2A5869" w14:textId="77777777">
            <w:pPr>
              <w:rPr>
                <w:rFonts w:cs="Arial"/>
                <w:sz w:val="16"/>
                <w:szCs w:val="16"/>
              </w:rPr>
            </w:pPr>
            <w:r w:rsidRPr="003A1BA1">
              <w:rPr>
                <w:rFonts w:cs="Arial"/>
                <w:sz w:val="16"/>
                <w:szCs w:val="16"/>
              </w:rPr>
              <w:t>Subversions</w:t>
            </w:r>
          </w:p>
        </w:tc>
        <w:tc>
          <w:tcPr>
            <w:tcW w:w="816" w:type="dxa"/>
            <w:tcBorders>
              <w:bottom w:val="double" w:color="auto" w:sz="4" w:space="0"/>
            </w:tcBorders>
            <w:shd w:val="clear" w:color="auto" w:fill="FFFFFF" w:themeFill="background1"/>
            <w:tcMar>
              <w:left w:w="58" w:type="dxa"/>
              <w:right w:w="58" w:type="dxa"/>
            </w:tcMar>
            <w:vAlign w:val="center"/>
          </w:tcPr>
          <w:p w:rsidRPr="003A1BA1" w:rsidR="00FA1ACA" w:rsidP="009D0FAD" w:rsidRDefault="00DE187F" w14:paraId="028E8D50" w14:textId="63BF917B">
            <w:pPr>
              <w:jc w:val="center"/>
              <w:rPr>
                <w:rFonts w:cs="Arial"/>
                <w:sz w:val="16"/>
                <w:szCs w:val="16"/>
              </w:rPr>
            </w:pPr>
            <w:r>
              <w:rPr>
                <w:rFonts w:cs="Arial"/>
                <w:sz w:val="16"/>
                <w:szCs w:val="16"/>
              </w:rPr>
              <w:t>-</w:t>
            </w:r>
          </w:p>
        </w:tc>
        <w:tc>
          <w:tcPr>
            <w:tcW w:w="902" w:type="dxa"/>
            <w:tcBorders>
              <w:bottom w:val="double" w:color="auto" w:sz="4" w:space="0"/>
            </w:tcBorders>
            <w:shd w:val="clear" w:color="auto" w:fill="FFFFFF" w:themeFill="background1"/>
            <w:tcMar>
              <w:left w:w="58" w:type="dxa"/>
              <w:right w:w="58" w:type="dxa"/>
            </w:tcMar>
            <w:vAlign w:val="center"/>
          </w:tcPr>
          <w:p w:rsidRPr="003A1BA1" w:rsidR="00FA1ACA" w:rsidP="009D0FAD" w:rsidRDefault="00FA1ACA" w14:paraId="31CFEF62" w14:textId="77777777">
            <w:pPr>
              <w:jc w:val="center"/>
              <w:rPr>
                <w:rFonts w:cs="Arial"/>
                <w:sz w:val="16"/>
                <w:szCs w:val="16"/>
              </w:rPr>
            </w:pPr>
            <w:r>
              <w:rPr>
                <w:rFonts w:cs="Arial"/>
                <w:sz w:val="16"/>
                <w:szCs w:val="16"/>
              </w:rPr>
              <w:t>2</w:t>
            </w:r>
          </w:p>
        </w:tc>
        <w:tc>
          <w:tcPr>
            <w:tcW w:w="902" w:type="dxa"/>
            <w:tcBorders>
              <w:bottom w:val="double" w:color="auto" w:sz="4" w:space="0"/>
            </w:tcBorders>
            <w:shd w:val="clear" w:color="auto" w:fill="FFFFFF" w:themeFill="background1"/>
            <w:tcMar>
              <w:left w:w="58" w:type="dxa"/>
              <w:right w:w="58" w:type="dxa"/>
            </w:tcMar>
            <w:vAlign w:val="center"/>
          </w:tcPr>
          <w:p w:rsidRPr="003A1BA1" w:rsidR="00FA1ACA" w:rsidP="009D0FAD" w:rsidRDefault="000268FB" w14:paraId="111F5AB9" w14:textId="51915BA3">
            <w:pPr>
              <w:jc w:val="center"/>
              <w:rPr>
                <w:rFonts w:cs="Arial"/>
                <w:sz w:val="16"/>
                <w:szCs w:val="16"/>
              </w:rPr>
            </w:pPr>
            <w:r>
              <w:rPr>
                <w:rFonts w:cs="Arial"/>
                <w:sz w:val="16"/>
                <w:szCs w:val="16"/>
              </w:rPr>
              <w:t>-</w:t>
            </w:r>
          </w:p>
        </w:tc>
        <w:tc>
          <w:tcPr>
            <w:tcW w:w="903" w:type="dxa"/>
            <w:tcBorders>
              <w:bottom w:val="double" w:color="auto" w:sz="4" w:space="0"/>
            </w:tcBorders>
            <w:shd w:val="clear" w:color="auto" w:fill="FFFFFF" w:themeFill="background1"/>
            <w:tcMar>
              <w:left w:w="58" w:type="dxa"/>
              <w:right w:w="58" w:type="dxa"/>
            </w:tcMar>
            <w:vAlign w:val="center"/>
          </w:tcPr>
          <w:p w:rsidRPr="003A1BA1" w:rsidR="00FA1ACA" w:rsidP="009D0FAD" w:rsidRDefault="00D67222" w14:paraId="7AE826B2" w14:textId="4DA077C4">
            <w:pPr>
              <w:jc w:val="center"/>
              <w:rPr>
                <w:rFonts w:cs="Arial"/>
                <w:sz w:val="16"/>
                <w:szCs w:val="16"/>
              </w:rPr>
            </w:pPr>
            <w:r>
              <w:rPr>
                <w:rFonts w:cs="Arial"/>
                <w:sz w:val="16"/>
                <w:szCs w:val="16"/>
              </w:rPr>
              <w:t>4</w:t>
            </w:r>
          </w:p>
        </w:tc>
        <w:tc>
          <w:tcPr>
            <w:tcW w:w="903" w:type="dxa"/>
            <w:tcBorders>
              <w:bottom w:val="double" w:color="auto" w:sz="4" w:space="0"/>
            </w:tcBorders>
            <w:shd w:val="clear" w:color="auto" w:fill="FFFFFF" w:themeFill="background1"/>
            <w:tcMar>
              <w:left w:w="58" w:type="dxa"/>
              <w:right w:w="58" w:type="dxa"/>
            </w:tcMar>
            <w:vAlign w:val="center"/>
          </w:tcPr>
          <w:p w:rsidRPr="003A1BA1" w:rsidR="00FA1ACA" w:rsidP="009D0FAD" w:rsidRDefault="00FA1ACA" w14:paraId="37218369" w14:textId="086D2C50">
            <w:pPr>
              <w:jc w:val="center"/>
              <w:rPr>
                <w:rFonts w:cs="Arial"/>
                <w:sz w:val="16"/>
                <w:szCs w:val="16"/>
              </w:rPr>
            </w:pPr>
            <w:r>
              <w:rPr>
                <w:rFonts w:cs="Arial"/>
                <w:sz w:val="16"/>
                <w:szCs w:val="16"/>
              </w:rPr>
              <w:t>1</w:t>
            </w:r>
          </w:p>
        </w:tc>
        <w:tc>
          <w:tcPr>
            <w:tcW w:w="889" w:type="dxa"/>
            <w:tcBorders>
              <w:bottom w:val="double" w:color="auto" w:sz="4" w:space="0"/>
            </w:tcBorders>
            <w:shd w:val="clear" w:color="auto" w:fill="FFFFFF" w:themeFill="background1"/>
            <w:tcMar>
              <w:left w:w="58" w:type="dxa"/>
              <w:right w:w="58" w:type="dxa"/>
            </w:tcMar>
            <w:vAlign w:val="center"/>
          </w:tcPr>
          <w:p w:rsidRPr="003A1BA1" w:rsidR="00FA1ACA" w:rsidP="009D0FAD" w:rsidRDefault="002A465C" w14:paraId="1BBB19A8" w14:textId="61CF4593">
            <w:pPr>
              <w:jc w:val="center"/>
              <w:rPr>
                <w:rFonts w:cs="Arial"/>
                <w:sz w:val="16"/>
                <w:szCs w:val="16"/>
              </w:rPr>
            </w:pPr>
            <w:r>
              <w:rPr>
                <w:rFonts w:cs="Arial"/>
                <w:sz w:val="16"/>
                <w:szCs w:val="16"/>
              </w:rPr>
              <w:t>2</w:t>
            </w:r>
          </w:p>
        </w:tc>
        <w:tc>
          <w:tcPr>
            <w:tcW w:w="900" w:type="dxa"/>
            <w:tcBorders>
              <w:bottom w:val="double" w:color="auto" w:sz="4" w:space="0"/>
            </w:tcBorders>
            <w:shd w:val="clear" w:color="auto" w:fill="FFFFFF" w:themeFill="background1"/>
            <w:tcMar>
              <w:left w:w="58" w:type="dxa"/>
              <w:right w:w="58" w:type="dxa"/>
            </w:tcMar>
            <w:vAlign w:val="center"/>
          </w:tcPr>
          <w:p w:rsidRPr="003A1BA1" w:rsidR="00FA1ACA" w:rsidP="009D0FAD" w:rsidRDefault="003B66C4" w14:paraId="73D3F295" w14:textId="41A8A340">
            <w:pPr>
              <w:jc w:val="center"/>
              <w:rPr>
                <w:rFonts w:cs="Arial"/>
                <w:sz w:val="16"/>
                <w:szCs w:val="16"/>
              </w:rPr>
            </w:pPr>
            <w:r>
              <w:rPr>
                <w:rFonts w:cs="Arial"/>
                <w:sz w:val="16"/>
                <w:szCs w:val="16"/>
              </w:rPr>
              <w:t>3</w:t>
            </w:r>
          </w:p>
        </w:tc>
        <w:tc>
          <w:tcPr>
            <w:tcW w:w="920" w:type="dxa"/>
            <w:tcBorders>
              <w:bottom w:val="double" w:color="auto" w:sz="4" w:space="0"/>
            </w:tcBorders>
            <w:shd w:val="clear" w:color="auto" w:fill="FFFFFF" w:themeFill="background1"/>
            <w:tcMar>
              <w:left w:w="58" w:type="dxa"/>
              <w:right w:w="58" w:type="dxa"/>
            </w:tcMar>
            <w:vAlign w:val="center"/>
          </w:tcPr>
          <w:p w:rsidRPr="003A1BA1" w:rsidR="00FA1ACA" w:rsidP="009D0FAD" w:rsidRDefault="000268FB" w14:paraId="250E32F2" w14:textId="438E9FB3">
            <w:pPr>
              <w:jc w:val="center"/>
              <w:rPr>
                <w:rFonts w:cs="Arial"/>
                <w:sz w:val="16"/>
                <w:szCs w:val="16"/>
              </w:rPr>
            </w:pPr>
            <w:r>
              <w:rPr>
                <w:rFonts w:cs="Arial"/>
                <w:sz w:val="16"/>
                <w:szCs w:val="16"/>
              </w:rPr>
              <w:t>-</w:t>
            </w:r>
          </w:p>
        </w:tc>
        <w:tc>
          <w:tcPr>
            <w:tcW w:w="875" w:type="dxa"/>
            <w:tcBorders>
              <w:bottom w:val="double" w:color="auto" w:sz="4" w:space="0"/>
            </w:tcBorders>
            <w:shd w:val="clear" w:color="auto" w:fill="FFFFFF" w:themeFill="background1"/>
            <w:tcMar>
              <w:left w:w="58" w:type="dxa"/>
              <w:right w:w="58" w:type="dxa"/>
            </w:tcMar>
            <w:vAlign w:val="center"/>
          </w:tcPr>
          <w:p w:rsidRPr="003A1BA1" w:rsidR="00FA1ACA" w:rsidP="009D0FAD" w:rsidRDefault="00A31742" w14:paraId="2CC52849" w14:textId="0414B130">
            <w:pPr>
              <w:jc w:val="center"/>
              <w:rPr>
                <w:rFonts w:cs="Arial"/>
                <w:sz w:val="16"/>
                <w:szCs w:val="16"/>
              </w:rPr>
            </w:pPr>
            <w:r>
              <w:rPr>
                <w:rFonts w:cs="Arial"/>
                <w:sz w:val="16"/>
                <w:szCs w:val="16"/>
              </w:rPr>
              <w:t>1</w:t>
            </w:r>
          </w:p>
        </w:tc>
      </w:tr>
      <w:tr w:rsidRPr="003A1BA1" w:rsidR="00BD24CD" w:rsidTr="00D27E66" w14:paraId="0B97F123" w14:textId="77777777">
        <w:trPr>
          <w:trHeight w:val="432"/>
          <w:jc w:val="center"/>
        </w:trPr>
        <w:tc>
          <w:tcPr>
            <w:tcW w:w="1435" w:type="dxa"/>
            <w:tcBorders>
              <w:top w:val="double" w:color="auto" w:sz="4" w:space="0"/>
            </w:tcBorders>
            <w:tcMar>
              <w:left w:w="58" w:type="dxa"/>
              <w:right w:w="58" w:type="dxa"/>
            </w:tcMar>
            <w:vAlign w:val="center"/>
          </w:tcPr>
          <w:p w:rsidRPr="003A1BA1" w:rsidR="00FA1ACA" w:rsidP="009D0FAD" w:rsidRDefault="00FA1ACA" w14:paraId="052CA656" w14:textId="12CA4F10">
            <w:pPr>
              <w:rPr>
                <w:rFonts w:cs="Arial"/>
                <w:sz w:val="16"/>
                <w:szCs w:val="16"/>
              </w:rPr>
            </w:pPr>
            <w:r w:rsidRPr="003A1BA1">
              <w:rPr>
                <w:rFonts w:cs="Arial"/>
                <w:sz w:val="16"/>
                <w:szCs w:val="16"/>
              </w:rPr>
              <w:t xml:space="preserve">Percent </w:t>
            </w:r>
            <w:r w:rsidR="00A7111A">
              <w:rPr>
                <w:rFonts w:cs="Arial"/>
                <w:sz w:val="16"/>
                <w:szCs w:val="16"/>
              </w:rPr>
              <w:t>a</w:t>
            </w:r>
            <w:r w:rsidRPr="003A1BA1">
              <w:rPr>
                <w:rFonts w:cs="Arial"/>
                <w:sz w:val="16"/>
                <w:szCs w:val="16"/>
              </w:rPr>
              <w:t>ffected</w:t>
            </w:r>
          </w:p>
        </w:tc>
        <w:tc>
          <w:tcPr>
            <w:tcW w:w="816" w:type="dxa"/>
            <w:tcBorders>
              <w:top w:val="double" w:color="auto" w:sz="4" w:space="0"/>
            </w:tcBorders>
            <w:shd w:val="clear" w:color="auto" w:fill="FFFFFF" w:themeFill="background1"/>
            <w:tcMar>
              <w:left w:w="58" w:type="dxa"/>
              <w:right w:w="58" w:type="dxa"/>
            </w:tcMar>
            <w:vAlign w:val="center"/>
          </w:tcPr>
          <w:p w:rsidRPr="003A1BA1" w:rsidR="00FA1ACA" w:rsidP="009D0FAD" w:rsidRDefault="00FA1ACA" w14:paraId="1CF5D536" w14:textId="77777777">
            <w:pPr>
              <w:jc w:val="center"/>
              <w:rPr>
                <w:rFonts w:cs="Arial"/>
                <w:sz w:val="16"/>
                <w:szCs w:val="16"/>
              </w:rPr>
            </w:pPr>
            <w:r w:rsidRPr="003A1BA1">
              <w:rPr>
                <w:rFonts w:cs="Arial"/>
                <w:sz w:val="16"/>
                <w:szCs w:val="16"/>
              </w:rPr>
              <w:t>50%</w:t>
            </w:r>
          </w:p>
          <w:p w:rsidRPr="003A1BA1" w:rsidR="00FA1ACA" w:rsidP="009D0FAD" w:rsidRDefault="00FA1ACA" w14:paraId="1E01334A" w14:textId="77777777">
            <w:pPr>
              <w:jc w:val="center"/>
              <w:rPr>
                <w:rFonts w:cs="Arial"/>
                <w:sz w:val="16"/>
                <w:szCs w:val="16"/>
              </w:rPr>
            </w:pPr>
            <w:r w:rsidRPr="003A1BA1">
              <w:rPr>
                <w:rFonts w:cs="Arial"/>
                <w:sz w:val="16"/>
                <w:szCs w:val="16"/>
              </w:rPr>
              <w:t>(3 of 6)</w:t>
            </w:r>
          </w:p>
        </w:tc>
        <w:tc>
          <w:tcPr>
            <w:tcW w:w="902" w:type="dxa"/>
            <w:tcBorders>
              <w:top w:val="double" w:color="auto" w:sz="4" w:space="0"/>
            </w:tcBorders>
            <w:shd w:val="clear" w:color="auto" w:fill="FFFFFF" w:themeFill="background1"/>
            <w:tcMar>
              <w:left w:w="58" w:type="dxa"/>
              <w:right w:w="58" w:type="dxa"/>
            </w:tcMar>
            <w:vAlign w:val="center"/>
          </w:tcPr>
          <w:p w:rsidR="00FA1ACA" w:rsidP="009D0FAD" w:rsidRDefault="00FA1ACA" w14:paraId="2F1959FA" w14:textId="77777777">
            <w:pPr>
              <w:jc w:val="center"/>
              <w:rPr>
                <w:rFonts w:cs="Arial"/>
                <w:sz w:val="16"/>
                <w:szCs w:val="16"/>
              </w:rPr>
            </w:pPr>
            <w:r>
              <w:rPr>
                <w:rFonts w:cs="Arial"/>
                <w:sz w:val="16"/>
                <w:szCs w:val="16"/>
              </w:rPr>
              <w:t>43%</w:t>
            </w:r>
          </w:p>
          <w:p w:rsidRPr="003A1BA1" w:rsidR="00FA1ACA" w:rsidP="009D0FAD" w:rsidRDefault="00FA1ACA" w14:paraId="7A9D9938" w14:textId="77777777">
            <w:pPr>
              <w:jc w:val="center"/>
              <w:rPr>
                <w:rFonts w:cs="Arial"/>
                <w:sz w:val="16"/>
                <w:szCs w:val="16"/>
              </w:rPr>
            </w:pPr>
            <w:r>
              <w:rPr>
                <w:rFonts w:cs="Arial"/>
                <w:sz w:val="16"/>
                <w:szCs w:val="16"/>
              </w:rPr>
              <w:t>(3 of 7)</w:t>
            </w:r>
          </w:p>
        </w:tc>
        <w:tc>
          <w:tcPr>
            <w:tcW w:w="902" w:type="dxa"/>
            <w:tcBorders>
              <w:top w:val="double" w:color="auto" w:sz="4" w:space="0"/>
            </w:tcBorders>
            <w:shd w:val="clear" w:color="auto" w:fill="FFFFFF" w:themeFill="background1"/>
            <w:tcMar>
              <w:left w:w="58" w:type="dxa"/>
              <w:right w:w="58" w:type="dxa"/>
            </w:tcMar>
            <w:vAlign w:val="center"/>
          </w:tcPr>
          <w:p w:rsidR="00FA1ACA" w:rsidP="009D0FAD" w:rsidRDefault="00FA1ACA" w14:paraId="0B0BEB8A" w14:textId="77777777">
            <w:pPr>
              <w:jc w:val="center"/>
              <w:rPr>
                <w:rFonts w:cs="Arial"/>
                <w:sz w:val="16"/>
                <w:szCs w:val="16"/>
              </w:rPr>
            </w:pPr>
            <w:r>
              <w:rPr>
                <w:rFonts w:cs="Arial"/>
                <w:sz w:val="16"/>
                <w:szCs w:val="16"/>
              </w:rPr>
              <w:t>75%</w:t>
            </w:r>
          </w:p>
          <w:p w:rsidRPr="003A1BA1" w:rsidR="00FA1ACA" w:rsidP="009D0FAD" w:rsidRDefault="00FA1ACA" w14:paraId="6357B9B7" w14:textId="77777777">
            <w:pPr>
              <w:jc w:val="center"/>
              <w:rPr>
                <w:rFonts w:cs="Arial"/>
                <w:sz w:val="16"/>
                <w:szCs w:val="16"/>
              </w:rPr>
            </w:pPr>
            <w:r>
              <w:rPr>
                <w:rFonts w:cs="Arial"/>
                <w:sz w:val="16"/>
                <w:szCs w:val="16"/>
              </w:rPr>
              <w:t>(3 of 4)</w:t>
            </w:r>
          </w:p>
        </w:tc>
        <w:tc>
          <w:tcPr>
            <w:tcW w:w="903" w:type="dxa"/>
            <w:tcBorders>
              <w:top w:val="double" w:color="auto" w:sz="4" w:space="0"/>
            </w:tcBorders>
            <w:shd w:val="clear" w:color="auto" w:fill="FFFFFF" w:themeFill="background1"/>
            <w:tcMar>
              <w:left w:w="58" w:type="dxa"/>
              <w:right w:w="58" w:type="dxa"/>
            </w:tcMar>
            <w:vAlign w:val="center"/>
          </w:tcPr>
          <w:p w:rsidR="00034ABC" w:rsidP="009D0FAD" w:rsidRDefault="00A65149" w14:paraId="5D52CE37" w14:textId="77777777">
            <w:pPr>
              <w:jc w:val="center"/>
              <w:rPr>
                <w:rFonts w:cs="Arial"/>
                <w:sz w:val="16"/>
                <w:szCs w:val="16"/>
              </w:rPr>
            </w:pPr>
            <w:r>
              <w:rPr>
                <w:rFonts w:cs="Arial"/>
                <w:sz w:val="16"/>
                <w:szCs w:val="16"/>
              </w:rPr>
              <w:t>64</w:t>
            </w:r>
            <w:r w:rsidR="00FA1ACA">
              <w:rPr>
                <w:rFonts w:cs="Arial"/>
                <w:sz w:val="16"/>
                <w:szCs w:val="16"/>
              </w:rPr>
              <w:t>%</w:t>
            </w:r>
          </w:p>
          <w:p w:rsidRPr="003A1BA1" w:rsidR="00FA1ACA" w:rsidP="009D0FAD" w:rsidRDefault="00FA1ACA" w14:paraId="3E03E56B" w14:textId="0790E94C">
            <w:pPr>
              <w:jc w:val="center"/>
              <w:rPr>
                <w:rFonts w:cs="Arial"/>
                <w:sz w:val="16"/>
                <w:szCs w:val="16"/>
              </w:rPr>
            </w:pPr>
            <w:r>
              <w:rPr>
                <w:rFonts w:cs="Arial"/>
                <w:sz w:val="16"/>
                <w:szCs w:val="16"/>
              </w:rPr>
              <w:t>(</w:t>
            </w:r>
            <w:r w:rsidR="006A5924">
              <w:rPr>
                <w:rFonts w:cs="Arial"/>
                <w:sz w:val="16"/>
                <w:szCs w:val="16"/>
              </w:rPr>
              <w:t xml:space="preserve">7 </w:t>
            </w:r>
            <w:r>
              <w:rPr>
                <w:rFonts w:cs="Arial"/>
                <w:sz w:val="16"/>
                <w:szCs w:val="16"/>
              </w:rPr>
              <w:t>of 11)</w:t>
            </w:r>
          </w:p>
        </w:tc>
        <w:tc>
          <w:tcPr>
            <w:tcW w:w="903" w:type="dxa"/>
            <w:tcBorders>
              <w:top w:val="double" w:color="auto" w:sz="4" w:space="0"/>
            </w:tcBorders>
            <w:shd w:val="clear" w:color="auto" w:fill="FFFFFF" w:themeFill="background1"/>
            <w:tcMar>
              <w:left w:w="58" w:type="dxa"/>
              <w:right w:w="58" w:type="dxa"/>
            </w:tcMar>
            <w:vAlign w:val="center"/>
          </w:tcPr>
          <w:p w:rsidR="00E17E2F" w:rsidP="009D0FAD" w:rsidRDefault="00E17E2F" w14:paraId="1D91FE1D" w14:textId="0FBE8B19">
            <w:pPr>
              <w:jc w:val="center"/>
              <w:rPr>
                <w:rFonts w:cs="Arial"/>
                <w:sz w:val="16"/>
                <w:szCs w:val="16"/>
              </w:rPr>
            </w:pPr>
            <w:r>
              <w:rPr>
                <w:rFonts w:cs="Arial"/>
                <w:sz w:val="16"/>
                <w:szCs w:val="16"/>
              </w:rPr>
              <w:t>60%</w:t>
            </w:r>
          </w:p>
          <w:p w:rsidRPr="003A1BA1" w:rsidR="00FA1ACA" w:rsidP="009D0FAD" w:rsidRDefault="00D778CE" w14:paraId="36850BFE" w14:textId="149AAC1E">
            <w:pPr>
              <w:jc w:val="center"/>
              <w:rPr>
                <w:rFonts w:cs="Arial"/>
                <w:sz w:val="16"/>
                <w:szCs w:val="16"/>
              </w:rPr>
            </w:pPr>
            <w:r>
              <w:rPr>
                <w:rFonts w:cs="Arial"/>
                <w:sz w:val="16"/>
                <w:szCs w:val="16"/>
              </w:rPr>
              <w:t>(</w:t>
            </w:r>
            <w:r w:rsidR="00B7171E">
              <w:rPr>
                <w:rFonts w:cs="Arial"/>
                <w:sz w:val="16"/>
                <w:szCs w:val="16"/>
              </w:rPr>
              <w:t>8</w:t>
            </w:r>
            <w:r>
              <w:rPr>
                <w:rFonts w:cs="Arial"/>
                <w:sz w:val="16"/>
                <w:szCs w:val="16"/>
              </w:rPr>
              <w:t xml:space="preserve"> of 15)</w:t>
            </w:r>
            <w:r w:rsidRPr="00893D88" w:rsidR="00893D88">
              <w:rPr>
                <w:rFonts w:cs="Arial"/>
                <w:sz w:val="16"/>
                <w:szCs w:val="16"/>
                <w:vertAlign w:val="superscript"/>
              </w:rPr>
              <w:t>d</w:t>
            </w:r>
          </w:p>
        </w:tc>
        <w:tc>
          <w:tcPr>
            <w:tcW w:w="889" w:type="dxa"/>
            <w:tcBorders>
              <w:top w:val="double" w:color="auto" w:sz="4" w:space="0"/>
            </w:tcBorders>
            <w:shd w:val="clear" w:color="auto" w:fill="FFFFFF" w:themeFill="background1"/>
            <w:tcMar>
              <w:left w:w="58" w:type="dxa"/>
              <w:right w:w="58" w:type="dxa"/>
            </w:tcMar>
            <w:vAlign w:val="center"/>
          </w:tcPr>
          <w:p w:rsidR="00FC18F1" w:rsidP="009D0FAD" w:rsidRDefault="00FC18F1" w14:paraId="2E4E59CD" w14:textId="6E99316D">
            <w:pPr>
              <w:jc w:val="center"/>
              <w:rPr>
                <w:rFonts w:cs="Arial"/>
                <w:sz w:val="16"/>
                <w:szCs w:val="16"/>
              </w:rPr>
            </w:pPr>
            <w:r>
              <w:rPr>
                <w:rFonts w:cs="Arial"/>
                <w:sz w:val="16"/>
                <w:szCs w:val="16"/>
              </w:rPr>
              <w:t>73%</w:t>
            </w:r>
          </w:p>
          <w:p w:rsidRPr="003A1BA1" w:rsidR="00FA1ACA" w:rsidP="009D0FAD" w:rsidRDefault="00AC5221" w14:paraId="2929EC1C" w14:textId="29930D6E">
            <w:pPr>
              <w:jc w:val="center"/>
              <w:rPr>
                <w:rFonts w:cs="Arial"/>
                <w:sz w:val="16"/>
                <w:szCs w:val="16"/>
              </w:rPr>
            </w:pPr>
            <w:r>
              <w:rPr>
                <w:rFonts w:cs="Arial"/>
                <w:sz w:val="16"/>
                <w:szCs w:val="16"/>
              </w:rPr>
              <w:t>(8 of 11)</w:t>
            </w:r>
          </w:p>
        </w:tc>
        <w:tc>
          <w:tcPr>
            <w:tcW w:w="900" w:type="dxa"/>
            <w:tcBorders>
              <w:top w:val="double" w:color="auto" w:sz="4" w:space="0"/>
            </w:tcBorders>
            <w:shd w:val="clear" w:color="auto" w:fill="FFFFFF" w:themeFill="background1"/>
            <w:tcMar>
              <w:left w:w="58" w:type="dxa"/>
              <w:right w:w="58" w:type="dxa"/>
            </w:tcMar>
            <w:vAlign w:val="center"/>
          </w:tcPr>
          <w:p w:rsidR="000D66EB" w:rsidP="009D0FAD" w:rsidRDefault="005F0E81" w14:paraId="4A98498A" w14:textId="05604E62">
            <w:pPr>
              <w:jc w:val="center"/>
              <w:rPr>
                <w:rFonts w:cs="Arial"/>
                <w:sz w:val="16"/>
                <w:szCs w:val="16"/>
              </w:rPr>
            </w:pPr>
            <w:r>
              <w:rPr>
                <w:rFonts w:cs="Arial"/>
                <w:sz w:val="16"/>
                <w:szCs w:val="16"/>
              </w:rPr>
              <w:t>64%</w:t>
            </w:r>
          </w:p>
          <w:p w:rsidRPr="003A1BA1" w:rsidR="00FA1ACA" w:rsidP="009D0FAD" w:rsidRDefault="000D66EB" w14:paraId="4853CA09" w14:textId="520EE2C4">
            <w:pPr>
              <w:jc w:val="center"/>
              <w:rPr>
                <w:rFonts w:cs="Arial"/>
                <w:sz w:val="16"/>
                <w:szCs w:val="16"/>
              </w:rPr>
            </w:pPr>
            <w:r>
              <w:rPr>
                <w:rFonts w:cs="Arial"/>
                <w:sz w:val="16"/>
                <w:szCs w:val="16"/>
              </w:rPr>
              <w:t>(</w:t>
            </w:r>
            <w:r w:rsidR="00E16F24">
              <w:rPr>
                <w:rFonts w:cs="Arial"/>
                <w:sz w:val="16"/>
                <w:szCs w:val="16"/>
              </w:rPr>
              <w:t>7</w:t>
            </w:r>
            <w:r>
              <w:rPr>
                <w:rFonts w:cs="Arial"/>
                <w:sz w:val="16"/>
                <w:szCs w:val="16"/>
              </w:rPr>
              <w:t xml:space="preserve"> of 11)</w:t>
            </w:r>
          </w:p>
        </w:tc>
        <w:tc>
          <w:tcPr>
            <w:tcW w:w="920" w:type="dxa"/>
            <w:tcBorders>
              <w:top w:val="double" w:color="auto" w:sz="4" w:space="0"/>
            </w:tcBorders>
            <w:shd w:val="clear" w:color="auto" w:fill="FFFFFF" w:themeFill="background1"/>
            <w:tcMar>
              <w:left w:w="58" w:type="dxa"/>
              <w:right w:w="58" w:type="dxa"/>
            </w:tcMar>
            <w:vAlign w:val="center"/>
          </w:tcPr>
          <w:p w:rsidRPr="003A1BA1" w:rsidR="00FA1ACA" w:rsidP="009D0FAD" w:rsidRDefault="00A713F5" w14:paraId="517A8945" w14:textId="32572785">
            <w:pPr>
              <w:jc w:val="center"/>
              <w:rPr>
                <w:rFonts w:cs="Arial"/>
                <w:sz w:val="16"/>
                <w:szCs w:val="16"/>
              </w:rPr>
            </w:pPr>
            <w:r>
              <w:rPr>
                <w:rFonts w:cs="Arial"/>
                <w:sz w:val="16"/>
                <w:szCs w:val="16"/>
              </w:rPr>
              <w:t>0%</w:t>
            </w:r>
          </w:p>
        </w:tc>
        <w:tc>
          <w:tcPr>
            <w:tcW w:w="875" w:type="dxa"/>
            <w:tcBorders>
              <w:top w:val="double" w:color="auto" w:sz="4" w:space="0"/>
            </w:tcBorders>
            <w:shd w:val="clear" w:color="auto" w:fill="FFFFFF" w:themeFill="background1"/>
            <w:tcMar>
              <w:left w:w="58" w:type="dxa"/>
              <w:right w:w="58" w:type="dxa"/>
            </w:tcMar>
            <w:vAlign w:val="center"/>
          </w:tcPr>
          <w:p w:rsidR="001238FA" w:rsidP="009D0FAD" w:rsidRDefault="001238FA" w14:paraId="375024F5" w14:textId="28E5556B">
            <w:pPr>
              <w:jc w:val="center"/>
              <w:rPr>
                <w:rFonts w:cs="Arial"/>
                <w:sz w:val="16"/>
                <w:szCs w:val="16"/>
              </w:rPr>
            </w:pPr>
            <w:r>
              <w:rPr>
                <w:rFonts w:cs="Arial"/>
                <w:sz w:val="16"/>
                <w:szCs w:val="16"/>
              </w:rPr>
              <w:t>50%</w:t>
            </w:r>
          </w:p>
          <w:p w:rsidRPr="003A1BA1" w:rsidR="00FA1ACA" w:rsidP="009D0FAD" w:rsidRDefault="001238FA" w14:paraId="64F0F946" w14:textId="12147EC6">
            <w:pPr>
              <w:jc w:val="center"/>
              <w:rPr>
                <w:rFonts w:cs="Arial"/>
                <w:sz w:val="16"/>
                <w:szCs w:val="16"/>
              </w:rPr>
            </w:pPr>
            <w:r>
              <w:rPr>
                <w:rFonts w:cs="Arial"/>
                <w:sz w:val="16"/>
                <w:szCs w:val="16"/>
              </w:rPr>
              <w:t>(2 of 4)</w:t>
            </w:r>
          </w:p>
        </w:tc>
      </w:tr>
    </w:tbl>
    <w:p w:rsidRPr="00523E07" w:rsidR="00FA1ACA" w:rsidP="00F36885" w:rsidRDefault="00FA1ACA" w14:paraId="5F0A851C" w14:textId="0ECB49B9">
      <w:pPr>
        <w:tabs>
          <w:tab w:val="left" w:pos="360"/>
        </w:tabs>
        <w:ind w:left="360" w:hanging="360"/>
        <w:rPr>
          <w:sz w:val="18"/>
        </w:rPr>
      </w:pPr>
      <w:proofErr w:type="spellStart"/>
      <w:proofErr w:type="gramStart"/>
      <w:r w:rsidRPr="00F36885">
        <w:rPr>
          <w:sz w:val="18"/>
          <w:vertAlign w:val="superscript"/>
        </w:rPr>
        <w:t>a</w:t>
      </w:r>
      <w:proofErr w:type="spellEnd"/>
      <w:proofErr w:type="gramEnd"/>
      <w:r w:rsidRPr="00F36885">
        <w:rPr>
          <w:sz w:val="18"/>
        </w:rPr>
        <w:t xml:space="preserve"> </w:t>
      </w:r>
      <w:r w:rsidRPr="00F36885">
        <w:rPr>
          <w:sz w:val="18"/>
        </w:rPr>
        <w:tab/>
      </w:r>
      <w:r w:rsidRPr="00523E07">
        <w:rPr>
          <w:rFonts w:cs="Arial"/>
          <w:sz w:val="18"/>
          <w:szCs w:val="18"/>
        </w:rPr>
        <w:t>Amphetamines</w:t>
      </w:r>
      <w:r w:rsidRPr="00523E07">
        <w:rPr>
          <w:sz w:val="18"/>
        </w:rPr>
        <w:t xml:space="preserve"> results </w:t>
      </w:r>
      <w:r w:rsidRPr="00523E07">
        <w:rPr>
          <w:rFonts w:cs="Arial"/>
          <w:sz w:val="18"/>
          <w:szCs w:val="18"/>
        </w:rPr>
        <w:t>include</w:t>
      </w:r>
      <w:r w:rsidRPr="00523E07">
        <w:rPr>
          <w:sz w:val="18"/>
        </w:rPr>
        <w:t xml:space="preserve"> amphetamine and methamphetamine.</w:t>
      </w:r>
    </w:p>
    <w:p w:rsidRPr="00523E07" w:rsidR="00FA1ACA" w:rsidP="00F36885" w:rsidRDefault="00FA1ACA" w14:paraId="31A16242" w14:textId="7709BEA3">
      <w:pPr>
        <w:tabs>
          <w:tab w:val="left" w:pos="360"/>
        </w:tabs>
        <w:ind w:left="360" w:hanging="360"/>
        <w:rPr>
          <w:sz w:val="18"/>
        </w:rPr>
      </w:pPr>
      <w:r w:rsidRPr="00523E07">
        <w:rPr>
          <w:sz w:val="18"/>
          <w:vertAlign w:val="superscript"/>
        </w:rPr>
        <w:t>b</w:t>
      </w:r>
      <w:r w:rsidRPr="00523E07">
        <w:rPr>
          <w:sz w:val="18"/>
        </w:rPr>
        <w:t xml:space="preserve">  </w:t>
      </w:r>
      <w:r w:rsidRPr="00523E07">
        <w:rPr>
          <w:sz w:val="18"/>
        </w:rPr>
        <w:tab/>
      </w:r>
      <w:r w:rsidRPr="00523E07" w:rsidR="00C050DE">
        <w:rPr>
          <w:sz w:val="18"/>
        </w:rPr>
        <w:t>Opioid</w:t>
      </w:r>
      <w:r w:rsidRPr="00523E07">
        <w:rPr>
          <w:sz w:val="18"/>
        </w:rPr>
        <w:t xml:space="preserve"> results include 6-acetylmorphine (6-AM), codeine, and morphine.</w:t>
      </w:r>
    </w:p>
    <w:p w:rsidRPr="00523E07" w:rsidR="00FA1ACA" w:rsidP="00F36885" w:rsidRDefault="00FA1ACA" w14:paraId="174344B6" w14:textId="6E2FB613">
      <w:pPr>
        <w:tabs>
          <w:tab w:val="left" w:pos="360"/>
        </w:tabs>
        <w:ind w:left="360" w:hanging="360"/>
        <w:rPr>
          <w:sz w:val="18"/>
        </w:rPr>
      </w:pPr>
      <w:r w:rsidRPr="00523E07">
        <w:rPr>
          <w:sz w:val="18"/>
          <w:vertAlign w:val="superscript"/>
        </w:rPr>
        <w:t>c</w:t>
      </w:r>
      <w:r w:rsidRPr="00523E07">
        <w:rPr>
          <w:sz w:val="18"/>
        </w:rPr>
        <w:t xml:space="preserve">  </w:t>
      </w:r>
      <w:r w:rsidRPr="00523E07">
        <w:rPr>
          <w:sz w:val="18"/>
        </w:rPr>
        <w:tab/>
      </w:r>
      <w:r w:rsidRPr="00523E07" w:rsidR="0056309B">
        <w:rPr>
          <w:sz w:val="18"/>
        </w:rPr>
        <w:t>Any</w:t>
      </w:r>
      <w:r w:rsidRPr="00523E07">
        <w:rPr>
          <w:sz w:val="18"/>
        </w:rPr>
        <w:t xml:space="preserve"> combination of amphetamines, cocaine, or op</w:t>
      </w:r>
      <w:r w:rsidRPr="00523E07" w:rsidR="006B414D">
        <w:rPr>
          <w:sz w:val="18"/>
        </w:rPr>
        <w:t>ioids</w:t>
      </w:r>
      <w:r w:rsidRPr="00523E07">
        <w:rPr>
          <w:sz w:val="18"/>
        </w:rPr>
        <w:t>.</w:t>
      </w:r>
    </w:p>
    <w:p w:rsidRPr="00AE2D32" w:rsidR="00FA1ACA" w:rsidP="00AE2D32" w:rsidRDefault="00FA1ACA" w14:paraId="0AAFBF94" w14:textId="28E4EC77">
      <w:pPr>
        <w:ind w:left="360" w:hanging="360"/>
        <w:rPr>
          <w:sz w:val="18"/>
        </w:rPr>
      </w:pPr>
      <w:r w:rsidRPr="00523E07">
        <w:rPr>
          <w:sz w:val="18"/>
          <w:vertAlign w:val="superscript"/>
        </w:rPr>
        <w:t>d</w:t>
      </w:r>
      <w:r w:rsidRPr="00523E07">
        <w:rPr>
          <w:sz w:val="18"/>
        </w:rPr>
        <w:t xml:space="preserve"> </w:t>
      </w:r>
      <w:r w:rsidRPr="00523E07">
        <w:rPr>
          <w:sz w:val="18"/>
        </w:rPr>
        <w:tab/>
      </w:r>
      <w:r w:rsidRPr="00523E07" w:rsidR="00893D88">
        <w:rPr>
          <w:sz w:val="18"/>
        </w:rPr>
        <w:t xml:space="preserve">One </w:t>
      </w:r>
      <w:r w:rsidRPr="00523E07" w:rsidR="00893D88">
        <w:rPr>
          <w:rFonts w:cs="Arial"/>
          <w:sz w:val="18"/>
          <w:szCs w:val="18"/>
        </w:rPr>
        <w:t>post-event</w:t>
      </w:r>
      <w:r w:rsidRPr="00AE2D32" w:rsidR="00893D88">
        <w:rPr>
          <w:sz w:val="18"/>
        </w:rPr>
        <w:t xml:space="preserve"> test </w:t>
      </w:r>
      <w:r w:rsidRPr="00AE2D32" w:rsidR="00434FE0">
        <w:rPr>
          <w:sz w:val="18"/>
        </w:rPr>
        <w:t xml:space="preserve">in 2015 </w:t>
      </w:r>
      <w:r w:rsidRPr="00AE2D32" w:rsidR="00893D88">
        <w:rPr>
          <w:sz w:val="18"/>
        </w:rPr>
        <w:t>was a subversion attempt</w:t>
      </w:r>
      <w:r w:rsidR="00534161">
        <w:rPr>
          <w:rFonts w:cs="Arial"/>
          <w:sz w:val="18"/>
          <w:szCs w:val="18"/>
        </w:rPr>
        <w:t>,</w:t>
      </w:r>
      <w:r w:rsidRPr="008C6AAB" w:rsidR="00893D88">
        <w:rPr>
          <w:sz w:val="18"/>
        </w:rPr>
        <w:t xml:space="preserve"> and </w:t>
      </w:r>
      <w:r w:rsidRPr="008C6AAB" w:rsidR="0064602F">
        <w:rPr>
          <w:sz w:val="18"/>
        </w:rPr>
        <w:t xml:space="preserve">the donor’s observed specimen was </w:t>
      </w:r>
      <w:r w:rsidRPr="008C6AAB" w:rsidR="00893D88">
        <w:rPr>
          <w:sz w:val="18"/>
        </w:rPr>
        <w:t>positive for amphetamine and methamphe</w:t>
      </w:r>
      <w:r w:rsidRPr="00B57CAC" w:rsidR="00893D88">
        <w:rPr>
          <w:sz w:val="18"/>
        </w:rPr>
        <w:t xml:space="preserve">tamine.  This event was counted </w:t>
      </w:r>
      <w:r w:rsidRPr="00306677" w:rsidR="00534161">
        <w:rPr>
          <w:rFonts w:cs="Arial"/>
          <w:sz w:val="18"/>
          <w:szCs w:val="18"/>
        </w:rPr>
        <w:t xml:space="preserve">only </w:t>
      </w:r>
      <w:r w:rsidRPr="005B2843" w:rsidR="0064602F">
        <w:rPr>
          <w:sz w:val="18"/>
        </w:rPr>
        <w:t>once in the “percentage affected”</w:t>
      </w:r>
      <w:r w:rsidRPr="00121A9C" w:rsidR="002B474B">
        <w:rPr>
          <w:sz w:val="18"/>
        </w:rPr>
        <w:t xml:space="preserve"> tally</w:t>
      </w:r>
      <w:r w:rsidRPr="00AE2D32">
        <w:rPr>
          <w:sz w:val="18"/>
        </w:rPr>
        <w:t>.</w:t>
      </w:r>
    </w:p>
    <w:p w:rsidRPr="00AE2D32" w:rsidR="00FA1ACA" w:rsidP="008B6CF1" w:rsidRDefault="008B6CF1" w14:paraId="135552DB" w14:textId="01049B98">
      <w:pPr>
        <w:rPr>
          <w:sz w:val="18"/>
        </w:rPr>
      </w:pPr>
      <w:r>
        <w:rPr>
          <w:sz w:val="18"/>
        </w:rPr>
        <w:t xml:space="preserve">Source:  </w:t>
      </w:r>
      <w:r w:rsidRPr="00AE2D32" w:rsidR="00FA1ACA">
        <w:rPr>
          <w:sz w:val="18"/>
        </w:rPr>
        <w:t xml:space="preserve">This table presents testing event data reported </w:t>
      </w:r>
      <w:r w:rsidRPr="00AE2D32" w:rsidR="00EC46C4">
        <w:rPr>
          <w:sz w:val="18"/>
        </w:rPr>
        <w:t>using NRC Form 890, “Single Positive Test Form</w:t>
      </w:r>
      <w:r w:rsidRPr="00AE2D32" w:rsidR="00FA1ACA">
        <w:rPr>
          <w:sz w:val="18"/>
        </w:rPr>
        <w:t>.</w:t>
      </w:r>
      <w:r w:rsidRPr="00AE2D32" w:rsidR="00EC46C4">
        <w:rPr>
          <w:sz w:val="18"/>
        </w:rPr>
        <w:t>”</w:t>
      </w:r>
    </w:p>
    <w:p w:rsidR="00D520BD" w:rsidP="00D520BD" w:rsidRDefault="00D520BD" w14:paraId="11C91708" w14:textId="77777777">
      <w:pPr>
        <w:rPr>
          <w:sz w:val="22"/>
          <w:szCs w:val="22"/>
        </w:rPr>
      </w:pPr>
    </w:p>
    <w:p w:rsidR="00D520BD" w:rsidP="00D520BD" w:rsidRDefault="00D520BD" w14:paraId="6A853E9B" w14:textId="4616687E">
      <w:pPr>
        <w:rPr>
          <w:sz w:val="22"/>
          <w:szCs w:val="22"/>
        </w:rPr>
      </w:pPr>
      <w:r w:rsidRPr="00FA1ACA">
        <w:rPr>
          <w:sz w:val="22"/>
          <w:szCs w:val="22"/>
        </w:rPr>
        <w:lastRenderedPageBreak/>
        <w:t xml:space="preserve">The for-cause testing </w:t>
      </w:r>
      <w:r w:rsidR="00857BDC">
        <w:rPr>
          <w:sz w:val="22"/>
          <w:szCs w:val="22"/>
        </w:rPr>
        <w:t xml:space="preserve">results </w:t>
      </w:r>
      <w:r w:rsidRPr="00FA1ACA">
        <w:rPr>
          <w:sz w:val="22"/>
          <w:szCs w:val="22"/>
        </w:rPr>
        <w:t xml:space="preserve">show that between </w:t>
      </w:r>
      <w:r w:rsidRPr="00071E29">
        <w:rPr>
          <w:sz w:val="22"/>
          <w:szCs w:val="22"/>
        </w:rPr>
        <w:t xml:space="preserve">44 and </w:t>
      </w:r>
      <w:r w:rsidRPr="00071E29" w:rsidR="00071E29">
        <w:rPr>
          <w:sz w:val="22"/>
          <w:szCs w:val="22"/>
        </w:rPr>
        <w:t>82</w:t>
      </w:r>
      <w:r w:rsidRPr="00FA1ACA">
        <w:rPr>
          <w:sz w:val="22"/>
          <w:szCs w:val="22"/>
        </w:rPr>
        <w:t> percent of positive drug test</w:t>
      </w:r>
      <w:r w:rsidR="00020E65">
        <w:rPr>
          <w:sz w:val="22"/>
          <w:szCs w:val="22"/>
        </w:rPr>
        <w:t>s</w:t>
      </w:r>
      <w:r w:rsidRPr="00FA1ACA">
        <w:rPr>
          <w:sz w:val="22"/>
          <w:szCs w:val="22"/>
        </w:rPr>
        <w:t xml:space="preserve"> and subversion attempts </w:t>
      </w:r>
      <w:r w:rsidR="006E1D76">
        <w:rPr>
          <w:sz w:val="22"/>
          <w:szCs w:val="22"/>
        </w:rPr>
        <w:t xml:space="preserve">for this test category </w:t>
      </w:r>
      <w:r w:rsidR="0067136F">
        <w:rPr>
          <w:sz w:val="22"/>
          <w:szCs w:val="22"/>
        </w:rPr>
        <w:t xml:space="preserve">each year </w:t>
      </w:r>
      <w:r w:rsidRPr="00FA1ACA">
        <w:rPr>
          <w:sz w:val="22"/>
          <w:szCs w:val="22"/>
        </w:rPr>
        <w:t xml:space="preserve">were </w:t>
      </w:r>
      <w:r w:rsidR="0067136F">
        <w:rPr>
          <w:sz w:val="22"/>
          <w:szCs w:val="22"/>
        </w:rPr>
        <w:t xml:space="preserve">for the </w:t>
      </w:r>
      <w:r w:rsidRPr="00FA1ACA">
        <w:rPr>
          <w:sz w:val="22"/>
          <w:szCs w:val="22"/>
        </w:rPr>
        <w:t xml:space="preserve">drugs updated in the </w:t>
      </w:r>
      <w:r w:rsidRPr="00FA1ACA" w:rsidR="00C82438">
        <w:rPr>
          <w:sz w:val="22"/>
          <w:szCs w:val="22"/>
        </w:rPr>
        <w:t>final</w:t>
      </w:r>
      <w:r w:rsidRPr="00FA1ACA">
        <w:rPr>
          <w:sz w:val="22"/>
          <w:szCs w:val="22"/>
        </w:rPr>
        <w:t xml:space="preserve"> rule.  For post-event testing</w:t>
      </w:r>
      <w:r w:rsidRPr="00FA1ACA" w:rsidR="00646A79">
        <w:rPr>
          <w:sz w:val="22"/>
          <w:szCs w:val="22"/>
        </w:rPr>
        <w:t>,</w:t>
      </w:r>
      <w:r w:rsidRPr="00FA1ACA">
        <w:rPr>
          <w:sz w:val="22"/>
          <w:szCs w:val="22"/>
        </w:rPr>
        <w:t xml:space="preserve"> </w:t>
      </w:r>
      <w:r w:rsidRPr="00434FE0" w:rsidR="00434FE0">
        <w:rPr>
          <w:sz w:val="22"/>
          <w:szCs w:val="22"/>
        </w:rPr>
        <w:t>0</w:t>
      </w:r>
      <w:r w:rsidRPr="00D72E74">
        <w:rPr>
          <w:sz w:val="22"/>
          <w:szCs w:val="22"/>
        </w:rPr>
        <w:t xml:space="preserve"> to 75</w:t>
      </w:r>
      <w:r w:rsidRPr="00FA1ACA">
        <w:rPr>
          <w:sz w:val="22"/>
          <w:szCs w:val="22"/>
        </w:rPr>
        <w:t> percent of the</w:t>
      </w:r>
      <w:r>
        <w:rPr>
          <w:sz w:val="22"/>
          <w:szCs w:val="22"/>
        </w:rPr>
        <w:t xml:space="preserve"> </w:t>
      </w:r>
      <w:r w:rsidRPr="00FA1ACA">
        <w:rPr>
          <w:sz w:val="22"/>
          <w:szCs w:val="22"/>
        </w:rPr>
        <w:t xml:space="preserve">positive drug test results and subversion attempts </w:t>
      </w:r>
      <w:r w:rsidR="006E1D76">
        <w:rPr>
          <w:sz w:val="22"/>
          <w:szCs w:val="22"/>
        </w:rPr>
        <w:t xml:space="preserve">for this test category </w:t>
      </w:r>
      <w:r w:rsidR="00914089">
        <w:rPr>
          <w:sz w:val="22"/>
          <w:szCs w:val="22"/>
        </w:rPr>
        <w:t>each year</w:t>
      </w:r>
      <w:r w:rsidRPr="00FA1ACA">
        <w:rPr>
          <w:sz w:val="22"/>
          <w:szCs w:val="22"/>
        </w:rPr>
        <w:t xml:space="preserve"> were</w:t>
      </w:r>
      <w:r>
        <w:rPr>
          <w:sz w:val="22"/>
          <w:szCs w:val="22"/>
        </w:rPr>
        <w:t xml:space="preserve"> associated with the drugs updated by th</w:t>
      </w:r>
      <w:r w:rsidR="00107E15">
        <w:rPr>
          <w:sz w:val="22"/>
          <w:szCs w:val="22"/>
        </w:rPr>
        <w:t>is</w:t>
      </w:r>
      <w:r>
        <w:rPr>
          <w:sz w:val="22"/>
          <w:szCs w:val="22"/>
        </w:rPr>
        <w:t xml:space="preserve"> </w:t>
      </w:r>
      <w:r w:rsidR="00C82438">
        <w:rPr>
          <w:sz w:val="22"/>
          <w:szCs w:val="22"/>
        </w:rPr>
        <w:t>final</w:t>
      </w:r>
      <w:r>
        <w:rPr>
          <w:sz w:val="22"/>
          <w:szCs w:val="22"/>
        </w:rPr>
        <w:t xml:space="preserve"> rule.</w:t>
      </w:r>
    </w:p>
    <w:p w:rsidR="00D520BD" w:rsidP="00D520BD" w:rsidRDefault="00D520BD" w14:paraId="14BFC310" w14:textId="579F46D6">
      <w:pPr>
        <w:rPr>
          <w:sz w:val="22"/>
          <w:szCs w:val="22"/>
        </w:rPr>
      </w:pPr>
    </w:p>
    <w:p w:rsidR="00D520BD" w:rsidP="00D520BD" w:rsidRDefault="00D520BD" w14:paraId="1BAAEEDE" w14:textId="1D0CCAC9">
      <w:pPr>
        <w:rPr>
          <w:sz w:val="22"/>
          <w:szCs w:val="22"/>
        </w:rPr>
      </w:pPr>
      <w:r w:rsidRPr="00CD4D83">
        <w:rPr>
          <w:sz w:val="22"/>
          <w:szCs w:val="22"/>
        </w:rPr>
        <w:t xml:space="preserve">The NRC staff estimates that </w:t>
      </w:r>
      <w:r w:rsidR="007038AA">
        <w:rPr>
          <w:sz w:val="22"/>
          <w:szCs w:val="22"/>
        </w:rPr>
        <w:t xml:space="preserve">once </w:t>
      </w:r>
      <w:r w:rsidRPr="00CD4D83">
        <w:rPr>
          <w:sz w:val="22"/>
          <w:szCs w:val="22"/>
        </w:rPr>
        <w:t xml:space="preserve">the </w:t>
      </w:r>
      <w:r w:rsidRPr="00CD4D83" w:rsidR="00C82438">
        <w:rPr>
          <w:sz w:val="22"/>
          <w:szCs w:val="22"/>
        </w:rPr>
        <w:t>final</w:t>
      </w:r>
      <w:r w:rsidRPr="00CD4D83">
        <w:rPr>
          <w:sz w:val="22"/>
          <w:szCs w:val="22"/>
        </w:rPr>
        <w:t xml:space="preserve"> rule </w:t>
      </w:r>
      <w:r w:rsidR="00C62C5D">
        <w:rPr>
          <w:sz w:val="22"/>
          <w:szCs w:val="22"/>
        </w:rPr>
        <w:t xml:space="preserve">is </w:t>
      </w:r>
      <w:r w:rsidR="00020E65">
        <w:rPr>
          <w:sz w:val="22"/>
          <w:szCs w:val="22"/>
        </w:rPr>
        <w:t>implemented</w:t>
      </w:r>
      <w:r w:rsidR="001C2A69">
        <w:rPr>
          <w:sz w:val="22"/>
          <w:szCs w:val="22"/>
        </w:rPr>
        <w:t>,</w:t>
      </w:r>
      <w:r w:rsidRPr="00CD4D83">
        <w:rPr>
          <w:sz w:val="22"/>
          <w:szCs w:val="22"/>
        </w:rPr>
        <w:t xml:space="preserve"> an additional </w:t>
      </w:r>
      <w:r w:rsidRPr="00385CF4" w:rsidR="00CD4D83">
        <w:rPr>
          <w:sz w:val="22"/>
          <w:szCs w:val="22"/>
        </w:rPr>
        <w:t>1</w:t>
      </w:r>
      <w:r w:rsidRPr="00385CF4" w:rsidR="00D055D8">
        <w:rPr>
          <w:sz w:val="22"/>
          <w:szCs w:val="22"/>
        </w:rPr>
        <w:t>76</w:t>
      </w:r>
      <w:r w:rsidRPr="00CD4D83">
        <w:rPr>
          <w:sz w:val="22"/>
          <w:szCs w:val="22"/>
        </w:rPr>
        <w:t xml:space="preserve"> individuals using drugs </w:t>
      </w:r>
      <w:r w:rsidR="00020E65">
        <w:rPr>
          <w:sz w:val="22"/>
          <w:szCs w:val="22"/>
        </w:rPr>
        <w:t xml:space="preserve">or attempting to subvert the testing process </w:t>
      </w:r>
      <w:r w:rsidR="006E1D76">
        <w:rPr>
          <w:sz w:val="22"/>
          <w:szCs w:val="22"/>
        </w:rPr>
        <w:t>will be</w:t>
      </w:r>
      <w:r w:rsidRPr="00CD4D83">
        <w:rPr>
          <w:sz w:val="22"/>
          <w:szCs w:val="22"/>
        </w:rPr>
        <w:t xml:space="preserve"> detected per year.  This represents an estimated </w:t>
      </w:r>
      <w:r w:rsidRPr="00385CF4" w:rsidR="00CD2A1A">
        <w:rPr>
          <w:sz w:val="22"/>
          <w:szCs w:val="22"/>
        </w:rPr>
        <w:t>22</w:t>
      </w:r>
      <w:r w:rsidRPr="00385CF4" w:rsidR="00E94827">
        <w:rPr>
          <w:sz w:val="22"/>
          <w:szCs w:val="22"/>
        </w:rPr>
        <w:noBreakHyphen/>
      </w:r>
      <w:r w:rsidRPr="00385CF4">
        <w:rPr>
          <w:sz w:val="22"/>
          <w:szCs w:val="22"/>
        </w:rPr>
        <w:t>percent</w:t>
      </w:r>
      <w:r w:rsidRPr="00CD4D83">
        <w:rPr>
          <w:sz w:val="22"/>
          <w:szCs w:val="22"/>
        </w:rPr>
        <w:t xml:space="preserve"> increase in</w:t>
      </w:r>
      <w:r w:rsidRPr="00E767CE">
        <w:rPr>
          <w:sz w:val="22"/>
          <w:szCs w:val="22"/>
        </w:rPr>
        <w:t xml:space="preserve"> detection</w:t>
      </w:r>
      <w:r w:rsidRPr="009C6451">
        <w:rPr>
          <w:sz w:val="22"/>
          <w:szCs w:val="22"/>
        </w:rPr>
        <w:t xml:space="preserve"> over the </w:t>
      </w:r>
      <w:r w:rsidR="00347728">
        <w:rPr>
          <w:sz w:val="22"/>
          <w:szCs w:val="22"/>
        </w:rPr>
        <w:t xml:space="preserve">average </w:t>
      </w:r>
      <w:r w:rsidRPr="009C6451">
        <w:rPr>
          <w:sz w:val="22"/>
          <w:szCs w:val="22"/>
        </w:rPr>
        <w:t xml:space="preserve">number of individuals </w:t>
      </w:r>
      <w:r w:rsidR="00886F38">
        <w:rPr>
          <w:sz w:val="22"/>
          <w:szCs w:val="22"/>
        </w:rPr>
        <w:t xml:space="preserve">from CY 2009 through CY 2019 </w:t>
      </w:r>
      <w:r w:rsidRPr="009C6451">
        <w:rPr>
          <w:sz w:val="22"/>
          <w:szCs w:val="22"/>
        </w:rPr>
        <w:t xml:space="preserve">with </w:t>
      </w:r>
      <w:r>
        <w:rPr>
          <w:sz w:val="22"/>
          <w:szCs w:val="22"/>
        </w:rPr>
        <w:t xml:space="preserve">a positive drug test result or identified as </w:t>
      </w:r>
      <w:r w:rsidRPr="00CD4D83">
        <w:rPr>
          <w:sz w:val="22"/>
          <w:szCs w:val="22"/>
        </w:rPr>
        <w:t>attempting to subvert a test.  The estimated benefits in detection apply to seven</w:t>
      </w:r>
      <w:r>
        <w:rPr>
          <w:sz w:val="22"/>
          <w:szCs w:val="22"/>
        </w:rPr>
        <w:t xml:space="preserve"> qualitatively analyzed attributes described in Section 4.1:  </w:t>
      </w:r>
      <w:r w:rsidRPr="00D1470D">
        <w:rPr>
          <w:rFonts w:cs="Arial"/>
          <w:sz w:val="22"/>
          <w:szCs w:val="22"/>
        </w:rPr>
        <w:t>public health (accident)</w:t>
      </w:r>
      <w:r w:rsidR="00646A79">
        <w:rPr>
          <w:rFonts w:cs="Arial"/>
          <w:sz w:val="22"/>
          <w:szCs w:val="22"/>
        </w:rPr>
        <w:t>,</w:t>
      </w:r>
      <w:r w:rsidRPr="00D1470D">
        <w:rPr>
          <w:rFonts w:cs="Arial"/>
          <w:sz w:val="22"/>
          <w:szCs w:val="22"/>
        </w:rPr>
        <w:t xml:space="preserve"> occupational health (accident)</w:t>
      </w:r>
      <w:r w:rsidR="00646A79">
        <w:rPr>
          <w:rFonts w:cs="Arial"/>
          <w:sz w:val="22"/>
          <w:szCs w:val="22"/>
        </w:rPr>
        <w:t>,</w:t>
      </w:r>
      <w:r w:rsidRPr="00D1470D">
        <w:rPr>
          <w:rFonts w:cs="Arial"/>
          <w:sz w:val="22"/>
          <w:szCs w:val="22"/>
        </w:rPr>
        <w:t xml:space="preserve"> offsite property</w:t>
      </w:r>
      <w:r w:rsidR="00646A79">
        <w:rPr>
          <w:rFonts w:cs="Arial"/>
          <w:sz w:val="22"/>
          <w:szCs w:val="22"/>
        </w:rPr>
        <w:t>,</w:t>
      </w:r>
      <w:r w:rsidRPr="00D1470D">
        <w:rPr>
          <w:rFonts w:cs="Arial"/>
          <w:sz w:val="22"/>
          <w:szCs w:val="22"/>
        </w:rPr>
        <w:t xml:space="preserve"> onsite property</w:t>
      </w:r>
      <w:r w:rsidR="00646A79">
        <w:rPr>
          <w:rFonts w:cs="Arial"/>
          <w:sz w:val="22"/>
          <w:szCs w:val="22"/>
        </w:rPr>
        <w:t>,</w:t>
      </w:r>
      <w:r w:rsidRPr="00D1470D">
        <w:rPr>
          <w:rFonts w:cs="Arial"/>
          <w:sz w:val="22"/>
          <w:szCs w:val="22"/>
        </w:rPr>
        <w:t xml:space="preserve"> regulatory efficiency</w:t>
      </w:r>
      <w:r w:rsidR="00646A79">
        <w:rPr>
          <w:rFonts w:cs="Arial"/>
          <w:sz w:val="22"/>
          <w:szCs w:val="22"/>
        </w:rPr>
        <w:t>,</w:t>
      </w:r>
      <w:r w:rsidRPr="00D1470D">
        <w:rPr>
          <w:rFonts w:cs="Arial"/>
          <w:sz w:val="22"/>
          <w:szCs w:val="22"/>
        </w:rPr>
        <w:t xml:space="preserve"> safeguards and security considerations</w:t>
      </w:r>
      <w:r w:rsidR="00646A79">
        <w:rPr>
          <w:rFonts w:cs="Arial"/>
          <w:sz w:val="22"/>
          <w:szCs w:val="22"/>
        </w:rPr>
        <w:t>,</w:t>
      </w:r>
      <w:r>
        <w:rPr>
          <w:rFonts w:cs="Arial"/>
          <w:sz w:val="22"/>
          <w:szCs w:val="22"/>
        </w:rPr>
        <w:t xml:space="preserve"> and other considerations (</w:t>
      </w:r>
      <w:r w:rsidRPr="00D1470D">
        <w:rPr>
          <w:rFonts w:cs="Arial"/>
          <w:sz w:val="22"/>
          <w:szCs w:val="22"/>
        </w:rPr>
        <w:t xml:space="preserve">public </w:t>
      </w:r>
      <w:r w:rsidRPr="00FD035F">
        <w:rPr>
          <w:rFonts w:cs="Arial"/>
          <w:sz w:val="22"/>
          <w:szCs w:val="22"/>
        </w:rPr>
        <w:t>perception</w:t>
      </w:r>
      <w:r w:rsidR="00646A79">
        <w:rPr>
          <w:rFonts w:cs="Arial"/>
          <w:sz w:val="22"/>
          <w:szCs w:val="22"/>
        </w:rPr>
        <w:t>,</w:t>
      </w:r>
      <w:r w:rsidRPr="00FD035F">
        <w:rPr>
          <w:rFonts w:cs="Arial"/>
          <w:sz w:val="22"/>
          <w:szCs w:val="22"/>
        </w:rPr>
        <w:t xml:space="preserve"> workplace productivity</w:t>
      </w:r>
      <w:r w:rsidR="00646A79">
        <w:rPr>
          <w:rFonts w:cs="Arial"/>
          <w:sz w:val="22"/>
          <w:szCs w:val="22"/>
        </w:rPr>
        <w:t>,</w:t>
      </w:r>
      <w:r w:rsidRPr="00FD035F">
        <w:rPr>
          <w:rFonts w:cs="Arial"/>
          <w:sz w:val="22"/>
          <w:szCs w:val="22"/>
        </w:rPr>
        <w:t xml:space="preserve"> workplace safety</w:t>
      </w:r>
      <w:r w:rsidR="00646A79">
        <w:rPr>
          <w:rFonts w:cs="Arial"/>
          <w:sz w:val="22"/>
          <w:szCs w:val="22"/>
        </w:rPr>
        <w:t>,</w:t>
      </w:r>
      <w:r w:rsidRPr="00FD035F">
        <w:rPr>
          <w:rFonts w:cs="Arial"/>
          <w:sz w:val="22"/>
          <w:szCs w:val="22"/>
        </w:rPr>
        <w:t xml:space="preserve"> and improved protection of individual rights</w:t>
      </w:r>
      <w:r>
        <w:rPr>
          <w:rFonts w:cs="Arial"/>
          <w:sz w:val="22"/>
          <w:szCs w:val="22"/>
        </w:rPr>
        <w:t>)</w:t>
      </w:r>
      <w:r w:rsidRPr="00FD035F">
        <w:rPr>
          <w:rFonts w:eastAsia="Calibri" w:cs="Arial"/>
          <w:sz w:val="22"/>
          <w:szCs w:val="22"/>
        </w:rPr>
        <w:t>.</w:t>
      </w:r>
      <w:r>
        <w:rPr>
          <w:rFonts w:eastAsia="Calibri" w:cs="Arial"/>
          <w:sz w:val="22"/>
          <w:szCs w:val="22"/>
        </w:rPr>
        <w:t xml:space="preserve">  </w:t>
      </w:r>
      <w:r>
        <w:rPr>
          <w:sz w:val="22"/>
          <w:szCs w:val="22"/>
        </w:rPr>
        <w:t>T</w:t>
      </w:r>
      <w:r w:rsidRPr="005A5966">
        <w:rPr>
          <w:sz w:val="22"/>
          <w:szCs w:val="22"/>
        </w:rPr>
        <w:t xml:space="preserve">he </w:t>
      </w:r>
      <w:r w:rsidR="00624379">
        <w:rPr>
          <w:sz w:val="22"/>
          <w:szCs w:val="22"/>
        </w:rPr>
        <w:t xml:space="preserve">final </w:t>
      </w:r>
      <w:r>
        <w:rPr>
          <w:sz w:val="22"/>
          <w:szCs w:val="22"/>
        </w:rPr>
        <w:t>rule accomplish</w:t>
      </w:r>
      <w:r w:rsidR="001C2A69">
        <w:rPr>
          <w:sz w:val="22"/>
          <w:szCs w:val="22"/>
        </w:rPr>
        <w:t>es</w:t>
      </w:r>
      <w:r>
        <w:rPr>
          <w:sz w:val="22"/>
          <w:szCs w:val="22"/>
        </w:rPr>
        <w:t xml:space="preserve"> this by lowering the testing cutoff levels and improving the methods of detection for </w:t>
      </w:r>
      <w:r w:rsidR="001648AA">
        <w:rPr>
          <w:sz w:val="22"/>
          <w:szCs w:val="22"/>
        </w:rPr>
        <w:t>existing drugs in the testing panel (</w:t>
      </w:r>
      <w:r>
        <w:rPr>
          <w:sz w:val="22"/>
          <w:szCs w:val="22"/>
        </w:rPr>
        <w:t>amphetamine</w:t>
      </w:r>
      <w:r w:rsidR="00646A79">
        <w:rPr>
          <w:sz w:val="22"/>
          <w:szCs w:val="22"/>
        </w:rPr>
        <w:t>,</w:t>
      </w:r>
      <w:r>
        <w:rPr>
          <w:sz w:val="22"/>
          <w:szCs w:val="22"/>
        </w:rPr>
        <w:t xml:space="preserve"> cocaine</w:t>
      </w:r>
      <w:r w:rsidR="00646A79">
        <w:rPr>
          <w:sz w:val="22"/>
          <w:szCs w:val="22"/>
        </w:rPr>
        <w:t>,</w:t>
      </w:r>
      <w:r>
        <w:rPr>
          <w:sz w:val="22"/>
          <w:szCs w:val="22"/>
        </w:rPr>
        <w:t xml:space="preserve"> methamphetamine</w:t>
      </w:r>
      <w:r w:rsidR="00646A79">
        <w:rPr>
          <w:sz w:val="22"/>
          <w:szCs w:val="22"/>
        </w:rPr>
        <w:t>,</w:t>
      </w:r>
      <w:r>
        <w:rPr>
          <w:sz w:val="22"/>
          <w:szCs w:val="22"/>
        </w:rPr>
        <w:t xml:space="preserve"> and heroin</w:t>
      </w:r>
      <w:r w:rsidR="001648AA">
        <w:rPr>
          <w:sz w:val="22"/>
          <w:szCs w:val="22"/>
        </w:rPr>
        <w:t>) and addi</w:t>
      </w:r>
      <w:r w:rsidR="00A443AB">
        <w:rPr>
          <w:sz w:val="22"/>
          <w:szCs w:val="22"/>
        </w:rPr>
        <w:t xml:space="preserve">ng six </w:t>
      </w:r>
      <w:r w:rsidR="00B0693A">
        <w:rPr>
          <w:sz w:val="22"/>
          <w:szCs w:val="22"/>
        </w:rPr>
        <w:t xml:space="preserve">impairing </w:t>
      </w:r>
      <w:r w:rsidR="00A443AB">
        <w:rPr>
          <w:sz w:val="22"/>
          <w:szCs w:val="22"/>
        </w:rPr>
        <w:t xml:space="preserve">substances </w:t>
      </w:r>
      <w:r w:rsidR="001648AA">
        <w:rPr>
          <w:sz w:val="22"/>
          <w:szCs w:val="22"/>
        </w:rPr>
        <w:t>to the testing panel (</w:t>
      </w:r>
      <w:r w:rsidR="00F331D0">
        <w:rPr>
          <w:sz w:val="22"/>
          <w:szCs w:val="22"/>
        </w:rPr>
        <w:t>hydrocodone</w:t>
      </w:r>
      <w:r w:rsidR="001648AA">
        <w:rPr>
          <w:sz w:val="22"/>
          <w:szCs w:val="22"/>
        </w:rPr>
        <w:t xml:space="preserve">, </w:t>
      </w:r>
      <w:r w:rsidR="00F331D0">
        <w:rPr>
          <w:sz w:val="22"/>
          <w:szCs w:val="22"/>
        </w:rPr>
        <w:t>hydromorphone</w:t>
      </w:r>
      <w:r w:rsidR="001648AA">
        <w:rPr>
          <w:sz w:val="22"/>
          <w:szCs w:val="22"/>
        </w:rPr>
        <w:t xml:space="preserve">, </w:t>
      </w:r>
      <w:r w:rsidRPr="00E45603" w:rsidR="004B5413">
        <w:rPr>
          <w:sz w:val="22"/>
          <w:szCs w:val="22"/>
        </w:rPr>
        <w:t xml:space="preserve">methylenedioxymethamphetamine </w:t>
      </w:r>
      <w:r w:rsidR="004B5413">
        <w:rPr>
          <w:sz w:val="22"/>
          <w:szCs w:val="22"/>
        </w:rPr>
        <w:t>(</w:t>
      </w:r>
      <w:r w:rsidR="00805D14">
        <w:rPr>
          <w:sz w:val="22"/>
          <w:szCs w:val="22"/>
        </w:rPr>
        <w:t>MDMA</w:t>
      </w:r>
      <w:r w:rsidR="004B5413">
        <w:rPr>
          <w:sz w:val="22"/>
          <w:szCs w:val="22"/>
        </w:rPr>
        <w:t>)</w:t>
      </w:r>
      <w:r w:rsidR="00805D14">
        <w:rPr>
          <w:sz w:val="22"/>
          <w:szCs w:val="22"/>
        </w:rPr>
        <w:t xml:space="preserve">, </w:t>
      </w:r>
      <w:r w:rsidRPr="00E45603" w:rsidR="0038049A">
        <w:rPr>
          <w:sz w:val="22"/>
          <w:szCs w:val="22"/>
        </w:rPr>
        <w:t>methylenedioxyamphetamine</w:t>
      </w:r>
      <w:r w:rsidR="0038049A">
        <w:rPr>
          <w:sz w:val="22"/>
          <w:szCs w:val="22"/>
        </w:rPr>
        <w:t xml:space="preserve"> (</w:t>
      </w:r>
      <w:r w:rsidR="00805D14">
        <w:rPr>
          <w:sz w:val="22"/>
          <w:szCs w:val="22"/>
        </w:rPr>
        <w:t>MDA</w:t>
      </w:r>
      <w:r w:rsidR="0038049A">
        <w:rPr>
          <w:sz w:val="22"/>
          <w:szCs w:val="22"/>
        </w:rPr>
        <w:t>)</w:t>
      </w:r>
      <w:r w:rsidR="00805D14">
        <w:rPr>
          <w:sz w:val="22"/>
          <w:szCs w:val="22"/>
        </w:rPr>
        <w:t xml:space="preserve">, </w:t>
      </w:r>
      <w:r w:rsidR="0043084F">
        <w:rPr>
          <w:sz w:val="22"/>
          <w:szCs w:val="22"/>
        </w:rPr>
        <w:t>oxycodone</w:t>
      </w:r>
      <w:r w:rsidR="001648AA">
        <w:rPr>
          <w:sz w:val="22"/>
          <w:szCs w:val="22"/>
        </w:rPr>
        <w:t xml:space="preserve">, and </w:t>
      </w:r>
      <w:r w:rsidR="00EB1E42">
        <w:rPr>
          <w:sz w:val="22"/>
          <w:szCs w:val="22"/>
        </w:rPr>
        <w:t>oxymorphone</w:t>
      </w:r>
      <w:r w:rsidR="001648AA">
        <w:rPr>
          <w:sz w:val="22"/>
          <w:szCs w:val="22"/>
        </w:rPr>
        <w:t>)</w:t>
      </w:r>
      <w:r>
        <w:rPr>
          <w:sz w:val="22"/>
          <w:szCs w:val="22"/>
        </w:rPr>
        <w:t xml:space="preserve">.  Enhanced testing capabilities </w:t>
      </w:r>
      <w:r w:rsidR="00A261C9">
        <w:rPr>
          <w:sz w:val="22"/>
          <w:szCs w:val="22"/>
        </w:rPr>
        <w:t>and an expand</w:t>
      </w:r>
      <w:r w:rsidR="00597B3F">
        <w:rPr>
          <w:sz w:val="22"/>
          <w:szCs w:val="22"/>
        </w:rPr>
        <w:t>ed</w:t>
      </w:r>
      <w:r w:rsidR="00A261C9">
        <w:rPr>
          <w:sz w:val="22"/>
          <w:szCs w:val="22"/>
        </w:rPr>
        <w:t xml:space="preserve"> testing panel </w:t>
      </w:r>
      <w:r>
        <w:rPr>
          <w:sz w:val="22"/>
          <w:szCs w:val="22"/>
        </w:rPr>
        <w:t xml:space="preserve">may </w:t>
      </w:r>
      <w:r w:rsidR="00B92C3A">
        <w:rPr>
          <w:sz w:val="22"/>
          <w:szCs w:val="22"/>
        </w:rPr>
        <w:t>improve the early</w:t>
      </w:r>
      <w:r>
        <w:rPr>
          <w:sz w:val="22"/>
          <w:szCs w:val="22"/>
        </w:rPr>
        <w:t xml:space="preserve"> identification of additional individuals </w:t>
      </w:r>
      <w:r w:rsidR="00382093">
        <w:rPr>
          <w:sz w:val="22"/>
          <w:szCs w:val="22"/>
        </w:rPr>
        <w:t>using</w:t>
      </w:r>
      <w:r w:rsidR="00A261C9">
        <w:rPr>
          <w:sz w:val="22"/>
          <w:szCs w:val="22"/>
        </w:rPr>
        <w:t xml:space="preserve"> </w:t>
      </w:r>
      <w:r w:rsidR="00382093">
        <w:rPr>
          <w:sz w:val="22"/>
          <w:szCs w:val="22"/>
        </w:rPr>
        <w:t xml:space="preserve">drugs </w:t>
      </w:r>
      <w:r w:rsidR="00FD2A2C">
        <w:rPr>
          <w:sz w:val="22"/>
          <w:szCs w:val="22"/>
        </w:rPr>
        <w:t xml:space="preserve">(i.e., pre-access, random, and </w:t>
      </w:r>
      <w:r w:rsidR="00D04CC1">
        <w:rPr>
          <w:sz w:val="22"/>
          <w:szCs w:val="22"/>
        </w:rPr>
        <w:t>follow</w:t>
      </w:r>
      <w:r w:rsidR="00FD06C3">
        <w:rPr>
          <w:sz w:val="22"/>
          <w:szCs w:val="22"/>
        </w:rPr>
        <w:t>up</w:t>
      </w:r>
      <w:r w:rsidR="00FD2A2C">
        <w:rPr>
          <w:sz w:val="22"/>
          <w:szCs w:val="22"/>
        </w:rPr>
        <w:t xml:space="preserve"> test</w:t>
      </w:r>
      <w:r w:rsidR="007F1997">
        <w:rPr>
          <w:sz w:val="22"/>
          <w:szCs w:val="22"/>
        </w:rPr>
        <w:t>s</w:t>
      </w:r>
      <w:r w:rsidR="00FD2A2C">
        <w:rPr>
          <w:sz w:val="22"/>
          <w:szCs w:val="22"/>
        </w:rPr>
        <w:t xml:space="preserve">) </w:t>
      </w:r>
      <w:r w:rsidR="007F1997">
        <w:rPr>
          <w:sz w:val="22"/>
          <w:szCs w:val="22"/>
        </w:rPr>
        <w:t xml:space="preserve">instead of </w:t>
      </w:r>
      <w:r w:rsidR="002117B8">
        <w:rPr>
          <w:sz w:val="22"/>
          <w:szCs w:val="22"/>
        </w:rPr>
        <w:t xml:space="preserve">by </w:t>
      </w:r>
      <w:r w:rsidR="00C71946">
        <w:rPr>
          <w:sz w:val="22"/>
          <w:szCs w:val="22"/>
        </w:rPr>
        <w:t>test</w:t>
      </w:r>
      <w:r w:rsidR="002117B8">
        <w:rPr>
          <w:sz w:val="22"/>
          <w:szCs w:val="22"/>
        </w:rPr>
        <w:t xml:space="preserve">s </w:t>
      </w:r>
      <w:r w:rsidR="00C71946">
        <w:rPr>
          <w:sz w:val="22"/>
          <w:szCs w:val="22"/>
        </w:rPr>
        <w:t xml:space="preserve">performed </w:t>
      </w:r>
      <w:r>
        <w:rPr>
          <w:sz w:val="22"/>
          <w:szCs w:val="22"/>
        </w:rPr>
        <w:t xml:space="preserve">as a result of possible impairment </w:t>
      </w:r>
      <w:r w:rsidR="00FD2A2C">
        <w:rPr>
          <w:sz w:val="22"/>
          <w:szCs w:val="22"/>
        </w:rPr>
        <w:t>or</w:t>
      </w:r>
      <w:r w:rsidR="002117B8">
        <w:rPr>
          <w:sz w:val="22"/>
          <w:szCs w:val="22"/>
        </w:rPr>
        <w:t xml:space="preserve"> a</w:t>
      </w:r>
      <w:r w:rsidR="00FD2A2C">
        <w:rPr>
          <w:sz w:val="22"/>
          <w:szCs w:val="22"/>
        </w:rPr>
        <w:t xml:space="preserve"> safety event </w:t>
      </w:r>
      <w:r w:rsidR="007F1997">
        <w:rPr>
          <w:sz w:val="22"/>
          <w:szCs w:val="22"/>
        </w:rPr>
        <w:t>(i.e., for-cause and post-event tests)</w:t>
      </w:r>
      <w:r>
        <w:rPr>
          <w:sz w:val="22"/>
          <w:szCs w:val="22"/>
        </w:rPr>
        <w:t>.  The dominant safety effect of th</w:t>
      </w:r>
      <w:r w:rsidR="00624379">
        <w:rPr>
          <w:sz w:val="22"/>
          <w:szCs w:val="22"/>
        </w:rPr>
        <w:t>is</w:t>
      </w:r>
      <w:r>
        <w:rPr>
          <w:sz w:val="22"/>
          <w:szCs w:val="22"/>
        </w:rPr>
        <w:t xml:space="preserve"> rule </w:t>
      </w:r>
      <w:r w:rsidR="005D6BCE">
        <w:rPr>
          <w:sz w:val="22"/>
          <w:szCs w:val="22"/>
        </w:rPr>
        <w:t>is</w:t>
      </w:r>
      <w:r>
        <w:rPr>
          <w:sz w:val="22"/>
          <w:szCs w:val="22"/>
        </w:rPr>
        <w:t xml:space="preserve"> to maintain reasonable assurance of a workplace free of impairing drugs and the effects of such substances (both </w:t>
      </w:r>
      <w:r w:rsidRPr="006F366B">
        <w:rPr>
          <w:sz w:val="22"/>
          <w:szCs w:val="22"/>
        </w:rPr>
        <w:t>illegal drugs</w:t>
      </w:r>
      <w:r>
        <w:rPr>
          <w:sz w:val="22"/>
          <w:szCs w:val="22"/>
        </w:rPr>
        <w:t xml:space="preserve"> and the misuse of legal drugs)</w:t>
      </w:r>
      <w:r w:rsidRPr="00F14310">
        <w:rPr>
          <w:sz w:val="22"/>
          <w:szCs w:val="22"/>
        </w:rPr>
        <w:t>.</w:t>
      </w:r>
    </w:p>
    <w:p w:rsidRPr="00D04CC1" w:rsidR="00D520BD" w:rsidP="00D04CC1" w:rsidRDefault="00D520BD" w14:paraId="079A7B04" w14:textId="23DE243F">
      <w:pPr>
        <w:numPr>
          <w:ilvl w:val="12"/>
          <w:numId w:val="0"/>
        </w:numPr>
        <w:tabs>
          <w:tab w:val="left" w:pos="0"/>
          <w:tab w:val="left" w:pos="720"/>
          <w:tab w:val="left" w:pos="1284"/>
        </w:tabs>
        <w:rPr>
          <w:sz w:val="22"/>
          <w:szCs w:val="22"/>
        </w:rPr>
      </w:pPr>
    </w:p>
    <w:p w:rsidRPr="008D1DF5" w:rsidR="00D520BD" w:rsidP="00D520BD" w:rsidRDefault="00D520BD" w14:paraId="4C6DFD0D" w14:textId="77777777">
      <w:pPr>
        <w:autoSpaceDE/>
        <w:autoSpaceDN/>
        <w:adjustRightInd/>
        <w:rPr>
          <w:rFonts w:cs="Arial"/>
          <w:kern w:val="32"/>
          <w:sz w:val="22"/>
          <w:szCs w:val="22"/>
        </w:rPr>
      </w:pPr>
      <w:bookmarkStart w:name="_Toc460412599" w:id="70"/>
      <w:r w:rsidRPr="008D1DF5">
        <w:rPr>
          <w:sz w:val="22"/>
          <w:szCs w:val="22"/>
        </w:rPr>
        <w:br w:type="page"/>
      </w:r>
    </w:p>
    <w:p w:rsidRPr="005A5966" w:rsidR="00D520BD" w:rsidP="00D520BD" w:rsidRDefault="00D520BD" w14:paraId="3291C932" w14:textId="4EF10EBB">
      <w:pPr>
        <w:pStyle w:val="Heading1"/>
      </w:pPr>
      <w:bookmarkStart w:name="_Toc72840017" w:id="71"/>
      <w:bookmarkStart w:name="_Toc105681490" w:id="72"/>
      <w:r>
        <w:lastRenderedPageBreak/>
        <w:t>4</w:t>
      </w:r>
      <w:r w:rsidRPr="005A5966">
        <w:t>.</w:t>
      </w:r>
      <w:r w:rsidRPr="005A5966">
        <w:tab/>
        <w:t>Evaluation of Benefits and Costs</w:t>
      </w:r>
      <w:bookmarkEnd w:id="61"/>
      <w:bookmarkEnd w:id="62"/>
      <w:bookmarkEnd w:id="63"/>
      <w:bookmarkEnd w:id="70"/>
      <w:bookmarkEnd w:id="71"/>
      <w:bookmarkEnd w:id="72"/>
    </w:p>
    <w:p w:rsidRPr="005A5966" w:rsidR="00D520BD" w:rsidP="00D520BD" w:rsidRDefault="00D520BD" w14:paraId="1DE0451A" w14:textId="77777777">
      <w:pPr>
        <w:keepNext/>
        <w:keepLines/>
        <w:numPr>
          <w:ilvl w:val="12"/>
          <w:numId w:val="0"/>
        </w:numPr>
        <w:tabs>
          <w:tab w:val="left" w:pos="721"/>
        </w:tabs>
        <w:rPr>
          <w:sz w:val="22"/>
          <w:szCs w:val="22"/>
        </w:rPr>
      </w:pPr>
    </w:p>
    <w:p w:rsidR="00D520BD" w:rsidP="00D520BD" w:rsidRDefault="00D520BD" w14:paraId="3FC7CA4A" w14:textId="13CB7AB5">
      <w:pPr>
        <w:numPr>
          <w:ilvl w:val="12"/>
          <w:numId w:val="0"/>
        </w:numPr>
        <w:tabs>
          <w:tab w:val="left" w:pos="721"/>
        </w:tabs>
        <w:rPr>
          <w:sz w:val="22"/>
          <w:szCs w:val="22"/>
        </w:rPr>
      </w:pPr>
      <w:r w:rsidRPr="005A5966">
        <w:rPr>
          <w:sz w:val="22"/>
          <w:szCs w:val="22"/>
        </w:rPr>
        <w:t xml:space="preserve">This section examines the benefits and costs </w:t>
      </w:r>
      <w:r>
        <w:rPr>
          <w:sz w:val="22"/>
          <w:szCs w:val="22"/>
        </w:rPr>
        <w:t>estimated</w:t>
      </w:r>
      <w:r w:rsidRPr="005A5966">
        <w:rPr>
          <w:sz w:val="22"/>
          <w:szCs w:val="22"/>
        </w:rPr>
        <w:t xml:space="preserve"> to result from this rulemaking</w:t>
      </w:r>
      <w:r>
        <w:rPr>
          <w:sz w:val="22"/>
          <w:szCs w:val="22"/>
        </w:rPr>
        <w:t xml:space="preserve"> when compared to Alternative 1 (</w:t>
      </w:r>
      <w:r w:rsidR="004E5ACE">
        <w:rPr>
          <w:sz w:val="22"/>
          <w:szCs w:val="22"/>
        </w:rPr>
        <w:t xml:space="preserve">Take </w:t>
      </w:r>
      <w:r>
        <w:rPr>
          <w:sz w:val="22"/>
          <w:szCs w:val="22"/>
        </w:rPr>
        <w:t>No Action</w:t>
      </w:r>
      <w:r w:rsidR="00A33207">
        <w:rPr>
          <w:sz w:val="22"/>
          <w:szCs w:val="22"/>
        </w:rPr>
        <w:t xml:space="preserve"> alternative</w:t>
      </w:r>
      <w:r>
        <w:rPr>
          <w:sz w:val="22"/>
          <w:szCs w:val="22"/>
        </w:rPr>
        <w:t>)</w:t>
      </w:r>
      <w:r w:rsidRPr="005A5966">
        <w:rPr>
          <w:sz w:val="22"/>
          <w:szCs w:val="22"/>
        </w:rPr>
        <w:t>.  Section</w:t>
      </w:r>
      <w:r>
        <w:rPr>
          <w:sz w:val="22"/>
          <w:szCs w:val="22"/>
        </w:rPr>
        <w:t> 4</w:t>
      </w:r>
      <w:r w:rsidRPr="005A5966">
        <w:rPr>
          <w:sz w:val="22"/>
          <w:szCs w:val="22"/>
        </w:rPr>
        <w:t>.1 identifies attributes expected to be affected by the rulemaking.  Section</w:t>
      </w:r>
      <w:r>
        <w:rPr>
          <w:sz w:val="22"/>
          <w:szCs w:val="22"/>
        </w:rPr>
        <w:t> 4</w:t>
      </w:r>
      <w:r w:rsidRPr="005A5966">
        <w:rPr>
          <w:sz w:val="22"/>
          <w:szCs w:val="22"/>
        </w:rPr>
        <w:t>.2 describes how</w:t>
      </w:r>
      <w:r>
        <w:rPr>
          <w:sz w:val="22"/>
          <w:szCs w:val="22"/>
        </w:rPr>
        <w:t xml:space="preserve"> the </w:t>
      </w:r>
      <w:r w:rsidR="009F415F">
        <w:rPr>
          <w:sz w:val="22"/>
          <w:szCs w:val="22"/>
        </w:rPr>
        <w:t xml:space="preserve">NRC </w:t>
      </w:r>
      <w:r>
        <w:rPr>
          <w:sz w:val="22"/>
          <w:szCs w:val="22"/>
        </w:rPr>
        <w:t>staff analyzed</w:t>
      </w:r>
      <w:r w:rsidRPr="005A5966">
        <w:rPr>
          <w:sz w:val="22"/>
          <w:szCs w:val="22"/>
        </w:rPr>
        <w:t xml:space="preserve"> benefits and costs.</w:t>
      </w:r>
    </w:p>
    <w:p w:rsidRPr="005A5966" w:rsidR="00D520BD" w:rsidP="00D520BD" w:rsidRDefault="00D520BD" w14:paraId="6EA85C89" w14:textId="77777777">
      <w:pPr>
        <w:numPr>
          <w:ilvl w:val="12"/>
          <w:numId w:val="0"/>
        </w:numPr>
        <w:tabs>
          <w:tab w:val="left" w:pos="721"/>
        </w:tabs>
        <w:rPr>
          <w:sz w:val="22"/>
          <w:szCs w:val="22"/>
        </w:rPr>
      </w:pPr>
    </w:p>
    <w:p w:rsidRPr="005A5966" w:rsidR="00D520BD" w:rsidP="00D520BD" w:rsidRDefault="00D520BD" w14:paraId="4BF2E3F0" w14:textId="77777777">
      <w:pPr>
        <w:pStyle w:val="Heading2"/>
      </w:pPr>
      <w:bookmarkStart w:name="_Toc199932649" w:id="73"/>
      <w:bookmarkStart w:name="_Toc460412600" w:id="74"/>
      <w:bookmarkStart w:name="_Toc72840018" w:id="75"/>
      <w:bookmarkStart w:name="_Toc105681491" w:id="76"/>
      <w:r>
        <w:t>4</w:t>
      </w:r>
      <w:r w:rsidRPr="005A5966">
        <w:t>.1</w:t>
      </w:r>
      <w:r w:rsidRPr="005A5966">
        <w:tab/>
        <w:t>Identification of Affected Attributes</w:t>
      </w:r>
      <w:bookmarkEnd w:id="73"/>
      <w:bookmarkEnd w:id="74"/>
      <w:bookmarkEnd w:id="75"/>
      <w:bookmarkEnd w:id="76"/>
    </w:p>
    <w:p w:rsidRPr="005A5966" w:rsidR="00D520BD" w:rsidP="00D520BD" w:rsidRDefault="00D520BD" w14:paraId="401F44E1" w14:textId="77777777">
      <w:pPr>
        <w:keepNext/>
        <w:keepLines/>
        <w:numPr>
          <w:ilvl w:val="12"/>
          <w:numId w:val="0"/>
        </w:numPr>
        <w:tabs>
          <w:tab w:val="left" w:pos="721"/>
        </w:tabs>
        <w:rPr>
          <w:sz w:val="22"/>
          <w:szCs w:val="22"/>
        </w:rPr>
      </w:pPr>
    </w:p>
    <w:p w:rsidRPr="007118B9" w:rsidR="00D520BD" w:rsidP="00D520BD" w:rsidRDefault="00D520BD" w14:paraId="0AA24BA6" w14:textId="2CAD0F9D">
      <w:pPr>
        <w:numPr>
          <w:ilvl w:val="12"/>
          <w:numId w:val="0"/>
        </w:numPr>
        <w:tabs>
          <w:tab w:val="left" w:pos="721"/>
        </w:tabs>
        <w:rPr>
          <w:sz w:val="22"/>
          <w:szCs w:val="22"/>
        </w:rPr>
      </w:pPr>
      <w:r w:rsidRPr="007118B9">
        <w:rPr>
          <w:sz w:val="22"/>
          <w:szCs w:val="22"/>
        </w:rPr>
        <w:t>This section identifies the factors within the public and private sectors that the regulatory alternatives discussed in Section</w:t>
      </w:r>
      <w:r>
        <w:rPr>
          <w:sz w:val="22"/>
          <w:szCs w:val="22"/>
        </w:rPr>
        <w:t> </w:t>
      </w:r>
      <w:r w:rsidRPr="007118B9">
        <w:rPr>
          <w:sz w:val="22"/>
          <w:szCs w:val="22"/>
        </w:rPr>
        <w:t xml:space="preserve">2 are expected to affect.  These factors are classified as </w:t>
      </w:r>
      <w:r w:rsidR="00646A79">
        <w:rPr>
          <w:sz w:val="22"/>
          <w:szCs w:val="22"/>
        </w:rPr>
        <w:t>“</w:t>
      </w:r>
      <w:r w:rsidRPr="007118B9">
        <w:rPr>
          <w:sz w:val="22"/>
          <w:szCs w:val="22"/>
        </w:rPr>
        <w:t>attributes</w:t>
      </w:r>
      <w:r w:rsidR="00646A79">
        <w:rPr>
          <w:sz w:val="22"/>
          <w:szCs w:val="22"/>
        </w:rPr>
        <w:t>”</w:t>
      </w:r>
      <w:r w:rsidRPr="007118B9">
        <w:rPr>
          <w:sz w:val="22"/>
          <w:szCs w:val="22"/>
        </w:rPr>
        <w:t xml:space="preserve"> using the list of potential attributes provided in Chapter</w:t>
      </w:r>
      <w:r>
        <w:rPr>
          <w:sz w:val="22"/>
          <w:szCs w:val="22"/>
        </w:rPr>
        <w:t> </w:t>
      </w:r>
      <w:r w:rsidRPr="007118B9">
        <w:rPr>
          <w:sz w:val="22"/>
          <w:szCs w:val="22"/>
        </w:rPr>
        <w:t>5 of NUREG/BR-0</w:t>
      </w:r>
      <w:r w:rsidR="00773487">
        <w:rPr>
          <w:sz w:val="22"/>
          <w:szCs w:val="22"/>
        </w:rPr>
        <w:t>058</w:t>
      </w:r>
      <w:r w:rsidR="00646A79">
        <w:rPr>
          <w:sz w:val="22"/>
          <w:szCs w:val="22"/>
        </w:rPr>
        <w:t>,</w:t>
      </w:r>
      <w:r w:rsidRPr="007118B9">
        <w:rPr>
          <w:sz w:val="22"/>
          <w:szCs w:val="22"/>
        </w:rPr>
        <w:t xml:space="preserve"> </w:t>
      </w:r>
      <w:r w:rsidR="00C44124">
        <w:rPr>
          <w:sz w:val="22"/>
          <w:szCs w:val="22"/>
        </w:rPr>
        <w:t>“</w:t>
      </w:r>
      <w:r w:rsidRPr="00F3317F" w:rsidR="00C44124">
        <w:rPr>
          <w:sz w:val="22"/>
          <w:szCs w:val="22"/>
        </w:rPr>
        <w:t>Regulatory Analysis Guidelines of the U.S. Nuclear Regulatory Commission</w:t>
      </w:r>
      <w:r w:rsidR="00C44124">
        <w:rPr>
          <w:sz w:val="22"/>
          <w:szCs w:val="22"/>
        </w:rPr>
        <w:t xml:space="preserve">,” draft Revision 5, issued </w:t>
      </w:r>
      <w:r w:rsidR="0014543A">
        <w:rPr>
          <w:sz w:val="22"/>
          <w:szCs w:val="22"/>
        </w:rPr>
        <w:t>February 2020</w:t>
      </w:r>
      <w:r w:rsidR="00C44124">
        <w:rPr>
          <w:sz w:val="22"/>
          <w:szCs w:val="22"/>
        </w:rPr>
        <w:t xml:space="preserve"> </w:t>
      </w:r>
      <w:r w:rsidRPr="007118B9">
        <w:rPr>
          <w:iCs/>
          <w:sz w:val="22"/>
          <w:szCs w:val="22"/>
        </w:rPr>
        <w:t>(</w:t>
      </w:r>
      <w:r w:rsidR="00773487">
        <w:rPr>
          <w:iCs/>
          <w:sz w:val="22"/>
          <w:szCs w:val="22"/>
        </w:rPr>
        <w:t>NRC</w:t>
      </w:r>
      <w:r w:rsidR="00646A79">
        <w:rPr>
          <w:iCs/>
          <w:sz w:val="22"/>
          <w:szCs w:val="22"/>
        </w:rPr>
        <w:t>,</w:t>
      </w:r>
      <w:r w:rsidR="00773487">
        <w:rPr>
          <w:iCs/>
          <w:sz w:val="22"/>
          <w:szCs w:val="22"/>
        </w:rPr>
        <w:t xml:space="preserve"> </w:t>
      </w:r>
      <w:r w:rsidR="0014543A">
        <w:rPr>
          <w:iCs/>
          <w:sz w:val="22"/>
          <w:szCs w:val="22"/>
        </w:rPr>
        <w:t>2020a</w:t>
      </w:r>
      <w:r w:rsidRPr="007118B9">
        <w:rPr>
          <w:iCs/>
          <w:sz w:val="22"/>
          <w:szCs w:val="22"/>
        </w:rPr>
        <w:t>)</w:t>
      </w:r>
      <w:r w:rsidRPr="007118B9">
        <w:rPr>
          <w:sz w:val="22"/>
          <w:szCs w:val="22"/>
        </w:rPr>
        <w:t xml:space="preserve">.  </w:t>
      </w:r>
      <w:r>
        <w:rPr>
          <w:sz w:val="22"/>
          <w:szCs w:val="22"/>
        </w:rPr>
        <w:t>Each of the following 10 attributes</w:t>
      </w:r>
      <w:r w:rsidRPr="007118B9">
        <w:rPr>
          <w:rFonts w:cs="Arial"/>
          <w:sz w:val="22"/>
          <w:szCs w:val="22"/>
        </w:rPr>
        <w:t xml:space="preserve"> </w:t>
      </w:r>
      <w:r>
        <w:rPr>
          <w:rFonts w:cs="Arial"/>
          <w:sz w:val="22"/>
          <w:szCs w:val="22"/>
        </w:rPr>
        <w:t xml:space="preserve">is </w:t>
      </w:r>
      <w:r w:rsidRPr="007118B9">
        <w:rPr>
          <w:rFonts w:cs="Arial"/>
          <w:sz w:val="22"/>
          <w:szCs w:val="22"/>
        </w:rPr>
        <w:t xml:space="preserve">quantified </w:t>
      </w:r>
      <w:r>
        <w:rPr>
          <w:rFonts w:cs="Arial"/>
          <w:sz w:val="22"/>
          <w:szCs w:val="22"/>
        </w:rPr>
        <w:t xml:space="preserve">when </w:t>
      </w:r>
      <w:r w:rsidRPr="007118B9">
        <w:rPr>
          <w:rFonts w:cs="Arial"/>
          <w:sz w:val="22"/>
          <w:szCs w:val="22"/>
        </w:rPr>
        <w:t>possible</w:t>
      </w:r>
      <w:r w:rsidR="0076392C">
        <w:rPr>
          <w:rFonts w:cs="Arial"/>
          <w:sz w:val="22"/>
          <w:szCs w:val="22"/>
        </w:rPr>
        <w:t>,</w:t>
      </w:r>
      <w:r w:rsidRPr="007118B9">
        <w:rPr>
          <w:rFonts w:cs="Arial"/>
          <w:sz w:val="22"/>
          <w:szCs w:val="22"/>
        </w:rPr>
        <w:t xml:space="preserve"> and an uncertainty analysis is performed to report benefit and cost estimate confidence levels and to identify those variables that most affect the variation in the results distribution</w:t>
      </w:r>
      <w:r>
        <w:rPr>
          <w:rFonts w:cs="Arial"/>
          <w:sz w:val="22"/>
          <w:szCs w:val="22"/>
        </w:rPr>
        <w:t>:</w:t>
      </w:r>
    </w:p>
    <w:p w:rsidRPr="007118B9" w:rsidR="00D520BD" w:rsidP="00D520BD" w:rsidRDefault="00D520BD" w14:paraId="0F3CE5F7" w14:textId="77777777">
      <w:pPr>
        <w:numPr>
          <w:ilvl w:val="12"/>
          <w:numId w:val="0"/>
        </w:numPr>
        <w:tabs>
          <w:tab w:val="left" w:pos="721"/>
        </w:tabs>
        <w:rPr>
          <w:sz w:val="22"/>
          <w:szCs w:val="22"/>
        </w:rPr>
      </w:pPr>
    </w:p>
    <w:p w:rsidRPr="00B10C2E" w:rsidR="00D520BD" w:rsidP="005C6BA3" w:rsidRDefault="00D520BD" w14:paraId="2E4EF339" w14:textId="52464E2A">
      <w:pPr>
        <w:pStyle w:val="ListParagraph"/>
        <w:numPr>
          <w:ilvl w:val="0"/>
          <w:numId w:val="38"/>
        </w:numPr>
        <w:ind w:hanging="720"/>
        <w:rPr>
          <w:sz w:val="22"/>
          <w:szCs w:val="22"/>
        </w:rPr>
      </w:pPr>
      <w:r w:rsidRPr="00B10C2E">
        <w:rPr>
          <w:sz w:val="22"/>
          <w:szCs w:val="22"/>
        </w:rPr>
        <w:t xml:space="preserve">Public Health (Accident):  The </w:t>
      </w:r>
      <w:r w:rsidR="005D6BCE">
        <w:rPr>
          <w:sz w:val="22"/>
          <w:szCs w:val="22"/>
        </w:rPr>
        <w:t xml:space="preserve">final </w:t>
      </w:r>
      <w:r w:rsidRPr="00B10C2E">
        <w:rPr>
          <w:sz w:val="22"/>
          <w:szCs w:val="22"/>
        </w:rPr>
        <w:t>rule reduce</w:t>
      </w:r>
      <w:r w:rsidR="005D6BCE">
        <w:rPr>
          <w:sz w:val="22"/>
          <w:szCs w:val="22"/>
        </w:rPr>
        <w:t>s</w:t>
      </w:r>
      <w:r w:rsidRPr="00B10C2E">
        <w:rPr>
          <w:sz w:val="22"/>
          <w:szCs w:val="22"/>
        </w:rPr>
        <w:t xml:space="preserve"> the risk to public health by helping to prevent events that may initiate or contribute to accidents or transients that could result in radiological releases to the environment.  The changes reduce this public health risk by identifying additional individuals </w:t>
      </w:r>
      <w:r w:rsidR="00AF4918">
        <w:rPr>
          <w:sz w:val="22"/>
          <w:szCs w:val="22"/>
        </w:rPr>
        <w:t>who</w:t>
      </w:r>
      <w:r w:rsidRPr="00B10C2E">
        <w:rPr>
          <w:sz w:val="22"/>
          <w:szCs w:val="22"/>
        </w:rPr>
        <w:t xml:space="preserve"> may be impaired by their use of illegal drugs or misuse of legal drugs</w:t>
      </w:r>
      <w:r w:rsidR="00646A79">
        <w:rPr>
          <w:sz w:val="22"/>
          <w:szCs w:val="22"/>
        </w:rPr>
        <w:t>,</w:t>
      </w:r>
      <w:r w:rsidRPr="00B10C2E">
        <w:rPr>
          <w:sz w:val="22"/>
          <w:szCs w:val="22"/>
        </w:rPr>
        <w:t xml:space="preserve"> thereby enabling licensees to deny or remove unescorted access authorization from these persons.  This licensee action not only prevents individuals using drugs from being granted or maintaining unescorted access to the protected areas of NRC-licensed facilities</w:t>
      </w:r>
      <w:r w:rsidR="00646A79">
        <w:rPr>
          <w:sz w:val="22"/>
          <w:szCs w:val="22"/>
        </w:rPr>
        <w:t>,</w:t>
      </w:r>
      <w:r w:rsidRPr="00B10C2E">
        <w:rPr>
          <w:sz w:val="22"/>
          <w:szCs w:val="22"/>
        </w:rPr>
        <w:t xml:space="preserve"> </w:t>
      </w:r>
      <w:r w:rsidR="00AF4918">
        <w:rPr>
          <w:sz w:val="22"/>
          <w:szCs w:val="22"/>
        </w:rPr>
        <w:t xml:space="preserve">to </w:t>
      </w:r>
      <w:r w:rsidRPr="00B10C2E">
        <w:rPr>
          <w:sz w:val="22"/>
          <w:szCs w:val="22"/>
        </w:rPr>
        <w:t>SSNM</w:t>
      </w:r>
      <w:r w:rsidR="00646A79">
        <w:rPr>
          <w:sz w:val="22"/>
          <w:szCs w:val="22"/>
        </w:rPr>
        <w:t>,</w:t>
      </w:r>
      <w:r w:rsidRPr="00B10C2E">
        <w:rPr>
          <w:sz w:val="22"/>
          <w:szCs w:val="22"/>
        </w:rPr>
        <w:t xml:space="preserve"> or </w:t>
      </w:r>
      <w:r w:rsidR="00AF4918">
        <w:rPr>
          <w:sz w:val="22"/>
          <w:szCs w:val="22"/>
        </w:rPr>
        <w:t xml:space="preserve">to </w:t>
      </w:r>
      <w:r w:rsidRPr="00B10C2E">
        <w:rPr>
          <w:sz w:val="22"/>
          <w:szCs w:val="22"/>
        </w:rPr>
        <w:t>sensitive information</w:t>
      </w:r>
      <w:r w:rsidR="00646A79">
        <w:rPr>
          <w:sz w:val="22"/>
          <w:szCs w:val="22"/>
        </w:rPr>
        <w:t>,</w:t>
      </w:r>
      <w:r w:rsidRPr="00B10C2E">
        <w:rPr>
          <w:sz w:val="22"/>
          <w:szCs w:val="22"/>
        </w:rPr>
        <w:t xml:space="preserve"> it</w:t>
      </w:r>
      <w:r w:rsidR="00AF4918">
        <w:rPr>
          <w:sz w:val="22"/>
          <w:szCs w:val="22"/>
        </w:rPr>
        <w:t xml:space="preserve"> also</w:t>
      </w:r>
      <w:r w:rsidRPr="00B10C2E">
        <w:rPr>
          <w:sz w:val="22"/>
          <w:szCs w:val="22"/>
        </w:rPr>
        <w:t xml:space="preserve"> prevents these individuals from conducting the safety- and security-sensitive duties and responsibilities described in 10 CFR 26.4</w:t>
      </w:r>
      <w:r w:rsidR="00646A79">
        <w:rPr>
          <w:sz w:val="22"/>
          <w:szCs w:val="22"/>
        </w:rPr>
        <w:t>,</w:t>
      </w:r>
      <w:r w:rsidRPr="00B10C2E">
        <w:rPr>
          <w:sz w:val="22"/>
          <w:szCs w:val="22"/>
        </w:rPr>
        <w:t xml:space="preserve"> </w:t>
      </w:r>
      <w:r w:rsidR="00646A79">
        <w:rPr>
          <w:sz w:val="22"/>
          <w:szCs w:val="22"/>
        </w:rPr>
        <w:t>“</w:t>
      </w:r>
      <w:r w:rsidRPr="00B10C2E">
        <w:rPr>
          <w:sz w:val="22"/>
          <w:szCs w:val="22"/>
        </w:rPr>
        <w:t xml:space="preserve">FFD </w:t>
      </w:r>
      <w:r w:rsidR="006F0066">
        <w:rPr>
          <w:sz w:val="22"/>
          <w:szCs w:val="22"/>
        </w:rPr>
        <w:t>p</w:t>
      </w:r>
      <w:r w:rsidRPr="00B10C2E">
        <w:rPr>
          <w:sz w:val="22"/>
          <w:szCs w:val="22"/>
        </w:rPr>
        <w:t xml:space="preserve">rogram </w:t>
      </w:r>
      <w:r w:rsidR="006F0066">
        <w:rPr>
          <w:sz w:val="22"/>
          <w:szCs w:val="22"/>
        </w:rPr>
        <w:t>a</w:t>
      </w:r>
      <w:r w:rsidRPr="00B10C2E">
        <w:rPr>
          <w:sz w:val="22"/>
          <w:szCs w:val="22"/>
        </w:rPr>
        <w:t xml:space="preserve">pplicability to </w:t>
      </w:r>
      <w:r w:rsidR="006F0066">
        <w:rPr>
          <w:sz w:val="22"/>
          <w:szCs w:val="22"/>
        </w:rPr>
        <w:t>c</w:t>
      </w:r>
      <w:r w:rsidRPr="00B10C2E">
        <w:rPr>
          <w:sz w:val="22"/>
          <w:szCs w:val="22"/>
        </w:rPr>
        <w:t xml:space="preserve">ategories of </w:t>
      </w:r>
      <w:r w:rsidR="006F0066">
        <w:rPr>
          <w:sz w:val="22"/>
          <w:szCs w:val="22"/>
        </w:rPr>
        <w:t>i</w:t>
      </w:r>
      <w:r w:rsidRPr="00B10C2E">
        <w:rPr>
          <w:sz w:val="22"/>
          <w:szCs w:val="22"/>
        </w:rPr>
        <w:t>ndividuals.</w:t>
      </w:r>
      <w:r w:rsidR="00646A79">
        <w:rPr>
          <w:sz w:val="22"/>
          <w:szCs w:val="22"/>
        </w:rPr>
        <w:t>”</w:t>
      </w:r>
      <w:r w:rsidRPr="00B10C2E">
        <w:rPr>
          <w:sz w:val="22"/>
          <w:szCs w:val="22"/>
        </w:rPr>
        <w:t xml:space="preserve">  If individuals are impaired during the conduct of these activities</w:t>
      </w:r>
      <w:r w:rsidR="00646A79">
        <w:rPr>
          <w:sz w:val="22"/>
          <w:szCs w:val="22"/>
        </w:rPr>
        <w:t>,</w:t>
      </w:r>
      <w:r w:rsidRPr="00B10C2E">
        <w:rPr>
          <w:sz w:val="22"/>
          <w:szCs w:val="22"/>
        </w:rPr>
        <w:t xml:space="preserve"> they have a higher potential to initiate accidents and transients as a result of human performance errors.</w:t>
      </w:r>
    </w:p>
    <w:p w:rsidR="00D520BD" w:rsidP="00D520BD" w:rsidRDefault="00D520BD" w14:paraId="25D597EB" w14:textId="77777777">
      <w:pPr>
        <w:ind w:left="720"/>
        <w:rPr>
          <w:sz w:val="22"/>
          <w:szCs w:val="22"/>
        </w:rPr>
      </w:pPr>
    </w:p>
    <w:p w:rsidR="00D520BD" w:rsidP="00D520BD" w:rsidRDefault="00D520BD" w14:paraId="0E31CD6B" w14:textId="0110313C">
      <w:pPr>
        <w:ind w:left="720"/>
        <w:rPr>
          <w:sz w:val="22"/>
          <w:szCs w:val="22"/>
        </w:rPr>
      </w:pPr>
      <w:r>
        <w:rPr>
          <w:rFonts w:cs="Arial"/>
          <w:sz w:val="22"/>
          <w:szCs w:val="22"/>
        </w:rPr>
        <w:t>The NRC established a strong link between the FFD-related authorization provisions in 10 CFR Part 26 and the physical protection access authorization requirements described in 10 CFR Part 73.  This relationship between FFD and access authorization strengthens the defense</w:t>
      </w:r>
      <w:r w:rsidR="00FA638D">
        <w:rPr>
          <w:rFonts w:cs="Arial"/>
          <w:sz w:val="22"/>
          <w:szCs w:val="22"/>
        </w:rPr>
        <w:t xml:space="preserve"> </w:t>
      </w:r>
      <w:r>
        <w:rPr>
          <w:rFonts w:cs="Arial"/>
          <w:sz w:val="22"/>
          <w:szCs w:val="22"/>
        </w:rPr>
        <w:t>in</w:t>
      </w:r>
      <w:r w:rsidR="00FA638D">
        <w:rPr>
          <w:rFonts w:cs="Arial"/>
          <w:sz w:val="22"/>
          <w:szCs w:val="22"/>
        </w:rPr>
        <w:t xml:space="preserve"> </w:t>
      </w:r>
      <w:r>
        <w:rPr>
          <w:rFonts w:cs="Arial"/>
          <w:sz w:val="22"/>
          <w:szCs w:val="22"/>
        </w:rPr>
        <w:t xml:space="preserve">depth associated with the </w:t>
      </w:r>
      <w:r w:rsidR="0009253D">
        <w:rPr>
          <w:rFonts w:cs="Arial"/>
          <w:sz w:val="22"/>
          <w:szCs w:val="22"/>
        </w:rPr>
        <w:t>enhanced ability to identify</w:t>
      </w:r>
      <w:r>
        <w:rPr>
          <w:rFonts w:cs="Arial"/>
          <w:sz w:val="22"/>
          <w:szCs w:val="22"/>
        </w:rPr>
        <w:t xml:space="preserve"> individuals using drugs who are not fit for duty or are not trustworthy and reliable</w:t>
      </w:r>
      <w:r w:rsidR="00646A79">
        <w:rPr>
          <w:rFonts w:cs="Arial"/>
          <w:sz w:val="22"/>
          <w:szCs w:val="22"/>
        </w:rPr>
        <w:t>,</w:t>
      </w:r>
      <w:r>
        <w:rPr>
          <w:rFonts w:cs="Arial"/>
          <w:sz w:val="22"/>
          <w:szCs w:val="22"/>
        </w:rPr>
        <w:t xml:space="preserve"> or both.  As described in the </w:t>
      </w:r>
      <w:r w:rsidRPr="00874A93">
        <w:rPr>
          <w:sz w:val="22"/>
          <w:szCs w:val="22"/>
        </w:rPr>
        <w:t xml:space="preserve">original </w:t>
      </w:r>
      <w:r>
        <w:rPr>
          <w:sz w:val="22"/>
          <w:szCs w:val="22"/>
        </w:rPr>
        <w:t>10 CFR Part 26</w:t>
      </w:r>
      <w:r w:rsidRPr="00874A93">
        <w:rPr>
          <w:sz w:val="22"/>
          <w:szCs w:val="22"/>
        </w:rPr>
        <w:t xml:space="preserve"> rule </w:t>
      </w:r>
      <w:r>
        <w:rPr>
          <w:sz w:val="22"/>
          <w:szCs w:val="22"/>
        </w:rPr>
        <w:t>(54 FR </w:t>
      </w:r>
      <w:r w:rsidRPr="005B459B">
        <w:rPr>
          <w:sz w:val="22"/>
          <w:szCs w:val="22"/>
        </w:rPr>
        <w:t>24470</w:t>
      </w:r>
      <w:r w:rsidR="00646A79">
        <w:rPr>
          <w:sz w:val="22"/>
          <w:szCs w:val="22"/>
        </w:rPr>
        <w:t>,</w:t>
      </w:r>
      <w:r w:rsidR="003760ED">
        <w:rPr>
          <w:sz w:val="22"/>
          <w:szCs w:val="22"/>
        </w:rPr>
        <w:t xml:space="preserve"> June 7</w:t>
      </w:r>
      <w:r w:rsidR="00646A79">
        <w:rPr>
          <w:sz w:val="22"/>
          <w:szCs w:val="22"/>
        </w:rPr>
        <w:t>,</w:t>
      </w:r>
      <w:r w:rsidR="003760ED">
        <w:rPr>
          <w:sz w:val="22"/>
          <w:szCs w:val="22"/>
        </w:rPr>
        <w:t xml:space="preserve"> 1989</w:t>
      </w:r>
      <w:r w:rsidRPr="005B459B">
        <w:rPr>
          <w:sz w:val="22"/>
          <w:szCs w:val="22"/>
        </w:rPr>
        <w:t>)</w:t>
      </w:r>
      <w:r w:rsidR="00FA638D">
        <w:rPr>
          <w:rFonts w:cs="Arial"/>
          <w:sz w:val="22"/>
          <w:szCs w:val="22"/>
        </w:rPr>
        <w:t>—</w:t>
      </w:r>
    </w:p>
    <w:p w:rsidR="00D520BD" w:rsidP="00D520BD" w:rsidRDefault="00D520BD" w14:paraId="27A23A72" w14:textId="77777777">
      <w:pPr>
        <w:ind w:left="720"/>
        <w:rPr>
          <w:sz w:val="22"/>
          <w:szCs w:val="22"/>
        </w:rPr>
      </w:pPr>
    </w:p>
    <w:p w:rsidR="00D520BD" w:rsidP="00D520BD" w:rsidRDefault="00D520BD" w14:paraId="15A8E036" w14:textId="50B20BC2">
      <w:pPr>
        <w:keepNext/>
        <w:keepLines/>
        <w:ind w:left="1440" w:right="720"/>
        <w:rPr>
          <w:sz w:val="22"/>
          <w:szCs w:val="22"/>
        </w:rPr>
      </w:pPr>
      <w:r>
        <w:rPr>
          <w:sz w:val="22"/>
          <w:szCs w:val="22"/>
        </w:rPr>
        <w:t>T</w:t>
      </w:r>
      <w:r w:rsidRPr="00874A93">
        <w:rPr>
          <w:sz w:val="22"/>
          <w:szCs w:val="22"/>
        </w:rPr>
        <w:t>he NRC believes that the reliability</w:t>
      </w:r>
      <w:r w:rsidR="00646A79">
        <w:rPr>
          <w:sz w:val="22"/>
          <w:szCs w:val="22"/>
        </w:rPr>
        <w:t>,</w:t>
      </w:r>
      <w:r w:rsidRPr="00874A93">
        <w:rPr>
          <w:sz w:val="22"/>
          <w:szCs w:val="22"/>
        </w:rPr>
        <w:t xml:space="preserve"> integrity</w:t>
      </w:r>
      <w:r w:rsidR="00646A79">
        <w:rPr>
          <w:sz w:val="22"/>
          <w:szCs w:val="22"/>
        </w:rPr>
        <w:t>,</w:t>
      </w:r>
      <w:r w:rsidRPr="00874A93">
        <w:rPr>
          <w:sz w:val="22"/>
          <w:szCs w:val="22"/>
        </w:rPr>
        <w:t xml:space="preserve"> and trustworthiness of persons working within nuclear power plants are important to assure public health and safety.</w:t>
      </w:r>
      <w:r>
        <w:rPr>
          <w:sz w:val="22"/>
          <w:szCs w:val="22"/>
        </w:rPr>
        <w:t xml:space="preserve">  Th</w:t>
      </w:r>
      <w:r w:rsidRPr="00874A93">
        <w:rPr>
          <w:sz w:val="22"/>
          <w:szCs w:val="22"/>
        </w:rPr>
        <w:t>e granting of a license is based on the assumption that workers will abide by the licensees’ policies and procedures in all areas.  Indications of lack or reliability</w:t>
      </w:r>
      <w:r w:rsidR="00646A79">
        <w:rPr>
          <w:sz w:val="22"/>
          <w:szCs w:val="22"/>
        </w:rPr>
        <w:t>,</w:t>
      </w:r>
      <w:r w:rsidRPr="00874A93">
        <w:rPr>
          <w:sz w:val="22"/>
          <w:szCs w:val="22"/>
        </w:rPr>
        <w:t xml:space="preserve"> integrity</w:t>
      </w:r>
      <w:r w:rsidR="00646A79">
        <w:rPr>
          <w:sz w:val="22"/>
          <w:szCs w:val="22"/>
        </w:rPr>
        <w:t>,</w:t>
      </w:r>
      <w:r w:rsidRPr="00874A93">
        <w:rPr>
          <w:sz w:val="22"/>
          <w:szCs w:val="22"/>
        </w:rPr>
        <w:t xml:space="preserve"> or trustworthiness</w:t>
      </w:r>
      <w:r w:rsidR="00646A79">
        <w:rPr>
          <w:sz w:val="22"/>
          <w:szCs w:val="22"/>
        </w:rPr>
        <w:t>,</w:t>
      </w:r>
      <w:r w:rsidRPr="00874A93">
        <w:rPr>
          <w:sz w:val="22"/>
          <w:szCs w:val="22"/>
        </w:rPr>
        <w:t xml:space="preserve"> therefore</w:t>
      </w:r>
      <w:r w:rsidR="00646A79">
        <w:rPr>
          <w:sz w:val="22"/>
          <w:szCs w:val="22"/>
        </w:rPr>
        <w:t>,</w:t>
      </w:r>
      <w:r w:rsidRPr="00874A93">
        <w:rPr>
          <w:sz w:val="22"/>
          <w:szCs w:val="22"/>
        </w:rPr>
        <w:t xml:space="preserve"> even so far as they pertain to off-site behaviors</w:t>
      </w:r>
      <w:r w:rsidR="00646A79">
        <w:rPr>
          <w:sz w:val="22"/>
          <w:szCs w:val="22"/>
        </w:rPr>
        <w:t>,</w:t>
      </w:r>
      <w:r w:rsidRPr="00874A93">
        <w:rPr>
          <w:sz w:val="22"/>
          <w:szCs w:val="22"/>
        </w:rPr>
        <w:t xml:space="preserve"> are relevant to the NRC’s need to assure that nuclear power plants are operated safely.</w:t>
      </w:r>
    </w:p>
    <w:p w:rsidR="00D520BD" w:rsidP="00D520BD" w:rsidRDefault="00D520BD" w14:paraId="0AAE4552" w14:textId="77777777">
      <w:pPr>
        <w:ind w:left="720"/>
        <w:rPr>
          <w:sz w:val="22"/>
          <w:szCs w:val="22"/>
        </w:rPr>
      </w:pPr>
    </w:p>
    <w:p w:rsidR="00D520BD" w:rsidP="00C71583" w:rsidRDefault="00D520BD" w14:paraId="5AA61C20" w14:textId="3411C1F0">
      <w:pPr>
        <w:ind w:left="720"/>
        <w:rPr>
          <w:sz w:val="22"/>
          <w:szCs w:val="22"/>
        </w:rPr>
      </w:pPr>
      <w:r>
        <w:rPr>
          <w:sz w:val="22"/>
          <w:szCs w:val="22"/>
        </w:rPr>
        <w:t>The NRC further discussed these positions in the 2008 FFD final rule (</w:t>
      </w:r>
      <w:r w:rsidRPr="005B459B">
        <w:rPr>
          <w:sz w:val="22"/>
          <w:szCs w:val="22"/>
        </w:rPr>
        <w:t>73</w:t>
      </w:r>
      <w:r>
        <w:rPr>
          <w:sz w:val="22"/>
          <w:szCs w:val="22"/>
        </w:rPr>
        <w:t> </w:t>
      </w:r>
      <w:r w:rsidRPr="005B459B">
        <w:rPr>
          <w:sz w:val="22"/>
          <w:szCs w:val="22"/>
        </w:rPr>
        <w:t>FR</w:t>
      </w:r>
      <w:r>
        <w:rPr>
          <w:sz w:val="22"/>
          <w:szCs w:val="22"/>
        </w:rPr>
        <w:t> </w:t>
      </w:r>
      <w:r w:rsidRPr="005B459B">
        <w:rPr>
          <w:sz w:val="22"/>
          <w:szCs w:val="22"/>
        </w:rPr>
        <w:t xml:space="preserve">16971; </w:t>
      </w:r>
      <w:r w:rsidR="001841EA">
        <w:rPr>
          <w:rFonts w:cs="Arial"/>
          <w:sz w:val="22"/>
          <w:szCs w:val="22"/>
        </w:rPr>
        <w:t>March 31</w:t>
      </w:r>
      <w:r w:rsidR="00646A79">
        <w:rPr>
          <w:rFonts w:cs="Arial"/>
          <w:sz w:val="22"/>
          <w:szCs w:val="22"/>
        </w:rPr>
        <w:t>,</w:t>
      </w:r>
      <w:r w:rsidR="001841EA">
        <w:rPr>
          <w:rFonts w:cs="Arial"/>
          <w:sz w:val="22"/>
          <w:szCs w:val="22"/>
        </w:rPr>
        <w:t xml:space="preserve"> 2008</w:t>
      </w:r>
      <w:r w:rsidRPr="005B459B">
        <w:rPr>
          <w:sz w:val="22"/>
          <w:szCs w:val="22"/>
        </w:rPr>
        <w:t>)</w:t>
      </w:r>
      <w:r>
        <w:rPr>
          <w:sz w:val="22"/>
          <w:szCs w:val="22"/>
        </w:rPr>
        <w:t>:</w:t>
      </w:r>
    </w:p>
    <w:p w:rsidR="00D520BD" w:rsidP="00C71583" w:rsidRDefault="00D520BD" w14:paraId="3191E073" w14:textId="77777777">
      <w:pPr>
        <w:ind w:left="720"/>
        <w:rPr>
          <w:sz w:val="22"/>
          <w:szCs w:val="22"/>
        </w:rPr>
      </w:pPr>
    </w:p>
    <w:p w:rsidR="00D520BD" w:rsidP="00C71583" w:rsidRDefault="00D520BD" w14:paraId="445C7A0A" w14:textId="77777777">
      <w:pPr>
        <w:ind w:left="1440" w:right="720"/>
        <w:rPr>
          <w:sz w:val="22"/>
          <w:szCs w:val="22"/>
        </w:rPr>
      </w:pPr>
      <w:r>
        <w:rPr>
          <w:sz w:val="22"/>
          <w:szCs w:val="22"/>
        </w:rPr>
        <w:lastRenderedPageBreak/>
        <w:t>Part 26 and the access authorization requirements [of Part 73] each contain provisions that require establishing the trustworthiness and reliability of personnel before granting unescorted access authorization to the protected area of nuclear power plants.</w:t>
      </w:r>
    </w:p>
    <w:p w:rsidR="00D520BD" w:rsidP="00D520BD" w:rsidRDefault="00D520BD" w14:paraId="2AC29871" w14:textId="77777777">
      <w:pPr>
        <w:ind w:left="720"/>
        <w:rPr>
          <w:sz w:val="22"/>
          <w:szCs w:val="22"/>
        </w:rPr>
      </w:pPr>
    </w:p>
    <w:p w:rsidR="00D520BD" w:rsidP="00D520BD" w:rsidRDefault="00D520BD" w14:paraId="065EF37B" w14:textId="2F3EC045">
      <w:pPr>
        <w:ind w:left="720"/>
        <w:rPr>
          <w:rFonts w:cs="Arial"/>
          <w:sz w:val="22"/>
          <w:szCs w:val="22"/>
        </w:rPr>
      </w:pPr>
      <w:r>
        <w:rPr>
          <w:sz w:val="22"/>
          <w:szCs w:val="22"/>
        </w:rPr>
        <w:t>Consequently</w:t>
      </w:r>
      <w:r w:rsidR="00646A79">
        <w:rPr>
          <w:sz w:val="22"/>
          <w:szCs w:val="22"/>
        </w:rPr>
        <w:t>,</w:t>
      </w:r>
      <w:r>
        <w:rPr>
          <w:sz w:val="22"/>
          <w:szCs w:val="22"/>
        </w:rPr>
        <w:t xml:space="preserve"> u</w:t>
      </w:r>
      <w:r w:rsidRPr="00874A93">
        <w:rPr>
          <w:rFonts w:cs="Arial"/>
          <w:sz w:val="22"/>
          <w:szCs w:val="22"/>
        </w:rPr>
        <w:t xml:space="preserve">nless the </w:t>
      </w:r>
      <w:r>
        <w:rPr>
          <w:rFonts w:cs="Arial"/>
          <w:sz w:val="22"/>
          <w:szCs w:val="22"/>
        </w:rPr>
        <w:t xml:space="preserve">NRC FFD program </w:t>
      </w:r>
      <w:r w:rsidRPr="00874A93">
        <w:rPr>
          <w:rFonts w:cs="Arial"/>
          <w:sz w:val="22"/>
          <w:szCs w:val="22"/>
        </w:rPr>
        <w:t>is robust in the identification of these individuals</w:t>
      </w:r>
      <w:r w:rsidR="00646A79">
        <w:rPr>
          <w:rFonts w:cs="Arial"/>
          <w:sz w:val="22"/>
          <w:szCs w:val="22"/>
        </w:rPr>
        <w:t>,</w:t>
      </w:r>
      <w:r w:rsidRPr="00874A93">
        <w:rPr>
          <w:rFonts w:cs="Arial"/>
          <w:sz w:val="22"/>
          <w:szCs w:val="22"/>
        </w:rPr>
        <w:t xml:space="preserve"> </w:t>
      </w:r>
      <w:r w:rsidRPr="002B585D">
        <w:rPr>
          <w:rFonts w:cs="Arial"/>
          <w:sz w:val="22"/>
          <w:szCs w:val="22"/>
        </w:rPr>
        <w:t xml:space="preserve">security and safety vulnerabilities </w:t>
      </w:r>
      <w:r>
        <w:rPr>
          <w:rFonts w:cs="Arial"/>
          <w:sz w:val="22"/>
          <w:szCs w:val="22"/>
        </w:rPr>
        <w:t xml:space="preserve">could </w:t>
      </w:r>
      <w:r w:rsidRPr="00874A93">
        <w:rPr>
          <w:rFonts w:cs="Arial"/>
          <w:sz w:val="22"/>
          <w:szCs w:val="22"/>
        </w:rPr>
        <w:t xml:space="preserve">exist because </w:t>
      </w:r>
      <w:r>
        <w:rPr>
          <w:rFonts w:cs="Arial"/>
          <w:sz w:val="22"/>
          <w:szCs w:val="22"/>
        </w:rPr>
        <w:t xml:space="preserve">individuals </w:t>
      </w:r>
      <w:r w:rsidR="00D27937">
        <w:rPr>
          <w:rFonts w:cs="Arial"/>
          <w:sz w:val="22"/>
          <w:szCs w:val="22"/>
        </w:rPr>
        <w:t>with</w:t>
      </w:r>
      <w:r w:rsidRPr="00874A93">
        <w:rPr>
          <w:rFonts w:cs="Arial"/>
          <w:sz w:val="22"/>
          <w:szCs w:val="22"/>
        </w:rPr>
        <w:t xml:space="preserve"> questionable motive</w:t>
      </w:r>
      <w:r>
        <w:rPr>
          <w:rFonts w:cs="Arial"/>
          <w:sz w:val="22"/>
          <w:szCs w:val="22"/>
        </w:rPr>
        <w:t>s</w:t>
      </w:r>
      <w:r w:rsidRPr="00874A93">
        <w:rPr>
          <w:rFonts w:cs="Arial"/>
          <w:sz w:val="22"/>
          <w:szCs w:val="22"/>
        </w:rPr>
        <w:t xml:space="preserve"> may have </w:t>
      </w:r>
      <w:r>
        <w:rPr>
          <w:rFonts w:cs="Arial"/>
          <w:sz w:val="22"/>
          <w:szCs w:val="22"/>
        </w:rPr>
        <w:t xml:space="preserve">unescorted access </w:t>
      </w:r>
      <w:r w:rsidRPr="00874A93">
        <w:rPr>
          <w:rFonts w:cs="Arial"/>
          <w:sz w:val="22"/>
          <w:szCs w:val="22"/>
        </w:rPr>
        <w:t>authorization</w:t>
      </w:r>
      <w:r>
        <w:rPr>
          <w:rFonts w:cs="Arial"/>
          <w:sz w:val="22"/>
          <w:szCs w:val="22"/>
        </w:rPr>
        <w:t>.</w:t>
      </w:r>
    </w:p>
    <w:p w:rsidR="00D520BD" w:rsidP="00D520BD" w:rsidRDefault="00D520BD" w14:paraId="03AF73A7" w14:textId="77777777">
      <w:pPr>
        <w:ind w:left="720"/>
        <w:rPr>
          <w:rFonts w:cs="Arial"/>
          <w:sz w:val="22"/>
          <w:szCs w:val="22"/>
        </w:rPr>
      </w:pPr>
    </w:p>
    <w:p w:rsidRPr="005A5966" w:rsidR="00D520BD" w:rsidP="00D520BD" w:rsidRDefault="00D520BD" w14:paraId="7CF48975" w14:textId="3E59D1A2">
      <w:pPr>
        <w:ind w:left="720"/>
        <w:rPr>
          <w:sz w:val="22"/>
          <w:szCs w:val="22"/>
        </w:rPr>
      </w:pPr>
      <w:r>
        <w:rPr>
          <w:sz w:val="22"/>
          <w:szCs w:val="22"/>
        </w:rPr>
        <w:t xml:space="preserve">The identification of additional individuals with confirmed positive test results </w:t>
      </w:r>
      <w:r w:rsidR="00A14581">
        <w:rPr>
          <w:sz w:val="22"/>
          <w:szCs w:val="22"/>
        </w:rPr>
        <w:t>lead</w:t>
      </w:r>
      <w:r w:rsidR="0081452E">
        <w:rPr>
          <w:sz w:val="22"/>
          <w:szCs w:val="22"/>
        </w:rPr>
        <w:t>s</w:t>
      </w:r>
      <w:r w:rsidRPr="002B585D">
        <w:rPr>
          <w:sz w:val="22"/>
          <w:szCs w:val="22"/>
        </w:rPr>
        <w:t xml:space="preserve"> </w:t>
      </w:r>
      <w:r>
        <w:rPr>
          <w:sz w:val="22"/>
          <w:szCs w:val="22"/>
        </w:rPr>
        <w:t xml:space="preserve">not only </w:t>
      </w:r>
      <w:r w:rsidR="00A14581">
        <w:rPr>
          <w:sz w:val="22"/>
          <w:szCs w:val="22"/>
        </w:rPr>
        <w:t>to</w:t>
      </w:r>
      <w:r>
        <w:rPr>
          <w:sz w:val="22"/>
          <w:szCs w:val="22"/>
        </w:rPr>
        <w:t xml:space="preserve"> </w:t>
      </w:r>
      <w:r w:rsidRPr="002B585D">
        <w:rPr>
          <w:sz w:val="22"/>
          <w:szCs w:val="22"/>
        </w:rPr>
        <w:t xml:space="preserve">the denial of </w:t>
      </w:r>
      <w:r>
        <w:rPr>
          <w:sz w:val="22"/>
          <w:szCs w:val="22"/>
        </w:rPr>
        <w:t xml:space="preserve">their </w:t>
      </w:r>
      <w:r w:rsidRPr="002B585D">
        <w:rPr>
          <w:sz w:val="22"/>
          <w:szCs w:val="22"/>
        </w:rPr>
        <w:t xml:space="preserve">unescorted access </w:t>
      </w:r>
      <w:r>
        <w:rPr>
          <w:sz w:val="22"/>
          <w:szCs w:val="22"/>
        </w:rPr>
        <w:t>to that licensee’s facility in accordance with the</w:t>
      </w:r>
      <w:r w:rsidRPr="002B585D">
        <w:rPr>
          <w:sz w:val="22"/>
          <w:szCs w:val="22"/>
        </w:rPr>
        <w:t xml:space="preserve"> </w:t>
      </w:r>
      <w:r>
        <w:rPr>
          <w:sz w:val="22"/>
          <w:szCs w:val="22"/>
        </w:rPr>
        <w:t xml:space="preserve">site </w:t>
      </w:r>
      <w:r w:rsidRPr="002B585D">
        <w:rPr>
          <w:sz w:val="22"/>
          <w:szCs w:val="22"/>
        </w:rPr>
        <w:t>FFD program (see 10 CFR 26.75</w:t>
      </w:r>
      <w:r w:rsidR="00646A79">
        <w:rPr>
          <w:sz w:val="22"/>
          <w:szCs w:val="22"/>
        </w:rPr>
        <w:t>,</w:t>
      </w:r>
      <w:r w:rsidR="006F0066">
        <w:rPr>
          <w:sz w:val="22"/>
          <w:szCs w:val="22"/>
        </w:rPr>
        <w:t xml:space="preserve"> </w:t>
      </w:r>
      <w:r w:rsidR="00646A79">
        <w:rPr>
          <w:sz w:val="22"/>
          <w:szCs w:val="22"/>
        </w:rPr>
        <w:t>“</w:t>
      </w:r>
      <w:r w:rsidRPr="006F0066" w:rsidR="006F0066">
        <w:rPr>
          <w:sz w:val="22"/>
          <w:szCs w:val="22"/>
        </w:rPr>
        <w:t>Sanctions</w:t>
      </w:r>
      <w:r w:rsidR="00646A79">
        <w:rPr>
          <w:sz w:val="22"/>
          <w:szCs w:val="22"/>
        </w:rPr>
        <w:t>”</w:t>
      </w:r>
      <w:r w:rsidRPr="002B585D">
        <w:rPr>
          <w:sz w:val="22"/>
          <w:szCs w:val="22"/>
        </w:rPr>
        <w:t>)</w:t>
      </w:r>
      <w:r w:rsidR="00646A79">
        <w:rPr>
          <w:sz w:val="22"/>
          <w:szCs w:val="22"/>
        </w:rPr>
        <w:t>,</w:t>
      </w:r>
      <w:r w:rsidRPr="002B585D">
        <w:rPr>
          <w:sz w:val="22"/>
          <w:szCs w:val="22"/>
        </w:rPr>
        <w:t xml:space="preserve"> </w:t>
      </w:r>
      <w:r>
        <w:rPr>
          <w:sz w:val="22"/>
          <w:szCs w:val="22"/>
        </w:rPr>
        <w:t xml:space="preserve">but it </w:t>
      </w:r>
      <w:r w:rsidRPr="002B585D">
        <w:rPr>
          <w:sz w:val="22"/>
          <w:szCs w:val="22"/>
        </w:rPr>
        <w:t>also address</w:t>
      </w:r>
      <w:r w:rsidR="008426E9">
        <w:rPr>
          <w:sz w:val="22"/>
          <w:szCs w:val="22"/>
        </w:rPr>
        <w:t>es</w:t>
      </w:r>
      <w:r w:rsidRPr="002B585D">
        <w:rPr>
          <w:sz w:val="22"/>
          <w:szCs w:val="22"/>
        </w:rPr>
        <w:t xml:space="preserve"> these security and safety vulnerabilities at other commercial power reactor facilities.  This occurs</w:t>
      </w:r>
      <w:r w:rsidR="00646A79">
        <w:rPr>
          <w:sz w:val="22"/>
          <w:szCs w:val="22"/>
        </w:rPr>
        <w:t>,</w:t>
      </w:r>
      <w:r w:rsidRPr="002B585D">
        <w:rPr>
          <w:sz w:val="22"/>
          <w:szCs w:val="22"/>
        </w:rPr>
        <w:t xml:space="preserve"> in part</w:t>
      </w:r>
      <w:r w:rsidR="00646A79">
        <w:rPr>
          <w:sz w:val="22"/>
          <w:szCs w:val="22"/>
        </w:rPr>
        <w:t>,</w:t>
      </w:r>
      <w:r w:rsidRPr="002B585D">
        <w:rPr>
          <w:sz w:val="22"/>
          <w:szCs w:val="22"/>
        </w:rPr>
        <w:t xml:space="preserve"> because denial of authorization information is shared with other NRC licensees</w:t>
      </w:r>
      <w:r w:rsidR="0081452E">
        <w:rPr>
          <w:sz w:val="22"/>
          <w:szCs w:val="22"/>
        </w:rPr>
        <w:t>,</w:t>
      </w:r>
      <w:r w:rsidRPr="002B585D">
        <w:rPr>
          <w:sz w:val="22"/>
          <w:szCs w:val="22"/>
        </w:rPr>
        <w:t xml:space="preserve"> and these licensees must meet the authorization requirements described in both 10</w:t>
      </w:r>
      <w:r>
        <w:rPr>
          <w:sz w:val="22"/>
          <w:szCs w:val="22"/>
        </w:rPr>
        <w:t> </w:t>
      </w:r>
      <w:r w:rsidRPr="002B585D">
        <w:rPr>
          <w:sz w:val="22"/>
          <w:szCs w:val="22"/>
        </w:rPr>
        <w:t>CFR</w:t>
      </w:r>
      <w:r>
        <w:rPr>
          <w:sz w:val="22"/>
          <w:szCs w:val="22"/>
        </w:rPr>
        <w:t> </w:t>
      </w:r>
      <w:r w:rsidRPr="002B585D">
        <w:rPr>
          <w:sz w:val="22"/>
          <w:szCs w:val="22"/>
        </w:rPr>
        <w:t>Part</w:t>
      </w:r>
      <w:r>
        <w:rPr>
          <w:sz w:val="22"/>
          <w:szCs w:val="22"/>
        </w:rPr>
        <w:t> </w:t>
      </w:r>
      <w:r w:rsidRPr="002B585D">
        <w:rPr>
          <w:sz w:val="22"/>
          <w:szCs w:val="22"/>
        </w:rPr>
        <w:t xml:space="preserve">26 and </w:t>
      </w:r>
      <w:r>
        <w:rPr>
          <w:sz w:val="22"/>
          <w:szCs w:val="22"/>
        </w:rPr>
        <w:t>10 CFR Part </w:t>
      </w:r>
      <w:r w:rsidRPr="002B585D">
        <w:rPr>
          <w:sz w:val="22"/>
          <w:szCs w:val="22"/>
        </w:rPr>
        <w:t xml:space="preserve">73 </w:t>
      </w:r>
      <w:r>
        <w:rPr>
          <w:sz w:val="22"/>
          <w:szCs w:val="22"/>
        </w:rPr>
        <w:t>before</w:t>
      </w:r>
      <w:r w:rsidRPr="002B585D">
        <w:rPr>
          <w:sz w:val="22"/>
          <w:szCs w:val="22"/>
        </w:rPr>
        <w:t xml:space="preserve"> granting unescorted access authorization to any individual who was previously found to be in violation of a licensee’s FFD policy.  </w:t>
      </w:r>
      <w:r>
        <w:rPr>
          <w:sz w:val="22"/>
          <w:szCs w:val="22"/>
        </w:rPr>
        <w:t>T</w:t>
      </w:r>
      <w:r w:rsidRPr="002B585D">
        <w:rPr>
          <w:sz w:val="22"/>
          <w:szCs w:val="22"/>
        </w:rPr>
        <w:t>herefore</w:t>
      </w:r>
      <w:r w:rsidR="00646A79">
        <w:rPr>
          <w:sz w:val="22"/>
          <w:szCs w:val="22"/>
        </w:rPr>
        <w:t>,</w:t>
      </w:r>
      <w:r w:rsidRPr="002B585D">
        <w:rPr>
          <w:sz w:val="22"/>
          <w:szCs w:val="22"/>
        </w:rPr>
        <w:t xml:space="preserve"> </w:t>
      </w:r>
      <w:r>
        <w:rPr>
          <w:sz w:val="22"/>
          <w:szCs w:val="22"/>
        </w:rPr>
        <w:t xml:space="preserve">this program provision </w:t>
      </w:r>
      <w:r w:rsidR="000D421C">
        <w:rPr>
          <w:sz w:val="22"/>
          <w:szCs w:val="22"/>
        </w:rPr>
        <w:t xml:space="preserve">provides </w:t>
      </w:r>
      <w:r>
        <w:rPr>
          <w:sz w:val="22"/>
          <w:szCs w:val="22"/>
        </w:rPr>
        <w:t>assur</w:t>
      </w:r>
      <w:r w:rsidR="000D421C">
        <w:rPr>
          <w:sz w:val="22"/>
          <w:szCs w:val="22"/>
        </w:rPr>
        <w:t>ance</w:t>
      </w:r>
      <w:r w:rsidRPr="002B585D">
        <w:rPr>
          <w:sz w:val="22"/>
          <w:szCs w:val="22"/>
        </w:rPr>
        <w:t xml:space="preserve"> that individuals of</w:t>
      </w:r>
      <w:r>
        <w:rPr>
          <w:sz w:val="22"/>
          <w:szCs w:val="22"/>
        </w:rPr>
        <w:t xml:space="preserve"> questionable honesty and integrity </w:t>
      </w:r>
      <w:r w:rsidR="008426E9">
        <w:rPr>
          <w:sz w:val="22"/>
          <w:szCs w:val="22"/>
        </w:rPr>
        <w:t>do</w:t>
      </w:r>
      <w:r>
        <w:rPr>
          <w:sz w:val="22"/>
          <w:szCs w:val="22"/>
        </w:rPr>
        <w:t xml:space="preserve"> not represent a safety or security concern at a different facility without adjudication by the licensee reviewing official.</w:t>
      </w:r>
    </w:p>
    <w:p w:rsidRPr="005A5966" w:rsidR="00D520BD" w:rsidP="00D520BD" w:rsidRDefault="00D520BD" w14:paraId="4C4A4BC2" w14:textId="77777777">
      <w:pPr>
        <w:ind w:right="720"/>
        <w:rPr>
          <w:sz w:val="22"/>
          <w:szCs w:val="22"/>
        </w:rPr>
      </w:pPr>
    </w:p>
    <w:p w:rsidRPr="00B10C2E" w:rsidR="00D520BD" w:rsidP="005C6BA3" w:rsidRDefault="00D520BD" w14:paraId="59492DDD" w14:textId="7DF29AD4">
      <w:pPr>
        <w:pStyle w:val="ListParagraph"/>
        <w:numPr>
          <w:ilvl w:val="0"/>
          <w:numId w:val="38"/>
        </w:numPr>
        <w:ind w:hanging="720"/>
        <w:rPr>
          <w:sz w:val="22"/>
          <w:szCs w:val="22"/>
        </w:rPr>
      </w:pPr>
      <w:r w:rsidRPr="00B10C2E">
        <w:rPr>
          <w:sz w:val="22"/>
          <w:szCs w:val="22"/>
        </w:rPr>
        <w:t xml:space="preserve">Occupational Health (Accident):  The </w:t>
      </w:r>
      <w:r w:rsidR="008426E9">
        <w:rPr>
          <w:sz w:val="22"/>
          <w:szCs w:val="22"/>
        </w:rPr>
        <w:t xml:space="preserve">final </w:t>
      </w:r>
      <w:r w:rsidRPr="00B10C2E">
        <w:rPr>
          <w:sz w:val="22"/>
          <w:szCs w:val="22"/>
        </w:rPr>
        <w:t>rule reduce</w:t>
      </w:r>
      <w:r w:rsidR="006A59AC">
        <w:rPr>
          <w:sz w:val="22"/>
          <w:szCs w:val="22"/>
        </w:rPr>
        <w:t>s</w:t>
      </w:r>
      <w:r w:rsidRPr="00B10C2E">
        <w:rPr>
          <w:sz w:val="22"/>
          <w:szCs w:val="22"/>
        </w:rPr>
        <w:t xml:space="preserve"> the risk that occupational health </w:t>
      </w:r>
      <w:r w:rsidR="008426E9">
        <w:rPr>
          <w:sz w:val="22"/>
          <w:szCs w:val="22"/>
        </w:rPr>
        <w:t>is</w:t>
      </w:r>
      <w:r w:rsidRPr="00B10C2E">
        <w:rPr>
          <w:sz w:val="22"/>
          <w:szCs w:val="22"/>
        </w:rPr>
        <w:t xml:space="preserve"> adversely affected by radiological releases and workplace mishaps</w:t>
      </w:r>
      <w:r w:rsidR="00646A79">
        <w:rPr>
          <w:sz w:val="22"/>
          <w:szCs w:val="22"/>
        </w:rPr>
        <w:t>,</w:t>
      </w:r>
      <w:r w:rsidRPr="00B10C2E">
        <w:rPr>
          <w:sz w:val="22"/>
          <w:szCs w:val="22"/>
        </w:rPr>
        <w:t xml:space="preserve"> events</w:t>
      </w:r>
      <w:r w:rsidR="00646A79">
        <w:rPr>
          <w:sz w:val="22"/>
          <w:szCs w:val="22"/>
        </w:rPr>
        <w:t>,</w:t>
      </w:r>
      <w:r w:rsidRPr="00B10C2E">
        <w:rPr>
          <w:sz w:val="22"/>
          <w:szCs w:val="22"/>
        </w:rPr>
        <w:t xml:space="preserve"> or occurrences.  Risk reduction </w:t>
      </w:r>
      <w:r w:rsidR="008426E9">
        <w:rPr>
          <w:sz w:val="22"/>
          <w:szCs w:val="22"/>
        </w:rPr>
        <w:t>is</w:t>
      </w:r>
      <w:r w:rsidRPr="00B10C2E">
        <w:rPr>
          <w:sz w:val="22"/>
          <w:szCs w:val="22"/>
        </w:rPr>
        <w:t xml:space="preserve"> accomplished by identifying additional individuals using drugs who are subject to the 10 CFR Part 26 drug testing requirements.</w:t>
      </w:r>
    </w:p>
    <w:p w:rsidRPr="00B03639" w:rsidR="00D520BD" w:rsidP="00B03639" w:rsidRDefault="00D520BD" w14:paraId="67714FB3" w14:textId="77777777">
      <w:pPr>
        <w:ind w:left="720"/>
        <w:rPr>
          <w:rFonts w:cs="Arial"/>
          <w:sz w:val="22"/>
          <w:szCs w:val="22"/>
        </w:rPr>
      </w:pPr>
    </w:p>
    <w:p w:rsidRPr="006F366B" w:rsidR="00D520BD" w:rsidP="00D520BD" w:rsidRDefault="00D520BD" w14:paraId="010B6CC2" w14:textId="55139BCD">
      <w:pPr>
        <w:ind w:left="720"/>
        <w:rPr>
          <w:sz w:val="22"/>
          <w:szCs w:val="22"/>
        </w:rPr>
      </w:pPr>
      <w:r w:rsidRPr="00EF6D79">
        <w:rPr>
          <w:sz w:val="22"/>
          <w:szCs w:val="22"/>
        </w:rPr>
        <w:t xml:space="preserve">The identification of </w:t>
      </w:r>
      <w:r>
        <w:rPr>
          <w:sz w:val="22"/>
          <w:szCs w:val="22"/>
        </w:rPr>
        <w:t>additional individuals</w:t>
      </w:r>
      <w:r w:rsidRPr="006F366B">
        <w:rPr>
          <w:sz w:val="22"/>
          <w:szCs w:val="22"/>
        </w:rPr>
        <w:t xml:space="preserve"> who are </w:t>
      </w:r>
      <w:r>
        <w:rPr>
          <w:sz w:val="22"/>
          <w:szCs w:val="22"/>
        </w:rPr>
        <w:t xml:space="preserve">not </w:t>
      </w:r>
      <w:r w:rsidRPr="006F366B">
        <w:rPr>
          <w:sz w:val="22"/>
          <w:szCs w:val="22"/>
        </w:rPr>
        <w:t xml:space="preserve">fit for duty facilitates licensee action to prevent drug-induced impairment from </w:t>
      </w:r>
      <w:r>
        <w:rPr>
          <w:sz w:val="22"/>
          <w:szCs w:val="22"/>
        </w:rPr>
        <w:t>causing</w:t>
      </w:r>
      <w:r w:rsidRPr="006F366B">
        <w:rPr>
          <w:sz w:val="22"/>
          <w:szCs w:val="22"/>
        </w:rPr>
        <w:t xml:space="preserve"> or contributing to human performance errors that may result in unplanned occupational radiation exposure</w:t>
      </w:r>
      <w:r>
        <w:rPr>
          <w:sz w:val="22"/>
          <w:szCs w:val="22"/>
        </w:rPr>
        <w:t>;</w:t>
      </w:r>
      <w:r w:rsidRPr="006F366B">
        <w:rPr>
          <w:sz w:val="22"/>
          <w:szCs w:val="22"/>
        </w:rPr>
        <w:t xml:space="preserve"> personal safety issues</w:t>
      </w:r>
      <w:r>
        <w:rPr>
          <w:sz w:val="22"/>
          <w:szCs w:val="22"/>
        </w:rPr>
        <w:t>;</w:t>
      </w:r>
      <w:r w:rsidRPr="006F366B">
        <w:rPr>
          <w:sz w:val="22"/>
          <w:szCs w:val="22"/>
        </w:rPr>
        <w:t xml:space="preserve"> or improper operation</w:t>
      </w:r>
      <w:r w:rsidR="00646A79">
        <w:rPr>
          <w:sz w:val="22"/>
          <w:szCs w:val="22"/>
        </w:rPr>
        <w:t>,</w:t>
      </w:r>
      <w:r w:rsidRPr="006F366B">
        <w:rPr>
          <w:sz w:val="22"/>
          <w:szCs w:val="22"/>
        </w:rPr>
        <w:t xml:space="preserve"> maintenance</w:t>
      </w:r>
      <w:r w:rsidR="00646A79">
        <w:rPr>
          <w:sz w:val="22"/>
          <w:szCs w:val="22"/>
        </w:rPr>
        <w:t>,</w:t>
      </w:r>
      <w:r w:rsidRPr="006F366B">
        <w:rPr>
          <w:sz w:val="22"/>
          <w:szCs w:val="22"/>
        </w:rPr>
        <w:t xml:space="preserve"> or surveillance of safety- </w:t>
      </w:r>
      <w:r>
        <w:rPr>
          <w:sz w:val="22"/>
          <w:szCs w:val="22"/>
        </w:rPr>
        <w:t>and</w:t>
      </w:r>
      <w:r w:rsidRPr="006F366B">
        <w:rPr>
          <w:sz w:val="22"/>
          <w:szCs w:val="22"/>
        </w:rPr>
        <w:t xml:space="preserve"> security-related SSCs.  This outcome also </w:t>
      </w:r>
      <w:r>
        <w:rPr>
          <w:sz w:val="22"/>
          <w:szCs w:val="22"/>
        </w:rPr>
        <w:t>assures</w:t>
      </w:r>
      <w:r w:rsidRPr="006F366B">
        <w:rPr>
          <w:sz w:val="22"/>
          <w:szCs w:val="22"/>
        </w:rPr>
        <w:t xml:space="preserve"> that timely and effective actions will be initiated in response to accidents</w:t>
      </w:r>
      <w:r w:rsidR="00646A79">
        <w:rPr>
          <w:sz w:val="22"/>
          <w:szCs w:val="22"/>
        </w:rPr>
        <w:t>,</w:t>
      </w:r>
      <w:r w:rsidRPr="006F366B">
        <w:rPr>
          <w:sz w:val="22"/>
          <w:szCs w:val="22"/>
        </w:rPr>
        <w:t xml:space="preserve"> transients</w:t>
      </w:r>
      <w:r w:rsidR="00646A79">
        <w:rPr>
          <w:sz w:val="22"/>
          <w:szCs w:val="22"/>
        </w:rPr>
        <w:t>,</w:t>
      </w:r>
      <w:r w:rsidRPr="006F366B">
        <w:rPr>
          <w:sz w:val="22"/>
          <w:szCs w:val="22"/>
        </w:rPr>
        <w:t xml:space="preserve"> environmental conditions</w:t>
      </w:r>
      <w:r w:rsidR="00646A79">
        <w:rPr>
          <w:sz w:val="22"/>
          <w:szCs w:val="22"/>
        </w:rPr>
        <w:t>,</w:t>
      </w:r>
      <w:r w:rsidRPr="006F366B">
        <w:rPr>
          <w:sz w:val="22"/>
          <w:szCs w:val="22"/>
        </w:rPr>
        <w:t xml:space="preserve"> and security threats and that human performance during these exigent situations will not degrade with time </w:t>
      </w:r>
      <w:r>
        <w:rPr>
          <w:sz w:val="22"/>
          <w:szCs w:val="22"/>
        </w:rPr>
        <w:t>because of</w:t>
      </w:r>
      <w:r w:rsidRPr="006F366B">
        <w:rPr>
          <w:sz w:val="22"/>
          <w:szCs w:val="22"/>
        </w:rPr>
        <w:t xml:space="preserve"> substance-induced impairment</w:t>
      </w:r>
      <w:r>
        <w:rPr>
          <w:sz w:val="22"/>
          <w:szCs w:val="22"/>
        </w:rPr>
        <w:t xml:space="preserve"> or withdrawal symptoms</w:t>
      </w:r>
      <w:r w:rsidRPr="006F366B">
        <w:rPr>
          <w:sz w:val="22"/>
          <w:szCs w:val="22"/>
        </w:rPr>
        <w:t>.</w:t>
      </w:r>
    </w:p>
    <w:p w:rsidRPr="00CD4D83" w:rsidR="00D520BD" w:rsidP="00D520BD" w:rsidRDefault="00D520BD" w14:paraId="2E580314" w14:textId="592520B6">
      <w:pPr>
        <w:ind w:left="720"/>
        <w:rPr>
          <w:sz w:val="22"/>
          <w:szCs w:val="22"/>
        </w:rPr>
      </w:pPr>
    </w:p>
    <w:p w:rsidR="00D520BD" w:rsidP="00D520BD" w:rsidRDefault="00D520BD" w14:paraId="017ADD61" w14:textId="5947778C">
      <w:pPr>
        <w:ind w:left="720"/>
        <w:rPr>
          <w:sz w:val="22"/>
          <w:szCs w:val="22"/>
        </w:rPr>
      </w:pPr>
      <w:r w:rsidRPr="00EF6D79">
        <w:rPr>
          <w:sz w:val="22"/>
          <w:szCs w:val="22"/>
        </w:rPr>
        <w:t xml:space="preserve">Although </w:t>
      </w:r>
      <w:r w:rsidRPr="006F366B">
        <w:rPr>
          <w:sz w:val="22"/>
          <w:szCs w:val="22"/>
        </w:rPr>
        <w:t xml:space="preserve">nonradiological </w:t>
      </w:r>
      <w:r>
        <w:rPr>
          <w:sz w:val="22"/>
          <w:szCs w:val="22"/>
        </w:rPr>
        <w:t xml:space="preserve">occupational health </w:t>
      </w:r>
      <w:r w:rsidRPr="00EF6D79">
        <w:rPr>
          <w:sz w:val="22"/>
          <w:szCs w:val="22"/>
        </w:rPr>
        <w:t xml:space="preserve">is </w:t>
      </w:r>
      <w:r>
        <w:rPr>
          <w:sz w:val="22"/>
          <w:szCs w:val="22"/>
        </w:rPr>
        <w:t>not within the scope of the NRC’s regulatory authority</w:t>
      </w:r>
      <w:r w:rsidR="00646A79">
        <w:rPr>
          <w:sz w:val="22"/>
          <w:szCs w:val="22"/>
        </w:rPr>
        <w:t>,</w:t>
      </w:r>
      <w:r>
        <w:rPr>
          <w:sz w:val="22"/>
          <w:szCs w:val="22"/>
        </w:rPr>
        <w:t xml:space="preserve"> a beneficial consequence of the 10 CFR Part 26 drug testing program is that it provides assurance that individuals are fit for duty.  As </w:t>
      </w:r>
      <w:r w:rsidRPr="00447449">
        <w:rPr>
          <w:sz w:val="22"/>
          <w:szCs w:val="22"/>
        </w:rPr>
        <w:t xml:space="preserve">described in </w:t>
      </w:r>
      <w:r w:rsidRPr="00447449" w:rsidR="00FC32F8">
        <w:rPr>
          <w:sz w:val="22"/>
          <w:szCs w:val="22"/>
        </w:rPr>
        <w:t>10</w:t>
      </w:r>
      <w:r w:rsidR="00FC32F8">
        <w:rPr>
          <w:sz w:val="22"/>
          <w:szCs w:val="22"/>
        </w:rPr>
        <w:t> </w:t>
      </w:r>
      <w:r w:rsidRPr="00447449">
        <w:rPr>
          <w:sz w:val="22"/>
          <w:szCs w:val="22"/>
        </w:rPr>
        <w:t>CFR 26.23</w:t>
      </w:r>
      <w:r>
        <w:rPr>
          <w:sz w:val="22"/>
          <w:szCs w:val="22"/>
        </w:rPr>
        <w:t>(d) and (b)</w:t>
      </w:r>
      <w:r w:rsidR="00646A79">
        <w:rPr>
          <w:sz w:val="22"/>
          <w:szCs w:val="22"/>
        </w:rPr>
        <w:t>,</w:t>
      </w:r>
      <w:r>
        <w:rPr>
          <w:sz w:val="22"/>
          <w:szCs w:val="22"/>
        </w:rPr>
        <w:t xml:space="preserve"> </w:t>
      </w:r>
      <w:r w:rsidRPr="00447449">
        <w:rPr>
          <w:sz w:val="22"/>
          <w:szCs w:val="22"/>
        </w:rPr>
        <w:t>the FFD program must</w:t>
      </w:r>
      <w:r w:rsidR="00646A79">
        <w:rPr>
          <w:sz w:val="22"/>
          <w:szCs w:val="22"/>
        </w:rPr>
        <w:t>,</w:t>
      </w:r>
      <w:r w:rsidRPr="00447449">
        <w:rPr>
          <w:sz w:val="22"/>
          <w:szCs w:val="22"/>
        </w:rPr>
        <w:t xml:space="preserve"> in part</w:t>
      </w:r>
      <w:r w:rsidR="00646A79">
        <w:rPr>
          <w:sz w:val="22"/>
          <w:szCs w:val="22"/>
        </w:rPr>
        <w:t>,</w:t>
      </w:r>
      <w:r w:rsidRPr="00447449">
        <w:rPr>
          <w:sz w:val="22"/>
          <w:szCs w:val="22"/>
        </w:rPr>
        <w:t xml:space="preserve"> </w:t>
      </w:r>
      <w:r w:rsidR="00646A79">
        <w:rPr>
          <w:sz w:val="22"/>
          <w:szCs w:val="22"/>
        </w:rPr>
        <w:t>“</w:t>
      </w:r>
      <w:r w:rsidRPr="00447449">
        <w:rPr>
          <w:sz w:val="22"/>
          <w:szCs w:val="22"/>
        </w:rPr>
        <w:t>[p]rovide reasonable assurance that the workplaces subject to this part are free from the presence and effects of illegal drugs</w:t>
      </w:r>
      <w:r w:rsidR="00646A79">
        <w:rPr>
          <w:sz w:val="22"/>
          <w:szCs w:val="22"/>
        </w:rPr>
        <w:t>”</w:t>
      </w:r>
      <w:r w:rsidRPr="00447449">
        <w:rPr>
          <w:sz w:val="22"/>
          <w:szCs w:val="22"/>
        </w:rPr>
        <w:t xml:space="preserve"> and </w:t>
      </w:r>
      <w:r w:rsidR="00646A79">
        <w:rPr>
          <w:sz w:val="22"/>
          <w:szCs w:val="22"/>
        </w:rPr>
        <w:t>“</w:t>
      </w:r>
      <w:r w:rsidRPr="00447449">
        <w:rPr>
          <w:sz w:val="22"/>
          <w:szCs w:val="22"/>
        </w:rPr>
        <w:t>that individuals are not under the influence of any substance</w:t>
      </w:r>
      <w:r w:rsidR="00646A79">
        <w:rPr>
          <w:sz w:val="22"/>
          <w:szCs w:val="22"/>
        </w:rPr>
        <w:t>,</w:t>
      </w:r>
      <w:r w:rsidRPr="00447449">
        <w:rPr>
          <w:sz w:val="22"/>
          <w:szCs w:val="22"/>
        </w:rPr>
        <w:t xml:space="preserve"> legal or illegal</w:t>
      </w:r>
      <w:r w:rsidR="00646A79">
        <w:rPr>
          <w:sz w:val="22"/>
          <w:szCs w:val="22"/>
        </w:rPr>
        <w:t>,</w:t>
      </w:r>
      <w:r w:rsidRPr="00447449">
        <w:rPr>
          <w:sz w:val="22"/>
          <w:szCs w:val="22"/>
        </w:rPr>
        <w:t xml:space="preserve"> or mentally or physically impaired from any cause</w:t>
      </w:r>
      <w:r w:rsidR="00646A79">
        <w:rPr>
          <w:sz w:val="22"/>
          <w:szCs w:val="22"/>
        </w:rPr>
        <w:t>,</w:t>
      </w:r>
      <w:r w:rsidRPr="00447449">
        <w:rPr>
          <w:sz w:val="22"/>
          <w:szCs w:val="22"/>
        </w:rPr>
        <w:t xml:space="preserve"> which in any way adversely affects their ability to safely and comp</w:t>
      </w:r>
      <w:r>
        <w:rPr>
          <w:sz w:val="22"/>
          <w:szCs w:val="22"/>
        </w:rPr>
        <w:t>etently perform their duties</w:t>
      </w:r>
      <w:r w:rsidR="00646A79">
        <w:rPr>
          <w:sz w:val="22"/>
          <w:szCs w:val="22"/>
        </w:rPr>
        <w:t>,”</w:t>
      </w:r>
      <w:r>
        <w:rPr>
          <w:sz w:val="22"/>
          <w:szCs w:val="22"/>
        </w:rPr>
        <w:t xml:space="preserve"> respectively.</w:t>
      </w:r>
    </w:p>
    <w:p w:rsidR="00B03639" w:rsidP="00D520BD" w:rsidRDefault="00B03639" w14:paraId="492FA2EE" w14:textId="438A706F">
      <w:pPr>
        <w:ind w:left="720"/>
        <w:rPr>
          <w:sz w:val="22"/>
          <w:szCs w:val="22"/>
        </w:rPr>
      </w:pPr>
    </w:p>
    <w:p w:rsidR="00D520BD" w:rsidP="00D520BD" w:rsidRDefault="00D520BD" w14:paraId="3EB9D48F" w14:textId="5A24BF46">
      <w:pPr>
        <w:ind w:left="720"/>
        <w:rPr>
          <w:sz w:val="22"/>
          <w:szCs w:val="22"/>
        </w:rPr>
      </w:pPr>
      <w:r>
        <w:rPr>
          <w:sz w:val="22"/>
          <w:szCs w:val="22"/>
        </w:rPr>
        <w:t>Consequently</w:t>
      </w:r>
      <w:r w:rsidR="00646A79">
        <w:rPr>
          <w:sz w:val="22"/>
          <w:szCs w:val="22"/>
        </w:rPr>
        <w:t>,</w:t>
      </w:r>
      <w:r>
        <w:rPr>
          <w:sz w:val="22"/>
          <w:szCs w:val="22"/>
        </w:rPr>
        <w:t xml:space="preserve"> t</w:t>
      </w:r>
      <w:r w:rsidRPr="005A5966">
        <w:rPr>
          <w:sz w:val="22"/>
          <w:szCs w:val="22"/>
        </w:rPr>
        <w:t xml:space="preserve">he identification of </w:t>
      </w:r>
      <w:r>
        <w:rPr>
          <w:sz w:val="22"/>
          <w:szCs w:val="22"/>
        </w:rPr>
        <w:t xml:space="preserve">additional </w:t>
      </w:r>
      <w:r w:rsidRPr="005A5966">
        <w:rPr>
          <w:sz w:val="22"/>
          <w:szCs w:val="22"/>
        </w:rPr>
        <w:t xml:space="preserve">persons </w:t>
      </w:r>
      <w:r>
        <w:rPr>
          <w:sz w:val="22"/>
          <w:szCs w:val="22"/>
        </w:rPr>
        <w:t xml:space="preserve">not </w:t>
      </w:r>
      <w:r w:rsidRPr="005A5966">
        <w:rPr>
          <w:sz w:val="22"/>
          <w:szCs w:val="22"/>
        </w:rPr>
        <w:t>fit for duty</w:t>
      </w:r>
      <w:r>
        <w:rPr>
          <w:sz w:val="22"/>
          <w:szCs w:val="22"/>
        </w:rPr>
        <w:t xml:space="preserve"> through the conduct of drug testing and the subsequent denial of unescorted access authorization to these individuals</w:t>
      </w:r>
      <w:r w:rsidR="00EF53D3">
        <w:rPr>
          <w:sz w:val="22"/>
          <w:szCs w:val="22"/>
        </w:rPr>
        <w:t xml:space="preserve"> </w:t>
      </w:r>
      <w:r>
        <w:rPr>
          <w:sz w:val="22"/>
          <w:szCs w:val="22"/>
        </w:rPr>
        <w:t>reduce</w:t>
      </w:r>
      <w:r w:rsidR="000B5147">
        <w:rPr>
          <w:sz w:val="22"/>
          <w:szCs w:val="22"/>
        </w:rPr>
        <w:t>s</w:t>
      </w:r>
      <w:r>
        <w:rPr>
          <w:sz w:val="22"/>
          <w:szCs w:val="22"/>
        </w:rPr>
        <w:t xml:space="preserve"> the risk of occupational health (radiological and nonra</w:t>
      </w:r>
      <w:r w:rsidRPr="00634B9C">
        <w:rPr>
          <w:sz w:val="22"/>
          <w:szCs w:val="22"/>
        </w:rPr>
        <w:t>diological) accidents</w:t>
      </w:r>
      <w:r w:rsidRPr="000408D7">
        <w:rPr>
          <w:sz w:val="22"/>
          <w:szCs w:val="22"/>
        </w:rPr>
        <w:t>.</w:t>
      </w:r>
    </w:p>
    <w:p w:rsidRPr="000408D7" w:rsidR="00D520BD" w:rsidP="00D520BD" w:rsidRDefault="00D520BD" w14:paraId="7A1C3B27" w14:textId="77777777">
      <w:pPr>
        <w:ind w:left="720"/>
        <w:rPr>
          <w:sz w:val="22"/>
          <w:szCs w:val="22"/>
        </w:rPr>
      </w:pPr>
    </w:p>
    <w:p w:rsidRPr="00B10C2E" w:rsidR="00D520BD" w:rsidP="005C6BA3" w:rsidRDefault="00D520BD" w14:paraId="281632C4" w14:textId="3F14C287">
      <w:pPr>
        <w:pStyle w:val="ListParagraph"/>
        <w:numPr>
          <w:ilvl w:val="0"/>
          <w:numId w:val="38"/>
        </w:numPr>
        <w:ind w:hanging="720"/>
        <w:rPr>
          <w:sz w:val="22"/>
          <w:szCs w:val="22"/>
        </w:rPr>
      </w:pPr>
      <w:r w:rsidRPr="00B10C2E">
        <w:rPr>
          <w:sz w:val="22"/>
          <w:szCs w:val="22"/>
        </w:rPr>
        <w:t xml:space="preserve">Offsite Property:  The </w:t>
      </w:r>
      <w:r w:rsidR="000B5147">
        <w:rPr>
          <w:sz w:val="22"/>
          <w:szCs w:val="22"/>
        </w:rPr>
        <w:t xml:space="preserve">final </w:t>
      </w:r>
      <w:r w:rsidRPr="00B10C2E">
        <w:rPr>
          <w:sz w:val="22"/>
          <w:szCs w:val="22"/>
        </w:rPr>
        <w:t>rule reduce</w:t>
      </w:r>
      <w:r w:rsidR="000B5147">
        <w:rPr>
          <w:sz w:val="22"/>
          <w:szCs w:val="22"/>
        </w:rPr>
        <w:t>s</w:t>
      </w:r>
      <w:r w:rsidRPr="00B10C2E">
        <w:rPr>
          <w:sz w:val="22"/>
          <w:szCs w:val="22"/>
        </w:rPr>
        <w:t xml:space="preserve"> the risk that </w:t>
      </w:r>
      <w:r w:rsidR="003C6245">
        <w:rPr>
          <w:sz w:val="22"/>
          <w:szCs w:val="22"/>
        </w:rPr>
        <w:t xml:space="preserve">radiological releases affect </w:t>
      </w:r>
      <w:r w:rsidRPr="00B10C2E">
        <w:rPr>
          <w:sz w:val="22"/>
          <w:szCs w:val="22"/>
        </w:rPr>
        <w:t xml:space="preserve">offsite property by identifying additional individuals impaired from using illegal drugs or </w:t>
      </w:r>
      <w:r w:rsidRPr="00B10C2E">
        <w:rPr>
          <w:sz w:val="22"/>
          <w:szCs w:val="22"/>
        </w:rPr>
        <w:lastRenderedPageBreak/>
        <w:t>misusing legal drugs among persons applying for unescorted access and those already granted unescorted access to an NRC-licensed facility.  Identifying additional individuals using drugs reduce</w:t>
      </w:r>
      <w:r w:rsidR="000B5147">
        <w:rPr>
          <w:sz w:val="22"/>
          <w:szCs w:val="22"/>
        </w:rPr>
        <w:t>s</w:t>
      </w:r>
      <w:r w:rsidRPr="00B10C2E">
        <w:rPr>
          <w:sz w:val="22"/>
          <w:szCs w:val="22"/>
        </w:rPr>
        <w:t xml:space="preserve"> the risk of accidents and security incidents resulting from impairment that could adversely affect offsite property.</w:t>
      </w:r>
    </w:p>
    <w:p w:rsidRPr="000408D7" w:rsidR="00D520BD" w:rsidP="00D520BD" w:rsidRDefault="00D520BD" w14:paraId="76A65CBF" w14:textId="77777777">
      <w:pPr>
        <w:ind w:left="720" w:hanging="720"/>
        <w:rPr>
          <w:sz w:val="22"/>
          <w:szCs w:val="22"/>
        </w:rPr>
      </w:pPr>
    </w:p>
    <w:p w:rsidRPr="000408D7" w:rsidR="00D520BD" w:rsidP="005C6BA3" w:rsidRDefault="00D520BD" w14:paraId="6740F987" w14:textId="1A77860B">
      <w:pPr>
        <w:pStyle w:val="ListParagraph"/>
        <w:numPr>
          <w:ilvl w:val="0"/>
          <w:numId w:val="38"/>
        </w:numPr>
        <w:ind w:hanging="720"/>
        <w:rPr>
          <w:sz w:val="22"/>
          <w:szCs w:val="22"/>
        </w:rPr>
      </w:pPr>
      <w:r w:rsidRPr="000408D7">
        <w:rPr>
          <w:sz w:val="22"/>
          <w:szCs w:val="22"/>
        </w:rPr>
        <w:t>Onsite Property</w:t>
      </w:r>
      <w:r>
        <w:rPr>
          <w:sz w:val="22"/>
          <w:szCs w:val="22"/>
        </w:rPr>
        <w:t>:</w:t>
      </w:r>
      <w:r w:rsidRPr="000408D7">
        <w:rPr>
          <w:sz w:val="22"/>
          <w:szCs w:val="22"/>
        </w:rPr>
        <w:t xml:space="preserve">  The rule reduce</w:t>
      </w:r>
      <w:r w:rsidR="001859DF">
        <w:rPr>
          <w:sz w:val="22"/>
          <w:szCs w:val="22"/>
        </w:rPr>
        <w:t>s</w:t>
      </w:r>
      <w:r w:rsidRPr="000408D7">
        <w:rPr>
          <w:sz w:val="22"/>
          <w:szCs w:val="22"/>
        </w:rPr>
        <w:t xml:space="preserve"> the risk of damage to onsite property by identifying additional </w:t>
      </w:r>
      <w:r>
        <w:rPr>
          <w:sz w:val="22"/>
          <w:szCs w:val="22"/>
        </w:rPr>
        <w:t>individuals</w:t>
      </w:r>
      <w:r w:rsidRPr="00BA51CB">
        <w:rPr>
          <w:sz w:val="22"/>
          <w:szCs w:val="22"/>
        </w:rPr>
        <w:t xml:space="preserve"> impaired by</w:t>
      </w:r>
      <w:r>
        <w:rPr>
          <w:sz w:val="22"/>
          <w:szCs w:val="22"/>
        </w:rPr>
        <w:t xml:space="preserve"> using </w:t>
      </w:r>
      <w:r w:rsidRPr="000408D7">
        <w:rPr>
          <w:sz w:val="22"/>
          <w:szCs w:val="22"/>
        </w:rPr>
        <w:t>illegal drug</w:t>
      </w:r>
      <w:r>
        <w:rPr>
          <w:sz w:val="22"/>
          <w:szCs w:val="22"/>
        </w:rPr>
        <w:t>s or misusing</w:t>
      </w:r>
      <w:r w:rsidRPr="000408D7">
        <w:rPr>
          <w:sz w:val="22"/>
          <w:szCs w:val="22"/>
        </w:rPr>
        <w:t xml:space="preserve"> legal drug</w:t>
      </w:r>
      <w:r>
        <w:rPr>
          <w:sz w:val="22"/>
          <w:szCs w:val="22"/>
        </w:rPr>
        <w:t>s</w:t>
      </w:r>
      <w:r w:rsidRPr="000408D7">
        <w:rPr>
          <w:sz w:val="22"/>
          <w:szCs w:val="22"/>
        </w:rPr>
        <w:t xml:space="preserve"> </w:t>
      </w:r>
      <w:r>
        <w:rPr>
          <w:sz w:val="22"/>
          <w:szCs w:val="22"/>
        </w:rPr>
        <w:t>among individual</w:t>
      </w:r>
      <w:r w:rsidRPr="000408D7">
        <w:rPr>
          <w:sz w:val="22"/>
          <w:szCs w:val="22"/>
        </w:rPr>
        <w:t xml:space="preserve">s applying for unescorted access and those </w:t>
      </w:r>
      <w:r>
        <w:rPr>
          <w:sz w:val="22"/>
          <w:szCs w:val="22"/>
        </w:rPr>
        <w:t xml:space="preserve">already granted </w:t>
      </w:r>
      <w:r w:rsidRPr="000408D7">
        <w:rPr>
          <w:sz w:val="22"/>
          <w:szCs w:val="22"/>
        </w:rPr>
        <w:t>unescorted access to an NRC-licensed facilit</w:t>
      </w:r>
      <w:r>
        <w:rPr>
          <w:sz w:val="22"/>
          <w:szCs w:val="22"/>
        </w:rPr>
        <w:t>y</w:t>
      </w:r>
      <w:r w:rsidRPr="000408D7">
        <w:rPr>
          <w:sz w:val="22"/>
          <w:szCs w:val="22"/>
        </w:rPr>
        <w:t xml:space="preserve">.  </w:t>
      </w:r>
      <w:r>
        <w:rPr>
          <w:sz w:val="22"/>
          <w:szCs w:val="22"/>
        </w:rPr>
        <w:t>Identifying additional individuals using drugs reduce</w:t>
      </w:r>
      <w:r w:rsidR="00476177">
        <w:rPr>
          <w:sz w:val="22"/>
          <w:szCs w:val="22"/>
        </w:rPr>
        <w:t>s</w:t>
      </w:r>
      <w:r>
        <w:rPr>
          <w:sz w:val="22"/>
          <w:szCs w:val="22"/>
        </w:rPr>
        <w:t xml:space="preserve"> the risk of accidents and security incidents resulting from impairment that could adversely affect onsite property.</w:t>
      </w:r>
    </w:p>
    <w:p w:rsidRPr="000408D7" w:rsidR="00D520BD" w:rsidP="00D520BD" w:rsidRDefault="00D520BD" w14:paraId="42B1B0D8" w14:textId="77777777">
      <w:pPr>
        <w:rPr>
          <w:sz w:val="22"/>
          <w:szCs w:val="22"/>
        </w:rPr>
      </w:pPr>
    </w:p>
    <w:p w:rsidRPr="005A5966" w:rsidR="00D520BD" w:rsidP="005C6BA3" w:rsidRDefault="00D520BD" w14:paraId="35DA3186" w14:textId="45F26FD0">
      <w:pPr>
        <w:numPr>
          <w:ilvl w:val="0"/>
          <w:numId w:val="38"/>
        </w:numPr>
        <w:ind w:hanging="720"/>
        <w:rPr>
          <w:sz w:val="22"/>
          <w:szCs w:val="22"/>
        </w:rPr>
      </w:pPr>
      <w:r w:rsidRPr="005A5966">
        <w:rPr>
          <w:sz w:val="22"/>
          <w:szCs w:val="22"/>
        </w:rPr>
        <w:t xml:space="preserve">Industry </w:t>
      </w:r>
      <w:r w:rsidRPr="004C3CA3">
        <w:rPr>
          <w:sz w:val="22"/>
          <w:szCs w:val="22"/>
        </w:rPr>
        <w:t>Implementation</w:t>
      </w:r>
      <w:r>
        <w:rPr>
          <w:sz w:val="22"/>
          <w:szCs w:val="22"/>
        </w:rPr>
        <w:t>:</w:t>
      </w:r>
      <w:r w:rsidRPr="004C3CA3">
        <w:rPr>
          <w:sz w:val="22"/>
          <w:szCs w:val="22"/>
        </w:rPr>
        <w:t xml:space="preserve">  The </w:t>
      </w:r>
      <w:r w:rsidR="00F54034">
        <w:rPr>
          <w:sz w:val="22"/>
          <w:szCs w:val="22"/>
        </w:rPr>
        <w:t xml:space="preserve">final </w:t>
      </w:r>
      <w:r w:rsidRPr="004C3CA3">
        <w:rPr>
          <w:sz w:val="22"/>
          <w:szCs w:val="22"/>
        </w:rPr>
        <w:t>rule require</w:t>
      </w:r>
      <w:r w:rsidR="00F54034">
        <w:rPr>
          <w:sz w:val="22"/>
          <w:szCs w:val="22"/>
        </w:rPr>
        <w:t>s</w:t>
      </w:r>
      <w:r w:rsidRPr="004C3CA3">
        <w:rPr>
          <w:sz w:val="22"/>
          <w:szCs w:val="22"/>
        </w:rPr>
        <w:t xml:space="preserve"> licensees to revise their policies</w:t>
      </w:r>
      <w:r w:rsidR="00646A79">
        <w:rPr>
          <w:sz w:val="22"/>
          <w:szCs w:val="22"/>
        </w:rPr>
        <w:t>,</w:t>
      </w:r>
      <w:r w:rsidRPr="004C3CA3">
        <w:rPr>
          <w:sz w:val="22"/>
          <w:szCs w:val="22"/>
        </w:rPr>
        <w:t xml:space="preserve"> procedures</w:t>
      </w:r>
      <w:r w:rsidR="00646A79">
        <w:rPr>
          <w:sz w:val="22"/>
          <w:szCs w:val="22"/>
        </w:rPr>
        <w:t>,</w:t>
      </w:r>
      <w:r w:rsidRPr="004C3CA3">
        <w:rPr>
          <w:sz w:val="22"/>
          <w:szCs w:val="22"/>
        </w:rPr>
        <w:t xml:space="preserve"> training</w:t>
      </w:r>
      <w:r w:rsidR="00646A79">
        <w:rPr>
          <w:sz w:val="22"/>
          <w:szCs w:val="22"/>
        </w:rPr>
        <w:t>,</w:t>
      </w:r>
      <w:r>
        <w:rPr>
          <w:sz w:val="22"/>
          <w:szCs w:val="22"/>
        </w:rPr>
        <w:t xml:space="preserve"> and contracts with HHS-certified laboratories and blind performance test sample (BPTS) suppliers</w:t>
      </w:r>
      <w:r w:rsidRPr="004C3CA3">
        <w:rPr>
          <w:sz w:val="22"/>
          <w:szCs w:val="22"/>
        </w:rPr>
        <w:t>.</w:t>
      </w:r>
      <w:r>
        <w:rPr>
          <w:sz w:val="22"/>
          <w:szCs w:val="22"/>
        </w:rPr>
        <w:t xml:space="preserve">  Licensees that use a</w:t>
      </w:r>
      <w:r w:rsidR="00FA1AD7">
        <w:rPr>
          <w:sz w:val="22"/>
          <w:szCs w:val="22"/>
        </w:rPr>
        <w:t>n</w:t>
      </w:r>
      <w:r>
        <w:rPr>
          <w:sz w:val="22"/>
          <w:szCs w:val="22"/>
        </w:rPr>
        <w:t xml:space="preserve"> LTF also train </w:t>
      </w:r>
      <w:r w:rsidR="00207E0D">
        <w:rPr>
          <w:sz w:val="22"/>
          <w:szCs w:val="22"/>
        </w:rPr>
        <w:t>L</w:t>
      </w:r>
      <w:r>
        <w:rPr>
          <w:sz w:val="22"/>
          <w:szCs w:val="22"/>
        </w:rPr>
        <w:t xml:space="preserve">aboratory </w:t>
      </w:r>
      <w:r w:rsidR="00207E0D">
        <w:rPr>
          <w:sz w:val="22"/>
          <w:szCs w:val="22"/>
        </w:rPr>
        <w:t>T</w:t>
      </w:r>
      <w:r>
        <w:rPr>
          <w:sz w:val="22"/>
          <w:szCs w:val="22"/>
        </w:rPr>
        <w:t xml:space="preserve">echnicians on the drug testing panel changes and </w:t>
      </w:r>
      <w:r w:rsidR="006F7DC0">
        <w:rPr>
          <w:sz w:val="22"/>
          <w:szCs w:val="22"/>
        </w:rPr>
        <w:t>validate</w:t>
      </w:r>
      <w:r>
        <w:rPr>
          <w:sz w:val="22"/>
          <w:szCs w:val="22"/>
        </w:rPr>
        <w:t xml:space="preserve"> the updated drug testing assays.  </w:t>
      </w:r>
      <w:r w:rsidR="00150C7C">
        <w:rPr>
          <w:sz w:val="22"/>
          <w:szCs w:val="22"/>
        </w:rPr>
        <w:t>Any i</w:t>
      </w:r>
      <w:r>
        <w:rPr>
          <w:sz w:val="22"/>
          <w:szCs w:val="22"/>
        </w:rPr>
        <w:t xml:space="preserve">mplementation costs </w:t>
      </w:r>
      <w:r w:rsidR="00150C7C">
        <w:rPr>
          <w:sz w:val="22"/>
          <w:szCs w:val="22"/>
        </w:rPr>
        <w:t xml:space="preserve">for </w:t>
      </w:r>
      <w:r w:rsidRPr="00CE4222">
        <w:rPr>
          <w:sz w:val="22"/>
          <w:szCs w:val="22"/>
        </w:rPr>
        <w:t xml:space="preserve">HHS-certified laboratories </w:t>
      </w:r>
      <w:r w:rsidR="00150C7C">
        <w:rPr>
          <w:sz w:val="22"/>
          <w:szCs w:val="22"/>
        </w:rPr>
        <w:t xml:space="preserve">would be </w:t>
      </w:r>
      <w:r w:rsidR="00632800">
        <w:rPr>
          <w:sz w:val="22"/>
          <w:szCs w:val="22"/>
        </w:rPr>
        <w:t>included in</w:t>
      </w:r>
      <w:r w:rsidR="0005252A">
        <w:rPr>
          <w:sz w:val="22"/>
          <w:szCs w:val="22"/>
        </w:rPr>
        <w:t xml:space="preserve"> the</w:t>
      </w:r>
      <w:r>
        <w:rPr>
          <w:sz w:val="22"/>
          <w:szCs w:val="22"/>
        </w:rPr>
        <w:t xml:space="preserve"> </w:t>
      </w:r>
      <w:r w:rsidR="00632800">
        <w:rPr>
          <w:sz w:val="22"/>
          <w:szCs w:val="22"/>
        </w:rPr>
        <w:t xml:space="preserve">specimen testing costs </w:t>
      </w:r>
      <w:r w:rsidR="000A76B5">
        <w:rPr>
          <w:sz w:val="22"/>
          <w:szCs w:val="22"/>
        </w:rPr>
        <w:t xml:space="preserve">charged to licensees and other entities </w:t>
      </w:r>
      <w:r>
        <w:rPr>
          <w:sz w:val="22"/>
          <w:szCs w:val="22"/>
        </w:rPr>
        <w:t xml:space="preserve">(see </w:t>
      </w:r>
      <w:r w:rsidR="00646A79">
        <w:rPr>
          <w:sz w:val="22"/>
          <w:szCs w:val="22"/>
        </w:rPr>
        <w:t>“</w:t>
      </w:r>
      <w:r>
        <w:rPr>
          <w:sz w:val="22"/>
          <w:szCs w:val="22"/>
        </w:rPr>
        <w:t>Industry Operation</w:t>
      </w:r>
      <w:r w:rsidR="00646A79">
        <w:rPr>
          <w:sz w:val="22"/>
          <w:szCs w:val="22"/>
        </w:rPr>
        <w:t>”</w:t>
      </w:r>
      <w:r>
        <w:rPr>
          <w:sz w:val="22"/>
          <w:szCs w:val="22"/>
        </w:rPr>
        <w:t xml:space="preserve"> below</w:t>
      </w:r>
      <w:r w:rsidRPr="00CE4222">
        <w:rPr>
          <w:sz w:val="22"/>
          <w:szCs w:val="22"/>
        </w:rPr>
        <w:t>)</w:t>
      </w:r>
      <w:r w:rsidR="00A51D90">
        <w:rPr>
          <w:sz w:val="22"/>
          <w:szCs w:val="22"/>
        </w:rPr>
        <w:t>.  T</w:t>
      </w:r>
      <w:r w:rsidRPr="00CE4222">
        <w:rPr>
          <w:sz w:val="22"/>
          <w:szCs w:val="22"/>
        </w:rPr>
        <w:t>he increased detection of impaired individuals reduce</w:t>
      </w:r>
      <w:r w:rsidR="00F54034">
        <w:rPr>
          <w:sz w:val="22"/>
          <w:szCs w:val="22"/>
        </w:rPr>
        <w:t>s</w:t>
      </w:r>
      <w:r w:rsidRPr="00CE4222">
        <w:rPr>
          <w:sz w:val="22"/>
          <w:szCs w:val="22"/>
        </w:rPr>
        <w:t xml:space="preserve"> the risk of accidents and security incidents resulting from that impairment.</w:t>
      </w:r>
      <w:r>
        <w:rPr>
          <w:sz w:val="22"/>
          <w:szCs w:val="22"/>
        </w:rPr>
        <w:t xml:space="preserve">  Section 5.1.1 and Appendix C provide the quantitative analysis of this attribute.</w:t>
      </w:r>
    </w:p>
    <w:p w:rsidRPr="005A5966" w:rsidR="00D520BD" w:rsidP="00D520BD" w:rsidRDefault="00D520BD" w14:paraId="0EAAC078" w14:textId="77777777">
      <w:pPr>
        <w:numPr>
          <w:ilvl w:val="12"/>
          <w:numId w:val="0"/>
        </w:numPr>
        <w:tabs>
          <w:tab w:val="left" w:pos="721"/>
        </w:tabs>
        <w:ind w:left="720" w:right="720" w:hanging="720"/>
        <w:rPr>
          <w:sz w:val="22"/>
          <w:szCs w:val="22"/>
        </w:rPr>
      </w:pPr>
    </w:p>
    <w:p w:rsidRPr="005A5966" w:rsidR="00D520BD" w:rsidP="005C6BA3" w:rsidRDefault="00D520BD" w14:paraId="47A66674" w14:textId="24C02A53">
      <w:pPr>
        <w:numPr>
          <w:ilvl w:val="0"/>
          <w:numId w:val="38"/>
        </w:numPr>
        <w:ind w:hanging="720"/>
        <w:rPr>
          <w:sz w:val="22"/>
          <w:szCs w:val="22"/>
        </w:rPr>
      </w:pPr>
      <w:r w:rsidRPr="005A5966">
        <w:rPr>
          <w:sz w:val="22"/>
          <w:szCs w:val="22"/>
        </w:rPr>
        <w:t>Industry Operation</w:t>
      </w:r>
      <w:r>
        <w:rPr>
          <w:sz w:val="22"/>
          <w:szCs w:val="22"/>
        </w:rPr>
        <w:t>:</w:t>
      </w:r>
      <w:r w:rsidRPr="005A5966">
        <w:rPr>
          <w:sz w:val="22"/>
          <w:szCs w:val="22"/>
        </w:rPr>
        <w:t xml:space="preserve">  </w:t>
      </w:r>
      <w:r>
        <w:rPr>
          <w:sz w:val="22"/>
          <w:szCs w:val="22"/>
        </w:rPr>
        <w:t xml:space="preserve">The </w:t>
      </w:r>
      <w:r w:rsidR="00F54034">
        <w:rPr>
          <w:sz w:val="22"/>
          <w:szCs w:val="22"/>
        </w:rPr>
        <w:t xml:space="preserve">final </w:t>
      </w:r>
      <w:r w:rsidRPr="005A5966">
        <w:rPr>
          <w:sz w:val="22"/>
          <w:szCs w:val="22"/>
        </w:rPr>
        <w:t>rule result</w:t>
      </w:r>
      <w:r w:rsidR="00F54034">
        <w:rPr>
          <w:sz w:val="22"/>
          <w:szCs w:val="22"/>
        </w:rPr>
        <w:t>s</w:t>
      </w:r>
      <w:r w:rsidRPr="005A5966">
        <w:rPr>
          <w:sz w:val="22"/>
          <w:szCs w:val="22"/>
        </w:rPr>
        <w:t xml:space="preserve"> in a</w:t>
      </w:r>
      <w:r>
        <w:rPr>
          <w:sz w:val="22"/>
          <w:szCs w:val="22"/>
        </w:rPr>
        <w:t>n increase in the cost to test each specimen because the testing panel include</w:t>
      </w:r>
      <w:r w:rsidR="008C770C">
        <w:rPr>
          <w:sz w:val="22"/>
          <w:szCs w:val="22"/>
        </w:rPr>
        <w:t>s</w:t>
      </w:r>
      <w:r>
        <w:rPr>
          <w:sz w:val="22"/>
          <w:szCs w:val="22"/>
        </w:rPr>
        <w:t xml:space="preserve"> more drugs.  The changes to the drug testing panel also result in an increase in the </w:t>
      </w:r>
      <w:r w:rsidRPr="00447449">
        <w:rPr>
          <w:sz w:val="22"/>
          <w:szCs w:val="22"/>
        </w:rPr>
        <w:t>number</w:t>
      </w:r>
      <w:r w:rsidRPr="002F0E7D">
        <w:rPr>
          <w:sz w:val="22"/>
          <w:szCs w:val="22"/>
        </w:rPr>
        <w:t xml:space="preserve"> </w:t>
      </w:r>
      <w:r w:rsidRPr="005A5966">
        <w:rPr>
          <w:sz w:val="22"/>
          <w:szCs w:val="22"/>
        </w:rPr>
        <w:t xml:space="preserve">of </w:t>
      </w:r>
      <w:r>
        <w:rPr>
          <w:sz w:val="22"/>
          <w:szCs w:val="22"/>
        </w:rPr>
        <w:t>individuals identified as using illegal drugs or misusing legal drugs and the number of 10 CFR Part 26 actions that each licensee must take subsequent to a positive drug test result or a confirmed subversion attempt</w:t>
      </w:r>
      <w:r w:rsidRPr="005A5966">
        <w:rPr>
          <w:sz w:val="22"/>
          <w:szCs w:val="22"/>
        </w:rPr>
        <w:t>.</w:t>
      </w:r>
      <w:r>
        <w:rPr>
          <w:sz w:val="22"/>
          <w:szCs w:val="22"/>
        </w:rPr>
        <w:t xml:space="preserve">  However</w:t>
      </w:r>
      <w:r w:rsidR="00646A79">
        <w:rPr>
          <w:sz w:val="22"/>
          <w:szCs w:val="22"/>
        </w:rPr>
        <w:t>,</w:t>
      </w:r>
      <w:r>
        <w:rPr>
          <w:sz w:val="22"/>
          <w:szCs w:val="22"/>
        </w:rPr>
        <w:t xml:space="preserve"> the increased detection of impaired individuals reduce</w:t>
      </w:r>
      <w:r w:rsidR="00D0298E">
        <w:rPr>
          <w:sz w:val="22"/>
          <w:szCs w:val="22"/>
        </w:rPr>
        <w:t>s</w:t>
      </w:r>
      <w:r>
        <w:rPr>
          <w:sz w:val="22"/>
          <w:szCs w:val="22"/>
        </w:rPr>
        <w:t xml:space="preserve"> the risk of accidents and security incidents resulting from that impairment</w:t>
      </w:r>
      <w:r w:rsidRPr="00C5739D">
        <w:rPr>
          <w:sz w:val="22"/>
          <w:szCs w:val="22"/>
        </w:rPr>
        <w:t>.</w:t>
      </w:r>
      <w:r>
        <w:rPr>
          <w:sz w:val="22"/>
          <w:szCs w:val="22"/>
        </w:rPr>
        <w:t xml:space="preserve">  The </w:t>
      </w:r>
      <w:r w:rsidR="00D0298E">
        <w:rPr>
          <w:sz w:val="22"/>
          <w:szCs w:val="22"/>
        </w:rPr>
        <w:t xml:space="preserve">final </w:t>
      </w:r>
      <w:r>
        <w:rPr>
          <w:sz w:val="22"/>
          <w:szCs w:val="22"/>
        </w:rPr>
        <w:t>rule result</w:t>
      </w:r>
      <w:r w:rsidR="00D0298E">
        <w:rPr>
          <w:sz w:val="22"/>
          <w:szCs w:val="22"/>
        </w:rPr>
        <w:t>s</w:t>
      </w:r>
      <w:r>
        <w:rPr>
          <w:sz w:val="22"/>
          <w:szCs w:val="22"/>
        </w:rPr>
        <w:t xml:space="preserve"> in savings during pre-access testing from averted training costs associated with additional individuals testing positive </w:t>
      </w:r>
      <w:r w:rsidR="007612F4">
        <w:rPr>
          <w:sz w:val="22"/>
          <w:szCs w:val="22"/>
        </w:rPr>
        <w:t>because</w:t>
      </w:r>
      <w:r>
        <w:rPr>
          <w:sz w:val="22"/>
          <w:szCs w:val="22"/>
        </w:rPr>
        <w:t xml:space="preserve"> of the rule changes.</w:t>
      </w:r>
      <w:r>
        <w:rPr>
          <w:rStyle w:val="FootnoteReference"/>
          <w:sz w:val="22"/>
          <w:szCs w:val="22"/>
        </w:rPr>
        <w:footnoteReference w:id="11"/>
      </w:r>
      <w:r>
        <w:rPr>
          <w:sz w:val="22"/>
          <w:szCs w:val="22"/>
        </w:rPr>
        <w:t xml:space="preserve">  Sections 5.1.2 through 5.1.6 and Appendix C provide the quantitative analysis of this attribute.</w:t>
      </w:r>
    </w:p>
    <w:p w:rsidRPr="00C71583" w:rsidR="00C71583" w:rsidP="00C71583" w:rsidRDefault="00C71583" w14:paraId="051EA480" w14:textId="77777777">
      <w:pPr>
        <w:pStyle w:val="ListParagraph"/>
        <w:rPr>
          <w:sz w:val="22"/>
          <w:szCs w:val="22"/>
        </w:rPr>
      </w:pPr>
    </w:p>
    <w:p w:rsidRPr="005A5966" w:rsidR="00D520BD" w:rsidP="005C6BA3" w:rsidRDefault="00D520BD" w14:paraId="2BC16FA3" w14:textId="65EE0791">
      <w:pPr>
        <w:numPr>
          <w:ilvl w:val="0"/>
          <w:numId w:val="38"/>
        </w:numPr>
        <w:ind w:hanging="720"/>
        <w:rPr>
          <w:sz w:val="22"/>
          <w:szCs w:val="22"/>
        </w:rPr>
      </w:pPr>
      <w:r w:rsidRPr="005A5966">
        <w:rPr>
          <w:sz w:val="22"/>
          <w:szCs w:val="22"/>
        </w:rPr>
        <w:t>Regulatory Efficiency</w:t>
      </w:r>
      <w:r>
        <w:rPr>
          <w:sz w:val="22"/>
          <w:szCs w:val="22"/>
        </w:rPr>
        <w:t>:</w:t>
      </w:r>
      <w:r w:rsidRPr="005A5966">
        <w:rPr>
          <w:sz w:val="22"/>
          <w:szCs w:val="22"/>
        </w:rPr>
        <w:t xml:space="preserve">  The </w:t>
      </w:r>
      <w:r w:rsidR="00D0298E">
        <w:rPr>
          <w:sz w:val="22"/>
          <w:szCs w:val="22"/>
        </w:rPr>
        <w:t xml:space="preserve">final </w:t>
      </w:r>
      <w:r w:rsidRPr="005A5966">
        <w:rPr>
          <w:sz w:val="22"/>
          <w:szCs w:val="22"/>
        </w:rPr>
        <w:t>rule result</w:t>
      </w:r>
      <w:r w:rsidR="00D0298E">
        <w:rPr>
          <w:sz w:val="22"/>
          <w:szCs w:val="22"/>
        </w:rPr>
        <w:t>s</w:t>
      </w:r>
      <w:r w:rsidRPr="005A5966">
        <w:rPr>
          <w:sz w:val="22"/>
          <w:szCs w:val="22"/>
        </w:rPr>
        <w:t xml:space="preserve"> in </w:t>
      </w:r>
      <w:r>
        <w:rPr>
          <w:sz w:val="22"/>
          <w:szCs w:val="22"/>
        </w:rPr>
        <w:t>improved</w:t>
      </w:r>
      <w:r w:rsidRPr="005A5966">
        <w:rPr>
          <w:sz w:val="22"/>
          <w:szCs w:val="22"/>
        </w:rPr>
        <w:t xml:space="preserve"> regulatory efficiency by achieving better consistency and less redundancy with select drug testing procedures in </w:t>
      </w:r>
      <w:r>
        <w:rPr>
          <w:sz w:val="22"/>
          <w:szCs w:val="22"/>
        </w:rPr>
        <w:t xml:space="preserve">the 2008 </w:t>
      </w:r>
      <w:r w:rsidRPr="005A5966">
        <w:rPr>
          <w:sz w:val="22"/>
          <w:szCs w:val="22"/>
        </w:rPr>
        <w:t>HHS Guidelines</w:t>
      </w:r>
      <w:r w:rsidR="00646A79">
        <w:rPr>
          <w:sz w:val="22"/>
          <w:szCs w:val="22"/>
        </w:rPr>
        <w:t>,</w:t>
      </w:r>
      <w:r w:rsidRPr="005A5966">
        <w:rPr>
          <w:sz w:val="22"/>
          <w:szCs w:val="22"/>
        </w:rPr>
        <w:t xml:space="preserve"> as well as better internal consistency within </w:t>
      </w:r>
      <w:r>
        <w:rPr>
          <w:sz w:val="22"/>
          <w:szCs w:val="22"/>
        </w:rPr>
        <w:t>10 CFR Part 26</w:t>
      </w:r>
      <w:r w:rsidRPr="005A5966">
        <w:rPr>
          <w:sz w:val="22"/>
          <w:szCs w:val="22"/>
        </w:rPr>
        <w:t>.</w:t>
      </w:r>
      <w:r>
        <w:rPr>
          <w:sz w:val="22"/>
          <w:szCs w:val="22"/>
        </w:rPr>
        <w:t xml:space="preserve">  The </w:t>
      </w:r>
      <w:r w:rsidR="00C82438">
        <w:rPr>
          <w:sz w:val="22"/>
          <w:szCs w:val="22"/>
        </w:rPr>
        <w:t>final</w:t>
      </w:r>
      <w:r>
        <w:rPr>
          <w:sz w:val="22"/>
          <w:szCs w:val="22"/>
        </w:rPr>
        <w:t xml:space="preserve"> rule also harmonize</w:t>
      </w:r>
      <w:r w:rsidR="00D0298E">
        <w:rPr>
          <w:sz w:val="22"/>
          <w:szCs w:val="22"/>
        </w:rPr>
        <w:t>s</w:t>
      </w:r>
      <w:r>
        <w:rPr>
          <w:sz w:val="22"/>
          <w:szCs w:val="22"/>
        </w:rPr>
        <w:t xml:space="preserve"> some of the NRC’s definitions with those in the </w:t>
      </w:r>
      <w:r w:rsidRPr="00A5205A">
        <w:rPr>
          <w:sz w:val="22"/>
          <w:szCs w:val="22"/>
        </w:rPr>
        <w:t>20</w:t>
      </w:r>
      <w:r w:rsidRPr="00A5205A" w:rsidR="00C82438">
        <w:rPr>
          <w:sz w:val="22"/>
          <w:szCs w:val="22"/>
        </w:rPr>
        <w:t>17</w:t>
      </w:r>
      <w:r>
        <w:rPr>
          <w:sz w:val="22"/>
          <w:szCs w:val="22"/>
        </w:rPr>
        <w:t xml:space="preserve"> HHS Guidelines</w:t>
      </w:r>
      <w:r w:rsidR="00646A79">
        <w:rPr>
          <w:sz w:val="22"/>
          <w:szCs w:val="22"/>
        </w:rPr>
        <w:t>,</w:t>
      </w:r>
      <w:r>
        <w:rPr>
          <w:sz w:val="22"/>
          <w:szCs w:val="22"/>
        </w:rPr>
        <w:t xml:space="preserve"> prevent</w:t>
      </w:r>
      <w:r w:rsidR="00C01EDB">
        <w:rPr>
          <w:sz w:val="22"/>
          <w:szCs w:val="22"/>
        </w:rPr>
        <w:t>s</w:t>
      </w:r>
      <w:r>
        <w:rPr>
          <w:sz w:val="22"/>
          <w:szCs w:val="22"/>
        </w:rPr>
        <w:t xml:space="preserve"> dual regulation of HHS</w:t>
      </w:r>
      <w:r>
        <w:rPr>
          <w:sz w:val="22"/>
          <w:szCs w:val="22"/>
        </w:rPr>
        <w:noBreakHyphen/>
        <w:t>certified laboratories in the areas of laboratory personnel and procedures</w:t>
      </w:r>
      <w:r w:rsidR="00646A79">
        <w:rPr>
          <w:sz w:val="22"/>
          <w:szCs w:val="22"/>
        </w:rPr>
        <w:t>,</w:t>
      </w:r>
      <w:r>
        <w:rPr>
          <w:sz w:val="22"/>
          <w:szCs w:val="22"/>
        </w:rPr>
        <w:t xml:space="preserve"> and clarif</w:t>
      </w:r>
      <w:r w:rsidR="00C01EDB">
        <w:rPr>
          <w:sz w:val="22"/>
          <w:szCs w:val="22"/>
        </w:rPr>
        <w:t>ies</w:t>
      </w:r>
      <w:r>
        <w:rPr>
          <w:sz w:val="22"/>
          <w:szCs w:val="22"/>
        </w:rPr>
        <w:t xml:space="preserve"> ambiguous or imprecise regulatory language in 10 CFR Part 26 (such as the changes to the 10 CFR Part 26 definitions).  Lastly</w:t>
      </w:r>
      <w:r w:rsidR="00646A79">
        <w:rPr>
          <w:sz w:val="22"/>
          <w:szCs w:val="22"/>
        </w:rPr>
        <w:t>,</w:t>
      </w:r>
      <w:r>
        <w:rPr>
          <w:sz w:val="22"/>
          <w:szCs w:val="22"/>
        </w:rPr>
        <w:t xml:space="preserve"> the changes improve the protections afforded to individuals by requiring certain drug tests to be evaluated to the LOQ instead of </w:t>
      </w:r>
      <w:r w:rsidR="008F0B66">
        <w:rPr>
          <w:sz w:val="22"/>
          <w:szCs w:val="22"/>
        </w:rPr>
        <w:t xml:space="preserve">to </w:t>
      </w:r>
      <w:r>
        <w:rPr>
          <w:sz w:val="22"/>
          <w:szCs w:val="22"/>
        </w:rPr>
        <w:t>the limit of detection (LOD) and requiring the MRO</w:t>
      </w:r>
      <w:r w:rsidR="00233FA7">
        <w:rPr>
          <w:sz w:val="22"/>
          <w:szCs w:val="22"/>
        </w:rPr>
        <w:t xml:space="preserve"> to</w:t>
      </w:r>
      <w:r>
        <w:rPr>
          <w:sz w:val="22"/>
          <w:szCs w:val="22"/>
        </w:rPr>
        <w:t xml:space="preserve"> perform an additional review of an invalid test result due to high urine pH.  These donor protection changes improve regulatory efficiency by reducing the potential for appeals associated with FFD policy violations and any subsequent followup NRC inspections.</w:t>
      </w:r>
    </w:p>
    <w:p w:rsidRPr="005A5966" w:rsidR="00D520BD" w:rsidP="00D520BD" w:rsidRDefault="00D520BD" w14:paraId="36E47AF6" w14:textId="2CBC2253">
      <w:pPr>
        <w:pStyle w:val="ListParagraph"/>
        <w:rPr>
          <w:sz w:val="22"/>
          <w:szCs w:val="22"/>
        </w:rPr>
      </w:pPr>
    </w:p>
    <w:p w:rsidR="00D520BD" w:rsidP="005C6BA3" w:rsidRDefault="00D520BD" w14:paraId="764DF26D" w14:textId="34ACBA0E">
      <w:pPr>
        <w:numPr>
          <w:ilvl w:val="0"/>
          <w:numId w:val="38"/>
        </w:numPr>
        <w:ind w:hanging="720"/>
        <w:rPr>
          <w:sz w:val="22"/>
          <w:szCs w:val="22"/>
        </w:rPr>
      </w:pPr>
      <w:r w:rsidRPr="005A5966">
        <w:rPr>
          <w:sz w:val="22"/>
          <w:szCs w:val="22"/>
        </w:rPr>
        <w:lastRenderedPageBreak/>
        <w:t>Safeguards and Security Considerations</w:t>
      </w:r>
      <w:r>
        <w:rPr>
          <w:sz w:val="22"/>
          <w:szCs w:val="22"/>
        </w:rPr>
        <w:t>:</w:t>
      </w:r>
      <w:r w:rsidRPr="005A5966">
        <w:rPr>
          <w:sz w:val="22"/>
          <w:szCs w:val="22"/>
        </w:rPr>
        <w:t xml:space="preserve">  The </w:t>
      </w:r>
      <w:r w:rsidR="007E52D2">
        <w:rPr>
          <w:sz w:val="22"/>
          <w:szCs w:val="22"/>
        </w:rPr>
        <w:t xml:space="preserve">final </w:t>
      </w:r>
      <w:r w:rsidRPr="005A5966">
        <w:rPr>
          <w:sz w:val="22"/>
          <w:szCs w:val="22"/>
        </w:rPr>
        <w:t>rule increase</w:t>
      </w:r>
      <w:r w:rsidR="007E52D2">
        <w:rPr>
          <w:sz w:val="22"/>
          <w:szCs w:val="22"/>
        </w:rPr>
        <w:t>s</w:t>
      </w:r>
      <w:r w:rsidRPr="005A5966">
        <w:rPr>
          <w:sz w:val="22"/>
          <w:szCs w:val="22"/>
        </w:rPr>
        <w:t xml:space="preserve"> </w:t>
      </w:r>
      <w:r>
        <w:rPr>
          <w:sz w:val="22"/>
          <w:szCs w:val="22"/>
        </w:rPr>
        <w:t xml:space="preserve">the ability of affected entities to identify additional individuals who are not </w:t>
      </w:r>
      <w:r w:rsidRPr="005A5966">
        <w:rPr>
          <w:sz w:val="22"/>
          <w:szCs w:val="22"/>
        </w:rPr>
        <w:t xml:space="preserve">trustworthy and reliable by </w:t>
      </w:r>
      <w:r>
        <w:rPr>
          <w:sz w:val="22"/>
          <w:szCs w:val="22"/>
        </w:rPr>
        <w:t>enhancing</w:t>
      </w:r>
      <w:r w:rsidRPr="005A5966">
        <w:rPr>
          <w:sz w:val="22"/>
          <w:szCs w:val="22"/>
        </w:rPr>
        <w:t xml:space="preserve"> the detection of </w:t>
      </w:r>
      <w:r>
        <w:rPr>
          <w:sz w:val="22"/>
          <w:szCs w:val="22"/>
        </w:rPr>
        <w:t>illegal drug use</w:t>
      </w:r>
      <w:r w:rsidR="00646A79">
        <w:rPr>
          <w:sz w:val="22"/>
          <w:szCs w:val="22"/>
        </w:rPr>
        <w:t>,</w:t>
      </w:r>
      <w:r>
        <w:rPr>
          <w:sz w:val="22"/>
          <w:szCs w:val="22"/>
        </w:rPr>
        <w:t xml:space="preserve"> legal drug misuse</w:t>
      </w:r>
      <w:r w:rsidR="00646A79">
        <w:rPr>
          <w:sz w:val="22"/>
          <w:szCs w:val="22"/>
        </w:rPr>
        <w:t>,</w:t>
      </w:r>
      <w:r>
        <w:rPr>
          <w:sz w:val="22"/>
          <w:szCs w:val="22"/>
        </w:rPr>
        <w:t xml:space="preserve"> and attempts to subvert the drug testing process.  The changes also </w:t>
      </w:r>
      <w:r w:rsidRPr="005A5966">
        <w:rPr>
          <w:sz w:val="22"/>
          <w:szCs w:val="22"/>
        </w:rPr>
        <w:t>enhanc</w:t>
      </w:r>
      <w:r>
        <w:rPr>
          <w:sz w:val="22"/>
          <w:szCs w:val="22"/>
        </w:rPr>
        <w:t>e</w:t>
      </w:r>
      <w:r w:rsidRPr="005A5966">
        <w:rPr>
          <w:sz w:val="22"/>
          <w:szCs w:val="22"/>
        </w:rPr>
        <w:t xml:space="preserve"> deterrence </w:t>
      </w:r>
      <w:r>
        <w:rPr>
          <w:sz w:val="22"/>
          <w:szCs w:val="22"/>
        </w:rPr>
        <w:t xml:space="preserve">through the </w:t>
      </w:r>
      <w:r w:rsidRPr="005A5966">
        <w:rPr>
          <w:sz w:val="22"/>
          <w:szCs w:val="22"/>
        </w:rPr>
        <w:t xml:space="preserve">training </w:t>
      </w:r>
      <w:r>
        <w:rPr>
          <w:sz w:val="22"/>
          <w:szCs w:val="22"/>
        </w:rPr>
        <w:t>of subject personnel</w:t>
      </w:r>
      <w:r w:rsidRPr="005A5966">
        <w:rPr>
          <w:sz w:val="22"/>
          <w:szCs w:val="22"/>
        </w:rPr>
        <w:t xml:space="preserve"> on the </w:t>
      </w:r>
      <w:r>
        <w:rPr>
          <w:sz w:val="22"/>
          <w:szCs w:val="22"/>
        </w:rPr>
        <w:t>rule changes.  This could occur because the requirements in 10 CFR 26.29</w:t>
      </w:r>
      <w:r w:rsidR="00646A79">
        <w:rPr>
          <w:sz w:val="22"/>
          <w:szCs w:val="22"/>
        </w:rPr>
        <w:t>,</w:t>
      </w:r>
      <w:r>
        <w:rPr>
          <w:sz w:val="22"/>
          <w:szCs w:val="22"/>
        </w:rPr>
        <w:t xml:space="preserve"> </w:t>
      </w:r>
      <w:r w:rsidR="00646A79">
        <w:rPr>
          <w:sz w:val="22"/>
          <w:szCs w:val="22"/>
        </w:rPr>
        <w:t>“</w:t>
      </w:r>
      <w:r>
        <w:rPr>
          <w:sz w:val="22"/>
          <w:szCs w:val="22"/>
        </w:rPr>
        <w:t>Training</w:t>
      </w:r>
      <w:r w:rsidR="00646A79">
        <w:rPr>
          <w:sz w:val="22"/>
          <w:szCs w:val="22"/>
        </w:rPr>
        <w:t>,”</w:t>
      </w:r>
      <w:r>
        <w:rPr>
          <w:sz w:val="22"/>
          <w:szCs w:val="22"/>
        </w:rPr>
        <w:t xml:space="preserve"> necessitate the communication of the panel of drugs to be tested</w:t>
      </w:r>
      <w:r w:rsidR="00646A79">
        <w:rPr>
          <w:sz w:val="22"/>
          <w:szCs w:val="22"/>
        </w:rPr>
        <w:t>,</w:t>
      </w:r>
      <w:r>
        <w:rPr>
          <w:sz w:val="22"/>
          <w:szCs w:val="22"/>
        </w:rPr>
        <w:t xml:space="preserve"> the drug testing cutoffs</w:t>
      </w:r>
      <w:r w:rsidR="00646A79">
        <w:rPr>
          <w:sz w:val="22"/>
          <w:szCs w:val="22"/>
        </w:rPr>
        <w:t>,</w:t>
      </w:r>
      <w:r>
        <w:rPr>
          <w:sz w:val="22"/>
          <w:szCs w:val="22"/>
        </w:rPr>
        <w:t xml:space="preserve"> required sanctions</w:t>
      </w:r>
      <w:r w:rsidR="00646A79">
        <w:rPr>
          <w:sz w:val="22"/>
          <w:szCs w:val="22"/>
        </w:rPr>
        <w:t>,</w:t>
      </w:r>
      <w:r>
        <w:rPr>
          <w:sz w:val="22"/>
          <w:szCs w:val="22"/>
        </w:rPr>
        <w:t xml:space="preserve"> and licensee actions that </w:t>
      </w:r>
      <w:r w:rsidR="00B04C88">
        <w:rPr>
          <w:sz w:val="22"/>
          <w:szCs w:val="22"/>
        </w:rPr>
        <w:t>are</w:t>
      </w:r>
      <w:r>
        <w:rPr>
          <w:sz w:val="22"/>
          <w:szCs w:val="22"/>
        </w:rPr>
        <w:t xml:space="preserve"> taken if an individual violates the licensee’s FFD policy.</w:t>
      </w:r>
    </w:p>
    <w:p w:rsidR="00D520BD" w:rsidP="00D520BD" w:rsidRDefault="00D520BD" w14:paraId="275A2F3E" w14:textId="77777777">
      <w:pPr>
        <w:ind w:left="770"/>
        <w:rPr>
          <w:sz w:val="22"/>
          <w:szCs w:val="22"/>
        </w:rPr>
      </w:pPr>
    </w:p>
    <w:p w:rsidR="00D520BD" w:rsidP="00D520BD" w:rsidRDefault="00D520BD" w14:paraId="49D329E0" w14:textId="2600CEF5">
      <w:pPr>
        <w:ind w:left="720"/>
        <w:rPr>
          <w:sz w:val="22"/>
          <w:szCs w:val="22"/>
        </w:rPr>
      </w:pPr>
      <w:r>
        <w:rPr>
          <w:sz w:val="22"/>
          <w:szCs w:val="22"/>
        </w:rPr>
        <w:t xml:space="preserve">The benefit of the </w:t>
      </w:r>
      <w:r w:rsidR="00C82438">
        <w:rPr>
          <w:sz w:val="22"/>
          <w:szCs w:val="22"/>
        </w:rPr>
        <w:t>final</w:t>
      </w:r>
      <w:r>
        <w:rPr>
          <w:sz w:val="22"/>
          <w:szCs w:val="22"/>
        </w:rPr>
        <w:t xml:space="preserve"> rule related to safeguards and security considerations is reflected qualitatively</w:t>
      </w:r>
      <w:r w:rsidR="006E290D">
        <w:rPr>
          <w:sz w:val="22"/>
          <w:szCs w:val="22"/>
        </w:rPr>
        <w:t xml:space="preserve"> in the “Public Trust” topic</w:t>
      </w:r>
      <w:r>
        <w:rPr>
          <w:sz w:val="22"/>
          <w:szCs w:val="22"/>
        </w:rPr>
        <w:t xml:space="preserve"> </w:t>
      </w:r>
      <w:r w:rsidR="00BF72A2">
        <w:rPr>
          <w:sz w:val="22"/>
          <w:szCs w:val="22"/>
        </w:rPr>
        <w:t xml:space="preserve">within </w:t>
      </w:r>
      <w:r>
        <w:rPr>
          <w:sz w:val="22"/>
          <w:szCs w:val="22"/>
        </w:rPr>
        <w:t xml:space="preserve">the </w:t>
      </w:r>
      <w:r w:rsidR="00646A79">
        <w:rPr>
          <w:sz w:val="22"/>
          <w:szCs w:val="22"/>
        </w:rPr>
        <w:t>“</w:t>
      </w:r>
      <w:r>
        <w:rPr>
          <w:sz w:val="22"/>
          <w:szCs w:val="22"/>
        </w:rPr>
        <w:t>Other Considerations</w:t>
      </w:r>
      <w:r w:rsidR="00646A79">
        <w:rPr>
          <w:sz w:val="22"/>
          <w:szCs w:val="22"/>
        </w:rPr>
        <w:t>”</w:t>
      </w:r>
      <w:r>
        <w:rPr>
          <w:sz w:val="22"/>
          <w:szCs w:val="22"/>
        </w:rPr>
        <w:t xml:space="preserve"> attribute.</w:t>
      </w:r>
    </w:p>
    <w:p w:rsidR="00D520BD" w:rsidP="00D520BD" w:rsidRDefault="00D520BD" w14:paraId="44FA53BC" w14:textId="77777777">
      <w:pPr>
        <w:pStyle w:val="ListParagraph"/>
        <w:rPr>
          <w:sz w:val="22"/>
          <w:szCs w:val="22"/>
        </w:rPr>
      </w:pPr>
    </w:p>
    <w:p w:rsidR="00D520BD" w:rsidP="005C6BA3" w:rsidRDefault="00D520BD" w14:paraId="526B3993" w14:textId="77777777">
      <w:pPr>
        <w:widowControl w:val="0"/>
        <w:numPr>
          <w:ilvl w:val="0"/>
          <w:numId w:val="38"/>
        </w:numPr>
        <w:ind w:hanging="720"/>
        <w:rPr>
          <w:sz w:val="22"/>
          <w:szCs w:val="22"/>
        </w:rPr>
      </w:pPr>
      <w:r>
        <w:rPr>
          <w:sz w:val="22"/>
          <w:szCs w:val="22"/>
        </w:rPr>
        <w:t>Other Considerations</w:t>
      </w:r>
    </w:p>
    <w:p w:rsidR="00D520BD" w:rsidP="00D520BD" w:rsidRDefault="00D520BD" w14:paraId="768C93EA" w14:textId="77777777">
      <w:pPr>
        <w:pStyle w:val="ListParagraph"/>
        <w:keepNext/>
        <w:keepLines/>
        <w:widowControl w:val="0"/>
        <w:rPr>
          <w:sz w:val="22"/>
          <w:szCs w:val="22"/>
        </w:rPr>
      </w:pPr>
    </w:p>
    <w:p w:rsidRPr="00B10C2E" w:rsidR="00D520BD" w:rsidP="005C6BA3" w:rsidRDefault="00D520BD" w14:paraId="0A137E35" w14:textId="2675B573">
      <w:pPr>
        <w:pStyle w:val="ListParagraph"/>
        <w:numPr>
          <w:ilvl w:val="0"/>
          <w:numId w:val="39"/>
        </w:numPr>
        <w:ind w:left="1440" w:hanging="720"/>
        <w:rPr>
          <w:sz w:val="22"/>
          <w:szCs w:val="22"/>
        </w:rPr>
      </w:pPr>
      <w:r w:rsidRPr="00B10C2E">
        <w:rPr>
          <w:sz w:val="22"/>
          <w:szCs w:val="22"/>
        </w:rPr>
        <w:t xml:space="preserve">Public Perception:  The </w:t>
      </w:r>
      <w:r w:rsidR="00684C67">
        <w:rPr>
          <w:sz w:val="22"/>
          <w:szCs w:val="22"/>
        </w:rPr>
        <w:t xml:space="preserve">final </w:t>
      </w:r>
      <w:r w:rsidR="006D575C">
        <w:rPr>
          <w:sz w:val="22"/>
          <w:szCs w:val="22"/>
        </w:rPr>
        <w:t xml:space="preserve">rule </w:t>
      </w:r>
      <w:r w:rsidRPr="00B10C2E">
        <w:rPr>
          <w:sz w:val="22"/>
          <w:szCs w:val="22"/>
        </w:rPr>
        <w:t>changes provide the public with additional assurance that the NRC is addressing potential safety concerns that could result from worker use of impairing drugs and security concerns by identifying individuals who display or demonstrate characteristics of not being fit for duty</w:t>
      </w:r>
      <w:r w:rsidR="00646A79">
        <w:rPr>
          <w:sz w:val="22"/>
          <w:szCs w:val="22"/>
        </w:rPr>
        <w:t>,</w:t>
      </w:r>
      <w:r w:rsidRPr="00B10C2E">
        <w:rPr>
          <w:sz w:val="22"/>
          <w:szCs w:val="22"/>
        </w:rPr>
        <w:t xml:space="preserve"> or not being trustworthy and reliable</w:t>
      </w:r>
      <w:r w:rsidR="00646A79">
        <w:rPr>
          <w:sz w:val="22"/>
          <w:szCs w:val="22"/>
        </w:rPr>
        <w:t>,</w:t>
      </w:r>
      <w:r w:rsidRPr="00B10C2E">
        <w:rPr>
          <w:sz w:val="22"/>
          <w:szCs w:val="22"/>
        </w:rPr>
        <w:t xml:space="preserve"> or both.  Furthermore</w:t>
      </w:r>
      <w:r w:rsidR="00646A79">
        <w:rPr>
          <w:sz w:val="22"/>
          <w:szCs w:val="22"/>
        </w:rPr>
        <w:t>,</w:t>
      </w:r>
      <w:r w:rsidRPr="00B10C2E">
        <w:rPr>
          <w:sz w:val="22"/>
          <w:szCs w:val="22"/>
        </w:rPr>
        <w:t xml:space="preserve"> the rule changes more closely align 10 CFR Part 26 with existing Federal agency drug testing programs for individuals in positions analogous to those covered by the NRC</w:t>
      </w:r>
      <w:r w:rsidR="00E029D5">
        <w:rPr>
          <w:sz w:val="22"/>
          <w:szCs w:val="22"/>
        </w:rPr>
        <w:t xml:space="preserve"> FFD</w:t>
      </w:r>
      <w:r w:rsidRPr="00B10C2E">
        <w:rPr>
          <w:sz w:val="22"/>
          <w:szCs w:val="22"/>
        </w:rPr>
        <w:t xml:space="preserve"> testing program.  These Federal agency drug testing programs include</w:t>
      </w:r>
      <w:r w:rsidR="00646A79">
        <w:rPr>
          <w:sz w:val="22"/>
          <w:szCs w:val="22"/>
        </w:rPr>
        <w:t>,</w:t>
      </w:r>
      <w:r w:rsidRPr="00B10C2E">
        <w:rPr>
          <w:sz w:val="22"/>
          <w:szCs w:val="22"/>
        </w:rPr>
        <w:t xml:space="preserve"> but are not limited to</w:t>
      </w:r>
      <w:r w:rsidR="00646A79">
        <w:rPr>
          <w:sz w:val="22"/>
          <w:szCs w:val="22"/>
        </w:rPr>
        <w:t>,</w:t>
      </w:r>
      <w:r w:rsidRPr="00B10C2E">
        <w:rPr>
          <w:sz w:val="22"/>
          <w:szCs w:val="22"/>
        </w:rPr>
        <w:t xml:space="preserve"> those implemented by over 100 Federal agencies that test Federal employees</w:t>
      </w:r>
      <w:r w:rsidR="00646A79">
        <w:rPr>
          <w:sz w:val="22"/>
          <w:szCs w:val="22"/>
        </w:rPr>
        <w:t>,</w:t>
      </w:r>
      <w:r w:rsidRPr="00B10C2E">
        <w:rPr>
          <w:sz w:val="22"/>
          <w:szCs w:val="22"/>
        </w:rPr>
        <w:t xml:space="preserve"> and comparable Federal agencies testing civilians in safety- and security-sensitive positions.  An example of such a comparable Federal agency is </w:t>
      </w:r>
      <w:r w:rsidR="001351F9">
        <w:rPr>
          <w:sz w:val="22"/>
          <w:szCs w:val="22"/>
        </w:rPr>
        <w:t xml:space="preserve">the </w:t>
      </w:r>
      <w:r w:rsidRPr="00B10C2E">
        <w:rPr>
          <w:sz w:val="22"/>
          <w:szCs w:val="22"/>
        </w:rPr>
        <w:t>DOT</w:t>
      </w:r>
      <w:r w:rsidR="00646A79">
        <w:rPr>
          <w:sz w:val="22"/>
          <w:szCs w:val="22"/>
        </w:rPr>
        <w:t>,</w:t>
      </w:r>
      <w:r w:rsidRPr="00B10C2E">
        <w:rPr>
          <w:sz w:val="22"/>
          <w:szCs w:val="22"/>
        </w:rPr>
        <w:t xml:space="preserve"> with testing for airline pilots</w:t>
      </w:r>
      <w:r w:rsidR="00646A79">
        <w:rPr>
          <w:sz w:val="22"/>
          <w:szCs w:val="22"/>
        </w:rPr>
        <w:t>,</w:t>
      </w:r>
      <w:r w:rsidRPr="00B10C2E">
        <w:rPr>
          <w:sz w:val="22"/>
          <w:szCs w:val="22"/>
        </w:rPr>
        <w:t xml:space="preserve"> armed security guards</w:t>
      </w:r>
      <w:r w:rsidR="00646A79">
        <w:rPr>
          <w:sz w:val="22"/>
          <w:szCs w:val="22"/>
        </w:rPr>
        <w:t>,</w:t>
      </w:r>
      <w:r w:rsidRPr="00B10C2E">
        <w:rPr>
          <w:sz w:val="22"/>
          <w:szCs w:val="22"/>
        </w:rPr>
        <w:t xml:space="preserve"> bus drivers</w:t>
      </w:r>
      <w:r w:rsidR="00646A79">
        <w:rPr>
          <w:sz w:val="22"/>
          <w:szCs w:val="22"/>
        </w:rPr>
        <w:t>,</w:t>
      </w:r>
      <w:r w:rsidRPr="00B10C2E">
        <w:rPr>
          <w:sz w:val="22"/>
          <w:szCs w:val="22"/>
        </w:rPr>
        <w:t xml:space="preserve"> rail and transit engineers</w:t>
      </w:r>
      <w:r w:rsidR="00646A79">
        <w:rPr>
          <w:sz w:val="22"/>
          <w:szCs w:val="22"/>
        </w:rPr>
        <w:t>,</w:t>
      </w:r>
      <w:r w:rsidRPr="00B10C2E">
        <w:rPr>
          <w:sz w:val="22"/>
          <w:szCs w:val="22"/>
        </w:rPr>
        <w:t xml:space="preserve"> and commercial truck drivers hauling hazards materials.  Parity with all comparable Federal agency drug testing programs improves public perception of the effectiveness of 10 CFR Part 26.</w:t>
      </w:r>
    </w:p>
    <w:p w:rsidR="00D520BD" w:rsidP="00D520BD" w:rsidRDefault="00D520BD" w14:paraId="28DD7705" w14:textId="77777777">
      <w:pPr>
        <w:ind w:left="1080"/>
        <w:rPr>
          <w:sz w:val="22"/>
          <w:szCs w:val="22"/>
        </w:rPr>
      </w:pPr>
    </w:p>
    <w:p w:rsidRPr="00B10C2E" w:rsidR="00D520BD" w:rsidP="005C6BA3" w:rsidRDefault="00D520BD" w14:paraId="532BC465" w14:textId="04A03741">
      <w:pPr>
        <w:pStyle w:val="ListParagraph"/>
        <w:numPr>
          <w:ilvl w:val="0"/>
          <w:numId w:val="39"/>
        </w:numPr>
        <w:ind w:left="1440" w:hanging="720"/>
        <w:rPr>
          <w:sz w:val="22"/>
          <w:szCs w:val="22"/>
        </w:rPr>
      </w:pPr>
      <w:r w:rsidRPr="00B10C2E">
        <w:rPr>
          <w:sz w:val="22"/>
          <w:szCs w:val="22"/>
        </w:rPr>
        <w:t xml:space="preserve">Public Trust:  The </w:t>
      </w:r>
      <w:r w:rsidR="00684C67">
        <w:rPr>
          <w:sz w:val="22"/>
          <w:szCs w:val="22"/>
        </w:rPr>
        <w:t xml:space="preserve">final </w:t>
      </w:r>
      <w:r w:rsidR="006D575C">
        <w:rPr>
          <w:sz w:val="22"/>
          <w:szCs w:val="22"/>
        </w:rPr>
        <w:t xml:space="preserve">rule </w:t>
      </w:r>
      <w:r w:rsidRPr="00B10C2E">
        <w:rPr>
          <w:sz w:val="22"/>
          <w:szCs w:val="22"/>
        </w:rPr>
        <w:t xml:space="preserve">changes strengthen the </w:t>
      </w:r>
      <w:r w:rsidRPr="00B10C2E">
        <w:rPr>
          <w:rFonts w:cs="Arial"/>
          <w:sz w:val="22"/>
          <w:szCs w:val="22"/>
        </w:rPr>
        <w:t>defense-in-depth regulatory framework associated with the identification of individuals using illegal drugs</w:t>
      </w:r>
      <w:r w:rsidR="00646A79">
        <w:rPr>
          <w:rFonts w:cs="Arial"/>
          <w:sz w:val="22"/>
          <w:szCs w:val="22"/>
        </w:rPr>
        <w:t>,</w:t>
      </w:r>
      <w:r w:rsidRPr="00B10C2E">
        <w:rPr>
          <w:rFonts w:cs="Arial"/>
          <w:sz w:val="22"/>
          <w:szCs w:val="22"/>
        </w:rPr>
        <w:t xml:space="preserve"> misusing legal drugs</w:t>
      </w:r>
      <w:r w:rsidR="00646A79">
        <w:rPr>
          <w:rFonts w:cs="Arial"/>
          <w:sz w:val="22"/>
          <w:szCs w:val="22"/>
        </w:rPr>
        <w:t>,</w:t>
      </w:r>
      <w:r w:rsidRPr="00B10C2E">
        <w:rPr>
          <w:rFonts w:cs="Arial"/>
          <w:sz w:val="22"/>
          <w:szCs w:val="22"/>
        </w:rPr>
        <w:t xml:space="preserve"> or attempting to subvert the testing process and who are determined not to be fit for duty</w:t>
      </w:r>
      <w:r w:rsidR="00646A79">
        <w:rPr>
          <w:rFonts w:cs="Arial"/>
          <w:sz w:val="22"/>
          <w:szCs w:val="22"/>
        </w:rPr>
        <w:t>,</w:t>
      </w:r>
      <w:r w:rsidRPr="00B10C2E">
        <w:rPr>
          <w:rFonts w:cs="Arial"/>
          <w:sz w:val="22"/>
          <w:szCs w:val="22"/>
        </w:rPr>
        <w:t xml:space="preserve"> or not to be trustworthy and reliable</w:t>
      </w:r>
      <w:r w:rsidR="00646A79">
        <w:rPr>
          <w:rFonts w:cs="Arial"/>
          <w:sz w:val="22"/>
          <w:szCs w:val="22"/>
        </w:rPr>
        <w:t>,</w:t>
      </w:r>
      <w:r w:rsidRPr="00B10C2E">
        <w:rPr>
          <w:rFonts w:cs="Arial"/>
          <w:sz w:val="22"/>
          <w:szCs w:val="22"/>
        </w:rPr>
        <w:t xml:space="preserve"> or both.  Therefore</w:t>
      </w:r>
      <w:r w:rsidR="00646A79">
        <w:rPr>
          <w:rFonts w:cs="Arial"/>
          <w:sz w:val="22"/>
          <w:szCs w:val="22"/>
        </w:rPr>
        <w:t>,</w:t>
      </w:r>
      <w:r w:rsidRPr="00B10C2E">
        <w:rPr>
          <w:rFonts w:cs="Arial"/>
          <w:sz w:val="22"/>
          <w:szCs w:val="22"/>
        </w:rPr>
        <w:t xml:space="preserve"> the changes reinforce the link between the FFD</w:t>
      </w:r>
      <w:r w:rsidRPr="00B10C2E">
        <w:rPr>
          <w:rFonts w:cs="Arial"/>
          <w:sz w:val="22"/>
          <w:szCs w:val="22"/>
        </w:rPr>
        <w:noBreakHyphen/>
        <w:t xml:space="preserve">related authorization provisions in 10 CFR Part 26 and the physical protection access authorization requirements in 10 CFR Part 73.  This </w:t>
      </w:r>
      <w:r>
        <w:rPr>
          <w:rFonts w:cs="Arial"/>
          <w:sz w:val="22"/>
          <w:szCs w:val="22"/>
        </w:rPr>
        <w:t>rule</w:t>
      </w:r>
      <w:r w:rsidRPr="00B10C2E">
        <w:rPr>
          <w:rFonts w:cs="Arial"/>
          <w:sz w:val="22"/>
          <w:szCs w:val="22"/>
        </w:rPr>
        <w:t xml:space="preserve"> address</w:t>
      </w:r>
      <w:r w:rsidR="006D575C">
        <w:rPr>
          <w:rFonts w:cs="Arial"/>
          <w:sz w:val="22"/>
          <w:szCs w:val="22"/>
        </w:rPr>
        <w:t>es</w:t>
      </w:r>
      <w:r w:rsidRPr="00B10C2E">
        <w:rPr>
          <w:rFonts w:cs="Arial"/>
          <w:sz w:val="22"/>
          <w:szCs w:val="22"/>
        </w:rPr>
        <w:t xml:space="preserve"> these safety and security vulnerabilities and should boost public trust</w:t>
      </w:r>
      <w:r w:rsidR="00646A79">
        <w:rPr>
          <w:rFonts w:cs="Arial"/>
          <w:sz w:val="22"/>
          <w:szCs w:val="22"/>
        </w:rPr>
        <w:t>,</w:t>
      </w:r>
      <w:r w:rsidRPr="00B10C2E">
        <w:rPr>
          <w:rFonts w:cs="Arial"/>
          <w:sz w:val="22"/>
          <w:szCs w:val="22"/>
        </w:rPr>
        <w:t xml:space="preserve"> because once unescorted access authorization is denied</w:t>
      </w:r>
      <w:r w:rsidR="00646A79">
        <w:rPr>
          <w:rFonts w:cs="Arial"/>
          <w:sz w:val="22"/>
          <w:szCs w:val="22"/>
        </w:rPr>
        <w:t>,</w:t>
      </w:r>
      <w:r w:rsidRPr="00B10C2E">
        <w:rPr>
          <w:rFonts w:cs="Arial"/>
          <w:sz w:val="22"/>
          <w:szCs w:val="22"/>
        </w:rPr>
        <w:t xml:space="preserve"> an individual cannot act as an insider threat to challenge the safe and secure operation of the facility and the transportation of SSNM</w:t>
      </w:r>
      <w:r w:rsidR="00646A79">
        <w:rPr>
          <w:rFonts w:cs="Arial"/>
          <w:sz w:val="22"/>
          <w:szCs w:val="22"/>
        </w:rPr>
        <w:t>,</w:t>
      </w:r>
      <w:r w:rsidRPr="00B10C2E">
        <w:rPr>
          <w:rFonts w:cs="Arial"/>
          <w:sz w:val="22"/>
          <w:szCs w:val="22"/>
        </w:rPr>
        <w:t xml:space="preserve"> the safety and security of licensee employees and C/Vs</w:t>
      </w:r>
      <w:r w:rsidR="00646A79">
        <w:rPr>
          <w:rFonts w:cs="Arial"/>
          <w:sz w:val="22"/>
          <w:szCs w:val="22"/>
        </w:rPr>
        <w:t>,</w:t>
      </w:r>
      <w:r w:rsidRPr="00B10C2E">
        <w:rPr>
          <w:rFonts w:cs="Arial"/>
          <w:sz w:val="22"/>
          <w:szCs w:val="22"/>
        </w:rPr>
        <w:t xml:space="preserve"> or the safeguarding of sensitive information.</w:t>
      </w:r>
    </w:p>
    <w:p w:rsidR="00D520BD" w:rsidP="00D520BD" w:rsidRDefault="00D520BD" w14:paraId="511A3EC4" w14:textId="77777777">
      <w:pPr>
        <w:ind w:left="1440"/>
        <w:rPr>
          <w:sz w:val="22"/>
          <w:szCs w:val="22"/>
        </w:rPr>
      </w:pPr>
    </w:p>
    <w:p w:rsidRPr="00B10C2E" w:rsidR="00D520BD" w:rsidP="00273381" w:rsidRDefault="00D520BD" w14:paraId="76E6CA81" w14:textId="0A6989B7">
      <w:pPr>
        <w:pStyle w:val="ListParagraph"/>
        <w:widowControl w:val="0"/>
        <w:numPr>
          <w:ilvl w:val="0"/>
          <w:numId w:val="39"/>
        </w:numPr>
        <w:ind w:left="1440" w:hanging="720"/>
        <w:rPr>
          <w:sz w:val="22"/>
          <w:szCs w:val="22"/>
        </w:rPr>
      </w:pPr>
      <w:r w:rsidRPr="00B10C2E">
        <w:rPr>
          <w:sz w:val="22"/>
          <w:szCs w:val="22"/>
        </w:rPr>
        <w:t>Worker Productivity:  Affected licensees may accrue benefits from using the expanded drug testing panel and the increased testing sensitivities</w:t>
      </w:r>
      <w:r w:rsidR="00646A79">
        <w:rPr>
          <w:sz w:val="22"/>
          <w:szCs w:val="22"/>
        </w:rPr>
        <w:t>,</w:t>
      </w:r>
      <w:r w:rsidRPr="00B10C2E">
        <w:rPr>
          <w:sz w:val="22"/>
          <w:szCs w:val="22"/>
        </w:rPr>
        <w:t xml:space="preserve"> which could result in deterring additional individuals from using the drugs included in the NRC testing panel.  A beneficial outcome is that </w:t>
      </w:r>
      <w:r w:rsidR="009167D9">
        <w:rPr>
          <w:sz w:val="22"/>
          <w:szCs w:val="22"/>
        </w:rPr>
        <w:t>these changes</w:t>
      </w:r>
      <w:r w:rsidRPr="00B10C2E">
        <w:rPr>
          <w:sz w:val="22"/>
          <w:szCs w:val="22"/>
        </w:rPr>
        <w:t xml:space="preserve"> result in improved workforce productivity</w:t>
      </w:r>
      <w:r w:rsidR="00646A79">
        <w:rPr>
          <w:sz w:val="22"/>
          <w:szCs w:val="22"/>
        </w:rPr>
        <w:t>,</w:t>
      </w:r>
      <w:r w:rsidRPr="00B10C2E">
        <w:rPr>
          <w:sz w:val="22"/>
          <w:szCs w:val="22"/>
        </w:rPr>
        <w:t xml:space="preserve"> reduced employee turnover</w:t>
      </w:r>
      <w:r w:rsidR="00646A79">
        <w:rPr>
          <w:sz w:val="22"/>
          <w:szCs w:val="22"/>
        </w:rPr>
        <w:t>,</w:t>
      </w:r>
      <w:r w:rsidRPr="00B10C2E">
        <w:rPr>
          <w:sz w:val="22"/>
          <w:szCs w:val="22"/>
        </w:rPr>
        <w:t xml:space="preserve"> and reduced absenteeism related to the health effects associated with drug use</w:t>
      </w:r>
      <w:r>
        <w:rPr>
          <w:sz w:val="22"/>
          <w:szCs w:val="22"/>
        </w:rPr>
        <w:t xml:space="preserve"> and possible addiction (</w:t>
      </w:r>
      <w:r w:rsidR="00773487">
        <w:rPr>
          <w:sz w:val="22"/>
          <w:szCs w:val="22"/>
        </w:rPr>
        <w:t>ONDCP</w:t>
      </w:r>
      <w:r w:rsidR="00646A79">
        <w:rPr>
          <w:sz w:val="22"/>
          <w:szCs w:val="22"/>
        </w:rPr>
        <w:t>,</w:t>
      </w:r>
      <w:r w:rsidR="00773487">
        <w:rPr>
          <w:sz w:val="22"/>
          <w:szCs w:val="22"/>
        </w:rPr>
        <w:t xml:space="preserve"> 2011</w:t>
      </w:r>
      <w:r w:rsidRPr="00B10C2E">
        <w:rPr>
          <w:sz w:val="22"/>
          <w:szCs w:val="22"/>
        </w:rPr>
        <w:t>).  The effects of productivity loss</w:t>
      </w:r>
      <w:r w:rsidR="00F531A6">
        <w:rPr>
          <w:sz w:val="22"/>
          <w:szCs w:val="22"/>
        </w:rPr>
        <w:t>es</w:t>
      </w:r>
      <w:r w:rsidRPr="00B10C2E">
        <w:rPr>
          <w:sz w:val="22"/>
          <w:szCs w:val="22"/>
        </w:rPr>
        <w:t xml:space="preserve"> caused by undetected drug </w:t>
      </w:r>
      <w:r w:rsidRPr="00B10C2E">
        <w:rPr>
          <w:sz w:val="22"/>
          <w:szCs w:val="22"/>
        </w:rPr>
        <w:lastRenderedPageBreak/>
        <w:t>use</w:t>
      </w:r>
      <w:r w:rsidR="00FF380E">
        <w:rPr>
          <w:rStyle w:val="FootnoteReference"/>
          <w:sz w:val="22"/>
          <w:szCs w:val="22"/>
        </w:rPr>
        <w:footnoteReference w:id="12"/>
      </w:r>
      <w:r w:rsidRPr="00B10C2E">
        <w:rPr>
          <w:sz w:val="22"/>
          <w:szCs w:val="22"/>
        </w:rPr>
        <w:t xml:space="preserve"> could have direct and indirect effects on operating costs.  Furthermore</w:t>
      </w:r>
      <w:r w:rsidR="00646A79">
        <w:rPr>
          <w:sz w:val="22"/>
          <w:szCs w:val="22"/>
        </w:rPr>
        <w:t>,</w:t>
      </w:r>
      <w:r w:rsidRPr="00B10C2E">
        <w:rPr>
          <w:sz w:val="22"/>
          <w:szCs w:val="22"/>
        </w:rPr>
        <w:t xml:space="preserve"> the impact of employee drug use is a problem that extends beyond the drug-using employee.  Coworkers may have to work harder</w:t>
      </w:r>
      <w:r w:rsidR="00646A79">
        <w:rPr>
          <w:sz w:val="22"/>
          <w:szCs w:val="22"/>
        </w:rPr>
        <w:t>,</w:t>
      </w:r>
      <w:r w:rsidRPr="00B10C2E">
        <w:rPr>
          <w:sz w:val="22"/>
          <w:szCs w:val="22"/>
        </w:rPr>
        <w:t xml:space="preserve"> redo work</w:t>
      </w:r>
      <w:r w:rsidR="00646A79">
        <w:rPr>
          <w:sz w:val="22"/>
          <w:szCs w:val="22"/>
        </w:rPr>
        <w:t>,</w:t>
      </w:r>
      <w:r w:rsidRPr="00B10C2E">
        <w:rPr>
          <w:sz w:val="22"/>
          <w:szCs w:val="22"/>
        </w:rPr>
        <w:t xml:space="preserve"> or cover a shift for a coworker </w:t>
      </w:r>
      <w:r w:rsidRPr="00B10C2E" w:rsidR="0012395B">
        <w:rPr>
          <w:sz w:val="22"/>
          <w:szCs w:val="22"/>
        </w:rPr>
        <w:t>because</w:t>
      </w:r>
      <w:r w:rsidRPr="00B10C2E">
        <w:rPr>
          <w:sz w:val="22"/>
          <w:szCs w:val="22"/>
        </w:rPr>
        <w:t xml:space="preserve"> of a fellow employee’s absence </w:t>
      </w:r>
      <w:r>
        <w:rPr>
          <w:sz w:val="22"/>
          <w:szCs w:val="22"/>
        </w:rPr>
        <w:t>(</w:t>
      </w:r>
      <w:r w:rsidR="00773487">
        <w:rPr>
          <w:sz w:val="22"/>
          <w:szCs w:val="22"/>
        </w:rPr>
        <w:t>ONDCP</w:t>
      </w:r>
      <w:r w:rsidR="00646A79">
        <w:rPr>
          <w:sz w:val="22"/>
          <w:szCs w:val="22"/>
        </w:rPr>
        <w:t>,</w:t>
      </w:r>
      <w:r w:rsidR="00773487">
        <w:rPr>
          <w:sz w:val="22"/>
          <w:szCs w:val="22"/>
        </w:rPr>
        <w:t xml:space="preserve"> 2011</w:t>
      </w:r>
      <w:r w:rsidRPr="00B10C2E">
        <w:rPr>
          <w:sz w:val="22"/>
          <w:szCs w:val="22"/>
        </w:rPr>
        <w:t>).  In addition</w:t>
      </w:r>
      <w:r w:rsidR="00646A79">
        <w:rPr>
          <w:sz w:val="22"/>
          <w:szCs w:val="22"/>
        </w:rPr>
        <w:t>,</w:t>
      </w:r>
      <w:r w:rsidRPr="00B10C2E">
        <w:rPr>
          <w:sz w:val="22"/>
          <w:szCs w:val="22"/>
        </w:rPr>
        <w:t xml:space="preserve"> enhancing the detection of illegal drug use</w:t>
      </w:r>
      <w:r w:rsidR="00646A79">
        <w:rPr>
          <w:sz w:val="22"/>
          <w:szCs w:val="22"/>
        </w:rPr>
        <w:t>,</w:t>
      </w:r>
      <w:r w:rsidRPr="00B10C2E">
        <w:rPr>
          <w:sz w:val="22"/>
          <w:szCs w:val="22"/>
        </w:rPr>
        <w:t xml:space="preserve"> legal drug misuse</w:t>
      </w:r>
      <w:r w:rsidR="00646A79">
        <w:rPr>
          <w:sz w:val="22"/>
          <w:szCs w:val="22"/>
        </w:rPr>
        <w:t>,</w:t>
      </w:r>
      <w:r w:rsidRPr="00B10C2E">
        <w:rPr>
          <w:sz w:val="22"/>
          <w:szCs w:val="22"/>
        </w:rPr>
        <w:t xml:space="preserve"> and subversion attempts may deter individuals using drugs from seeking employment </w:t>
      </w:r>
      <w:r w:rsidR="00C17EE6">
        <w:rPr>
          <w:sz w:val="22"/>
          <w:szCs w:val="22"/>
        </w:rPr>
        <w:t xml:space="preserve">at a facility with a drug testing program </w:t>
      </w:r>
      <w:r w:rsidRPr="00B10C2E">
        <w:rPr>
          <w:sz w:val="22"/>
          <w:szCs w:val="22"/>
        </w:rPr>
        <w:t>and existing employees from starting to use drugs.  It may also encourage existing employees to seek medical assistance to address an addiction or misuse issue</w:t>
      </w:r>
      <w:r w:rsidR="00646A79">
        <w:rPr>
          <w:sz w:val="22"/>
          <w:szCs w:val="22"/>
        </w:rPr>
        <w:t>,</w:t>
      </w:r>
      <w:r w:rsidRPr="00B10C2E">
        <w:rPr>
          <w:sz w:val="22"/>
          <w:szCs w:val="22"/>
        </w:rPr>
        <w:t xml:space="preserve"> which could result in a lower turnover rate for individuals possessing requisite skills</w:t>
      </w:r>
      <w:r w:rsidR="00646A79">
        <w:rPr>
          <w:sz w:val="22"/>
          <w:szCs w:val="22"/>
        </w:rPr>
        <w:t>,</w:t>
      </w:r>
      <w:r w:rsidRPr="00B10C2E">
        <w:rPr>
          <w:sz w:val="22"/>
          <w:szCs w:val="22"/>
        </w:rPr>
        <w:t xml:space="preserve"> knowledge</w:t>
      </w:r>
      <w:r w:rsidR="00646A79">
        <w:rPr>
          <w:sz w:val="22"/>
          <w:szCs w:val="22"/>
        </w:rPr>
        <w:t>,</w:t>
      </w:r>
      <w:r w:rsidRPr="00B10C2E">
        <w:rPr>
          <w:sz w:val="22"/>
          <w:szCs w:val="22"/>
        </w:rPr>
        <w:t xml:space="preserve"> and experience </w:t>
      </w:r>
      <w:r w:rsidR="00A17117">
        <w:rPr>
          <w:sz w:val="22"/>
          <w:szCs w:val="22"/>
        </w:rPr>
        <w:t>who</w:t>
      </w:r>
      <w:r w:rsidRPr="00B10C2E">
        <w:rPr>
          <w:sz w:val="22"/>
          <w:szCs w:val="22"/>
        </w:rPr>
        <w:t xml:space="preserve"> contribute to the safe and secure operation of the NRC-licensed facility.  With a lower turnover rate</w:t>
      </w:r>
      <w:r w:rsidR="00646A79">
        <w:rPr>
          <w:sz w:val="22"/>
          <w:szCs w:val="22"/>
        </w:rPr>
        <w:t>,</w:t>
      </w:r>
      <w:r w:rsidRPr="00B10C2E">
        <w:rPr>
          <w:sz w:val="22"/>
          <w:szCs w:val="22"/>
        </w:rPr>
        <w:t xml:space="preserve"> licensees may accrue benefits from </w:t>
      </w:r>
      <w:r w:rsidR="00485302">
        <w:rPr>
          <w:sz w:val="22"/>
          <w:szCs w:val="22"/>
        </w:rPr>
        <w:t>reduced</w:t>
      </w:r>
      <w:r w:rsidRPr="00B10C2E">
        <w:rPr>
          <w:sz w:val="22"/>
          <w:szCs w:val="22"/>
        </w:rPr>
        <w:t xml:space="preserve"> expend</w:t>
      </w:r>
      <w:r w:rsidR="00485302">
        <w:rPr>
          <w:sz w:val="22"/>
          <w:szCs w:val="22"/>
        </w:rPr>
        <w:t>itures</w:t>
      </w:r>
      <w:r w:rsidRPr="00B10C2E">
        <w:rPr>
          <w:sz w:val="22"/>
          <w:szCs w:val="22"/>
        </w:rPr>
        <w:t xml:space="preserve"> to recruit</w:t>
      </w:r>
      <w:r w:rsidR="00646A79">
        <w:rPr>
          <w:sz w:val="22"/>
          <w:szCs w:val="22"/>
        </w:rPr>
        <w:t>,</w:t>
      </w:r>
      <w:r w:rsidRPr="00B10C2E">
        <w:rPr>
          <w:sz w:val="22"/>
          <w:szCs w:val="22"/>
        </w:rPr>
        <w:t xml:space="preserve"> hir</w:t>
      </w:r>
      <w:r w:rsidR="00485302">
        <w:rPr>
          <w:sz w:val="22"/>
          <w:szCs w:val="22"/>
        </w:rPr>
        <w:t>e</w:t>
      </w:r>
      <w:r w:rsidR="00646A79">
        <w:rPr>
          <w:sz w:val="22"/>
          <w:szCs w:val="22"/>
        </w:rPr>
        <w:t>,</w:t>
      </w:r>
      <w:r w:rsidRPr="00B10C2E">
        <w:rPr>
          <w:sz w:val="22"/>
          <w:szCs w:val="22"/>
        </w:rPr>
        <w:t xml:space="preserve"> and train</w:t>
      </w:r>
      <w:r>
        <w:rPr>
          <w:sz w:val="22"/>
          <w:szCs w:val="22"/>
        </w:rPr>
        <w:t xml:space="preserve"> replacement employees (</w:t>
      </w:r>
      <w:r w:rsidR="00ED66A3">
        <w:rPr>
          <w:sz w:val="22"/>
          <w:szCs w:val="22"/>
        </w:rPr>
        <w:t>Boushey</w:t>
      </w:r>
      <w:r w:rsidR="00DC3EB5">
        <w:rPr>
          <w:sz w:val="22"/>
          <w:szCs w:val="22"/>
        </w:rPr>
        <w:t xml:space="preserve"> and Glynn</w:t>
      </w:r>
      <w:r w:rsidR="00646A79">
        <w:rPr>
          <w:sz w:val="22"/>
          <w:szCs w:val="22"/>
        </w:rPr>
        <w:t>,</w:t>
      </w:r>
      <w:r w:rsidR="00ED66A3">
        <w:rPr>
          <w:sz w:val="22"/>
          <w:szCs w:val="22"/>
        </w:rPr>
        <w:t xml:space="preserve"> 2012; Tracey</w:t>
      </w:r>
      <w:r w:rsidR="00983D82">
        <w:rPr>
          <w:sz w:val="22"/>
          <w:szCs w:val="22"/>
        </w:rPr>
        <w:t xml:space="preserve"> and Hinkin</w:t>
      </w:r>
      <w:r w:rsidR="00646A79">
        <w:rPr>
          <w:sz w:val="22"/>
          <w:szCs w:val="22"/>
        </w:rPr>
        <w:t>,</w:t>
      </w:r>
      <w:r w:rsidR="00ED66A3">
        <w:rPr>
          <w:sz w:val="22"/>
          <w:szCs w:val="22"/>
        </w:rPr>
        <w:t xml:space="preserve"> 2008)</w:t>
      </w:r>
      <w:r w:rsidRPr="00B10C2E">
        <w:rPr>
          <w:sz w:val="22"/>
          <w:szCs w:val="22"/>
        </w:rPr>
        <w:t>.</w:t>
      </w:r>
    </w:p>
    <w:p w:rsidRPr="0029249E" w:rsidR="00D520BD" w:rsidP="00D520BD" w:rsidRDefault="00D520BD" w14:paraId="0EF3A6E2" w14:textId="77DA8061">
      <w:pPr>
        <w:ind w:left="1080"/>
        <w:rPr>
          <w:sz w:val="22"/>
          <w:szCs w:val="22"/>
        </w:rPr>
      </w:pPr>
    </w:p>
    <w:p w:rsidRPr="00B10C2E" w:rsidR="00D520BD" w:rsidP="005C6BA3" w:rsidRDefault="00D520BD" w14:paraId="3455F4DC" w14:textId="756EA44C">
      <w:pPr>
        <w:pStyle w:val="ListParagraph"/>
        <w:numPr>
          <w:ilvl w:val="0"/>
          <w:numId w:val="39"/>
        </w:numPr>
        <w:ind w:left="1440" w:hanging="720"/>
        <w:rPr>
          <w:sz w:val="22"/>
          <w:szCs w:val="22"/>
        </w:rPr>
      </w:pPr>
      <w:r w:rsidRPr="00B10C2E">
        <w:rPr>
          <w:sz w:val="22"/>
          <w:szCs w:val="22"/>
        </w:rPr>
        <w:t>Improved Protection of Individual Rights:  Individuals subject to 10 CFR Part 26 may accrue benefits from the revised MRO review procedures for invalid test results</w:t>
      </w:r>
      <w:r>
        <w:rPr>
          <w:sz w:val="22"/>
          <w:szCs w:val="22"/>
        </w:rPr>
        <w:t xml:space="preserve"> due to </w:t>
      </w:r>
      <w:r w:rsidRPr="00B10C2E">
        <w:rPr>
          <w:sz w:val="22"/>
          <w:szCs w:val="22"/>
        </w:rPr>
        <w:t xml:space="preserve">high pH values and from clearer </w:t>
      </w:r>
      <w:r w:rsidRPr="00B10C2E">
        <w:rPr>
          <w:rFonts w:cs="Arial"/>
          <w:sz w:val="22"/>
          <w:szCs w:val="22"/>
        </w:rPr>
        <w:t>requirements describing MRO actions when a donor requests testing of Bottle B or a retest of a single specimen and the specimen is unavailable.  Additionally</w:t>
      </w:r>
      <w:r w:rsidR="00646A79">
        <w:rPr>
          <w:rFonts w:cs="Arial"/>
          <w:sz w:val="22"/>
          <w:szCs w:val="22"/>
        </w:rPr>
        <w:t>,</w:t>
      </w:r>
      <w:r w:rsidRPr="00B10C2E">
        <w:rPr>
          <w:rFonts w:cs="Arial"/>
          <w:sz w:val="22"/>
          <w:szCs w:val="22"/>
        </w:rPr>
        <w:t xml:space="preserve"> workers may accrue benefits from the change to use the LOQ instead of the LOD in various test scenarios.  The LOQ reliably detects and quantifies an analyte (the substance tested)</w:t>
      </w:r>
      <w:r w:rsidR="00646A79">
        <w:rPr>
          <w:rFonts w:cs="Arial"/>
          <w:sz w:val="22"/>
          <w:szCs w:val="22"/>
        </w:rPr>
        <w:t>,</w:t>
      </w:r>
      <w:r w:rsidRPr="00B10C2E">
        <w:rPr>
          <w:rFonts w:cs="Arial"/>
          <w:sz w:val="22"/>
          <w:szCs w:val="22"/>
        </w:rPr>
        <w:t xml:space="preserve"> whereas the LOD reliably detects an analyte but does not precisely quantify it.  This change provides an additional measure of accuracy in the testing process.  The changes improve consistency with the HHS</w:t>
      </w:r>
      <w:r w:rsidR="00FC32F8">
        <w:rPr>
          <w:rFonts w:cs="Arial"/>
          <w:sz w:val="22"/>
          <w:szCs w:val="22"/>
        </w:rPr>
        <w:t> </w:t>
      </w:r>
      <w:r w:rsidRPr="00B10C2E">
        <w:rPr>
          <w:rFonts w:cs="Arial"/>
          <w:sz w:val="22"/>
          <w:szCs w:val="22"/>
        </w:rPr>
        <w:t>Guidelines</w:t>
      </w:r>
      <w:r w:rsidR="00646A79">
        <w:rPr>
          <w:rFonts w:cs="Arial"/>
          <w:sz w:val="22"/>
          <w:szCs w:val="22"/>
        </w:rPr>
        <w:t>,</w:t>
      </w:r>
      <w:r w:rsidRPr="00B10C2E">
        <w:rPr>
          <w:rFonts w:cs="Arial"/>
          <w:sz w:val="22"/>
          <w:szCs w:val="22"/>
        </w:rPr>
        <w:t xml:space="preserve"> provide additional protection of individual rights</w:t>
      </w:r>
      <w:r w:rsidR="00646A79">
        <w:rPr>
          <w:rFonts w:cs="Arial"/>
          <w:sz w:val="22"/>
          <w:szCs w:val="22"/>
        </w:rPr>
        <w:t>,</w:t>
      </w:r>
      <w:r w:rsidRPr="00B10C2E">
        <w:rPr>
          <w:rFonts w:cs="Arial"/>
          <w:sz w:val="22"/>
          <w:szCs w:val="22"/>
        </w:rPr>
        <w:t xml:space="preserve"> and may reduce the number of potential appeals of drug testing results (10 CFR 26.39</w:t>
      </w:r>
      <w:r w:rsidR="00646A79">
        <w:rPr>
          <w:rFonts w:cs="Arial"/>
          <w:sz w:val="22"/>
          <w:szCs w:val="22"/>
        </w:rPr>
        <w:t>,</w:t>
      </w:r>
      <w:r w:rsidRPr="00B10C2E">
        <w:rPr>
          <w:rFonts w:cs="Arial"/>
          <w:sz w:val="22"/>
          <w:szCs w:val="22"/>
        </w:rPr>
        <w:t xml:space="preserve"> </w:t>
      </w:r>
      <w:r w:rsidR="00646A79">
        <w:rPr>
          <w:rFonts w:cs="Arial"/>
          <w:sz w:val="22"/>
          <w:szCs w:val="22"/>
        </w:rPr>
        <w:t>“</w:t>
      </w:r>
      <w:r w:rsidRPr="00B10C2E">
        <w:rPr>
          <w:rFonts w:cs="Arial"/>
          <w:sz w:val="22"/>
          <w:szCs w:val="22"/>
        </w:rPr>
        <w:t xml:space="preserve">Review </w:t>
      </w:r>
      <w:r w:rsidR="00BE4D14">
        <w:rPr>
          <w:rFonts w:cs="Arial"/>
          <w:sz w:val="22"/>
          <w:szCs w:val="22"/>
        </w:rPr>
        <w:t>p</w:t>
      </w:r>
      <w:r w:rsidRPr="00B10C2E">
        <w:rPr>
          <w:rFonts w:cs="Arial"/>
          <w:sz w:val="22"/>
          <w:szCs w:val="22"/>
        </w:rPr>
        <w:t xml:space="preserve">rocess for </w:t>
      </w:r>
      <w:r w:rsidR="00A2496D">
        <w:rPr>
          <w:rFonts w:cs="Arial"/>
          <w:sz w:val="22"/>
          <w:szCs w:val="22"/>
        </w:rPr>
        <w:t>fitness-for-duty</w:t>
      </w:r>
      <w:r w:rsidRPr="00B10C2E">
        <w:rPr>
          <w:rFonts w:cs="Arial"/>
          <w:sz w:val="22"/>
          <w:szCs w:val="22"/>
        </w:rPr>
        <w:t xml:space="preserve"> </w:t>
      </w:r>
      <w:r w:rsidR="00BE4D14">
        <w:rPr>
          <w:rFonts w:cs="Arial"/>
          <w:sz w:val="22"/>
          <w:szCs w:val="22"/>
        </w:rPr>
        <w:t>p</w:t>
      </w:r>
      <w:r w:rsidRPr="00B10C2E">
        <w:rPr>
          <w:rFonts w:cs="Arial"/>
          <w:sz w:val="22"/>
          <w:szCs w:val="22"/>
        </w:rPr>
        <w:t xml:space="preserve">olicy </w:t>
      </w:r>
      <w:r w:rsidR="00BE4D14">
        <w:rPr>
          <w:rFonts w:cs="Arial"/>
          <w:sz w:val="22"/>
          <w:szCs w:val="22"/>
        </w:rPr>
        <w:t>v</w:t>
      </w:r>
      <w:r w:rsidRPr="00B10C2E">
        <w:rPr>
          <w:rFonts w:cs="Arial"/>
          <w:sz w:val="22"/>
          <w:szCs w:val="22"/>
        </w:rPr>
        <w:t>iolations</w:t>
      </w:r>
      <w:r w:rsidR="00646A79">
        <w:rPr>
          <w:rFonts w:cs="Arial"/>
          <w:sz w:val="22"/>
          <w:szCs w:val="22"/>
        </w:rPr>
        <w:t>”</w:t>
      </w:r>
      <w:r w:rsidRPr="00B10C2E">
        <w:rPr>
          <w:rFonts w:cs="Arial"/>
          <w:sz w:val="22"/>
          <w:szCs w:val="22"/>
        </w:rPr>
        <w:t>).</w:t>
      </w:r>
    </w:p>
    <w:p w:rsidRPr="00384910" w:rsidR="00D520BD" w:rsidP="00D520BD" w:rsidRDefault="00D520BD" w14:paraId="609F5DB5" w14:textId="77777777">
      <w:pPr>
        <w:rPr>
          <w:sz w:val="22"/>
          <w:szCs w:val="22"/>
        </w:rPr>
      </w:pPr>
    </w:p>
    <w:p w:rsidR="00D520BD" w:rsidP="00D520BD" w:rsidRDefault="00D520BD" w14:paraId="5CDAD506" w14:textId="3EC18723">
      <w:pPr>
        <w:numPr>
          <w:ilvl w:val="12"/>
          <w:numId w:val="0"/>
        </w:numPr>
        <w:tabs>
          <w:tab w:val="left" w:pos="721"/>
        </w:tabs>
        <w:rPr>
          <w:sz w:val="22"/>
          <w:szCs w:val="22"/>
        </w:rPr>
      </w:pPr>
      <w:r>
        <w:rPr>
          <w:sz w:val="22"/>
          <w:szCs w:val="22"/>
        </w:rPr>
        <w:t xml:space="preserve">The staff does not expect </w:t>
      </w:r>
      <w:r w:rsidRPr="006122CC">
        <w:rPr>
          <w:sz w:val="22"/>
          <w:szCs w:val="22"/>
        </w:rPr>
        <w:t>this rulemaking</w:t>
      </w:r>
      <w:r>
        <w:rPr>
          <w:sz w:val="22"/>
          <w:szCs w:val="22"/>
        </w:rPr>
        <w:t xml:space="preserve"> to affect</w:t>
      </w:r>
      <w:r w:rsidRPr="006122CC">
        <w:rPr>
          <w:sz w:val="22"/>
          <w:szCs w:val="22"/>
        </w:rPr>
        <w:t xml:space="preserve"> the </w:t>
      </w:r>
      <w:r>
        <w:rPr>
          <w:sz w:val="22"/>
          <w:szCs w:val="22"/>
        </w:rPr>
        <w:t>attributes of</w:t>
      </w:r>
      <w:r w:rsidRPr="006122CC">
        <w:rPr>
          <w:sz w:val="22"/>
          <w:szCs w:val="22"/>
        </w:rPr>
        <w:t xml:space="preserve"> public health (routine)</w:t>
      </w:r>
      <w:r w:rsidR="00646A79">
        <w:rPr>
          <w:sz w:val="22"/>
          <w:szCs w:val="22"/>
        </w:rPr>
        <w:t>,</w:t>
      </w:r>
      <w:r w:rsidRPr="006122CC">
        <w:rPr>
          <w:sz w:val="22"/>
          <w:szCs w:val="22"/>
        </w:rPr>
        <w:t xml:space="preserve"> occupational health (routine)</w:t>
      </w:r>
      <w:r w:rsidR="00646A79">
        <w:rPr>
          <w:sz w:val="22"/>
          <w:szCs w:val="22"/>
        </w:rPr>
        <w:t>,</w:t>
      </w:r>
      <w:r w:rsidRPr="006122CC">
        <w:rPr>
          <w:sz w:val="22"/>
          <w:szCs w:val="22"/>
        </w:rPr>
        <w:t xml:space="preserve"> NRC </w:t>
      </w:r>
      <w:r w:rsidR="00FC32F8">
        <w:rPr>
          <w:sz w:val="22"/>
          <w:szCs w:val="22"/>
        </w:rPr>
        <w:t xml:space="preserve">implementation and </w:t>
      </w:r>
      <w:r w:rsidRPr="006122CC">
        <w:rPr>
          <w:sz w:val="22"/>
          <w:szCs w:val="22"/>
        </w:rPr>
        <w:t>operation</w:t>
      </w:r>
      <w:r w:rsidR="00646A79">
        <w:rPr>
          <w:sz w:val="22"/>
          <w:szCs w:val="22"/>
        </w:rPr>
        <w:t>,</w:t>
      </w:r>
      <w:r w:rsidRPr="006122CC">
        <w:rPr>
          <w:sz w:val="22"/>
          <w:szCs w:val="22"/>
        </w:rPr>
        <w:t xml:space="preserve"> other government</w:t>
      </w:r>
      <w:r w:rsidR="00646A79">
        <w:rPr>
          <w:sz w:val="22"/>
          <w:szCs w:val="22"/>
        </w:rPr>
        <w:t>,</w:t>
      </w:r>
      <w:r w:rsidRPr="006122CC">
        <w:rPr>
          <w:sz w:val="22"/>
          <w:szCs w:val="22"/>
        </w:rPr>
        <w:t xml:space="preserve"> general public</w:t>
      </w:r>
      <w:r w:rsidR="00646A79">
        <w:rPr>
          <w:sz w:val="22"/>
          <w:szCs w:val="22"/>
        </w:rPr>
        <w:t>,</w:t>
      </w:r>
      <w:r w:rsidRPr="006122CC">
        <w:rPr>
          <w:sz w:val="22"/>
          <w:szCs w:val="22"/>
        </w:rPr>
        <w:t xml:space="preserve"> improvements in knowledge</w:t>
      </w:r>
      <w:r w:rsidR="00646A79">
        <w:rPr>
          <w:sz w:val="22"/>
          <w:szCs w:val="22"/>
        </w:rPr>
        <w:t>,</w:t>
      </w:r>
      <w:r w:rsidRPr="006122CC">
        <w:rPr>
          <w:sz w:val="22"/>
          <w:szCs w:val="22"/>
        </w:rPr>
        <w:t xml:space="preserve"> antitrust considerations</w:t>
      </w:r>
      <w:r w:rsidR="00646A79">
        <w:rPr>
          <w:sz w:val="22"/>
          <w:szCs w:val="22"/>
        </w:rPr>
        <w:t>,</w:t>
      </w:r>
      <w:r w:rsidRPr="006122CC">
        <w:rPr>
          <w:sz w:val="22"/>
          <w:szCs w:val="22"/>
        </w:rPr>
        <w:t xml:space="preserve"> and environmental considerations.</w:t>
      </w:r>
    </w:p>
    <w:p w:rsidRPr="0041068A" w:rsidR="00D520BD" w:rsidP="00D520BD" w:rsidRDefault="00D520BD" w14:paraId="522B3313" w14:textId="6CB458B5">
      <w:pPr>
        <w:numPr>
          <w:ilvl w:val="12"/>
          <w:numId w:val="0"/>
        </w:numPr>
        <w:tabs>
          <w:tab w:val="left" w:pos="721"/>
        </w:tabs>
        <w:ind w:left="721" w:hanging="721"/>
        <w:rPr>
          <w:sz w:val="22"/>
          <w:szCs w:val="22"/>
        </w:rPr>
      </w:pPr>
    </w:p>
    <w:p w:rsidRPr="006122CC" w:rsidR="00D520BD" w:rsidP="00D520BD" w:rsidRDefault="00D520BD" w14:paraId="5E534F52" w14:textId="77777777">
      <w:pPr>
        <w:pStyle w:val="Heading2"/>
      </w:pPr>
      <w:bookmarkStart w:name="_Toc199932650" w:id="77"/>
      <w:bookmarkStart w:name="_Toc460412601" w:id="78"/>
      <w:bookmarkStart w:name="_Toc72840019" w:id="79"/>
      <w:bookmarkStart w:name="_Toc105681492" w:id="80"/>
      <w:r w:rsidRPr="006122CC">
        <w:t>4.2</w:t>
      </w:r>
      <w:r w:rsidRPr="006122CC">
        <w:tab/>
        <w:t>Analytical Methodology</w:t>
      </w:r>
      <w:bookmarkEnd w:id="77"/>
      <w:bookmarkEnd w:id="78"/>
      <w:bookmarkEnd w:id="79"/>
      <w:bookmarkEnd w:id="80"/>
    </w:p>
    <w:p w:rsidRPr="006122CC" w:rsidR="00D520BD" w:rsidP="00D520BD" w:rsidRDefault="00D520BD" w14:paraId="3D16DA73" w14:textId="77777777">
      <w:pPr>
        <w:keepNext/>
        <w:numPr>
          <w:ilvl w:val="12"/>
          <w:numId w:val="0"/>
        </w:numPr>
        <w:tabs>
          <w:tab w:val="left" w:pos="721"/>
        </w:tabs>
        <w:rPr>
          <w:sz w:val="22"/>
          <w:szCs w:val="22"/>
        </w:rPr>
      </w:pPr>
    </w:p>
    <w:p w:rsidRPr="00763EF4" w:rsidR="00D520BD" w:rsidP="00D520BD" w:rsidRDefault="00D520BD" w14:paraId="30C74991" w14:textId="30A1FF4E">
      <w:pPr>
        <w:numPr>
          <w:ilvl w:val="12"/>
          <w:numId w:val="0"/>
        </w:numPr>
        <w:tabs>
          <w:tab w:val="left" w:pos="721"/>
        </w:tabs>
        <w:rPr>
          <w:sz w:val="22"/>
          <w:szCs w:val="22"/>
        </w:rPr>
      </w:pPr>
      <w:r w:rsidRPr="006122CC">
        <w:rPr>
          <w:sz w:val="22"/>
          <w:szCs w:val="22"/>
        </w:rPr>
        <w:t xml:space="preserve">This section describes the process used to evaluate benefits and costs associated with the </w:t>
      </w:r>
      <w:r w:rsidR="00EE7D4E">
        <w:rPr>
          <w:sz w:val="22"/>
          <w:szCs w:val="22"/>
        </w:rPr>
        <w:t>identified</w:t>
      </w:r>
      <w:r w:rsidRPr="006122CC" w:rsidR="00EE7D4E">
        <w:rPr>
          <w:sz w:val="22"/>
          <w:szCs w:val="22"/>
        </w:rPr>
        <w:t xml:space="preserve"> </w:t>
      </w:r>
      <w:r>
        <w:rPr>
          <w:sz w:val="22"/>
          <w:szCs w:val="22"/>
        </w:rPr>
        <w:t>alternatives</w:t>
      </w:r>
      <w:r w:rsidRPr="006122CC">
        <w:rPr>
          <w:sz w:val="22"/>
          <w:szCs w:val="22"/>
        </w:rPr>
        <w:t xml:space="preserve">.  The </w:t>
      </w:r>
      <w:r w:rsidRPr="006122CC">
        <w:rPr>
          <w:iCs/>
          <w:sz w:val="22"/>
          <w:szCs w:val="22"/>
        </w:rPr>
        <w:t>benefits</w:t>
      </w:r>
      <w:r w:rsidRPr="006122CC">
        <w:rPr>
          <w:sz w:val="22"/>
          <w:szCs w:val="22"/>
        </w:rPr>
        <w:t xml:space="preserve"> include any desirable changes in affected attributes (e.g.</w:t>
      </w:r>
      <w:r w:rsidR="00646A79">
        <w:rPr>
          <w:sz w:val="22"/>
          <w:szCs w:val="22"/>
        </w:rPr>
        <w:t>,</w:t>
      </w:r>
      <w:r>
        <w:rPr>
          <w:sz w:val="22"/>
          <w:szCs w:val="22"/>
        </w:rPr>
        <w:t> </w:t>
      </w:r>
      <w:r w:rsidRPr="006122CC">
        <w:rPr>
          <w:sz w:val="22"/>
          <w:szCs w:val="22"/>
        </w:rPr>
        <w:t>monetary</w:t>
      </w:r>
      <w:r w:rsidRPr="00D6110E">
        <w:rPr>
          <w:sz w:val="22"/>
          <w:szCs w:val="22"/>
        </w:rPr>
        <w:t xml:space="preserve"> savings</w:t>
      </w:r>
      <w:r w:rsidR="00646A79">
        <w:rPr>
          <w:sz w:val="22"/>
          <w:szCs w:val="22"/>
        </w:rPr>
        <w:t>,</w:t>
      </w:r>
      <w:r w:rsidRPr="00D6110E">
        <w:rPr>
          <w:sz w:val="22"/>
          <w:szCs w:val="22"/>
        </w:rPr>
        <w:t xml:space="preserve"> improved safety</w:t>
      </w:r>
      <w:r w:rsidR="00646A79">
        <w:rPr>
          <w:sz w:val="22"/>
          <w:szCs w:val="22"/>
        </w:rPr>
        <w:t>,</w:t>
      </w:r>
      <w:r w:rsidRPr="00763EF4">
        <w:rPr>
          <w:sz w:val="22"/>
          <w:szCs w:val="22"/>
        </w:rPr>
        <w:t xml:space="preserve"> improved security)</w:t>
      </w:r>
      <w:r w:rsidR="00430402">
        <w:rPr>
          <w:sz w:val="22"/>
          <w:szCs w:val="22"/>
        </w:rPr>
        <w:t>,</w:t>
      </w:r>
      <w:r w:rsidRPr="00763EF4">
        <w:rPr>
          <w:sz w:val="22"/>
          <w:szCs w:val="22"/>
        </w:rPr>
        <w:t xml:space="preserve"> while the </w:t>
      </w:r>
      <w:r w:rsidRPr="00763EF4">
        <w:rPr>
          <w:iCs/>
          <w:sz w:val="22"/>
          <w:szCs w:val="22"/>
        </w:rPr>
        <w:t>costs</w:t>
      </w:r>
      <w:r w:rsidRPr="00763EF4">
        <w:rPr>
          <w:sz w:val="22"/>
          <w:szCs w:val="22"/>
        </w:rPr>
        <w:t xml:space="preserve"> include any undesirable changes in affected attributes (e.g.</w:t>
      </w:r>
      <w:r w:rsidR="00646A79">
        <w:rPr>
          <w:sz w:val="22"/>
          <w:szCs w:val="22"/>
        </w:rPr>
        <w:t>,</w:t>
      </w:r>
      <w:r>
        <w:rPr>
          <w:sz w:val="22"/>
          <w:szCs w:val="22"/>
        </w:rPr>
        <w:t> </w:t>
      </w:r>
      <w:r w:rsidRPr="00763EF4">
        <w:rPr>
          <w:sz w:val="22"/>
          <w:szCs w:val="22"/>
        </w:rPr>
        <w:t>monetary costs</w:t>
      </w:r>
      <w:r w:rsidR="00646A79">
        <w:rPr>
          <w:sz w:val="22"/>
          <w:szCs w:val="22"/>
        </w:rPr>
        <w:t>,</w:t>
      </w:r>
      <w:r w:rsidRPr="00763EF4">
        <w:rPr>
          <w:sz w:val="22"/>
          <w:szCs w:val="22"/>
        </w:rPr>
        <w:t xml:space="preserve"> increased exposures).</w:t>
      </w:r>
    </w:p>
    <w:p w:rsidRPr="00763EF4" w:rsidR="00D520BD" w:rsidP="00D520BD" w:rsidRDefault="00D520BD" w14:paraId="685E06B5" w14:textId="6F1F508E">
      <w:pPr>
        <w:numPr>
          <w:ilvl w:val="12"/>
          <w:numId w:val="0"/>
        </w:numPr>
        <w:tabs>
          <w:tab w:val="left" w:pos="721"/>
        </w:tabs>
        <w:rPr>
          <w:sz w:val="22"/>
          <w:szCs w:val="22"/>
        </w:rPr>
      </w:pPr>
    </w:p>
    <w:p w:rsidR="00D520BD" w:rsidP="00D520BD" w:rsidRDefault="00D520BD" w14:paraId="7A342F15" w14:textId="72EA271D">
      <w:pPr>
        <w:numPr>
          <w:ilvl w:val="12"/>
          <w:numId w:val="0"/>
        </w:numPr>
        <w:tabs>
          <w:tab w:val="left" w:pos="721"/>
        </w:tabs>
        <w:rPr>
          <w:sz w:val="22"/>
          <w:szCs w:val="22"/>
        </w:rPr>
      </w:pPr>
      <w:r w:rsidRPr="00B66514">
        <w:rPr>
          <w:sz w:val="22"/>
          <w:szCs w:val="22"/>
        </w:rPr>
        <w:t xml:space="preserve">Of the </w:t>
      </w:r>
      <w:r w:rsidR="00430402">
        <w:rPr>
          <w:sz w:val="22"/>
          <w:szCs w:val="22"/>
        </w:rPr>
        <w:t>nine</w:t>
      </w:r>
      <w:r w:rsidRPr="00B66514">
        <w:rPr>
          <w:sz w:val="22"/>
          <w:szCs w:val="22"/>
        </w:rPr>
        <w:t xml:space="preserve"> </w:t>
      </w:r>
      <w:r w:rsidRPr="00D6110E">
        <w:rPr>
          <w:sz w:val="22"/>
          <w:szCs w:val="22"/>
        </w:rPr>
        <w:t>affected attributes</w:t>
      </w:r>
      <w:r w:rsidRPr="00646A79">
        <w:rPr>
          <w:sz w:val="22"/>
          <w:szCs w:val="22"/>
        </w:rPr>
        <w:t xml:space="preserve"> </w:t>
      </w:r>
      <w:r>
        <w:rPr>
          <w:sz w:val="22"/>
          <w:szCs w:val="22"/>
        </w:rPr>
        <w:t>discussed in Section 4.1</w:t>
      </w:r>
      <w:r w:rsidR="00646A79">
        <w:rPr>
          <w:sz w:val="22"/>
          <w:szCs w:val="22"/>
        </w:rPr>
        <w:t>,</w:t>
      </w:r>
      <w:r w:rsidRPr="00D6110E">
        <w:rPr>
          <w:sz w:val="22"/>
          <w:szCs w:val="22"/>
        </w:rPr>
        <w:t xml:space="preserve"> </w:t>
      </w:r>
      <w:r w:rsidR="00FC32F8">
        <w:rPr>
          <w:sz w:val="22"/>
          <w:szCs w:val="22"/>
        </w:rPr>
        <w:t xml:space="preserve">two </w:t>
      </w:r>
      <w:r w:rsidR="000D7161">
        <w:rPr>
          <w:sz w:val="22"/>
          <w:szCs w:val="22"/>
        </w:rPr>
        <w:t>could be evaluated</w:t>
      </w:r>
      <w:r w:rsidRPr="00763EF4">
        <w:rPr>
          <w:sz w:val="22"/>
          <w:szCs w:val="22"/>
        </w:rPr>
        <w:t xml:space="preserve"> </w:t>
      </w:r>
      <w:r w:rsidR="00F65C24">
        <w:rPr>
          <w:sz w:val="22"/>
          <w:szCs w:val="22"/>
        </w:rPr>
        <w:t xml:space="preserve">on </w:t>
      </w:r>
      <w:r w:rsidRPr="00763EF4">
        <w:rPr>
          <w:sz w:val="22"/>
          <w:szCs w:val="22"/>
        </w:rPr>
        <w:t>a quantitative basis</w:t>
      </w:r>
      <w:r>
        <w:rPr>
          <w:sz w:val="22"/>
          <w:szCs w:val="22"/>
        </w:rPr>
        <w:t>—</w:t>
      </w:r>
      <w:r w:rsidRPr="00763EF4">
        <w:rPr>
          <w:sz w:val="22"/>
          <w:szCs w:val="22"/>
        </w:rPr>
        <w:t>industry implementation</w:t>
      </w:r>
      <w:r w:rsidR="00FC32F8">
        <w:rPr>
          <w:sz w:val="22"/>
          <w:szCs w:val="22"/>
        </w:rPr>
        <w:t xml:space="preserve"> and</w:t>
      </w:r>
      <w:r w:rsidRPr="00763EF4">
        <w:rPr>
          <w:sz w:val="22"/>
          <w:szCs w:val="22"/>
        </w:rPr>
        <w:t xml:space="preserve"> industry operation.  Quantitative analysis requires a baseline characterization of the affected universe</w:t>
      </w:r>
      <w:r>
        <w:rPr>
          <w:sz w:val="22"/>
          <w:szCs w:val="22"/>
        </w:rPr>
        <w:t xml:space="preserve"> (see Table </w:t>
      </w:r>
      <w:r w:rsidRPr="00763EF4">
        <w:rPr>
          <w:sz w:val="22"/>
          <w:szCs w:val="22"/>
        </w:rPr>
        <w:t>5</w:t>
      </w:r>
      <w:r>
        <w:rPr>
          <w:sz w:val="22"/>
          <w:szCs w:val="22"/>
        </w:rPr>
        <w:noBreakHyphen/>
      </w:r>
      <w:r w:rsidR="003916E8">
        <w:rPr>
          <w:sz w:val="22"/>
          <w:szCs w:val="22"/>
        </w:rPr>
        <w:t xml:space="preserve">16 </w:t>
      </w:r>
      <w:r>
        <w:rPr>
          <w:sz w:val="22"/>
          <w:szCs w:val="22"/>
        </w:rPr>
        <w:t>and Appendices</w:t>
      </w:r>
      <w:r w:rsidR="00A93215">
        <w:rPr>
          <w:sz w:val="22"/>
          <w:szCs w:val="22"/>
        </w:rPr>
        <w:t> </w:t>
      </w:r>
      <w:r>
        <w:rPr>
          <w:sz w:val="22"/>
          <w:szCs w:val="22"/>
        </w:rPr>
        <w:t xml:space="preserve">B and C </w:t>
      </w:r>
      <w:r w:rsidR="004D41B3">
        <w:rPr>
          <w:sz w:val="22"/>
          <w:szCs w:val="22"/>
        </w:rPr>
        <w:t>t</w:t>
      </w:r>
      <w:r>
        <w:rPr>
          <w:sz w:val="22"/>
          <w:szCs w:val="22"/>
        </w:rPr>
        <w:t>o this document</w:t>
      </w:r>
      <w:r w:rsidRPr="00763EF4">
        <w:rPr>
          <w:sz w:val="22"/>
          <w:szCs w:val="22"/>
        </w:rPr>
        <w:t>)</w:t>
      </w:r>
      <w:r w:rsidR="00646A79">
        <w:rPr>
          <w:sz w:val="22"/>
          <w:szCs w:val="22"/>
        </w:rPr>
        <w:t>,</w:t>
      </w:r>
      <w:r w:rsidRPr="00D6110E">
        <w:rPr>
          <w:sz w:val="22"/>
          <w:szCs w:val="22"/>
        </w:rPr>
        <w:t xml:space="preserve"> including </w:t>
      </w:r>
      <w:r>
        <w:rPr>
          <w:sz w:val="22"/>
          <w:szCs w:val="22"/>
        </w:rPr>
        <w:t xml:space="preserve">the characterization of </w:t>
      </w:r>
      <w:r w:rsidRPr="00D6110E">
        <w:rPr>
          <w:sz w:val="22"/>
          <w:szCs w:val="22"/>
        </w:rPr>
        <w:t>fac</w:t>
      </w:r>
      <w:r w:rsidRPr="00763EF4">
        <w:rPr>
          <w:sz w:val="22"/>
          <w:szCs w:val="22"/>
        </w:rPr>
        <w:t>tors such as the number of affected entities</w:t>
      </w:r>
      <w:r w:rsidR="00646A79">
        <w:rPr>
          <w:sz w:val="22"/>
          <w:szCs w:val="22"/>
        </w:rPr>
        <w:t>,</w:t>
      </w:r>
      <w:r w:rsidRPr="00763EF4">
        <w:rPr>
          <w:sz w:val="22"/>
          <w:szCs w:val="22"/>
        </w:rPr>
        <w:t xml:space="preserve"> the nature of the activities being conducted</w:t>
      </w:r>
      <w:r w:rsidR="00646A79">
        <w:rPr>
          <w:sz w:val="22"/>
          <w:szCs w:val="22"/>
        </w:rPr>
        <w:t>,</w:t>
      </w:r>
      <w:r w:rsidRPr="005A5966">
        <w:rPr>
          <w:sz w:val="22"/>
          <w:szCs w:val="22"/>
        </w:rPr>
        <w:t xml:space="preserve"> and the types of systems and procedures that licensees implement or no longer implement</w:t>
      </w:r>
      <w:r>
        <w:rPr>
          <w:sz w:val="22"/>
          <w:szCs w:val="22"/>
        </w:rPr>
        <w:t xml:space="preserve"> if the </w:t>
      </w:r>
      <w:r w:rsidR="00C82438">
        <w:rPr>
          <w:sz w:val="22"/>
          <w:szCs w:val="22"/>
        </w:rPr>
        <w:t>final</w:t>
      </w:r>
      <w:r>
        <w:rPr>
          <w:sz w:val="22"/>
          <w:szCs w:val="22"/>
        </w:rPr>
        <w:t xml:space="preserve"> rule alternative </w:t>
      </w:r>
      <w:r w:rsidR="00726034">
        <w:rPr>
          <w:sz w:val="22"/>
          <w:szCs w:val="22"/>
        </w:rPr>
        <w:t>is</w:t>
      </w:r>
      <w:r>
        <w:rPr>
          <w:sz w:val="22"/>
          <w:szCs w:val="22"/>
        </w:rPr>
        <w:t xml:space="preserve"> chosen</w:t>
      </w:r>
      <w:r w:rsidRPr="005A5966">
        <w:rPr>
          <w:sz w:val="22"/>
          <w:szCs w:val="22"/>
        </w:rPr>
        <w:t xml:space="preserve">.  </w:t>
      </w:r>
      <w:r>
        <w:rPr>
          <w:sz w:val="22"/>
          <w:szCs w:val="22"/>
        </w:rPr>
        <w:t>Affected entities</w:t>
      </w:r>
      <w:r w:rsidRPr="005A5966">
        <w:rPr>
          <w:sz w:val="22"/>
          <w:szCs w:val="22"/>
        </w:rPr>
        <w:t xml:space="preserve"> differ from each other </w:t>
      </w:r>
      <w:r>
        <w:rPr>
          <w:sz w:val="22"/>
          <w:szCs w:val="22"/>
        </w:rPr>
        <w:t xml:space="preserve">in </w:t>
      </w:r>
      <w:r w:rsidRPr="005A5966">
        <w:rPr>
          <w:sz w:val="22"/>
          <w:szCs w:val="22"/>
        </w:rPr>
        <w:t xml:space="preserve">a variety of </w:t>
      </w:r>
      <w:r>
        <w:rPr>
          <w:sz w:val="22"/>
          <w:szCs w:val="22"/>
        </w:rPr>
        <w:t>ways</w:t>
      </w:r>
      <w:r w:rsidR="00646A79">
        <w:rPr>
          <w:sz w:val="22"/>
          <w:szCs w:val="22"/>
        </w:rPr>
        <w:t>,</w:t>
      </w:r>
      <w:r w:rsidRPr="005A5966">
        <w:rPr>
          <w:sz w:val="22"/>
          <w:szCs w:val="22"/>
        </w:rPr>
        <w:t xml:space="preserve"> such as </w:t>
      </w:r>
      <w:r>
        <w:rPr>
          <w:sz w:val="22"/>
          <w:szCs w:val="22"/>
        </w:rPr>
        <w:t xml:space="preserve">FFD program management </w:t>
      </w:r>
      <w:r>
        <w:rPr>
          <w:sz w:val="22"/>
          <w:szCs w:val="22"/>
        </w:rPr>
        <w:lastRenderedPageBreak/>
        <w:t>(e.g.</w:t>
      </w:r>
      <w:r w:rsidR="00646A79">
        <w:rPr>
          <w:sz w:val="22"/>
          <w:szCs w:val="22"/>
        </w:rPr>
        <w:t>,</w:t>
      </w:r>
      <w:r>
        <w:rPr>
          <w:sz w:val="22"/>
          <w:szCs w:val="22"/>
        </w:rPr>
        <w:t> specific to a site</w:t>
      </w:r>
      <w:r w:rsidR="00646A79">
        <w:rPr>
          <w:sz w:val="22"/>
          <w:szCs w:val="22"/>
        </w:rPr>
        <w:t>,</w:t>
      </w:r>
      <w:r>
        <w:rPr>
          <w:sz w:val="22"/>
          <w:szCs w:val="22"/>
        </w:rPr>
        <w:t xml:space="preserve"> or centrally managed at a corporate office by a licensee that owns multiple sites) </w:t>
      </w:r>
      <w:r w:rsidRPr="005A5966">
        <w:rPr>
          <w:sz w:val="22"/>
          <w:szCs w:val="22"/>
        </w:rPr>
        <w:t xml:space="preserve">and testing laboratories </w:t>
      </w:r>
      <w:r>
        <w:rPr>
          <w:sz w:val="22"/>
          <w:szCs w:val="22"/>
        </w:rPr>
        <w:t xml:space="preserve">used </w:t>
      </w:r>
      <w:r w:rsidRPr="005A5966">
        <w:rPr>
          <w:sz w:val="22"/>
          <w:szCs w:val="22"/>
        </w:rPr>
        <w:t>(e.g.</w:t>
      </w:r>
      <w:r w:rsidR="00646A79">
        <w:rPr>
          <w:sz w:val="22"/>
          <w:szCs w:val="22"/>
        </w:rPr>
        <w:t>,</w:t>
      </w:r>
      <w:r>
        <w:rPr>
          <w:sz w:val="22"/>
          <w:szCs w:val="22"/>
        </w:rPr>
        <w:t> </w:t>
      </w:r>
      <w:r w:rsidRPr="005A5966">
        <w:rPr>
          <w:sz w:val="22"/>
          <w:szCs w:val="22"/>
        </w:rPr>
        <w:t>LTF</w:t>
      </w:r>
      <w:r w:rsidR="00646A79">
        <w:rPr>
          <w:sz w:val="22"/>
          <w:szCs w:val="22"/>
        </w:rPr>
        <w:t>,</w:t>
      </w:r>
      <w:r w:rsidRPr="005A5966">
        <w:rPr>
          <w:sz w:val="22"/>
          <w:szCs w:val="22"/>
        </w:rPr>
        <w:t xml:space="preserve"> HHS</w:t>
      </w:r>
      <w:r>
        <w:rPr>
          <w:sz w:val="22"/>
          <w:szCs w:val="22"/>
        </w:rPr>
        <w:noBreakHyphen/>
      </w:r>
      <w:r w:rsidRPr="005A5966">
        <w:rPr>
          <w:sz w:val="22"/>
          <w:szCs w:val="22"/>
        </w:rPr>
        <w:t>certified laboratory)</w:t>
      </w:r>
      <w:r>
        <w:rPr>
          <w:sz w:val="22"/>
          <w:szCs w:val="22"/>
        </w:rPr>
        <w:t>.  A</w:t>
      </w:r>
      <w:r w:rsidRPr="005A5966">
        <w:rPr>
          <w:sz w:val="22"/>
          <w:szCs w:val="22"/>
        </w:rPr>
        <w:t>s a result</w:t>
      </w:r>
      <w:r w:rsidR="00646A79">
        <w:rPr>
          <w:sz w:val="22"/>
          <w:szCs w:val="22"/>
        </w:rPr>
        <w:t>,</w:t>
      </w:r>
      <w:r w:rsidRPr="005A5966">
        <w:rPr>
          <w:sz w:val="22"/>
          <w:szCs w:val="22"/>
        </w:rPr>
        <w:t xml:space="preserve"> </w:t>
      </w:r>
      <w:r>
        <w:rPr>
          <w:sz w:val="22"/>
          <w:szCs w:val="22"/>
        </w:rPr>
        <w:t xml:space="preserve">affected entities </w:t>
      </w:r>
      <w:r w:rsidRPr="005A5966">
        <w:rPr>
          <w:sz w:val="22"/>
          <w:szCs w:val="22"/>
        </w:rPr>
        <w:t xml:space="preserve">may respond to the </w:t>
      </w:r>
      <w:r w:rsidR="00371877">
        <w:rPr>
          <w:sz w:val="22"/>
          <w:szCs w:val="22"/>
        </w:rPr>
        <w:t xml:space="preserve">final </w:t>
      </w:r>
      <w:r w:rsidRPr="005A5966">
        <w:rPr>
          <w:sz w:val="22"/>
          <w:szCs w:val="22"/>
        </w:rPr>
        <w:t xml:space="preserve">rule </w:t>
      </w:r>
      <w:r w:rsidR="00371877">
        <w:rPr>
          <w:sz w:val="22"/>
          <w:szCs w:val="22"/>
        </w:rPr>
        <w:t xml:space="preserve">changes </w:t>
      </w:r>
      <w:r w:rsidRPr="005A5966">
        <w:rPr>
          <w:sz w:val="22"/>
          <w:szCs w:val="22"/>
        </w:rPr>
        <w:t>in different ways.  Sections</w:t>
      </w:r>
      <w:r>
        <w:rPr>
          <w:sz w:val="22"/>
          <w:szCs w:val="22"/>
        </w:rPr>
        <w:t> 4</w:t>
      </w:r>
      <w:r w:rsidRPr="005A5966">
        <w:rPr>
          <w:sz w:val="22"/>
          <w:szCs w:val="22"/>
        </w:rPr>
        <w:t xml:space="preserve">.2.1 through </w:t>
      </w:r>
      <w:r>
        <w:rPr>
          <w:sz w:val="22"/>
          <w:szCs w:val="22"/>
        </w:rPr>
        <w:t>4</w:t>
      </w:r>
      <w:r w:rsidRPr="005A5966">
        <w:rPr>
          <w:sz w:val="22"/>
          <w:szCs w:val="22"/>
        </w:rPr>
        <w:t>.2.</w:t>
      </w:r>
      <w:r>
        <w:rPr>
          <w:sz w:val="22"/>
          <w:szCs w:val="22"/>
        </w:rPr>
        <w:t>6</w:t>
      </w:r>
      <w:r w:rsidRPr="005A5966">
        <w:rPr>
          <w:sz w:val="22"/>
          <w:szCs w:val="22"/>
        </w:rPr>
        <w:t xml:space="preserve"> </w:t>
      </w:r>
      <w:r>
        <w:rPr>
          <w:sz w:val="22"/>
          <w:szCs w:val="22"/>
        </w:rPr>
        <w:t xml:space="preserve">present the </w:t>
      </w:r>
      <w:r w:rsidRPr="005A5966">
        <w:rPr>
          <w:sz w:val="22"/>
          <w:szCs w:val="22"/>
        </w:rPr>
        <w:t>analytical data and assumptions used in the quantitative analysis of these attributes</w:t>
      </w:r>
      <w:r w:rsidR="00646A79">
        <w:rPr>
          <w:sz w:val="22"/>
          <w:szCs w:val="22"/>
        </w:rPr>
        <w:t>,</w:t>
      </w:r>
      <w:r>
        <w:rPr>
          <w:sz w:val="22"/>
          <w:szCs w:val="22"/>
        </w:rPr>
        <w:t xml:space="preserve"> which the </w:t>
      </w:r>
      <w:r w:rsidR="00AA308F">
        <w:rPr>
          <w:sz w:val="22"/>
          <w:szCs w:val="22"/>
        </w:rPr>
        <w:t xml:space="preserve">NRC </w:t>
      </w:r>
      <w:r>
        <w:rPr>
          <w:sz w:val="22"/>
          <w:szCs w:val="22"/>
        </w:rPr>
        <w:t>staff then used in performing the uncertainty analysis contained in Section 5.2</w:t>
      </w:r>
      <w:r w:rsidRPr="005A5966">
        <w:rPr>
          <w:sz w:val="22"/>
          <w:szCs w:val="22"/>
        </w:rPr>
        <w:t>.</w:t>
      </w:r>
    </w:p>
    <w:p w:rsidR="00D520BD" w:rsidP="00D520BD" w:rsidRDefault="00D520BD" w14:paraId="3EFF36F5" w14:textId="77777777">
      <w:pPr>
        <w:numPr>
          <w:ilvl w:val="12"/>
          <w:numId w:val="0"/>
        </w:numPr>
        <w:tabs>
          <w:tab w:val="left" w:pos="721"/>
        </w:tabs>
        <w:rPr>
          <w:sz w:val="22"/>
          <w:szCs w:val="22"/>
        </w:rPr>
      </w:pPr>
    </w:p>
    <w:p w:rsidR="00D520BD" w:rsidP="00D520BD" w:rsidRDefault="00D520BD" w14:paraId="5FEC386F" w14:textId="1D6D789E">
      <w:pPr>
        <w:numPr>
          <w:ilvl w:val="12"/>
          <w:numId w:val="0"/>
        </w:numPr>
        <w:tabs>
          <w:tab w:val="left" w:pos="721"/>
        </w:tabs>
        <w:spacing w:after="220"/>
        <w:rPr>
          <w:sz w:val="22"/>
          <w:szCs w:val="22"/>
        </w:rPr>
      </w:pPr>
      <w:r w:rsidRPr="005A5966">
        <w:rPr>
          <w:sz w:val="22"/>
          <w:szCs w:val="22"/>
        </w:rPr>
        <w:t xml:space="preserve">The analysis relies on </w:t>
      </w:r>
      <w:r>
        <w:rPr>
          <w:sz w:val="22"/>
          <w:szCs w:val="22"/>
        </w:rPr>
        <w:t>non</w:t>
      </w:r>
      <w:r w:rsidR="009646B7">
        <w:rPr>
          <w:sz w:val="22"/>
          <w:szCs w:val="22"/>
        </w:rPr>
        <w:t>-</w:t>
      </w:r>
      <w:r>
        <w:rPr>
          <w:sz w:val="22"/>
          <w:szCs w:val="22"/>
        </w:rPr>
        <w:t xml:space="preserve">quantitative techniques for </w:t>
      </w:r>
      <w:r w:rsidRPr="005A5966">
        <w:rPr>
          <w:sz w:val="22"/>
          <w:szCs w:val="22"/>
        </w:rPr>
        <w:t xml:space="preserve">the remaining </w:t>
      </w:r>
      <w:r>
        <w:rPr>
          <w:sz w:val="22"/>
          <w:szCs w:val="22"/>
        </w:rPr>
        <w:t xml:space="preserve">seven </w:t>
      </w:r>
      <w:r w:rsidRPr="005A5966">
        <w:rPr>
          <w:sz w:val="22"/>
          <w:szCs w:val="22"/>
        </w:rPr>
        <w:t>affected attributes (public health (accident)</w:t>
      </w:r>
      <w:r w:rsidR="00646A79">
        <w:rPr>
          <w:sz w:val="22"/>
          <w:szCs w:val="22"/>
        </w:rPr>
        <w:t>,</w:t>
      </w:r>
      <w:r w:rsidRPr="005A5966">
        <w:rPr>
          <w:sz w:val="22"/>
          <w:szCs w:val="22"/>
        </w:rPr>
        <w:t xml:space="preserve"> </w:t>
      </w:r>
      <w:r>
        <w:rPr>
          <w:sz w:val="22"/>
          <w:szCs w:val="22"/>
        </w:rPr>
        <w:t>occupational health (accident)</w:t>
      </w:r>
      <w:r w:rsidR="00646A79">
        <w:rPr>
          <w:sz w:val="22"/>
          <w:szCs w:val="22"/>
        </w:rPr>
        <w:t>,</w:t>
      </w:r>
      <w:r>
        <w:rPr>
          <w:sz w:val="22"/>
          <w:szCs w:val="22"/>
        </w:rPr>
        <w:t xml:space="preserve"> </w:t>
      </w:r>
      <w:r w:rsidRPr="005A5966">
        <w:rPr>
          <w:sz w:val="22"/>
          <w:szCs w:val="22"/>
        </w:rPr>
        <w:t>offsite property</w:t>
      </w:r>
      <w:r w:rsidR="00646A79">
        <w:rPr>
          <w:sz w:val="22"/>
          <w:szCs w:val="22"/>
        </w:rPr>
        <w:t>,</w:t>
      </w:r>
      <w:r w:rsidRPr="005A5966">
        <w:rPr>
          <w:sz w:val="22"/>
          <w:szCs w:val="22"/>
        </w:rPr>
        <w:t xml:space="preserve"> onsite property</w:t>
      </w:r>
      <w:r w:rsidR="00646A79">
        <w:rPr>
          <w:sz w:val="22"/>
          <w:szCs w:val="22"/>
        </w:rPr>
        <w:t>,</w:t>
      </w:r>
      <w:r w:rsidRPr="005A5966">
        <w:rPr>
          <w:sz w:val="22"/>
          <w:szCs w:val="22"/>
        </w:rPr>
        <w:t xml:space="preserve"> regulatory efficiency</w:t>
      </w:r>
      <w:r w:rsidR="00646A79">
        <w:rPr>
          <w:sz w:val="22"/>
          <w:szCs w:val="22"/>
        </w:rPr>
        <w:t>,</w:t>
      </w:r>
      <w:r w:rsidRPr="005A5966">
        <w:rPr>
          <w:sz w:val="22"/>
          <w:szCs w:val="22"/>
        </w:rPr>
        <w:t xml:space="preserve"> safeguards and security considerations</w:t>
      </w:r>
      <w:r w:rsidR="00646A79">
        <w:rPr>
          <w:sz w:val="22"/>
          <w:szCs w:val="22"/>
        </w:rPr>
        <w:t>,</w:t>
      </w:r>
      <w:r>
        <w:rPr>
          <w:sz w:val="22"/>
          <w:szCs w:val="22"/>
        </w:rPr>
        <w:t xml:space="preserve"> and other considerations (which include public perception</w:t>
      </w:r>
      <w:r w:rsidR="00646A79">
        <w:rPr>
          <w:sz w:val="22"/>
          <w:szCs w:val="22"/>
        </w:rPr>
        <w:t>,</w:t>
      </w:r>
      <w:r>
        <w:rPr>
          <w:sz w:val="22"/>
          <w:szCs w:val="22"/>
        </w:rPr>
        <w:t xml:space="preserve"> workplace productivity</w:t>
      </w:r>
      <w:r w:rsidR="00646A79">
        <w:rPr>
          <w:sz w:val="22"/>
          <w:szCs w:val="22"/>
        </w:rPr>
        <w:t>,</w:t>
      </w:r>
      <w:r>
        <w:rPr>
          <w:sz w:val="22"/>
          <w:szCs w:val="22"/>
        </w:rPr>
        <w:t xml:space="preserve"> workplace safety</w:t>
      </w:r>
      <w:r w:rsidR="00646A79">
        <w:rPr>
          <w:sz w:val="22"/>
          <w:szCs w:val="22"/>
        </w:rPr>
        <w:t>,</w:t>
      </w:r>
      <w:r>
        <w:rPr>
          <w:sz w:val="22"/>
          <w:szCs w:val="22"/>
        </w:rPr>
        <w:t xml:space="preserve"> and improved protection of individual r</w:t>
      </w:r>
      <w:r w:rsidRPr="00572575">
        <w:rPr>
          <w:sz w:val="22"/>
          <w:szCs w:val="22"/>
        </w:rPr>
        <w:t>ights</w:t>
      </w:r>
      <w:r>
        <w:rPr>
          <w:sz w:val="22"/>
          <w:szCs w:val="22"/>
        </w:rPr>
        <w:t>)).  Non</w:t>
      </w:r>
      <w:r w:rsidR="00030114">
        <w:rPr>
          <w:sz w:val="22"/>
          <w:szCs w:val="22"/>
        </w:rPr>
        <w:t>-</w:t>
      </w:r>
      <w:r>
        <w:rPr>
          <w:sz w:val="22"/>
          <w:szCs w:val="22"/>
        </w:rPr>
        <w:t xml:space="preserve">quantitative techniques are used </w:t>
      </w:r>
      <w:r w:rsidRPr="005A5966">
        <w:rPr>
          <w:sz w:val="22"/>
          <w:szCs w:val="22"/>
        </w:rPr>
        <w:t xml:space="preserve">because </w:t>
      </w:r>
      <w:r>
        <w:rPr>
          <w:sz w:val="22"/>
          <w:szCs w:val="22"/>
        </w:rPr>
        <w:t>monetizing</w:t>
      </w:r>
      <w:r w:rsidRPr="005A5966">
        <w:rPr>
          <w:sz w:val="22"/>
          <w:szCs w:val="22"/>
        </w:rPr>
        <w:t xml:space="preserve"> the </w:t>
      </w:r>
      <w:r>
        <w:rPr>
          <w:sz w:val="22"/>
          <w:szCs w:val="22"/>
        </w:rPr>
        <w:t xml:space="preserve">full </w:t>
      </w:r>
      <w:r w:rsidRPr="005A5966">
        <w:rPr>
          <w:sz w:val="22"/>
          <w:szCs w:val="22"/>
        </w:rPr>
        <w:t>impact</w:t>
      </w:r>
      <w:r>
        <w:rPr>
          <w:sz w:val="22"/>
          <w:szCs w:val="22"/>
        </w:rPr>
        <w:t xml:space="preserve"> of each attribute is not possible or practical.</w:t>
      </w:r>
      <w:r w:rsidRPr="005A5966">
        <w:rPr>
          <w:sz w:val="22"/>
          <w:szCs w:val="22"/>
        </w:rPr>
        <w:t xml:space="preserve">  </w:t>
      </w:r>
      <w:r w:rsidRPr="00C95345">
        <w:rPr>
          <w:sz w:val="22"/>
          <w:szCs w:val="22"/>
        </w:rPr>
        <w:t xml:space="preserve">Monetizing the impact </w:t>
      </w:r>
      <w:r>
        <w:rPr>
          <w:sz w:val="22"/>
          <w:szCs w:val="22"/>
        </w:rPr>
        <w:t xml:space="preserve">of </w:t>
      </w:r>
      <w:r w:rsidRPr="00C95345">
        <w:rPr>
          <w:sz w:val="22"/>
          <w:szCs w:val="22"/>
        </w:rPr>
        <w:t>these attributes require</w:t>
      </w:r>
      <w:r w:rsidR="00466725">
        <w:rPr>
          <w:sz w:val="22"/>
          <w:szCs w:val="22"/>
        </w:rPr>
        <w:t>s</w:t>
      </w:r>
      <w:r w:rsidRPr="00C95345">
        <w:rPr>
          <w:sz w:val="22"/>
          <w:szCs w:val="22"/>
        </w:rPr>
        <w:t xml:space="preserve"> </w:t>
      </w:r>
      <w:r>
        <w:rPr>
          <w:sz w:val="22"/>
          <w:szCs w:val="22"/>
        </w:rPr>
        <w:t xml:space="preserve">the </w:t>
      </w:r>
      <w:r w:rsidRPr="00C95345">
        <w:rPr>
          <w:sz w:val="22"/>
          <w:szCs w:val="22"/>
        </w:rPr>
        <w:t>estimation of factors such as the frequency of accidents and other safety</w:t>
      </w:r>
      <w:r>
        <w:rPr>
          <w:sz w:val="22"/>
          <w:szCs w:val="22"/>
        </w:rPr>
        <w:t>-</w:t>
      </w:r>
      <w:r w:rsidRPr="00C95345">
        <w:rPr>
          <w:sz w:val="22"/>
          <w:szCs w:val="22"/>
        </w:rPr>
        <w:t xml:space="preserve"> and security-related events caused by drug</w:t>
      </w:r>
      <w:r>
        <w:rPr>
          <w:sz w:val="22"/>
          <w:szCs w:val="22"/>
        </w:rPr>
        <w:noBreakHyphen/>
      </w:r>
      <w:r w:rsidRPr="00C95345">
        <w:rPr>
          <w:sz w:val="22"/>
          <w:szCs w:val="22"/>
        </w:rPr>
        <w:t>induced impairment and</w:t>
      </w:r>
      <w:r>
        <w:rPr>
          <w:sz w:val="22"/>
          <w:szCs w:val="22"/>
        </w:rPr>
        <w:t xml:space="preserve"> </w:t>
      </w:r>
      <w:r w:rsidRPr="00C95345">
        <w:rPr>
          <w:sz w:val="22"/>
          <w:szCs w:val="22"/>
        </w:rPr>
        <w:t xml:space="preserve">the consequences of such </w:t>
      </w:r>
      <w:r>
        <w:rPr>
          <w:sz w:val="22"/>
          <w:szCs w:val="22"/>
        </w:rPr>
        <w:t>events</w:t>
      </w:r>
      <w:r w:rsidRPr="00C95345">
        <w:rPr>
          <w:sz w:val="22"/>
          <w:szCs w:val="22"/>
        </w:rPr>
        <w:t xml:space="preserve">.  </w:t>
      </w:r>
      <w:r>
        <w:rPr>
          <w:sz w:val="22"/>
          <w:szCs w:val="22"/>
        </w:rPr>
        <w:t xml:space="preserve">These data do </w:t>
      </w:r>
      <w:r w:rsidRPr="0006258E">
        <w:rPr>
          <w:sz w:val="22"/>
          <w:szCs w:val="22"/>
        </w:rPr>
        <w:t>not exist.  However</w:t>
      </w:r>
      <w:r w:rsidR="00646A79">
        <w:rPr>
          <w:sz w:val="22"/>
          <w:szCs w:val="22"/>
        </w:rPr>
        <w:t>,</w:t>
      </w:r>
      <w:r w:rsidRPr="0006258E">
        <w:rPr>
          <w:sz w:val="22"/>
          <w:szCs w:val="22"/>
        </w:rPr>
        <w:t xml:space="preserve"> improving the detection of individuals who use </w:t>
      </w:r>
      <w:r>
        <w:rPr>
          <w:sz w:val="22"/>
          <w:szCs w:val="22"/>
        </w:rPr>
        <w:t xml:space="preserve">impairing </w:t>
      </w:r>
      <w:r w:rsidRPr="0006258E">
        <w:rPr>
          <w:sz w:val="22"/>
          <w:szCs w:val="22"/>
        </w:rPr>
        <w:t>drugs supports the general performance objective</w:t>
      </w:r>
      <w:r w:rsidR="0079539A">
        <w:rPr>
          <w:sz w:val="22"/>
          <w:szCs w:val="22"/>
        </w:rPr>
        <w:t xml:space="preserve">s </w:t>
      </w:r>
      <w:r w:rsidRPr="0079539A" w:rsidR="0079539A">
        <w:rPr>
          <w:sz w:val="22"/>
          <w:szCs w:val="22"/>
        </w:rPr>
        <w:t>in 10 CFR 26.23(c), to “provide reasonable measures for the early detection of individuals who are not fit to perform the duties that require them to be subject to the FFD program,” and in 10 CFR 26.23(d), to “provide reasonable assurance that the workplaces subject to this part are free from the presence and effects of illegal drugs.”</w:t>
      </w:r>
      <w:r w:rsidR="0079539A">
        <w:rPr>
          <w:sz w:val="22"/>
          <w:szCs w:val="22"/>
        </w:rPr>
        <w:t xml:space="preserve">  </w:t>
      </w:r>
      <w:r>
        <w:rPr>
          <w:sz w:val="22"/>
          <w:szCs w:val="22"/>
        </w:rPr>
        <w:t>Sections 4.2.1 through 4.2.6 describe the analytical method and assumptions used in the quantitative and non</w:t>
      </w:r>
      <w:r w:rsidR="00832AB9">
        <w:rPr>
          <w:sz w:val="22"/>
          <w:szCs w:val="22"/>
        </w:rPr>
        <w:t>-</w:t>
      </w:r>
      <w:r>
        <w:rPr>
          <w:sz w:val="22"/>
          <w:szCs w:val="22"/>
        </w:rPr>
        <w:t>quantitative analys</w:t>
      </w:r>
      <w:r w:rsidR="000D11B5">
        <w:rPr>
          <w:sz w:val="22"/>
          <w:szCs w:val="22"/>
        </w:rPr>
        <w:t>e</w:t>
      </w:r>
      <w:r>
        <w:rPr>
          <w:sz w:val="22"/>
          <w:szCs w:val="22"/>
        </w:rPr>
        <w:t>s of these attributes.  Appendices B through D present the analysis calculations</w:t>
      </w:r>
      <w:r w:rsidR="00646A79">
        <w:rPr>
          <w:sz w:val="22"/>
          <w:szCs w:val="22"/>
        </w:rPr>
        <w:t>,</w:t>
      </w:r>
      <w:r>
        <w:rPr>
          <w:sz w:val="22"/>
          <w:szCs w:val="22"/>
        </w:rPr>
        <w:t xml:space="preserve"> unit costs</w:t>
      </w:r>
      <w:r w:rsidR="00646A79">
        <w:rPr>
          <w:sz w:val="22"/>
          <w:szCs w:val="22"/>
        </w:rPr>
        <w:t>,</w:t>
      </w:r>
      <w:r>
        <w:rPr>
          <w:sz w:val="22"/>
          <w:szCs w:val="22"/>
        </w:rPr>
        <w:t xml:space="preserve"> data sources</w:t>
      </w:r>
      <w:r w:rsidR="00646A79">
        <w:rPr>
          <w:sz w:val="22"/>
          <w:szCs w:val="22"/>
        </w:rPr>
        <w:t>,</w:t>
      </w:r>
      <w:r>
        <w:rPr>
          <w:sz w:val="22"/>
          <w:szCs w:val="22"/>
        </w:rPr>
        <w:t xml:space="preserve"> and assumptions used.</w:t>
      </w:r>
    </w:p>
    <w:p w:rsidRPr="00A311DB" w:rsidR="00D520BD" w:rsidP="00D520BD" w:rsidRDefault="00D520BD" w14:paraId="043DD597" w14:textId="608E8DFC">
      <w:pPr>
        <w:rPr>
          <w:rFonts w:eastAsiaTheme="minorEastAsia"/>
          <w:sz w:val="22"/>
          <w:szCs w:val="22"/>
          <w:lang w:eastAsia="ja-JP"/>
        </w:rPr>
      </w:pPr>
      <w:r w:rsidRPr="00A311DB">
        <w:rPr>
          <w:rFonts w:eastAsiaTheme="minorEastAsia"/>
          <w:sz w:val="22"/>
          <w:szCs w:val="22"/>
          <w:lang w:eastAsia="ja-JP"/>
        </w:rPr>
        <w:t>To estimate the costs associated with the evaluated alternative</w:t>
      </w:r>
      <w:r w:rsidR="00646A79">
        <w:rPr>
          <w:rFonts w:eastAsiaTheme="minorEastAsia"/>
          <w:sz w:val="22"/>
          <w:szCs w:val="22"/>
          <w:lang w:eastAsia="ja-JP"/>
        </w:rPr>
        <w:t>,</w:t>
      </w:r>
      <w:r w:rsidRPr="00A311DB">
        <w:rPr>
          <w:rFonts w:eastAsiaTheme="minorEastAsia"/>
          <w:sz w:val="22"/>
          <w:szCs w:val="22"/>
          <w:lang w:eastAsia="ja-JP"/>
        </w:rPr>
        <w:t xml:space="preserve"> the NRC staff used a work breakdown approach to deconstruct the activities for each requirement.  For each required activity</w:t>
      </w:r>
      <w:r w:rsidR="00646A79">
        <w:rPr>
          <w:rFonts w:eastAsiaTheme="minorEastAsia"/>
          <w:sz w:val="22"/>
          <w:szCs w:val="22"/>
          <w:lang w:eastAsia="ja-JP"/>
        </w:rPr>
        <w:t>,</w:t>
      </w:r>
      <w:r w:rsidRPr="00A311DB">
        <w:rPr>
          <w:rFonts w:eastAsiaTheme="minorEastAsia"/>
          <w:sz w:val="22"/>
          <w:szCs w:val="22"/>
          <w:lang w:eastAsia="ja-JP"/>
        </w:rPr>
        <w:t xml:space="preserve"> the NRC </w:t>
      </w:r>
      <w:r>
        <w:rPr>
          <w:rFonts w:eastAsiaTheme="minorEastAsia"/>
          <w:sz w:val="22"/>
          <w:szCs w:val="22"/>
          <w:lang w:eastAsia="ja-JP"/>
        </w:rPr>
        <w:t xml:space="preserve">staff </w:t>
      </w:r>
      <w:r w:rsidRPr="00A311DB">
        <w:rPr>
          <w:rFonts w:eastAsiaTheme="minorEastAsia"/>
          <w:sz w:val="22"/>
          <w:szCs w:val="22"/>
          <w:lang w:eastAsia="ja-JP"/>
        </w:rPr>
        <w:t>further subdivided the work across labor categories (</w:t>
      </w:r>
      <w:r>
        <w:rPr>
          <w:rFonts w:eastAsiaTheme="minorEastAsia"/>
          <w:sz w:val="22"/>
          <w:szCs w:val="22"/>
          <w:lang w:eastAsia="ja-JP"/>
        </w:rPr>
        <w:t>e.g.</w:t>
      </w:r>
      <w:r w:rsidR="00646A79">
        <w:rPr>
          <w:rFonts w:eastAsiaTheme="minorEastAsia"/>
          <w:sz w:val="22"/>
          <w:szCs w:val="22"/>
          <w:lang w:eastAsia="ja-JP"/>
        </w:rPr>
        <w:t>,</w:t>
      </w:r>
      <w:r>
        <w:rPr>
          <w:rFonts w:eastAsiaTheme="minorEastAsia"/>
          <w:sz w:val="22"/>
          <w:szCs w:val="22"/>
          <w:lang w:eastAsia="ja-JP"/>
        </w:rPr>
        <w:t xml:space="preserve"> FFD </w:t>
      </w:r>
      <w:r w:rsidR="00207E0D">
        <w:rPr>
          <w:rFonts w:eastAsiaTheme="minorEastAsia"/>
          <w:sz w:val="22"/>
          <w:szCs w:val="22"/>
          <w:lang w:eastAsia="ja-JP"/>
        </w:rPr>
        <w:t>M</w:t>
      </w:r>
      <w:r w:rsidRPr="00A311DB">
        <w:rPr>
          <w:rFonts w:eastAsiaTheme="minorEastAsia"/>
          <w:sz w:val="22"/>
          <w:szCs w:val="22"/>
          <w:lang w:eastAsia="ja-JP"/>
        </w:rPr>
        <w:t>anager</w:t>
      </w:r>
      <w:r w:rsidR="00646A79">
        <w:rPr>
          <w:rFonts w:eastAsiaTheme="minorEastAsia"/>
          <w:sz w:val="22"/>
          <w:szCs w:val="22"/>
          <w:lang w:eastAsia="ja-JP"/>
        </w:rPr>
        <w:t>,</w:t>
      </w:r>
      <w:r>
        <w:rPr>
          <w:rFonts w:eastAsiaTheme="minorEastAsia"/>
          <w:sz w:val="22"/>
          <w:szCs w:val="22"/>
          <w:lang w:eastAsia="ja-JP"/>
        </w:rPr>
        <w:t xml:space="preserve"> </w:t>
      </w:r>
      <w:r w:rsidR="00207E0D">
        <w:rPr>
          <w:rFonts w:eastAsiaTheme="minorEastAsia"/>
          <w:sz w:val="22"/>
          <w:szCs w:val="22"/>
          <w:lang w:eastAsia="ja-JP"/>
        </w:rPr>
        <w:t>F</w:t>
      </w:r>
      <w:r>
        <w:rPr>
          <w:rFonts w:eastAsiaTheme="minorEastAsia"/>
          <w:sz w:val="22"/>
          <w:szCs w:val="22"/>
          <w:lang w:eastAsia="ja-JP"/>
        </w:rPr>
        <w:t xml:space="preserve">acility </w:t>
      </w:r>
      <w:r w:rsidR="00207E0D">
        <w:rPr>
          <w:rFonts w:eastAsiaTheme="minorEastAsia"/>
          <w:sz w:val="22"/>
          <w:szCs w:val="22"/>
          <w:lang w:eastAsia="ja-JP"/>
        </w:rPr>
        <w:t>W</w:t>
      </w:r>
      <w:r>
        <w:rPr>
          <w:rFonts w:eastAsiaTheme="minorEastAsia"/>
          <w:sz w:val="22"/>
          <w:szCs w:val="22"/>
          <w:lang w:eastAsia="ja-JP"/>
        </w:rPr>
        <w:t>orker</w:t>
      </w:r>
      <w:r w:rsidRPr="00A311DB">
        <w:rPr>
          <w:rFonts w:eastAsiaTheme="minorEastAsia"/>
          <w:sz w:val="22"/>
          <w:szCs w:val="22"/>
          <w:lang w:eastAsia="ja-JP"/>
        </w:rPr>
        <w:t xml:space="preserve">).  The NRC staff estimated the </w:t>
      </w:r>
      <w:r>
        <w:rPr>
          <w:rFonts w:eastAsiaTheme="minorEastAsia"/>
          <w:sz w:val="22"/>
          <w:szCs w:val="22"/>
          <w:lang w:eastAsia="ja-JP"/>
        </w:rPr>
        <w:t>necessary</w:t>
      </w:r>
      <w:r w:rsidRPr="00A311DB">
        <w:rPr>
          <w:rFonts w:eastAsiaTheme="minorEastAsia"/>
          <w:sz w:val="22"/>
          <w:szCs w:val="22"/>
          <w:lang w:eastAsia="ja-JP"/>
        </w:rPr>
        <w:t xml:space="preserve"> level of effort for each required activity and labor rate</w:t>
      </w:r>
      <w:r>
        <w:rPr>
          <w:rFonts w:eastAsiaTheme="minorEastAsia"/>
          <w:sz w:val="22"/>
          <w:szCs w:val="22"/>
          <w:lang w:eastAsia="ja-JP"/>
        </w:rPr>
        <w:t>s</w:t>
      </w:r>
      <w:r w:rsidRPr="00A311DB">
        <w:rPr>
          <w:rFonts w:eastAsiaTheme="minorEastAsia"/>
          <w:sz w:val="22"/>
          <w:szCs w:val="22"/>
          <w:lang w:eastAsia="ja-JP"/>
        </w:rPr>
        <w:t xml:space="preserve"> </w:t>
      </w:r>
      <w:r>
        <w:rPr>
          <w:rFonts w:eastAsiaTheme="minorEastAsia"/>
          <w:sz w:val="22"/>
          <w:szCs w:val="22"/>
          <w:lang w:eastAsia="ja-JP"/>
        </w:rPr>
        <w:t xml:space="preserve">for personnel performing these activities </w:t>
      </w:r>
      <w:r w:rsidRPr="00A311DB">
        <w:rPr>
          <w:rFonts w:eastAsiaTheme="minorEastAsia"/>
          <w:sz w:val="22"/>
          <w:szCs w:val="22"/>
          <w:lang w:eastAsia="ja-JP"/>
        </w:rPr>
        <w:t>to develop cost estimates.</w:t>
      </w:r>
    </w:p>
    <w:p w:rsidRPr="00A311DB" w:rsidR="00D520BD" w:rsidP="00D520BD" w:rsidRDefault="00D520BD" w14:paraId="5337BE79" w14:textId="77777777">
      <w:pPr>
        <w:rPr>
          <w:sz w:val="22"/>
          <w:szCs w:val="22"/>
        </w:rPr>
      </w:pPr>
    </w:p>
    <w:p w:rsidRPr="00A311DB" w:rsidR="00D520BD" w:rsidP="00D520BD" w:rsidRDefault="00D520BD" w14:paraId="1C92FFC7" w14:textId="07CCEAC9">
      <w:pPr>
        <w:rPr>
          <w:rFonts w:eastAsiaTheme="minorEastAsia"/>
          <w:sz w:val="22"/>
          <w:szCs w:val="22"/>
          <w:lang w:eastAsia="ja-JP"/>
        </w:rPr>
      </w:pPr>
      <w:r w:rsidRPr="00A311DB">
        <w:rPr>
          <w:rFonts w:eastAsiaTheme="minorEastAsia"/>
          <w:sz w:val="22"/>
          <w:szCs w:val="22"/>
          <w:lang w:eastAsia="ja-JP"/>
        </w:rPr>
        <w:t>The NRC staff gathered data</w:t>
      </w:r>
      <w:r w:rsidRPr="00A311DB" w:rsidDel="00307237">
        <w:rPr>
          <w:rFonts w:eastAsiaTheme="minorEastAsia"/>
          <w:sz w:val="22"/>
          <w:szCs w:val="22"/>
          <w:lang w:eastAsia="ja-JP"/>
        </w:rPr>
        <w:t xml:space="preserve"> </w:t>
      </w:r>
      <w:r w:rsidRPr="00A311DB">
        <w:rPr>
          <w:rFonts w:eastAsiaTheme="minorEastAsia"/>
          <w:sz w:val="22"/>
          <w:szCs w:val="22"/>
          <w:lang w:eastAsia="ja-JP"/>
        </w:rPr>
        <w:t xml:space="preserve">to develop levels of effort and unit cost estimates.  The NRC staff applied several cost estimation methods in this analysis.  The </w:t>
      </w:r>
      <w:r>
        <w:rPr>
          <w:rFonts w:eastAsiaTheme="minorEastAsia"/>
          <w:sz w:val="22"/>
          <w:szCs w:val="22"/>
          <w:lang w:eastAsia="ja-JP"/>
        </w:rPr>
        <w:t xml:space="preserve">NRC staff used </w:t>
      </w:r>
      <w:r w:rsidRPr="00A311DB">
        <w:rPr>
          <w:rFonts w:eastAsiaTheme="minorEastAsia"/>
          <w:sz w:val="22"/>
          <w:szCs w:val="22"/>
          <w:lang w:eastAsia="ja-JP"/>
        </w:rPr>
        <w:t xml:space="preserve">professional knowledge and judgment to estimate </w:t>
      </w:r>
      <w:r>
        <w:rPr>
          <w:rFonts w:eastAsiaTheme="minorEastAsia"/>
          <w:sz w:val="22"/>
          <w:szCs w:val="22"/>
          <w:lang w:eastAsia="ja-JP"/>
        </w:rPr>
        <w:t xml:space="preserve">some </w:t>
      </w:r>
      <w:r w:rsidRPr="00A311DB">
        <w:rPr>
          <w:rFonts w:eastAsiaTheme="minorEastAsia"/>
          <w:sz w:val="22"/>
          <w:szCs w:val="22"/>
          <w:lang w:eastAsia="ja-JP"/>
        </w:rPr>
        <w:t>of the costs and benefits.  Additionally</w:t>
      </w:r>
      <w:r w:rsidR="00646A79">
        <w:rPr>
          <w:rFonts w:eastAsiaTheme="minorEastAsia"/>
          <w:sz w:val="22"/>
          <w:szCs w:val="22"/>
          <w:lang w:eastAsia="ja-JP"/>
        </w:rPr>
        <w:t>,</w:t>
      </w:r>
      <w:r w:rsidRPr="00A311DB">
        <w:rPr>
          <w:rFonts w:eastAsiaTheme="minorEastAsia"/>
          <w:sz w:val="22"/>
          <w:szCs w:val="22"/>
          <w:lang w:eastAsia="ja-JP"/>
        </w:rPr>
        <w:t xml:space="preserve"> </w:t>
      </w:r>
      <w:r>
        <w:rPr>
          <w:rFonts w:eastAsiaTheme="minorEastAsia"/>
          <w:sz w:val="22"/>
          <w:szCs w:val="22"/>
          <w:lang w:eastAsia="ja-JP"/>
        </w:rPr>
        <w:t xml:space="preserve">the </w:t>
      </w:r>
      <w:r w:rsidR="00AA308F">
        <w:rPr>
          <w:rFonts w:eastAsiaTheme="minorEastAsia"/>
          <w:sz w:val="22"/>
          <w:szCs w:val="22"/>
          <w:lang w:eastAsia="ja-JP"/>
        </w:rPr>
        <w:t>NRC</w:t>
      </w:r>
      <w:r>
        <w:rPr>
          <w:rFonts w:eastAsiaTheme="minorEastAsia"/>
          <w:sz w:val="22"/>
          <w:szCs w:val="22"/>
          <w:lang w:eastAsia="ja-JP"/>
        </w:rPr>
        <w:t xml:space="preserve"> staff used </w:t>
      </w:r>
      <w:r w:rsidRPr="00A311DB">
        <w:rPr>
          <w:rFonts w:eastAsiaTheme="minorEastAsia"/>
          <w:sz w:val="22"/>
          <w:szCs w:val="22"/>
          <w:lang w:eastAsia="ja-JP"/>
        </w:rPr>
        <w:t>a</w:t>
      </w:r>
      <w:r>
        <w:rPr>
          <w:rFonts w:eastAsiaTheme="minorEastAsia"/>
          <w:sz w:val="22"/>
          <w:szCs w:val="22"/>
          <w:lang w:eastAsia="ja-JP"/>
        </w:rPr>
        <w:t>n engineering</w:t>
      </w:r>
      <w:r w:rsidRPr="00A311DB">
        <w:rPr>
          <w:rFonts w:eastAsiaTheme="minorEastAsia"/>
          <w:sz w:val="22"/>
          <w:szCs w:val="22"/>
          <w:lang w:eastAsia="ja-JP"/>
        </w:rPr>
        <w:t xml:space="preserve"> buildup method</w:t>
      </w:r>
      <w:r w:rsidR="00646A79">
        <w:rPr>
          <w:rFonts w:eastAsiaTheme="minorEastAsia"/>
          <w:sz w:val="22"/>
          <w:szCs w:val="22"/>
          <w:lang w:eastAsia="ja-JP"/>
        </w:rPr>
        <w:t>,</w:t>
      </w:r>
      <w:r w:rsidRPr="00A311DB">
        <w:rPr>
          <w:rFonts w:eastAsiaTheme="minorEastAsia"/>
          <w:sz w:val="22"/>
          <w:szCs w:val="22"/>
          <w:lang w:eastAsia="ja-JP"/>
        </w:rPr>
        <w:t xml:space="preserve"> solicitation of licensee input</w:t>
      </w:r>
      <w:r w:rsidR="00646A79">
        <w:rPr>
          <w:rFonts w:eastAsiaTheme="minorEastAsia"/>
          <w:sz w:val="22"/>
          <w:szCs w:val="22"/>
          <w:lang w:eastAsia="ja-JP"/>
        </w:rPr>
        <w:t>,</w:t>
      </w:r>
      <w:r w:rsidRPr="00A311DB">
        <w:rPr>
          <w:rFonts w:eastAsiaTheme="minorEastAsia"/>
          <w:sz w:val="22"/>
          <w:szCs w:val="22"/>
          <w:lang w:eastAsia="ja-JP"/>
        </w:rPr>
        <w:t xml:space="preserve"> and extrapolation techniques to estimate costs and benefits.</w:t>
      </w:r>
      <w:r>
        <w:rPr>
          <w:rFonts w:eastAsiaTheme="minorEastAsia"/>
          <w:sz w:val="22"/>
          <w:szCs w:val="22"/>
          <w:lang w:eastAsia="ja-JP"/>
        </w:rPr>
        <w:t xml:space="preserve">  T</w:t>
      </w:r>
      <w:r w:rsidRPr="00A311DB">
        <w:rPr>
          <w:rFonts w:eastAsiaTheme="minorEastAsia"/>
          <w:sz w:val="22"/>
          <w:szCs w:val="22"/>
          <w:lang w:eastAsia="ja-JP"/>
        </w:rPr>
        <w:t xml:space="preserve">he engineering buildup method </w:t>
      </w:r>
      <w:r>
        <w:rPr>
          <w:rFonts w:eastAsiaTheme="minorEastAsia"/>
          <w:sz w:val="22"/>
          <w:szCs w:val="22"/>
          <w:lang w:eastAsia="ja-JP"/>
        </w:rPr>
        <w:t>used a step</w:t>
      </w:r>
      <w:r w:rsidR="000949F6">
        <w:rPr>
          <w:rFonts w:eastAsiaTheme="minorEastAsia"/>
          <w:sz w:val="22"/>
          <w:szCs w:val="22"/>
          <w:lang w:eastAsia="ja-JP"/>
        </w:rPr>
        <w:noBreakHyphen/>
      </w:r>
      <w:r>
        <w:rPr>
          <w:rFonts w:eastAsiaTheme="minorEastAsia"/>
          <w:sz w:val="22"/>
          <w:szCs w:val="22"/>
          <w:lang w:eastAsia="ja-JP"/>
        </w:rPr>
        <w:t>by</w:t>
      </w:r>
      <w:r w:rsidR="000949F6">
        <w:rPr>
          <w:rFonts w:eastAsiaTheme="minorEastAsia"/>
          <w:sz w:val="22"/>
          <w:szCs w:val="22"/>
          <w:lang w:eastAsia="ja-JP"/>
        </w:rPr>
        <w:noBreakHyphen/>
      </w:r>
      <w:r>
        <w:rPr>
          <w:rFonts w:eastAsiaTheme="minorEastAsia"/>
          <w:sz w:val="22"/>
          <w:szCs w:val="22"/>
          <w:lang w:eastAsia="ja-JP"/>
        </w:rPr>
        <w:t>step</w:t>
      </w:r>
      <w:r w:rsidR="00646A79">
        <w:rPr>
          <w:rFonts w:eastAsiaTheme="minorEastAsia"/>
          <w:sz w:val="22"/>
          <w:szCs w:val="22"/>
          <w:lang w:eastAsia="ja-JP"/>
        </w:rPr>
        <w:t>,</w:t>
      </w:r>
      <w:r>
        <w:rPr>
          <w:rFonts w:eastAsiaTheme="minorEastAsia"/>
          <w:sz w:val="22"/>
          <w:szCs w:val="22"/>
          <w:lang w:eastAsia="ja-JP"/>
        </w:rPr>
        <w:t xml:space="preserve"> bottom-up description of task requirements and estimated resources for labor</w:t>
      </w:r>
      <w:r w:rsidR="00646A79">
        <w:rPr>
          <w:rFonts w:eastAsiaTheme="minorEastAsia"/>
          <w:sz w:val="22"/>
          <w:szCs w:val="22"/>
          <w:lang w:eastAsia="ja-JP"/>
        </w:rPr>
        <w:t>,</w:t>
      </w:r>
      <w:r>
        <w:rPr>
          <w:rFonts w:eastAsiaTheme="minorEastAsia"/>
          <w:sz w:val="22"/>
          <w:szCs w:val="22"/>
          <w:lang w:eastAsia="ja-JP"/>
        </w:rPr>
        <w:t xml:space="preserve"> materials</w:t>
      </w:r>
      <w:r w:rsidR="00646A79">
        <w:rPr>
          <w:rFonts w:eastAsiaTheme="minorEastAsia"/>
          <w:sz w:val="22"/>
          <w:szCs w:val="22"/>
          <w:lang w:eastAsia="ja-JP"/>
        </w:rPr>
        <w:t>,</w:t>
      </w:r>
      <w:r>
        <w:rPr>
          <w:rFonts w:eastAsiaTheme="minorEastAsia"/>
          <w:sz w:val="22"/>
          <w:szCs w:val="22"/>
          <w:lang w:eastAsia="ja-JP"/>
        </w:rPr>
        <w:t xml:space="preserve"> and other direct costs</w:t>
      </w:r>
      <w:r w:rsidRPr="00A311DB">
        <w:rPr>
          <w:rFonts w:eastAsiaTheme="minorEastAsia"/>
          <w:sz w:val="22"/>
          <w:szCs w:val="22"/>
          <w:lang w:eastAsia="ja-JP"/>
        </w:rPr>
        <w:t xml:space="preserve"> to estimate a total cost.  The NRC staff also consulted subject matter experts within and outside of the agency to develop inputs used in the analysis.  For example</w:t>
      </w:r>
      <w:r w:rsidR="00646A79">
        <w:rPr>
          <w:rFonts w:eastAsiaTheme="minorEastAsia"/>
          <w:sz w:val="22"/>
          <w:szCs w:val="22"/>
          <w:lang w:eastAsia="ja-JP"/>
        </w:rPr>
        <w:t>,</w:t>
      </w:r>
      <w:r w:rsidRPr="00A311DB">
        <w:rPr>
          <w:rFonts w:eastAsiaTheme="minorEastAsia"/>
          <w:sz w:val="22"/>
          <w:szCs w:val="22"/>
          <w:lang w:eastAsia="ja-JP"/>
        </w:rPr>
        <w:t xml:space="preserve"> the NRC staff collected industry wage data</w:t>
      </w:r>
      <w:r w:rsidR="00646A79">
        <w:rPr>
          <w:rFonts w:eastAsiaTheme="minorEastAsia"/>
          <w:sz w:val="22"/>
          <w:szCs w:val="22"/>
          <w:lang w:eastAsia="ja-JP"/>
        </w:rPr>
        <w:t>,</w:t>
      </w:r>
      <w:r w:rsidRPr="00A311DB">
        <w:rPr>
          <w:rFonts w:eastAsiaTheme="minorEastAsia"/>
          <w:sz w:val="22"/>
          <w:szCs w:val="22"/>
          <w:lang w:eastAsia="ja-JP"/>
        </w:rPr>
        <w:t xml:space="preserve"> cost</w:t>
      </w:r>
      <w:r w:rsidR="00D03E69">
        <w:rPr>
          <w:rFonts w:eastAsiaTheme="minorEastAsia"/>
          <w:sz w:val="22"/>
          <w:szCs w:val="22"/>
          <w:lang w:eastAsia="ja-JP"/>
        </w:rPr>
        <w:t>s</w:t>
      </w:r>
      <w:r w:rsidRPr="00A311DB">
        <w:rPr>
          <w:rFonts w:eastAsiaTheme="minorEastAsia"/>
          <w:sz w:val="22"/>
          <w:szCs w:val="22"/>
          <w:lang w:eastAsia="ja-JP"/>
        </w:rPr>
        <w:t xml:space="preserve"> for specimen testing</w:t>
      </w:r>
      <w:r w:rsidR="00C44B9E">
        <w:rPr>
          <w:rFonts w:eastAsiaTheme="minorEastAsia"/>
          <w:sz w:val="22"/>
          <w:szCs w:val="22"/>
          <w:lang w:eastAsia="ja-JP"/>
        </w:rPr>
        <w:t>,</w:t>
      </w:r>
      <w:r w:rsidRPr="00A311DB">
        <w:rPr>
          <w:rFonts w:eastAsiaTheme="minorEastAsia"/>
          <w:sz w:val="22"/>
          <w:szCs w:val="22"/>
          <w:lang w:eastAsia="ja-JP"/>
        </w:rPr>
        <w:t xml:space="preserve"> and other inputs for this analysis.</w:t>
      </w:r>
    </w:p>
    <w:p w:rsidRPr="00A311DB" w:rsidR="00D520BD" w:rsidP="00D520BD" w:rsidRDefault="00D520BD" w14:paraId="4E6B2446" w14:textId="2C93112C">
      <w:pPr>
        <w:rPr>
          <w:rFonts w:eastAsiaTheme="minorEastAsia"/>
          <w:sz w:val="22"/>
          <w:szCs w:val="22"/>
          <w:lang w:eastAsia="ja-JP"/>
        </w:rPr>
      </w:pPr>
    </w:p>
    <w:p w:rsidRPr="00A311DB" w:rsidR="00D520BD" w:rsidP="00D520BD" w:rsidRDefault="00D520BD" w14:paraId="7F5B66FF" w14:textId="37EEFEE7">
      <w:pPr>
        <w:rPr>
          <w:rFonts w:eastAsiaTheme="minorEastAsia"/>
          <w:sz w:val="22"/>
          <w:szCs w:val="22"/>
          <w:lang w:eastAsia="ja-JP"/>
        </w:rPr>
      </w:pPr>
      <w:r w:rsidRPr="00A311DB">
        <w:rPr>
          <w:rFonts w:eastAsiaTheme="minorEastAsia"/>
          <w:sz w:val="22"/>
          <w:szCs w:val="22"/>
          <w:lang w:eastAsia="ja-JP"/>
        </w:rPr>
        <w:t xml:space="preserve">The NRC staff extrapolated to estimate </w:t>
      </w:r>
      <w:r w:rsidR="00716162">
        <w:rPr>
          <w:rFonts w:eastAsiaTheme="minorEastAsia"/>
          <w:sz w:val="22"/>
          <w:szCs w:val="22"/>
          <w:lang w:eastAsia="ja-JP"/>
        </w:rPr>
        <w:t xml:space="preserve">the cost for </w:t>
      </w:r>
      <w:r w:rsidRPr="00A311DB">
        <w:rPr>
          <w:rFonts w:eastAsiaTheme="minorEastAsia"/>
          <w:sz w:val="22"/>
          <w:szCs w:val="22"/>
          <w:lang w:eastAsia="ja-JP"/>
        </w:rPr>
        <w:t>some activities</w:t>
      </w:r>
      <w:r w:rsidR="00646A79">
        <w:rPr>
          <w:rFonts w:eastAsiaTheme="minorEastAsia"/>
          <w:sz w:val="22"/>
          <w:szCs w:val="22"/>
          <w:lang w:eastAsia="ja-JP"/>
        </w:rPr>
        <w:t>,</w:t>
      </w:r>
      <w:r w:rsidRPr="00A311DB">
        <w:rPr>
          <w:rFonts w:eastAsiaTheme="minorEastAsia"/>
          <w:sz w:val="22"/>
          <w:szCs w:val="22"/>
          <w:lang w:eastAsia="ja-JP"/>
        </w:rPr>
        <w:t xml:space="preserve"> rel</w:t>
      </w:r>
      <w:r>
        <w:rPr>
          <w:rFonts w:eastAsiaTheme="minorEastAsia"/>
          <w:sz w:val="22"/>
          <w:szCs w:val="22"/>
          <w:lang w:eastAsia="ja-JP"/>
        </w:rPr>
        <w:t>y</w:t>
      </w:r>
      <w:r w:rsidR="00716162">
        <w:rPr>
          <w:rFonts w:eastAsiaTheme="minorEastAsia"/>
          <w:sz w:val="22"/>
          <w:szCs w:val="22"/>
          <w:lang w:eastAsia="ja-JP"/>
        </w:rPr>
        <w:t>ing</w:t>
      </w:r>
      <w:r w:rsidRPr="00A311DB">
        <w:rPr>
          <w:rFonts w:eastAsiaTheme="minorEastAsia"/>
          <w:sz w:val="22"/>
          <w:szCs w:val="22"/>
          <w:lang w:eastAsia="ja-JP"/>
        </w:rPr>
        <w:t xml:space="preserve"> on past or current costs to estimate the future cost of similar activities.  For </w:t>
      </w:r>
      <w:r>
        <w:rPr>
          <w:rFonts w:eastAsiaTheme="minorEastAsia"/>
          <w:sz w:val="22"/>
          <w:szCs w:val="22"/>
          <w:lang w:eastAsia="ja-JP"/>
        </w:rPr>
        <w:t>example</w:t>
      </w:r>
      <w:r w:rsidR="00646A79">
        <w:rPr>
          <w:rFonts w:eastAsiaTheme="minorEastAsia"/>
          <w:sz w:val="22"/>
          <w:szCs w:val="22"/>
          <w:lang w:eastAsia="ja-JP"/>
        </w:rPr>
        <w:t>,</w:t>
      </w:r>
      <w:r w:rsidRPr="00A311DB">
        <w:rPr>
          <w:rFonts w:eastAsiaTheme="minorEastAsia"/>
          <w:sz w:val="22"/>
          <w:szCs w:val="22"/>
          <w:lang w:eastAsia="ja-JP"/>
        </w:rPr>
        <w:t xml:space="preserve"> to estimate the cost </w:t>
      </w:r>
      <w:r>
        <w:rPr>
          <w:rFonts w:eastAsiaTheme="minorEastAsia"/>
          <w:sz w:val="22"/>
          <w:szCs w:val="22"/>
          <w:lang w:eastAsia="ja-JP"/>
        </w:rPr>
        <w:t xml:space="preserve">to conduct testing </w:t>
      </w:r>
      <w:r w:rsidRPr="00F80D62">
        <w:rPr>
          <w:rFonts w:eastAsiaTheme="minorEastAsia"/>
          <w:sz w:val="22"/>
          <w:szCs w:val="22"/>
          <w:lang w:eastAsia="ja-JP"/>
        </w:rPr>
        <w:t xml:space="preserve">for </w:t>
      </w:r>
      <w:r w:rsidR="00494BD5">
        <w:rPr>
          <w:rFonts w:eastAsiaTheme="minorEastAsia"/>
          <w:sz w:val="22"/>
          <w:szCs w:val="22"/>
          <w:lang w:eastAsia="ja-JP"/>
        </w:rPr>
        <w:t xml:space="preserve">two </w:t>
      </w:r>
      <w:r w:rsidRPr="00F80D62">
        <w:rPr>
          <w:rFonts w:eastAsiaTheme="minorEastAsia"/>
          <w:sz w:val="22"/>
        </w:rPr>
        <w:t>Ecstasy</w:t>
      </w:r>
      <w:r w:rsidR="00494BD5">
        <w:rPr>
          <w:rFonts w:eastAsiaTheme="minorEastAsia"/>
          <w:sz w:val="22"/>
        </w:rPr>
        <w:t>-type</w:t>
      </w:r>
      <w:r w:rsidR="00AD7E07">
        <w:rPr>
          <w:rFonts w:eastAsiaTheme="minorEastAsia"/>
          <w:sz w:val="22"/>
        </w:rPr>
        <w:t xml:space="preserve"> drugs </w:t>
      </w:r>
      <w:r w:rsidR="00B03639">
        <w:rPr>
          <w:rFonts w:eastAsiaTheme="minorEastAsia"/>
          <w:sz w:val="22"/>
          <w:szCs w:val="22"/>
          <w:lang w:eastAsia="ja-JP"/>
        </w:rPr>
        <w:t xml:space="preserve">and </w:t>
      </w:r>
      <w:r w:rsidR="00B03639">
        <w:rPr>
          <w:rFonts w:cs="Arial"/>
          <w:sz w:val="22"/>
          <w:szCs w:val="22"/>
        </w:rPr>
        <w:t xml:space="preserve">four </w:t>
      </w:r>
      <w:r w:rsidRPr="00F80750" w:rsidR="00B03639">
        <w:rPr>
          <w:rFonts w:cs="Arial"/>
          <w:sz w:val="22"/>
          <w:szCs w:val="22"/>
        </w:rPr>
        <w:t xml:space="preserve">Schedule II </w:t>
      </w:r>
      <w:r w:rsidR="008973D9">
        <w:rPr>
          <w:rFonts w:cs="Arial"/>
          <w:sz w:val="22"/>
          <w:szCs w:val="22"/>
        </w:rPr>
        <w:t xml:space="preserve">opioid </w:t>
      </w:r>
      <w:r w:rsidRPr="00F80750" w:rsidR="00B03639">
        <w:rPr>
          <w:rFonts w:cs="Arial"/>
          <w:sz w:val="22"/>
          <w:szCs w:val="22"/>
        </w:rPr>
        <w:t>drugs (i.e.</w:t>
      </w:r>
      <w:r w:rsidR="00B03639">
        <w:rPr>
          <w:rFonts w:cs="Arial"/>
          <w:sz w:val="22"/>
          <w:szCs w:val="22"/>
        </w:rPr>
        <w:t>,</w:t>
      </w:r>
      <w:r w:rsidR="00716162">
        <w:rPr>
          <w:rFonts w:cs="Arial"/>
          <w:sz w:val="22"/>
          <w:szCs w:val="22"/>
        </w:rPr>
        <w:t> </w:t>
      </w:r>
      <w:r w:rsidRPr="00F80750" w:rsidR="000B4E0D">
        <w:rPr>
          <w:rFonts w:cs="Arial"/>
          <w:sz w:val="22"/>
          <w:szCs w:val="22"/>
        </w:rPr>
        <w:t>hydrocodone</w:t>
      </w:r>
      <w:r w:rsidR="000B4E0D">
        <w:rPr>
          <w:rFonts w:cs="Arial"/>
          <w:sz w:val="22"/>
          <w:szCs w:val="22"/>
        </w:rPr>
        <w:t>,</w:t>
      </w:r>
      <w:r w:rsidRPr="00F80750" w:rsidR="000B4E0D">
        <w:rPr>
          <w:rFonts w:cs="Arial"/>
          <w:sz w:val="22"/>
          <w:szCs w:val="22"/>
        </w:rPr>
        <w:t xml:space="preserve"> </w:t>
      </w:r>
      <w:r w:rsidRPr="004D7CD6" w:rsidR="000B4E0D">
        <w:rPr>
          <w:rFonts w:cs="Arial"/>
          <w:sz w:val="22"/>
          <w:szCs w:val="22"/>
        </w:rPr>
        <w:t>hydromorphone</w:t>
      </w:r>
      <w:r w:rsidR="000B4E0D">
        <w:rPr>
          <w:rFonts w:cs="Arial"/>
          <w:sz w:val="22"/>
          <w:szCs w:val="22"/>
        </w:rPr>
        <w:t>,</w:t>
      </w:r>
      <w:r w:rsidR="000B4E0D">
        <w:rPr>
          <w:rFonts w:eastAsiaTheme="minorEastAsia"/>
          <w:sz w:val="22"/>
          <w:szCs w:val="22"/>
          <w:lang w:eastAsia="ja-JP"/>
        </w:rPr>
        <w:t xml:space="preserve"> </w:t>
      </w:r>
      <w:r w:rsidRPr="00F80750" w:rsidR="00B03639">
        <w:rPr>
          <w:rFonts w:cs="Arial"/>
          <w:sz w:val="22"/>
          <w:szCs w:val="22"/>
        </w:rPr>
        <w:t>oxycodone</w:t>
      </w:r>
      <w:r w:rsidR="00B03639">
        <w:rPr>
          <w:rFonts w:cs="Arial"/>
          <w:sz w:val="22"/>
          <w:szCs w:val="22"/>
        </w:rPr>
        <w:t>,</w:t>
      </w:r>
      <w:r w:rsidRPr="00F80750" w:rsidR="00B03639">
        <w:rPr>
          <w:rFonts w:cs="Arial"/>
          <w:sz w:val="22"/>
          <w:szCs w:val="22"/>
        </w:rPr>
        <w:t xml:space="preserve"> </w:t>
      </w:r>
      <w:r w:rsidR="000B4E0D">
        <w:rPr>
          <w:rFonts w:cs="Arial"/>
          <w:sz w:val="22"/>
          <w:szCs w:val="22"/>
        </w:rPr>
        <w:t xml:space="preserve">and </w:t>
      </w:r>
      <w:r w:rsidRPr="00F80750" w:rsidR="00B03639">
        <w:rPr>
          <w:rFonts w:cs="Arial"/>
          <w:sz w:val="22"/>
          <w:szCs w:val="22"/>
        </w:rPr>
        <w:t>oxymorphone</w:t>
      </w:r>
      <w:r w:rsidR="00FF380E">
        <w:rPr>
          <w:rFonts w:eastAsiaTheme="minorEastAsia"/>
          <w:sz w:val="22"/>
          <w:szCs w:val="22"/>
          <w:lang w:eastAsia="ja-JP"/>
        </w:rPr>
        <w:t>)</w:t>
      </w:r>
      <w:r>
        <w:rPr>
          <w:rFonts w:eastAsiaTheme="minorEastAsia"/>
          <w:sz w:val="22"/>
          <w:szCs w:val="22"/>
          <w:lang w:eastAsia="ja-JP"/>
        </w:rPr>
        <w:t xml:space="preserve"> at an HHS</w:t>
      </w:r>
      <w:r>
        <w:rPr>
          <w:rFonts w:eastAsiaTheme="minorEastAsia"/>
          <w:sz w:val="22"/>
          <w:szCs w:val="22"/>
          <w:lang w:eastAsia="ja-JP"/>
        </w:rPr>
        <w:noBreakHyphen/>
        <w:t>certified laboratory</w:t>
      </w:r>
      <w:r w:rsidR="00646A79">
        <w:rPr>
          <w:rFonts w:eastAsiaTheme="minorEastAsia"/>
          <w:sz w:val="22"/>
          <w:szCs w:val="22"/>
          <w:lang w:eastAsia="ja-JP"/>
        </w:rPr>
        <w:t>,</w:t>
      </w:r>
      <w:r>
        <w:rPr>
          <w:rFonts w:eastAsiaTheme="minorEastAsia"/>
          <w:sz w:val="22"/>
          <w:szCs w:val="22"/>
          <w:lang w:eastAsia="ja-JP"/>
        </w:rPr>
        <w:t xml:space="preserve"> the NRC staff used the testing cost</w:t>
      </w:r>
      <w:r w:rsidR="00FC32F8">
        <w:rPr>
          <w:rFonts w:eastAsiaTheme="minorEastAsia"/>
          <w:sz w:val="22"/>
          <w:szCs w:val="22"/>
          <w:lang w:eastAsia="ja-JP"/>
        </w:rPr>
        <w:t>s</w:t>
      </w:r>
      <w:r>
        <w:rPr>
          <w:rFonts w:eastAsiaTheme="minorEastAsia"/>
          <w:sz w:val="22"/>
          <w:szCs w:val="22"/>
          <w:lang w:eastAsia="ja-JP"/>
        </w:rPr>
        <w:t xml:space="preserve"> published by </w:t>
      </w:r>
      <w:r w:rsidR="00D03E69">
        <w:rPr>
          <w:rFonts w:eastAsiaTheme="minorEastAsia"/>
          <w:sz w:val="22"/>
          <w:szCs w:val="22"/>
          <w:lang w:eastAsia="ja-JP"/>
        </w:rPr>
        <w:t xml:space="preserve">the </w:t>
      </w:r>
      <w:r>
        <w:rPr>
          <w:rFonts w:eastAsiaTheme="minorEastAsia"/>
          <w:sz w:val="22"/>
          <w:szCs w:val="22"/>
          <w:lang w:eastAsia="ja-JP"/>
        </w:rPr>
        <w:t xml:space="preserve">DOT in its final rule aligning </w:t>
      </w:r>
      <w:r w:rsidRPr="004C7A8E">
        <w:rPr>
          <w:rFonts w:eastAsiaTheme="minorEastAsia"/>
          <w:sz w:val="22"/>
          <w:szCs w:val="22"/>
          <w:lang w:eastAsia="ja-JP"/>
        </w:rPr>
        <w:t>49 CFR Part 40 with the 2008 HHS Guidelines (75 FR 49850</w:t>
      </w:r>
      <w:r w:rsidR="000728E1">
        <w:rPr>
          <w:rFonts w:eastAsiaTheme="minorEastAsia"/>
          <w:sz w:val="22"/>
          <w:szCs w:val="22"/>
          <w:lang w:eastAsia="ja-JP"/>
        </w:rPr>
        <w:t xml:space="preserve">; </w:t>
      </w:r>
      <w:r w:rsidRPr="00236980" w:rsidR="000728E1">
        <w:rPr>
          <w:rFonts w:cs="Arial"/>
          <w:sz w:val="22"/>
          <w:szCs w:val="22"/>
        </w:rPr>
        <w:t>August 16</w:t>
      </w:r>
      <w:r w:rsidR="000728E1">
        <w:rPr>
          <w:rFonts w:cs="Arial"/>
          <w:sz w:val="22"/>
          <w:szCs w:val="22"/>
        </w:rPr>
        <w:t>,</w:t>
      </w:r>
      <w:r w:rsidRPr="00236980" w:rsidR="000728E1">
        <w:rPr>
          <w:rFonts w:cs="Arial"/>
          <w:sz w:val="22"/>
          <w:szCs w:val="22"/>
        </w:rPr>
        <w:t> 2010</w:t>
      </w:r>
      <w:r w:rsidRPr="004C7A8E">
        <w:rPr>
          <w:rFonts w:eastAsiaTheme="minorEastAsia"/>
          <w:sz w:val="22"/>
          <w:szCs w:val="22"/>
          <w:lang w:eastAsia="ja-JP"/>
        </w:rPr>
        <w:t>)</w:t>
      </w:r>
      <w:r>
        <w:rPr>
          <w:rFonts w:eastAsiaTheme="minorEastAsia"/>
          <w:sz w:val="22"/>
          <w:szCs w:val="22"/>
          <w:lang w:eastAsia="ja-JP"/>
        </w:rPr>
        <w:t xml:space="preserve"> and increased that cost based on operational data for current drug testing costs and the projected number of future positive test results</w:t>
      </w:r>
      <w:r w:rsidRPr="00A311DB">
        <w:rPr>
          <w:rFonts w:eastAsiaTheme="minorEastAsia"/>
          <w:sz w:val="22"/>
          <w:szCs w:val="22"/>
          <w:lang w:eastAsia="ja-JP"/>
        </w:rPr>
        <w:t xml:space="preserve">.  </w:t>
      </w:r>
      <w:r>
        <w:rPr>
          <w:rFonts w:eastAsiaTheme="minorEastAsia"/>
          <w:sz w:val="22"/>
          <w:szCs w:val="22"/>
          <w:lang w:eastAsia="ja-JP"/>
        </w:rPr>
        <w:t>However</w:t>
      </w:r>
      <w:r w:rsidR="00646A79">
        <w:rPr>
          <w:rFonts w:eastAsiaTheme="minorEastAsia"/>
          <w:sz w:val="22"/>
          <w:szCs w:val="22"/>
          <w:lang w:eastAsia="ja-JP"/>
        </w:rPr>
        <w:t>,</w:t>
      </w:r>
      <w:r>
        <w:rPr>
          <w:rFonts w:eastAsiaTheme="minorEastAsia"/>
          <w:sz w:val="22"/>
          <w:szCs w:val="22"/>
          <w:lang w:eastAsia="ja-JP"/>
        </w:rPr>
        <w:t xml:space="preserve"> f</w:t>
      </w:r>
      <w:r w:rsidRPr="00A311DB">
        <w:rPr>
          <w:rFonts w:eastAsiaTheme="minorEastAsia"/>
          <w:sz w:val="22"/>
          <w:szCs w:val="22"/>
          <w:lang w:eastAsia="ja-JP"/>
        </w:rPr>
        <w:t xml:space="preserve">or steps </w:t>
      </w:r>
      <w:r w:rsidR="00C2685C">
        <w:rPr>
          <w:rFonts w:eastAsiaTheme="minorEastAsia"/>
          <w:sz w:val="22"/>
          <w:szCs w:val="22"/>
          <w:lang w:eastAsia="ja-JP"/>
        </w:rPr>
        <w:t>for</w:t>
      </w:r>
      <w:r w:rsidRPr="00A311DB">
        <w:rPr>
          <w:rFonts w:eastAsiaTheme="minorEastAsia"/>
          <w:sz w:val="22"/>
          <w:szCs w:val="22"/>
          <w:lang w:eastAsia="ja-JP"/>
        </w:rPr>
        <w:t xml:space="preserve"> </w:t>
      </w:r>
      <w:r w:rsidR="00D861C7">
        <w:rPr>
          <w:rFonts w:eastAsiaTheme="minorEastAsia"/>
          <w:sz w:val="22"/>
          <w:szCs w:val="22"/>
          <w:lang w:eastAsia="ja-JP"/>
        </w:rPr>
        <w:t>which the NRC staff has</w:t>
      </w:r>
      <w:r w:rsidRPr="00A311DB">
        <w:rPr>
          <w:rFonts w:eastAsiaTheme="minorEastAsia"/>
          <w:sz w:val="22"/>
          <w:szCs w:val="22"/>
          <w:lang w:eastAsia="ja-JP"/>
        </w:rPr>
        <w:t xml:space="preserve"> no data</w:t>
      </w:r>
      <w:r w:rsidR="00646A79">
        <w:rPr>
          <w:rFonts w:eastAsiaTheme="minorEastAsia"/>
          <w:sz w:val="22"/>
          <w:szCs w:val="22"/>
          <w:lang w:eastAsia="ja-JP"/>
        </w:rPr>
        <w:t>,</w:t>
      </w:r>
      <w:r w:rsidRPr="00A311DB">
        <w:rPr>
          <w:rFonts w:eastAsiaTheme="minorEastAsia"/>
          <w:sz w:val="22"/>
          <w:szCs w:val="22"/>
          <w:lang w:eastAsia="ja-JP"/>
        </w:rPr>
        <w:t xml:space="preserve"> the NRC staff estimated the level of effort based on similar steps in the process for which data are available.</w:t>
      </w:r>
    </w:p>
    <w:p w:rsidRPr="00A311DB" w:rsidR="00D520BD" w:rsidP="00D520BD" w:rsidRDefault="00D520BD" w14:paraId="708B2F1B" w14:textId="2A01C8C4">
      <w:pPr>
        <w:rPr>
          <w:rFonts w:eastAsiaTheme="minorEastAsia"/>
          <w:sz w:val="22"/>
          <w:szCs w:val="22"/>
          <w:lang w:eastAsia="ja-JP"/>
        </w:rPr>
      </w:pPr>
    </w:p>
    <w:p w:rsidR="00D520BD" w:rsidP="00D520BD" w:rsidRDefault="00D520BD" w14:paraId="269B235C" w14:textId="5EA26657">
      <w:pPr>
        <w:rPr>
          <w:rFonts w:eastAsiaTheme="minorEastAsia"/>
          <w:sz w:val="22"/>
          <w:szCs w:val="22"/>
          <w:lang w:eastAsia="ja-JP"/>
        </w:rPr>
      </w:pPr>
      <w:r w:rsidRPr="00A311DB">
        <w:rPr>
          <w:rFonts w:eastAsiaTheme="minorEastAsia"/>
          <w:sz w:val="22"/>
          <w:szCs w:val="22"/>
          <w:lang w:eastAsia="ja-JP"/>
        </w:rPr>
        <w:lastRenderedPageBreak/>
        <w:t>To evaluate the effect of uncertainty in the model</w:t>
      </w:r>
      <w:r w:rsidR="00646A79">
        <w:rPr>
          <w:rFonts w:eastAsiaTheme="minorEastAsia"/>
          <w:sz w:val="22"/>
          <w:szCs w:val="22"/>
          <w:lang w:eastAsia="ja-JP"/>
        </w:rPr>
        <w:t>,</w:t>
      </w:r>
      <w:r w:rsidRPr="00A311DB">
        <w:rPr>
          <w:rFonts w:eastAsiaTheme="minorEastAsia"/>
          <w:sz w:val="22"/>
          <w:szCs w:val="22"/>
          <w:lang w:eastAsia="ja-JP"/>
        </w:rPr>
        <w:t xml:space="preserve"> the NRC staff employed </w:t>
      </w:r>
      <w:r>
        <w:rPr>
          <w:rFonts w:eastAsiaTheme="minorEastAsia"/>
          <w:sz w:val="22"/>
          <w:szCs w:val="22"/>
          <w:lang w:eastAsia="ja-JP"/>
        </w:rPr>
        <w:t xml:space="preserve">a </w:t>
      </w:r>
      <w:r w:rsidRPr="00A311DB">
        <w:rPr>
          <w:rFonts w:eastAsiaTheme="minorEastAsia"/>
          <w:sz w:val="22"/>
          <w:szCs w:val="22"/>
          <w:lang w:eastAsia="ja-JP"/>
        </w:rPr>
        <w:t>Monte Carlo simulation</w:t>
      </w:r>
      <w:r w:rsidR="00646A79">
        <w:rPr>
          <w:rFonts w:eastAsiaTheme="minorEastAsia"/>
          <w:sz w:val="22"/>
          <w:szCs w:val="22"/>
          <w:lang w:eastAsia="ja-JP"/>
        </w:rPr>
        <w:t>,</w:t>
      </w:r>
      <w:r w:rsidRPr="00A311DB">
        <w:rPr>
          <w:rFonts w:eastAsiaTheme="minorEastAsia"/>
          <w:sz w:val="22"/>
          <w:szCs w:val="22"/>
          <w:lang w:eastAsia="ja-JP"/>
        </w:rPr>
        <w:t xml:space="preserve"> which is an approach to uncertainty analysis </w:t>
      </w:r>
      <w:r>
        <w:rPr>
          <w:rFonts w:eastAsiaTheme="minorEastAsia"/>
          <w:sz w:val="22"/>
          <w:szCs w:val="22"/>
          <w:lang w:eastAsia="ja-JP"/>
        </w:rPr>
        <w:t>in which</w:t>
      </w:r>
      <w:r w:rsidRPr="00A311DB">
        <w:rPr>
          <w:rFonts w:eastAsiaTheme="minorEastAsia"/>
          <w:sz w:val="22"/>
          <w:szCs w:val="22"/>
          <w:lang w:eastAsia="ja-JP"/>
        </w:rPr>
        <w:t xml:space="preserve"> input variables are expressed as distributions.  The simulation was run </w:t>
      </w:r>
      <w:r w:rsidR="00E738CB">
        <w:rPr>
          <w:rFonts w:eastAsiaTheme="minorEastAsia"/>
          <w:sz w:val="22"/>
          <w:szCs w:val="22"/>
          <w:lang w:eastAsia="ja-JP"/>
        </w:rPr>
        <w:t>5</w:t>
      </w:r>
      <w:r w:rsidR="00646A79">
        <w:rPr>
          <w:rFonts w:eastAsiaTheme="minorEastAsia"/>
          <w:sz w:val="22"/>
          <w:szCs w:val="22"/>
          <w:lang w:eastAsia="ja-JP"/>
        </w:rPr>
        <w:t>,</w:t>
      </w:r>
      <w:r w:rsidRPr="00A311DB">
        <w:rPr>
          <w:rFonts w:eastAsiaTheme="minorEastAsia"/>
          <w:sz w:val="22"/>
          <w:szCs w:val="22"/>
          <w:lang w:eastAsia="ja-JP"/>
        </w:rPr>
        <w:t>000 times</w:t>
      </w:r>
      <w:r w:rsidR="00646A79">
        <w:rPr>
          <w:rFonts w:eastAsiaTheme="minorEastAsia"/>
          <w:sz w:val="22"/>
          <w:szCs w:val="22"/>
          <w:lang w:eastAsia="ja-JP"/>
        </w:rPr>
        <w:t>,</w:t>
      </w:r>
      <w:r w:rsidRPr="00A311DB">
        <w:rPr>
          <w:rFonts w:eastAsiaTheme="minorEastAsia"/>
          <w:sz w:val="22"/>
          <w:szCs w:val="22"/>
          <w:lang w:eastAsia="ja-JP"/>
        </w:rPr>
        <w:t xml:space="preserve"> and values were chosen at random from the distributions of the input variables provided in Section</w:t>
      </w:r>
      <w:r>
        <w:rPr>
          <w:rFonts w:eastAsiaTheme="minorEastAsia"/>
          <w:sz w:val="22"/>
          <w:szCs w:val="22"/>
          <w:lang w:eastAsia="ja-JP"/>
        </w:rPr>
        <w:t> 5.2 of this document</w:t>
      </w:r>
      <w:r w:rsidRPr="00A311DB">
        <w:rPr>
          <w:rFonts w:eastAsiaTheme="minorEastAsia"/>
          <w:sz w:val="22"/>
          <w:szCs w:val="22"/>
          <w:lang w:eastAsia="ja-JP"/>
        </w:rPr>
        <w:t xml:space="preserve">.  The result is a distribution of values for the output variable of interest.  </w:t>
      </w:r>
      <w:r w:rsidR="00FC32F8">
        <w:rPr>
          <w:rFonts w:eastAsiaTheme="minorEastAsia"/>
          <w:sz w:val="22"/>
          <w:szCs w:val="22"/>
          <w:lang w:eastAsia="ja-JP"/>
        </w:rPr>
        <w:t>The</w:t>
      </w:r>
      <w:r>
        <w:rPr>
          <w:rFonts w:eastAsiaTheme="minorEastAsia"/>
          <w:sz w:val="22"/>
          <w:szCs w:val="22"/>
          <w:lang w:eastAsia="ja-JP"/>
        </w:rPr>
        <w:t xml:space="preserve"> </w:t>
      </w:r>
      <w:r w:rsidRPr="00A311DB">
        <w:rPr>
          <w:rFonts w:eastAsiaTheme="minorEastAsia"/>
          <w:sz w:val="22"/>
          <w:szCs w:val="22"/>
          <w:lang w:eastAsia="ja-JP"/>
        </w:rPr>
        <w:t>Monte Carlo simulation</w:t>
      </w:r>
      <w:r>
        <w:rPr>
          <w:rFonts w:eastAsiaTheme="minorEastAsia"/>
          <w:sz w:val="22"/>
          <w:szCs w:val="22"/>
          <w:lang w:eastAsia="ja-JP"/>
        </w:rPr>
        <w:t xml:space="preserve"> makes</w:t>
      </w:r>
      <w:r w:rsidRPr="00A311DB">
        <w:rPr>
          <w:rFonts w:eastAsiaTheme="minorEastAsia"/>
          <w:sz w:val="22"/>
          <w:szCs w:val="22"/>
          <w:lang w:eastAsia="ja-JP"/>
        </w:rPr>
        <w:t xml:space="preserve"> it possible to determine the input variables that have the greatest effect on the value of the output variable.  Section</w:t>
      </w:r>
      <w:r>
        <w:rPr>
          <w:rFonts w:eastAsiaTheme="minorEastAsia"/>
          <w:sz w:val="22"/>
          <w:szCs w:val="22"/>
          <w:lang w:eastAsia="ja-JP"/>
        </w:rPr>
        <w:t> 5.2 gives</w:t>
      </w:r>
      <w:r w:rsidRPr="00A311DB">
        <w:rPr>
          <w:rFonts w:eastAsiaTheme="minorEastAsia"/>
          <w:sz w:val="22"/>
          <w:szCs w:val="22"/>
          <w:lang w:eastAsia="ja-JP"/>
        </w:rPr>
        <w:t xml:space="preserve"> a detailed description of the Monte Carlo simulation methods and the results.</w:t>
      </w:r>
    </w:p>
    <w:p w:rsidRPr="00A311DB" w:rsidR="00D520BD" w:rsidP="00D520BD" w:rsidRDefault="00D520BD" w14:paraId="28A84056" w14:textId="77777777">
      <w:pPr>
        <w:rPr>
          <w:rFonts w:eastAsiaTheme="minorEastAsia"/>
          <w:sz w:val="22"/>
          <w:szCs w:val="22"/>
          <w:lang w:eastAsia="ja-JP"/>
        </w:rPr>
      </w:pPr>
    </w:p>
    <w:p w:rsidRPr="005A5966" w:rsidR="00D520BD" w:rsidP="00D520BD" w:rsidRDefault="00D520BD" w14:paraId="59B8FAC2" w14:textId="77777777">
      <w:pPr>
        <w:pStyle w:val="Heading3"/>
      </w:pPr>
      <w:bookmarkStart w:name="_Toc332032761" w:id="81"/>
      <w:bookmarkStart w:name="_Toc460412602" w:id="82"/>
      <w:bookmarkStart w:name="_Toc72840020" w:id="83"/>
      <w:bookmarkStart w:name="_Toc105681493" w:id="84"/>
      <w:r>
        <w:t>4</w:t>
      </w:r>
      <w:r w:rsidRPr="00C95345">
        <w:t>.2.1</w:t>
      </w:r>
      <w:r w:rsidRPr="00C95345">
        <w:tab/>
        <w:t>Baseline for Analysis</w:t>
      </w:r>
      <w:bookmarkEnd w:id="81"/>
      <w:bookmarkEnd w:id="82"/>
      <w:bookmarkEnd w:id="83"/>
      <w:bookmarkEnd w:id="84"/>
    </w:p>
    <w:p w:rsidRPr="005A5966" w:rsidR="00D520BD" w:rsidP="00D520BD" w:rsidRDefault="00D520BD" w14:paraId="2878C450" w14:textId="77777777">
      <w:pPr>
        <w:keepNext/>
        <w:numPr>
          <w:ilvl w:val="12"/>
          <w:numId w:val="0"/>
        </w:numPr>
        <w:tabs>
          <w:tab w:val="left" w:pos="721"/>
        </w:tabs>
        <w:rPr>
          <w:sz w:val="22"/>
          <w:szCs w:val="22"/>
        </w:rPr>
      </w:pPr>
    </w:p>
    <w:p w:rsidR="00D520BD" w:rsidP="00D520BD" w:rsidRDefault="00D520BD" w14:paraId="3C0FF0C1" w14:textId="6645CD7A">
      <w:pPr>
        <w:numPr>
          <w:ilvl w:val="12"/>
          <w:numId w:val="0"/>
        </w:numPr>
        <w:tabs>
          <w:tab w:val="left" w:pos="721"/>
        </w:tabs>
        <w:rPr>
          <w:sz w:val="22"/>
          <w:szCs w:val="22"/>
        </w:rPr>
      </w:pPr>
      <w:r w:rsidRPr="005A5966">
        <w:rPr>
          <w:sz w:val="22"/>
          <w:szCs w:val="22"/>
        </w:rPr>
        <w:t xml:space="preserve">This regulatory analysis measures the incremental impacts of the </w:t>
      </w:r>
      <w:r w:rsidR="00370FBE">
        <w:rPr>
          <w:sz w:val="22"/>
          <w:szCs w:val="22"/>
        </w:rPr>
        <w:t>rulemaking</w:t>
      </w:r>
      <w:r w:rsidRPr="005A5966">
        <w:rPr>
          <w:sz w:val="22"/>
          <w:szCs w:val="22"/>
        </w:rPr>
        <w:t xml:space="preserve"> </w:t>
      </w:r>
      <w:r>
        <w:rPr>
          <w:sz w:val="22"/>
          <w:szCs w:val="22"/>
        </w:rPr>
        <w:t>alternative</w:t>
      </w:r>
      <w:r w:rsidRPr="005A5966">
        <w:rPr>
          <w:sz w:val="22"/>
          <w:szCs w:val="22"/>
        </w:rPr>
        <w:t xml:space="preserve"> relative to a baseline that reflects </w:t>
      </w:r>
      <w:r>
        <w:rPr>
          <w:sz w:val="22"/>
          <w:szCs w:val="22"/>
        </w:rPr>
        <w:t xml:space="preserve">the </w:t>
      </w:r>
      <w:r w:rsidRPr="005A5966">
        <w:rPr>
          <w:sz w:val="22"/>
          <w:szCs w:val="22"/>
        </w:rPr>
        <w:t>anticipated behavior i</w:t>
      </w:r>
      <w:r>
        <w:rPr>
          <w:sz w:val="22"/>
          <w:szCs w:val="22"/>
        </w:rPr>
        <w:t xml:space="preserve">f the </w:t>
      </w:r>
      <w:r w:rsidRPr="005A5966">
        <w:rPr>
          <w:sz w:val="22"/>
          <w:szCs w:val="22"/>
        </w:rPr>
        <w:t xml:space="preserve">NRC undertakes no </w:t>
      </w:r>
      <w:r>
        <w:rPr>
          <w:sz w:val="22"/>
          <w:szCs w:val="22"/>
        </w:rPr>
        <w:t xml:space="preserve">other </w:t>
      </w:r>
      <w:r w:rsidRPr="005A5966">
        <w:rPr>
          <w:sz w:val="22"/>
          <w:szCs w:val="22"/>
        </w:rPr>
        <w:t>regulatory action</w:t>
      </w:r>
      <w:r>
        <w:rPr>
          <w:sz w:val="22"/>
          <w:szCs w:val="22"/>
        </w:rPr>
        <w:t xml:space="preserve"> (Alternative 1</w:t>
      </w:r>
      <w:r w:rsidR="00646A79">
        <w:rPr>
          <w:sz w:val="22"/>
          <w:szCs w:val="22"/>
        </w:rPr>
        <w:t>,</w:t>
      </w:r>
      <w:r>
        <w:rPr>
          <w:sz w:val="22"/>
          <w:szCs w:val="22"/>
        </w:rPr>
        <w:t xml:space="preserve"> </w:t>
      </w:r>
      <w:r w:rsidR="00FC32F8">
        <w:rPr>
          <w:sz w:val="22"/>
          <w:szCs w:val="22"/>
        </w:rPr>
        <w:t xml:space="preserve">Take </w:t>
      </w:r>
      <w:r>
        <w:rPr>
          <w:sz w:val="22"/>
          <w:szCs w:val="22"/>
        </w:rPr>
        <w:t>No Action</w:t>
      </w:r>
      <w:r w:rsidR="00A33207">
        <w:rPr>
          <w:sz w:val="22"/>
          <w:szCs w:val="22"/>
        </w:rPr>
        <w:t xml:space="preserve"> alternative</w:t>
      </w:r>
      <w:r>
        <w:rPr>
          <w:sz w:val="22"/>
          <w:szCs w:val="22"/>
        </w:rPr>
        <w:t>)</w:t>
      </w:r>
      <w:r w:rsidRPr="005A5966">
        <w:rPr>
          <w:sz w:val="22"/>
          <w:szCs w:val="22"/>
        </w:rPr>
        <w:t xml:space="preserve">.  </w:t>
      </w:r>
      <w:r>
        <w:rPr>
          <w:sz w:val="22"/>
          <w:szCs w:val="22"/>
        </w:rPr>
        <w:t>As part of t</w:t>
      </w:r>
      <w:r w:rsidRPr="005A5966">
        <w:rPr>
          <w:sz w:val="22"/>
          <w:szCs w:val="22"/>
        </w:rPr>
        <w:t xml:space="preserve">he </w:t>
      </w:r>
      <w:r>
        <w:rPr>
          <w:sz w:val="22"/>
          <w:szCs w:val="22"/>
        </w:rPr>
        <w:t xml:space="preserve">regulatory </w:t>
      </w:r>
      <w:r w:rsidRPr="005A5966">
        <w:rPr>
          <w:sz w:val="22"/>
          <w:szCs w:val="22"/>
        </w:rPr>
        <w:t>baseline used in this analysis</w:t>
      </w:r>
      <w:r w:rsidR="00646A79">
        <w:rPr>
          <w:sz w:val="22"/>
          <w:szCs w:val="22"/>
        </w:rPr>
        <w:t>,</w:t>
      </w:r>
      <w:r>
        <w:rPr>
          <w:sz w:val="22"/>
          <w:szCs w:val="22"/>
        </w:rPr>
        <w:t xml:space="preserve"> the NRC staff</w:t>
      </w:r>
      <w:r w:rsidRPr="005A5966">
        <w:rPr>
          <w:sz w:val="22"/>
          <w:szCs w:val="22"/>
        </w:rPr>
        <w:t xml:space="preserve"> assumes licensee compliance with existing NRC regulations.  </w:t>
      </w:r>
      <w:r>
        <w:rPr>
          <w:sz w:val="22"/>
          <w:szCs w:val="22"/>
        </w:rPr>
        <w:t>Section</w:t>
      </w:r>
      <w:r w:rsidR="00DD43EA">
        <w:rPr>
          <w:sz w:val="22"/>
          <w:szCs w:val="22"/>
        </w:rPr>
        <w:t> </w:t>
      </w:r>
      <w:r>
        <w:rPr>
          <w:sz w:val="22"/>
          <w:szCs w:val="22"/>
        </w:rPr>
        <w:t>5</w:t>
      </w:r>
      <w:r w:rsidRPr="005A5966">
        <w:rPr>
          <w:sz w:val="22"/>
          <w:szCs w:val="22"/>
        </w:rPr>
        <w:t xml:space="preserve">.1 presents the estimated incremental costs and </w:t>
      </w:r>
      <w:r>
        <w:rPr>
          <w:sz w:val="22"/>
          <w:szCs w:val="22"/>
        </w:rPr>
        <w:t xml:space="preserve">benefits </w:t>
      </w:r>
      <w:r w:rsidRPr="005A5966">
        <w:rPr>
          <w:sz w:val="22"/>
          <w:szCs w:val="22"/>
        </w:rPr>
        <w:t>of the rule relative to this baseline.</w:t>
      </w:r>
    </w:p>
    <w:p w:rsidRPr="005A5966" w:rsidR="00D520BD" w:rsidP="00D520BD" w:rsidRDefault="00D520BD" w14:paraId="4A93DEB9" w14:textId="073E9731">
      <w:pPr>
        <w:numPr>
          <w:ilvl w:val="12"/>
          <w:numId w:val="0"/>
        </w:numPr>
        <w:tabs>
          <w:tab w:val="left" w:pos="721"/>
        </w:tabs>
        <w:rPr>
          <w:sz w:val="22"/>
          <w:szCs w:val="22"/>
        </w:rPr>
      </w:pPr>
    </w:p>
    <w:p w:rsidR="00D520BD" w:rsidP="00D520BD" w:rsidRDefault="00D520BD" w14:paraId="25D44B68" w14:textId="61E4E865">
      <w:pPr>
        <w:pStyle w:val="Heading3"/>
      </w:pPr>
      <w:bookmarkStart w:name="_Toc332032762" w:id="85"/>
      <w:bookmarkStart w:name="_Toc460412603" w:id="86"/>
      <w:bookmarkStart w:name="_Toc72840021" w:id="87"/>
      <w:bookmarkStart w:name="_Toc105681494" w:id="88"/>
      <w:r>
        <w:t>4</w:t>
      </w:r>
      <w:r w:rsidRPr="005A5966">
        <w:t>.2.2</w:t>
      </w:r>
      <w:r w:rsidRPr="005A5966">
        <w:tab/>
        <w:t xml:space="preserve">Affected Entities (Sites and </w:t>
      </w:r>
      <w:r>
        <w:t>Fitness</w:t>
      </w:r>
      <w:r w:rsidR="00A60A46">
        <w:t xml:space="preserve"> </w:t>
      </w:r>
      <w:r>
        <w:t>for</w:t>
      </w:r>
      <w:r w:rsidR="00A60A46">
        <w:t xml:space="preserve"> </w:t>
      </w:r>
      <w:r>
        <w:t xml:space="preserve">Duty </w:t>
      </w:r>
      <w:r w:rsidRPr="005A5966">
        <w:t>Programs)</w:t>
      </w:r>
      <w:bookmarkEnd w:id="85"/>
      <w:bookmarkEnd w:id="86"/>
      <w:bookmarkEnd w:id="87"/>
      <w:bookmarkEnd w:id="88"/>
    </w:p>
    <w:p w:rsidRPr="00646A79" w:rsidR="00D520BD" w:rsidP="00646A79" w:rsidRDefault="00D520BD" w14:paraId="5C5D9358" w14:textId="77777777">
      <w:pPr>
        <w:rPr>
          <w:sz w:val="22"/>
          <w:szCs w:val="22"/>
        </w:rPr>
      </w:pPr>
    </w:p>
    <w:p w:rsidRPr="002D7AD0" w:rsidR="00D520BD" w:rsidP="00D520BD" w:rsidRDefault="00D520BD" w14:paraId="0CEA8A83" w14:textId="461CEE09">
      <w:pPr>
        <w:spacing w:after="220"/>
        <w:rPr>
          <w:sz w:val="22"/>
          <w:szCs w:val="22"/>
        </w:rPr>
      </w:pPr>
      <w:r>
        <w:rPr>
          <w:sz w:val="22"/>
          <w:szCs w:val="22"/>
        </w:rPr>
        <w:t>For use in this analysis</w:t>
      </w:r>
      <w:r w:rsidR="00646A79">
        <w:rPr>
          <w:sz w:val="22"/>
          <w:szCs w:val="22"/>
        </w:rPr>
        <w:t>,</w:t>
      </w:r>
      <w:r>
        <w:rPr>
          <w:sz w:val="22"/>
          <w:szCs w:val="22"/>
        </w:rPr>
        <w:t xml:space="preserve"> the NRC staff created the following groupings based on how the alternative affects NRC licensees:</w:t>
      </w:r>
    </w:p>
    <w:p w:rsidRPr="00100F20" w:rsidR="00D520BD" w:rsidP="005C6BA3" w:rsidRDefault="00F23BEE" w14:paraId="1CD07A84" w14:textId="35DBF364">
      <w:pPr>
        <w:pStyle w:val="ListParagraph"/>
        <w:numPr>
          <w:ilvl w:val="0"/>
          <w:numId w:val="9"/>
        </w:numPr>
        <w:spacing w:before="240"/>
        <w:ind w:hanging="720"/>
        <w:rPr>
          <w:sz w:val="22"/>
          <w:szCs w:val="22"/>
        </w:rPr>
      </w:pPr>
      <w:r>
        <w:rPr>
          <w:i/>
          <w:sz w:val="22"/>
          <w:szCs w:val="22"/>
        </w:rPr>
        <w:t xml:space="preserve">FFD Program </w:t>
      </w:r>
      <w:r w:rsidRPr="00C83279" w:rsidR="00D520BD">
        <w:rPr>
          <w:i/>
          <w:sz w:val="22"/>
          <w:szCs w:val="22"/>
        </w:rPr>
        <w:t>Sites</w:t>
      </w:r>
      <w:r w:rsidR="00F35872">
        <w:rPr>
          <w:iCs/>
          <w:sz w:val="22"/>
          <w:szCs w:val="22"/>
        </w:rPr>
        <w:t>:</w:t>
      </w:r>
      <w:r w:rsidRPr="005A5966" w:rsidR="00D520BD">
        <w:rPr>
          <w:rStyle w:val="FootnoteReference"/>
          <w:sz w:val="22"/>
          <w:szCs w:val="22"/>
        </w:rPr>
        <w:footnoteReference w:id="13"/>
      </w:r>
      <w:r w:rsidR="00D520BD">
        <w:rPr>
          <w:sz w:val="22"/>
          <w:szCs w:val="22"/>
        </w:rPr>
        <w:t xml:space="preserve">  </w:t>
      </w:r>
      <w:r w:rsidRPr="00100F20" w:rsidR="00D520BD">
        <w:rPr>
          <w:sz w:val="22"/>
          <w:szCs w:val="22"/>
        </w:rPr>
        <w:t>The analysis model</w:t>
      </w:r>
      <w:r w:rsidR="00D520BD">
        <w:rPr>
          <w:sz w:val="22"/>
          <w:szCs w:val="22"/>
        </w:rPr>
        <w:t>ed</w:t>
      </w:r>
      <w:r w:rsidRPr="00100F20" w:rsidR="00D520BD">
        <w:rPr>
          <w:sz w:val="22"/>
          <w:szCs w:val="22"/>
        </w:rPr>
        <w:t xml:space="preserve"> </w:t>
      </w:r>
      <w:r w:rsidR="00D715FE">
        <w:rPr>
          <w:sz w:val="22"/>
          <w:szCs w:val="22"/>
        </w:rPr>
        <w:t>59</w:t>
      </w:r>
      <w:r w:rsidR="00D520BD">
        <w:rPr>
          <w:sz w:val="22"/>
          <w:szCs w:val="22"/>
        </w:rPr>
        <w:t> </w:t>
      </w:r>
      <w:r w:rsidRPr="0027191D" w:rsidR="00D520BD">
        <w:rPr>
          <w:sz w:val="22"/>
          <w:szCs w:val="22"/>
        </w:rPr>
        <w:t>sites</w:t>
      </w:r>
      <w:r w:rsidRPr="00100F20" w:rsidR="00D520BD">
        <w:rPr>
          <w:sz w:val="22"/>
          <w:szCs w:val="22"/>
        </w:rPr>
        <w:t xml:space="preserve"> covered by the </w:t>
      </w:r>
      <w:r w:rsidR="00D520BD">
        <w:rPr>
          <w:sz w:val="22"/>
          <w:szCs w:val="22"/>
        </w:rPr>
        <w:t>10 CFR Part 26</w:t>
      </w:r>
      <w:r w:rsidRPr="00100F20" w:rsidR="00D520BD">
        <w:rPr>
          <w:sz w:val="22"/>
          <w:szCs w:val="22"/>
        </w:rPr>
        <w:t xml:space="preserve"> FFD program requirements</w:t>
      </w:r>
      <w:r w:rsidR="00646A79">
        <w:rPr>
          <w:sz w:val="22"/>
          <w:szCs w:val="22"/>
        </w:rPr>
        <w:t>,</w:t>
      </w:r>
      <w:r w:rsidRPr="00100F20" w:rsidR="00D520BD">
        <w:rPr>
          <w:sz w:val="22"/>
          <w:szCs w:val="22"/>
        </w:rPr>
        <w:t xml:space="preserve"> including </w:t>
      </w:r>
      <w:r w:rsidR="00D520BD">
        <w:rPr>
          <w:sz w:val="22"/>
          <w:szCs w:val="22"/>
        </w:rPr>
        <w:t>5</w:t>
      </w:r>
      <w:r w:rsidR="00D715FE">
        <w:rPr>
          <w:sz w:val="22"/>
          <w:szCs w:val="22"/>
        </w:rPr>
        <w:t>1</w:t>
      </w:r>
      <w:r w:rsidR="00D520BD">
        <w:rPr>
          <w:sz w:val="22"/>
          <w:szCs w:val="22"/>
        </w:rPr>
        <w:t> </w:t>
      </w:r>
      <w:r w:rsidR="00BE4D14">
        <w:rPr>
          <w:sz w:val="22"/>
          <w:szCs w:val="22"/>
        </w:rPr>
        <w:t xml:space="preserve">power </w:t>
      </w:r>
      <w:r w:rsidRPr="00100F20" w:rsidR="00D520BD">
        <w:rPr>
          <w:sz w:val="22"/>
          <w:szCs w:val="22"/>
        </w:rPr>
        <w:t>reactor sites</w:t>
      </w:r>
      <w:r w:rsidR="00646A79">
        <w:rPr>
          <w:sz w:val="22"/>
          <w:szCs w:val="22"/>
        </w:rPr>
        <w:t>,</w:t>
      </w:r>
      <w:r w:rsidR="00D520BD">
        <w:rPr>
          <w:rStyle w:val="FootnoteReference"/>
          <w:sz w:val="22"/>
          <w:szCs w:val="22"/>
        </w:rPr>
        <w:footnoteReference w:id="14"/>
      </w:r>
      <w:r w:rsidR="00646A79">
        <w:rPr>
          <w:sz w:val="22"/>
          <w:szCs w:val="22"/>
          <w:vertAlign w:val="superscript"/>
        </w:rPr>
        <w:t>,</w:t>
      </w:r>
      <w:r w:rsidR="00D520BD">
        <w:rPr>
          <w:rStyle w:val="FootnoteReference"/>
          <w:sz w:val="22"/>
          <w:szCs w:val="22"/>
        </w:rPr>
        <w:footnoteReference w:id="15"/>
      </w:r>
      <w:r w:rsidRPr="00100F20" w:rsidR="00D520BD">
        <w:rPr>
          <w:sz w:val="22"/>
          <w:szCs w:val="22"/>
        </w:rPr>
        <w:t xml:space="preserve"> </w:t>
      </w:r>
      <w:r w:rsidR="00D520BD">
        <w:rPr>
          <w:sz w:val="22"/>
          <w:szCs w:val="22"/>
        </w:rPr>
        <w:t>5</w:t>
      </w:r>
      <w:r w:rsidRPr="00AE105E" w:rsidR="00D520BD">
        <w:rPr>
          <w:sz w:val="22"/>
          <w:szCs w:val="22"/>
        </w:rPr>
        <w:t> corporate offices</w:t>
      </w:r>
      <w:r w:rsidR="00646A79">
        <w:rPr>
          <w:sz w:val="22"/>
          <w:szCs w:val="22"/>
        </w:rPr>
        <w:t>,</w:t>
      </w:r>
      <w:r w:rsidRPr="00100F20" w:rsidR="00D520BD">
        <w:rPr>
          <w:sz w:val="22"/>
          <w:szCs w:val="22"/>
        </w:rPr>
        <w:t xml:space="preserve"> 2</w:t>
      </w:r>
      <w:r w:rsidR="00D520BD">
        <w:rPr>
          <w:sz w:val="22"/>
          <w:szCs w:val="22"/>
        </w:rPr>
        <w:t xml:space="preserve"> Category I </w:t>
      </w:r>
      <w:r w:rsidR="0088161E">
        <w:rPr>
          <w:sz w:val="22"/>
          <w:szCs w:val="22"/>
        </w:rPr>
        <w:t>special nuclear material licensees</w:t>
      </w:r>
      <w:r w:rsidR="00646A79">
        <w:rPr>
          <w:sz w:val="22"/>
          <w:szCs w:val="22"/>
        </w:rPr>
        <w:t>,</w:t>
      </w:r>
      <w:r w:rsidRPr="00100F20" w:rsidR="00D520BD">
        <w:rPr>
          <w:sz w:val="22"/>
          <w:szCs w:val="22"/>
        </w:rPr>
        <w:t xml:space="preserve"> </w:t>
      </w:r>
      <w:r w:rsidR="00D520BD">
        <w:rPr>
          <w:sz w:val="22"/>
          <w:szCs w:val="22"/>
        </w:rPr>
        <w:t>and 1 C/V that maintains its own FFD program.  Appendix A to this document contains site-specific FFD program performance data supporting this quantification</w:t>
      </w:r>
      <w:r w:rsidRPr="00A947D1" w:rsidR="00D520BD">
        <w:rPr>
          <w:sz w:val="22"/>
          <w:szCs w:val="22"/>
        </w:rPr>
        <w:t>.</w:t>
      </w:r>
      <w:r w:rsidR="00D520BD">
        <w:rPr>
          <w:sz w:val="22"/>
          <w:szCs w:val="22"/>
        </w:rPr>
        <w:t xml:space="preserve">  The</w:t>
      </w:r>
      <w:r w:rsidR="00D95B39">
        <w:rPr>
          <w:sz w:val="22"/>
          <w:szCs w:val="22"/>
        </w:rPr>
        <w:t xml:space="preserve"> analysis includes Diablo Canyon</w:t>
      </w:r>
      <w:r w:rsidR="00290033">
        <w:rPr>
          <w:sz w:val="22"/>
          <w:szCs w:val="22"/>
        </w:rPr>
        <w:t xml:space="preserve"> </w:t>
      </w:r>
      <w:r w:rsidR="00D95B39">
        <w:rPr>
          <w:sz w:val="22"/>
          <w:szCs w:val="22"/>
        </w:rPr>
        <w:t>Units</w:t>
      </w:r>
      <w:r w:rsidR="00290033">
        <w:rPr>
          <w:sz w:val="22"/>
          <w:szCs w:val="22"/>
        </w:rPr>
        <w:t> </w:t>
      </w:r>
      <w:r w:rsidR="00D95B39">
        <w:rPr>
          <w:sz w:val="22"/>
          <w:szCs w:val="22"/>
        </w:rPr>
        <w:t>2 and</w:t>
      </w:r>
      <w:r w:rsidR="00A93215">
        <w:rPr>
          <w:sz w:val="22"/>
          <w:szCs w:val="22"/>
        </w:rPr>
        <w:t> </w:t>
      </w:r>
      <w:r w:rsidR="00D95B39">
        <w:rPr>
          <w:sz w:val="22"/>
          <w:szCs w:val="22"/>
        </w:rPr>
        <w:t>3</w:t>
      </w:r>
      <w:r w:rsidR="00290033">
        <w:rPr>
          <w:sz w:val="22"/>
          <w:szCs w:val="22"/>
        </w:rPr>
        <w:t>,</w:t>
      </w:r>
      <w:r w:rsidR="00D95B39">
        <w:rPr>
          <w:sz w:val="22"/>
          <w:szCs w:val="22"/>
        </w:rPr>
        <w:t xml:space="preserve"> until the</w:t>
      </w:r>
      <w:r w:rsidR="00480554">
        <w:rPr>
          <w:sz w:val="22"/>
          <w:szCs w:val="22"/>
        </w:rPr>
        <w:t xml:space="preserve"> site </w:t>
      </w:r>
      <w:r w:rsidR="00D95B39">
        <w:rPr>
          <w:sz w:val="22"/>
          <w:szCs w:val="22"/>
        </w:rPr>
        <w:t>permanently cease</w:t>
      </w:r>
      <w:r w:rsidR="001C16C8">
        <w:rPr>
          <w:sz w:val="22"/>
          <w:szCs w:val="22"/>
        </w:rPr>
        <w:t>s</w:t>
      </w:r>
      <w:r w:rsidR="00D95B39">
        <w:rPr>
          <w:sz w:val="22"/>
          <w:szCs w:val="22"/>
        </w:rPr>
        <w:t xml:space="preserve"> power operations </w:t>
      </w:r>
      <w:r w:rsidR="00290033">
        <w:rPr>
          <w:sz w:val="22"/>
          <w:szCs w:val="22"/>
        </w:rPr>
        <w:t>i</w:t>
      </w:r>
      <w:r w:rsidR="00D95B39">
        <w:rPr>
          <w:sz w:val="22"/>
          <w:szCs w:val="22"/>
        </w:rPr>
        <w:t>n 2024 and 2025, respectively</w:t>
      </w:r>
      <w:r w:rsidR="00D520BD">
        <w:rPr>
          <w:sz w:val="22"/>
          <w:szCs w:val="22"/>
        </w:rPr>
        <w:t>.  The net result is that beginning in CY 202</w:t>
      </w:r>
      <w:r w:rsidR="00D95B39">
        <w:rPr>
          <w:sz w:val="22"/>
          <w:szCs w:val="22"/>
        </w:rPr>
        <w:t>6</w:t>
      </w:r>
      <w:r w:rsidR="00646A79">
        <w:rPr>
          <w:sz w:val="22"/>
          <w:szCs w:val="22"/>
        </w:rPr>
        <w:t>,</w:t>
      </w:r>
      <w:r w:rsidR="00D520BD">
        <w:rPr>
          <w:sz w:val="22"/>
          <w:szCs w:val="22"/>
        </w:rPr>
        <w:t xml:space="preserve"> the analysis models </w:t>
      </w:r>
      <w:r w:rsidR="00D41A72">
        <w:rPr>
          <w:sz w:val="22"/>
          <w:szCs w:val="22"/>
        </w:rPr>
        <w:t>58</w:t>
      </w:r>
      <w:r w:rsidR="00D520BD">
        <w:rPr>
          <w:sz w:val="22"/>
          <w:szCs w:val="22"/>
        </w:rPr>
        <w:t> sites</w:t>
      </w:r>
      <w:r w:rsidRPr="00581AA9" w:rsidR="00D520BD">
        <w:rPr>
          <w:sz w:val="22"/>
          <w:szCs w:val="22"/>
        </w:rPr>
        <w:t xml:space="preserve"> </w:t>
      </w:r>
      <w:r w:rsidR="00D520BD">
        <w:rPr>
          <w:sz w:val="22"/>
          <w:szCs w:val="22"/>
        </w:rPr>
        <w:t>with FFD programs</w:t>
      </w:r>
      <w:r w:rsidR="00646A79">
        <w:rPr>
          <w:sz w:val="22"/>
          <w:szCs w:val="22"/>
        </w:rPr>
        <w:t>,</w:t>
      </w:r>
      <w:r w:rsidR="00D520BD">
        <w:rPr>
          <w:sz w:val="22"/>
          <w:szCs w:val="22"/>
        </w:rPr>
        <w:t xml:space="preserve"> which includes 5</w:t>
      </w:r>
      <w:r w:rsidR="00D41A72">
        <w:rPr>
          <w:sz w:val="22"/>
          <w:szCs w:val="22"/>
        </w:rPr>
        <w:t>0</w:t>
      </w:r>
      <w:r w:rsidR="00D520BD">
        <w:rPr>
          <w:sz w:val="22"/>
          <w:szCs w:val="22"/>
        </w:rPr>
        <w:t xml:space="preserve"> operating </w:t>
      </w:r>
      <w:r w:rsidR="007A548B">
        <w:rPr>
          <w:sz w:val="22"/>
          <w:szCs w:val="22"/>
        </w:rPr>
        <w:t xml:space="preserve">power </w:t>
      </w:r>
      <w:r w:rsidR="00D520BD">
        <w:rPr>
          <w:sz w:val="22"/>
          <w:szCs w:val="22"/>
        </w:rPr>
        <w:t>reactor sites.</w:t>
      </w:r>
    </w:p>
    <w:p w:rsidR="00D520BD" w:rsidP="00D520BD" w:rsidRDefault="00D520BD" w14:paraId="04F8D2E7" w14:textId="77777777">
      <w:pPr>
        <w:ind w:hanging="720"/>
        <w:rPr>
          <w:sz w:val="22"/>
          <w:szCs w:val="22"/>
        </w:rPr>
      </w:pPr>
    </w:p>
    <w:p w:rsidR="00D520BD" w:rsidP="005C6BA3" w:rsidRDefault="00D520BD" w14:paraId="58BF9D31" w14:textId="746307D1">
      <w:pPr>
        <w:pStyle w:val="ListParagraph"/>
        <w:numPr>
          <w:ilvl w:val="0"/>
          <w:numId w:val="9"/>
        </w:numPr>
        <w:ind w:hanging="720"/>
        <w:rPr>
          <w:sz w:val="22"/>
          <w:szCs w:val="22"/>
        </w:rPr>
      </w:pPr>
      <w:r>
        <w:rPr>
          <w:i/>
          <w:sz w:val="22"/>
          <w:szCs w:val="22"/>
        </w:rPr>
        <w:t>FFD P</w:t>
      </w:r>
      <w:r w:rsidRPr="00C83279">
        <w:rPr>
          <w:i/>
          <w:sz w:val="22"/>
          <w:szCs w:val="22"/>
        </w:rPr>
        <w:t>rograms</w:t>
      </w:r>
      <w:r>
        <w:rPr>
          <w:sz w:val="22"/>
          <w:szCs w:val="22"/>
        </w:rPr>
        <w:t xml:space="preserve">:  The analysis models </w:t>
      </w:r>
      <w:r w:rsidRPr="0027191D">
        <w:rPr>
          <w:sz w:val="22"/>
          <w:szCs w:val="22"/>
        </w:rPr>
        <w:t>2</w:t>
      </w:r>
      <w:r w:rsidR="003E1DA4">
        <w:rPr>
          <w:sz w:val="22"/>
          <w:szCs w:val="22"/>
        </w:rPr>
        <w:t>4</w:t>
      </w:r>
      <w:r>
        <w:rPr>
          <w:sz w:val="22"/>
          <w:szCs w:val="22"/>
        </w:rPr>
        <w:t> </w:t>
      </w:r>
      <w:r w:rsidRPr="0027191D">
        <w:rPr>
          <w:sz w:val="22"/>
          <w:szCs w:val="22"/>
        </w:rPr>
        <w:t>FFD</w:t>
      </w:r>
      <w:r>
        <w:rPr>
          <w:sz w:val="22"/>
          <w:szCs w:val="22"/>
        </w:rPr>
        <w:t xml:space="preserve"> programs for the </w:t>
      </w:r>
      <w:r w:rsidR="003E1DA4">
        <w:rPr>
          <w:sz w:val="22"/>
          <w:szCs w:val="22"/>
        </w:rPr>
        <w:t>59</w:t>
      </w:r>
      <w:r>
        <w:rPr>
          <w:sz w:val="22"/>
          <w:szCs w:val="22"/>
        </w:rPr>
        <w:t> </w:t>
      </w:r>
      <w:r w:rsidRPr="0027191D">
        <w:rPr>
          <w:sz w:val="22"/>
          <w:szCs w:val="22"/>
        </w:rPr>
        <w:t>sites</w:t>
      </w:r>
      <w:r>
        <w:rPr>
          <w:sz w:val="22"/>
          <w:szCs w:val="22"/>
        </w:rPr>
        <w:t xml:space="preserve"> covered by 10 CFR Part 26.  FFD programs are based on corporate ownership.  If a corporate entity operates multiple sites</w:t>
      </w:r>
      <w:r w:rsidR="00646A79">
        <w:rPr>
          <w:sz w:val="22"/>
          <w:szCs w:val="22"/>
        </w:rPr>
        <w:t>,</w:t>
      </w:r>
      <w:r>
        <w:rPr>
          <w:sz w:val="22"/>
          <w:szCs w:val="22"/>
        </w:rPr>
        <w:t xml:space="preserve"> the entity will maintain one FFD program for all its sites </w:t>
      </w:r>
      <w:r w:rsidRPr="00A947D1">
        <w:rPr>
          <w:sz w:val="22"/>
          <w:szCs w:val="22"/>
        </w:rPr>
        <w:t>(</w:t>
      </w:r>
      <w:r w:rsidR="00715608">
        <w:rPr>
          <w:sz w:val="22"/>
          <w:szCs w:val="22"/>
        </w:rPr>
        <w:t>s</w:t>
      </w:r>
      <w:r w:rsidR="0099299D">
        <w:rPr>
          <w:sz w:val="22"/>
          <w:szCs w:val="22"/>
        </w:rPr>
        <w:t xml:space="preserve">ee </w:t>
      </w:r>
      <w:r>
        <w:rPr>
          <w:sz w:val="22"/>
          <w:szCs w:val="22"/>
        </w:rPr>
        <w:t>Appendix A to this document</w:t>
      </w:r>
      <w:r w:rsidRPr="00A947D1">
        <w:rPr>
          <w:sz w:val="22"/>
          <w:szCs w:val="22"/>
        </w:rPr>
        <w:t>).</w:t>
      </w:r>
    </w:p>
    <w:p w:rsidR="00D520BD" w:rsidP="00F12AF6" w:rsidRDefault="00D520BD" w14:paraId="39F40D8D" w14:textId="34E5880A">
      <w:pPr>
        <w:pStyle w:val="ListParagraph"/>
        <w:numPr>
          <w:ilvl w:val="0"/>
          <w:numId w:val="9"/>
        </w:numPr>
        <w:ind w:hanging="720"/>
        <w:contextualSpacing w:val="0"/>
        <w:rPr>
          <w:sz w:val="22"/>
          <w:szCs w:val="22"/>
        </w:rPr>
      </w:pPr>
      <w:r>
        <w:rPr>
          <w:i/>
          <w:sz w:val="22"/>
          <w:szCs w:val="22"/>
        </w:rPr>
        <w:lastRenderedPageBreak/>
        <w:t xml:space="preserve">Drug </w:t>
      </w:r>
      <w:r w:rsidRPr="00581C22">
        <w:rPr>
          <w:i/>
          <w:sz w:val="22"/>
          <w:szCs w:val="22"/>
        </w:rPr>
        <w:t>Testing Laboratories</w:t>
      </w:r>
      <w:r>
        <w:rPr>
          <w:sz w:val="22"/>
          <w:szCs w:val="22"/>
        </w:rPr>
        <w:t>:  Each licensee and other entity may choose to conduct initial urine specimen testing at an LTF; then</w:t>
      </w:r>
      <w:r w:rsidR="00646A79">
        <w:rPr>
          <w:sz w:val="22"/>
          <w:szCs w:val="22"/>
        </w:rPr>
        <w:t>,</w:t>
      </w:r>
      <w:r>
        <w:rPr>
          <w:sz w:val="22"/>
          <w:szCs w:val="22"/>
        </w:rPr>
        <w:t xml:space="preserve"> it must conduct confirmatory testing at an HHS</w:t>
      </w:r>
      <w:r>
        <w:rPr>
          <w:sz w:val="22"/>
          <w:szCs w:val="22"/>
        </w:rPr>
        <w:noBreakHyphen/>
        <w:t>certified laboratory.  Alternatively</w:t>
      </w:r>
      <w:r w:rsidR="00646A79">
        <w:rPr>
          <w:sz w:val="22"/>
          <w:szCs w:val="22"/>
        </w:rPr>
        <w:t>,</w:t>
      </w:r>
      <w:r>
        <w:rPr>
          <w:sz w:val="22"/>
          <w:szCs w:val="22"/>
        </w:rPr>
        <w:t xml:space="preserve"> the licensee or entity may conduct all urine testing at an HHS-certified laboratory.  The analysis models that </w:t>
      </w:r>
      <w:r w:rsidRPr="007D3A81" w:rsidR="0099299D">
        <w:rPr>
          <w:sz w:val="22"/>
          <w:szCs w:val="22"/>
        </w:rPr>
        <w:t>5</w:t>
      </w:r>
      <w:r w:rsidRPr="007D3A81" w:rsidR="00C3134C">
        <w:rPr>
          <w:sz w:val="22"/>
          <w:szCs w:val="22"/>
        </w:rPr>
        <w:t>6</w:t>
      </w:r>
      <w:r w:rsidRPr="007D3A81">
        <w:rPr>
          <w:sz w:val="22"/>
          <w:szCs w:val="22"/>
        </w:rPr>
        <w:t xml:space="preserve"> sites will conduct all urine testing at HHS-certified laboratories and that </w:t>
      </w:r>
      <w:r w:rsidRPr="007D3A81" w:rsidR="0099299D">
        <w:rPr>
          <w:sz w:val="22"/>
          <w:szCs w:val="22"/>
        </w:rPr>
        <w:t>3</w:t>
      </w:r>
      <w:r w:rsidRPr="007D3A81">
        <w:rPr>
          <w:sz w:val="22"/>
          <w:szCs w:val="22"/>
        </w:rPr>
        <w:t> sites will use</w:t>
      </w:r>
      <w:r>
        <w:rPr>
          <w:sz w:val="22"/>
          <w:szCs w:val="22"/>
        </w:rPr>
        <w:t xml:space="preserve"> an LTF for initial testing and an HHS</w:t>
      </w:r>
      <w:r>
        <w:rPr>
          <w:sz w:val="22"/>
          <w:szCs w:val="22"/>
        </w:rPr>
        <w:noBreakHyphen/>
        <w:t>certified laboratory for confirmatory testing.</w:t>
      </w:r>
    </w:p>
    <w:p w:rsidRPr="00165A0A" w:rsidR="00165A0A" w:rsidP="00165A0A" w:rsidRDefault="00165A0A" w14:paraId="37180050" w14:textId="77777777">
      <w:pPr>
        <w:pStyle w:val="ListParagraph"/>
        <w:rPr>
          <w:sz w:val="22"/>
          <w:szCs w:val="22"/>
        </w:rPr>
      </w:pPr>
    </w:p>
    <w:p w:rsidR="00165A0A" w:rsidP="005C6BA3" w:rsidRDefault="00F12AF6" w14:paraId="1A4729B7" w14:textId="421A6988">
      <w:pPr>
        <w:pStyle w:val="ListParagraph"/>
        <w:numPr>
          <w:ilvl w:val="0"/>
          <w:numId w:val="9"/>
        </w:numPr>
        <w:spacing w:after="220"/>
        <w:ind w:hanging="720"/>
        <w:contextualSpacing w:val="0"/>
        <w:rPr>
          <w:sz w:val="22"/>
          <w:szCs w:val="22"/>
        </w:rPr>
      </w:pPr>
      <w:r>
        <w:rPr>
          <w:i/>
          <w:iCs/>
          <w:sz w:val="22"/>
          <w:szCs w:val="22"/>
        </w:rPr>
        <w:t>Future Nuclear Facilities</w:t>
      </w:r>
      <w:r>
        <w:rPr>
          <w:sz w:val="22"/>
          <w:szCs w:val="22"/>
        </w:rPr>
        <w:t xml:space="preserve">:  </w:t>
      </w:r>
      <w:r w:rsidR="00341AFA">
        <w:rPr>
          <w:sz w:val="22"/>
          <w:szCs w:val="22"/>
        </w:rPr>
        <w:t>Recently</w:t>
      </w:r>
      <w:r w:rsidR="00715608">
        <w:rPr>
          <w:sz w:val="22"/>
          <w:szCs w:val="22"/>
        </w:rPr>
        <w:t>,</w:t>
      </w:r>
      <w:r w:rsidR="00037915">
        <w:rPr>
          <w:sz w:val="22"/>
          <w:szCs w:val="22"/>
        </w:rPr>
        <w:t xml:space="preserve"> there has been an increasing emphasis on the development of small and medium reactors with </w:t>
      </w:r>
      <w:r w:rsidR="00FF0C23">
        <w:rPr>
          <w:sz w:val="22"/>
          <w:szCs w:val="22"/>
        </w:rPr>
        <w:t xml:space="preserve">capacities </w:t>
      </w:r>
      <w:r w:rsidR="00217946">
        <w:rPr>
          <w:sz w:val="22"/>
          <w:szCs w:val="22"/>
        </w:rPr>
        <w:t xml:space="preserve">that range </w:t>
      </w:r>
      <w:r w:rsidR="00FF0C23">
        <w:rPr>
          <w:sz w:val="22"/>
          <w:szCs w:val="22"/>
        </w:rPr>
        <w:t xml:space="preserve">between </w:t>
      </w:r>
      <w:r w:rsidR="007C2557">
        <w:rPr>
          <w:sz w:val="22"/>
          <w:szCs w:val="22"/>
        </w:rPr>
        <w:t>1.5</w:t>
      </w:r>
      <w:r w:rsidR="0016056C">
        <w:rPr>
          <w:sz w:val="22"/>
          <w:szCs w:val="22"/>
        </w:rPr>
        <w:t> </w:t>
      </w:r>
      <w:r w:rsidR="00BB6D24">
        <w:rPr>
          <w:sz w:val="22"/>
          <w:szCs w:val="22"/>
        </w:rPr>
        <w:t>megawatt</w:t>
      </w:r>
      <w:r w:rsidR="00715608">
        <w:rPr>
          <w:sz w:val="22"/>
          <w:szCs w:val="22"/>
        </w:rPr>
        <w:t>s</w:t>
      </w:r>
      <w:r w:rsidR="00BB6D24">
        <w:rPr>
          <w:sz w:val="22"/>
          <w:szCs w:val="22"/>
        </w:rPr>
        <w:t xml:space="preserve"> electric to several hundred</w:t>
      </w:r>
      <w:r w:rsidR="0016056C">
        <w:rPr>
          <w:sz w:val="22"/>
          <w:szCs w:val="22"/>
        </w:rPr>
        <w:t xml:space="preserve"> megawatts per unit.</w:t>
      </w:r>
      <w:r w:rsidR="00DE4AC2">
        <w:rPr>
          <w:sz w:val="22"/>
          <w:szCs w:val="22"/>
        </w:rPr>
        <w:t xml:space="preserve">  The</w:t>
      </w:r>
      <w:r w:rsidR="00081F51">
        <w:rPr>
          <w:sz w:val="22"/>
          <w:szCs w:val="22"/>
        </w:rPr>
        <w:t xml:space="preserve"> designs of these </w:t>
      </w:r>
      <w:r w:rsidR="00EB1C2B">
        <w:rPr>
          <w:sz w:val="22"/>
          <w:szCs w:val="22"/>
        </w:rPr>
        <w:t>reactors incorporate features to make them simpler and quicker to build, operate, inspect, maintain, and repair</w:t>
      </w:r>
      <w:r w:rsidR="00373E79">
        <w:rPr>
          <w:sz w:val="22"/>
          <w:szCs w:val="22"/>
        </w:rPr>
        <w:t xml:space="preserve"> </w:t>
      </w:r>
      <w:r w:rsidR="00841C41">
        <w:rPr>
          <w:sz w:val="22"/>
          <w:szCs w:val="22"/>
        </w:rPr>
        <w:t xml:space="preserve">relative to existing </w:t>
      </w:r>
      <w:r w:rsidR="002F6856">
        <w:rPr>
          <w:sz w:val="22"/>
          <w:szCs w:val="22"/>
        </w:rPr>
        <w:t>facilities</w:t>
      </w:r>
      <w:r w:rsidR="00841C41">
        <w:rPr>
          <w:sz w:val="22"/>
          <w:szCs w:val="22"/>
        </w:rPr>
        <w:t>.</w:t>
      </w:r>
      <w:r w:rsidR="00AC5874">
        <w:rPr>
          <w:sz w:val="22"/>
          <w:szCs w:val="22"/>
        </w:rPr>
        <w:t xml:space="preserve">  </w:t>
      </w:r>
      <w:r w:rsidR="007602F8">
        <w:rPr>
          <w:sz w:val="22"/>
          <w:szCs w:val="22"/>
        </w:rPr>
        <w:t>These features</w:t>
      </w:r>
      <w:r w:rsidR="003F6B19">
        <w:rPr>
          <w:sz w:val="22"/>
          <w:szCs w:val="22"/>
        </w:rPr>
        <w:t xml:space="preserve"> </w:t>
      </w:r>
      <w:r w:rsidR="00184CB5">
        <w:rPr>
          <w:sz w:val="22"/>
          <w:szCs w:val="22"/>
        </w:rPr>
        <w:t>will</w:t>
      </w:r>
      <w:r w:rsidR="003F6B19">
        <w:rPr>
          <w:sz w:val="22"/>
          <w:szCs w:val="22"/>
        </w:rPr>
        <w:t xml:space="preserve"> result in smaller </w:t>
      </w:r>
      <w:r w:rsidR="007602F8">
        <w:rPr>
          <w:sz w:val="22"/>
          <w:szCs w:val="22"/>
        </w:rPr>
        <w:t>workforces</w:t>
      </w:r>
      <w:r w:rsidR="003F6B19">
        <w:rPr>
          <w:sz w:val="22"/>
          <w:szCs w:val="22"/>
        </w:rPr>
        <w:t xml:space="preserve"> to construct and operate these new </w:t>
      </w:r>
      <w:r w:rsidR="007602F8">
        <w:rPr>
          <w:sz w:val="22"/>
          <w:szCs w:val="22"/>
        </w:rPr>
        <w:t xml:space="preserve">facilities and </w:t>
      </w:r>
      <w:r w:rsidR="00BB269C">
        <w:rPr>
          <w:sz w:val="22"/>
          <w:szCs w:val="22"/>
        </w:rPr>
        <w:t xml:space="preserve">fewer personnel </w:t>
      </w:r>
      <w:r w:rsidR="00192542">
        <w:rPr>
          <w:sz w:val="22"/>
          <w:szCs w:val="22"/>
        </w:rPr>
        <w:t>who</w:t>
      </w:r>
      <w:r w:rsidR="00BB269C">
        <w:rPr>
          <w:sz w:val="22"/>
          <w:szCs w:val="22"/>
        </w:rPr>
        <w:t xml:space="preserve"> </w:t>
      </w:r>
      <w:r w:rsidR="00726034">
        <w:rPr>
          <w:sz w:val="22"/>
          <w:szCs w:val="22"/>
        </w:rPr>
        <w:t>are</w:t>
      </w:r>
      <w:r w:rsidR="00BB269C">
        <w:rPr>
          <w:sz w:val="22"/>
          <w:szCs w:val="22"/>
        </w:rPr>
        <w:t xml:space="preserve"> subject to FFD testing </w:t>
      </w:r>
      <w:r w:rsidR="002F6856">
        <w:rPr>
          <w:sz w:val="22"/>
          <w:szCs w:val="22"/>
        </w:rPr>
        <w:t>than existing nuclear power plants or nuclear fuel facilities.</w:t>
      </w:r>
      <w:r w:rsidR="004F7F11">
        <w:rPr>
          <w:sz w:val="22"/>
          <w:szCs w:val="22"/>
        </w:rPr>
        <w:t xml:space="preserve">  Information collected on projected staffing estimates for various </w:t>
      </w:r>
      <w:r w:rsidR="00B36BEA">
        <w:rPr>
          <w:sz w:val="22"/>
          <w:szCs w:val="22"/>
        </w:rPr>
        <w:t>small modular design</w:t>
      </w:r>
      <w:r w:rsidR="00DD7801">
        <w:rPr>
          <w:sz w:val="22"/>
          <w:szCs w:val="22"/>
        </w:rPr>
        <w:t>s</w:t>
      </w:r>
      <w:r w:rsidR="00B36BEA">
        <w:rPr>
          <w:sz w:val="22"/>
          <w:szCs w:val="22"/>
        </w:rPr>
        <w:t xml:space="preserve"> (</w:t>
      </w:r>
      <w:r w:rsidR="000C1590">
        <w:rPr>
          <w:sz w:val="22"/>
          <w:szCs w:val="22"/>
        </w:rPr>
        <w:t>IAEA</w:t>
      </w:r>
      <w:r w:rsidR="005F28EC">
        <w:rPr>
          <w:sz w:val="22"/>
          <w:szCs w:val="22"/>
        </w:rPr>
        <w:t>,</w:t>
      </w:r>
      <w:r w:rsidR="000C1590">
        <w:rPr>
          <w:sz w:val="22"/>
          <w:szCs w:val="22"/>
        </w:rPr>
        <w:t xml:space="preserve"> 2001)</w:t>
      </w:r>
      <w:r w:rsidR="002A325E">
        <w:rPr>
          <w:sz w:val="22"/>
          <w:szCs w:val="22"/>
        </w:rPr>
        <w:t xml:space="preserve"> s</w:t>
      </w:r>
      <w:r w:rsidR="00D4228B">
        <w:rPr>
          <w:sz w:val="22"/>
          <w:szCs w:val="22"/>
        </w:rPr>
        <w:t>how</w:t>
      </w:r>
      <w:r w:rsidR="00DD7801">
        <w:rPr>
          <w:sz w:val="22"/>
          <w:szCs w:val="22"/>
        </w:rPr>
        <w:t>s</w:t>
      </w:r>
      <w:r w:rsidR="00D4228B">
        <w:rPr>
          <w:sz w:val="22"/>
          <w:szCs w:val="22"/>
        </w:rPr>
        <w:t xml:space="preserve"> that </w:t>
      </w:r>
      <w:r w:rsidR="00DE1528">
        <w:rPr>
          <w:sz w:val="22"/>
          <w:szCs w:val="22"/>
        </w:rPr>
        <w:t>the</w:t>
      </w:r>
      <w:r w:rsidR="002568F3">
        <w:rPr>
          <w:sz w:val="22"/>
          <w:szCs w:val="22"/>
        </w:rPr>
        <w:t>se new facilities</w:t>
      </w:r>
      <w:r w:rsidR="00D533EE">
        <w:rPr>
          <w:sz w:val="22"/>
          <w:szCs w:val="22"/>
        </w:rPr>
        <w:t xml:space="preserve"> </w:t>
      </w:r>
      <w:r w:rsidR="00377B95">
        <w:rPr>
          <w:sz w:val="22"/>
          <w:szCs w:val="22"/>
        </w:rPr>
        <w:t>c</w:t>
      </w:r>
      <w:r w:rsidR="00D533EE">
        <w:rPr>
          <w:sz w:val="22"/>
          <w:szCs w:val="22"/>
        </w:rPr>
        <w:t>ould have staff</w:t>
      </w:r>
      <w:r w:rsidR="00377B95">
        <w:rPr>
          <w:sz w:val="22"/>
          <w:szCs w:val="22"/>
        </w:rPr>
        <w:t>ing levels lower than</w:t>
      </w:r>
      <w:r w:rsidR="00D533EE">
        <w:rPr>
          <w:sz w:val="22"/>
          <w:szCs w:val="22"/>
        </w:rPr>
        <w:t xml:space="preserve"> for </w:t>
      </w:r>
      <w:r w:rsidR="00377B95">
        <w:rPr>
          <w:sz w:val="22"/>
          <w:szCs w:val="22"/>
        </w:rPr>
        <w:t xml:space="preserve">existing </w:t>
      </w:r>
      <w:r w:rsidR="00D533EE">
        <w:rPr>
          <w:sz w:val="22"/>
          <w:szCs w:val="22"/>
        </w:rPr>
        <w:t>like</w:t>
      </w:r>
      <w:r w:rsidR="00DD68C4">
        <w:rPr>
          <w:sz w:val="22"/>
          <w:szCs w:val="22"/>
        </w:rPr>
        <w:t>-</w:t>
      </w:r>
      <w:r w:rsidR="00D533EE">
        <w:rPr>
          <w:sz w:val="22"/>
          <w:szCs w:val="22"/>
        </w:rPr>
        <w:t>sized units</w:t>
      </w:r>
      <w:r w:rsidR="00377B95">
        <w:rPr>
          <w:sz w:val="22"/>
          <w:szCs w:val="22"/>
        </w:rPr>
        <w:t>, in the range of a 30</w:t>
      </w:r>
      <w:r w:rsidR="00DD7801">
        <w:rPr>
          <w:sz w:val="22"/>
          <w:szCs w:val="22"/>
        </w:rPr>
        <w:t>-</w:t>
      </w:r>
      <w:r w:rsidR="00377B95">
        <w:rPr>
          <w:sz w:val="22"/>
          <w:szCs w:val="22"/>
        </w:rPr>
        <w:t xml:space="preserve"> to 40</w:t>
      </w:r>
      <w:r w:rsidR="00DD7801">
        <w:rPr>
          <w:sz w:val="22"/>
          <w:szCs w:val="22"/>
        </w:rPr>
        <w:t>-</w:t>
      </w:r>
      <w:r w:rsidR="00377B95">
        <w:rPr>
          <w:sz w:val="22"/>
          <w:szCs w:val="22"/>
        </w:rPr>
        <w:t>percent reduction (IAEA, 2001; Reuters, 2018)</w:t>
      </w:r>
      <w:r w:rsidR="00D533EE">
        <w:rPr>
          <w:sz w:val="22"/>
          <w:szCs w:val="22"/>
        </w:rPr>
        <w:t xml:space="preserve">.  Staffing levels for small units </w:t>
      </w:r>
      <w:r w:rsidR="00377B95">
        <w:rPr>
          <w:sz w:val="22"/>
          <w:szCs w:val="22"/>
        </w:rPr>
        <w:t>c</w:t>
      </w:r>
      <w:r w:rsidR="00D533EE">
        <w:rPr>
          <w:sz w:val="22"/>
          <w:szCs w:val="22"/>
        </w:rPr>
        <w:t>ould be even less</w:t>
      </w:r>
      <w:r w:rsidR="00091689">
        <w:rPr>
          <w:sz w:val="22"/>
          <w:szCs w:val="22"/>
        </w:rPr>
        <w:t>, limited</w:t>
      </w:r>
      <w:r w:rsidR="00377B95">
        <w:rPr>
          <w:sz w:val="22"/>
          <w:szCs w:val="22"/>
        </w:rPr>
        <w:t xml:space="preserve"> to a minimum number required to support safe operations and </w:t>
      </w:r>
      <w:r w:rsidR="00A675F6">
        <w:rPr>
          <w:sz w:val="22"/>
          <w:szCs w:val="22"/>
        </w:rPr>
        <w:t>security</w:t>
      </w:r>
      <w:r w:rsidR="00377B95">
        <w:rPr>
          <w:sz w:val="22"/>
          <w:szCs w:val="22"/>
        </w:rPr>
        <w:t xml:space="preserve"> regardless of power level</w:t>
      </w:r>
      <w:r w:rsidR="00D533EE">
        <w:rPr>
          <w:sz w:val="22"/>
          <w:szCs w:val="22"/>
        </w:rPr>
        <w:t>.</w:t>
      </w:r>
    </w:p>
    <w:p w:rsidR="00D520BD" w:rsidP="00D520BD" w:rsidRDefault="00D520BD" w14:paraId="62B8B170" w14:textId="77777777">
      <w:pPr>
        <w:pStyle w:val="Heading3"/>
      </w:pPr>
      <w:bookmarkStart w:name="_Toc460412604" w:id="89"/>
      <w:bookmarkStart w:name="_Toc72840022" w:id="90"/>
      <w:bookmarkStart w:name="_Toc105681495" w:id="91"/>
      <w:r>
        <w:t>4</w:t>
      </w:r>
      <w:r w:rsidRPr="005A5966">
        <w:t>.2.3</w:t>
      </w:r>
      <w:r w:rsidRPr="005A5966">
        <w:tab/>
      </w:r>
      <w:r w:rsidRPr="00EA2224">
        <w:t>Cost and Benefit Calculations</w:t>
      </w:r>
      <w:bookmarkEnd w:id="89"/>
      <w:bookmarkEnd w:id="90"/>
      <w:bookmarkEnd w:id="91"/>
    </w:p>
    <w:p w:rsidRPr="001237A0" w:rsidR="00D520BD" w:rsidP="00D520BD" w:rsidRDefault="00D520BD" w14:paraId="627C0002" w14:textId="77777777">
      <w:pPr>
        <w:keepNext/>
        <w:rPr>
          <w:sz w:val="22"/>
          <w:szCs w:val="22"/>
        </w:rPr>
      </w:pPr>
    </w:p>
    <w:p w:rsidRPr="001237A0" w:rsidR="00D520BD" w:rsidP="00D520BD" w:rsidRDefault="00D520BD" w14:paraId="4A194343" w14:textId="019092E9">
      <w:pPr>
        <w:spacing w:after="220"/>
        <w:rPr>
          <w:sz w:val="22"/>
          <w:szCs w:val="22"/>
        </w:rPr>
      </w:pPr>
      <w:r w:rsidRPr="001237A0">
        <w:rPr>
          <w:sz w:val="22"/>
          <w:szCs w:val="22"/>
        </w:rPr>
        <w:t xml:space="preserve">This section describes the method used to </w:t>
      </w:r>
      <w:r>
        <w:rPr>
          <w:sz w:val="22"/>
          <w:szCs w:val="22"/>
        </w:rPr>
        <w:t>estimate the quantifiable</w:t>
      </w:r>
      <w:r w:rsidRPr="001237A0">
        <w:rPr>
          <w:sz w:val="22"/>
          <w:szCs w:val="22"/>
        </w:rPr>
        <w:t xml:space="preserve"> costs </w:t>
      </w:r>
      <w:r>
        <w:rPr>
          <w:sz w:val="22"/>
          <w:szCs w:val="22"/>
        </w:rPr>
        <w:t>and benefits</w:t>
      </w:r>
      <w:r w:rsidR="0034313C">
        <w:rPr>
          <w:sz w:val="22"/>
          <w:szCs w:val="22"/>
        </w:rPr>
        <w:t>:</w:t>
      </w:r>
    </w:p>
    <w:p w:rsidR="00D520BD" w:rsidP="005C6BA3" w:rsidRDefault="00D520BD" w14:paraId="463648D1" w14:textId="3408887C">
      <w:pPr>
        <w:pStyle w:val="ListParagraph"/>
        <w:numPr>
          <w:ilvl w:val="0"/>
          <w:numId w:val="10"/>
        </w:numPr>
        <w:ind w:hanging="720"/>
        <w:rPr>
          <w:sz w:val="22"/>
          <w:szCs w:val="22"/>
        </w:rPr>
      </w:pPr>
      <w:r>
        <w:rPr>
          <w:sz w:val="22"/>
          <w:szCs w:val="22"/>
        </w:rPr>
        <w:t>All</w:t>
      </w:r>
      <w:r w:rsidRPr="002019A8">
        <w:rPr>
          <w:sz w:val="22"/>
          <w:szCs w:val="22"/>
        </w:rPr>
        <w:t xml:space="preserve"> licensees</w:t>
      </w:r>
      <w:r w:rsidR="00946866">
        <w:rPr>
          <w:sz w:val="22"/>
          <w:szCs w:val="22"/>
        </w:rPr>
        <w:t xml:space="preserve"> and other entities</w:t>
      </w:r>
      <w:r w:rsidR="00C2623F">
        <w:rPr>
          <w:sz w:val="22"/>
          <w:szCs w:val="22"/>
        </w:rPr>
        <w:t xml:space="preserve"> subject to </w:t>
      </w:r>
      <w:r w:rsidR="00335F52">
        <w:rPr>
          <w:sz w:val="22"/>
          <w:szCs w:val="22"/>
        </w:rPr>
        <w:t>10 </w:t>
      </w:r>
      <w:r w:rsidR="00F066F5">
        <w:rPr>
          <w:sz w:val="22"/>
          <w:szCs w:val="22"/>
        </w:rPr>
        <w:t>CFR </w:t>
      </w:r>
      <w:r w:rsidR="00C2623F">
        <w:rPr>
          <w:sz w:val="22"/>
          <w:szCs w:val="22"/>
        </w:rPr>
        <w:t>Part</w:t>
      </w:r>
      <w:r w:rsidR="00F066F5">
        <w:rPr>
          <w:sz w:val="22"/>
          <w:szCs w:val="22"/>
        </w:rPr>
        <w:t> </w:t>
      </w:r>
      <w:r w:rsidR="00C2623F">
        <w:rPr>
          <w:sz w:val="22"/>
          <w:szCs w:val="22"/>
        </w:rPr>
        <w:t>26</w:t>
      </w:r>
      <w:r w:rsidRPr="002019A8">
        <w:rPr>
          <w:sz w:val="22"/>
          <w:szCs w:val="22"/>
        </w:rPr>
        <w:t xml:space="preserve"> compl</w:t>
      </w:r>
      <w:r w:rsidR="00FB7774">
        <w:rPr>
          <w:sz w:val="22"/>
          <w:szCs w:val="22"/>
        </w:rPr>
        <w:t>y</w:t>
      </w:r>
      <w:r w:rsidRPr="002019A8">
        <w:rPr>
          <w:sz w:val="22"/>
          <w:szCs w:val="22"/>
        </w:rPr>
        <w:t xml:space="preserve"> with the existing </w:t>
      </w:r>
      <w:r>
        <w:rPr>
          <w:sz w:val="22"/>
          <w:szCs w:val="22"/>
        </w:rPr>
        <w:t xml:space="preserve">regulatory </w:t>
      </w:r>
      <w:r w:rsidRPr="002019A8">
        <w:rPr>
          <w:sz w:val="22"/>
          <w:szCs w:val="22"/>
        </w:rPr>
        <w:t xml:space="preserve">requirements.  </w:t>
      </w:r>
      <w:r w:rsidRPr="00BE3245">
        <w:rPr>
          <w:sz w:val="22"/>
          <w:szCs w:val="22"/>
        </w:rPr>
        <w:t>Therefore</w:t>
      </w:r>
      <w:r w:rsidR="00646A79">
        <w:rPr>
          <w:sz w:val="22"/>
          <w:szCs w:val="22"/>
        </w:rPr>
        <w:t>,</w:t>
      </w:r>
      <w:r w:rsidRPr="00BE3245">
        <w:rPr>
          <w:sz w:val="22"/>
          <w:szCs w:val="22"/>
        </w:rPr>
        <w:t xml:space="preserve"> this analysis only presents the incremental costs associated with the </w:t>
      </w:r>
      <w:r w:rsidR="00C82438">
        <w:rPr>
          <w:sz w:val="22"/>
          <w:szCs w:val="22"/>
        </w:rPr>
        <w:t>final</w:t>
      </w:r>
      <w:r w:rsidRPr="00BE3245">
        <w:rPr>
          <w:sz w:val="22"/>
          <w:szCs w:val="22"/>
        </w:rPr>
        <w:t xml:space="preserve"> rule changes.</w:t>
      </w:r>
    </w:p>
    <w:p w:rsidR="00D520BD" w:rsidP="001339FD" w:rsidRDefault="00D520BD" w14:paraId="2B944DD9" w14:textId="4B7FC8E8">
      <w:pPr>
        <w:rPr>
          <w:sz w:val="22"/>
          <w:szCs w:val="22"/>
        </w:rPr>
      </w:pPr>
    </w:p>
    <w:p w:rsidR="00D520BD" w:rsidP="005C6BA3" w:rsidRDefault="00D520BD" w14:paraId="737B4217" w14:textId="2F3BD10A">
      <w:pPr>
        <w:pStyle w:val="ListParagraph"/>
        <w:numPr>
          <w:ilvl w:val="0"/>
          <w:numId w:val="10"/>
        </w:numPr>
        <w:ind w:hanging="720"/>
        <w:rPr>
          <w:sz w:val="22"/>
          <w:szCs w:val="22"/>
        </w:rPr>
      </w:pPr>
      <w:r>
        <w:rPr>
          <w:sz w:val="22"/>
          <w:szCs w:val="22"/>
        </w:rPr>
        <w:t xml:space="preserve">The </w:t>
      </w:r>
      <w:r w:rsidRPr="005E3176" w:rsidR="005E3176">
        <w:rPr>
          <w:iCs/>
          <w:sz w:val="22"/>
          <w:szCs w:val="22"/>
        </w:rPr>
        <w:t>total industry cost or benefit</w:t>
      </w:r>
      <w:r w:rsidR="005E3176">
        <w:rPr>
          <w:sz w:val="22"/>
          <w:szCs w:val="22"/>
        </w:rPr>
        <w:t xml:space="preserve"> </w:t>
      </w:r>
      <w:r>
        <w:rPr>
          <w:sz w:val="22"/>
          <w:szCs w:val="22"/>
        </w:rPr>
        <w:t>associated with each rule requirement is calculated using the following five-step approach:</w:t>
      </w:r>
    </w:p>
    <w:p w:rsidRPr="00F12E2F" w:rsidR="00D520BD" w:rsidP="00D520BD" w:rsidRDefault="00D520BD" w14:paraId="5AA35867" w14:textId="77777777">
      <w:pPr>
        <w:pStyle w:val="ListParagraph"/>
        <w:rPr>
          <w:sz w:val="22"/>
          <w:szCs w:val="22"/>
        </w:rPr>
      </w:pPr>
    </w:p>
    <w:p w:rsidRPr="00B10C2E" w:rsidR="00D520BD" w:rsidP="005C6BA3" w:rsidRDefault="00D520BD" w14:paraId="47833E8F" w14:textId="55977FD1">
      <w:pPr>
        <w:pStyle w:val="ListParagraph"/>
        <w:numPr>
          <w:ilvl w:val="0"/>
          <w:numId w:val="33"/>
        </w:numPr>
        <w:ind w:left="1440" w:hanging="720"/>
        <w:rPr>
          <w:sz w:val="22"/>
          <w:szCs w:val="22"/>
        </w:rPr>
      </w:pPr>
      <w:r w:rsidRPr="00B10C2E">
        <w:rPr>
          <w:sz w:val="22"/>
          <w:szCs w:val="22"/>
        </w:rPr>
        <w:t>Step</w:t>
      </w:r>
      <w:r>
        <w:rPr>
          <w:sz w:val="22"/>
          <w:szCs w:val="22"/>
        </w:rPr>
        <w:t> </w:t>
      </w:r>
      <w:r w:rsidRPr="00B10C2E">
        <w:rPr>
          <w:sz w:val="22"/>
          <w:szCs w:val="22"/>
        </w:rPr>
        <w:t>1:  Estimate the average incremental cost or benefit per affected entity (i.e.</w:t>
      </w:r>
      <w:r w:rsidR="00646A79">
        <w:rPr>
          <w:sz w:val="22"/>
          <w:szCs w:val="22"/>
        </w:rPr>
        <w:t>,</w:t>
      </w:r>
      <w:r w:rsidRPr="00B10C2E">
        <w:rPr>
          <w:sz w:val="22"/>
          <w:szCs w:val="22"/>
        </w:rPr>
        <w:t> a site or FFD program) to comply with the new requirement (e.g.</w:t>
      </w:r>
      <w:r w:rsidR="00646A79">
        <w:rPr>
          <w:sz w:val="22"/>
          <w:szCs w:val="22"/>
        </w:rPr>
        <w:t>,</w:t>
      </w:r>
      <w:r>
        <w:rPr>
          <w:sz w:val="22"/>
          <w:szCs w:val="22"/>
        </w:rPr>
        <w:t> </w:t>
      </w:r>
      <w:r w:rsidRPr="00B10C2E">
        <w:rPr>
          <w:sz w:val="22"/>
          <w:szCs w:val="22"/>
        </w:rPr>
        <w:t xml:space="preserve">the cost to conduct initial urine drug testing for </w:t>
      </w:r>
      <w:r w:rsidR="00504340">
        <w:rPr>
          <w:sz w:val="22"/>
          <w:szCs w:val="22"/>
        </w:rPr>
        <w:t xml:space="preserve">two </w:t>
      </w:r>
      <w:r w:rsidRPr="00B10C2E">
        <w:rPr>
          <w:sz w:val="22"/>
          <w:szCs w:val="22"/>
        </w:rPr>
        <w:t>Ecstasy</w:t>
      </w:r>
      <w:r w:rsidR="00504340">
        <w:rPr>
          <w:sz w:val="22"/>
          <w:szCs w:val="22"/>
        </w:rPr>
        <w:t>-type</w:t>
      </w:r>
      <w:r w:rsidR="00FF380E">
        <w:rPr>
          <w:sz w:val="22"/>
          <w:szCs w:val="22"/>
        </w:rPr>
        <w:t xml:space="preserve"> </w:t>
      </w:r>
      <w:r w:rsidR="008973D9">
        <w:rPr>
          <w:sz w:val="22"/>
          <w:szCs w:val="22"/>
        </w:rPr>
        <w:t>drugs</w:t>
      </w:r>
      <w:r w:rsidRPr="00B10C2E">
        <w:rPr>
          <w:sz w:val="22"/>
          <w:szCs w:val="22"/>
        </w:rPr>
        <w:t>).  The use of average incremental cost or benefit per entity is a simplification</w:t>
      </w:r>
      <w:r w:rsidR="00646A79">
        <w:rPr>
          <w:sz w:val="22"/>
          <w:szCs w:val="22"/>
        </w:rPr>
        <w:t>,</w:t>
      </w:r>
      <w:r w:rsidRPr="00B10C2E">
        <w:rPr>
          <w:sz w:val="22"/>
          <w:szCs w:val="22"/>
        </w:rPr>
        <w:t xml:space="preserve"> with some affected entities incurring higher or lower costs.</w:t>
      </w:r>
    </w:p>
    <w:p w:rsidR="00D520BD" w:rsidP="00D520BD" w:rsidRDefault="00D520BD" w14:paraId="1103D74F" w14:textId="77777777">
      <w:pPr>
        <w:pStyle w:val="ListParagraph"/>
        <w:ind w:left="1440"/>
        <w:rPr>
          <w:sz w:val="22"/>
          <w:szCs w:val="22"/>
        </w:rPr>
      </w:pPr>
    </w:p>
    <w:p w:rsidRPr="00B10C2E" w:rsidR="00D520BD" w:rsidP="005C6BA3" w:rsidRDefault="00D520BD" w14:paraId="5B679FA1" w14:textId="206FB7A3">
      <w:pPr>
        <w:pStyle w:val="ListParagraph"/>
        <w:numPr>
          <w:ilvl w:val="0"/>
          <w:numId w:val="33"/>
        </w:numPr>
        <w:ind w:left="1440" w:hanging="720"/>
        <w:rPr>
          <w:sz w:val="22"/>
          <w:szCs w:val="22"/>
        </w:rPr>
      </w:pPr>
      <w:r w:rsidRPr="00B10C2E">
        <w:rPr>
          <w:sz w:val="22"/>
          <w:szCs w:val="22"/>
        </w:rPr>
        <w:t>Step</w:t>
      </w:r>
      <w:r>
        <w:rPr>
          <w:sz w:val="22"/>
          <w:szCs w:val="22"/>
        </w:rPr>
        <w:t> </w:t>
      </w:r>
      <w:r w:rsidRPr="00B10C2E">
        <w:rPr>
          <w:sz w:val="22"/>
          <w:szCs w:val="22"/>
        </w:rPr>
        <w:t>2:  Estimate the number of times an affected entity would incur the incremental cost or benefit associated with the new requirement in a year (e.g.</w:t>
      </w:r>
      <w:r w:rsidR="00646A79">
        <w:rPr>
          <w:sz w:val="22"/>
          <w:szCs w:val="22"/>
        </w:rPr>
        <w:t>,</w:t>
      </w:r>
      <w:r w:rsidRPr="00B10C2E">
        <w:rPr>
          <w:sz w:val="22"/>
          <w:szCs w:val="22"/>
        </w:rPr>
        <w:t> how many individuals will be drug tested at each site).</w:t>
      </w:r>
    </w:p>
    <w:p w:rsidRPr="00055B05" w:rsidR="00D520BD" w:rsidP="00D520BD" w:rsidRDefault="00D520BD" w14:paraId="3163CA97" w14:textId="77777777">
      <w:pPr>
        <w:pStyle w:val="ListParagraph"/>
        <w:ind w:left="1440" w:hanging="720"/>
        <w:rPr>
          <w:sz w:val="22"/>
          <w:szCs w:val="22"/>
        </w:rPr>
      </w:pPr>
    </w:p>
    <w:p w:rsidRPr="00B10C2E" w:rsidR="00D520BD" w:rsidP="005C6BA3" w:rsidRDefault="00D520BD" w14:paraId="5C5FDA4C" w14:textId="77777777">
      <w:pPr>
        <w:pStyle w:val="ListParagraph"/>
        <w:numPr>
          <w:ilvl w:val="0"/>
          <w:numId w:val="33"/>
        </w:numPr>
        <w:ind w:left="1440" w:hanging="720"/>
        <w:rPr>
          <w:sz w:val="22"/>
          <w:szCs w:val="22"/>
        </w:rPr>
      </w:pPr>
      <w:r w:rsidRPr="00B10C2E">
        <w:rPr>
          <w:sz w:val="22"/>
          <w:szCs w:val="22"/>
        </w:rPr>
        <w:t>Step</w:t>
      </w:r>
      <w:r>
        <w:rPr>
          <w:sz w:val="22"/>
          <w:szCs w:val="22"/>
        </w:rPr>
        <w:t> </w:t>
      </w:r>
      <w:r w:rsidRPr="00B10C2E">
        <w:rPr>
          <w:sz w:val="22"/>
          <w:szCs w:val="22"/>
        </w:rPr>
        <w:t>3:  Estimate the number of affected entities that would incur the incremental cost or receive the benefit associated with the new requirement in a year.</w:t>
      </w:r>
    </w:p>
    <w:p w:rsidRPr="00BE3245" w:rsidR="00D520BD" w:rsidP="00D520BD" w:rsidRDefault="00D520BD" w14:paraId="64466E79" w14:textId="77777777">
      <w:pPr>
        <w:pStyle w:val="ListParagraph"/>
        <w:ind w:left="1440" w:hanging="720"/>
        <w:rPr>
          <w:sz w:val="22"/>
          <w:szCs w:val="22"/>
        </w:rPr>
      </w:pPr>
    </w:p>
    <w:p w:rsidRPr="00B10C2E" w:rsidR="00D520BD" w:rsidP="005C6BA3" w:rsidRDefault="00D520BD" w14:paraId="7D090221" w14:textId="77777777">
      <w:pPr>
        <w:pStyle w:val="ListParagraph"/>
        <w:numPr>
          <w:ilvl w:val="0"/>
          <w:numId w:val="33"/>
        </w:numPr>
        <w:ind w:left="1440" w:hanging="720"/>
        <w:rPr>
          <w:sz w:val="22"/>
          <w:szCs w:val="22"/>
        </w:rPr>
      </w:pPr>
      <w:r w:rsidRPr="00B10C2E">
        <w:rPr>
          <w:sz w:val="22"/>
          <w:szCs w:val="22"/>
        </w:rPr>
        <w:t>Step</w:t>
      </w:r>
      <w:r>
        <w:rPr>
          <w:sz w:val="22"/>
          <w:szCs w:val="22"/>
        </w:rPr>
        <w:t> </w:t>
      </w:r>
      <w:r w:rsidRPr="00B10C2E">
        <w:rPr>
          <w:sz w:val="22"/>
          <w:szCs w:val="22"/>
        </w:rPr>
        <w:t>4:  Estimate the number of years the incremental cost or benefit would be incurred.</w:t>
      </w:r>
    </w:p>
    <w:p w:rsidRPr="00AD477E" w:rsidR="00D520BD" w:rsidP="00D520BD" w:rsidRDefault="00D520BD" w14:paraId="5DA39496" w14:textId="77777777">
      <w:pPr>
        <w:pStyle w:val="ListParagraph"/>
        <w:ind w:left="1440" w:hanging="720"/>
        <w:rPr>
          <w:sz w:val="22"/>
          <w:szCs w:val="22"/>
        </w:rPr>
      </w:pPr>
    </w:p>
    <w:p w:rsidRPr="00B10C2E" w:rsidR="00D520BD" w:rsidP="005C6BA3" w:rsidRDefault="00D520BD" w14:paraId="67882E35" w14:textId="77777777">
      <w:pPr>
        <w:pStyle w:val="ListParagraph"/>
        <w:numPr>
          <w:ilvl w:val="0"/>
          <w:numId w:val="33"/>
        </w:numPr>
        <w:ind w:left="1440" w:hanging="720"/>
        <w:rPr>
          <w:sz w:val="22"/>
          <w:szCs w:val="22"/>
        </w:rPr>
      </w:pPr>
      <w:r w:rsidRPr="00B10C2E">
        <w:rPr>
          <w:sz w:val="22"/>
          <w:szCs w:val="22"/>
        </w:rPr>
        <w:t>Step</w:t>
      </w:r>
      <w:r>
        <w:rPr>
          <w:sz w:val="22"/>
          <w:szCs w:val="22"/>
        </w:rPr>
        <w:t> </w:t>
      </w:r>
      <w:r w:rsidRPr="00B10C2E">
        <w:rPr>
          <w:sz w:val="22"/>
          <w:szCs w:val="22"/>
        </w:rPr>
        <w:t>5:  Multiply the outcomes of Steps</w:t>
      </w:r>
      <w:r>
        <w:rPr>
          <w:sz w:val="22"/>
          <w:szCs w:val="22"/>
        </w:rPr>
        <w:t> </w:t>
      </w:r>
      <w:r w:rsidRPr="00B10C2E">
        <w:rPr>
          <w:sz w:val="22"/>
          <w:szCs w:val="22"/>
        </w:rPr>
        <w:t>1 through 4.</w:t>
      </w:r>
    </w:p>
    <w:p w:rsidR="00D520BD" w:rsidP="00D520BD" w:rsidRDefault="00D520BD" w14:paraId="6E61A0C9" w14:textId="77777777">
      <w:pPr>
        <w:pStyle w:val="ListParagraph"/>
        <w:rPr>
          <w:sz w:val="22"/>
          <w:szCs w:val="22"/>
        </w:rPr>
      </w:pPr>
    </w:p>
    <w:p w:rsidRPr="00760364" w:rsidR="00D520BD" w:rsidP="00D520BD" w:rsidRDefault="00D520BD" w14:paraId="326230B0" w14:textId="309D4F82">
      <w:pPr>
        <w:pStyle w:val="ListParagraph"/>
        <w:rPr>
          <w:sz w:val="22"/>
          <w:szCs w:val="22"/>
        </w:rPr>
      </w:pPr>
      <w:r w:rsidRPr="00C86DB5">
        <w:rPr>
          <w:sz w:val="22"/>
          <w:szCs w:val="22"/>
        </w:rPr>
        <w:lastRenderedPageBreak/>
        <w:t xml:space="preserve">Not all </w:t>
      </w:r>
      <w:r w:rsidR="006B67A5">
        <w:rPr>
          <w:sz w:val="22"/>
          <w:szCs w:val="22"/>
        </w:rPr>
        <w:t xml:space="preserve">final </w:t>
      </w:r>
      <w:r w:rsidRPr="00C86DB5">
        <w:rPr>
          <w:sz w:val="22"/>
          <w:szCs w:val="22"/>
        </w:rPr>
        <w:t>rule requirement</w:t>
      </w:r>
      <w:r w:rsidR="007424C3">
        <w:rPr>
          <w:sz w:val="22"/>
          <w:szCs w:val="22"/>
        </w:rPr>
        <w:t xml:space="preserve"> change</w:t>
      </w:r>
      <w:r w:rsidRPr="00C86DB5">
        <w:rPr>
          <w:sz w:val="22"/>
          <w:szCs w:val="22"/>
        </w:rPr>
        <w:t>s apply to all</w:t>
      </w:r>
      <w:r w:rsidRPr="00C86DB5" w:rsidR="0099299D">
        <w:rPr>
          <w:sz w:val="22"/>
          <w:szCs w:val="22"/>
        </w:rPr>
        <w:t xml:space="preserve"> </w:t>
      </w:r>
      <w:r w:rsidR="00C86DB5">
        <w:rPr>
          <w:sz w:val="22"/>
          <w:szCs w:val="22"/>
        </w:rPr>
        <w:t>59 sites or all 24 FFD programs</w:t>
      </w:r>
      <w:r w:rsidRPr="00C86DB5">
        <w:rPr>
          <w:sz w:val="22"/>
          <w:szCs w:val="22"/>
        </w:rPr>
        <w:t>.  For example</w:t>
      </w:r>
      <w:r w:rsidRPr="00C86DB5" w:rsidR="00646A79">
        <w:rPr>
          <w:sz w:val="22"/>
          <w:szCs w:val="22"/>
        </w:rPr>
        <w:t>,</w:t>
      </w:r>
      <w:r w:rsidRPr="00C86DB5">
        <w:rPr>
          <w:sz w:val="22"/>
          <w:szCs w:val="22"/>
        </w:rPr>
        <w:t xml:space="preserve"> some changes</w:t>
      </w:r>
      <w:r w:rsidRPr="00C86DB5" w:rsidDel="006B67A5">
        <w:rPr>
          <w:sz w:val="22"/>
          <w:szCs w:val="22"/>
        </w:rPr>
        <w:t xml:space="preserve"> </w:t>
      </w:r>
      <w:r w:rsidRPr="00C86DB5">
        <w:rPr>
          <w:sz w:val="22"/>
          <w:szCs w:val="22"/>
        </w:rPr>
        <w:t xml:space="preserve">only impact the </w:t>
      </w:r>
      <w:r w:rsidRPr="00C86DB5" w:rsidR="0099299D">
        <w:rPr>
          <w:sz w:val="22"/>
          <w:szCs w:val="22"/>
        </w:rPr>
        <w:t xml:space="preserve">three </w:t>
      </w:r>
      <w:r w:rsidRPr="00C86DB5">
        <w:rPr>
          <w:sz w:val="22"/>
          <w:szCs w:val="22"/>
        </w:rPr>
        <w:t xml:space="preserve">sites that conduct initial drug and validity testing at LTFs and not the </w:t>
      </w:r>
      <w:r w:rsidR="00A77F87">
        <w:rPr>
          <w:sz w:val="22"/>
          <w:szCs w:val="22"/>
        </w:rPr>
        <w:t>56 sites</w:t>
      </w:r>
      <w:r w:rsidRPr="00C86DB5">
        <w:rPr>
          <w:sz w:val="22"/>
          <w:szCs w:val="22"/>
        </w:rPr>
        <w:t xml:space="preserve"> that only use HHS</w:t>
      </w:r>
      <w:r w:rsidRPr="00C86DB5">
        <w:rPr>
          <w:sz w:val="22"/>
          <w:szCs w:val="22"/>
        </w:rPr>
        <w:noBreakHyphen/>
        <w:t xml:space="preserve">certified laboratories to conduct all drug and validity testing.  </w:t>
      </w:r>
      <w:r w:rsidRPr="00C86DB5" w:rsidR="00FC5CDE">
        <w:rPr>
          <w:sz w:val="22"/>
          <w:szCs w:val="22"/>
        </w:rPr>
        <w:t xml:space="preserve">Appendix C </w:t>
      </w:r>
      <w:r w:rsidR="00CA48C0">
        <w:rPr>
          <w:sz w:val="22"/>
          <w:szCs w:val="22"/>
        </w:rPr>
        <w:t xml:space="preserve">presents </w:t>
      </w:r>
      <w:r w:rsidR="00FC5CDE">
        <w:rPr>
          <w:sz w:val="22"/>
          <w:szCs w:val="22"/>
        </w:rPr>
        <w:t>t</w:t>
      </w:r>
      <w:r w:rsidRPr="00C86DB5" w:rsidR="00FC5CDE">
        <w:rPr>
          <w:sz w:val="22"/>
          <w:szCs w:val="22"/>
        </w:rPr>
        <w:t xml:space="preserve">he </w:t>
      </w:r>
      <w:r w:rsidR="00FC5CDE">
        <w:rPr>
          <w:sz w:val="22"/>
          <w:szCs w:val="22"/>
        </w:rPr>
        <w:t xml:space="preserve">differences in the </w:t>
      </w:r>
      <w:r w:rsidRPr="00C86DB5">
        <w:rPr>
          <w:sz w:val="22"/>
          <w:szCs w:val="22"/>
        </w:rPr>
        <w:t xml:space="preserve">cost calculations </w:t>
      </w:r>
      <w:r w:rsidR="00CA48C0">
        <w:rPr>
          <w:sz w:val="22"/>
          <w:szCs w:val="22"/>
        </w:rPr>
        <w:t xml:space="preserve">by final </w:t>
      </w:r>
      <w:r w:rsidRPr="00C86DB5">
        <w:rPr>
          <w:sz w:val="22"/>
          <w:szCs w:val="22"/>
        </w:rPr>
        <w:t>rule requirement.</w:t>
      </w:r>
    </w:p>
    <w:p w:rsidR="00D520BD" w:rsidP="007D51AE" w:rsidRDefault="00D520BD" w14:paraId="7BF2988A" w14:textId="77777777">
      <w:pPr>
        <w:pStyle w:val="ListParagraph"/>
        <w:ind w:left="1440" w:hanging="720"/>
        <w:rPr>
          <w:sz w:val="22"/>
          <w:szCs w:val="22"/>
        </w:rPr>
      </w:pPr>
    </w:p>
    <w:p w:rsidRPr="004F4617" w:rsidR="00D520BD" w:rsidP="005C6BA3" w:rsidRDefault="00D520BD" w14:paraId="24D2E6B6" w14:textId="50E1ABC5">
      <w:pPr>
        <w:pStyle w:val="ListParagraph"/>
        <w:numPr>
          <w:ilvl w:val="0"/>
          <w:numId w:val="10"/>
        </w:numPr>
        <w:ind w:hanging="720"/>
        <w:rPr>
          <w:sz w:val="22"/>
          <w:szCs w:val="22"/>
        </w:rPr>
      </w:pPr>
      <w:r>
        <w:rPr>
          <w:sz w:val="22"/>
          <w:szCs w:val="22"/>
        </w:rPr>
        <w:t>T</w:t>
      </w:r>
      <w:r w:rsidRPr="00AD477E">
        <w:rPr>
          <w:sz w:val="22"/>
          <w:szCs w:val="22"/>
        </w:rPr>
        <w:t xml:space="preserve">he </w:t>
      </w:r>
      <w:r w:rsidRPr="00C552D9" w:rsidR="00C552D9">
        <w:rPr>
          <w:iCs/>
          <w:sz w:val="22"/>
          <w:szCs w:val="22"/>
        </w:rPr>
        <w:t>average cost per site to</w:t>
      </w:r>
      <w:r w:rsidR="00C552D9">
        <w:rPr>
          <w:sz w:val="22"/>
          <w:szCs w:val="22"/>
        </w:rPr>
        <w:t xml:space="preserve"> </w:t>
      </w:r>
      <w:r>
        <w:rPr>
          <w:sz w:val="22"/>
          <w:szCs w:val="22"/>
        </w:rPr>
        <w:t xml:space="preserve">comply with each rule requirement is calculated by dividing </w:t>
      </w:r>
      <w:r w:rsidRPr="00AD477E">
        <w:rPr>
          <w:sz w:val="22"/>
          <w:szCs w:val="22"/>
        </w:rPr>
        <w:t xml:space="preserve">the </w:t>
      </w:r>
      <w:r w:rsidRPr="005E3176" w:rsidR="005E3176">
        <w:rPr>
          <w:iCs/>
          <w:sz w:val="22"/>
          <w:szCs w:val="22"/>
        </w:rPr>
        <w:t>total industry cost or benefit</w:t>
      </w:r>
      <w:r w:rsidR="005E3176">
        <w:rPr>
          <w:i/>
          <w:sz w:val="22"/>
          <w:szCs w:val="22"/>
        </w:rPr>
        <w:t xml:space="preserve"> </w:t>
      </w:r>
      <w:r w:rsidRPr="00A00974">
        <w:rPr>
          <w:sz w:val="22"/>
          <w:szCs w:val="22"/>
        </w:rPr>
        <w:t>per requirement</w:t>
      </w:r>
      <w:r w:rsidRPr="00AD477E">
        <w:rPr>
          <w:sz w:val="22"/>
          <w:szCs w:val="22"/>
        </w:rPr>
        <w:t xml:space="preserve"> by the </w:t>
      </w:r>
      <w:r>
        <w:rPr>
          <w:sz w:val="22"/>
          <w:szCs w:val="22"/>
        </w:rPr>
        <w:t xml:space="preserve">total </w:t>
      </w:r>
      <w:r w:rsidRPr="00AD477E">
        <w:rPr>
          <w:sz w:val="22"/>
          <w:szCs w:val="22"/>
        </w:rPr>
        <w:t xml:space="preserve">number of </w:t>
      </w:r>
      <w:r>
        <w:rPr>
          <w:sz w:val="22"/>
          <w:szCs w:val="22"/>
        </w:rPr>
        <w:t>affected sites</w:t>
      </w:r>
      <w:r w:rsidRPr="00AD477E">
        <w:rPr>
          <w:sz w:val="22"/>
          <w:szCs w:val="22"/>
        </w:rPr>
        <w:t>.</w:t>
      </w:r>
      <w:r>
        <w:rPr>
          <w:sz w:val="22"/>
          <w:szCs w:val="22"/>
        </w:rPr>
        <w:t xml:space="preserve">  </w:t>
      </w:r>
      <w:r w:rsidRPr="004F4617">
        <w:rPr>
          <w:sz w:val="22"/>
          <w:szCs w:val="22"/>
        </w:rPr>
        <w:t xml:space="preserve">While the </w:t>
      </w:r>
      <w:r w:rsidRPr="00C552D9" w:rsidR="00C552D9">
        <w:rPr>
          <w:iCs/>
          <w:sz w:val="22"/>
          <w:szCs w:val="22"/>
        </w:rPr>
        <w:t>average cost or benefit per site</w:t>
      </w:r>
      <w:r w:rsidRPr="004F4617" w:rsidR="00C552D9">
        <w:rPr>
          <w:sz w:val="22"/>
          <w:szCs w:val="22"/>
        </w:rPr>
        <w:t xml:space="preserve"> </w:t>
      </w:r>
      <w:r w:rsidRPr="004F4617">
        <w:rPr>
          <w:sz w:val="22"/>
          <w:szCs w:val="22"/>
        </w:rPr>
        <w:t xml:space="preserve">does not present the potential variability </w:t>
      </w:r>
      <w:r>
        <w:rPr>
          <w:sz w:val="22"/>
          <w:szCs w:val="22"/>
        </w:rPr>
        <w:t xml:space="preserve">for an estimated value </w:t>
      </w:r>
      <w:r w:rsidRPr="004F4617">
        <w:rPr>
          <w:sz w:val="22"/>
          <w:szCs w:val="22"/>
        </w:rPr>
        <w:t>based on facility type (e.g.</w:t>
      </w:r>
      <w:r w:rsidR="00646A79">
        <w:rPr>
          <w:sz w:val="22"/>
          <w:szCs w:val="22"/>
        </w:rPr>
        <w:t>,</w:t>
      </w:r>
      <w:r>
        <w:rPr>
          <w:sz w:val="22"/>
          <w:szCs w:val="22"/>
        </w:rPr>
        <w:t> </w:t>
      </w:r>
      <w:r w:rsidRPr="004F4617">
        <w:rPr>
          <w:sz w:val="22"/>
          <w:szCs w:val="22"/>
        </w:rPr>
        <w:t>corporate office</w:t>
      </w:r>
      <w:r w:rsidR="00646A79">
        <w:rPr>
          <w:sz w:val="22"/>
          <w:szCs w:val="22"/>
        </w:rPr>
        <w:t>,</w:t>
      </w:r>
      <w:r w:rsidRPr="004F4617">
        <w:rPr>
          <w:sz w:val="22"/>
          <w:szCs w:val="22"/>
        </w:rPr>
        <w:t xml:space="preserve"> </w:t>
      </w:r>
      <w:r w:rsidR="00A07CD8">
        <w:rPr>
          <w:sz w:val="22"/>
          <w:szCs w:val="22"/>
        </w:rPr>
        <w:t xml:space="preserve">Category I </w:t>
      </w:r>
      <w:r w:rsidR="004F4B95">
        <w:rPr>
          <w:sz w:val="22"/>
          <w:szCs w:val="22"/>
        </w:rPr>
        <w:t>special nuclear material licensee</w:t>
      </w:r>
      <w:r w:rsidR="00A07CD8">
        <w:rPr>
          <w:sz w:val="22"/>
          <w:szCs w:val="22"/>
        </w:rPr>
        <w:t xml:space="preserve"> </w:t>
      </w:r>
      <w:r w:rsidR="00A07CD8">
        <w:rPr>
          <w:rFonts w:cs="Arial"/>
          <w:sz w:val="22"/>
          <w:szCs w:val="22"/>
        </w:rPr>
        <w:t>facility</w:t>
      </w:r>
      <w:r w:rsidR="00646A79">
        <w:rPr>
          <w:sz w:val="22"/>
          <w:szCs w:val="22"/>
        </w:rPr>
        <w:t>,</w:t>
      </w:r>
      <w:r w:rsidRPr="004F4617">
        <w:rPr>
          <w:sz w:val="22"/>
          <w:szCs w:val="22"/>
        </w:rPr>
        <w:t xml:space="preserve"> </w:t>
      </w:r>
      <w:r>
        <w:rPr>
          <w:sz w:val="22"/>
          <w:szCs w:val="22"/>
        </w:rPr>
        <w:t xml:space="preserve">operating </w:t>
      </w:r>
      <w:r w:rsidR="007A548B">
        <w:rPr>
          <w:sz w:val="22"/>
          <w:szCs w:val="22"/>
        </w:rPr>
        <w:t xml:space="preserve">power </w:t>
      </w:r>
      <w:r w:rsidRPr="004F4617">
        <w:rPr>
          <w:sz w:val="22"/>
          <w:szCs w:val="22"/>
        </w:rPr>
        <w:t>reactor)</w:t>
      </w:r>
      <w:r w:rsidR="00646A79">
        <w:rPr>
          <w:sz w:val="22"/>
          <w:szCs w:val="22"/>
        </w:rPr>
        <w:t>,</w:t>
      </w:r>
      <w:r w:rsidRPr="004F4617">
        <w:rPr>
          <w:sz w:val="22"/>
          <w:szCs w:val="22"/>
        </w:rPr>
        <w:t xml:space="preserve"> the NRC staff believes </w:t>
      </w:r>
      <w:r>
        <w:rPr>
          <w:sz w:val="22"/>
          <w:szCs w:val="22"/>
        </w:rPr>
        <w:t xml:space="preserve">that </w:t>
      </w:r>
      <w:r w:rsidRPr="004F4617">
        <w:rPr>
          <w:sz w:val="22"/>
          <w:szCs w:val="22"/>
        </w:rPr>
        <w:t xml:space="preserve">this </w:t>
      </w:r>
      <w:r>
        <w:rPr>
          <w:sz w:val="22"/>
          <w:szCs w:val="22"/>
        </w:rPr>
        <w:t xml:space="preserve">is </w:t>
      </w:r>
      <w:r w:rsidRPr="004F4617">
        <w:rPr>
          <w:sz w:val="22"/>
          <w:szCs w:val="22"/>
        </w:rPr>
        <w:t xml:space="preserve">a reasonable measure </w:t>
      </w:r>
      <w:r>
        <w:rPr>
          <w:sz w:val="22"/>
          <w:szCs w:val="22"/>
        </w:rPr>
        <w:t xml:space="preserve">to present the potential </w:t>
      </w:r>
      <w:r w:rsidRPr="004F4617">
        <w:rPr>
          <w:sz w:val="22"/>
          <w:szCs w:val="22"/>
        </w:rPr>
        <w:t>impact</w:t>
      </w:r>
      <w:r>
        <w:rPr>
          <w:sz w:val="22"/>
          <w:szCs w:val="22"/>
        </w:rPr>
        <w:t xml:space="preserve"> to the nuclear industry</w:t>
      </w:r>
      <w:r w:rsidRPr="004F4617">
        <w:rPr>
          <w:sz w:val="22"/>
          <w:szCs w:val="22"/>
        </w:rPr>
        <w:t xml:space="preserve"> of each rule change </w:t>
      </w:r>
      <w:r>
        <w:rPr>
          <w:sz w:val="22"/>
          <w:szCs w:val="22"/>
        </w:rPr>
        <w:t xml:space="preserve">for </w:t>
      </w:r>
      <w:r w:rsidRPr="004F4617">
        <w:rPr>
          <w:sz w:val="22"/>
          <w:szCs w:val="22"/>
        </w:rPr>
        <w:t>the following</w:t>
      </w:r>
      <w:r>
        <w:rPr>
          <w:sz w:val="22"/>
          <w:szCs w:val="22"/>
        </w:rPr>
        <w:t xml:space="preserve"> </w:t>
      </w:r>
      <w:r w:rsidR="00261686">
        <w:rPr>
          <w:sz w:val="22"/>
          <w:szCs w:val="22"/>
        </w:rPr>
        <w:t xml:space="preserve">four </w:t>
      </w:r>
      <w:r>
        <w:rPr>
          <w:sz w:val="22"/>
          <w:szCs w:val="22"/>
        </w:rPr>
        <w:t>reasons</w:t>
      </w:r>
      <w:r w:rsidRPr="004F4617">
        <w:rPr>
          <w:sz w:val="22"/>
          <w:szCs w:val="22"/>
        </w:rPr>
        <w:t>:</w:t>
      </w:r>
    </w:p>
    <w:p w:rsidR="00D520BD" w:rsidP="007D51AE" w:rsidRDefault="00D520BD" w14:paraId="49E9A244" w14:textId="77777777">
      <w:pPr>
        <w:pStyle w:val="ListParagraph"/>
        <w:ind w:left="1440" w:hanging="720"/>
        <w:rPr>
          <w:sz w:val="22"/>
          <w:szCs w:val="22"/>
        </w:rPr>
      </w:pPr>
    </w:p>
    <w:p w:rsidRPr="00D847B3" w:rsidR="00D520BD" w:rsidP="005C6BA3" w:rsidRDefault="00A532F5" w14:paraId="2302F5DA" w14:textId="1F095153">
      <w:pPr>
        <w:pStyle w:val="ListParagraph"/>
        <w:numPr>
          <w:ilvl w:val="0"/>
          <w:numId w:val="11"/>
        </w:numPr>
        <w:ind w:hanging="720"/>
        <w:rPr>
          <w:sz w:val="22"/>
          <w:szCs w:val="22"/>
        </w:rPr>
      </w:pPr>
      <w:r>
        <w:rPr>
          <w:sz w:val="22"/>
          <w:szCs w:val="22"/>
        </w:rPr>
        <w:t>Operating power reactors constitute t</w:t>
      </w:r>
      <w:r w:rsidRPr="00D847B3" w:rsidR="00D520BD">
        <w:rPr>
          <w:sz w:val="22"/>
          <w:szCs w:val="22"/>
        </w:rPr>
        <w:t xml:space="preserve">he majority of sites in the analysis  </w:t>
      </w:r>
      <w:r w:rsidR="003567A8">
        <w:rPr>
          <w:sz w:val="22"/>
          <w:szCs w:val="22"/>
        </w:rPr>
        <w:br/>
      </w:r>
      <w:r w:rsidR="00D847B3">
        <w:rPr>
          <w:sz w:val="22"/>
          <w:szCs w:val="22"/>
        </w:rPr>
        <w:t>(</w:t>
      </w:r>
      <w:r w:rsidR="00687B55">
        <w:rPr>
          <w:sz w:val="22"/>
          <w:szCs w:val="22"/>
        </w:rPr>
        <w:t xml:space="preserve">86 percent of sites; </w:t>
      </w:r>
      <w:r w:rsidR="00D847B3">
        <w:rPr>
          <w:sz w:val="22"/>
          <w:szCs w:val="22"/>
        </w:rPr>
        <w:t>5</w:t>
      </w:r>
      <w:r w:rsidR="00436EC2">
        <w:rPr>
          <w:sz w:val="22"/>
          <w:szCs w:val="22"/>
        </w:rPr>
        <w:t>1</w:t>
      </w:r>
      <w:r w:rsidR="00D847B3">
        <w:rPr>
          <w:sz w:val="22"/>
          <w:szCs w:val="22"/>
        </w:rPr>
        <w:t xml:space="preserve"> of 59 sites)</w:t>
      </w:r>
      <w:r w:rsidRPr="00D847B3" w:rsidR="00D520BD">
        <w:rPr>
          <w:sz w:val="22"/>
          <w:szCs w:val="22"/>
        </w:rPr>
        <w:t>.</w:t>
      </w:r>
    </w:p>
    <w:p w:rsidR="00D520BD" w:rsidP="007D51AE" w:rsidRDefault="00D520BD" w14:paraId="439E7C4B" w14:textId="77777777">
      <w:pPr>
        <w:pStyle w:val="ListParagraph"/>
        <w:ind w:left="1440" w:hanging="720"/>
        <w:rPr>
          <w:sz w:val="22"/>
          <w:szCs w:val="22"/>
        </w:rPr>
      </w:pPr>
    </w:p>
    <w:p w:rsidRPr="00E41560" w:rsidR="00D520BD" w:rsidP="005C6BA3" w:rsidRDefault="00D520BD" w14:paraId="321329C1" w14:textId="06DC016E">
      <w:pPr>
        <w:pStyle w:val="ListParagraph"/>
        <w:numPr>
          <w:ilvl w:val="0"/>
          <w:numId w:val="11"/>
        </w:numPr>
        <w:ind w:hanging="720"/>
        <w:rPr>
          <w:sz w:val="22"/>
          <w:szCs w:val="22"/>
        </w:rPr>
      </w:pPr>
      <w:r w:rsidRPr="00E41560">
        <w:rPr>
          <w:sz w:val="22"/>
          <w:szCs w:val="22"/>
        </w:rPr>
        <w:t>The rule changes (beyond the implementation activities in the initial year of the rule associated with policy updates</w:t>
      </w:r>
      <w:r w:rsidR="00646A79">
        <w:rPr>
          <w:sz w:val="22"/>
          <w:szCs w:val="22"/>
        </w:rPr>
        <w:t>,</w:t>
      </w:r>
      <w:r w:rsidRPr="00E41560">
        <w:rPr>
          <w:sz w:val="22"/>
          <w:szCs w:val="22"/>
        </w:rPr>
        <w:t xml:space="preserve"> contract revisions</w:t>
      </w:r>
      <w:r w:rsidR="00646A79">
        <w:rPr>
          <w:sz w:val="22"/>
          <w:szCs w:val="22"/>
        </w:rPr>
        <w:t>,</w:t>
      </w:r>
      <w:r w:rsidRPr="00E41560">
        <w:rPr>
          <w:sz w:val="22"/>
          <w:szCs w:val="22"/>
        </w:rPr>
        <w:t xml:space="preserve"> and training) only pertain to conducting drug tests and the associated positives that result from those tests.  Therefore</w:t>
      </w:r>
      <w:r w:rsidR="00646A79">
        <w:rPr>
          <w:sz w:val="22"/>
          <w:szCs w:val="22"/>
        </w:rPr>
        <w:t>,</w:t>
      </w:r>
      <w:r w:rsidRPr="00E41560">
        <w:rPr>
          <w:sz w:val="22"/>
          <w:szCs w:val="22"/>
        </w:rPr>
        <w:t xml:space="preserve"> the impact of the rule is directly dependent on the number of individuals tested at each site and the resulting positive</w:t>
      </w:r>
      <w:r>
        <w:rPr>
          <w:sz w:val="22"/>
          <w:szCs w:val="22"/>
        </w:rPr>
        <w:t xml:space="preserve"> tests</w:t>
      </w:r>
      <w:r w:rsidRPr="00E41560">
        <w:rPr>
          <w:sz w:val="22"/>
          <w:szCs w:val="22"/>
        </w:rPr>
        <w:t xml:space="preserve">.  </w:t>
      </w:r>
      <w:r>
        <w:rPr>
          <w:sz w:val="22"/>
          <w:szCs w:val="22"/>
        </w:rPr>
        <w:t>Typically</w:t>
      </w:r>
      <w:r w:rsidR="00646A79">
        <w:rPr>
          <w:sz w:val="22"/>
          <w:szCs w:val="22"/>
        </w:rPr>
        <w:t>,</w:t>
      </w:r>
      <w:r w:rsidRPr="00E41560">
        <w:rPr>
          <w:sz w:val="22"/>
          <w:szCs w:val="22"/>
        </w:rPr>
        <w:t xml:space="preserve"> a multiunit nuclear power reactor site will </w:t>
      </w:r>
      <w:r>
        <w:rPr>
          <w:sz w:val="22"/>
          <w:szCs w:val="22"/>
        </w:rPr>
        <w:t>us</w:t>
      </w:r>
      <w:r w:rsidRPr="00E41560">
        <w:rPr>
          <w:sz w:val="22"/>
          <w:szCs w:val="22"/>
        </w:rPr>
        <w:t>e a larger workforce than a single-unit site.  However</w:t>
      </w:r>
      <w:r w:rsidR="00646A79">
        <w:rPr>
          <w:sz w:val="22"/>
          <w:szCs w:val="22"/>
        </w:rPr>
        <w:t>,</w:t>
      </w:r>
      <w:r w:rsidRPr="00E41560">
        <w:rPr>
          <w:sz w:val="22"/>
          <w:szCs w:val="22"/>
        </w:rPr>
        <w:t xml:space="preserve"> the workforce at a</w:t>
      </w:r>
      <w:r>
        <w:rPr>
          <w:sz w:val="22"/>
          <w:szCs w:val="22"/>
        </w:rPr>
        <w:t>ny</w:t>
      </w:r>
      <w:r w:rsidRPr="00E41560">
        <w:rPr>
          <w:sz w:val="22"/>
          <w:szCs w:val="22"/>
        </w:rPr>
        <w:t xml:space="preserve"> site </w:t>
      </w:r>
      <w:r>
        <w:rPr>
          <w:sz w:val="22"/>
          <w:szCs w:val="22"/>
        </w:rPr>
        <w:t xml:space="preserve">is </w:t>
      </w:r>
      <w:r w:rsidRPr="00E41560">
        <w:rPr>
          <w:sz w:val="22"/>
          <w:szCs w:val="22"/>
        </w:rPr>
        <w:t xml:space="preserve">affected by </w:t>
      </w:r>
      <w:r>
        <w:rPr>
          <w:sz w:val="22"/>
          <w:szCs w:val="22"/>
        </w:rPr>
        <w:t xml:space="preserve">plant </w:t>
      </w:r>
      <w:r w:rsidRPr="00E41560">
        <w:rPr>
          <w:sz w:val="22"/>
          <w:szCs w:val="22"/>
        </w:rPr>
        <w:t>outages</w:t>
      </w:r>
      <w:r>
        <w:rPr>
          <w:sz w:val="22"/>
          <w:szCs w:val="22"/>
        </w:rPr>
        <w:t xml:space="preserve"> because of the additional workers brought on site</w:t>
      </w:r>
      <w:r w:rsidRPr="00E41560">
        <w:rPr>
          <w:sz w:val="22"/>
          <w:szCs w:val="22"/>
        </w:rPr>
        <w:t>.  Appendix</w:t>
      </w:r>
      <w:r>
        <w:rPr>
          <w:sz w:val="22"/>
          <w:szCs w:val="22"/>
        </w:rPr>
        <w:t> </w:t>
      </w:r>
      <w:r w:rsidRPr="00E41560">
        <w:rPr>
          <w:sz w:val="22"/>
          <w:szCs w:val="22"/>
        </w:rPr>
        <w:t xml:space="preserve">A </w:t>
      </w:r>
      <w:r w:rsidR="00FC4041">
        <w:rPr>
          <w:sz w:val="22"/>
          <w:szCs w:val="22"/>
        </w:rPr>
        <w:t xml:space="preserve">provides </w:t>
      </w:r>
      <w:r w:rsidRPr="00E41560">
        <w:rPr>
          <w:sz w:val="22"/>
          <w:szCs w:val="22"/>
        </w:rPr>
        <w:t>site</w:t>
      </w:r>
      <w:r>
        <w:rPr>
          <w:sz w:val="22"/>
          <w:szCs w:val="22"/>
        </w:rPr>
        <w:noBreakHyphen/>
      </w:r>
      <w:r w:rsidRPr="00E41560">
        <w:rPr>
          <w:sz w:val="22"/>
          <w:szCs w:val="22"/>
        </w:rPr>
        <w:t xml:space="preserve">specific </w:t>
      </w:r>
      <w:r>
        <w:rPr>
          <w:sz w:val="22"/>
          <w:szCs w:val="22"/>
        </w:rPr>
        <w:t xml:space="preserve">testing </w:t>
      </w:r>
      <w:r w:rsidRPr="00E41560">
        <w:rPr>
          <w:sz w:val="22"/>
          <w:szCs w:val="22"/>
        </w:rPr>
        <w:t xml:space="preserve">data from </w:t>
      </w:r>
      <w:r>
        <w:rPr>
          <w:sz w:val="22"/>
          <w:szCs w:val="22"/>
        </w:rPr>
        <w:t xml:space="preserve">CY 2009 </w:t>
      </w:r>
      <w:r w:rsidRPr="00E41560">
        <w:rPr>
          <w:sz w:val="22"/>
          <w:szCs w:val="22"/>
        </w:rPr>
        <w:t xml:space="preserve">through </w:t>
      </w:r>
      <w:r>
        <w:rPr>
          <w:sz w:val="22"/>
          <w:szCs w:val="22"/>
        </w:rPr>
        <w:t>CY 201</w:t>
      </w:r>
      <w:r w:rsidR="0099299D">
        <w:rPr>
          <w:sz w:val="22"/>
          <w:szCs w:val="22"/>
        </w:rPr>
        <w:t>9</w:t>
      </w:r>
      <w:r w:rsidRPr="00E41560">
        <w:rPr>
          <w:sz w:val="22"/>
          <w:szCs w:val="22"/>
        </w:rPr>
        <w:t>.</w:t>
      </w:r>
    </w:p>
    <w:p w:rsidRPr="00E41560" w:rsidR="00D520BD" w:rsidP="007D51AE" w:rsidRDefault="00D520BD" w14:paraId="2435A928" w14:textId="77777777">
      <w:pPr>
        <w:pStyle w:val="ListParagraph"/>
        <w:ind w:left="1440" w:hanging="720"/>
        <w:rPr>
          <w:sz w:val="22"/>
          <w:szCs w:val="22"/>
        </w:rPr>
      </w:pPr>
    </w:p>
    <w:p w:rsidRPr="00E41560" w:rsidR="00D520BD" w:rsidP="005C6BA3" w:rsidRDefault="00D520BD" w14:paraId="39A7276B" w14:textId="13A032C5">
      <w:pPr>
        <w:pStyle w:val="ListParagraph"/>
        <w:numPr>
          <w:ilvl w:val="0"/>
          <w:numId w:val="11"/>
        </w:numPr>
        <w:ind w:hanging="720"/>
        <w:rPr>
          <w:sz w:val="22"/>
          <w:szCs w:val="22"/>
        </w:rPr>
      </w:pPr>
      <w:r w:rsidRPr="00E41560">
        <w:rPr>
          <w:sz w:val="22"/>
          <w:szCs w:val="22"/>
        </w:rPr>
        <w:t xml:space="preserve">The number of positive </w:t>
      </w:r>
      <w:r>
        <w:rPr>
          <w:sz w:val="22"/>
          <w:szCs w:val="22"/>
        </w:rPr>
        <w:t xml:space="preserve">test </w:t>
      </w:r>
      <w:r w:rsidRPr="00E41560">
        <w:rPr>
          <w:sz w:val="22"/>
          <w:szCs w:val="22"/>
        </w:rPr>
        <w:t xml:space="preserve">results </w:t>
      </w:r>
      <w:r>
        <w:rPr>
          <w:sz w:val="22"/>
          <w:szCs w:val="22"/>
        </w:rPr>
        <w:t xml:space="preserve">may </w:t>
      </w:r>
      <w:r w:rsidRPr="00E41560">
        <w:rPr>
          <w:sz w:val="22"/>
          <w:szCs w:val="22"/>
        </w:rPr>
        <w:t>vary from year to year at a site</w:t>
      </w:r>
      <w:r>
        <w:rPr>
          <w:sz w:val="22"/>
          <w:szCs w:val="22"/>
        </w:rPr>
        <w:t xml:space="preserve">.  Possible reasons for changes in the positive testing rate at a site might include changes in the </w:t>
      </w:r>
      <w:r w:rsidRPr="00E41560">
        <w:rPr>
          <w:sz w:val="22"/>
          <w:szCs w:val="22"/>
        </w:rPr>
        <w:t>characteristics of the workforce (</w:t>
      </w:r>
      <w:r>
        <w:rPr>
          <w:sz w:val="22"/>
          <w:szCs w:val="22"/>
        </w:rPr>
        <w:t>e.g.</w:t>
      </w:r>
      <w:r w:rsidR="00646A79">
        <w:rPr>
          <w:sz w:val="22"/>
          <w:szCs w:val="22"/>
        </w:rPr>
        <w:t>,</w:t>
      </w:r>
      <w:r>
        <w:rPr>
          <w:sz w:val="22"/>
          <w:szCs w:val="22"/>
        </w:rPr>
        <w:t> </w:t>
      </w:r>
      <w:r w:rsidRPr="00E41560">
        <w:rPr>
          <w:sz w:val="22"/>
          <w:szCs w:val="22"/>
        </w:rPr>
        <w:t>age</w:t>
      </w:r>
      <w:r>
        <w:rPr>
          <w:sz w:val="22"/>
          <w:szCs w:val="22"/>
        </w:rPr>
        <w:t xml:space="preserve"> of workers</w:t>
      </w:r>
      <w:r w:rsidR="00646A79">
        <w:rPr>
          <w:sz w:val="22"/>
          <w:szCs w:val="22"/>
        </w:rPr>
        <w:t>,</w:t>
      </w:r>
      <w:r w:rsidRPr="00E41560">
        <w:rPr>
          <w:sz w:val="22"/>
          <w:szCs w:val="22"/>
        </w:rPr>
        <w:t xml:space="preserve"> job dut</w:t>
      </w:r>
      <w:r>
        <w:rPr>
          <w:sz w:val="22"/>
          <w:szCs w:val="22"/>
        </w:rPr>
        <w:t>ies</w:t>
      </w:r>
      <w:r w:rsidR="00646A79">
        <w:rPr>
          <w:sz w:val="22"/>
          <w:szCs w:val="22"/>
        </w:rPr>
        <w:t>,</w:t>
      </w:r>
      <w:r w:rsidRPr="00E41560">
        <w:rPr>
          <w:sz w:val="22"/>
          <w:szCs w:val="22"/>
        </w:rPr>
        <w:t xml:space="preserve"> </w:t>
      </w:r>
      <w:r>
        <w:rPr>
          <w:sz w:val="22"/>
          <w:szCs w:val="22"/>
        </w:rPr>
        <w:t xml:space="preserve">and </w:t>
      </w:r>
      <w:r w:rsidRPr="00E41560">
        <w:rPr>
          <w:sz w:val="22"/>
          <w:szCs w:val="22"/>
        </w:rPr>
        <w:t>employment type</w:t>
      </w:r>
      <w:r>
        <w:rPr>
          <w:sz w:val="22"/>
          <w:szCs w:val="22"/>
        </w:rPr>
        <w:t>s)</w:t>
      </w:r>
      <w:r w:rsidR="00646A79">
        <w:rPr>
          <w:sz w:val="22"/>
          <w:szCs w:val="22"/>
        </w:rPr>
        <w:t>,</w:t>
      </w:r>
      <w:r>
        <w:rPr>
          <w:sz w:val="22"/>
          <w:szCs w:val="22"/>
        </w:rPr>
        <w:t xml:space="preserve"> number of new hires</w:t>
      </w:r>
      <w:r w:rsidR="00646A79">
        <w:rPr>
          <w:sz w:val="22"/>
          <w:szCs w:val="22"/>
        </w:rPr>
        <w:t>,</w:t>
      </w:r>
      <w:r>
        <w:rPr>
          <w:sz w:val="22"/>
          <w:szCs w:val="22"/>
        </w:rPr>
        <w:t xml:space="preserve"> or changes in the availability of illegal drugs in the local area</w:t>
      </w:r>
      <w:r w:rsidRPr="00E41560">
        <w:rPr>
          <w:sz w:val="22"/>
          <w:szCs w:val="22"/>
        </w:rPr>
        <w:t>.  For example</w:t>
      </w:r>
      <w:r w:rsidR="00646A79">
        <w:rPr>
          <w:sz w:val="22"/>
          <w:szCs w:val="22"/>
        </w:rPr>
        <w:t>,</w:t>
      </w:r>
      <w:r w:rsidRPr="00E41560">
        <w:rPr>
          <w:sz w:val="22"/>
          <w:szCs w:val="22"/>
        </w:rPr>
        <w:t xml:space="preserve"> </w:t>
      </w:r>
      <w:r>
        <w:rPr>
          <w:sz w:val="22"/>
          <w:szCs w:val="22"/>
        </w:rPr>
        <w:t xml:space="preserve">the </w:t>
      </w:r>
      <w:r w:rsidRPr="00E41560">
        <w:rPr>
          <w:sz w:val="22"/>
          <w:szCs w:val="22"/>
        </w:rPr>
        <w:t xml:space="preserve">analysis of FFD program performance </w:t>
      </w:r>
      <w:r w:rsidRPr="00F607EC">
        <w:rPr>
          <w:sz w:val="22"/>
          <w:szCs w:val="22"/>
        </w:rPr>
        <w:t>data has identified that C/Vs</w:t>
      </w:r>
      <w:r w:rsidRPr="00F607EC" w:rsidR="00646A79">
        <w:rPr>
          <w:sz w:val="22"/>
          <w:szCs w:val="22"/>
        </w:rPr>
        <w:t>,</w:t>
      </w:r>
      <w:r w:rsidRPr="00F607EC">
        <w:rPr>
          <w:sz w:val="22"/>
          <w:szCs w:val="22"/>
        </w:rPr>
        <w:t xml:space="preserve"> on average</w:t>
      </w:r>
      <w:r w:rsidRPr="00F607EC" w:rsidR="00646A79">
        <w:rPr>
          <w:sz w:val="22"/>
          <w:szCs w:val="22"/>
        </w:rPr>
        <w:t>,</w:t>
      </w:r>
      <w:r w:rsidRPr="00F607EC">
        <w:rPr>
          <w:sz w:val="22"/>
          <w:szCs w:val="22"/>
        </w:rPr>
        <w:t xml:space="preserve"> have a higher rate of positive test results (i.e.</w:t>
      </w:r>
      <w:r w:rsidRPr="00F607EC" w:rsidR="00646A79">
        <w:rPr>
          <w:sz w:val="22"/>
          <w:szCs w:val="22"/>
        </w:rPr>
        <w:t>,</w:t>
      </w:r>
      <w:r w:rsidRPr="00F607EC">
        <w:rPr>
          <w:sz w:val="22"/>
          <w:szCs w:val="22"/>
        </w:rPr>
        <w:t> approximately 3.7 times more) than licensee employees (</w:t>
      </w:r>
      <w:r w:rsidRPr="00751394" w:rsidR="003760ED">
        <w:rPr>
          <w:sz w:val="22"/>
          <w:szCs w:val="22"/>
        </w:rPr>
        <w:t>NRC</w:t>
      </w:r>
      <w:r w:rsidRPr="00751394" w:rsidR="00834FE3">
        <w:rPr>
          <w:sz w:val="22"/>
          <w:szCs w:val="22"/>
        </w:rPr>
        <w:t>,</w:t>
      </w:r>
      <w:r w:rsidRPr="00751394" w:rsidR="003760ED">
        <w:rPr>
          <w:sz w:val="22"/>
          <w:szCs w:val="22"/>
        </w:rPr>
        <w:t xml:space="preserve"> 201</w:t>
      </w:r>
      <w:r w:rsidRPr="00751394" w:rsidR="00834FE3">
        <w:rPr>
          <w:sz w:val="22"/>
          <w:szCs w:val="22"/>
        </w:rPr>
        <w:t>4</w:t>
      </w:r>
      <w:r w:rsidRPr="00751394">
        <w:rPr>
          <w:sz w:val="22"/>
          <w:szCs w:val="22"/>
        </w:rPr>
        <w:t>).</w:t>
      </w:r>
      <w:r w:rsidRPr="00751394" w:rsidR="00F607EC">
        <w:rPr>
          <w:rStyle w:val="FootnoteReference"/>
          <w:sz w:val="22"/>
          <w:szCs w:val="22"/>
        </w:rPr>
        <w:footnoteReference w:id="16"/>
      </w:r>
      <w:r w:rsidRPr="00F607EC">
        <w:rPr>
          <w:sz w:val="22"/>
          <w:szCs w:val="22"/>
        </w:rPr>
        <w:t xml:space="preserve">  In outage years at a site</w:t>
      </w:r>
      <w:r w:rsidRPr="00F607EC" w:rsidR="00646A79">
        <w:rPr>
          <w:sz w:val="22"/>
          <w:szCs w:val="22"/>
        </w:rPr>
        <w:t>,</w:t>
      </w:r>
      <w:r w:rsidRPr="00F607EC">
        <w:rPr>
          <w:sz w:val="22"/>
          <w:szCs w:val="22"/>
        </w:rPr>
        <w:t xml:space="preserve"> it is typical to see an increase in the number of</w:t>
      </w:r>
      <w:r>
        <w:rPr>
          <w:sz w:val="22"/>
          <w:szCs w:val="22"/>
        </w:rPr>
        <w:t xml:space="preserve"> positive results because of the surge in the number of short-term contractors used to support the outage.</w:t>
      </w:r>
    </w:p>
    <w:p w:rsidRPr="00E41560" w:rsidR="00D520BD" w:rsidP="00D520BD" w:rsidRDefault="00D520BD" w14:paraId="5C9FFD13" w14:textId="1B559A4B">
      <w:pPr>
        <w:pStyle w:val="ListParagraph"/>
        <w:ind w:left="1440" w:hanging="720"/>
        <w:rPr>
          <w:sz w:val="22"/>
          <w:szCs w:val="22"/>
        </w:rPr>
      </w:pPr>
    </w:p>
    <w:p w:rsidRPr="00F05A27" w:rsidR="00D520BD" w:rsidP="005C6BA3" w:rsidRDefault="00D520BD" w14:paraId="00BCAD81" w14:textId="7C8780BA">
      <w:pPr>
        <w:pStyle w:val="ListParagraph"/>
        <w:numPr>
          <w:ilvl w:val="0"/>
          <w:numId w:val="11"/>
        </w:numPr>
        <w:ind w:hanging="720"/>
        <w:rPr>
          <w:sz w:val="22"/>
          <w:szCs w:val="22"/>
        </w:rPr>
      </w:pPr>
      <w:r>
        <w:rPr>
          <w:sz w:val="22"/>
          <w:szCs w:val="22"/>
        </w:rPr>
        <w:t>T</w:t>
      </w:r>
      <w:r w:rsidRPr="00E41560">
        <w:rPr>
          <w:sz w:val="22"/>
          <w:szCs w:val="22"/>
        </w:rPr>
        <w:t xml:space="preserve">he </w:t>
      </w:r>
      <w:r>
        <w:rPr>
          <w:sz w:val="22"/>
          <w:szCs w:val="22"/>
        </w:rPr>
        <w:t xml:space="preserve">size of the </w:t>
      </w:r>
      <w:r w:rsidRPr="000156E2">
        <w:rPr>
          <w:sz w:val="22"/>
          <w:szCs w:val="22"/>
        </w:rPr>
        <w:t>workforce at the two</w:t>
      </w:r>
      <w:r w:rsidR="00DB148C">
        <w:rPr>
          <w:sz w:val="22"/>
          <w:szCs w:val="22"/>
        </w:rPr>
        <w:t xml:space="preserve"> Category I</w:t>
      </w:r>
      <w:r w:rsidRPr="000156E2">
        <w:rPr>
          <w:sz w:val="22"/>
          <w:szCs w:val="22"/>
        </w:rPr>
        <w:t xml:space="preserve"> </w:t>
      </w:r>
      <w:r w:rsidR="0088161E">
        <w:rPr>
          <w:sz w:val="22"/>
          <w:szCs w:val="22"/>
        </w:rPr>
        <w:t>special nuclear material licensees</w:t>
      </w:r>
      <w:r w:rsidR="00646A79">
        <w:rPr>
          <w:sz w:val="22"/>
          <w:szCs w:val="22"/>
        </w:rPr>
        <w:t>,</w:t>
      </w:r>
      <w:r w:rsidRPr="000156E2">
        <w:rPr>
          <w:sz w:val="22"/>
          <w:szCs w:val="22"/>
        </w:rPr>
        <w:t xml:space="preserve"> </w:t>
      </w:r>
      <w:r>
        <w:rPr>
          <w:sz w:val="22"/>
          <w:szCs w:val="22"/>
        </w:rPr>
        <w:t>five</w:t>
      </w:r>
      <w:r w:rsidRPr="000156E2">
        <w:rPr>
          <w:sz w:val="22"/>
          <w:szCs w:val="22"/>
        </w:rPr>
        <w:t xml:space="preserve"> corporate offices</w:t>
      </w:r>
      <w:r w:rsidR="00646A79">
        <w:rPr>
          <w:sz w:val="22"/>
          <w:szCs w:val="22"/>
        </w:rPr>
        <w:t>,</w:t>
      </w:r>
      <w:r w:rsidRPr="000156E2">
        <w:rPr>
          <w:sz w:val="22"/>
          <w:szCs w:val="22"/>
        </w:rPr>
        <w:t xml:space="preserve"> and </w:t>
      </w:r>
      <w:r w:rsidRPr="00D6110E">
        <w:rPr>
          <w:sz w:val="22"/>
          <w:szCs w:val="22"/>
        </w:rPr>
        <w:t>one</w:t>
      </w:r>
      <w:r w:rsidRPr="00763EF4">
        <w:rPr>
          <w:sz w:val="22"/>
          <w:szCs w:val="22"/>
        </w:rPr>
        <w:t xml:space="preserve"> C/V</w:t>
      </w:r>
      <w:r>
        <w:rPr>
          <w:sz w:val="22"/>
          <w:szCs w:val="22"/>
        </w:rPr>
        <w:t xml:space="preserve"> (Institute of Nuclear Power Operations (INPO))</w:t>
      </w:r>
      <w:r w:rsidRPr="00763EF4">
        <w:rPr>
          <w:sz w:val="22"/>
          <w:szCs w:val="22"/>
        </w:rPr>
        <w:t xml:space="preserve"> is much smaller </w:t>
      </w:r>
      <w:r>
        <w:rPr>
          <w:sz w:val="22"/>
          <w:szCs w:val="22"/>
        </w:rPr>
        <w:t xml:space="preserve">and more stable </w:t>
      </w:r>
      <w:r w:rsidRPr="00763EF4">
        <w:rPr>
          <w:sz w:val="22"/>
          <w:szCs w:val="22"/>
        </w:rPr>
        <w:t xml:space="preserve">than at operating </w:t>
      </w:r>
      <w:r w:rsidR="007A548B">
        <w:rPr>
          <w:sz w:val="22"/>
          <w:szCs w:val="22"/>
        </w:rPr>
        <w:t xml:space="preserve">power </w:t>
      </w:r>
      <w:r w:rsidRPr="00763EF4">
        <w:rPr>
          <w:sz w:val="22"/>
          <w:szCs w:val="22"/>
        </w:rPr>
        <w:t xml:space="preserve">reactor sites </w:t>
      </w:r>
      <w:r w:rsidR="006975ED">
        <w:rPr>
          <w:sz w:val="22"/>
          <w:szCs w:val="22"/>
        </w:rPr>
        <w:t>or at</w:t>
      </w:r>
      <w:r w:rsidRPr="00763EF4">
        <w:rPr>
          <w:sz w:val="22"/>
          <w:szCs w:val="22"/>
        </w:rPr>
        <w:t xml:space="preserve"> </w:t>
      </w:r>
      <w:r w:rsidR="007A548B">
        <w:rPr>
          <w:sz w:val="22"/>
          <w:szCs w:val="22"/>
        </w:rPr>
        <w:t xml:space="preserve">power </w:t>
      </w:r>
      <w:r w:rsidRPr="00763EF4">
        <w:rPr>
          <w:sz w:val="22"/>
          <w:szCs w:val="22"/>
        </w:rPr>
        <w:t>reactor construction sites</w:t>
      </w:r>
      <w:r>
        <w:rPr>
          <w:sz w:val="22"/>
          <w:szCs w:val="22"/>
        </w:rPr>
        <w:t xml:space="preserve"> because </w:t>
      </w:r>
      <w:r w:rsidRPr="00763EF4">
        <w:rPr>
          <w:sz w:val="22"/>
          <w:szCs w:val="22"/>
        </w:rPr>
        <w:t xml:space="preserve">these sites do not </w:t>
      </w:r>
      <w:r>
        <w:rPr>
          <w:sz w:val="22"/>
          <w:szCs w:val="22"/>
        </w:rPr>
        <w:t>experience</w:t>
      </w:r>
      <w:r w:rsidRPr="00763EF4">
        <w:rPr>
          <w:sz w:val="22"/>
          <w:szCs w:val="22"/>
        </w:rPr>
        <w:t xml:space="preserve"> periodic workforce surges </w:t>
      </w:r>
      <w:r>
        <w:rPr>
          <w:sz w:val="22"/>
          <w:szCs w:val="22"/>
        </w:rPr>
        <w:t xml:space="preserve">for </w:t>
      </w:r>
      <w:r w:rsidRPr="00763EF4">
        <w:rPr>
          <w:sz w:val="22"/>
          <w:szCs w:val="22"/>
        </w:rPr>
        <w:t>refueling outages</w:t>
      </w:r>
      <w:r>
        <w:rPr>
          <w:sz w:val="22"/>
          <w:szCs w:val="22"/>
        </w:rPr>
        <w:t xml:space="preserve"> or new </w:t>
      </w:r>
      <w:r w:rsidRPr="00763EF4">
        <w:rPr>
          <w:sz w:val="22"/>
          <w:szCs w:val="22"/>
        </w:rPr>
        <w:t>construction</w:t>
      </w:r>
      <w:r>
        <w:rPr>
          <w:sz w:val="22"/>
          <w:szCs w:val="22"/>
        </w:rPr>
        <w:t>.  Drug use is also very low</w:t>
      </w:r>
      <w:r w:rsidR="00646A79">
        <w:rPr>
          <w:sz w:val="22"/>
          <w:szCs w:val="22"/>
        </w:rPr>
        <w:t>,</w:t>
      </w:r>
      <w:r>
        <w:rPr>
          <w:sz w:val="22"/>
          <w:szCs w:val="22"/>
        </w:rPr>
        <w:t xml:space="preserve"> as presented in Appendix A.  As a result</w:t>
      </w:r>
      <w:r w:rsidR="00646A79">
        <w:rPr>
          <w:sz w:val="22"/>
          <w:szCs w:val="22"/>
        </w:rPr>
        <w:t>,</w:t>
      </w:r>
      <w:r>
        <w:rPr>
          <w:sz w:val="22"/>
          <w:szCs w:val="22"/>
        </w:rPr>
        <w:t xml:space="preserve"> </w:t>
      </w:r>
      <w:r w:rsidRPr="00763EF4">
        <w:rPr>
          <w:sz w:val="22"/>
          <w:szCs w:val="22"/>
        </w:rPr>
        <w:t xml:space="preserve">the NRC staff anticipates </w:t>
      </w:r>
      <w:r w:rsidR="00916DC5">
        <w:rPr>
          <w:sz w:val="22"/>
          <w:szCs w:val="22"/>
        </w:rPr>
        <w:t>that th</w:t>
      </w:r>
      <w:r w:rsidR="00616E15">
        <w:rPr>
          <w:sz w:val="22"/>
          <w:szCs w:val="22"/>
        </w:rPr>
        <w:t>e</w:t>
      </w:r>
      <w:r w:rsidR="00916DC5">
        <w:rPr>
          <w:sz w:val="22"/>
          <w:szCs w:val="22"/>
        </w:rPr>
        <w:t xml:space="preserve">se types of facilities will incur </w:t>
      </w:r>
      <w:r w:rsidR="00616E15">
        <w:rPr>
          <w:sz w:val="22"/>
          <w:szCs w:val="22"/>
        </w:rPr>
        <w:t>costs</w:t>
      </w:r>
      <w:r w:rsidRPr="00763EF4">
        <w:rPr>
          <w:sz w:val="22"/>
          <w:szCs w:val="22"/>
        </w:rPr>
        <w:t xml:space="preserve"> lower than the average</w:t>
      </w:r>
      <w:r w:rsidRPr="00E41560">
        <w:rPr>
          <w:sz w:val="22"/>
          <w:szCs w:val="22"/>
        </w:rPr>
        <w:t xml:space="preserve"> per </w:t>
      </w:r>
      <w:r>
        <w:rPr>
          <w:sz w:val="22"/>
          <w:szCs w:val="22"/>
        </w:rPr>
        <w:t>s</w:t>
      </w:r>
      <w:r w:rsidRPr="00E41560">
        <w:rPr>
          <w:sz w:val="22"/>
          <w:szCs w:val="22"/>
        </w:rPr>
        <w:t>ite.</w:t>
      </w:r>
    </w:p>
    <w:p w:rsidR="00D520BD" w:rsidP="005C6BA3" w:rsidRDefault="00D520BD" w14:paraId="28D82325" w14:textId="6AB656AE">
      <w:pPr>
        <w:pStyle w:val="ListParagraph"/>
        <w:numPr>
          <w:ilvl w:val="0"/>
          <w:numId w:val="13"/>
        </w:numPr>
        <w:ind w:hanging="720"/>
        <w:rPr>
          <w:sz w:val="22"/>
          <w:szCs w:val="22"/>
        </w:rPr>
      </w:pPr>
      <w:r>
        <w:rPr>
          <w:i/>
          <w:sz w:val="22"/>
          <w:szCs w:val="22"/>
        </w:rPr>
        <w:lastRenderedPageBreak/>
        <w:t>Testing Data by Facility Type</w:t>
      </w:r>
      <w:r>
        <w:rPr>
          <w:sz w:val="22"/>
          <w:szCs w:val="22"/>
        </w:rPr>
        <w:t>:  To evaluate variability among facility types</w:t>
      </w:r>
      <w:r w:rsidR="00646A79">
        <w:rPr>
          <w:sz w:val="22"/>
          <w:szCs w:val="22"/>
        </w:rPr>
        <w:t>,</w:t>
      </w:r>
      <w:r>
        <w:rPr>
          <w:sz w:val="22"/>
          <w:szCs w:val="22"/>
        </w:rPr>
        <w:t xml:space="preserve"> the NRC staff analyzed testing data for CY 2009 through CY 201</w:t>
      </w:r>
      <w:r w:rsidR="0099299D">
        <w:rPr>
          <w:sz w:val="22"/>
          <w:szCs w:val="22"/>
        </w:rPr>
        <w:t>9</w:t>
      </w:r>
      <w:r>
        <w:rPr>
          <w:sz w:val="22"/>
          <w:szCs w:val="22"/>
        </w:rPr>
        <w:t xml:space="preserve"> and calculated the </w:t>
      </w:r>
      <w:r w:rsidRPr="00F6018A">
        <w:rPr>
          <w:sz w:val="22"/>
          <w:szCs w:val="22"/>
        </w:rPr>
        <w:t xml:space="preserve">average number of tests performed and </w:t>
      </w:r>
      <w:r>
        <w:rPr>
          <w:sz w:val="22"/>
          <w:szCs w:val="22"/>
        </w:rPr>
        <w:t xml:space="preserve">the </w:t>
      </w:r>
      <w:r w:rsidRPr="00F6018A">
        <w:rPr>
          <w:sz w:val="22"/>
          <w:szCs w:val="22"/>
        </w:rPr>
        <w:t>average number of positive results for each of the sites</w:t>
      </w:r>
      <w:r>
        <w:rPr>
          <w:sz w:val="22"/>
          <w:szCs w:val="22"/>
        </w:rPr>
        <w:t>.  Table 4-1 summarizes the results of the</w:t>
      </w:r>
      <w:r w:rsidRPr="00F6018A">
        <w:rPr>
          <w:sz w:val="22"/>
          <w:szCs w:val="22"/>
        </w:rPr>
        <w:t xml:space="preserve"> </w:t>
      </w:r>
      <w:r>
        <w:rPr>
          <w:sz w:val="22"/>
          <w:szCs w:val="22"/>
        </w:rPr>
        <w:t>site-specific</w:t>
      </w:r>
      <w:r w:rsidRPr="00F6018A">
        <w:rPr>
          <w:sz w:val="22"/>
          <w:szCs w:val="22"/>
        </w:rPr>
        <w:t xml:space="preserve"> </w:t>
      </w:r>
      <w:r>
        <w:rPr>
          <w:sz w:val="22"/>
          <w:szCs w:val="22"/>
        </w:rPr>
        <w:t xml:space="preserve">testing </w:t>
      </w:r>
      <w:r w:rsidRPr="00F6018A">
        <w:rPr>
          <w:sz w:val="22"/>
          <w:szCs w:val="22"/>
        </w:rPr>
        <w:t xml:space="preserve">data </w:t>
      </w:r>
      <w:r>
        <w:rPr>
          <w:sz w:val="22"/>
          <w:szCs w:val="22"/>
        </w:rPr>
        <w:t>analysis.  Appendix A includes the site</w:t>
      </w:r>
      <w:r>
        <w:rPr>
          <w:sz w:val="22"/>
          <w:szCs w:val="22"/>
        </w:rPr>
        <w:noBreakHyphen/>
        <w:t>specific</w:t>
      </w:r>
      <w:r w:rsidRPr="00F6018A">
        <w:rPr>
          <w:sz w:val="22"/>
          <w:szCs w:val="22"/>
        </w:rPr>
        <w:t xml:space="preserve"> </w:t>
      </w:r>
      <w:r>
        <w:rPr>
          <w:sz w:val="22"/>
          <w:szCs w:val="22"/>
        </w:rPr>
        <w:t xml:space="preserve">testing </w:t>
      </w:r>
      <w:r w:rsidRPr="00F6018A">
        <w:rPr>
          <w:sz w:val="22"/>
          <w:szCs w:val="22"/>
        </w:rPr>
        <w:t>data</w:t>
      </w:r>
      <w:r>
        <w:rPr>
          <w:sz w:val="22"/>
          <w:szCs w:val="22"/>
        </w:rPr>
        <w:t xml:space="preserve"> </w:t>
      </w:r>
      <w:r w:rsidRPr="00F6018A">
        <w:rPr>
          <w:sz w:val="22"/>
          <w:szCs w:val="22"/>
        </w:rPr>
        <w:t xml:space="preserve">summarized in </w:t>
      </w:r>
      <w:r>
        <w:rPr>
          <w:sz w:val="22"/>
          <w:szCs w:val="22"/>
        </w:rPr>
        <w:t>this table</w:t>
      </w:r>
      <w:r w:rsidRPr="00F6018A">
        <w:rPr>
          <w:sz w:val="22"/>
          <w:szCs w:val="22"/>
        </w:rPr>
        <w:t>.</w:t>
      </w:r>
    </w:p>
    <w:p w:rsidR="00D520BD" w:rsidP="00D520BD" w:rsidRDefault="00D520BD" w14:paraId="06C901D6" w14:textId="77777777">
      <w:pPr>
        <w:pStyle w:val="ListParagraph"/>
        <w:rPr>
          <w:sz w:val="22"/>
          <w:szCs w:val="22"/>
        </w:rPr>
      </w:pPr>
    </w:p>
    <w:p w:rsidRPr="002310BA" w:rsidR="002310BA" w:rsidP="002310BA" w:rsidRDefault="002310BA" w14:paraId="425ECC37" w14:textId="043984A8">
      <w:pPr>
        <w:pStyle w:val="Caption"/>
        <w:jc w:val="center"/>
        <w:rPr>
          <w:b/>
          <w:bCs w:val="0"/>
        </w:rPr>
      </w:pPr>
      <w:bookmarkStart w:name="_Toc62203696" w:id="92"/>
      <w:bookmarkStart w:name="_Toc72490560" w:id="93"/>
      <w:bookmarkStart w:name="_Toc105681557" w:id="94"/>
      <w:r w:rsidRPr="002310BA">
        <w:rPr>
          <w:b/>
          <w:bCs w:val="0"/>
        </w:rPr>
        <w:t>Table 4-</w:t>
      </w:r>
      <w:r w:rsidRPr="002310BA">
        <w:rPr>
          <w:b/>
          <w:bCs w:val="0"/>
        </w:rPr>
        <w:fldChar w:fldCharType="begin"/>
      </w:r>
      <w:r w:rsidRPr="002310BA">
        <w:rPr>
          <w:b/>
          <w:bCs w:val="0"/>
        </w:rPr>
        <w:instrText xml:space="preserve"> SEQ Table \* ARABIC \r 1</w:instrText>
      </w:r>
      <w:r w:rsidRPr="002310BA">
        <w:rPr>
          <w:b/>
          <w:bCs w:val="0"/>
        </w:rPr>
        <w:fldChar w:fldCharType="separate"/>
      </w:r>
      <w:r w:rsidR="00A6777F">
        <w:rPr>
          <w:b/>
          <w:bCs w:val="0"/>
          <w:noProof/>
        </w:rPr>
        <w:t>1</w:t>
      </w:r>
      <w:r w:rsidRPr="002310BA">
        <w:rPr>
          <w:b/>
          <w:bCs w:val="0"/>
        </w:rPr>
        <w:fldChar w:fldCharType="end"/>
      </w:r>
      <w:r w:rsidRPr="002310BA">
        <w:rPr>
          <w:b/>
          <w:bCs w:val="0"/>
        </w:rPr>
        <w:t xml:space="preserve">  Range of Testing Data by Facility Type (</w:t>
      </w:r>
      <w:r w:rsidRPr="005C536C">
        <w:rPr>
          <w:b/>
          <w:bCs w:val="0"/>
        </w:rPr>
        <w:t>CY</w:t>
      </w:r>
      <w:r w:rsidR="003C0483">
        <w:rPr>
          <w:b/>
          <w:bCs w:val="0"/>
        </w:rPr>
        <w:t>s</w:t>
      </w:r>
      <w:r w:rsidRPr="005C536C">
        <w:rPr>
          <w:b/>
          <w:bCs w:val="0"/>
        </w:rPr>
        <w:t xml:space="preserve"> 2009–201</w:t>
      </w:r>
      <w:bookmarkEnd w:id="92"/>
      <w:r w:rsidRPr="005C536C" w:rsidR="0099299D">
        <w:rPr>
          <w:b/>
          <w:bCs w:val="0"/>
        </w:rPr>
        <w:t>9</w:t>
      </w:r>
      <w:r w:rsidR="00BE4EA0">
        <w:rPr>
          <w:b/>
          <w:bCs w:val="0"/>
        </w:rPr>
        <w:t>)</w:t>
      </w:r>
      <w:bookmarkEnd w:id="93"/>
      <w:bookmarkEnd w:id="94"/>
    </w:p>
    <w:tbl>
      <w:tblPr>
        <w:tblW w:w="4645" w:type="pct"/>
        <w:tblInd w:w="720" w:type="dxa"/>
        <w:tblLayout w:type="fixed"/>
        <w:tblLook w:val="04A0" w:firstRow="1" w:lastRow="0" w:firstColumn="1" w:lastColumn="0" w:noHBand="0" w:noVBand="1"/>
      </w:tblPr>
      <w:tblGrid>
        <w:gridCol w:w="1525"/>
        <w:gridCol w:w="1350"/>
        <w:gridCol w:w="990"/>
        <w:gridCol w:w="990"/>
        <w:gridCol w:w="900"/>
        <w:gridCol w:w="988"/>
        <w:gridCol w:w="1081"/>
        <w:gridCol w:w="862"/>
      </w:tblGrid>
      <w:tr w:rsidRPr="00893E63" w:rsidR="0001165C" w:rsidTr="00FA1ACA" w14:paraId="16EF8F17" w14:textId="77777777">
        <w:trPr>
          <w:cantSplit/>
          <w:trHeight w:val="315"/>
        </w:trPr>
        <w:tc>
          <w:tcPr>
            <w:tcW w:w="878" w:type="pct"/>
            <w:vMerge w:val="restar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D520BD" w:rsidP="00FA1ACA" w:rsidRDefault="00D520BD" w14:paraId="023DC1B1" w14:textId="07CFBFBE">
            <w:pPr>
              <w:keepNext/>
              <w:jc w:val="center"/>
              <w:rPr>
                <w:rFonts w:cs="Arial"/>
              </w:rPr>
            </w:pPr>
            <w:r w:rsidRPr="00FA3857">
              <w:rPr>
                <w:rFonts w:cs="Arial"/>
              </w:rPr>
              <w:t>Facility</w:t>
            </w:r>
            <w:r w:rsidR="00FA1ACA">
              <w:rPr>
                <w:rFonts w:cs="Arial"/>
              </w:rPr>
              <w:t xml:space="preserve"> </w:t>
            </w:r>
            <w:r w:rsidRPr="00FA3857">
              <w:rPr>
                <w:rFonts w:cs="Arial"/>
              </w:rPr>
              <w:t>Type</w:t>
            </w:r>
          </w:p>
        </w:tc>
        <w:tc>
          <w:tcPr>
            <w:tcW w:w="777" w:type="pct"/>
            <w:vMerge w:val="restart"/>
            <w:tcBorders>
              <w:top w:val="single" w:color="auto" w:sz="4" w:space="0"/>
              <w:left w:val="single" w:color="auto" w:sz="4" w:space="0"/>
              <w:bottom w:val="single" w:color="auto" w:sz="4" w:space="0"/>
              <w:right w:val="single" w:color="auto" w:sz="4" w:space="0"/>
            </w:tcBorders>
            <w:tcMar>
              <w:left w:w="58" w:type="dxa"/>
              <w:right w:w="58" w:type="dxa"/>
            </w:tcMar>
            <w:vAlign w:val="center"/>
          </w:tcPr>
          <w:p w:rsidR="003B636A" w:rsidP="00FA1ACA" w:rsidRDefault="00D520BD" w14:paraId="2ABBECED" w14:textId="77777777">
            <w:pPr>
              <w:keepNext/>
              <w:autoSpaceDE/>
              <w:autoSpaceDN/>
              <w:adjustRightInd/>
              <w:jc w:val="center"/>
              <w:rPr>
                <w:rFonts w:cs="Arial"/>
              </w:rPr>
            </w:pPr>
            <w:r>
              <w:rPr>
                <w:rFonts w:cs="Arial"/>
              </w:rPr>
              <w:t>Number</w:t>
            </w:r>
            <w:r w:rsidR="00FA1ACA">
              <w:rPr>
                <w:rFonts w:cs="Arial"/>
              </w:rPr>
              <w:t xml:space="preserve"> </w:t>
            </w:r>
          </w:p>
          <w:p w:rsidRPr="00FA3857" w:rsidR="00D520BD" w:rsidP="00FA1ACA" w:rsidRDefault="00D520BD" w14:paraId="57518613" w14:textId="711416CF">
            <w:pPr>
              <w:keepNext/>
              <w:autoSpaceDE/>
              <w:autoSpaceDN/>
              <w:adjustRightInd/>
              <w:jc w:val="center"/>
              <w:rPr>
                <w:rFonts w:cs="Arial"/>
                <w:u w:val="single"/>
              </w:rPr>
            </w:pPr>
            <w:r>
              <w:rPr>
                <w:rFonts w:cs="Arial"/>
              </w:rPr>
              <w:t>of</w:t>
            </w:r>
            <w:r w:rsidR="00FA1ACA">
              <w:rPr>
                <w:rFonts w:cs="Arial"/>
              </w:rPr>
              <w:t xml:space="preserve"> </w:t>
            </w:r>
            <w:r>
              <w:rPr>
                <w:rFonts w:cs="Arial"/>
              </w:rPr>
              <w:t>Units</w:t>
            </w:r>
          </w:p>
        </w:tc>
        <w:tc>
          <w:tcPr>
            <w:tcW w:w="1658" w:type="pct"/>
            <w:gridSpan w:val="3"/>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5C536C" w:rsidR="00D520BD" w:rsidP="00FA1ACA" w:rsidRDefault="005C536C" w14:paraId="6D91684F" w14:textId="1CC87914">
            <w:pPr>
              <w:keepNext/>
              <w:autoSpaceDE/>
              <w:autoSpaceDN/>
              <w:adjustRightInd/>
              <w:jc w:val="center"/>
              <w:rPr>
                <w:rFonts w:cs="Arial"/>
              </w:rPr>
            </w:pPr>
            <w:r>
              <w:rPr>
                <w:rFonts w:cs="Arial"/>
              </w:rPr>
              <w:t xml:space="preserve">No. of </w:t>
            </w:r>
            <w:r w:rsidRPr="005C536C" w:rsidR="00D520BD">
              <w:rPr>
                <w:rFonts w:cs="Arial"/>
              </w:rPr>
              <w:t>Tests</w:t>
            </w:r>
            <w:r>
              <w:rPr>
                <w:rFonts w:cs="Arial"/>
              </w:rPr>
              <w:t xml:space="preserve"> per </w:t>
            </w:r>
            <w:r w:rsidRPr="005C536C" w:rsidR="00D520BD">
              <w:rPr>
                <w:rFonts w:cs="Arial"/>
              </w:rPr>
              <w:t>Year</w:t>
            </w:r>
          </w:p>
        </w:tc>
        <w:tc>
          <w:tcPr>
            <w:tcW w:w="1687" w:type="pct"/>
            <w:gridSpan w:val="3"/>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5C536C" w:rsidR="00D520BD" w:rsidP="00FA1ACA" w:rsidRDefault="005C536C" w14:paraId="7E5B7DA1" w14:textId="0974C44C">
            <w:pPr>
              <w:keepNext/>
              <w:autoSpaceDE/>
              <w:autoSpaceDN/>
              <w:adjustRightInd/>
              <w:jc w:val="center"/>
              <w:rPr>
                <w:rFonts w:cs="Arial"/>
              </w:rPr>
            </w:pPr>
            <w:r>
              <w:rPr>
                <w:rFonts w:cs="Arial"/>
              </w:rPr>
              <w:t xml:space="preserve">No. of </w:t>
            </w:r>
            <w:r w:rsidRPr="005C536C" w:rsidR="00D520BD">
              <w:rPr>
                <w:rFonts w:cs="Arial"/>
              </w:rPr>
              <w:t>Positives</w:t>
            </w:r>
            <w:r>
              <w:rPr>
                <w:rFonts w:cs="Arial"/>
              </w:rPr>
              <w:t xml:space="preserve"> per </w:t>
            </w:r>
            <w:r w:rsidRPr="005C536C" w:rsidR="00D520BD">
              <w:rPr>
                <w:rFonts w:cs="Arial"/>
              </w:rPr>
              <w:t>Year</w:t>
            </w:r>
          </w:p>
        </w:tc>
      </w:tr>
      <w:tr w:rsidRPr="00893E63" w:rsidR="0001165C" w:rsidTr="00FA1ACA" w14:paraId="6896C91C" w14:textId="77777777">
        <w:trPr>
          <w:cantSplit/>
          <w:trHeight w:val="243"/>
        </w:trPr>
        <w:tc>
          <w:tcPr>
            <w:tcW w:w="878" w:type="pct"/>
            <w:vMerge/>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FA3857" w:rsidR="00D520BD" w:rsidP="00982BD1" w:rsidRDefault="00D520BD" w14:paraId="7F5113BC" w14:textId="77777777">
            <w:pPr>
              <w:keepNext/>
              <w:keepLines/>
              <w:autoSpaceDE/>
              <w:autoSpaceDN/>
              <w:adjustRightInd/>
              <w:jc w:val="center"/>
              <w:rPr>
                <w:rFonts w:cs="Arial"/>
              </w:rPr>
            </w:pPr>
          </w:p>
        </w:tc>
        <w:tc>
          <w:tcPr>
            <w:tcW w:w="777" w:type="pct"/>
            <w:vMerge/>
            <w:tcBorders>
              <w:top w:val="single" w:color="auto" w:sz="4" w:space="0"/>
              <w:left w:val="single" w:color="auto" w:sz="4" w:space="0"/>
              <w:bottom w:val="single" w:color="auto" w:sz="4" w:space="0"/>
              <w:right w:val="single" w:color="auto" w:sz="4" w:space="0"/>
            </w:tcBorders>
            <w:tcMar>
              <w:left w:w="58" w:type="dxa"/>
              <w:right w:w="58" w:type="dxa"/>
            </w:tcMar>
            <w:vAlign w:val="center"/>
          </w:tcPr>
          <w:p w:rsidR="00D520BD" w:rsidP="00982BD1" w:rsidRDefault="00D520BD" w14:paraId="646EFDD8" w14:textId="77777777">
            <w:pPr>
              <w:keepNext/>
              <w:keepLines/>
              <w:autoSpaceDE/>
              <w:autoSpaceDN/>
              <w:adjustRightInd/>
              <w:rPr>
                <w:rFonts w:cs="Arial"/>
              </w:rPr>
            </w:pP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D520BD" w:rsidP="00982BD1" w:rsidRDefault="00D520BD" w14:paraId="110D2CB3" w14:textId="77777777">
            <w:pPr>
              <w:keepNext/>
              <w:keepLines/>
              <w:autoSpaceDE/>
              <w:autoSpaceDN/>
              <w:adjustRightInd/>
              <w:jc w:val="center"/>
              <w:rPr>
                <w:rFonts w:cs="Arial"/>
              </w:rPr>
            </w:pPr>
            <w:r>
              <w:rPr>
                <w:rFonts w:cs="Arial"/>
              </w:rPr>
              <w:t>Minimum</w:t>
            </w:r>
          </w:p>
          <w:p w:rsidRPr="00FA3857" w:rsidR="00D520BD" w:rsidP="00982BD1" w:rsidRDefault="00D520BD" w14:paraId="417891B7" w14:textId="77777777">
            <w:pPr>
              <w:keepNext/>
              <w:keepLines/>
              <w:autoSpaceDE/>
              <w:autoSpaceDN/>
              <w:adjustRightInd/>
              <w:jc w:val="center"/>
              <w:rPr>
                <w:rFonts w:cs="Arial"/>
              </w:rPr>
            </w:pPr>
            <w:r>
              <w:rPr>
                <w:rFonts w:cs="Arial"/>
              </w:rPr>
              <w:t>(10%)</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D520BD" w:rsidP="00982BD1" w:rsidRDefault="00D520BD" w14:paraId="497AE648" w14:textId="77777777">
            <w:pPr>
              <w:keepNext/>
              <w:keepLines/>
              <w:autoSpaceDE/>
              <w:autoSpaceDN/>
              <w:adjustRightInd/>
              <w:jc w:val="center"/>
              <w:rPr>
                <w:rFonts w:cs="Arial"/>
              </w:rPr>
            </w:pPr>
            <w:r>
              <w:rPr>
                <w:rFonts w:cs="Arial"/>
              </w:rPr>
              <w:t>Maximum</w:t>
            </w:r>
          </w:p>
          <w:p w:rsidRPr="00FA3857" w:rsidR="00D520BD" w:rsidP="00982BD1" w:rsidRDefault="00D520BD" w14:paraId="0AE138F8" w14:textId="77777777">
            <w:pPr>
              <w:keepNext/>
              <w:keepLines/>
              <w:autoSpaceDE/>
              <w:autoSpaceDN/>
              <w:adjustRightInd/>
              <w:jc w:val="center"/>
              <w:rPr>
                <w:rFonts w:cs="Arial"/>
              </w:rPr>
            </w:pPr>
            <w:r>
              <w:rPr>
                <w:rFonts w:cs="Arial"/>
              </w:rPr>
              <w:t>(90%)</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D520BD" w:rsidP="00982BD1" w:rsidRDefault="00D520BD" w14:paraId="7D532947" w14:textId="77777777">
            <w:pPr>
              <w:keepNext/>
              <w:keepLines/>
              <w:autoSpaceDE/>
              <w:autoSpaceDN/>
              <w:adjustRightInd/>
              <w:jc w:val="center"/>
              <w:rPr>
                <w:rFonts w:cs="Arial"/>
              </w:rPr>
            </w:pPr>
            <w:r>
              <w:rPr>
                <w:rFonts w:cs="Arial"/>
              </w:rPr>
              <w:t>Average</w:t>
            </w:r>
          </w:p>
        </w:tc>
        <w:tc>
          <w:tcPr>
            <w:tcW w:w="569"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D520BD" w:rsidP="00982BD1" w:rsidRDefault="00D520BD" w14:paraId="7A6388EB" w14:textId="77777777">
            <w:pPr>
              <w:keepNext/>
              <w:keepLines/>
              <w:autoSpaceDE/>
              <w:autoSpaceDN/>
              <w:adjustRightInd/>
              <w:jc w:val="center"/>
              <w:rPr>
                <w:rFonts w:cs="Arial"/>
              </w:rPr>
            </w:pPr>
            <w:r>
              <w:rPr>
                <w:rFonts w:cs="Arial"/>
              </w:rPr>
              <w:t>Minimum</w:t>
            </w:r>
          </w:p>
          <w:p w:rsidRPr="00FA3857" w:rsidR="00D520BD" w:rsidP="00982BD1" w:rsidRDefault="00D520BD" w14:paraId="57889096" w14:textId="77777777">
            <w:pPr>
              <w:keepNext/>
              <w:keepLines/>
              <w:autoSpaceDE/>
              <w:autoSpaceDN/>
              <w:adjustRightInd/>
              <w:jc w:val="center"/>
              <w:rPr>
                <w:rFonts w:cs="Arial"/>
              </w:rPr>
            </w:pPr>
            <w:r>
              <w:rPr>
                <w:rFonts w:cs="Arial"/>
              </w:rPr>
              <w:t>(10%)</w:t>
            </w:r>
          </w:p>
        </w:tc>
        <w:tc>
          <w:tcPr>
            <w:tcW w:w="622"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D520BD" w:rsidP="00982BD1" w:rsidRDefault="00D520BD" w14:paraId="2D1FB604" w14:textId="77777777">
            <w:pPr>
              <w:keepNext/>
              <w:keepLines/>
              <w:autoSpaceDE/>
              <w:autoSpaceDN/>
              <w:adjustRightInd/>
              <w:jc w:val="center"/>
              <w:rPr>
                <w:rFonts w:cs="Arial"/>
              </w:rPr>
            </w:pPr>
            <w:r>
              <w:rPr>
                <w:rFonts w:cs="Arial"/>
              </w:rPr>
              <w:t>Maximum</w:t>
            </w:r>
          </w:p>
          <w:p w:rsidRPr="00FA3857" w:rsidR="00D520BD" w:rsidP="00982BD1" w:rsidRDefault="00D520BD" w14:paraId="34968408" w14:textId="77777777">
            <w:pPr>
              <w:keepNext/>
              <w:keepLines/>
              <w:autoSpaceDE/>
              <w:autoSpaceDN/>
              <w:adjustRightInd/>
              <w:jc w:val="center"/>
              <w:rPr>
                <w:rFonts w:cs="Arial"/>
              </w:rPr>
            </w:pPr>
            <w:r>
              <w:rPr>
                <w:rFonts w:cs="Arial"/>
              </w:rPr>
              <w:t>(90%)</w:t>
            </w:r>
          </w:p>
        </w:tc>
        <w:tc>
          <w:tcPr>
            <w:tcW w:w="496"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D520BD" w:rsidP="00982BD1" w:rsidRDefault="00D520BD" w14:paraId="0D53F2D0" w14:textId="77777777">
            <w:pPr>
              <w:keepNext/>
              <w:keepLines/>
              <w:autoSpaceDE/>
              <w:autoSpaceDN/>
              <w:adjustRightInd/>
              <w:jc w:val="center"/>
              <w:rPr>
                <w:rFonts w:cs="Arial"/>
              </w:rPr>
            </w:pPr>
            <w:r>
              <w:rPr>
                <w:rFonts w:cs="Arial"/>
              </w:rPr>
              <w:t>Average</w:t>
            </w:r>
          </w:p>
        </w:tc>
      </w:tr>
      <w:tr w:rsidRPr="00893E63" w:rsidR="005C536C" w:rsidTr="00FA1ACA" w14:paraId="060FBB7F" w14:textId="77777777">
        <w:trPr>
          <w:trHeight w:val="252"/>
        </w:trPr>
        <w:tc>
          <w:tcPr>
            <w:tcW w:w="878" w:type="pct"/>
            <w:vMerge w:val="restar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7BAE362C" w14:textId="4D3E61D8">
            <w:pPr>
              <w:autoSpaceDE/>
              <w:autoSpaceDN/>
              <w:adjustRightInd/>
              <w:rPr>
                <w:rFonts w:cs="Arial"/>
              </w:rPr>
            </w:pPr>
            <w:r>
              <w:rPr>
                <w:rFonts w:cs="Arial"/>
              </w:rPr>
              <w:t xml:space="preserve">Power </w:t>
            </w:r>
            <w:r w:rsidRPr="00FA3857">
              <w:rPr>
                <w:rFonts w:cs="Arial"/>
              </w:rPr>
              <w:t>Reactor</w:t>
            </w:r>
            <w:r w:rsidR="00373F92">
              <w:rPr>
                <w:rFonts w:cs="Arial"/>
              </w:rPr>
              <w:t>—</w:t>
            </w:r>
            <w:r>
              <w:rPr>
                <w:rFonts w:cs="Arial"/>
              </w:rPr>
              <w:t>Operating</w:t>
            </w:r>
          </w:p>
        </w:tc>
        <w:tc>
          <w:tcPr>
            <w:tcW w:w="777"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005C536C" w:rsidP="00FA1ACA" w:rsidRDefault="005C536C" w14:paraId="6561319D" w14:textId="77777777">
            <w:pPr>
              <w:autoSpaceDE/>
              <w:autoSpaceDN/>
              <w:adjustRightInd/>
              <w:jc w:val="center"/>
              <w:rPr>
                <w:rFonts w:cs="Arial"/>
              </w:rPr>
            </w:pPr>
            <w:r>
              <w:rPr>
                <w:rFonts w:cs="Arial"/>
              </w:rPr>
              <w:t>All</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5CB94926" w14:textId="74D7E394">
            <w:pPr>
              <w:autoSpaceDE/>
              <w:autoSpaceDN/>
              <w:adjustRightInd/>
              <w:jc w:val="center"/>
              <w:rPr>
                <w:rFonts w:cs="Arial"/>
              </w:rPr>
            </w:pPr>
            <w:r w:rsidRPr="00E8438A">
              <w:t>1,157</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4B380CF9" w14:textId="19428C18">
            <w:pPr>
              <w:autoSpaceDE/>
              <w:autoSpaceDN/>
              <w:adjustRightInd/>
              <w:jc w:val="center"/>
              <w:rPr>
                <w:rFonts w:cs="Arial"/>
              </w:rPr>
            </w:pPr>
            <w:r w:rsidRPr="00F45EAB">
              <w:t>3,804</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405681F3" w14:textId="29053AC7">
            <w:pPr>
              <w:autoSpaceDE/>
              <w:autoSpaceDN/>
              <w:adjustRightInd/>
              <w:jc w:val="center"/>
              <w:rPr>
                <w:rFonts w:cs="Arial"/>
              </w:rPr>
            </w:pPr>
            <w:r>
              <w:rPr>
                <w:rFonts w:cs="Arial"/>
              </w:rPr>
              <w:t>2,442</w:t>
            </w:r>
          </w:p>
        </w:tc>
        <w:tc>
          <w:tcPr>
            <w:tcW w:w="569"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51C42AC8" w14:textId="48ACB7C3">
            <w:pPr>
              <w:autoSpaceDE/>
              <w:autoSpaceDN/>
              <w:adjustRightInd/>
              <w:jc w:val="center"/>
              <w:rPr>
                <w:rFonts w:cs="Arial"/>
              </w:rPr>
            </w:pPr>
            <w:r>
              <w:rPr>
                <w:rFonts w:cs="Arial"/>
              </w:rPr>
              <w:t>4.0</w:t>
            </w:r>
          </w:p>
        </w:tc>
        <w:tc>
          <w:tcPr>
            <w:tcW w:w="622"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6DAA1CE3" w14:textId="25129B05">
            <w:pPr>
              <w:autoSpaceDE/>
              <w:autoSpaceDN/>
              <w:adjustRightInd/>
              <w:jc w:val="center"/>
              <w:rPr>
                <w:rFonts w:cs="Arial"/>
              </w:rPr>
            </w:pPr>
            <w:r>
              <w:rPr>
                <w:rFonts w:cs="Arial"/>
              </w:rPr>
              <w:t>25.0</w:t>
            </w:r>
          </w:p>
        </w:tc>
        <w:tc>
          <w:tcPr>
            <w:tcW w:w="496"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32230F53" w14:textId="4DB70795">
            <w:pPr>
              <w:autoSpaceDE/>
              <w:autoSpaceDN/>
              <w:adjustRightInd/>
              <w:jc w:val="center"/>
              <w:rPr>
                <w:rFonts w:cs="Arial"/>
              </w:rPr>
            </w:pPr>
            <w:r>
              <w:rPr>
                <w:rFonts w:cs="Arial"/>
              </w:rPr>
              <w:t>14.4</w:t>
            </w:r>
          </w:p>
        </w:tc>
      </w:tr>
      <w:tr w:rsidRPr="00893E63" w:rsidR="005C536C" w:rsidTr="00FA1ACA" w14:paraId="1A427332" w14:textId="77777777">
        <w:trPr>
          <w:trHeight w:val="252"/>
        </w:trPr>
        <w:tc>
          <w:tcPr>
            <w:tcW w:w="878" w:type="pct"/>
            <w:vMerge/>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5C536C" w:rsidRDefault="005C536C" w14:paraId="2498B089" w14:textId="77777777">
            <w:pPr>
              <w:keepNext/>
              <w:keepLines/>
              <w:autoSpaceDE/>
              <w:autoSpaceDN/>
              <w:adjustRightInd/>
              <w:rPr>
                <w:rFonts w:cs="Arial"/>
              </w:rPr>
            </w:pPr>
          </w:p>
        </w:tc>
        <w:tc>
          <w:tcPr>
            <w:tcW w:w="777"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005C536C" w:rsidP="005C536C" w:rsidRDefault="005C536C" w14:paraId="10B9307E" w14:textId="77777777">
            <w:pPr>
              <w:keepNext/>
              <w:keepLines/>
              <w:autoSpaceDE/>
              <w:autoSpaceDN/>
              <w:adjustRightInd/>
              <w:jc w:val="center"/>
              <w:rPr>
                <w:rFonts w:cs="Arial"/>
              </w:rPr>
            </w:pPr>
            <w:r>
              <w:rPr>
                <w:rFonts w:cs="Arial"/>
              </w:rPr>
              <w:t>1</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2B861882" w14:textId="55D1C6DD">
            <w:pPr>
              <w:keepNext/>
              <w:keepLines/>
              <w:autoSpaceDE/>
              <w:autoSpaceDN/>
              <w:adjustRightInd/>
              <w:jc w:val="center"/>
              <w:rPr>
                <w:rFonts w:cs="Arial"/>
              </w:rPr>
            </w:pPr>
            <w:r w:rsidRPr="00E8438A">
              <w:t>805</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5266F8AF" w14:textId="6BC6E107">
            <w:pPr>
              <w:keepNext/>
              <w:keepLines/>
              <w:autoSpaceDE/>
              <w:autoSpaceDN/>
              <w:adjustRightInd/>
              <w:jc w:val="center"/>
              <w:rPr>
                <w:rFonts w:cs="Arial"/>
              </w:rPr>
            </w:pPr>
            <w:r w:rsidRPr="00F45EAB">
              <w:t>2,704</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535F3A06" w14:textId="47B3B417">
            <w:pPr>
              <w:keepNext/>
              <w:keepLines/>
              <w:autoSpaceDE/>
              <w:autoSpaceDN/>
              <w:adjustRightInd/>
              <w:jc w:val="center"/>
              <w:rPr>
                <w:rFonts w:cs="Arial"/>
              </w:rPr>
            </w:pPr>
            <w:r>
              <w:rPr>
                <w:rFonts w:cs="Arial"/>
              </w:rPr>
              <w:t>1,713</w:t>
            </w:r>
          </w:p>
        </w:tc>
        <w:tc>
          <w:tcPr>
            <w:tcW w:w="569"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0741D9F7" w14:textId="5410BB95">
            <w:pPr>
              <w:keepNext/>
              <w:keepLines/>
              <w:autoSpaceDE/>
              <w:autoSpaceDN/>
              <w:adjustRightInd/>
              <w:jc w:val="center"/>
              <w:rPr>
                <w:rFonts w:cs="Arial"/>
              </w:rPr>
            </w:pPr>
            <w:r>
              <w:rPr>
                <w:rFonts w:cs="Arial"/>
              </w:rPr>
              <w:t>2.0</w:t>
            </w:r>
          </w:p>
        </w:tc>
        <w:tc>
          <w:tcPr>
            <w:tcW w:w="622"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04538DC9" w14:textId="20F92C2E">
            <w:pPr>
              <w:keepNext/>
              <w:keepLines/>
              <w:autoSpaceDE/>
              <w:autoSpaceDN/>
              <w:adjustRightInd/>
              <w:jc w:val="center"/>
              <w:rPr>
                <w:rFonts w:cs="Arial"/>
              </w:rPr>
            </w:pPr>
            <w:r>
              <w:rPr>
                <w:rFonts w:cs="Arial"/>
              </w:rPr>
              <w:t>20.0</w:t>
            </w:r>
          </w:p>
        </w:tc>
        <w:tc>
          <w:tcPr>
            <w:tcW w:w="496"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1472FC36" w14:textId="01AAABB6">
            <w:pPr>
              <w:keepNext/>
              <w:keepLines/>
              <w:autoSpaceDE/>
              <w:autoSpaceDN/>
              <w:adjustRightInd/>
              <w:jc w:val="center"/>
              <w:rPr>
                <w:rFonts w:cs="Arial"/>
              </w:rPr>
            </w:pPr>
            <w:r>
              <w:rPr>
                <w:rFonts w:cs="Arial"/>
              </w:rPr>
              <w:t>10.5</w:t>
            </w:r>
          </w:p>
        </w:tc>
      </w:tr>
      <w:tr w:rsidRPr="00893E63" w:rsidR="005C536C" w:rsidTr="00FA1ACA" w14:paraId="2C7CB552" w14:textId="77777777">
        <w:trPr>
          <w:trHeight w:val="252"/>
        </w:trPr>
        <w:tc>
          <w:tcPr>
            <w:tcW w:w="878" w:type="pct"/>
            <w:vMerge/>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5C536C" w:rsidRDefault="005C536C" w14:paraId="0249F4E6" w14:textId="77777777">
            <w:pPr>
              <w:keepNext/>
              <w:keepLines/>
              <w:autoSpaceDE/>
              <w:autoSpaceDN/>
              <w:adjustRightInd/>
              <w:rPr>
                <w:rFonts w:cs="Arial"/>
              </w:rPr>
            </w:pPr>
          </w:p>
        </w:tc>
        <w:tc>
          <w:tcPr>
            <w:tcW w:w="777"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005C536C" w:rsidP="005C536C" w:rsidRDefault="005C536C" w14:paraId="6A44C3B7" w14:textId="77777777">
            <w:pPr>
              <w:keepNext/>
              <w:keepLines/>
              <w:autoSpaceDE/>
              <w:autoSpaceDN/>
              <w:adjustRightInd/>
              <w:jc w:val="center"/>
              <w:rPr>
                <w:rFonts w:cs="Arial"/>
              </w:rPr>
            </w:pPr>
            <w:r>
              <w:rPr>
                <w:rFonts w:cs="Arial"/>
              </w:rPr>
              <w:t>2</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6B152B1B" w14:textId="1220AD84">
            <w:pPr>
              <w:keepNext/>
              <w:keepLines/>
              <w:autoSpaceDE/>
              <w:autoSpaceDN/>
              <w:adjustRightInd/>
              <w:jc w:val="center"/>
              <w:rPr>
                <w:rFonts w:cs="Arial"/>
              </w:rPr>
            </w:pPr>
            <w:r w:rsidRPr="00E8438A">
              <w:t>1,785</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2623A3AB" w14:textId="0AAD5B67">
            <w:pPr>
              <w:keepNext/>
              <w:keepLines/>
              <w:autoSpaceDE/>
              <w:autoSpaceDN/>
              <w:adjustRightInd/>
              <w:jc w:val="center"/>
              <w:rPr>
                <w:rFonts w:cs="Arial"/>
              </w:rPr>
            </w:pPr>
            <w:r w:rsidRPr="00F45EAB">
              <w:t>3,802</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404AB083" w14:textId="3798259B">
            <w:pPr>
              <w:keepNext/>
              <w:keepLines/>
              <w:autoSpaceDE/>
              <w:autoSpaceDN/>
              <w:adjustRightInd/>
              <w:jc w:val="center"/>
              <w:rPr>
                <w:rFonts w:cs="Arial"/>
              </w:rPr>
            </w:pPr>
            <w:r>
              <w:rPr>
                <w:rFonts w:cs="Arial"/>
              </w:rPr>
              <w:t>2,725</w:t>
            </w:r>
          </w:p>
        </w:tc>
        <w:tc>
          <w:tcPr>
            <w:tcW w:w="569"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0C625FD2" w14:textId="62E78512">
            <w:pPr>
              <w:keepNext/>
              <w:keepLines/>
              <w:autoSpaceDE/>
              <w:autoSpaceDN/>
              <w:adjustRightInd/>
              <w:jc w:val="center"/>
              <w:rPr>
                <w:rFonts w:cs="Arial"/>
              </w:rPr>
            </w:pPr>
            <w:r>
              <w:rPr>
                <w:rFonts w:cs="Arial"/>
              </w:rPr>
              <w:t>8.0</w:t>
            </w:r>
          </w:p>
        </w:tc>
        <w:tc>
          <w:tcPr>
            <w:tcW w:w="622"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3502A0AE" w14:textId="66E8F49B">
            <w:pPr>
              <w:keepNext/>
              <w:keepLines/>
              <w:autoSpaceDE/>
              <w:autoSpaceDN/>
              <w:adjustRightInd/>
              <w:jc w:val="center"/>
              <w:rPr>
                <w:rFonts w:cs="Arial"/>
              </w:rPr>
            </w:pPr>
            <w:r>
              <w:rPr>
                <w:rFonts w:cs="Arial"/>
              </w:rPr>
              <w:t>28.0</w:t>
            </w:r>
          </w:p>
        </w:tc>
        <w:tc>
          <w:tcPr>
            <w:tcW w:w="496"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40DAFF30" w14:textId="0B8A0AA9">
            <w:pPr>
              <w:keepNext/>
              <w:keepLines/>
              <w:autoSpaceDE/>
              <w:autoSpaceDN/>
              <w:adjustRightInd/>
              <w:jc w:val="center"/>
              <w:rPr>
                <w:rFonts w:cs="Arial"/>
              </w:rPr>
            </w:pPr>
            <w:r>
              <w:rPr>
                <w:rFonts w:cs="Arial"/>
              </w:rPr>
              <w:t>16.2</w:t>
            </w:r>
          </w:p>
        </w:tc>
      </w:tr>
      <w:tr w:rsidRPr="00893E63" w:rsidR="005C536C" w:rsidTr="00FA1ACA" w14:paraId="1A7BAA09" w14:textId="77777777">
        <w:trPr>
          <w:trHeight w:val="252"/>
        </w:trPr>
        <w:tc>
          <w:tcPr>
            <w:tcW w:w="878" w:type="pct"/>
            <w:vMerge/>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5C536C" w:rsidRDefault="005C536C" w14:paraId="4744DF4F" w14:textId="77777777">
            <w:pPr>
              <w:keepNext/>
              <w:keepLines/>
              <w:autoSpaceDE/>
              <w:autoSpaceDN/>
              <w:adjustRightInd/>
              <w:rPr>
                <w:rFonts w:cs="Arial"/>
              </w:rPr>
            </w:pPr>
          </w:p>
        </w:tc>
        <w:tc>
          <w:tcPr>
            <w:tcW w:w="777"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005C536C" w:rsidP="005C536C" w:rsidRDefault="005C536C" w14:paraId="3837AF58" w14:textId="77777777">
            <w:pPr>
              <w:keepNext/>
              <w:keepLines/>
              <w:autoSpaceDE/>
              <w:autoSpaceDN/>
              <w:adjustRightInd/>
              <w:jc w:val="center"/>
              <w:rPr>
                <w:rFonts w:cs="Arial"/>
              </w:rPr>
            </w:pPr>
            <w:r>
              <w:rPr>
                <w:rFonts w:cs="Arial"/>
              </w:rPr>
              <w:t>3</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4B4E8E0C" w14:textId="11FCBBD2">
            <w:pPr>
              <w:keepNext/>
              <w:keepLines/>
              <w:autoSpaceDE/>
              <w:autoSpaceDN/>
              <w:adjustRightInd/>
              <w:jc w:val="center"/>
              <w:rPr>
                <w:rFonts w:cs="Arial"/>
              </w:rPr>
            </w:pPr>
            <w:r w:rsidRPr="00E8438A">
              <w:t>2,703</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1FAC3C5A" w14:textId="27BE3524">
            <w:pPr>
              <w:keepNext/>
              <w:keepLines/>
              <w:autoSpaceDE/>
              <w:autoSpaceDN/>
              <w:adjustRightInd/>
              <w:jc w:val="center"/>
              <w:rPr>
                <w:rFonts w:cs="Arial"/>
              </w:rPr>
            </w:pPr>
            <w:r w:rsidRPr="00F45EAB">
              <w:t>4,628</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2D9401F1" w14:textId="4709755A">
            <w:pPr>
              <w:keepNext/>
              <w:keepLines/>
              <w:autoSpaceDE/>
              <w:autoSpaceDN/>
              <w:adjustRightInd/>
              <w:jc w:val="center"/>
              <w:rPr>
                <w:rFonts w:cs="Arial"/>
              </w:rPr>
            </w:pPr>
            <w:r>
              <w:rPr>
                <w:rFonts w:cs="Arial"/>
              </w:rPr>
              <w:t>3,845</w:t>
            </w:r>
          </w:p>
        </w:tc>
        <w:tc>
          <w:tcPr>
            <w:tcW w:w="569"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221B4BB3" w14:textId="50E7DE47">
            <w:pPr>
              <w:keepNext/>
              <w:keepLines/>
              <w:autoSpaceDE/>
              <w:autoSpaceDN/>
              <w:adjustRightInd/>
              <w:jc w:val="center"/>
              <w:rPr>
                <w:rFonts w:cs="Arial"/>
              </w:rPr>
            </w:pPr>
            <w:r>
              <w:rPr>
                <w:rFonts w:cs="Arial"/>
              </w:rPr>
              <w:t>14.0</w:t>
            </w:r>
          </w:p>
        </w:tc>
        <w:tc>
          <w:tcPr>
            <w:tcW w:w="622"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0C33E101" w14:textId="6A4728CD">
            <w:pPr>
              <w:keepNext/>
              <w:keepLines/>
              <w:autoSpaceDE/>
              <w:autoSpaceDN/>
              <w:adjustRightInd/>
              <w:jc w:val="center"/>
              <w:rPr>
                <w:rFonts w:cs="Arial"/>
              </w:rPr>
            </w:pPr>
            <w:r>
              <w:rPr>
                <w:rFonts w:cs="Arial"/>
              </w:rPr>
              <w:t>27.7</w:t>
            </w:r>
          </w:p>
        </w:tc>
        <w:tc>
          <w:tcPr>
            <w:tcW w:w="496"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5C536C" w:rsidRDefault="005C536C" w14:paraId="3D4BA813" w14:textId="2607F9A4">
            <w:pPr>
              <w:keepNext/>
              <w:keepLines/>
              <w:autoSpaceDE/>
              <w:autoSpaceDN/>
              <w:adjustRightInd/>
              <w:jc w:val="center"/>
              <w:rPr>
                <w:rFonts w:cs="Arial"/>
              </w:rPr>
            </w:pPr>
            <w:r>
              <w:rPr>
                <w:rFonts w:cs="Arial"/>
              </w:rPr>
              <w:t>20.2</w:t>
            </w:r>
          </w:p>
        </w:tc>
      </w:tr>
      <w:tr w:rsidRPr="00893E63" w:rsidR="005C536C" w:rsidTr="00FA1ACA" w14:paraId="3A7A80A6" w14:textId="77777777">
        <w:trPr>
          <w:trHeight w:val="252"/>
        </w:trPr>
        <w:tc>
          <w:tcPr>
            <w:tcW w:w="1655" w:type="pct"/>
            <w:gridSpan w:val="2"/>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FA1ACA" w:rsidRDefault="005C536C" w14:paraId="1536D98A" w14:textId="3A3880CE">
            <w:pPr>
              <w:autoSpaceDE/>
              <w:autoSpaceDN/>
              <w:adjustRightInd/>
              <w:rPr>
                <w:rFonts w:cs="Arial"/>
              </w:rPr>
            </w:pPr>
            <w:r>
              <w:rPr>
                <w:rFonts w:cs="Arial"/>
              </w:rPr>
              <w:t xml:space="preserve">Power </w:t>
            </w:r>
            <w:r w:rsidRPr="00FA3857">
              <w:rPr>
                <w:rFonts w:cs="Arial"/>
              </w:rPr>
              <w:t>Reactor</w:t>
            </w:r>
            <w:r w:rsidR="00373F92">
              <w:rPr>
                <w:rFonts w:cs="Arial"/>
              </w:rPr>
              <w:t>—</w:t>
            </w:r>
            <w:r w:rsidRPr="00FA3857">
              <w:rPr>
                <w:rFonts w:cs="Arial"/>
              </w:rPr>
              <w:t>Construction</w:t>
            </w:r>
            <w:r w:rsidRPr="00FA1ACA" w:rsidR="00FA1ACA">
              <w:rPr>
                <w:rFonts w:cs="Arial"/>
                <w:vertAlign w:val="superscript"/>
              </w:rPr>
              <w:t>a</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7444346F" w14:textId="1B00DFA6">
            <w:pPr>
              <w:autoSpaceDE/>
              <w:autoSpaceDN/>
              <w:adjustRightInd/>
              <w:jc w:val="center"/>
              <w:rPr>
                <w:rFonts w:cs="Arial"/>
              </w:rPr>
            </w:pPr>
            <w:r>
              <w:rPr>
                <w:rFonts w:cs="Arial"/>
              </w:rPr>
              <w:t>3,277</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779C7417" w14:textId="46F5269A">
            <w:pPr>
              <w:autoSpaceDE/>
              <w:autoSpaceDN/>
              <w:adjustRightInd/>
              <w:jc w:val="center"/>
              <w:rPr>
                <w:rFonts w:cs="Arial"/>
              </w:rPr>
            </w:pPr>
            <w:r>
              <w:rPr>
                <w:rFonts w:cs="Arial"/>
              </w:rPr>
              <w:t>15,829</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481E9A9B" w14:textId="45D6AB86">
            <w:pPr>
              <w:autoSpaceDE/>
              <w:autoSpaceDN/>
              <w:adjustRightInd/>
              <w:jc w:val="center"/>
              <w:rPr>
                <w:rFonts w:cs="Arial"/>
              </w:rPr>
            </w:pPr>
            <w:r>
              <w:rPr>
                <w:rFonts w:cs="Arial"/>
              </w:rPr>
              <w:t>8,525</w:t>
            </w:r>
          </w:p>
        </w:tc>
        <w:tc>
          <w:tcPr>
            <w:tcW w:w="569"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591DF6B6" w14:textId="577F1BC1">
            <w:pPr>
              <w:autoSpaceDE/>
              <w:autoSpaceDN/>
              <w:adjustRightInd/>
              <w:jc w:val="center"/>
              <w:rPr>
                <w:rFonts w:cs="Arial"/>
              </w:rPr>
            </w:pPr>
            <w:r>
              <w:rPr>
                <w:rFonts w:cs="Arial"/>
              </w:rPr>
              <w:t>56.0</w:t>
            </w:r>
          </w:p>
        </w:tc>
        <w:tc>
          <w:tcPr>
            <w:tcW w:w="622"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6D8E8C1D" w14:textId="4258A06B">
            <w:pPr>
              <w:autoSpaceDE/>
              <w:autoSpaceDN/>
              <w:adjustRightInd/>
              <w:jc w:val="center"/>
              <w:rPr>
                <w:rFonts w:cs="Arial"/>
              </w:rPr>
            </w:pPr>
            <w:r>
              <w:rPr>
                <w:rFonts w:cs="Arial"/>
              </w:rPr>
              <w:t>344.0</w:t>
            </w:r>
          </w:p>
        </w:tc>
        <w:tc>
          <w:tcPr>
            <w:tcW w:w="496"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10A2393D" w14:textId="09F1F3C9">
            <w:pPr>
              <w:autoSpaceDE/>
              <w:autoSpaceDN/>
              <w:adjustRightInd/>
              <w:jc w:val="center"/>
              <w:rPr>
                <w:rFonts w:cs="Arial"/>
              </w:rPr>
            </w:pPr>
            <w:r>
              <w:rPr>
                <w:rFonts w:cs="Arial"/>
              </w:rPr>
              <w:t>168.5</w:t>
            </w:r>
          </w:p>
        </w:tc>
      </w:tr>
      <w:tr w:rsidRPr="00893E63" w:rsidR="005C536C" w:rsidTr="00FA1ACA" w14:paraId="03621F4A" w14:textId="77777777">
        <w:trPr>
          <w:trHeight w:val="252"/>
        </w:trPr>
        <w:tc>
          <w:tcPr>
            <w:tcW w:w="1655" w:type="pct"/>
            <w:gridSpan w:val="2"/>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FA1ACA" w:rsidRDefault="005C536C" w14:paraId="08A62F95" w14:textId="77777777">
            <w:pPr>
              <w:autoSpaceDE/>
              <w:autoSpaceDN/>
              <w:adjustRightInd/>
              <w:rPr>
                <w:rFonts w:cs="Arial"/>
              </w:rPr>
            </w:pPr>
            <w:r w:rsidRPr="00FA3857">
              <w:rPr>
                <w:rFonts w:cs="Arial"/>
              </w:rPr>
              <w:t>Corporate Office</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6A7C2159" w14:textId="0B909955">
            <w:pPr>
              <w:autoSpaceDE/>
              <w:autoSpaceDN/>
              <w:adjustRightInd/>
              <w:jc w:val="center"/>
              <w:rPr>
                <w:rFonts w:cs="Arial"/>
              </w:rPr>
            </w:pPr>
            <w:r>
              <w:rPr>
                <w:rFonts w:cs="Arial"/>
              </w:rPr>
              <w:t>291</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37183258" w14:textId="5D0EF286">
            <w:pPr>
              <w:autoSpaceDE/>
              <w:autoSpaceDN/>
              <w:adjustRightInd/>
              <w:jc w:val="center"/>
              <w:rPr>
                <w:rFonts w:cs="Arial"/>
              </w:rPr>
            </w:pPr>
            <w:r>
              <w:rPr>
                <w:rFonts w:cs="Arial"/>
              </w:rPr>
              <w:t>717</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365019BC" w14:textId="217AEDBA">
            <w:pPr>
              <w:autoSpaceDE/>
              <w:autoSpaceDN/>
              <w:adjustRightInd/>
              <w:jc w:val="center"/>
              <w:rPr>
                <w:rFonts w:cs="Arial"/>
              </w:rPr>
            </w:pPr>
            <w:r>
              <w:rPr>
                <w:rFonts w:cs="Arial"/>
              </w:rPr>
              <w:t>515</w:t>
            </w:r>
          </w:p>
        </w:tc>
        <w:tc>
          <w:tcPr>
            <w:tcW w:w="569"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39F80AE1" w14:textId="77777777">
            <w:pPr>
              <w:autoSpaceDE/>
              <w:autoSpaceDN/>
              <w:adjustRightInd/>
              <w:jc w:val="center"/>
              <w:rPr>
                <w:rFonts w:cs="Arial"/>
              </w:rPr>
            </w:pPr>
            <w:r>
              <w:rPr>
                <w:rFonts w:cs="Arial"/>
              </w:rPr>
              <w:t>0</w:t>
            </w:r>
          </w:p>
        </w:tc>
        <w:tc>
          <w:tcPr>
            <w:tcW w:w="622"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7BC61B72" w14:textId="77777777">
            <w:pPr>
              <w:autoSpaceDE/>
              <w:autoSpaceDN/>
              <w:adjustRightInd/>
              <w:jc w:val="center"/>
              <w:rPr>
                <w:rFonts w:cs="Arial"/>
              </w:rPr>
            </w:pPr>
            <w:r>
              <w:rPr>
                <w:rFonts w:cs="Arial"/>
              </w:rPr>
              <w:t>2.0</w:t>
            </w:r>
          </w:p>
        </w:tc>
        <w:tc>
          <w:tcPr>
            <w:tcW w:w="496"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7A17F014" w14:textId="5109BDA9">
            <w:pPr>
              <w:autoSpaceDE/>
              <w:autoSpaceDN/>
              <w:adjustRightInd/>
              <w:jc w:val="center"/>
              <w:rPr>
                <w:rFonts w:cs="Arial"/>
              </w:rPr>
            </w:pPr>
            <w:r>
              <w:rPr>
                <w:rFonts w:cs="Arial"/>
              </w:rPr>
              <w:t>1.0</w:t>
            </w:r>
          </w:p>
        </w:tc>
      </w:tr>
      <w:tr w:rsidRPr="00893E63" w:rsidR="005C536C" w:rsidTr="00FA1ACA" w14:paraId="6AAEA3EB" w14:textId="77777777">
        <w:trPr>
          <w:trHeight w:val="252"/>
        </w:trPr>
        <w:tc>
          <w:tcPr>
            <w:tcW w:w="1655" w:type="pct"/>
            <w:gridSpan w:val="2"/>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FA1ACA" w:rsidRDefault="007F78CA" w14:paraId="6656FC46" w14:textId="47B7F23D">
            <w:pPr>
              <w:autoSpaceDE/>
              <w:autoSpaceDN/>
              <w:adjustRightInd/>
              <w:rPr>
                <w:rFonts w:cs="Arial"/>
              </w:rPr>
            </w:pPr>
            <w:r>
              <w:rPr>
                <w:rFonts w:cs="Arial"/>
              </w:rPr>
              <w:t xml:space="preserve">Category I </w:t>
            </w:r>
            <w:r w:rsidR="006E5AFC">
              <w:t xml:space="preserve">Special </w:t>
            </w:r>
            <w:r w:rsidR="00D91F3B">
              <w:t>N</w:t>
            </w:r>
            <w:r w:rsidR="006E5AFC">
              <w:t xml:space="preserve">uclear </w:t>
            </w:r>
            <w:r w:rsidR="00D91F3B">
              <w:t>M</w:t>
            </w:r>
            <w:r w:rsidR="006E5AFC">
              <w:t xml:space="preserve">aterial licensee </w:t>
            </w:r>
            <w:r w:rsidRPr="009474E4" w:rsidR="006E5AFC">
              <w:t>facilit</w:t>
            </w:r>
            <w:r w:rsidR="006E5AFC">
              <w:t>y</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3218F195" w14:textId="455703EE">
            <w:pPr>
              <w:autoSpaceDE/>
              <w:autoSpaceDN/>
              <w:adjustRightInd/>
              <w:jc w:val="center"/>
              <w:rPr>
                <w:rFonts w:cs="Arial"/>
              </w:rPr>
            </w:pPr>
            <w:r>
              <w:rPr>
                <w:rFonts w:cs="Arial"/>
              </w:rPr>
              <w:t>491</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01F8A70B" w14:textId="03FEB365">
            <w:pPr>
              <w:autoSpaceDE/>
              <w:autoSpaceDN/>
              <w:adjustRightInd/>
              <w:jc w:val="center"/>
              <w:rPr>
                <w:rFonts w:cs="Arial"/>
              </w:rPr>
            </w:pPr>
            <w:r>
              <w:rPr>
                <w:rFonts w:cs="Arial"/>
              </w:rPr>
              <w:t>886</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3B2CF02B" w14:textId="04E54921">
            <w:pPr>
              <w:autoSpaceDE/>
              <w:autoSpaceDN/>
              <w:adjustRightInd/>
              <w:jc w:val="center"/>
              <w:rPr>
                <w:rFonts w:cs="Arial"/>
              </w:rPr>
            </w:pPr>
            <w:r>
              <w:rPr>
                <w:rFonts w:cs="Arial"/>
              </w:rPr>
              <w:t>766</w:t>
            </w:r>
          </w:p>
        </w:tc>
        <w:tc>
          <w:tcPr>
            <w:tcW w:w="569"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46066AAE" w14:textId="77777777">
            <w:pPr>
              <w:autoSpaceDE/>
              <w:autoSpaceDN/>
              <w:adjustRightInd/>
              <w:jc w:val="center"/>
              <w:rPr>
                <w:rFonts w:cs="Arial"/>
              </w:rPr>
            </w:pPr>
            <w:r>
              <w:rPr>
                <w:rFonts w:cs="Arial"/>
              </w:rPr>
              <w:t>0</w:t>
            </w:r>
          </w:p>
        </w:tc>
        <w:tc>
          <w:tcPr>
            <w:tcW w:w="622"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7F376382" w14:textId="4030EEE0">
            <w:pPr>
              <w:autoSpaceDE/>
              <w:autoSpaceDN/>
              <w:adjustRightInd/>
              <w:jc w:val="center"/>
              <w:rPr>
                <w:rFonts w:cs="Arial"/>
              </w:rPr>
            </w:pPr>
            <w:r>
              <w:rPr>
                <w:rFonts w:cs="Arial"/>
              </w:rPr>
              <w:t>4.0</w:t>
            </w:r>
          </w:p>
        </w:tc>
        <w:tc>
          <w:tcPr>
            <w:tcW w:w="496"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0AF16B50" w14:textId="78DA96CB">
            <w:pPr>
              <w:autoSpaceDE/>
              <w:autoSpaceDN/>
              <w:adjustRightInd/>
              <w:jc w:val="center"/>
              <w:rPr>
                <w:rFonts w:cs="Arial"/>
              </w:rPr>
            </w:pPr>
            <w:r>
              <w:rPr>
                <w:rFonts w:cs="Arial"/>
              </w:rPr>
              <w:t>1.9</w:t>
            </w:r>
          </w:p>
        </w:tc>
      </w:tr>
      <w:tr w:rsidRPr="00893E63" w:rsidR="005C536C" w:rsidTr="00FA1ACA" w14:paraId="4E9DA339" w14:textId="77777777">
        <w:trPr>
          <w:trHeight w:val="252"/>
        </w:trPr>
        <w:tc>
          <w:tcPr>
            <w:tcW w:w="1655" w:type="pct"/>
            <w:gridSpan w:val="2"/>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005C536C" w:rsidP="00FA1ACA" w:rsidRDefault="005C536C" w14:paraId="48D34FA1" w14:textId="77777777">
            <w:pPr>
              <w:autoSpaceDE/>
              <w:autoSpaceDN/>
              <w:adjustRightInd/>
              <w:rPr>
                <w:rFonts w:cs="Arial"/>
              </w:rPr>
            </w:pPr>
            <w:r w:rsidRPr="00FA3857">
              <w:rPr>
                <w:rFonts w:cs="Arial"/>
              </w:rPr>
              <w:t>C</w:t>
            </w:r>
            <w:r>
              <w:rPr>
                <w:rFonts w:cs="Arial"/>
              </w:rPr>
              <w:t>/</w:t>
            </w:r>
            <w:r w:rsidRPr="00FA3857">
              <w:rPr>
                <w:rFonts w:cs="Arial"/>
              </w:rPr>
              <w:t>V</w:t>
            </w:r>
            <w:r>
              <w:rPr>
                <w:rFonts w:cs="Arial"/>
              </w:rPr>
              <w:t xml:space="preserve"> (INPO)</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6DA2A47C" w14:textId="363EA830">
            <w:pPr>
              <w:autoSpaceDE/>
              <w:autoSpaceDN/>
              <w:adjustRightInd/>
              <w:jc w:val="center"/>
              <w:rPr>
                <w:rFonts w:cs="Arial"/>
              </w:rPr>
            </w:pPr>
            <w:r>
              <w:rPr>
                <w:rFonts w:cs="Arial"/>
              </w:rPr>
              <w:t>264</w:t>
            </w:r>
          </w:p>
        </w:tc>
        <w:tc>
          <w:tcPr>
            <w:tcW w:w="570"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138D1073" w14:textId="5D34CD5B">
            <w:pPr>
              <w:autoSpaceDE/>
              <w:autoSpaceDN/>
              <w:adjustRightInd/>
              <w:jc w:val="center"/>
              <w:rPr>
                <w:rFonts w:cs="Arial"/>
              </w:rPr>
            </w:pPr>
            <w:r>
              <w:rPr>
                <w:rFonts w:cs="Arial"/>
              </w:rPr>
              <w:t>367</w:t>
            </w:r>
          </w:p>
        </w:tc>
        <w:tc>
          <w:tcPr>
            <w:tcW w:w="518"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25BCD8BB" w14:textId="77777777">
            <w:pPr>
              <w:autoSpaceDE/>
              <w:autoSpaceDN/>
              <w:adjustRightInd/>
              <w:jc w:val="center"/>
              <w:rPr>
                <w:rFonts w:cs="Arial"/>
              </w:rPr>
            </w:pPr>
            <w:r>
              <w:rPr>
                <w:rFonts w:cs="Arial"/>
              </w:rPr>
              <w:t>310</w:t>
            </w:r>
          </w:p>
        </w:tc>
        <w:tc>
          <w:tcPr>
            <w:tcW w:w="569"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58D34650" w14:textId="77777777">
            <w:pPr>
              <w:autoSpaceDE/>
              <w:autoSpaceDN/>
              <w:adjustRightInd/>
              <w:jc w:val="center"/>
              <w:rPr>
                <w:rFonts w:cs="Arial"/>
              </w:rPr>
            </w:pPr>
            <w:r>
              <w:rPr>
                <w:rFonts w:cs="Arial"/>
              </w:rPr>
              <w:t>0</w:t>
            </w:r>
          </w:p>
        </w:tc>
        <w:tc>
          <w:tcPr>
            <w:tcW w:w="622"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3C3D56BC" w14:textId="5D650BB3">
            <w:pPr>
              <w:autoSpaceDE/>
              <w:autoSpaceDN/>
              <w:adjustRightInd/>
              <w:jc w:val="center"/>
              <w:rPr>
                <w:rFonts w:cs="Arial"/>
              </w:rPr>
            </w:pPr>
            <w:r>
              <w:rPr>
                <w:rFonts w:cs="Arial"/>
              </w:rPr>
              <w:t>1.0</w:t>
            </w:r>
          </w:p>
        </w:tc>
        <w:tc>
          <w:tcPr>
            <w:tcW w:w="496" w:type="pct"/>
            <w:tcBorders>
              <w:top w:val="single" w:color="auto" w:sz="4" w:space="0"/>
              <w:left w:val="single" w:color="auto" w:sz="4" w:space="0"/>
              <w:bottom w:val="single" w:color="auto" w:sz="4" w:space="0"/>
              <w:right w:val="single" w:color="auto" w:sz="4" w:space="0"/>
            </w:tcBorders>
            <w:shd w:val="clear" w:color="auto" w:fill="auto"/>
            <w:noWrap/>
            <w:tcMar>
              <w:left w:w="58" w:type="dxa"/>
              <w:right w:w="58" w:type="dxa"/>
            </w:tcMar>
            <w:vAlign w:val="center"/>
          </w:tcPr>
          <w:p w:rsidRPr="00FA3857" w:rsidR="005C536C" w:rsidP="00FA1ACA" w:rsidRDefault="005C536C" w14:paraId="183544D0" w14:textId="029EB6DB">
            <w:pPr>
              <w:autoSpaceDE/>
              <w:autoSpaceDN/>
              <w:adjustRightInd/>
              <w:jc w:val="center"/>
              <w:rPr>
                <w:rFonts w:cs="Arial"/>
              </w:rPr>
            </w:pPr>
            <w:r>
              <w:rPr>
                <w:rFonts w:cs="Arial"/>
              </w:rPr>
              <w:t>0.4</w:t>
            </w:r>
          </w:p>
        </w:tc>
      </w:tr>
    </w:tbl>
    <w:p w:rsidRPr="00EA3820" w:rsidR="00D520BD" w:rsidP="002970CF" w:rsidRDefault="002970CF" w14:paraId="108B9C60" w14:textId="221E5BB7">
      <w:pPr>
        <w:ind w:left="1080" w:hanging="360"/>
        <w:rPr>
          <w:sz w:val="18"/>
        </w:rPr>
      </w:pPr>
      <w:proofErr w:type="spellStart"/>
      <w:r w:rsidRPr="00EA3820">
        <w:rPr>
          <w:sz w:val="18"/>
          <w:vertAlign w:val="superscript"/>
        </w:rPr>
        <w:t>a</w:t>
      </w:r>
      <w:proofErr w:type="spellEnd"/>
      <w:r w:rsidRPr="00EA3820">
        <w:rPr>
          <w:sz w:val="18"/>
        </w:rPr>
        <w:tab/>
        <w:t>The power reactor</w:t>
      </w:r>
      <w:r w:rsidRPr="000D3B34" w:rsidR="00F9056A">
        <w:rPr>
          <w:rFonts w:cs="Arial"/>
          <w:sz w:val="18"/>
          <w:szCs w:val="18"/>
        </w:rPr>
        <w:t>—</w:t>
      </w:r>
      <w:r w:rsidRPr="00EA3820">
        <w:rPr>
          <w:sz w:val="18"/>
        </w:rPr>
        <w:t xml:space="preserve">construction category reflects test data from Vogtle </w:t>
      </w:r>
      <w:r w:rsidR="0000298A">
        <w:rPr>
          <w:sz w:val="18"/>
        </w:rPr>
        <w:t xml:space="preserve">Units 3 and 4, which is expected to be completed by </w:t>
      </w:r>
      <w:r w:rsidRPr="00B8288A" w:rsidR="0000298A">
        <w:rPr>
          <w:sz w:val="18"/>
        </w:rPr>
        <w:t>November 2022</w:t>
      </w:r>
      <w:r w:rsidR="0000298A">
        <w:rPr>
          <w:sz w:val="18"/>
        </w:rPr>
        <w:t xml:space="preserve">. </w:t>
      </w:r>
      <w:r w:rsidRPr="00EA3820">
        <w:rPr>
          <w:sz w:val="18"/>
        </w:rPr>
        <w:t xml:space="preserve"> The construction of V.C. Summer Units 2 and 3 was halted </w:t>
      </w:r>
      <w:r w:rsidRPr="000D3B34" w:rsidR="005340A0">
        <w:rPr>
          <w:sz w:val="18"/>
          <w:szCs w:val="18"/>
        </w:rPr>
        <w:t>o</w:t>
      </w:r>
      <w:r w:rsidRPr="000D3B34">
        <w:rPr>
          <w:sz w:val="18"/>
          <w:szCs w:val="18"/>
        </w:rPr>
        <w:t>n</w:t>
      </w:r>
      <w:r w:rsidRPr="00EA3820">
        <w:rPr>
          <w:sz w:val="18"/>
        </w:rPr>
        <w:t xml:space="preserve"> July 31, 2017.</w:t>
      </w:r>
    </w:p>
    <w:p w:rsidRPr="005C536C" w:rsidR="002970CF" w:rsidP="005C536C" w:rsidRDefault="002970CF" w14:paraId="3EC77C6D" w14:textId="4FF6DB1B">
      <w:pPr>
        <w:ind w:left="720"/>
        <w:rPr>
          <w:sz w:val="22"/>
          <w:szCs w:val="22"/>
        </w:rPr>
      </w:pPr>
    </w:p>
    <w:p w:rsidRPr="00B10C2E" w:rsidR="00D520BD" w:rsidP="005C6BA3" w:rsidRDefault="00D520BD" w14:paraId="56FABA1C" w14:textId="645DD3FC">
      <w:pPr>
        <w:pStyle w:val="ListParagraph"/>
        <w:numPr>
          <w:ilvl w:val="0"/>
          <w:numId w:val="33"/>
        </w:numPr>
        <w:tabs>
          <w:tab w:val="left" w:pos="1440"/>
        </w:tabs>
        <w:ind w:left="1440" w:hanging="720"/>
        <w:rPr>
          <w:sz w:val="22"/>
          <w:szCs w:val="22"/>
        </w:rPr>
      </w:pPr>
      <w:r>
        <w:rPr>
          <w:sz w:val="22"/>
          <w:szCs w:val="22"/>
        </w:rPr>
        <w:t xml:space="preserve">Operating </w:t>
      </w:r>
      <w:r w:rsidR="00DB148C">
        <w:rPr>
          <w:sz w:val="22"/>
          <w:szCs w:val="22"/>
        </w:rPr>
        <w:t xml:space="preserve">power </w:t>
      </w:r>
      <w:r>
        <w:rPr>
          <w:sz w:val="22"/>
          <w:szCs w:val="22"/>
        </w:rPr>
        <w:t>reactors have t</w:t>
      </w:r>
      <w:r w:rsidRPr="00B10C2E">
        <w:rPr>
          <w:sz w:val="22"/>
          <w:szCs w:val="22"/>
        </w:rPr>
        <w:t>he largest variability in the number of tests conducted by facility type.  This variability primarily depends on the number of reactors at the site (e.g.</w:t>
      </w:r>
      <w:r w:rsidR="00646A79">
        <w:rPr>
          <w:sz w:val="22"/>
          <w:szCs w:val="22"/>
        </w:rPr>
        <w:t>,</w:t>
      </w:r>
      <w:r>
        <w:rPr>
          <w:sz w:val="22"/>
          <w:szCs w:val="22"/>
        </w:rPr>
        <w:t> one</w:t>
      </w:r>
      <w:r w:rsidRPr="00B10C2E">
        <w:rPr>
          <w:sz w:val="22"/>
          <w:szCs w:val="22"/>
        </w:rPr>
        <w:t xml:space="preserve"> to </w:t>
      </w:r>
      <w:r>
        <w:rPr>
          <w:sz w:val="22"/>
          <w:szCs w:val="22"/>
        </w:rPr>
        <w:t>three</w:t>
      </w:r>
      <w:r w:rsidRPr="00B10C2E">
        <w:rPr>
          <w:sz w:val="22"/>
          <w:szCs w:val="22"/>
        </w:rPr>
        <w:t xml:space="preserve"> units)</w:t>
      </w:r>
      <w:r w:rsidR="00646A79">
        <w:rPr>
          <w:sz w:val="22"/>
          <w:szCs w:val="22"/>
        </w:rPr>
        <w:t>,</w:t>
      </w:r>
      <w:r w:rsidRPr="00B10C2E">
        <w:rPr>
          <w:sz w:val="22"/>
          <w:szCs w:val="22"/>
        </w:rPr>
        <w:t xml:space="preserve"> although </w:t>
      </w:r>
      <w:r>
        <w:rPr>
          <w:sz w:val="22"/>
          <w:szCs w:val="22"/>
        </w:rPr>
        <w:t xml:space="preserve">an </w:t>
      </w:r>
      <w:r w:rsidRPr="00B10C2E">
        <w:rPr>
          <w:sz w:val="22"/>
          <w:szCs w:val="22"/>
        </w:rPr>
        <w:t>analysis of</w:t>
      </w:r>
      <w:r>
        <w:rPr>
          <w:sz w:val="22"/>
          <w:szCs w:val="22"/>
        </w:rPr>
        <w:t xml:space="preserve"> the</w:t>
      </w:r>
      <w:r w:rsidRPr="00B10C2E">
        <w:rPr>
          <w:sz w:val="22"/>
          <w:szCs w:val="22"/>
        </w:rPr>
        <w:t xml:space="preserve"> data in Appendix</w:t>
      </w:r>
      <w:r>
        <w:rPr>
          <w:sz w:val="22"/>
          <w:szCs w:val="22"/>
        </w:rPr>
        <w:t> </w:t>
      </w:r>
      <w:r w:rsidRPr="00B10C2E">
        <w:rPr>
          <w:sz w:val="22"/>
          <w:szCs w:val="22"/>
        </w:rPr>
        <w:t>A shows that a single</w:t>
      </w:r>
      <w:r>
        <w:rPr>
          <w:sz w:val="22"/>
          <w:szCs w:val="22"/>
        </w:rPr>
        <w:t>-</w:t>
      </w:r>
      <w:r w:rsidRPr="00B10C2E">
        <w:rPr>
          <w:sz w:val="22"/>
          <w:szCs w:val="22"/>
        </w:rPr>
        <w:t>unit site may perform more tests annually than a two</w:t>
      </w:r>
      <w:r w:rsidRPr="00B10C2E">
        <w:rPr>
          <w:sz w:val="22"/>
          <w:szCs w:val="22"/>
        </w:rPr>
        <w:noBreakHyphen/>
        <w:t>unit site</w:t>
      </w:r>
      <w:r w:rsidR="00646A79">
        <w:rPr>
          <w:sz w:val="22"/>
          <w:szCs w:val="22"/>
        </w:rPr>
        <w:t>,</w:t>
      </w:r>
      <w:r w:rsidRPr="00B10C2E">
        <w:rPr>
          <w:sz w:val="22"/>
          <w:szCs w:val="22"/>
        </w:rPr>
        <w:t xml:space="preserve"> and a two</w:t>
      </w:r>
      <w:r w:rsidRPr="00B10C2E">
        <w:rPr>
          <w:sz w:val="22"/>
          <w:szCs w:val="22"/>
        </w:rPr>
        <w:noBreakHyphen/>
        <w:t>unit site may conduct more tests annually than a three</w:t>
      </w:r>
      <w:r w:rsidRPr="00B10C2E">
        <w:rPr>
          <w:sz w:val="22"/>
          <w:szCs w:val="22"/>
        </w:rPr>
        <w:noBreakHyphen/>
        <w:t>unit site.</w:t>
      </w:r>
    </w:p>
    <w:p w:rsidR="00D520BD" w:rsidP="00D520BD" w:rsidRDefault="00D520BD" w14:paraId="6BC29697" w14:textId="77777777">
      <w:pPr>
        <w:tabs>
          <w:tab w:val="left" w:pos="1440"/>
        </w:tabs>
        <w:ind w:left="1440" w:hanging="720"/>
        <w:rPr>
          <w:sz w:val="22"/>
          <w:szCs w:val="22"/>
        </w:rPr>
      </w:pPr>
    </w:p>
    <w:p w:rsidRPr="00B10C2E" w:rsidR="00D520BD" w:rsidP="005C6BA3" w:rsidRDefault="00D520BD" w14:paraId="23181791" w14:textId="24E5D172">
      <w:pPr>
        <w:pStyle w:val="ListParagraph"/>
        <w:numPr>
          <w:ilvl w:val="0"/>
          <w:numId w:val="33"/>
        </w:numPr>
        <w:tabs>
          <w:tab w:val="left" w:pos="1440"/>
        </w:tabs>
        <w:ind w:left="1440" w:hanging="720"/>
        <w:rPr>
          <w:sz w:val="22"/>
          <w:szCs w:val="22"/>
        </w:rPr>
      </w:pPr>
      <w:r w:rsidRPr="00B10C2E">
        <w:rPr>
          <w:sz w:val="22"/>
          <w:szCs w:val="22"/>
        </w:rPr>
        <w:t>Variability in the workforce size at a reactor construction site depends on the stage of construction.  The NRC FFD program performance data for</w:t>
      </w:r>
      <w:r>
        <w:rPr>
          <w:sz w:val="22"/>
          <w:szCs w:val="22"/>
        </w:rPr>
        <w:t xml:space="preserve"> </w:t>
      </w:r>
      <w:r w:rsidRPr="00B10C2E">
        <w:rPr>
          <w:sz w:val="22"/>
          <w:szCs w:val="22"/>
        </w:rPr>
        <w:t>CY 2009 through CY 201</w:t>
      </w:r>
      <w:r w:rsidR="0099299D">
        <w:rPr>
          <w:sz w:val="22"/>
          <w:szCs w:val="22"/>
        </w:rPr>
        <w:t>9</w:t>
      </w:r>
      <w:r w:rsidRPr="00B10C2E">
        <w:rPr>
          <w:sz w:val="22"/>
          <w:szCs w:val="22"/>
        </w:rPr>
        <w:t xml:space="preserve"> reflect construction on Vogtle Units</w:t>
      </w:r>
      <w:r>
        <w:rPr>
          <w:sz w:val="22"/>
          <w:szCs w:val="22"/>
        </w:rPr>
        <w:t> </w:t>
      </w:r>
      <w:r w:rsidRPr="00B10C2E">
        <w:rPr>
          <w:sz w:val="22"/>
          <w:szCs w:val="22"/>
        </w:rPr>
        <w:t>3 and 4</w:t>
      </w:r>
      <w:r w:rsidR="00646A79">
        <w:rPr>
          <w:sz w:val="22"/>
          <w:szCs w:val="22"/>
        </w:rPr>
        <w:t>,</w:t>
      </w:r>
      <w:r w:rsidRPr="00B10C2E">
        <w:rPr>
          <w:sz w:val="22"/>
          <w:szCs w:val="22"/>
        </w:rPr>
        <w:t xml:space="preserve"> which began in CY 2009</w:t>
      </w:r>
      <w:r w:rsidR="005C536C">
        <w:rPr>
          <w:sz w:val="22"/>
          <w:szCs w:val="22"/>
        </w:rPr>
        <w:t xml:space="preserve"> and is expected to </w:t>
      </w:r>
      <w:r w:rsidR="002970CF">
        <w:rPr>
          <w:sz w:val="22"/>
          <w:szCs w:val="22"/>
        </w:rPr>
        <w:t xml:space="preserve">be </w:t>
      </w:r>
      <w:r w:rsidR="005C536C">
        <w:rPr>
          <w:sz w:val="22"/>
          <w:szCs w:val="22"/>
        </w:rPr>
        <w:t>complete</w:t>
      </w:r>
      <w:r w:rsidR="002970CF">
        <w:rPr>
          <w:sz w:val="22"/>
          <w:szCs w:val="22"/>
        </w:rPr>
        <w:t>d</w:t>
      </w:r>
      <w:r w:rsidR="005C536C">
        <w:rPr>
          <w:sz w:val="22"/>
          <w:szCs w:val="22"/>
        </w:rPr>
        <w:t xml:space="preserve"> in </w:t>
      </w:r>
      <w:r w:rsidR="00FF380E">
        <w:rPr>
          <w:sz w:val="22"/>
          <w:szCs w:val="22"/>
        </w:rPr>
        <w:t>November</w:t>
      </w:r>
      <w:r w:rsidR="002970CF">
        <w:rPr>
          <w:sz w:val="22"/>
          <w:szCs w:val="22"/>
        </w:rPr>
        <w:t> </w:t>
      </w:r>
      <w:r w:rsidR="005C536C">
        <w:rPr>
          <w:sz w:val="22"/>
          <w:szCs w:val="22"/>
        </w:rPr>
        <w:t>202</w:t>
      </w:r>
      <w:r w:rsidR="002970CF">
        <w:rPr>
          <w:sz w:val="22"/>
          <w:szCs w:val="22"/>
        </w:rPr>
        <w:t>1</w:t>
      </w:r>
      <w:r w:rsidR="005C536C">
        <w:rPr>
          <w:sz w:val="22"/>
          <w:szCs w:val="22"/>
        </w:rPr>
        <w:t xml:space="preserve"> and </w:t>
      </w:r>
      <w:r w:rsidR="002970CF">
        <w:rPr>
          <w:sz w:val="22"/>
          <w:szCs w:val="22"/>
        </w:rPr>
        <w:t>November </w:t>
      </w:r>
      <w:r w:rsidR="005C536C">
        <w:rPr>
          <w:sz w:val="22"/>
          <w:szCs w:val="22"/>
        </w:rPr>
        <w:t>202</w:t>
      </w:r>
      <w:r w:rsidR="002970CF">
        <w:rPr>
          <w:sz w:val="22"/>
          <w:szCs w:val="22"/>
        </w:rPr>
        <w:t>2</w:t>
      </w:r>
      <w:r w:rsidR="005C536C">
        <w:rPr>
          <w:sz w:val="22"/>
          <w:szCs w:val="22"/>
        </w:rPr>
        <w:t>, respectively.</w:t>
      </w:r>
      <w:r w:rsidR="005C536C">
        <w:rPr>
          <w:rStyle w:val="FootnoteReference"/>
          <w:sz w:val="22"/>
          <w:szCs w:val="22"/>
        </w:rPr>
        <w:footnoteReference w:id="17"/>
      </w:r>
    </w:p>
    <w:p w:rsidRPr="000950E5" w:rsidR="00D520BD" w:rsidP="00D520BD" w:rsidRDefault="00D520BD" w14:paraId="6E4CE120" w14:textId="77777777">
      <w:pPr>
        <w:pStyle w:val="ListParagraph"/>
        <w:tabs>
          <w:tab w:val="left" w:pos="1440"/>
        </w:tabs>
        <w:ind w:left="1440" w:hanging="720"/>
        <w:rPr>
          <w:sz w:val="22"/>
          <w:szCs w:val="22"/>
        </w:rPr>
      </w:pPr>
    </w:p>
    <w:p w:rsidR="00D520BD" w:rsidP="005C6BA3" w:rsidRDefault="00D520BD" w14:paraId="16658575" w14:textId="6205C924">
      <w:pPr>
        <w:pStyle w:val="ListParagraph"/>
        <w:numPr>
          <w:ilvl w:val="0"/>
          <w:numId w:val="33"/>
        </w:numPr>
        <w:tabs>
          <w:tab w:val="left" w:pos="1440"/>
        </w:tabs>
        <w:ind w:left="1440" w:hanging="720"/>
        <w:rPr>
          <w:sz w:val="22"/>
          <w:szCs w:val="22"/>
        </w:rPr>
      </w:pPr>
      <w:r w:rsidRPr="00B10C2E">
        <w:rPr>
          <w:sz w:val="22"/>
          <w:szCs w:val="22"/>
        </w:rPr>
        <w:t>Reactor construction sites have the largest number of positive tests of any facility type.  Reactor construction sites primarily rely on C/V personnel</w:t>
      </w:r>
      <w:r w:rsidR="00646A79">
        <w:rPr>
          <w:sz w:val="22"/>
          <w:szCs w:val="22"/>
        </w:rPr>
        <w:t>,</w:t>
      </w:r>
      <w:r w:rsidRPr="00B10C2E">
        <w:rPr>
          <w:sz w:val="22"/>
          <w:szCs w:val="22"/>
        </w:rPr>
        <w:t xml:space="preserve"> and the positive testing rates for these workers have been higher than comparable C/V</w:t>
      </w:r>
      <w:r w:rsidR="002C761E">
        <w:rPr>
          <w:sz w:val="22"/>
          <w:szCs w:val="22"/>
        </w:rPr>
        <w:t> </w:t>
      </w:r>
      <w:r w:rsidRPr="00B10C2E">
        <w:rPr>
          <w:sz w:val="22"/>
          <w:szCs w:val="22"/>
        </w:rPr>
        <w:t xml:space="preserve">workforces used at operating </w:t>
      </w:r>
      <w:r w:rsidR="00DB148C">
        <w:rPr>
          <w:sz w:val="22"/>
          <w:szCs w:val="22"/>
        </w:rPr>
        <w:t xml:space="preserve">power </w:t>
      </w:r>
      <w:r w:rsidRPr="00B10C2E">
        <w:rPr>
          <w:sz w:val="22"/>
          <w:szCs w:val="22"/>
        </w:rPr>
        <w:t xml:space="preserve">reactor sites (including during outages) </w:t>
      </w:r>
      <w:r>
        <w:rPr>
          <w:sz w:val="22"/>
          <w:szCs w:val="22"/>
        </w:rPr>
        <w:t>(s</w:t>
      </w:r>
      <w:r w:rsidRPr="00B10C2E">
        <w:rPr>
          <w:sz w:val="22"/>
          <w:szCs w:val="22"/>
        </w:rPr>
        <w:t>ee Appendix</w:t>
      </w:r>
      <w:r>
        <w:rPr>
          <w:sz w:val="22"/>
          <w:szCs w:val="22"/>
        </w:rPr>
        <w:t> </w:t>
      </w:r>
      <w:r w:rsidRPr="00B10C2E">
        <w:rPr>
          <w:sz w:val="22"/>
          <w:szCs w:val="22"/>
        </w:rPr>
        <w:t>A</w:t>
      </w:r>
      <w:r>
        <w:rPr>
          <w:sz w:val="22"/>
          <w:szCs w:val="22"/>
        </w:rPr>
        <w:t>)</w:t>
      </w:r>
      <w:r w:rsidRPr="00B10C2E">
        <w:rPr>
          <w:sz w:val="22"/>
          <w:szCs w:val="22"/>
        </w:rPr>
        <w:t>.</w:t>
      </w:r>
    </w:p>
    <w:p w:rsidRPr="006975ED" w:rsidR="0099299D" w:rsidP="006975ED" w:rsidRDefault="0099299D" w14:paraId="620FE52D" w14:textId="77777777">
      <w:pPr>
        <w:pStyle w:val="ListParagraph"/>
        <w:rPr>
          <w:sz w:val="22"/>
          <w:szCs w:val="22"/>
        </w:rPr>
      </w:pPr>
    </w:p>
    <w:p w:rsidR="00A675F6" w:rsidP="005C6BA3" w:rsidRDefault="00A675F6" w14:paraId="163B9095" w14:textId="5C69026A">
      <w:pPr>
        <w:pStyle w:val="ListParagraph"/>
        <w:numPr>
          <w:ilvl w:val="0"/>
          <w:numId w:val="12"/>
        </w:numPr>
        <w:ind w:hanging="720"/>
        <w:rPr>
          <w:sz w:val="22"/>
          <w:szCs w:val="22"/>
        </w:rPr>
      </w:pPr>
      <w:r>
        <w:rPr>
          <w:i/>
          <w:iCs/>
          <w:sz w:val="22"/>
          <w:szCs w:val="22"/>
        </w:rPr>
        <w:t>New Nuclear Facility Staffing Levels</w:t>
      </w:r>
      <w:r>
        <w:rPr>
          <w:sz w:val="22"/>
          <w:szCs w:val="22"/>
        </w:rPr>
        <w:t xml:space="preserve">:  To evaluate the effect of the rule changes on nuclear facilities constructed after the effective date of the rule, the NRC staff estimated the facility staffing levels, which </w:t>
      </w:r>
      <w:r w:rsidR="00F728D5">
        <w:rPr>
          <w:sz w:val="22"/>
          <w:szCs w:val="22"/>
        </w:rPr>
        <w:t>are</w:t>
      </w:r>
      <w:r>
        <w:rPr>
          <w:sz w:val="22"/>
          <w:szCs w:val="22"/>
        </w:rPr>
        <w:t xml:space="preserve"> directly correlated to the amount of testing performed.</w:t>
      </w:r>
      <w:r w:rsidR="00331470">
        <w:rPr>
          <w:sz w:val="22"/>
          <w:szCs w:val="22"/>
        </w:rPr>
        <w:t xml:space="preserve">  Table </w:t>
      </w:r>
      <w:r w:rsidR="005522FB">
        <w:rPr>
          <w:sz w:val="22"/>
          <w:szCs w:val="22"/>
        </w:rPr>
        <w:t>4-2</w:t>
      </w:r>
      <w:r w:rsidR="00331470">
        <w:rPr>
          <w:sz w:val="22"/>
          <w:szCs w:val="22"/>
        </w:rPr>
        <w:t xml:space="preserve"> provides nominal staffing levels for future nuclear facilities.</w:t>
      </w:r>
    </w:p>
    <w:p w:rsidR="00331470" w:rsidP="00331470" w:rsidRDefault="00331470" w14:paraId="3FFE0745" w14:textId="3662A146">
      <w:pPr>
        <w:pStyle w:val="ListParagraph"/>
        <w:rPr>
          <w:sz w:val="22"/>
          <w:szCs w:val="22"/>
        </w:rPr>
      </w:pPr>
    </w:p>
    <w:p w:rsidRPr="004945B5" w:rsidR="00331470" w:rsidP="004945B5" w:rsidRDefault="00331470" w14:paraId="440F2321" w14:textId="32D2EDE1">
      <w:pPr>
        <w:pStyle w:val="Caption"/>
        <w:jc w:val="center"/>
        <w:rPr>
          <w:b/>
          <w:bCs w:val="0"/>
        </w:rPr>
      </w:pPr>
      <w:bookmarkStart w:name="_Ref68791756" w:id="95"/>
      <w:bookmarkStart w:name="_Ref68791749" w:id="96"/>
      <w:bookmarkStart w:name="_Toc72490561" w:id="97"/>
      <w:bookmarkStart w:name="_Toc105681558" w:id="98"/>
      <w:r w:rsidRPr="004945B5">
        <w:rPr>
          <w:b/>
          <w:bCs w:val="0"/>
        </w:rPr>
        <w:lastRenderedPageBreak/>
        <w:t xml:space="preserve">Table </w:t>
      </w:r>
      <w:r w:rsidRPr="004945B5" w:rsidR="005522FB">
        <w:rPr>
          <w:b/>
          <w:bCs w:val="0"/>
        </w:rPr>
        <w:t>4-</w:t>
      </w:r>
      <w:r w:rsidRPr="004945B5">
        <w:rPr>
          <w:b/>
          <w:bCs w:val="0"/>
        </w:rPr>
        <w:fldChar w:fldCharType="begin"/>
      </w:r>
      <w:r w:rsidRPr="004945B5">
        <w:rPr>
          <w:b/>
          <w:bCs w:val="0"/>
        </w:rPr>
        <w:instrText xml:space="preserve"> SEQ Table \* ARABIC </w:instrText>
      </w:r>
      <w:r w:rsidRPr="004945B5">
        <w:rPr>
          <w:b/>
          <w:bCs w:val="0"/>
        </w:rPr>
        <w:fldChar w:fldCharType="separate"/>
      </w:r>
      <w:r w:rsidR="00A6777F">
        <w:rPr>
          <w:b/>
          <w:bCs w:val="0"/>
          <w:noProof/>
        </w:rPr>
        <w:t>2</w:t>
      </w:r>
      <w:r w:rsidRPr="004945B5">
        <w:rPr>
          <w:b/>
          <w:bCs w:val="0"/>
        </w:rPr>
        <w:fldChar w:fldCharType="end"/>
      </w:r>
      <w:bookmarkEnd w:id="95"/>
      <w:r w:rsidRPr="004945B5" w:rsidR="005522FB">
        <w:rPr>
          <w:b/>
          <w:bCs w:val="0"/>
        </w:rPr>
        <w:t xml:space="preserve">  Nominal Staffing Levels for Future Nuclear Facilities</w:t>
      </w:r>
      <w:bookmarkEnd w:id="96"/>
      <w:bookmarkEnd w:id="97"/>
      <w:bookmarkEnd w:id="98"/>
    </w:p>
    <w:tbl>
      <w:tblPr>
        <w:tblStyle w:val="TableGrid"/>
        <w:tblW w:w="0" w:type="auto"/>
        <w:jc w:val="center"/>
        <w:tblLook w:val="04A0" w:firstRow="1" w:lastRow="0" w:firstColumn="1" w:lastColumn="0" w:noHBand="0" w:noVBand="1"/>
      </w:tblPr>
      <w:tblGrid>
        <w:gridCol w:w="1753"/>
        <w:gridCol w:w="1842"/>
        <w:gridCol w:w="1695"/>
        <w:gridCol w:w="1815"/>
        <w:gridCol w:w="1525"/>
      </w:tblGrid>
      <w:tr w:rsidRPr="00331470" w:rsidR="00331470" w:rsidTr="00331470" w14:paraId="262EE7A1" w14:textId="77777777">
        <w:trPr>
          <w:jc w:val="center"/>
        </w:trPr>
        <w:tc>
          <w:tcPr>
            <w:tcW w:w="1753" w:type="dxa"/>
            <w:vMerge w:val="restart"/>
            <w:vAlign w:val="center"/>
          </w:tcPr>
          <w:p w:rsidRPr="00331470" w:rsidR="00331470" w:rsidP="00331470" w:rsidRDefault="00331470" w14:paraId="0BEB62D9" w14:textId="269B96EC">
            <w:pPr>
              <w:pStyle w:val="ListParagraph"/>
              <w:ind w:left="0"/>
              <w:jc w:val="center"/>
            </w:pPr>
            <w:r w:rsidRPr="00331470">
              <w:t>Facility Type</w:t>
            </w:r>
          </w:p>
        </w:tc>
        <w:tc>
          <w:tcPr>
            <w:tcW w:w="1842" w:type="dxa"/>
            <w:vMerge w:val="restart"/>
            <w:vAlign w:val="center"/>
          </w:tcPr>
          <w:p w:rsidR="003B636A" w:rsidP="00331470" w:rsidRDefault="00331470" w14:paraId="3DFFE43C" w14:textId="77777777">
            <w:pPr>
              <w:pStyle w:val="ListParagraph"/>
              <w:ind w:left="0"/>
              <w:jc w:val="center"/>
            </w:pPr>
            <w:r>
              <w:t xml:space="preserve">Unit </w:t>
            </w:r>
            <w:r w:rsidRPr="00331470">
              <w:t xml:space="preserve">Rating </w:t>
            </w:r>
          </w:p>
          <w:p w:rsidRPr="00331470" w:rsidR="00331470" w:rsidP="00331470" w:rsidRDefault="00331470" w14:paraId="603BDDFF" w14:textId="2A093340">
            <w:pPr>
              <w:pStyle w:val="ListParagraph"/>
              <w:ind w:left="0"/>
              <w:jc w:val="center"/>
            </w:pPr>
            <w:r w:rsidRPr="00331470">
              <w:t>(MW</w:t>
            </w:r>
            <w:r>
              <w:t>t</w:t>
            </w:r>
            <w:r w:rsidRPr="00331470">
              <w:t>)</w:t>
            </w:r>
          </w:p>
        </w:tc>
        <w:tc>
          <w:tcPr>
            <w:tcW w:w="5035" w:type="dxa"/>
            <w:gridSpan w:val="3"/>
            <w:vAlign w:val="center"/>
          </w:tcPr>
          <w:p w:rsidRPr="00331470" w:rsidR="00331470" w:rsidP="00331470" w:rsidRDefault="00331470" w14:paraId="0143EEDB" w14:textId="1D292A0D">
            <w:pPr>
              <w:pStyle w:val="ListParagraph"/>
              <w:ind w:left="0"/>
              <w:jc w:val="center"/>
            </w:pPr>
            <w:r w:rsidRPr="00331470">
              <w:t xml:space="preserve">Nominal Operating Staffing Level </w:t>
            </w:r>
            <w:r w:rsidR="00F728D5">
              <w:t>S</w:t>
            </w:r>
            <w:r w:rsidRPr="00331470">
              <w:t xml:space="preserve">ubject to </w:t>
            </w:r>
            <w:r w:rsidR="00F728D5">
              <w:t>10 CFR </w:t>
            </w:r>
            <w:r w:rsidRPr="00331470">
              <w:t>Part 26</w:t>
            </w:r>
            <w:r w:rsidRPr="00331470">
              <w:rPr>
                <w:vertAlign w:val="superscript"/>
              </w:rPr>
              <w:t>a</w:t>
            </w:r>
          </w:p>
        </w:tc>
      </w:tr>
      <w:tr w:rsidRPr="00331470" w:rsidR="00331470" w:rsidTr="00331470" w14:paraId="5F26BF5C" w14:textId="77777777">
        <w:trPr>
          <w:jc w:val="center"/>
        </w:trPr>
        <w:tc>
          <w:tcPr>
            <w:tcW w:w="1753" w:type="dxa"/>
            <w:vMerge/>
          </w:tcPr>
          <w:p w:rsidRPr="00331470" w:rsidR="00331470" w:rsidP="00331470" w:rsidRDefault="00331470" w14:paraId="7078DB6F" w14:textId="5CBD8046">
            <w:pPr>
              <w:pStyle w:val="ListParagraph"/>
              <w:ind w:left="0"/>
              <w:jc w:val="center"/>
            </w:pPr>
          </w:p>
        </w:tc>
        <w:tc>
          <w:tcPr>
            <w:tcW w:w="1842" w:type="dxa"/>
            <w:vMerge/>
          </w:tcPr>
          <w:p w:rsidRPr="00331470" w:rsidR="00331470" w:rsidP="00331470" w:rsidRDefault="00331470" w14:paraId="678735C2" w14:textId="39B480C9">
            <w:pPr>
              <w:pStyle w:val="ListParagraph"/>
              <w:ind w:left="0"/>
              <w:jc w:val="center"/>
            </w:pPr>
          </w:p>
        </w:tc>
        <w:tc>
          <w:tcPr>
            <w:tcW w:w="1695" w:type="dxa"/>
          </w:tcPr>
          <w:p w:rsidRPr="00331470" w:rsidR="00331470" w:rsidP="00331470" w:rsidRDefault="00331470" w14:paraId="49264272" w14:textId="1B0CF113">
            <w:pPr>
              <w:pStyle w:val="ListParagraph"/>
              <w:ind w:left="0"/>
              <w:jc w:val="center"/>
            </w:pPr>
            <w:r w:rsidRPr="00331470">
              <w:t>Minimum (10%)</w:t>
            </w:r>
          </w:p>
        </w:tc>
        <w:tc>
          <w:tcPr>
            <w:tcW w:w="1815" w:type="dxa"/>
          </w:tcPr>
          <w:p w:rsidRPr="00331470" w:rsidR="00331470" w:rsidP="00331470" w:rsidRDefault="00331470" w14:paraId="5BCFE9A0" w14:textId="74439CA1">
            <w:pPr>
              <w:pStyle w:val="ListParagraph"/>
              <w:ind w:left="0"/>
              <w:jc w:val="center"/>
            </w:pPr>
            <w:r w:rsidRPr="00331470">
              <w:t>Maximum (90%)</w:t>
            </w:r>
          </w:p>
        </w:tc>
        <w:tc>
          <w:tcPr>
            <w:tcW w:w="1525" w:type="dxa"/>
          </w:tcPr>
          <w:p w:rsidRPr="00331470" w:rsidR="00331470" w:rsidP="00331470" w:rsidRDefault="00331470" w14:paraId="524293A3" w14:textId="1EFE9E48">
            <w:pPr>
              <w:pStyle w:val="ListParagraph"/>
              <w:ind w:left="0"/>
              <w:jc w:val="center"/>
            </w:pPr>
            <w:r>
              <w:t>Average</w:t>
            </w:r>
          </w:p>
        </w:tc>
      </w:tr>
      <w:tr w:rsidRPr="00331470" w:rsidR="00331470" w:rsidTr="00331470" w14:paraId="0904D6E9" w14:textId="77777777">
        <w:trPr>
          <w:jc w:val="center"/>
        </w:trPr>
        <w:tc>
          <w:tcPr>
            <w:tcW w:w="1753" w:type="dxa"/>
          </w:tcPr>
          <w:p w:rsidRPr="00331470" w:rsidR="00331470" w:rsidP="003B636A" w:rsidRDefault="00331470" w14:paraId="6C8822E2" w14:textId="5352F4E4">
            <w:pPr>
              <w:pStyle w:val="ListParagraph"/>
              <w:ind w:left="0"/>
            </w:pPr>
            <w:r w:rsidRPr="00331470">
              <w:t>Microreactor</w:t>
            </w:r>
          </w:p>
        </w:tc>
        <w:tc>
          <w:tcPr>
            <w:tcW w:w="1842" w:type="dxa"/>
          </w:tcPr>
          <w:p w:rsidRPr="00331470" w:rsidR="00331470" w:rsidP="00331470" w:rsidRDefault="00331470" w14:paraId="3DAF189C" w14:textId="7286DF1C">
            <w:pPr>
              <w:pStyle w:val="ListParagraph"/>
              <w:ind w:left="0"/>
              <w:jc w:val="center"/>
            </w:pPr>
            <w:r>
              <w:rPr>
                <w:rFonts w:cs="Arial"/>
              </w:rPr>
              <w:t xml:space="preserve">≤ </w:t>
            </w:r>
            <w:r>
              <w:t>2</w:t>
            </w:r>
            <w:r w:rsidRPr="00331470">
              <w:t>0</w:t>
            </w:r>
          </w:p>
        </w:tc>
        <w:tc>
          <w:tcPr>
            <w:tcW w:w="1695" w:type="dxa"/>
          </w:tcPr>
          <w:p w:rsidRPr="00331470" w:rsidR="00331470" w:rsidP="00331470" w:rsidRDefault="00331470" w14:paraId="014FF0B7" w14:textId="4635F83C">
            <w:pPr>
              <w:pStyle w:val="ListParagraph"/>
              <w:ind w:left="0"/>
              <w:jc w:val="center"/>
            </w:pPr>
            <w:r w:rsidRPr="00331470">
              <w:t>10</w:t>
            </w:r>
            <w:r w:rsidRPr="00331470">
              <w:rPr>
                <w:vertAlign w:val="superscript"/>
              </w:rPr>
              <w:t>b</w:t>
            </w:r>
          </w:p>
        </w:tc>
        <w:tc>
          <w:tcPr>
            <w:tcW w:w="1815" w:type="dxa"/>
          </w:tcPr>
          <w:p w:rsidRPr="00331470" w:rsidR="00331470" w:rsidP="00331470" w:rsidRDefault="005522FB" w14:paraId="72D2605D" w14:textId="56B74107">
            <w:pPr>
              <w:pStyle w:val="ListParagraph"/>
              <w:ind w:left="0"/>
              <w:jc w:val="center"/>
            </w:pPr>
            <w:r>
              <w:t>4</w:t>
            </w:r>
            <w:r w:rsidR="00331470">
              <w:t>0</w:t>
            </w:r>
            <w:r w:rsidRPr="005522FB">
              <w:rPr>
                <w:vertAlign w:val="superscript"/>
              </w:rPr>
              <w:t>c</w:t>
            </w:r>
          </w:p>
        </w:tc>
        <w:tc>
          <w:tcPr>
            <w:tcW w:w="1525" w:type="dxa"/>
          </w:tcPr>
          <w:p w:rsidRPr="00331470" w:rsidR="00331470" w:rsidP="00331470" w:rsidRDefault="00331470" w14:paraId="0BC7BF5C" w14:textId="23BAAFDE">
            <w:pPr>
              <w:pStyle w:val="ListParagraph"/>
              <w:ind w:left="0"/>
              <w:jc w:val="center"/>
            </w:pPr>
            <w:r>
              <w:t>2</w:t>
            </w:r>
            <w:r w:rsidR="005522FB">
              <w:t>5</w:t>
            </w:r>
          </w:p>
        </w:tc>
      </w:tr>
      <w:tr w:rsidRPr="00331470" w:rsidR="00331470" w:rsidTr="00331470" w14:paraId="6BFBB32B" w14:textId="77777777">
        <w:trPr>
          <w:jc w:val="center"/>
        </w:trPr>
        <w:tc>
          <w:tcPr>
            <w:tcW w:w="1753" w:type="dxa"/>
          </w:tcPr>
          <w:p w:rsidRPr="00331470" w:rsidR="00331470" w:rsidP="003B636A" w:rsidRDefault="00331470" w14:paraId="19B55BC0" w14:textId="56722E1B">
            <w:pPr>
              <w:pStyle w:val="ListParagraph"/>
              <w:ind w:left="0"/>
            </w:pPr>
            <w:r>
              <w:t>Small reactor</w:t>
            </w:r>
          </w:p>
        </w:tc>
        <w:tc>
          <w:tcPr>
            <w:tcW w:w="1842" w:type="dxa"/>
          </w:tcPr>
          <w:p w:rsidRPr="00331470" w:rsidR="00331470" w:rsidP="00331470" w:rsidRDefault="00331470" w14:paraId="5D8D8394" w14:textId="1E96CD0E">
            <w:pPr>
              <w:pStyle w:val="ListParagraph"/>
              <w:ind w:left="0"/>
              <w:jc w:val="center"/>
            </w:pPr>
            <w:r>
              <w:t>20 &lt; x &lt; 1000</w:t>
            </w:r>
          </w:p>
        </w:tc>
        <w:tc>
          <w:tcPr>
            <w:tcW w:w="1695" w:type="dxa"/>
          </w:tcPr>
          <w:p w:rsidRPr="00331470" w:rsidR="00331470" w:rsidP="00331470" w:rsidRDefault="005522FB" w14:paraId="18FDB2C3" w14:textId="71F46DA0">
            <w:pPr>
              <w:pStyle w:val="ListParagraph"/>
              <w:ind w:left="0"/>
              <w:jc w:val="center"/>
            </w:pPr>
            <w:r>
              <w:t>40</w:t>
            </w:r>
          </w:p>
        </w:tc>
        <w:tc>
          <w:tcPr>
            <w:tcW w:w="1815" w:type="dxa"/>
          </w:tcPr>
          <w:p w:rsidRPr="00331470" w:rsidR="00331470" w:rsidP="00331470" w:rsidRDefault="004945B5" w14:paraId="57BFAF31" w14:textId="79EE9AAC">
            <w:pPr>
              <w:pStyle w:val="ListParagraph"/>
              <w:ind w:left="0"/>
              <w:jc w:val="center"/>
            </w:pPr>
            <w:r>
              <w:t>240</w:t>
            </w:r>
          </w:p>
        </w:tc>
        <w:tc>
          <w:tcPr>
            <w:tcW w:w="1525" w:type="dxa"/>
          </w:tcPr>
          <w:p w:rsidRPr="00331470" w:rsidR="00331470" w:rsidP="00331470" w:rsidRDefault="004945B5" w14:paraId="6FB0C829" w14:textId="0C68DAE3">
            <w:pPr>
              <w:pStyle w:val="ListParagraph"/>
              <w:ind w:left="0"/>
              <w:jc w:val="center"/>
            </w:pPr>
            <w:r>
              <w:t>140</w:t>
            </w:r>
          </w:p>
        </w:tc>
      </w:tr>
      <w:tr w:rsidRPr="00331470" w:rsidR="00331470" w:rsidTr="00331470" w14:paraId="28C88C32" w14:textId="77777777">
        <w:trPr>
          <w:jc w:val="center"/>
        </w:trPr>
        <w:tc>
          <w:tcPr>
            <w:tcW w:w="1753" w:type="dxa"/>
          </w:tcPr>
          <w:p w:rsidR="00331470" w:rsidP="003B636A" w:rsidRDefault="00331470" w14:paraId="70D54F8C" w14:textId="01CBF0C1">
            <w:pPr>
              <w:pStyle w:val="ListParagraph"/>
              <w:ind w:left="0"/>
            </w:pPr>
            <w:r>
              <w:t>Medium reactor</w:t>
            </w:r>
          </w:p>
        </w:tc>
        <w:tc>
          <w:tcPr>
            <w:tcW w:w="1842" w:type="dxa"/>
          </w:tcPr>
          <w:p w:rsidR="00331470" w:rsidP="00331470" w:rsidRDefault="00331470" w14:paraId="42599C9B" w14:textId="41637BA1">
            <w:pPr>
              <w:pStyle w:val="ListParagraph"/>
              <w:ind w:left="0"/>
              <w:jc w:val="center"/>
            </w:pPr>
            <w:r>
              <w:t xml:space="preserve">1,000 </w:t>
            </w:r>
            <w:r>
              <w:rPr>
                <w:rFonts w:cs="Arial"/>
              </w:rPr>
              <w:t>≤</w:t>
            </w:r>
            <w:r>
              <w:t xml:space="preserve"> x &lt; 2,000</w:t>
            </w:r>
          </w:p>
        </w:tc>
        <w:tc>
          <w:tcPr>
            <w:tcW w:w="1695" w:type="dxa"/>
          </w:tcPr>
          <w:p w:rsidRPr="00331470" w:rsidR="00331470" w:rsidP="00331470" w:rsidRDefault="004945B5" w14:paraId="02D9ABC5" w14:textId="04D8EBEF">
            <w:pPr>
              <w:pStyle w:val="ListParagraph"/>
              <w:ind w:left="0"/>
              <w:jc w:val="center"/>
            </w:pPr>
            <w:r>
              <w:t>210</w:t>
            </w:r>
          </w:p>
        </w:tc>
        <w:tc>
          <w:tcPr>
            <w:tcW w:w="1815" w:type="dxa"/>
          </w:tcPr>
          <w:p w:rsidRPr="00331470" w:rsidR="00331470" w:rsidP="00331470" w:rsidRDefault="004945B5" w14:paraId="739F66A6" w14:textId="281C5E32">
            <w:pPr>
              <w:pStyle w:val="ListParagraph"/>
              <w:ind w:left="0"/>
              <w:jc w:val="center"/>
            </w:pPr>
            <w:r>
              <w:t>420</w:t>
            </w:r>
          </w:p>
        </w:tc>
        <w:tc>
          <w:tcPr>
            <w:tcW w:w="1525" w:type="dxa"/>
          </w:tcPr>
          <w:p w:rsidRPr="00331470" w:rsidR="00331470" w:rsidP="00331470" w:rsidRDefault="004945B5" w14:paraId="4531F674" w14:textId="5C6698B0">
            <w:pPr>
              <w:pStyle w:val="ListParagraph"/>
              <w:ind w:left="0"/>
              <w:jc w:val="center"/>
            </w:pPr>
            <w:r>
              <w:t>315</w:t>
            </w:r>
          </w:p>
        </w:tc>
      </w:tr>
      <w:tr w:rsidRPr="00331470" w:rsidR="00331470" w:rsidTr="00753DE6" w14:paraId="7614AA9A" w14:textId="77777777">
        <w:trPr>
          <w:jc w:val="center"/>
        </w:trPr>
        <w:tc>
          <w:tcPr>
            <w:tcW w:w="1753" w:type="dxa"/>
          </w:tcPr>
          <w:p w:rsidR="00331470" w:rsidP="003B636A" w:rsidRDefault="00331470" w14:paraId="259C83BE" w14:textId="6616AC66">
            <w:pPr>
              <w:pStyle w:val="ListParagraph"/>
              <w:ind w:left="0"/>
            </w:pPr>
            <w:r>
              <w:t>Large reactor</w:t>
            </w:r>
          </w:p>
        </w:tc>
        <w:tc>
          <w:tcPr>
            <w:tcW w:w="1842" w:type="dxa"/>
          </w:tcPr>
          <w:p w:rsidR="00331470" w:rsidP="00331470" w:rsidRDefault="00331470" w14:paraId="0076E346" w14:textId="5D509E47">
            <w:pPr>
              <w:pStyle w:val="ListParagraph"/>
              <w:ind w:left="0"/>
              <w:jc w:val="center"/>
            </w:pPr>
            <w:r>
              <w:rPr>
                <w:rFonts w:cs="Arial"/>
              </w:rPr>
              <w:t>≥</w:t>
            </w:r>
            <w:r>
              <w:t xml:space="preserve"> 2,000</w:t>
            </w:r>
          </w:p>
        </w:tc>
        <w:tc>
          <w:tcPr>
            <w:tcW w:w="5035" w:type="dxa"/>
            <w:gridSpan w:val="3"/>
          </w:tcPr>
          <w:p w:rsidRPr="00331470" w:rsidR="00331470" w:rsidP="00331470" w:rsidRDefault="00331470" w14:paraId="3A1FEEB0" w14:textId="37210587">
            <w:pPr>
              <w:pStyle w:val="ListParagraph"/>
              <w:ind w:left="0"/>
              <w:jc w:val="center"/>
            </w:pPr>
            <w:r>
              <w:t xml:space="preserve">Same </w:t>
            </w:r>
            <w:r w:rsidR="004945B5">
              <w:t xml:space="preserve">staffing level </w:t>
            </w:r>
            <w:r>
              <w:t>as current reactors</w:t>
            </w:r>
          </w:p>
        </w:tc>
      </w:tr>
      <w:tr w:rsidRPr="00331470" w:rsidR="00331470" w:rsidTr="0039787C" w14:paraId="1C2902E7" w14:textId="77777777">
        <w:trPr>
          <w:jc w:val="center"/>
        </w:trPr>
        <w:tc>
          <w:tcPr>
            <w:tcW w:w="1753" w:type="dxa"/>
          </w:tcPr>
          <w:p w:rsidR="00331470" w:rsidP="003B636A" w:rsidRDefault="007F78CA" w14:paraId="65B9CFBA" w14:textId="45D72E7B">
            <w:pPr>
              <w:pStyle w:val="ListParagraph"/>
              <w:ind w:left="0"/>
            </w:pPr>
            <w:r w:rsidRPr="005F4828">
              <w:t>Category I</w:t>
            </w:r>
            <w:r>
              <w:t xml:space="preserve"> </w:t>
            </w:r>
            <w:r w:rsidR="005F4828">
              <w:t>s</w:t>
            </w:r>
            <w:r w:rsidR="004F4B95">
              <w:t>pecial nuclear material licensee</w:t>
            </w:r>
            <w:r w:rsidR="009474E4">
              <w:t xml:space="preserve"> </w:t>
            </w:r>
            <w:r w:rsidRPr="009474E4" w:rsidR="009474E4">
              <w:t>facilit</w:t>
            </w:r>
            <w:r w:rsidR="009474E4">
              <w:t>y</w:t>
            </w:r>
          </w:p>
        </w:tc>
        <w:tc>
          <w:tcPr>
            <w:tcW w:w="1842" w:type="dxa"/>
            <w:vAlign w:val="center"/>
          </w:tcPr>
          <w:p w:rsidR="00331470" w:rsidP="00331470" w:rsidRDefault="00331470" w14:paraId="2462F6FA" w14:textId="056EF7F1">
            <w:pPr>
              <w:pStyle w:val="ListParagraph"/>
              <w:ind w:left="0"/>
              <w:jc w:val="center"/>
              <w:rPr>
                <w:rFonts w:cs="Arial"/>
              </w:rPr>
            </w:pPr>
            <w:r>
              <w:rPr>
                <w:rFonts w:cs="Arial"/>
              </w:rPr>
              <w:t>--</w:t>
            </w:r>
          </w:p>
        </w:tc>
        <w:tc>
          <w:tcPr>
            <w:tcW w:w="5035" w:type="dxa"/>
            <w:gridSpan w:val="3"/>
            <w:vAlign w:val="center"/>
          </w:tcPr>
          <w:p w:rsidR="00331470" w:rsidP="00331470" w:rsidRDefault="00331470" w14:paraId="03A99796" w14:textId="7F983065">
            <w:pPr>
              <w:pStyle w:val="ListParagraph"/>
              <w:ind w:left="0"/>
              <w:jc w:val="center"/>
            </w:pPr>
            <w:r>
              <w:t xml:space="preserve">Same </w:t>
            </w:r>
            <w:r w:rsidR="004945B5">
              <w:t xml:space="preserve">staffing level </w:t>
            </w:r>
            <w:r>
              <w:t xml:space="preserve">as current </w:t>
            </w:r>
            <w:r w:rsidRPr="00262A64" w:rsidR="00C14716">
              <w:t>C</w:t>
            </w:r>
            <w:r w:rsidRPr="00262A64" w:rsidR="005F4828">
              <w:t>ategory I</w:t>
            </w:r>
            <w:r w:rsidR="005F4828">
              <w:t xml:space="preserve"> </w:t>
            </w:r>
            <w:r w:rsidR="0088161E">
              <w:t>special nuclear material licensee</w:t>
            </w:r>
            <w:r w:rsidR="009474E4">
              <w:t xml:space="preserve"> facilitie</w:t>
            </w:r>
            <w:r w:rsidR="0088161E">
              <w:t>s</w:t>
            </w:r>
          </w:p>
        </w:tc>
      </w:tr>
    </w:tbl>
    <w:p w:rsidRPr="00F10CC3" w:rsidR="00753DE6" w:rsidP="005F49A1" w:rsidRDefault="00902FF0" w14:paraId="5F858EF7" w14:textId="4D46DF94">
      <w:pPr>
        <w:pStyle w:val="FootnoteText"/>
        <w:ind w:left="720" w:hanging="360"/>
        <w:rPr>
          <w:sz w:val="18"/>
        </w:rPr>
      </w:pPr>
      <w:r w:rsidRPr="005F49A1">
        <w:rPr>
          <w:sz w:val="18"/>
          <w:vertAlign w:val="superscript"/>
        </w:rPr>
        <w:t>a</w:t>
      </w:r>
      <w:r>
        <w:rPr>
          <w:sz w:val="18"/>
          <w:szCs w:val="18"/>
        </w:rPr>
        <w:t xml:space="preserve"> </w:t>
      </w:r>
      <w:r w:rsidRPr="00F10CC3">
        <w:rPr>
          <w:sz w:val="18"/>
        </w:rPr>
        <w:tab/>
      </w:r>
      <w:r w:rsidRPr="00F10CC3" w:rsidR="003822AB">
        <w:rPr>
          <w:sz w:val="18"/>
        </w:rPr>
        <w:t>Staffing levels are nominal for illustrative purposes and are intended to provide an order of magnitude</w:t>
      </w:r>
      <w:r w:rsidR="009E50BA">
        <w:rPr>
          <w:sz w:val="18"/>
          <w:szCs w:val="18"/>
        </w:rPr>
        <w:noBreakHyphen/>
      </w:r>
      <w:r w:rsidRPr="00F10CC3" w:rsidR="003822AB">
        <w:rPr>
          <w:sz w:val="18"/>
        </w:rPr>
        <w:t>level estimate of the impact of the final rule</w:t>
      </w:r>
      <w:r w:rsidRPr="00F10CC3" w:rsidR="00753DE6">
        <w:rPr>
          <w:sz w:val="18"/>
        </w:rPr>
        <w:t>.</w:t>
      </w:r>
    </w:p>
    <w:p w:rsidRPr="00F10CC3" w:rsidR="00331470" w:rsidP="005F49A1" w:rsidRDefault="00331470" w14:paraId="34F90D8A" w14:textId="78FC4F00">
      <w:pPr>
        <w:pStyle w:val="ListParagraph"/>
        <w:ind w:hanging="360"/>
        <w:rPr>
          <w:sz w:val="18"/>
        </w:rPr>
      </w:pPr>
      <w:r w:rsidRPr="00F10CC3">
        <w:rPr>
          <w:sz w:val="18"/>
          <w:vertAlign w:val="superscript"/>
        </w:rPr>
        <w:t>b</w:t>
      </w:r>
      <w:r w:rsidRPr="00F10CC3">
        <w:rPr>
          <w:sz w:val="18"/>
        </w:rPr>
        <w:tab/>
      </w:r>
      <w:r w:rsidRPr="00F10CC3" w:rsidR="005522FB">
        <w:rPr>
          <w:sz w:val="18"/>
        </w:rPr>
        <w:t xml:space="preserve">Some </w:t>
      </w:r>
      <w:r w:rsidRPr="000D3B34" w:rsidR="005522FB">
        <w:rPr>
          <w:sz w:val="18"/>
          <w:szCs w:val="18"/>
        </w:rPr>
        <w:t>microreactor</w:t>
      </w:r>
      <w:r w:rsidRPr="00C71798" w:rsidR="005522FB">
        <w:rPr>
          <w:sz w:val="18"/>
        </w:rPr>
        <w:t xml:space="preserve"> units are </w:t>
      </w:r>
      <w:r w:rsidRPr="00C71798" w:rsidR="004945B5">
        <w:rPr>
          <w:sz w:val="18"/>
        </w:rPr>
        <w:t>intended for minimal operational staffing</w:t>
      </w:r>
      <w:r w:rsidR="004F0DA9">
        <w:rPr>
          <w:sz w:val="18"/>
          <w:szCs w:val="18"/>
        </w:rPr>
        <w:t>,</w:t>
      </w:r>
      <w:r w:rsidRPr="00C71798" w:rsidR="004945B5">
        <w:rPr>
          <w:sz w:val="18"/>
        </w:rPr>
        <w:t xml:space="preserve"> with an option for unattended operation and monitoring by a centralized, regional support facility</w:t>
      </w:r>
      <w:r w:rsidRPr="00C71798" w:rsidR="005522FB">
        <w:rPr>
          <w:sz w:val="18"/>
        </w:rPr>
        <w:t xml:space="preserve">.  </w:t>
      </w:r>
      <w:r w:rsidRPr="00C71798" w:rsidR="004945B5">
        <w:rPr>
          <w:sz w:val="18"/>
        </w:rPr>
        <w:t xml:space="preserve">The NRC staff assumes five shifts with </w:t>
      </w:r>
      <w:r w:rsidR="007128DD">
        <w:rPr>
          <w:sz w:val="18"/>
          <w:szCs w:val="18"/>
        </w:rPr>
        <w:t>two</w:t>
      </w:r>
      <w:r w:rsidRPr="00F10CC3" w:rsidR="005522FB">
        <w:rPr>
          <w:sz w:val="18"/>
        </w:rPr>
        <w:t xml:space="preserve"> persons</w:t>
      </w:r>
      <w:r w:rsidRPr="00F10CC3" w:rsidR="004945B5">
        <w:rPr>
          <w:sz w:val="18"/>
        </w:rPr>
        <w:t xml:space="preserve"> per shift</w:t>
      </w:r>
      <w:r w:rsidRPr="00F10CC3" w:rsidR="005522FB">
        <w:rPr>
          <w:sz w:val="18"/>
        </w:rPr>
        <w:t>.</w:t>
      </w:r>
    </w:p>
    <w:p w:rsidRPr="00F10CC3" w:rsidR="005522FB" w:rsidP="005F49A1" w:rsidRDefault="005522FB" w14:paraId="7D2A11BE" w14:textId="3AA0D5D2">
      <w:pPr>
        <w:pStyle w:val="ListParagraph"/>
        <w:ind w:hanging="360"/>
        <w:rPr>
          <w:sz w:val="18"/>
        </w:rPr>
      </w:pPr>
      <w:r w:rsidRPr="00F10CC3">
        <w:rPr>
          <w:sz w:val="18"/>
          <w:vertAlign w:val="superscript"/>
        </w:rPr>
        <w:t>c</w:t>
      </w:r>
      <w:r w:rsidRPr="00F10CC3">
        <w:rPr>
          <w:sz w:val="18"/>
        </w:rPr>
        <w:tab/>
        <w:t xml:space="preserve">The </w:t>
      </w:r>
      <w:r w:rsidRPr="00F10CC3" w:rsidR="00994469">
        <w:rPr>
          <w:sz w:val="18"/>
        </w:rPr>
        <w:t>assumed</w:t>
      </w:r>
      <w:r w:rsidRPr="00F10CC3">
        <w:rPr>
          <w:sz w:val="18"/>
        </w:rPr>
        <w:t xml:space="preserve"> staffing of an operating shift is four persons, which includes the shift supervisor, the chief reactor control engineer, </w:t>
      </w:r>
      <w:r w:rsidR="007128DD">
        <w:rPr>
          <w:sz w:val="18"/>
          <w:szCs w:val="18"/>
        </w:rPr>
        <w:t xml:space="preserve">a </w:t>
      </w:r>
      <w:r w:rsidRPr="00F10CC3">
        <w:rPr>
          <w:sz w:val="18"/>
        </w:rPr>
        <w:t>mechanic for mechanical operating systems, and an electrician for instrumentation and control systems.  Assuming five shifts plus support staff including engineers, technicians</w:t>
      </w:r>
      <w:r w:rsidR="007128DD">
        <w:rPr>
          <w:sz w:val="18"/>
          <w:szCs w:val="18"/>
        </w:rPr>
        <w:t>,</w:t>
      </w:r>
      <w:r w:rsidRPr="00F10CC3">
        <w:rPr>
          <w:sz w:val="18"/>
        </w:rPr>
        <w:t xml:space="preserve"> and administrative staff results in 40 persons.</w:t>
      </w:r>
    </w:p>
    <w:p w:rsidRPr="00A675F6" w:rsidR="00A675F6" w:rsidP="00A675F6" w:rsidRDefault="00A675F6" w14:paraId="250F0114" w14:textId="77777777">
      <w:pPr>
        <w:pStyle w:val="ListParagraph"/>
        <w:rPr>
          <w:sz w:val="22"/>
          <w:szCs w:val="22"/>
        </w:rPr>
      </w:pPr>
    </w:p>
    <w:p w:rsidR="00D520BD" w:rsidP="005C6BA3" w:rsidRDefault="00D520BD" w14:paraId="4FBDA4A8" w14:textId="372DE540">
      <w:pPr>
        <w:pStyle w:val="ListParagraph"/>
        <w:numPr>
          <w:ilvl w:val="0"/>
          <w:numId w:val="12"/>
        </w:numPr>
        <w:ind w:hanging="720"/>
        <w:rPr>
          <w:sz w:val="22"/>
          <w:szCs w:val="22"/>
        </w:rPr>
      </w:pPr>
      <w:r w:rsidRPr="005348C3">
        <w:rPr>
          <w:i/>
          <w:sz w:val="22"/>
          <w:szCs w:val="22"/>
        </w:rPr>
        <w:t>Analysis</w:t>
      </w:r>
      <w:r w:rsidRPr="003407F7">
        <w:rPr>
          <w:i/>
          <w:sz w:val="22"/>
          <w:szCs w:val="22"/>
        </w:rPr>
        <w:t xml:space="preserve"> Horizon</w:t>
      </w:r>
      <w:r>
        <w:rPr>
          <w:sz w:val="22"/>
          <w:szCs w:val="22"/>
        </w:rPr>
        <w:t xml:space="preserve">: </w:t>
      </w:r>
      <w:r w:rsidRPr="00E02571">
        <w:rPr>
          <w:sz w:val="22"/>
          <w:szCs w:val="22"/>
        </w:rPr>
        <w:t xml:space="preserve"> Licensees incur costs and savings </w:t>
      </w:r>
      <w:r w:rsidRPr="00866423">
        <w:rPr>
          <w:sz w:val="22"/>
          <w:szCs w:val="22"/>
        </w:rPr>
        <w:t xml:space="preserve">over a </w:t>
      </w:r>
      <w:r>
        <w:rPr>
          <w:sz w:val="22"/>
          <w:szCs w:val="22"/>
        </w:rPr>
        <w:t>2</w:t>
      </w:r>
      <w:r w:rsidR="009A1AD4">
        <w:rPr>
          <w:sz w:val="22"/>
          <w:szCs w:val="22"/>
        </w:rPr>
        <w:t>4</w:t>
      </w:r>
      <w:r w:rsidRPr="00866423">
        <w:rPr>
          <w:sz w:val="22"/>
          <w:szCs w:val="22"/>
        </w:rPr>
        <w:t>-year</w:t>
      </w:r>
      <w:r w:rsidRPr="00E02571">
        <w:rPr>
          <w:sz w:val="22"/>
          <w:szCs w:val="22"/>
        </w:rPr>
        <w:t xml:space="preserve"> </w:t>
      </w:r>
      <w:r w:rsidR="00C13BD4">
        <w:rPr>
          <w:sz w:val="22"/>
          <w:szCs w:val="22"/>
        </w:rPr>
        <w:t xml:space="preserve">time </w:t>
      </w:r>
      <w:r w:rsidRPr="00E02571">
        <w:rPr>
          <w:sz w:val="22"/>
          <w:szCs w:val="22"/>
        </w:rPr>
        <w:t>period</w:t>
      </w:r>
      <w:r w:rsidR="00646A79">
        <w:rPr>
          <w:sz w:val="22"/>
          <w:szCs w:val="22"/>
        </w:rPr>
        <w:t>,</w:t>
      </w:r>
      <w:r>
        <w:rPr>
          <w:sz w:val="22"/>
          <w:szCs w:val="22"/>
        </w:rPr>
        <w:t xml:space="preserve"> </w:t>
      </w:r>
      <w:r w:rsidRPr="00E02571">
        <w:rPr>
          <w:sz w:val="22"/>
          <w:szCs w:val="22"/>
        </w:rPr>
        <w:t xml:space="preserve">the </w:t>
      </w:r>
      <w:r w:rsidRPr="000B499C">
        <w:rPr>
          <w:sz w:val="22"/>
        </w:rPr>
        <w:t>average remaining license term</w:t>
      </w:r>
      <w:r w:rsidRPr="00E02571">
        <w:rPr>
          <w:sz w:val="22"/>
          <w:szCs w:val="22"/>
        </w:rPr>
        <w:t xml:space="preserve"> of the </w:t>
      </w:r>
      <w:r w:rsidR="00D85B5B">
        <w:rPr>
          <w:sz w:val="22"/>
          <w:szCs w:val="22"/>
        </w:rPr>
        <w:t>59</w:t>
      </w:r>
      <w:r>
        <w:rPr>
          <w:sz w:val="22"/>
          <w:szCs w:val="22"/>
        </w:rPr>
        <w:t> </w:t>
      </w:r>
      <w:r w:rsidRPr="00E02571">
        <w:rPr>
          <w:sz w:val="22"/>
          <w:szCs w:val="22"/>
        </w:rPr>
        <w:t>sites</w:t>
      </w:r>
      <w:r w:rsidRPr="00E02571">
        <w:rPr>
          <w:rStyle w:val="FootnoteReference"/>
          <w:sz w:val="22"/>
          <w:szCs w:val="22"/>
        </w:rPr>
        <w:footnoteReference w:id="18"/>
      </w:r>
      <w:r w:rsidRPr="00E02571">
        <w:rPr>
          <w:sz w:val="22"/>
          <w:szCs w:val="22"/>
        </w:rPr>
        <w:t xml:space="preserve"> included in the analysis.  Th</w:t>
      </w:r>
      <w:r>
        <w:rPr>
          <w:sz w:val="22"/>
          <w:szCs w:val="22"/>
        </w:rPr>
        <w:t>e time period that each site opera</w:t>
      </w:r>
      <w:r w:rsidR="008501A3">
        <w:rPr>
          <w:sz w:val="22"/>
          <w:szCs w:val="22"/>
        </w:rPr>
        <w:t>tes</w:t>
      </w:r>
      <w:r>
        <w:rPr>
          <w:sz w:val="22"/>
          <w:szCs w:val="22"/>
        </w:rPr>
        <w:t xml:space="preserve"> is dependent on the term of the operating license and whether the licensee chooses to operate the site for the duration of the licensed period.  </w:t>
      </w:r>
      <w:r w:rsidRPr="00E02571">
        <w:rPr>
          <w:sz w:val="22"/>
          <w:szCs w:val="22"/>
        </w:rPr>
        <w:t xml:space="preserve">The average life </w:t>
      </w:r>
      <w:r>
        <w:rPr>
          <w:sz w:val="22"/>
          <w:szCs w:val="22"/>
        </w:rPr>
        <w:t xml:space="preserve">term </w:t>
      </w:r>
      <w:r w:rsidRPr="00E02571">
        <w:rPr>
          <w:sz w:val="22"/>
          <w:szCs w:val="22"/>
        </w:rPr>
        <w:t>is based on the following assumptions</w:t>
      </w:r>
      <w:r>
        <w:rPr>
          <w:sz w:val="22"/>
          <w:szCs w:val="22"/>
        </w:rPr>
        <w:t>:</w:t>
      </w:r>
    </w:p>
    <w:p w:rsidRPr="009559B5" w:rsidR="00D520BD" w:rsidP="00D520BD" w:rsidRDefault="00D520BD" w14:paraId="3962A1FD" w14:textId="77777777">
      <w:pPr>
        <w:pStyle w:val="ListParagraph"/>
        <w:rPr>
          <w:sz w:val="22"/>
          <w:szCs w:val="22"/>
        </w:rPr>
      </w:pPr>
    </w:p>
    <w:p w:rsidRPr="00B10C2E" w:rsidR="00D520BD" w:rsidP="005C6BA3" w:rsidRDefault="00D520BD" w14:paraId="17ED4266" w14:textId="60F1A231">
      <w:pPr>
        <w:pStyle w:val="ListParagraph"/>
        <w:numPr>
          <w:ilvl w:val="0"/>
          <w:numId w:val="33"/>
        </w:numPr>
        <w:ind w:left="1440" w:hanging="720"/>
        <w:rPr>
          <w:sz w:val="22"/>
          <w:szCs w:val="22"/>
        </w:rPr>
      </w:pPr>
      <w:r>
        <w:rPr>
          <w:sz w:val="22"/>
          <w:szCs w:val="22"/>
        </w:rPr>
        <w:t>The licensee for e</w:t>
      </w:r>
      <w:r w:rsidRPr="00B10C2E">
        <w:rPr>
          <w:sz w:val="22"/>
          <w:szCs w:val="22"/>
        </w:rPr>
        <w:t>ach operating nuclear power reactor is known or assumed to apply for and receive a 20-year license extension beyond the original 40-year licensed term.</w:t>
      </w:r>
      <w:r w:rsidR="00D85F8F">
        <w:rPr>
          <w:sz w:val="22"/>
          <w:szCs w:val="22"/>
        </w:rPr>
        <w:t xml:space="preserve">  In addition, the analysis accounts for a second 20-year license extension for 21 units whose licensees have either received this extension or have publicly announced their intention to apply for this license extension.</w:t>
      </w:r>
      <w:r w:rsidR="00C7797A">
        <w:rPr>
          <w:rStyle w:val="FootnoteReference"/>
          <w:sz w:val="22"/>
          <w:szCs w:val="22"/>
        </w:rPr>
        <w:footnoteReference w:id="19"/>
      </w:r>
    </w:p>
    <w:p w:rsidR="00D520BD" w:rsidP="00D520BD" w:rsidRDefault="00D520BD" w14:paraId="04191495" w14:textId="77777777">
      <w:pPr>
        <w:pStyle w:val="ListParagraph"/>
        <w:ind w:left="1440" w:hanging="720"/>
        <w:rPr>
          <w:sz w:val="22"/>
          <w:szCs w:val="22"/>
        </w:rPr>
      </w:pPr>
    </w:p>
    <w:p w:rsidRPr="00B10C2E" w:rsidR="00D520BD" w:rsidP="005C6BA3" w:rsidRDefault="00D520BD" w14:paraId="27E5ED91" w14:textId="2B47BC96">
      <w:pPr>
        <w:pStyle w:val="ListParagraph"/>
        <w:numPr>
          <w:ilvl w:val="0"/>
          <w:numId w:val="33"/>
        </w:numPr>
        <w:ind w:left="1440" w:hanging="720"/>
        <w:rPr>
          <w:sz w:val="22"/>
          <w:szCs w:val="22"/>
        </w:rPr>
      </w:pPr>
      <w:r w:rsidRPr="00B10C2E">
        <w:rPr>
          <w:sz w:val="22"/>
          <w:szCs w:val="22"/>
        </w:rPr>
        <w:t>Each Category</w:t>
      </w:r>
      <w:r>
        <w:rPr>
          <w:sz w:val="22"/>
          <w:szCs w:val="22"/>
        </w:rPr>
        <w:t> </w:t>
      </w:r>
      <w:r w:rsidRPr="00B10C2E">
        <w:rPr>
          <w:sz w:val="22"/>
          <w:szCs w:val="22"/>
        </w:rPr>
        <w:t xml:space="preserve">I </w:t>
      </w:r>
      <w:r w:rsidR="004F4B95">
        <w:rPr>
          <w:sz w:val="22"/>
          <w:szCs w:val="22"/>
        </w:rPr>
        <w:t>special nuclear material licensee</w:t>
      </w:r>
      <w:r w:rsidRPr="00B10C2E">
        <w:rPr>
          <w:sz w:val="22"/>
          <w:szCs w:val="22"/>
        </w:rPr>
        <w:t xml:space="preserve"> is assumed to request and receive operating license extensions to support the possession</w:t>
      </w:r>
      <w:r w:rsidR="00646A79">
        <w:rPr>
          <w:sz w:val="22"/>
          <w:szCs w:val="22"/>
        </w:rPr>
        <w:t>,</w:t>
      </w:r>
      <w:r w:rsidRPr="00B10C2E">
        <w:rPr>
          <w:sz w:val="22"/>
          <w:szCs w:val="22"/>
        </w:rPr>
        <w:t xml:space="preserve"> use</w:t>
      </w:r>
      <w:r w:rsidR="00646A79">
        <w:rPr>
          <w:sz w:val="22"/>
          <w:szCs w:val="22"/>
        </w:rPr>
        <w:t>,</w:t>
      </w:r>
      <w:r w:rsidRPr="00B10C2E">
        <w:rPr>
          <w:sz w:val="22"/>
          <w:szCs w:val="22"/>
        </w:rPr>
        <w:t xml:space="preserve"> and manufactur</w:t>
      </w:r>
      <w:r w:rsidR="00FC28FD">
        <w:rPr>
          <w:sz w:val="22"/>
          <w:szCs w:val="22"/>
        </w:rPr>
        <w:t>e</w:t>
      </w:r>
      <w:r w:rsidRPr="00B10C2E">
        <w:rPr>
          <w:sz w:val="22"/>
          <w:szCs w:val="22"/>
        </w:rPr>
        <w:t xml:space="preserve"> of nuclear material.  As these facilities provide nuclear material for </w:t>
      </w:r>
      <w:r w:rsidRPr="00B10C2E">
        <w:rPr>
          <w:sz w:val="22"/>
          <w:szCs w:val="22"/>
        </w:rPr>
        <w:lastRenderedPageBreak/>
        <w:t>noncommercial nuclear power reactors</w:t>
      </w:r>
      <w:r w:rsidR="00646A79">
        <w:rPr>
          <w:sz w:val="22"/>
          <w:szCs w:val="22"/>
        </w:rPr>
        <w:t>,</w:t>
      </w:r>
      <w:r w:rsidRPr="00B10C2E">
        <w:rPr>
          <w:sz w:val="22"/>
          <w:szCs w:val="22"/>
        </w:rPr>
        <w:t xml:space="preserve"> the NRC staff assumed</w:t>
      </w:r>
      <w:r>
        <w:rPr>
          <w:sz w:val="22"/>
          <w:szCs w:val="22"/>
        </w:rPr>
        <w:t xml:space="preserve"> that</w:t>
      </w:r>
      <w:r w:rsidRPr="00B10C2E">
        <w:rPr>
          <w:sz w:val="22"/>
          <w:szCs w:val="22"/>
        </w:rPr>
        <w:t xml:space="preserve"> their operations would continue (assumed at 63 years) independent of activities associated with civilian nuclear power reactors.</w:t>
      </w:r>
    </w:p>
    <w:p w:rsidRPr="00C83279" w:rsidR="00D520BD" w:rsidP="00D520BD" w:rsidRDefault="00D520BD" w14:paraId="3AD7A6B2" w14:textId="77777777">
      <w:pPr>
        <w:pStyle w:val="ListParagraph"/>
        <w:rPr>
          <w:sz w:val="22"/>
          <w:szCs w:val="22"/>
        </w:rPr>
      </w:pPr>
    </w:p>
    <w:p w:rsidRPr="00A736D8" w:rsidR="00D520BD" w:rsidP="005C6BA3" w:rsidRDefault="00D520BD" w14:paraId="7E22DE64" w14:textId="2F77C1EE">
      <w:pPr>
        <w:pStyle w:val="ListParagraph"/>
        <w:numPr>
          <w:ilvl w:val="0"/>
          <w:numId w:val="12"/>
        </w:numPr>
        <w:ind w:hanging="720"/>
        <w:rPr>
          <w:sz w:val="22"/>
          <w:szCs w:val="22"/>
        </w:rPr>
      </w:pPr>
      <w:r w:rsidRPr="00A736D8">
        <w:rPr>
          <w:i/>
          <w:sz w:val="22"/>
          <w:szCs w:val="22"/>
        </w:rPr>
        <w:t>Base Year</w:t>
      </w:r>
      <w:r w:rsidRPr="00A736D8">
        <w:rPr>
          <w:sz w:val="22"/>
          <w:szCs w:val="22"/>
        </w:rPr>
        <w:t xml:space="preserve">:  The base year </w:t>
      </w:r>
      <w:r w:rsidR="00C7200E">
        <w:rPr>
          <w:sz w:val="22"/>
          <w:szCs w:val="22"/>
        </w:rPr>
        <w:t>for</w:t>
      </w:r>
      <w:r w:rsidRPr="00A736D8">
        <w:rPr>
          <w:sz w:val="22"/>
          <w:szCs w:val="22"/>
        </w:rPr>
        <w:t xml:space="preserve"> this analysis is CY 20</w:t>
      </w:r>
      <w:r w:rsidRPr="00A736D8" w:rsidR="00E31F1D">
        <w:rPr>
          <w:sz w:val="22"/>
          <w:szCs w:val="22"/>
        </w:rPr>
        <w:t>2</w:t>
      </w:r>
      <w:r w:rsidRPr="00A736D8" w:rsidR="003D3885">
        <w:rPr>
          <w:sz w:val="22"/>
          <w:szCs w:val="22"/>
        </w:rPr>
        <w:t>2</w:t>
      </w:r>
      <w:r w:rsidRPr="00A736D8">
        <w:rPr>
          <w:sz w:val="22"/>
          <w:szCs w:val="22"/>
        </w:rPr>
        <w:t>.  The NRC staff assumes that the final rule is effective in CY 20</w:t>
      </w:r>
      <w:r w:rsidRPr="00A736D8" w:rsidR="00E31F1D">
        <w:rPr>
          <w:sz w:val="22"/>
          <w:szCs w:val="22"/>
        </w:rPr>
        <w:t>22</w:t>
      </w:r>
      <w:r w:rsidRPr="00A736D8">
        <w:rPr>
          <w:sz w:val="22"/>
          <w:szCs w:val="22"/>
        </w:rPr>
        <w:t>.  One-time implementation costs are assumed to be incurred in CY 20</w:t>
      </w:r>
      <w:r w:rsidRPr="00A736D8" w:rsidR="00E31F1D">
        <w:rPr>
          <w:sz w:val="22"/>
          <w:szCs w:val="22"/>
        </w:rPr>
        <w:t>22</w:t>
      </w:r>
      <w:r w:rsidRPr="00A736D8">
        <w:rPr>
          <w:sz w:val="22"/>
          <w:szCs w:val="22"/>
        </w:rPr>
        <w:t>.  Ongoing and annual costs of operation</w:t>
      </w:r>
      <w:r w:rsidR="00AA00F7">
        <w:rPr>
          <w:sz w:val="22"/>
          <w:szCs w:val="22"/>
        </w:rPr>
        <w:t>s</w:t>
      </w:r>
      <w:r w:rsidRPr="00A736D8">
        <w:rPr>
          <w:sz w:val="22"/>
          <w:szCs w:val="22"/>
        </w:rPr>
        <w:t xml:space="preserve"> related to the alternatives are assumed to begin in CY 20</w:t>
      </w:r>
      <w:r w:rsidRPr="00A736D8" w:rsidR="00E31F1D">
        <w:rPr>
          <w:sz w:val="22"/>
          <w:szCs w:val="22"/>
        </w:rPr>
        <w:t>23</w:t>
      </w:r>
      <w:r w:rsidRPr="00A736D8" w:rsidR="00646A79">
        <w:rPr>
          <w:sz w:val="22"/>
          <w:szCs w:val="22"/>
        </w:rPr>
        <w:t>,</w:t>
      </w:r>
      <w:r w:rsidRPr="00A736D8">
        <w:rPr>
          <w:sz w:val="22"/>
          <w:szCs w:val="22"/>
        </w:rPr>
        <w:t xml:space="preserve"> unless otherwise stated.  Calculated benefits and costs are discounted into 20</w:t>
      </w:r>
      <w:r w:rsidRPr="00A736D8" w:rsidR="00E31F1D">
        <w:rPr>
          <w:sz w:val="22"/>
          <w:szCs w:val="22"/>
        </w:rPr>
        <w:t>2</w:t>
      </w:r>
      <w:r w:rsidRPr="00A736D8" w:rsidR="003D3885">
        <w:rPr>
          <w:sz w:val="22"/>
          <w:szCs w:val="22"/>
        </w:rPr>
        <w:t>2</w:t>
      </w:r>
      <w:r w:rsidRPr="00A736D8">
        <w:rPr>
          <w:sz w:val="22"/>
          <w:szCs w:val="22"/>
        </w:rPr>
        <w:t xml:space="preserve"> dollars.</w:t>
      </w:r>
    </w:p>
    <w:p w:rsidRPr="008F0C47" w:rsidR="00D520BD" w:rsidP="00E32163" w:rsidRDefault="00D520BD" w14:paraId="1ABA9977" w14:textId="77777777">
      <w:pPr>
        <w:pStyle w:val="ListParagraph"/>
        <w:rPr>
          <w:sz w:val="22"/>
          <w:szCs w:val="22"/>
        </w:rPr>
      </w:pPr>
    </w:p>
    <w:p w:rsidR="00E32163" w:rsidP="005C6BA3" w:rsidRDefault="00D520BD" w14:paraId="3245EE3C" w14:textId="3FC4E2DF">
      <w:pPr>
        <w:pStyle w:val="ListParagraph"/>
        <w:numPr>
          <w:ilvl w:val="0"/>
          <w:numId w:val="12"/>
        </w:numPr>
        <w:ind w:hanging="720"/>
        <w:contextualSpacing w:val="0"/>
        <w:rPr>
          <w:sz w:val="22"/>
          <w:szCs w:val="22"/>
        </w:rPr>
      </w:pPr>
      <w:r w:rsidRPr="00F3317F">
        <w:rPr>
          <w:i/>
          <w:sz w:val="22"/>
          <w:szCs w:val="22"/>
        </w:rPr>
        <w:t xml:space="preserve">Discounting of </w:t>
      </w:r>
      <w:r>
        <w:rPr>
          <w:i/>
          <w:sz w:val="22"/>
          <w:szCs w:val="22"/>
        </w:rPr>
        <w:t>C</w:t>
      </w:r>
      <w:r w:rsidRPr="00F3317F">
        <w:rPr>
          <w:i/>
          <w:sz w:val="22"/>
          <w:szCs w:val="22"/>
        </w:rPr>
        <w:t xml:space="preserve">osts and </w:t>
      </w:r>
      <w:r>
        <w:rPr>
          <w:i/>
          <w:sz w:val="22"/>
          <w:szCs w:val="22"/>
        </w:rPr>
        <w:t>S</w:t>
      </w:r>
      <w:r w:rsidRPr="00F3317F">
        <w:rPr>
          <w:i/>
          <w:sz w:val="22"/>
          <w:szCs w:val="22"/>
        </w:rPr>
        <w:t>avings</w:t>
      </w:r>
      <w:r>
        <w:rPr>
          <w:sz w:val="22"/>
          <w:szCs w:val="22"/>
        </w:rPr>
        <w:t>:</w:t>
      </w:r>
      <w:r w:rsidRPr="00F3317F">
        <w:rPr>
          <w:sz w:val="22"/>
          <w:szCs w:val="22"/>
        </w:rPr>
        <w:t xml:space="preserve">  The costs or savings incurred in each year </w:t>
      </w:r>
      <w:r>
        <w:rPr>
          <w:sz w:val="22"/>
          <w:szCs w:val="22"/>
        </w:rPr>
        <w:t xml:space="preserve">of the analysis </w:t>
      </w:r>
      <w:r w:rsidRPr="00F3317F">
        <w:rPr>
          <w:sz w:val="22"/>
          <w:szCs w:val="22"/>
        </w:rPr>
        <w:t>are discounted at 7</w:t>
      </w:r>
      <w:r>
        <w:rPr>
          <w:sz w:val="22"/>
          <w:szCs w:val="22"/>
        </w:rPr>
        <w:noBreakHyphen/>
      </w:r>
      <w:r w:rsidRPr="00F3317F">
        <w:rPr>
          <w:sz w:val="22"/>
          <w:szCs w:val="22"/>
        </w:rPr>
        <w:t>percent and 3</w:t>
      </w:r>
      <w:r>
        <w:rPr>
          <w:sz w:val="22"/>
          <w:szCs w:val="22"/>
        </w:rPr>
        <w:noBreakHyphen/>
      </w:r>
      <w:r w:rsidRPr="00F3317F">
        <w:rPr>
          <w:sz w:val="22"/>
          <w:szCs w:val="22"/>
        </w:rPr>
        <w:t>percent discount rate</w:t>
      </w:r>
      <w:r w:rsidR="00C7200E">
        <w:rPr>
          <w:sz w:val="22"/>
          <w:szCs w:val="22"/>
        </w:rPr>
        <w:t>s</w:t>
      </w:r>
      <w:r>
        <w:rPr>
          <w:sz w:val="22"/>
          <w:szCs w:val="22"/>
        </w:rPr>
        <w:t xml:space="preserve"> </w:t>
      </w:r>
      <w:r w:rsidR="00C7200E">
        <w:rPr>
          <w:sz w:val="22"/>
          <w:szCs w:val="22"/>
        </w:rPr>
        <w:t xml:space="preserve">as compared </w:t>
      </w:r>
      <w:r>
        <w:rPr>
          <w:sz w:val="22"/>
          <w:szCs w:val="22"/>
        </w:rPr>
        <w:t>to the base year.  These discount rates are</w:t>
      </w:r>
      <w:r w:rsidRPr="00F3317F">
        <w:rPr>
          <w:sz w:val="22"/>
          <w:szCs w:val="22"/>
        </w:rPr>
        <w:t xml:space="preserve"> in acco</w:t>
      </w:r>
      <w:r>
        <w:rPr>
          <w:sz w:val="22"/>
          <w:szCs w:val="22"/>
        </w:rPr>
        <w:t>rdance with NUREG/BR-0058</w:t>
      </w:r>
      <w:r w:rsidR="00646A79">
        <w:rPr>
          <w:sz w:val="22"/>
          <w:szCs w:val="22"/>
        </w:rPr>
        <w:t>,</w:t>
      </w:r>
      <w:r>
        <w:rPr>
          <w:sz w:val="22"/>
          <w:szCs w:val="22"/>
        </w:rPr>
        <w:t xml:space="preserve"> </w:t>
      </w:r>
      <w:r w:rsidR="00ED66A3">
        <w:rPr>
          <w:sz w:val="22"/>
          <w:szCs w:val="22"/>
        </w:rPr>
        <w:t xml:space="preserve">draft </w:t>
      </w:r>
      <w:r>
        <w:rPr>
          <w:sz w:val="22"/>
          <w:szCs w:val="22"/>
        </w:rPr>
        <w:t>Revision </w:t>
      </w:r>
      <w:r w:rsidR="00ED66A3">
        <w:rPr>
          <w:sz w:val="22"/>
          <w:szCs w:val="22"/>
        </w:rPr>
        <w:t>5</w:t>
      </w:r>
      <w:r w:rsidRPr="00F51EA0">
        <w:rPr>
          <w:sz w:val="22"/>
          <w:szCs w:val="22"/>
        </w:rPr>
        <w:t>.</w:t>
      </w:r>
      <w:r w:rsidRPr="00F3317F">
        <w:rPr>
          <w:sz w:val="22"/>
          <w:szCs w:val="22"/>
        </w:rPr>
        <w:t xml:space="preserve">  </w:t>
      </w:r>
      <w:r w:rsidRPr="00F51EA0">
        <w:rPr>
          <w:sz w:val="22"/>
          <w:szCs w:val="22"/>
        </w:rPr>
        <w:t>Section</w:t>
      </w:r>
      <w:r>
        <w:rPr>
          <w:sz w:val="22"/>
          <w:szCs w:val="22"/>
        </w:rPr>
        <w:t> 5</w:t>
      </w:r>
      <w:r w:rsidRPr="00F51EA0">
        <w:rPr>
          <w:sz w:val="22"/>
          <w:szCs w:val="22"/>
        </w:rPr>
        <w:t xml:space="preserve">.1 </w:t>
      </w:r>
      <w:r w:rsidR="00920657">
        <w:rPr>
          <w:sz w:val="22"/>
          <w:szCs w:val="22"/>
        </w:rPr>
        <w:t>presents</w:t>
      </w:r>
      <w:r w:rsidRPr="00F51EA0">
        <w:rPr>
          <w:sz w:val="22"/>
          <w:szCs w:val="22"/>
        </w:rPr>
        <w:t xml:space="preserve"> these results.</w:t>
      </w:r>
    </w:p>
    <w:p w:rsidRPr="00E32163" w:rsidR="00E32163" w:rsidP="00E32163" w:rsidRDefault="00E32163" w14:paraId="3FD1502F" w14:textId="77777777">
      <w:pPr>
        <w:pStyle w:val="ListParagraph"/>
        <w:rPr>
          <w:i/>
          <w:sz w:val="22"/>
          <w:szCs w:val="22"/>
        </w:rPr>
      </w:pPr>
    </w:p>
    <w:p w:rsidRPr="00E32163" w:rsidR="00D520BD" w:rsidP="005C6BA3" w:rsidRDefault="00D520BD" w14:paraId="689244A0" w14:textId="7F406B6F">
      <w:pPr>
        <w:pStyle w:val="ListParagraph"/>
        <w:numPr>
          <w:ilvl w:val="0"/>
          <w:numId w:val="12"/>
        </w:numPr>
        <w:spacing w:after="220"/>
        <w:ind w:hanging="720"/>
        <w:contextualSpacing w:val="0"/>
        <w:rPr>
          <w:sz w:val="22"/>
          <w:szCs w:val="22"/>
        </w:rPr>
      </w:pPr>
      <w:r w:rsidRPr="00E32163">
        <w:rPr>
          <w:i/>
          <w:sz w:val="22"/>
          <w:szCs w:val="22"/>
        </w:rPr>
        <w:t>Cost/Benefit Inflators</w:t>
      </w:r>
      <w:r w:rsidRPr="00E32163">
        <w:rPr>
          <w:sz w:val="22"/>
          <w:szCs w:val="22"/>
        </w:rPr>
        <w:t>:  To evaluate the costs and benefits consistently</w:t>
      </w:r>
      <w:r w:rsidRPr="00E32163" w:rsidR="00646A79">
        <w:rPr>
          <w:sz w:val="22"/>
          <w:szCs w:val="22"/>
        </w:rPr>
        <w:t>,</w:t>
      </w:r>
      <w:r w:rsidRPr="00E32163">
        <w:rPr>
          <w:sz w:val="22"/>
          <w:szCs w:val="22"/>
        </w:rPr>
        <w:t xml:space="preserve"> the analysis inputs are put into base year dollars.  The most common inflator is the </w:t>
      </w:r>
      <w:r w:rsidR="0058353C">
        <w:rPr>
          <w:sz w:val="22"/>
          <w:szCs w:val="22"/>
        </w:rPr>
        <w:t>c</w:t>
      </w:r>
      <w:r w:rsidRPr="00E32163">
        <w:rPr>
          <w:sz w:val="22"/>
          <w:szCs w:val="22"/>
        </w:rPr>
        <w:t xml:space="preserve">onsumer </w:t>
      </w:r>
      <w:r w:rsidR="0058353C">
        <w:rPr>
          <w:sz w:val="22"/>
          <w:szCs w:val="22"/>
        </w:rPr>
        <w:t>p</w:t>
      </w:r>
      <w:r w:rsidRPr="00E32163">
        <w:rPr>
          <w:sz w:val="22"/>
          <w:szCs w:val="22"/>
        </w:rPr>
        <w:t xml:space="preserve">rice </w:t>
      </w:r>
      <w:r w:rsidR="0058353C">
        <w:rPr>
          <w:sz w:val="22"/>
          <w:szCs w:val="22"/>
        </w:rPr>
        <w:t>i</w:t>
      </w:r>
      <w:r w:rsidRPr="00E32163">
        <w:rPr>
          <w:sz w:val="22"/>
          <w:szCs w:val="22"/>
        </w:rPr>
        <w:t>ndex for all urban consumers (CPI-U)</w:t>
      </w:r>
      <w:r w:rsidRPr="00E32163" w:rsidR="00646A79">
        <w:rPr>
          <w:sz w:val="22"/>
          <w:szCs w:val="22"/>
        </w:rPr>
        <w:t>,</w:t>
      </w:r>
      <w:r w:rsidRPr="00E32163">
        <w:rPr>
          <w:sz w:val="22"/>
          <w:szCs w:val="22"/>
        </w:rPr>
        <w:t xml:space="preserve"> developed by the U.S. Department of Labor</w:t>
      </w:r>
      <w:r w:rsidRPr="00E32163" w:rsidR="00646A79">
        <w:rPr>
          <w:sz w:val="22"/>
          <w:szCs w:val="22"/>
        </w:rPr>
        <w:t>,</w:t>
      </w:r>
      <w:r w:rsidRPr="00E32163">
        <w:rPr>
          <w:sz w:val="22"/>
          <w:szCs w:val="22"/>
        </w:rPr>
        <w:t xml:space="preserve"> Bureau of Labor Statistics.  The formula to determine the amount in base year dollars is as follows:</w:t>
      </w:r>
    </w:p>
    <w:p w:rsidRPr="00C660F1" w:rsidR="00D520BD" w:rsidP="00D520BD" w:rsidRDefault="00C96E7A" w14:paraId="43AA8C7C" w14:textId="39189A24">
      <w:pPr>
        <w:spacing w:after="60"/>
        <w:jc w:val="center"/>
        <w:rPr>
          <w:rFonts w:cs="Arial"/>
          <w:sz w:val="22"/>
        </w:rPr>
      </w:pPr>
      <m:oMathPara>
        <m:oMath>
          <m:f>
            <m:fPr>
              <m:ctrlPr>
                <w:rPr>
                  <w:rFonts w:ascii="Cambria Math" w:hAnsi="Cambria Math" w:cs="Arial"/>
                  <w:sz w:val="22"/>
                </w:rPr>
              </m:ctrlPr>
            </m:fPr>
            <m:num>
              <m:sSub>
                <m:sSubPr>
                  <m:ctrlPr>
                    <w:rPr>
                      <w:rFonts w:ascii="Cambria Math" w:hAnsi="Cambria Math" w:cs="Arial"/>
                      <w:sz w:val="22"/>
                    </w:rPr>
                  </m:ctrlPr>
                </m:sSubPr>
                <m:e>
                  <m:r>
                    <m:rPr>
                      <m:sty m:val="p"/>
                    </m:rPr>
                    <w:rPr>
                      <w:rFonts w:ascii="Cambria Math" w:hAnsi="Cambria Math" w:cs="Arial"/>
                      <w:sz w:val="22"/>
                    </w:rPr>
                    <m:t>CPI-U</m:t>
                  </m:r>
                </m:e>
                <m:sub>
                  <m:r>
                    <m:rPr>
                      <m:sty m:val="p"/>
                    </m:rPr>
                    <w:rPr>
                      <w:rFonts w:ascii="Cambria Math" w:hAnsi="Cambria Math" w:cs="Arial"/>
                      <w:sz w:val="22"/>
                    </w:rPr>
                    <m:t>Base Year</m:t>
                  </m:r>
                </m:sub>
              </m:sSub>
            </m:num>
            <m:den>
              <m:sSub>
                <m:sSubPr>
                  <m:ctrlPr>
                    <w:rPr>
                      <w:rFonts w:ascii="Cambria Math" w:hAnsi="Cambria Math" w:cs="Arial"/>
                      <w:sz w:val="22"/>
                    </w:rPr>
                  </m:ctrlPr>
                </m:sSubPr>
                <m:e>
                  <m:r>
                    <m:rPr>
                      <m:sty m:val="p"/>
                    </m:rPr>
                    <w:rPr>
                      <w:rFonts w:ascii="Cambria Math" w:hAnsi="Cambria Math" w:cs="Arial"/>
                      <w:sz w:val="22"/>
                    </w:rPr>
                    <m:t>CPI-U</m:t>
                  </m:r>
                </m:e>
                <m:sub>
                  <m:r>
                    <m:rPr>
                      <m:sty m:val="p"/>
                    </m:rPr>
                    <w:rPr>
                      <w:rFonts w:ascii="Cambria Math" w:hAnsi="Cambria Math" w:cs="Arial"/>
                      <w:sz w:val="22"/>
                    </w:rPr>
                    <m:t>Value Year</m:t>
                  </m:r>
                </m:sub>
              </m:sSub>
            </m:den>
          </m:f>
          <m:r>
            <m:rPr>
              <m:sty m:val="p"/>
            </m:rPr>
            <w:rPr>
              <w:rFonts w:ascii="Cambria Math" w:hAnsi="Cambria Math"/>
              <w:sz w:val="22"/>
            </w:rPr>
            <m:t>*</m:t>
          </m:r>
          <m:sSub>
            <m:sSubPr>
              <m:ctrlPr>
                <w:rPr>
                  <w:rFonts w:ascii="Cambria Math" w:hAnsi="Cambria Math" w:cs="Arial"/>
                  <w:sz w:val="22"/>
                </w:rPr>
              </m:ctrlPr>
            </m:sSubPr>
            <m:e>
              <m:r>
                <m:rPr>
                  <m:sty m:val="p"/>
                </m:rPr>
                <w:rPr>
                  <w:rFonts w:ascii="Cambria Math" w:hAnsi="Cambria Math" w:cs="Arial"/>
                  <w:sz w:val="22"/>
                </w:rPr>
                <m:t>Value</m:t>
              </m:r>
            </m:e>
            <m:sub>
              <m:r>
                <m:rPr>
                  <m:sty m:val="p"/>
                </m:rPr>
                <w:rPr>
                  <w:rFonts w:ascii="Cambria Math" w:hAnsi="Cambria Math" w:cs="Arial"/>
                  <w:sz w:val="22"/>
                </w:rPr>
                <m:t>Value Year</m:t>
              </m:r>
            </m:sub>
          </m:sSub>
          <m:r>
            <m:rPr>
              <m:sty m:val="p"/>
            </m:rPr>
            <w:rPr>
              <w:rFonts w:ascii="Cambria Math" w:hAnsi="Cambria Math" w:cs="Arial"/>
              <w:sz w:val="22"/>
            </w:rPr>
            <m:t>=</m:t>
          </m:r>
          <m:sSub>
            <m:sSubPr>
              <m:ctrlPr>
                <w:rPr>
                  <w:rFonts w:ascii="Cambria Math" w:hAnsi="Cambria Math" w:cs="Arial"/>
                  <w:sz w:val="22"/>
                </w:rPr>
              </m:ctrlPr>
            </m:sSubPr>
            <m:e>
              <m:r>
                <m:rPr>
                  <m:sty m:val="p"/>
                </m:rPr>
                <w:rPr>
                  <w:rFonts w:ascii="Cambria Math" w:hAnsi="Cambria Math" w:cs="Arial"/>
                  <w:sz w:val="22"/>
                </w:rPr>
                <m:t>Value</m:t>
              </m:r>
            </m:e>
            <m:sub>
              <m:r>
                <m:rPr>
                  <m:sty m:val="p"/>
                </m:rPr>
                <w:rPr>
                  <w:rFonts w:ascii="Cambria Math" w:hAnsi="Cambria Math" w:cs="Arial"/>
                  <w:sz w:val="22"/>
                </w:rPr>
                <m:t>Base Year</m:t>
              </m:r>
            </m:sub>
          </m:sSub>
        </m:oMath>
      </m:oMathPara>
    </w:p>
    <w:p w:rsidRPr="007333C7" w:rsidR="00D520BD" w:rsidP="00D520BD" w:rsidRDefault="00D520BD" w14:paraId="00DC5BF9" w14:textId="77777777">
      <w:pPr>
        <w:ind w:left="360"/>
        <w:rPr>
          <w:sz w:val="22"/>
          <w:szCs w:val="22"/>
        </w:rPr>
      </w:pPr>
    </w:p>
    <w:p w:rsidR="00D520BD" w:rsidP="005C6BA3" w:rsidRDefault="00D520BD" w14:paraId="20C11AA7" w14:textId="046995D0">
      <w:pPr>
        <w:pStyle w:val="ListParagraph"/>
        <w:numPr>
          <w:ilvl w:val="0"/>
          <w:numId w:val="12"/>
        </w:numPr>
        <w:ind w:hanging="720"/>
        <w:rPr>
          <w:sz w:val="22"/>
          <w:szCs w:val="22"/>
        </w:rPr>
      </w:pPr>
      <w:r w:rsidRPr="007333C7">
        <w:rPr>
          <w:i/>
          <w:sz w:val="22"/>
          <w:szCs w:val="22"/>
        </w:rPr>
        <w:t xml:space="preserve">Sign </w:t>
      </w:r>
      <w:r w:rsidR="008F3736">
        <w:rPr>
          <w:i/>
          <w:sz w:val="22"/>
          <w:szCs w:val="22"/>
        </w:rPr>
        <w:t>C</w:t>
      </w:r>
      <w:r w:rsidRPr="007333C7">
        <w:rPr>
          <w:i/>
          <w:sz w:val="22"/>
          <w:szCs w:val="22"/>
        </w:rPr>
        <w:t>onventions</w:t>
      </w:r>
      <w:r>
        <w:rPr>
          <w:sz w:val="22"/>
          <w:szCs w:val="22"/>
        </w:rPr>
        <w:t>:</w:t>
      </w:r>
      <w:r w:rsidRPr="007333C7">
        <w:rPr>
          <w:sz w:val="22"/>
          <w:szCs w:val="22"/>
        </w:rPr>
        <w:t xml:space="preserve">  The sign convention used in this analysis is that all favorable consequences for the alternative are positive and all adverse consequences for the alternative are negative.  Negative values are shown using parentheses (e.g.</w:t>
      </w:r>
      <w:r w:rsidR="00646A79">
        <w:rPr>
          <w:sz w:val="22"/>
          <w:szCs w:val="22"/>
        </w:rPr>
        <w:t>,</w:t>
      </w:r>
      <w:r>
        <w:rPr>
          <w:sz w:val="22"/>
          <w:szCs w:val="22"/>
        </w:rPr>
        <w:t> </w:t>
      </w:r>
      <w:r w:rsidRPr="007333C7">
        <w:rPr>
          <w:sz w:val="22"/>
          <w:szCs w:val="22"/>
        </w:rPr>
        <w:t>negative $500 is displayed as ($500)).</w:t>
      </w:r>
    </w:p>
    <w:p w:rsidRPr="007333C7" w:rsidR="00D520BD" w:rsidP="00D520BD" w:rsidRDefault="00D520BD" w14:paraId="2B283F2E" w14:textId="77777777">
      <w:pPr>
        <w:pStyle w:val="ListParagraph"/>
        <w:ind w:hanging="720"/>
        <w:rPr>
          <w:sz w:val="22"/>
          <w:szCs w:val="22"/>
        </w:rPr>
      </w:pPr>
    </w:p>
    <w:p w:rsidR="00D520BD" w:rsidP="005C6BA3" w:rsidRDefault="00D520BD" w14:paraId="420C83C4" w14:textId="11C5692F">
      <w:pPr>
        <w:pStyle w:val="ListParagraph"/>
        <w:numPr>
          <w:ilvl w:val="0"/>
          <w:numId w:val="12"/>
        </w:numPr>
        <w:ind w:hanging="720"/>
        <w:rPr>
          <w:sz w:val="22"/>
          <w:szCs w:val="22"/>
        </w:rPr>
      </w:pPr>
      <w:r w:rsidRPr="007333C7">
        <w:rPr>
          <w:i/>
          <w:sz w:val="22"/>
          <w:szCs w:val="22"/>
        </w:rPr>
        <w:t xml:space="preserve">Labor </w:t>
      </w:r>
      <w:r w:rsidR="008F3736">
        <w:rPr>
          <w:i/>
          <w:sz w:val="22"/>
          <w:szCs w:val="22"/>
        </w:rPr>
        <w:t>R</w:t>
      </w:r>
      <w:r w:rsidRPr="007333C7">
        <w:rPr>
          <w:i/>
          <w:sz w:val="22"/>
          <w:szCs w:val="22"/>
        </w:rPr>
        <w:t>ates</w:t>
      </w:r>
      <w:r>
        <w:rPr>
          <w:sz w:val="22"/>
          <w:szCs w:val="22"/>
        </w:rPr>
        <w:t>:  In estimating the incremental costs of the alternatives</w:t>
      </w:r>
      <w:r w:rsidR="00646A79">
        <w:rPr>
          <w:sz w:val="22"/>
          <w:szCs w:val="22"/>
        </w:rPr>
        <w:t>,</w:t>
      </w:r>
      <w:r>
        <w:rPr>
          <w:sz w:val="22"/>
          <w:szCs w:val="22"/>
        </w:rPr>
        <w:t xml:space="preserve"> the analysis uses hourly labor rates that include salary</w:t>
      </w:r>
      <w:r w:rsidR="00646A79">
        <w:rPr>
          <w:sz w:val="22"/>
          <w:szCs w:val="22"/>
        </w:rPr>
        <w:t>,</w:t>
      </w:r>
      <w:r>
        <w:rPr>
          <w:sz w:val="22"/>
          <w:szCs w:val="22"/>
        </w:rPr>
        <w:t xml:space="preserve"> fringe benefits (e.g.</w:t>
      </w:r>
      <w:r w:rsidR="00646A79">
        <w:rPr>
          <w:sz w:val="22"/>
          <w:szCs w:val="22"/>
        </w:rPr>
        <w:t>,</w:t>
      </w:r>
      <w:r>
        <w:rPr>
          <w:sz w:val="22"/>
          <w:szCs w:val="22"/>
        </w:rPr>
        <w:t> paid leave and health benefits)</w:t>
      </w:r>
      <w:r w:rsidR="00646A79">
        <w:rPr>
          <w:sz w:val="22"/>
          <w:szCs w:val="22"/>
        </w:rPr>
        <w:t>,</w:t>
      </w:r>
      <w:r>
        <w:rPr>
          <w:sz w:val="22"/>
          <w:szCs w:val="22"/>
        </w:rPr>
        <w:t xml:space="preserve"> and overhead (e.g.</w:t>
      </w:r>
      <w:r w:rsidR="00646A79">
        <w:rPr>
          <w:sz w:val="22"/>
          <w:szCs w:val="22"/>
        </w:rPr>
        <w:t>,</w:t>
      </w:r>
      <w:r>
        <w:rPr>
          <w:sz w:val="22"/>
          <w:szCs w:val="22"/>
        </w:rPr>
        <w:t xml:space="preserve"> payroll costs).  </w:t>
      </w:r>
      <w:r w:rsidRPr="00203EED" w:rsidR="00147E59">
        <w:rPr>
          <w:sz w:val="22"/>
          <w:szCs w:val="22"/>
        </w:rPr>
        <w:fldChar w:fldCharType="begin"/>
      </w:r>
      <w:r w:rsidRPr="00203EED" w:rsidR="00147E59">
        <w:rPr>
          <w:sz w:val="22"/>
          <w:szCs w:val="22"/>
        </w:rPr>
        <w:instrText xml:space="preserve"> REF _Ref72166357 \h  \* MERGEFORMAT </w:instrText>
      </w:r>
      <w:r w:rsidRPr="00203EED" w:rsidR="00147E59">
        <w:rPr>
          <w:sz w:val="22"/>
          <w:szCs w:val="22"/>
        </w:rPr>
      </w:r>
      <w:r w:rsidRPr="00203EED" w:rsidR="00147E59">
        <w:rPr>
          <w:sz w:val="22"/>
          <w:szCs w:val="22"/>
        </w:rPr>
        <w:fldChar w:fldCharType="separate"/>
      </w:r>
      <w:r w:rsidRPr="006155B8" w:rsidR="00A6777F">
        <w:rPr>
          <w:sz w:val="22"/>
          <w:szCs w:val="22"/>
        </w:rPr>
        <w:t>Table 5-16</w:t>
      </w:r>
      <w:r w:rsidRPr="00203EED" w:rsidR="00147E59">
        <w:rPr>
          <w:sz w:val="22"/>
          <w:szCs w:val="22"/>
        </w:rPr>
        <w:fldChar w:fldCharType="end"/>
      </w:r>
      <w:r>
        <w:rPr>
          <w:sz w:val="22"/>
          <w:szCs w:val="22"/>
        </w:rPr>
        <w:t xml:space="preserve"> p</w:t>
      </w:r>
      <w:r w:rsidR="00147E59">
        <w:rPr>
          <w:sz w:val="22"/>
          <w:szCs w:val="22"/>
        </w:rPr>
        <w:t>resent</w:t>
      </w:r>
      <w:r>
        <w:rPr>
          <w:sz w:val="22"/>
          <w:szCs w:val="22"/>
        </w:rPr>
        <w:t xml:space="preserve">s the labor rates used </w:t>
      </w:r>
      <w:r w:rsidR="001E645F">
        <w:rPr>
          <w:sz w:val="22"/>
          <w:szCs w:val="22"/>
        </w:rPr>
        <w:t>for</w:t>
      </w:r>
      <w:r w:rsidR="00147E59">
        <w:rPr>
          <w:sz w:val="22"/>
          <w:szCs w:val="22"/>
        </w:rPr>
        <w:t xml:space="preserve"> </w:t>
      </w:r>
      <w:r>
        <w:rPr>
          <w:sz w:val="22"/>
          <w:szCs w:val="22"/>
        </w:rPr>
        <w:t>the uncertainty analysis</w:t>
      </w:r>
      <w:r w:rsidR="00646A79">
        <w:rPr>
          <w:sz w:val="22"/>
          <w:szCs w:val="22"/>
        </w:rPr>
        <w:t>,</w:t>
      </w:r>
      <w:r>
        <w:rPr>
          <w:sz w:val="22"/>
          <w:szCs w:val="22"/>
        </w:rPr>
        <w:t xml:space="preserve"> and Appendix B </w:t>
      </w:r>
      <w:r w:rsidR="006937AA">
        <w:rPr>
          <w:sz w:val="22"/>
          <w:szCs w:val="22"/>
        </w:rPr>
        <w:t>presents</w:t>
      </w:r>
      <w:r>
        <w:rPr>
          <w:sz w:val="22"/>
          <w:szCs w:val="22"/>
        </w:rPr>
        <w:t xml:space="preserve"> the labor rates</w:t>
      </w:r>
      <w:r w:rsidR="00227AFC">
        <w:rPr>
          <w:sz w:val="22"/>
          <w:szCs w:val="22"/>
        </w:rPr>
        <w:t xml:space="preserve"> (in 2022 dollars)</w:t>
      </w:r>
      <w:r>
        <w:rPr>
          <w:sz w:val="22"/>
          <w:szCs w:val="22"/>
        </w:rPr>
        <w:t xml:space="preserve"> for the base case.  </w:t>
      </w:r>
    </w:p>
    <w:p w:rsidRPr="0037712A" w:rsidR="00D520BD" w:rsidP="00D520BD" w:rsidRDefault="00D520BD" w14:paraId="7527D34C" w14:textId="77777777">
      <w:pPr>
        <w:rPr>
          <w:sz w:val="22"/>
          <w:szCs w:val="22"/>
        </w:rPr>
      </w:pPr>
    </w:p>
    <w:p w:rsidRPr="005A5966" w:rsidR="00D520BD" w:rsidP="00D520BD" w:rsidRDefault="00D520BD" w14:paraId="13E21215" w14:textId="67A60E40">
      <w:pPr>
        <w:pStyle w:val="Heading3"/>
      </w:pPr>
      <w:bookmarkStart w:name="_Toc332032763" w:id="99"/>
      <w:bookmarkStart w:name="_Toc460412605" w:id="100"/>
      <w:bookmarkStart w:name="_Toc72840023" w:id="101"/>
      <w:bookmarkStart w:name="_Toc105681496" w:id="102"/>
      <w:r>
        <w:t>4</w:t>
      </w:r>
      <w:r w:rsidRPr="005A5966">
        <w:t>.2.</w:t>
      </w:r>
      <w:r>
        <w:t>4</w:t>
      </w:r>
      <w:r w:rsidRPr="005A5966">
        <w:tab/>
        <w:t xml:space="preserve">Incremental Requirements in the </w:t>
      </w:r>
      <w:r w:rsidR="00C82438">
        <w:t>Final</w:t>
      </w:r>
      <w:r w:rsidRPr="005A5966">
        <w:t xml:space="preserve"> Rule</w:t>
      </w:r>
      <w:bookmarkEnd w:id="99"/>
      <w:bookmarkEnd w:id="100"/>
      <w:bookmarkEnd w:id="101"/>
      <w:bookmarkEnd w:id="102"/>
    </w:p>
    <w:p w:rsidRPr="005A5966" w:rsidR="00D520BD" w:rsidP="00D520BD" w:rsidRDefault="00D520BD" w14:paraId="62DC72B0" w14:textId="77777777">
      <w:pPr>
        <w:keepNext/>
        <w:keepLines/>
        <w:numPr>
          <w:ilvl w:val="12"/>
          <w:numId w:val="0"/>
        </w:numPr>
        <w:tabs>
          <w:tab w:val="left" w:pos="721"/>
        </w:tabs>
        <w:rPr>
          <w:sz w:val="22"/>
          <w:szCs w:val="22"/>
        </w:rPr>
      </w:pPr>
    </w:p>
    <w:p w:rsidRPr="005A5966" w:rsidR="00D520BD" w:rsidP="00D520BD" w:rsidRDefault="00D520BD" w14:paraId="3E28B995" w14:textId="332837D2">
      <w:pPr>
        <w:numPr>
          <w:ilvl w:val="12"/>
          <w:numId w:val="0"/>
        </w:numPr>
        <w:tabs>
          <w:tab w:val="left" w:pos="721"/>
        </w:tabs>
        <w:rPr>
          <w:sz w:val="22"/>
          <w:szCs w:val="22"/>
        </w:rPr>
      </w:pPr>
      <w:r w:rsidRPr="005A5966">
        <w:rPr>
          <w:sz w:val="22"/>
          <w:szCs w:val="22"/>
        </w:rPr>
        <w:t xml:space="preserve">The NRC </w:t>
      </w:r>
      <w:r>
        <w:rPr>
          <w:sz w:val="22"/>
          <w:szCs w:val="22"/>
        </w:rPr>
        <w:t xml:space="preserve">quantitatively </w:t>
      </w:r>
      <w:r w:rsidRPr="005A5966">
        <w:rPr>
          <w:sz w:val="22"/>
          <w:szCs w:val="22"/>
        </w:rPr>
        <w:t xml:space="preserve">evaluated the impacts of </w:t>
      </w:r>
      <w:r>
        <w:rPr>
          <w:sz w:val="22"/>
          <w:szCs w:val="22"/>
        </w:rPr>
        <w:t xml:space="preserve">the following </w:t>
      </w:r>
      <w:r w:rsidR="00102ECC">
        <w:rPr>
          <w:sz w:val="22"/>
          <w:szCs w:val="22"/>
        </w:rPr>
        <w:t>six</w:t>
      </w:r>
      <w:r w:rsidRPr="005A5966" w:rsidR="00102ECC">
        <w:rPr>
          <w:sz w:val="22"/>
          <w:szCs w:val="22"/>
        </w:rPr>
        <w:t xml:space="preserve"> </w:t>
      </w:r>
      <w:r w:rsidRPr="005A5966">
        <w:rPr>
          <w:sz w:val="22"/>
          <w:szCs w:val="22"/>
        </w:rPr>
        <w:t>rule changes relative to the baseline described in Section</w:t>
      </w:r>
      <w:r>
        <w:rPr>
          <w:sz w:val="22"/>
          <w:szCs w:val="22"/>
        </w:rPr>
        <w:t> 4</w:t>
      </w:r>
      <w:r w:rsidRPr="005A5966">
        <w:rPr>
          <w:sz w:val="22"/>
          <w:szCs w:val="22"/>
        </w:rPr>
        <w:t>.2.1:</w:t>
      </w:r>
    </w:p>
    <w:p w:rsidRPr="005A5966" w:rsidR="00D520BD" w:rsidP="00D520BD" w:rsidRDefault="00D520BD" w14:paraId="3B645555" w14:textId="77777777">
      <w:pPr>
        <w:numPr>
          <w:ilvl w:val="12"/>
          <w:numId w:val="0"/>
        </w:numPr>
        <w:tabs>
          <w:tab w:val="left" w:pos="721"/>
        </w:tabs>
        <w:rPr>
          <w:sz w:val="22"/>
          <w:szCs w:val="22"/>
        </w:rPr>
      </w:pPr>
    </w:p>
    <w:p w:rsidRPr="005A5966" w:rsidR="00D520BD" w:rsidP="005C6BA3" w:rsidRDefault="00D520BD" w14:paraId="132A6D4E" w14:textId="77777777">
      <w:pPr>
        <w:pStyle w:val="ListParagraph"/>
        <w:numPr>
          <w:ilvl w:val="0"/>
          <w:numId w:val="4"/>
        </w:numPr>
        <w:tabs>
          <w:tab w:val="left" w:pos="720"/>
        </w:tabs>
        <w:ind w:left="720" w:hanging="720"/>
        <w:rPr>
          <w:i/>
          <w:sz w:val="22"/>
          <w:szCs w:val="22"/>
        </w:rPr>
      </w:pPr>
      <w:r w:rsidRPr="005A5966">
        <w:rPr>
          <w:i/>
          <w:sz w:val="22"/>
          <w:szCs w:val="22"/>
        </w:rPr>
        <w:t xml:space="preserve">Lowered initial and confirmatory </w:t>
      </w:r>
      <w:r>
        <w:rPr>
          <w:i/>
          <w:sz w:val="22"/>
          <w:szCs w:val="22"/>
        </w:rPr>
        <w:t xml:space="preserve">drug </w:t>
      </w:r>
      <w:r w:rsidRPr="005A5966">
        <w:rPr>
          <w:i/>
          <w:sz w:val="22"/>
          <w:szCs w:val="22"/>
        </w:rPr>
        <w:t>testing cutoff levels for amphetamines and cocaine</w:t>
      </w:r>
      <w:r>
        <w:rPr>
          <w:i/>
          <w:sz w:val="22"/>
          <w:szCs w:val="22"/>
        </w:rPr>
        <w:t xml:space="preserve"> metabolites</w:t>
      </w:r>
      <w:r w:rsidRPr="005A5966">
        <w:rPr>
          <w:i/>
          <w:sz w:val="22"/>
          <w:szCs w:val="22"/>
        </w:rPr>
        <w:t>.</w:t>
      </w:r>
    </w:p>
    <w:p w:rsidRPr="005A5966" w:rsidR="00D520BD" w:rsidP="00D520BD" w:rsidRDefault="00D520BD" w14:paraId="5DB0117E" w14:textId="77777777">
      <w:pPr>
        <w:tabs>
          <w:tab w:val="left" w:pos="720"/>
        </w:tabs>
        <w:ind w:left="360"/>
        <w:rPr>
          <w:sz w:val="22"/>
          <w:szCs w:val="22"/>
        </w:rPr>
      </w:pPr>
    </w:p>
    <w:p w:rsidRPr="005A5966" w:rsidR="00D520BD" w:rsidP="00D520BD" w:rsidRDefault="00D520BD" w14:paraId="469BE58A" w14:textId="748FDFF3">
      <w:pPr>
        <w:tabs>
          <w:tab w:val="left" w:pos="720"/>
        </w:tabs>
        <w:ind w:left="720"/>
        <w:rPr>
          <w:sz w:val="22"/>
          <w:szCs w:val="22"/>
        </w:rPr>
      </w:pPr>
      <w:r w:rsidRPr="005A5966">
        <w:rPr>
          <w:sz w:val="22"/>
          <w:szCs w:val="22"/>
        </w:rPr>
        <w:t xml:space="preserve">The </w:t>
      </w:r>
      <w:r w:rsidR="00876F41">
        <w:rPr>
          <w:sz w:val="22"/>
          <w:szCs w:val="22"/>
        </w:rPr>
        <w:t xml:space="preserve">final </w:t>
      </w:r>
      <w:r w:rsidRPr="005A5966">
        <w:rPr>
          <w:sz w:val="22"/>
          <w:szCs w:val="22"/>
        </w:rPr>
        <w:t>rule update</w:t>
      </w:r>
      <w:r w:rsidR="00DA6C50">
        <w:rPr>
          <w:sz w:val="22"/>
          <w:szCs w:val="22"/>
        </w:rPr>
        <w:t>s</w:t>
      </w:r>
      <w:r w:rsidRPr="005A5966">
        <w:rPr>
          <w:sz w:val="22"/>
          <w:szCs w:val="22"/>
        </w:rPr>
        <w:t xml:space="preserve"> the cutoff levels for initial </w:t>
      </w:r>
      <w:r>
        <w:rPr>
          <w:sz w:val="22"/>
          <w:szCs w:val="22"/>
        </w:rPr>
        <w:t xml:space="preserve">drug </w:t>
      </w:r>
      <w:r w:rsidRPr="005A5966">
        <w:rPr>
          <w:sz w:val="22"/>
          <w:szCs w:val="22"/>
        </w:rPr>
        <w:t>testing</w:t>
      </w:r>
      <w:r w:rsidR="00646A79">
        <w:rPr>
          <w:sz w:val="22"/>
          <w:szCs w:val="22"/>
        </w:rPr>
        <w:t>,</w:t>
      </w:r>
      <w:r w:rsidRPr="005A5966">
        <w:rPr>
          <w:sz w:val="22"/>
          <w:szCs w:val="22"/>
        </w:rPr>
        <w:t xml:space="preserve"> listed in </w:t>
      </w:r>
      <w:r>
        <w:rPr>
          <w:sz w:val="22"/>
          <w:szCs w:val="22"/>
        </w:rPr>
        <w:t>10 CFR </w:t>
      </w:r>
      <w:r w:rsidRPr="005A5966">
        <w:rPr>
          <w:sz w:val="22"/>
          <w:szCs w:val="22"/>
        </w:rPr>
        <w:t>26.133</w:t>
      </w:r>
      <w:r w:rsidR="00646A79">
        <w:rPr>
          <w:sz w:val="22"/>
          <w:szCs w:val="22"/>
        </w:rPr>
        <w:t>,</w:t>
      </w:r>
      <w:r>
        <w:rPr>
          <w:sz w:val="22"/>
          <w:szCs w:val="22"/>
        </w:rPr>
        <w:t xml:space="preserve"> </w:t>
      </w:r>
      <w:r w:rsidR="00646A79">
        <w:rPr>
          <w:sz w:val="22"/>
          <w:szCs w:val="22"/>
        </w:rPr>
        <w:t>“</w:t>
      </w:r>
      <w:r>
        <w:rPr>
          <w:sz w:val="22"/>
          <w:szCs w:val="22"/>
        </w:rPr>
        <w:t xml:space="preserve">Cutoff </w:t>
      </w:r>
      <w:r w:rsidR="00DB148C">
        <w:rPr>
          <w:sz w:val="22"/>
          <w:szCs w:val="22"/>
        </w:rPr>
        <w:t>l</w:t>
      </w:r>
      <w:r>
        <w:rPr>
          <w:sz w:val="22"/>
          <w:szCs w:val="22"/>
        </w:rPr>
        <w:t xml:space="preserve">evels for </w:t>
      </w:r>
      <w:r w:rsidR="00DB148C">
        <w:rPr>
          <w:sz w:val="22"/>
          <w:szCs w:val="22"/>
        </w:rPr>
        <w:t>d</w:t>
      </w:r>
      <w:r>
        <w:rPr>
          <w:sz w:val="22"/>
          <w:szCs w:val="22"/>
        </w:rPr>
        <w:t xml:space="preserve">rugs and </w:t>
      </w:r>
      <w:r w:rsidR="00DB148C">
        <w:rPr>
          <w:sz w:val="22"/>
          <w:szCs w:val="22"/>
        </w:rPr>
        <w:t>d</w:t>
      </w:r>
      <w:r>
        <w:rPr>
          <w:sz w:val="22"/>
          <w:szCs w:val="22"/>
        </w:rPr>
        <w:t xml:space="preserve">rug </w:t>
      </w:r>
      <w:r w:rsidR="00DB148C">
        <w:rPr>
          <w:sz w:val="22"/>
          <w:szCs w:val="22"/>
        </w:rPr>
        <w:t>m</w:t>
      </w:r>
      <w:r>
        <w:rPr>
          <w:sz w:val="22"/>
          <w:szCs w:val="22"/>
        </w:rPr>
        <w:t>etabolites</w:t>
      </w:r>
      <w:r w:rsidR="00646A79">
        <w:rPr>
          <w:sz w:val="22"/>
          <w:szCs w:val="22"/>
        </w:rPr>
        <w:t>,”</w:t>
      </w:r>
      <w:r w:rsidRPr="005A5966">
        <w:rPr>
          <w:sz w:val="22"/>
          <w:szCs w:val="22"/>
        </w:rPr>
        <w:t xml:space="preserve"> and </w:t>
      </w:r>
      <w:r>
        <w:rPr>
          <w:sz w:val="22"/>
          <w:szCs w:val="22"/>
        </w:rPr>
        <w:t>10 CFR </w:t>
      </w:r>
      <w:r w:rsidRPr="005A5966">
        <w:rPr>
          <w:sz w:val="22"/>
          <w:szCs w:val="22"/>
        </w:rPr>
        <w:t>26.163(a)(1)</w:t>
      </w:r>
      <w:r w:rsidR="00646A79">
        <w:rPr>
          <w:sz w:val="22"/>
          <w:szCs w:val="22"/>
        </w:rPr>
        <w:t>,</w:t>
      </w:r>
      <w:r w:rsidRPr="005A5966">
        <w:rPr>
          <w:sz w:val="22"/>
          <w:szCs w:val="22"/>
        </w:rPr>
        <w:t xml:space="preserve"> and for confirmatory </w:t>
      </w:r>
      <w:r>
        <w:rPr>
          <w:sz w:val="22"/>
          <w:szCs w:val="22"/>
        </w:rPr>
        <w:t xml:space="preserve">drug </w:t>
      </w:r>
      <w:r w:rsidRPr="005A5966">
        <w:rPr>
          <w:sz w:val="22"/>
          <w:szCs w:val="22"/>
        </w:rPr>
        <w:t>testing</w:t>
      </w:r>
      <w:r w:rsidR="00646A79">
        <w:rPr>
          <w:sz w:val="22"/>
          <w:szCs w:val="22"/>
        </w:rPr>
        <w:t>,</w:t>
      </w:r>
      <w:r w:rsidRPr="005A5966">
        <w:rPr>
          <w:sz w:val="22"/>
          <w:szCs w:val="22"/>
        </w:rPr>
        <w:t xml:space="preserve"> listed in </w:t>
      </w:r>
      <w:r>
        <w:rPr>
          <w:sz w:val="22"/>
          <w:szCs w:val="22"/>
        </w:rPr>
        <w:t>10 CFR </w:t>
      </w:r>
      <w:r w:rsidRPr="005A5966">
        <w:rPr>
          <w:sz w:val="22"/>
          <w:szCs w:val="22"/>
        </w:rPr>
        <w:t>26.163(b)(1)</w:t>
      </w:r>
      <w:r w:rsidR="00646A79">
        <w:rPr>
          <w:sz w:val="22"/>
          <w:szCs w:val="22"/>
        </w:rPr>
        <w:t>,</w:t>
      </w:r>
      <w:r w:rsidRPr="005A5966">
        <w:rPr>
          <w:sz w:val="22"/>
          <w:szCs w:val="22"/>
        </w:rPr>
        <w:t xml:space="preserve"> to conform with </w:t>
      </w:r>
      <w:r>
        <w:rPr>
          <w:sz w:val="22"/>
          <w:szCs w:val="22"/>
        </w:rPr>
        <w:t xml:space="preserve">the </w:t>
      </w:r>
      <w:r w:rsidRPr="005A5966">
        <w:rPr>
          <w:sz w:val="22"/>
          <w:szCs w:val="22"/>
        </w:rPr>
        <w:t>changes to</w:t>
      </w:r>
      <w:r>
        <w:rPr>
          <w:sz w:val="22"/>
          <w:szCs w:val="22"/>
        </w:rPr>
        <w:t xml:space="preserve"> Section 3.4 of</w:t>
      </w:r>
      <w:r w:rsidRPr="005A5966">
        <w:rPr>
          <w:sz w:val="22"/>
          <w:szCs w:val="22"/>
        </w:rPr>
        <w:t xml:space="preserve"> the </w:t>
      </w:r>
      <w:r>
        <w:rPr>
          <w:sz w:val="22"/>
          <w:szCs w:val="22"/>
        </w:rPr>
        <w:t xml:space="preserve">2008 </w:t>
      </w:r>
      <w:r w:rsidR="000A106D">
        <w:rPr>
          <w:sz w:val="22"/>
          <w:szCs w:val="22"/>
        </w:rPr>
        <w:t xml:space="preserve">and 2017 </w:t>
      </w:r>
      <w:r w:rsidRPr="005A5966">
        <w:rPr>
          <w:sz w:val="22"/>
          <w:szCs w:val="22"/>
        </w:rPr>
        <w:t>HHS Guidelines as follows:</w:t>
      </w:r>
    </w:p>
    <w:p w:rsidRPr="005A5966" w:rsidR="00D520BD" w:rsidP="00D520BD" w:rsidRDefault="00D520BD" w14:paraId="65C1C602" w14:textId="77777777">
      <w:pPr>
        <w:tabs>
          <w:tab w:val="left" w:pos="720"/>
        </w:tabs>
        <w:ind w:left="360"/>
        <w:rPr>
          <w:sz w:val="22"/>
          <w:szCs w:val="22"/>
        </w:rPr>
      </w:pPr>
    </w:p>
    <w:p w:rsidR="00D520BD" w:rsidP="005C6BA3" w:rsidRDefault="00D520BD" w14:paraId="55D623A0" w14:textId="1530DEF8">
      <w:pPr>
        <w:pStyle w:val="ListParagraph"/>
        <w:numPr>
          <w:ilvl w:val="0"/>
          <w:numId w:val="21"/>
        </w:numPr>
        <w:tabs>
          <w:tab w:val="left" w:pos="1440"/>
        </w:tabs>
        <w:ind w:left="1440" w:hanging="720"/>
        <w:rPr>
          <w:sz w:val="22"/>
          <w:szCs w:val="22"/>
        </w:rPr>
      </w:pPr>
      <w:r>
        <w:rPr>
          <w:sz w:val="22"/>
          <w:szCs w:val="22"/>
        </w:rPr>
        <w:t>l</w:t>
      </w:r>
      <w:r w:rsidRPr="001237A0">
        <w:rPr>
          <w:sz w:val="22"/>
          <w:szCs w:val="22"/>
        </w:rPr>
        <w:t>ower</w:t>
      </w:r>
      <w:r w:rsidR="00DA6C50">
        <w:rPr>
          <w:sz w:val="22"/>
          <w:szCs w:val="22"/>
        </w:rPr>
        <w:t>s</w:t>
      </w:r>
      <w:r w:rsidRPr="001237A0">
        <w:rPr>
          <w:sz w:val="22"/>
          <w:szCs w:val="22"/>
        </w:rPr>
        <w:t xml:space="preserve"> the initial drug testing cutoff level for cocaine metabolites by 50</w:t>
      </w:r>
      <w:r>
        <w:rPr>
          <w:sz w:val="22"/>
          <w:szCs w:val="22"/>
        </w:rPr>
        <w:t> </w:t>
      </w:r>
      <w:r w:rsidRPr="001237A0">
        <w:rPr>
          <w:sz w:val="22"/>
          <w:szCs w:val="22"/>
        </w:rPr>
        <w:t>percent (from 300</w:t>
      </w:r>
      <w:r>
        <w:rPr>
          <w:sz w:val="22"/>
          <w:szCs w:val="22"/>
        </w:rPr>
        <w:t> </w:t>
      </w:r>
      <w:r w:rsidRPr="001237A0">
        <w:rPr>
          <w:sz w:val="22"/>
          <w:szCs w:val="22"/>
        </w:rPr>
        <w:t xml:space="preserve">nanograms </w:t>
      </w:r>
      <w:r>
        <w:rPr>
          <w:sz w:val="22"/>
          <w:szCs w:val="22"/>
        </w:rPr>
        <w:t xml:space="preserve">(ng) </w:t>
      </w:r>
      <w:r w:rsidRPr="001237A0">
        <w:rPr>
          <w:sz w:val="22"/>
          <w:szCs w:val="22"/>
        </w:rPr>
        <w:t>per milliliter (mL) to 150</w:t>
      </w:r>
      <w:r>
        <w:rPr>
          <w:sz w:val="22"/>
          <w:szCs w:val="22"/>
        </w:rPr>
        <w:t> </w:t>
      </w:r>
      <w:r w:rsidRPr="001237A0">
        <w:rPr>
          <w:sz w:val="22"/>
          <w:szCs w:val="22"/>
        </w:rPr>
        <w:t>ng/mL)</w:t>
      </w:r>
    </w:p>
    <w:p w:rsidR="00D520BD" w:rsidP="005C6BA3" w:rsidRDefault="00D520BD" w14:paraId="0A91E3C0" w14:textId="0EE67C61">
      <w:pPr>
        <w:pStyle w:val="ListParagraph"/>
        <w:numPr>
          <w:ilvl w:val="0"/>
          <w:numId w:val="21"/>
        </w:numPr>
        <w:tabs>
          <w:tab w:val="left" w:pos="1440"/>
        </w:tabs>
        <w:ind w:left="1440" w:hanging="720"/>
        <w:rPr>
          <w:sz w:val="22"/>
          <w:szCs w:val="22"/>
        </w:rPr>
      </w:pPr>
      <w:r>
        <w:rPr>
          <w:sz w:val="22"/>
          <w:szCs w:val="22"/>
        </w:rPr>
        <w:lastRenderedPageBreak/>
        <w:t>l</w:t>
      </w:r>
      <w:r w:rsidRPr="001237A0">
        <w:rPr>
          <w:sz w:val="22"/>
          <w:szCs w:val="22"/>
        </w:rPr>
        <w:t>ower</w:t>
      </w:r>
      <w:r w:rsidR="00DA6C50">
        <w:rPr>
          <w:sz w:val="22"/>
          <w:szCs w:val="22"/>
        </w:rPr>
        <w:t>s</w:t>
      </w:r>
      <w:r w:rsidRPr="001237A0">
        <w:rPr>
          <w:sz w:val="22"/>
          <w:szCs w:val="22"/>
        </w:rPr>
        <w:t xml:space="preserve"> the initial drug testing cutoff level for amphetamines by 50</w:t>
      </w:r>
      <w:r>
        <w:rPr>
          <w:sz w:val="22"/>
          <w:szCs w:val="22"/>
        </w:rPr>
        <w:t> </w:t>
      </w:r>
      <w:r w:rsidRPr="001237A0">
        <w:rPr>
          <w:sz w:val="22"/>
          <w:szCs w:val="22"/>
        </w:rPr>
        <w:t>percent (from 1</w:t>
      </w:r>
      <w:r w:rsidR="00646A79">
        <w:rPr>
          <w:sz w:val="22"/>
          <w:szCs w:val="22"/>
        </w:rPr>
        <w:t>,</w:t>
      </w:r>
      <w:r w:rsidRPr="001237A0">
        <w:rPr>
          <w:sz w:val="22"/>
          <w:szCs w:val="22"/>
        </w:rPr>
        <w:t>000</w:t>
      </w:r>
      <w:r>
        <w:rPr>
          <w:sz w:val="22"/>
          <w:szCs w:val="22"/>
        </w:rPr>
        <w:t> </w:t>
      </w:r>
      <w:r w:rsidRPr="001237A0">
        <w:rPr>
          <w:sz w:val="22"/>
          <w:szCs w:val="22"/>
        </w:rPr>
        <w:t>ng/mL to 500</w:t>
      </w:r>
      <w:r>
        <w:rPr>
          <w:sz w:val="22"/>
          <w:szCs w:val="22"/>
        </w:rPr>
        <w:t> </w:t>
      </w:r>
      <w:r w:rsidRPr="001237A0">
        <w:rPr>
          <w:sz w:val="22"/>
          <w:szCs w:val="22"/>
        </w:rPr>
        <w:t>ng/mL)</w:t>
      </w:r>
    </w:p>
    <w:p w:rsidRPr="00FB137C" w:rsidR="00D520BD" w:rsidP="00D520BD" w:rsidRDefault="00D520BD" w14:paraId="19DAE331" w14:textId="77777777">
      <w:pPr>
        <w:pStyle w:val="ListParagraph"/>
        <w:tabs>
          <w:tab w:val="left" w:pos="1440"/>
        </w:tabs>
        <w:ind w:left="1440" w:hanging="720"/>
        <w:rPr>
          <w:sz w:val="22"/>
          <w:szCs w:val="22"/>
        </w:rPr>
      </w:pPr>
    </w:p>
    <w:p w:rsidR="00D520BD" w:rsidP="005C6BA3" w:rsidRDefault="00D520BD" w14:paraId="7D4A893E" w14:textId="3B3E5620">
      <w:pPr>
        <w:pStyle w:val="ListParagraph"/>
        <w:numPr>
          <w:ilvl w:val="0"/>
          <w:numId w:val="21"/>
        </w:numPr>
        <w:tabs>
          <w:tab w:val="left" w:pos="1440"/>
        </w:tabs>
        <w:ind w:left="1440" w:hanging="720"/>
        <w:rPr>
          <w:sz w:val="22"/>
          <w:szCs w:val="22"/>
        </w:rPr>
      </w:pPr>
      <w:r>
        <w:rPr>
          <w:sz w:val="22"/>
          <w:szCs w:val="22"/>
        </w:rPr>
        <w:t>l</w:t>
      </w:r>
      <w:r w:rsidRPr="001237A0">
        <w:rPr>
          <w:sz w:val="22"/>
          <w:szCs w:val="22"/>
        </w:rPr>
        <w:t>ower</w:t>
      </w:r>
      <w:r w:rsidR="00DA6C50">
        <w:rPr>
          <w:sz w:val="22"/>
          <w:szCs w:val="22"/>
        </w:rPr>
        <w:t>s</w:t>
      </w:r>
      <w:r w:rsidRPr="001237A0">
        <w:rPr>
          <w:sz w:val="22"/>
          <w:szCs w:val="22"/>
        </w:rPr>
        <w:t xml:space="preserve"> the confirmatory drug testing cutoff level for cocaine metabolites by 33</w:t>
      </w:r>
      <w:r>
        <w:rPr>
          <w:sz w:val="22"/>
          <w:szCs w:val="22"/>
        </w:rPr>
        <w:t> </w:t>
      </w:r>
      <w:r w:rsidRPr="001237A0">
        <w:rPr>
          <w:sz w:val="22"/>
          <w:szCs w:val="22"/>
        </w:rPr>
        <w:t>percent (from 150</w:t>
      </w:r>
      <w:r>
        <w:rPr>
          <w:sz w:val="22"/>
          <w:szCs w:val="22"/>
        </w:rPr>
        <w:t> </w:t>
      </w:r>
      <w:r w:rsidRPr="001237A0">
        <w:rPr>
          <w:sz w:val="22"/>
          <w:szCs w:val="22"/>
        </w:rPr>
        <w:t>ng/mL to 100</w:t>
      </w:r>
      <w:r>
        <w:rPr>
          <w:sz w:val="22"/>
          <w:szCs w:val="22"/>
        </w:rPr>
        <w:t> </w:t>
      </w:r>
      <w:r w:rsidRPr="001237A0">
        <w:rPr>
          <w:sz w:val="22"/>
          <w:szCs w:val="22"/>
        </w:rPr>
        <w:t>ng/mL)</w:t>
      </w:r>
    </w:p>
    <w:p w:rsidRPr="001237A0" w:rsidR="00D520BD" w:rsidP="00D520BD" w:rsidRDefault="00D520BD" w14:paraId="2F800370" w14:textId="77777777">
      <w:pPr>
        <w:pStyle w:val="ListParagraph"/>
        <w:tabs>
          <w:tab w:val="left" w:pos="1440"/>
        </w:tabs>
        <w:ind w:left="1440" w:hanging="720"/>
        <w:rPr>
          <w:sz w:val="22"/>
          <w:szCs w:val="22"/>
        </w:rPr>
      </w:pPr>
    </w:p>
    <w:p w:rsidRPr="001237A0" w:rsidR="00D520BD" w:rsidP="005C6BA3" w:rsidRDefault="00D520BD" w14:paraId="5D10B986" w14:textId="617AEF00">
      <w:pPr>
        <w:pStyle w:val="ListParagraph"/>
        <w:numPr>
          <w:ilvl w:val="0"/>
          <w:numId w:val="21"/>
        </w:numPr>
        <w:tabs>
          <w:tab w:val="left" w:pos="1440"/>
        </w:tabs>
        <w:ind w:left="1440" w:hanging="720"/>
        <w:rPr>
          <w:sz w:val="22"/>
          <w:szCs w:val="22"/>
        </w:rPr>
      </w:pPr>
      <w:r>
        <w:rPr>
          <w:sz w:val="22"/>
          <w:szCs w:val="22"/>
        </w:rPr>
        <w:t>l</w:t>
      </w:r>
      <w:r w:rsidRPr="001237A0">
        <w:rPr>
          <w:sz w:val="22"/>
          <w:szCs w:val="22"/>
        </w:rPr>
        <w:t>ower</w:t>
      </w:r>
      <w:r w:rsidR="00DA6C50">
        <w:rPr>
          <w:sz w:val="22"/>
          <w:szCs w:val="22"/>
        </w:rPr>
        <w:t>s</w:t>
      </w:r>
      <w:r w:rsidRPr="001237A0">
        <w:rPr>
          <w:sz w:val="22"/>
          <w:szCs w:val="22"/>
        </w:rPr>
        <w:t xml:space="preserve"> the confirmatory drug testing cutoff levels for amphetamine and methamphetamine by 50</w:t>
      </w:r>
      <w:r>
        <w:rPr>
          <w:sz w:val="22"/>
          <w:szCs w:val="22"/>
        </w:rPr>
        <w:t> </w:t>
      </w:r>
      <w:r w:rsidRPr="001237A0">
        <w:rPr>
          <w:sz w:val="22"/>
          <w:szCs w:val="22"/>
        </w:rPr>
        <w:t>percent (from 500</w:t>
      </w:r>
      <w:r>
        <w:rPr>
          <w:sz w:val="22"/>
          <w:szCs w:val="22"/>
        </w:rPr>
        <w:t> </w:t>
      </w:r>
      <w:r w:rsidRPr="001237A0">
        <w:rPr>
          <w:sz w:val="22"/>
          <w:szCs w:val="22"/>
        </w:rPr>
        <w:t>ng/mL to 250</w:t>
      </w:r>
      <w:r>
        <w:rPr>
          <w:sz w:val="22"/>
          <w:szCs w:val="22"/>
        </w:rPr>
        <w:t> </w:t>
      </w:r>
      <w:r w:rsidRPr="001237A0">
        <w:rPr>
          <w:sz w:val="22"/>
          <w:szCs w:val="22"/>
        </w:rPr>
        <w:t>ng/mL)</w:t>
      </w:r>
    </w:p>
    <w:p w:rsidRPr="005A5966" w:rsidR="00D520BD" w:rsidP="00D520BD" w:rsidRDefault="00D520BD" w14:paraId="65AA41B6" w14:textId="77777777">
      <w:pPr>
        <w:tabs>
          <w:tab w:val="left" w:pos="720"/>
        </w:tabs>
        <w:ind w:left="360"/>
        <w:rPr>
          <w:sz w:val="22"/>
          <w:szCs w:val="22"/>
        </w:rPr>
      </w:pPr>
    </w:p>
    <w:p w:rsidRPr="005A5966" w:rsidR="00D520BD" w:rsidP="00D520BD" w:rsidRDefault="00D520BD" w14:paraId="4FA7E2DF" w14:textId="38FE40EA">
      <w:pPr>
        <w:ind w:left="720"/>
        <w:rPr>
          <w:sz w:val="22"/>
          <w:szCs w:val="22"/>
        </w:rPr>
      </w:pPr>
      <w:r>
        <w:rPr>
          <w:sz w:val="22"/>
          <w:szCs w:val="22"/>
        </w:rPr>
        <w:t>Significantly l</w:t>
      </w:r>
      <w:r w:rsidRPr="005A5966">
        <w:rPr>
          <w:sz w:val="22"/>
          <w:szCs w:val="22"/>
        </w:rPr>
        <w:t xml:space="preserve">owering the </w:t>
      </w:r>
      <w:r>
        <w:rPr>
          <w:sz w:val="22"/>
          <w:szCs w:val="22"/>
        </w:rPr>
        <w:t xml:space="preserve">drug </w:t>
      </w:r>
      <w:r w:rsidRPr="005A5966">
        <w:rPr>
          <w:sz w:val="22"/>
          <w:szCs w:val="22"/>
        </w:rPr>
        <w:t>testing cutoff levels for amphetamines and cocaine metabolites increase</w:t>
      </w:r>
      <w:r w:rsidR="00B15733">
        <w:rPr>
          <w:sz w:val="22"/>
          <w:szCs w:val="22"/>
        </w:rPr>
        <w:t>s</w:t>
      </w:r>
      <w:r w:rsidRPr="005A5966">
        <w:rPr>
          <w:sz w:val="22"/>
          <w:szCs w:val="22"/>
        </w:rPr>
        <w:t xml:space="preserve"> the timeframe in which these drugs </w:t>
      </w:r>
      <w:r w:rsidR="008015F7">
        <w:rPr>
          <w:sz w:val="22"/>
          <w:szCs w:val="22"/>
        </w:rPr>
        <w:t>c</w:t>
      </w:r>
      <w:r w:rsidR="006F03E1">
        <w:rPr>
          <w:sz w:val="22"/>
          <w:szCs w:val="22"/>
        </w:rPr>
        <w:t>an</w:t>
      </w:r>
      <w:r>
        <w:rPr>
          <w:sz w:val="22"/>
          <w:szCs w:val="22"/>
        </w:rPr>
        <w:t xml:space="preserve"> </w:t>
      </w:r>
      <w:r w:rsidRPr="005A5966">
        <w:rPr>
          <w:sz w:val="22"/>
          <w:szCs w:val="22"/>
        </w:rPr>
        <w:t>be identified after use (i.e.</w:t>
      </w:r>
      <w:r w:rsidR="00646A79">
        <w:rPr>
          <w:sz w:val="22"/>
          <w:szCs w:val="22"/>
        </w:rPr>
        <w:t>,</w:t>
      </w:r>
      <w:r>
        <w:rPr>
          <w:sz w:val="22"/>
          <w:szCs w:val="22"/>
        </w:rPr>
        <w:t> </w:t>
      </w:r>
      <w:r w:rsidRPr="005A5966">
        <w:rPr>
          <w:sz w:val="22"/>
          <w:szCs w:val="22"/>
        </w:rPr>
        <w:t>the window of detection).  Increasing the window of detection increase</w:t>
      </w:r>
      <w:r w:rsidR="00A736D8">
        <w:rPr>
          <w:sz w:val="22"/>
          <w:szCs w:val="22"/>
        </w:rPr>
        <w:t xml:space="preserve">s </w:t>
      </w:r>
      <w:r w:rsidRPr="005A5966">
        <w:rPr>
          <w:sz w:val="22"/>
          <w:szCs w:val="22"/>
        </w:rPr>
        <w:t xml:space="preserve">the number of </w:t>
      </w:r>
      <w:r>
        <w:rPr>
          <w:sz w:val="22"/>
          <w:szCs w:val="22"/>
        </w:rPr>
        <w:t xml:space="preserve">individuals identified with </w:t>
      </w:r>
      <w:r w:rsidRPr="005A5966">
        <w:rPr>
          <w:sz w:val="22"/>
          <w:szCs w:val="22"/>
        </w:rPr>
        <w:t xml:space="preserve">urine specimens containing amphetamines </w:t>
      </w:r>
      <w:r>
        <w:rPr>
          <w:sz w:val="22"/>
          <w:szCs w:val="22"/>
        </w:rPr>
        <w:t>or</w:t>
      </w:r>
      <w:r w:rsidRPr="005A5966">
        <w:rPr>
          <w:sz w:val="22"/>
          <w:szCs w:val="22"/>
        </w:rPr>
        <w:t xml:space="preserve"> cocaine metabolites</w:t>
      </w:r>
      <w:r w:rsidR="00646A79">
        <w:rPr>
          <w:sz w:val="22"/>
          <w:szCs w:val="22"/>
        </w:rPr>
        <w:t>,</w:t>
      </w:r>
      <w:r>
        <w:rPr>
          <w:sz w:val="22"/>
          <w:szCs w:val="22"/>
        </w:rPr>
        <w:t xml:space="preserve"> or both.  Increased detection of amphetamines and cocaine use </w:t>
      </w:r>
      <w:r w:rsidRPr="005A5966">
        <w:rPr>
          <w:sz w:val="22"/>
          <w:szCs w:val="22"/>
        </w:rPr>
        <w:t>provide</w:t>
      </w:r>
      <w:r w:rsidR="006F03E1">
        <w:rPr>
          <w:sz w:val="22"/>
          <w:szCs w:val="22"/>
        </w:rPr>
        <w:t>s</w:t>
      </w:r>
      <w:r w:rsidRPr="005A5966">
        <w:rPr>
          <w:sz w:val="22"/>
          <w:szCs w:val="22"/>
        </w:rPr>
        <w:t xml:space="preserve"> a higher degree of assurance that persons</w:t>
      </w:r>
      <w:r>
        <w:rPr>
          <w:sz w:val="22"/>
          <w:szCs w:val="22"/>
        </w:rPr>
        <w:t xml:space="preserve"> subject to 10 CFR Part 26 testing are not </w:t>
      </w:r>
      <w:r w:rsidRPr="005A5966">
        <w:rPr>
          <w:sz w:val="22"/>
          <w:szCs w:val="22"/>
        </w:rPr>
        <w:t>using these drugs</w:t>
      </w:r>
      <w:r>
        <w:rPr>
          <w:sz w:val="22"/>
          <w:szCs w:val="22"/>
        </w:rPr>
        <w:t xml:space="preserve"> and contribute</w:t>
      </w:r>
      <w:r w:rsidR="00A736D8">
        <w:rPr>
          <w:sz w:val="22"/>
          <w:szCs w:val="22"/>
        </w:rPr>
        <w:t>s</w:t>
      </w:r>
      <w:r>
        <w:rPr>
          <w:sz w:val="22"/>
          <w:szCs w:val="22"/>
        </w:rPr>
        <w:t xml:space="preserve"> to a licensee determination of whether each individual is fit for duty and trustworthy and reliable</w:t>
      </w:r>
      <w:r w:rsidRPr="00041C0C">
        <w:rPr>
          <w:sz w:val="22"/>
          <w:szCs w:val="22"/>
        </w:rPr>
        <w:t>.</w:t>
      </w:r>
      <w:r>
        <w:rPr>
          <w:rStyle w:val="FootnoteReference"/>
          <w:sz w:val="22"/>
          <w:szCs w:val="22"/>
        </w:rPr>
        <w:footnoteReference w:id="20"/>
      </w:r>
    </w:p>
    <w:p w:rsidRPr="005A5966" w:rsidR="00D520BD" w:rsidP="00D520BD" w:rsidRDefault="00D520BD" w14:paraId="76B7533C" w14:textId="77777777">
      <w:pPr>
        <w:numPr>
          <w:ilvl w:val="12"/>
          <w:numId w:val="0"/>
        </w:numPr>
        <w:ind w:left="810" w:hanging="450"/>
        <w:rPr>
          <w:sz w:val="22"/>
          <w:szCs w:val="22"/>
        </w:rPr>
      </w:pPr>
    </w:p>
    <w:p w:rsidRPr="005A5966" w:rsidR="00D520BD" w:rsidP="005C6BA3" w:rsidRDefault="00D520BD" w14:paraId="720116E9" w14:textId="471F17B1">
      <w:pPr>
        <w:pStyle w:val="ListParagraph"/>
        <w:keepNext/>
        <w:numPr>
          <w:ilvl w:val="0"/>
          <w:numId w:val="4"/>
        </w:numPr>
        <w:tabs>
          <w:tab w:val="left" w:pos="720"/>
        </w:tabs>
        <w:ind w:left="720" w:hanging="720"/>
        <w:rPr>
          <w:i/>
          <w:sz w:val="22"/>
          <w:szCs w:val="22"/>
        </w:rPr>
      </w:pPr>
      <w:r w:rsidRPr="005A5966">
        <w:rPr>
          <w:i/>
          <w:sz w:val="22"/>
          <w:szCs w:val="22"/>
        </w:rPr>
        <w:t xml:space="preserve">Expanded initial drug testing panel to include 6-AM and revised confirmatory </w:t>
      </w:r>
      <w:r>
        <w:rPr>
          <w:i/>
          <w:sz w:val="22"/>
          <w:szCs w:val="22"/>
        </w:rPr>
        <w:t xml:space="preserve">drug </w:t>
      </w:r>
      <w:r w:rsidRPr="005A5966">
        <w:rPr>
          <w:i/>
          <w:sz w:val="22"/>
          <w:szCs w:val="22"/>
        </w:rPr>
        <w:t>testing cutoff level for 6</w:t>
      </w:r>
      <w:r w:rsidRPr="005A5966">
        <w:rPr>
          <w:i/>
          <w:sz w:val="22"/>
          <w:szCs w:val="22"/>
        </w:rPr>
        <w:noBreakHyphen/>
        <w:t>AM.</w:t>
      </w:r>
    </w:p>
    <w:p w:rsidRPr="005A5966" w:rsidR="00D520BD" w:rsidP="003141C3" w:rsidRDefault="00D520BD" w14:paraId="2ED8DB10" w14:textId="77777777">
      <w:pPr>
        <w:numPr>
          <w:ilvl w:val="12"/>
          <w:numId w:val="0"/>
        </w:numPr>
        <w:ind w:left="806" w:hanging="446"/>
        <w:rPr>
          <w:sz w:val="22"/>
          <w:szCs w:val="22"/>
        </w:rPr>
      </w:pPr>
    </w:p>
    <w:p w:rsidRPr="005A5966" w:rsidR="00D520BD" w:rsidP="00D520BD" w:rsidRDefault="00D520BD" w14:paraId="5058B660" w14:textId="57A2AD85">
      <w:pPr>
        <w:tabs>
          <w:tab w:val="left" w:pos="720"/>
        </w:tabs>
        <w:ind w:left="720"/>
        <w:rPr>
          <w:sz w:val="22"/>
          <w:szCs w:val="22"/>
        </w:rPr>
      </w:pPr>
      <w:r w:rsidRPr="005A5966">
        <w:rPr>
          <w:sz w:val="22"/>
          <w:szCs w:val="22"/>
        </w:rPr>
        <w:t xml:space="preserve">The </w:t>
      </w:r>
      <w:r w:rsidR="00876F41">
        <w:rPr>
          <w:sz w:val="22"/>
          <w:szCs w:val="22"/>
        </w:rPr>
        <w:t xml:space="preserve">final </w:t>
      </w:r>
      <w:r w:rsidRPr="005A5966">
        <w:rPr>
          <w:sz w:val="22"/>
          <w:szCs w:val="22"/>
        </w:rPr>
        <w:t>rule add</w:t>
      </w:r>
      <w:r w:rsidR="00A446DA">
        <w:rPr>
          <w:sz w:val="22"/>
          <w:szCs w:val="22"/>
        </w:rPr>
        <w:t>s</w:t>
      </w:r>
      <w:r w:rsidRPr="005A5966">
        <w:rPr>
          <w:sz w:val="22"/>
          <w:szCs w:val="22"/>
        </w:rPr>
        <w:t xml:space="preserve"> testing for 6-AM to the initial drug testing panel in </w:t>
      </w:r>
      <w:r>
        <w:rPr>
          <w:sz w:val="22"/>
          <w:szCs w:val="22"/>
        </w:rPr>
        <w:t>10 CFR </w:t>
      </w:r>
      <w:r w:rsidRPr="005A5966">
        <w:rPr>
          <w:sz w:val="22"/>
          <w:szCs w:val="22"/>
        </w:rPr>
        <w:t xml:space="preserve">26.31(d)(1) and </w:t>
      </w:r>
      <w:r>
        <w:rPr>
          <w:sz w:val="22"/>
          <w:szCs w:val="22"/>
        </w:rPr>
        <w:t>10 CFR </w:t>
      </w:r>
      <w:r w:rsidRPr="005A5966">
        <w:rPr>
          <w:sz w:val="22"/>
          <w:szCs w:val="22"/>
        </w:rPr>
        <w:t>26.405(d)</w:t>
      </w:r>
      <w:r w:rsidR="00D6126B">
        <w:rPr>
          <w:sz w:val="22"/>
          <w:szCs w:val="22"/>
        </w:rPr>
        <w:t>.</w:t>
      </w:r>
      <w:r w:rsidRPr="005A5966">
        <w:rPr>
          <w:sz w:val="22"/>
          <w:szCs w:val="22"/>
        </w:rPr>
        <w:t xml:space="preserve"> </w:t>
      </w:r>
      <w:r w:rsidR="00B97A4C">
        <w:rPr>
          <w:sz w:val="22"/>
          <w:szCs w:val="22"/>
        </w:rPr>
        <w:t xml:space="preserve"> </w:t>
      </w:r>
      <w:r w:rsidR="00D6126B">
        <w:rPr>
          <w:sz w:val="22"/>
          <w:szCs w:val="22"/>
        </w:rPr>
        <w:t xml:space="preserve">It also </w:t>
      </w:r>
      <w:r w:rsidRPr="005A5966">
        <w:rPr>
          <w:sz w:val="22"/>
          <w:szCs w:val="22"/>
        </w:rPr>
        <w:t>make</w:t>
      </w:r>
      <w:r w:rsidR="00A446DA">
        <w:rPr>
          <w:sz w:val="22"/>
          <w:szCs w:val="22"/>
        </w:rPr>
        <w:t>s</w:t>
      </w:r>
      <w:r w:rsidRPr="005A5966">
        <w:rPr>
          <w:sz w:val="22"/>
          <w:szCs w:val="22"/>
        </w:rPr>
        <w:t xml:space="preserve"> conforming changes to the substances for initial testing listed in </w:t>
      </w:r>
      <w:r>
        <w:rPr>
          <w:sz w:val="22"/>
          <w:szCs w:val="22"/>
        </w:rPr>
        <w:t>10 CFR </w:t>
      </w:r>
      <w:r w:rsidRPr="005A5966">
        <w:rPr>
          <w:sz w:val="22"/>
          <w:szCs w:val="22"/>
        </w:rPr>
        <w:t xml:space="preserve">26.133 and </w:t>
      </w:r>
      <w:r>
        <w:rPr>
          <w:sz w:val="22"/>
          <w:szCs w:val="22"/>
        </w:rPr>
        <w:t>10 CFR </w:t>
      </w:r>
      <w:r w:rsidRPr="005A5966">
        <w:rPr>
          <w:sz w:val="22"/>
          <w:szCs w:val="22"/>
        </w:rPr>
        <w:t>26.163(a)(1)</w:t>
      </w:r>
      <w:r w:rsidR="00B97A4C">
        <w:rPr>
          <w:sz w:val="22"/>
          <w:szCs w:val="22"/>
        </w:rPr>
        <w:t>,</w:t>
      </w:r>
      <w:r w:rsidRPr="005A5966">
        <w:rPr>
          <w:sz w:val="22"/>
          <w:szCs w:val="22"/>
        </w:rPr>
        <w:t xml:space="preserve"> and for confirmatory </w:t>
      </w:r>
      <w:r>
        <w:rPr>
          <w:sz w:val="22"/>
          <w:szCs w:val="22"/>
        </w:rPr>
        <w:t xml:space="preserve">drug </w:t>
      </w:r>
      <w:r w:rsidRPr="005A5966">
        <w:rPr>
          <w:sz w:val="22"/>
          <w:szCs w:val="22"/>
        </w:rPr>
        <w:t xml:space="preserve">testing listed in </w:t>
      </w:r>
      <w:r>
        <w:rPr>
          <w:sz w:val="22"/>
          <w:szCs w:val="22"/>
        </w:rPr>
        <w:t>10 CFR </w:t>
      </w:r>
      <w:r w:rsidRPr="005A5966">
        <w:rPr>
          <w:sz w:val="22"/>
          <w:szCs w:val="22"/>
        </w:rPr>
        <w:t xml:space="preserve">26.163(b)(1).  These changes ensure that </w:t>
      </w:r>
      <w:r>
        <w:rPr>
          <w:sz w:val="22"/>
          <w:szCs w:val="22"/>
        </w:rPr>
        <w:t>10 CFR Part 26</w:t>
      </w:r>
      <w:r w:rsidRPr="005A5966">
        <w:rPr>
          <w:sz w:val="22"/>
          <w:szCs w:val="22"/>
        </w:rPr>
        <w:t xml:space="preserve"> is consistent with Section</w:t>
      </w:r>
      <w:r>
        <w:rPr>
          <w:sz w:val="22"/>
          <w:szCs w:val="22"/>
        </w:rPr>
        <w:t> </w:t>
      </w:r>
      <w:r w:rsidRPr="005A5966">
        <w:rPr>
          <w:sz w:val="22"/>
          <w:szCs w:val="22"/>
        </w:rPr>
        <w:t xml:space="preserve">3.4 of the </w:t>
      </w:r>
      <w:r>
        <w:rPr>
          <w:sz w:val="22"/>
          <w:szCs w:val="22"/>
        </w:rPr>
        <w:t xml:space="preserve">2008 </w:t>
      </w:r>
      <w:r w:rsidR="009234AB">
        <w:rPr>
          <w:sz w:val="22"/>
          <w:szCs w:val="22"/>
        </w:rPr>
        <w:t xml:space="preserve">and 2017 </w:t>
      </w:r>
      <w:r w:rsidRPr="005A5966">
        <w:rPr>
          <w:sz w:val="22"/>
          <w:szCs w:val="22"/>
        </w:rPr>
        <w:t>HHS Guidelines.</w:t>
      </w:r>
    </w:p>
    <w:p w:rsidRPr="005A5966" w:rsidR="00D520BD" w:rsidP="003141C3" w:rsidRDefault="00D520BD" w14:paraId="7659583D" w14:textId="77777777">
      <w:pPr>
        <w:pStyle w:val="ListParagraph"/>
        <w:tabs>
          <w:tab w:val="left" w:pos="1440"/>
        </w:tabs>
        <w:ind w:left="1440" w:hanging="720"/>
        <w:rPr>
          <w:sz w:val="22"/>
          <w:szCs w:val="22"/>
        </w:rPr>
      </w:pPr>
    </w:p>
    <w:p w:rsidRPr="005A5966" w:rsidR="00D520BD" w:rsidP="003141C3" w:rsidRDefault="00D520BD" w14:paraId="5C9B146B" w14:textId="2BC84E85">
      <w:pPr>
        <w:numPr>
          <w:ilvl w:val="12"/>
          <w:numId w:val="0"/>
        </w:numPr>
        <w:ind w:left="720"/>
        <w:rPr>
          <w:sz w:val="22"/>
          <w:szCs w:val="22"/>
        </w:rPr>
      </w:pPr>
      <w:r w:rsidRPr="005A5966">
        <w:rPr>
          <w:sz w:val="22"/>
          <w:szCs w:val="22"/>
        </w:rPr>
        <w:t xml:space="preserve">The </w:t>
      </w:r>
      <w:r w:rsidR="00876F41">
        <w:rPr>
          <w:sz w:val="22"/>
          <w:szCs w:val="22"/>
        </w:rPr>
        <w:t xml:space="preserve">final </w:t>
      </w:r>
      <w:r>
        <w:rPr>
          <w:sz w:val="22"/>
          <w:szCs w:val="22"/>
        </w:rPr>
        <w:t>rule revise</w:t>
      </w:r>
      <w:r w:rsidR="00F25A0B">
        <w:rPr>
          <w:sz w:val="22"/>
          <w:szCs w:val="22"/>
        </w:rPr>
        <w:t>s</w:t>
      </w:r>
      <w:r>
        <w:rPr>
          <w:sz w:val="22"/>
          <w:szCs w:val="22"/>
        </w:rPr>
        <w:t xml:space="preserve"> the </w:t>
      </w:r>
      <w:r w:rsidRPr="005A5966">
        <w:rPr>
          <w:sz w:val="22"/>
          <w:szCs w:val="22"/>
        </w:rPr>
        <w:t>list of substances to be tested as follows:</w:t>
      </w:r>
    </w:p>
    <w:p w:rsidRPr="005A5966" w:rsidR="00D520BD" w:rsidP="003141C3" w:rsidRDefault="00D520BD" w14:paraId="446B3B3E" w14:textId="77777777">
      <w:pPr>
        <w:pStyle w:val="ListParagraph"/>
        <w:tabs>
          <w:tab w:val="left" w:pos="1440"/>
        </w:tabs>
        <w:ind w:left="1440" w:hanging="720"/>
        <w:rPr>
          <w:sz w:val="22"/>
          <w:szCs w:val="22"/>
        </w:rPr>
      </w:pPr>
    </w:p>
    <w:p w:rsidR="00D520BD" w:rsidP="005C6BA3" w:rsidRDefault="00F35C3B" w14:paraId="60CC825A" w14:textId="5C3307B4">
      <w:pPr>
        <w:pStyle w:val="ListParagraph"/>
        <w:numPr>
          <w:ilvl w:val="0"/>
          <w:numId w:val="21"/>
        </w:numPr>
        <w:tabs>
          <w:tab w:val="left" w:pos="1440"/>
        </w:tabs>
        <w:ind w:left="1440" w:hanging="720"/>
        <w:rPr>
          <w:sz w:val="22"/>
          <w:szCs w:val="22"/>
        </w:rPr>
      </w:pPr>
      <w:r>
        <w:rPr>
          <w:sz w:val="22"/>
          <w:szCs w:val="22"/>
        </w:rPr>
        <w:t>i</w:t>
      </w:r>
      <w:r w:rsidRPr="007A6D18" w:rsidR="00D520BD">
        <w:rPr>
          <w:sz w:val="22"/>
          <w:szCs w:val="22"/>
        </w:rPr>
        <w:t>nclude</w:t>
      </w:r>
      <w:r w:rsidR="00F25A0B">
        <w:rPr>
          <w:sz w:val="22"/>
          <w:szCs w:val="22"/>
        </w:rPr>
        <w:t>s</w:t>
      </w:r>
      <w:r w:rsidRPr="007A6D18" w:rsidR="00D520BD">
        <w:rPr>
          <w:sz w:val="22"/>
          <w:szCs w:val="22"/>
        </w:rPr>
        <w:t xml:space="preserve"> initial drug testing for 6-AM </w:t>
      </w:r>
      <w:r w:rsidR="00D520BD">
        <w:rPr>
          <w:sz w:val="22"/>
          <w:szCs w:val="22"/>
        </w:rPr>
        <w:t xml:space="preserve">with a 10-ng/mL </w:t>
      </w:r>
      <w:r w:rsidRPr="007A6D18" w:rsidR="00D520BD">
        <w:rPr>
          <w:sz w:val="22"/>
          <w:szCs w:val="22"/>
        </w:rPr>
        <w:t>testing cutoff level</w:t>
      </w:r>
    </w:p>
    <w:p w:rsidRPr="007A6D18" w:rsidR="00D520BD" w:rsidP="00D520BD" w:rsidRDefault="00D520BD" w14:paraId="20B1A5D1" w14:textId="77777777">
      <w:pPr>
        <w:pStyle w:val="ListParagraph"/>
        <w:tabs>
          <w:tab w:val="left" w:pos="1440"/>
        </w:tabs>
        <w:ind w:left="1440" w:hanging="720"/>
        <w:rPr>
          <w:sz w:val="22"/>
          <w:szCs w:val="22"/>
        </w:rPr>
      </w:pPr>
    </w:p>
    <w:p w:rsidRPr="005A5966" w:rsidR="00D520BD" w:rsidP="005C6BA3" w:rsidRDefault="00F35C3B" w14:paraId="5A3304B6" w14:textId="14E93F09">
      <w:pPr>
        <w:pStyle w:val="ListParagraph"/>
        <w:numPr>
          <w:ilvl w:val="0"/>
          <w:numId w:val="21"/>
        </w:numPr>
        <w:tabs>
          <w:tab w:val="left" w:pos="1440"/>
        </w:tabs>
        <w:ind w:left="1440" w:hanging="720"/>
        <w:rPr>
          <w:sz w:val="22"/>
          <w:szCs w:val="22"/>
        </w:rPr>
      </w:pPr>
      <w:r>
        <w:rPr>
          <w:sz w:val="22"/>
          <w:szCs w:val="22"/>
        </w:rPr>
        <w:t>e</w:t>
      </w:r>
      <w:r w:rsidR="00D520BD">
        <w:rPr>
          <w:sz w:val="22"/>
          <w:szCs w:val="22"/>
        </w:rPr>
        <w:t>liminate</w:t>
      </w:r>
      <w:r w:rsidR="00F25A0B">
        <w:rPr>
          <w:sz w:val="22"/>
          <w:szCs w:val="22"/>
        </w:rPr>
        <w:t>s</w:t>
      </w:r>
      <w:r w:rsidR="00D520BD">
        <w:rPr>
          <w:sz w:val="22"/>
          <w:szCs w:val="22"/>
        </w:rPr>
        <w:t xml:space="preserve"> </w:t>
      </w:r>
      <w:r w:rsidRPr="005A5966" w:rsidR="00D520BD">
        <w:rPr>
          <w:sz w:val="22"/>
          <w:szCs w:val="22"/>
        </w:rPr>
        <w:t xml:space="preserve">the requirement </w:t>
      </w:r>
      <w:r w:rsidR="00D520BD">
        <w:rPr>
          <w:sz w:val="22"/>
          <w:szCs w:val="22"/>
        </w:rPr>
        <w:t>to conduct</w:t>
      </w:r>
      <w:r w:rsidRPr="005A5966" w:rsidR="00D520BD">
        <w:rPr>
          <w:sz w:val="22"/>
          <w:szCs w:val="22"/>
        </w:rPr>
        <w:t xml:space="preserve"> confirmatory </w:t>
      </w:r>
      <w:r w:rsidR="00D520BD">
        <w:rPr>
          <w:sz w:val="22"/>
          <w:szCs w:val="22"/>
        </w:rPr>
        <w:t xml:space="preserve">drug </w:t>
      </w:r>
      <w:r w:rsidRPr="005A5966" w:rsidR="00D520BD">
        <w:rPr>
          <w:sz w:val="22"/>
          <w:szCs w:val="22"/>
        </w:rPr>
        <w:t xml:space="preserve">testing of 6-AM only when </w:t>
      </w:r>
      <w:r w:rsidR="00D520BD">
        <w:rPr>
          <w:sz w:val="22"/>
          <w:szCs w:val="22"/>
        </w:rPr>
        <w:t xml:space="preserve">the </w:t>
      </w:r>
      <w:r w:rsidRPr="005A5966" w:rsidR="00D520BD">
        <w:rPr>
          <w:sz w:val="22"/>
          <w:szCs w:val="22"/>
        </w:rPr>
        <w:t xml:space="preserve">confirmatory </w:t>
      </w:r>
      <w:r w:rsidR="00D520BD">
        <w:rPr>
          <w:sz w:val="22"/>
          <w:szCs w:val="22"/>
        </w:rPr>
        <w:t xml:space="preserve">drug </w:t>
      </w:r>
      <w:r w:rsidRPr="005A5966" w:rsidR="00D520BD">
        <w:rPr>
          <w:sz w:val="22"/>
          <w:szCs w:val="22"/>
        </w:rPr>
        <w:t>test</w:t>
      </w:r>
      <w:r w:rsidR="00D520BD">
        <w:rPr>
          <w:sz w:val="22"/>
          <w:szCs w:val="22"/>
        </w:rPr>
        <w:t xml:space="preserve"> result for </w:t>
      </w:r>
      <w:r w:rsidRPr="005A5966" w:rsidR="00D520BD">
        <w:rPr>
          <w:sz w:val="22"/>
          <w:szCs w:val="22"/>
        </w:rPr>
        <w:t>morphine exceed</w:t>
      </w:r>
      <w:r w:rsidR="00D520BD">
        <w:rPr>
          <w:sz w:val="22"/>
          <w:szCs w:val="22"/>
        </w:rPr>
        <w:t>ed</w:t>
      </w:r>
      <w:r w:rsidRPr="005A5966" w:rsidR="00D520BD">
        <w:rPr>
          <w:sz w:val="22"/>
          <w:szCs w:val="22"/>
        </w:rPr>
        <w:t xml:space="preserve"> 2</w:t>
      </w:r>
      <w:r w:rsidR="00646A79">
        <w:rPr>
          <w:sz w:val="22"/>
          <w:szCs w:val="22"/>
        </w:rPr>
        <w:t>,</w:t>
      </w:r>
      <w:r w:rsidRPr="005A5966" w:rsidR="00D520BD">
        <w:rPr>
          <w:sz w:val="22"/>
          <w:szCs w:val="22"/>
        </w:rPr>
        <w:t>000</w:t>
      </w:r>
      <w:r w:rsidR="00D520BD">
        <w:rPr>
          <w:sz w:val="22"/>
          <w:szCs w:val="22"/>
        </w:rPr>
        <w:t> </w:t>
      </w:r>
      <w:r w:rsidRPr="005A5966" w:rsidR="00D520BD">
        <w:rPr>
          <w:sz w:val="22"/>
          <w:szCs w:val="22"/>
        </w:rPr>
        <w:t>ng/mL (</w:t>
      </w:r>
      <w:r w:rsidR="00A60727">
        <w:rPr>
          <w:sz w:val="22"/>
          <w:szCs w:val="22"/>
        </w:rPr>
        <w:t>i</w:t>
      </w:r>
      <w:r w:rsidR="00047B99">
        <w:rPr>
          <w:sz w:val="22"/>
          <w:szCs w:val="22"/>
        </w:rPr>
        <w:t>f </w:t>
      </w:r>
      <w:r w:rsidRPr="005A5966" w:rsidR="00D520BD">
        <w:rPr>
          <w:sz w:val="22"/>
          <w:szCs w:val="22"/>
        </w:rPr>
        <w:t>initial testing for 6-AM is positive</w:t>
      </w:r>
      <w:r w:rsidR="00646A79">
        <w:rPr>
          <w:sz w:val="22"/>
          <w:szCs w:val="22"/>
        </w:rPr>
        <w:t>,</w:t>
      </w:r>
      <w:r w:rsidRPr="005A5966" w:rsidR="00D520BD">
        <w:rPr>
          <w:sz w:val="22"/>
          <w:szCs w:val="22"/>
        </w:rPr>
        <w:t xml:space="preserve"> confirmatory testing for 6-AM is to proceed independent of the morphine concentration)</w:t>
      </w:r>
    </w:p>
    <w:p w:rsidRPr="005A5966" w:rsidR="00D520BD" w:rsidP="003141C3" w:rsidRDefault="00D520BD" w14:paraId="7248A663" w14:textId="77777777">
      <w:pPr>
        <w:pStyle w:val="ListParagraph"/>
        <w:tabs>
          <w:tab w:val="left" w:pos="1440"/>
        </w:tabs>
        <w:ind w:left="1440" w:hanging="720"/>
        <w:rPr>
          <w:sz w:val="22"/>
          <w:szCs w:val="22"/>
        </w:rPr>
      </w:pPr>
    </w:p>
    <w:p w:rsidRPr="005A5966" w:rsidR="00D520BD" w:rsidP="00D520BD" w:rsidRDefault="00D520BD" w14:paraId="68240FDC" w14:textId="0EDB84B9">
      <w:pPr>
        <w:numPr>
          <w:ilvl w:val="12"/>
          <w:numId w:val="0"/>
        </w:numPr>
        <w:ind w:left="720"/>
        <w:rPr>
          <w:sz w:val="22"/>
          <w:szCs w:val="22"/>
        </w:rPr>
      </w:pPr>
      <w:r>
        <w:rPr>
          <w:sz w:val="22"/>
          <w:szCs w:val="22"/>
        </w:rPr>
        <w:t>The enhanced</w:t>
      </w:r>
      <w:r w:rsidRPr="00041C0C">
        <w:rPr>
          <w:sz w:val="22"/>
          <w:szCs w:val="22"/>
        </w:rPr>
        <w:t xml:space="preserve"> testing capabili</w:t>
      </w:r>
      <w:r>
        <w:rPr>
          <w:sz w:val="22"/>
          <w:szCs w:val="22"/>
        </w:rPr>
        <w:t>ty</w:t>
      </w:r>
      <w:r w:rsidRPr="00041C0C">
        <w:rPr>
          <w:sz w:val="22"/>
          <w:szCs w:val="22"/>
        </w:rPr>
        <w:t xml:space="preserve"> enable</w:t>
      </w:r>
      <w:r w:rsidR="00D57735">
        <w:rPr>
          <w:sz w:val="22"/>
          <w:szCs w:val="22"/>
        </w:rPr>
        <w:t>s</w:t>
      </w:r>
      <w:r w:rsidRPr="00041C0C">
        <w:rPr>
          <w:sz w:val="22"/>
          <w:szCs w:val="22"/>
        </w:rPr>
        <w:t xml:space="preserve"> the identification of additional instances of heroin use (6-AM is a metabolite of heroin)</w:t>
      </w:r>
      <w:r w:rsidRPr="0094557D">
        <w:rPr>
          <w:sz w:val="22"/>
          <w:szCs w:val="22"/>
        </w:rPr>
        <w:t xml:space="preserve">. </w:t>
      </w:r>
      <w:r>
        <w:rPr>
          <w:sz w:val="22"/>
          <w:szCs w:val="22"/>
        </w:rPr>
        <w:t xml:space="preserve"> Enhancing</w:t>
      </w:r>
      <w:r w:rsidRPr="00041C0C">
        <w:rPr>
          <w:sz w:val="22"/>
          <w:szCs w:val="22"/>
        </w:rPr>
        <w:t xml:space="preserve"> the detection of 6-AM is </w:t>
      </w:r>
      <w:r>
        <w:rPr>
          <w:sz w:val="22"/>
          <w:szCs w:val="22"/>
        </w:rPr>
        <w:t xml:space="preserve">important </w:t>
      </w:r>
      <w:r w:rsidRPr="00041C0C">
        <w:rPr>
          <w:sz w:val="22"/>
          <w:szCs w:val="22"/>
        </w:rPr>
        <w:t>given the increas</w:t>
      </w:r>
      <w:r w:rsidR="00F25A0B">
        <w:rPr>
          <w:sz w:val="22"/>
          <w:szCs w:val="22"/>
        </w:rPr>
        <w:t>ed</w:t>
      </w:r>
      <w:r w:rsidRPr="00041C0C">
        <w:rPr>
          <w:sz w:val="22"/>
          <w:szCs w:val="22"/>
        </w:rPr>
        <w:t xml:space="preserve"> prevalence of heroin use among individuals performing safety-sensitive duties in other sectors of the economy</w:t>
      </w:r>
      <w:r w:rsidRPr="0094557D">
        <w:rPr>
          <w:sz w:val="22"/>
          <w:szCs w:val="22"/>
        </w:rPr>
        <w:t xml:space="preserve"> and the adverse effect of the</w:t>
      </w:r>
      <w:r>
        <w:rPr>
          <w:sz w:val="22"/>
          <w:szCs w:val="22"/>
        </w:rPr>
        <w:t>se illegal</w:t>
      </w:r>
      <w:r w:rsidRPr="0094557D">
        <w:rPr>
          <w:sz w:val="22"/>
          <w:szCs w:val="22"/>
        </w:rPr>
        <w:t xml:space="preserve"> drug</w:t>
      </w:r>
      <w:r>
        <w:rPr>
          <w:sz w:val="22"/>
          <w:szCs w:val="22"/>
        </w:rPr>
        <w:t>s</w:t>
      </w:r>
      <w:r w:rsidRPr="0094557D">
        <w:rPr>
          <w:sz w:val="22"/>
          <w:szCs w:val="22"/>
        </w:rPr>
        <w:t xml:space="preserve"> on persons in the workplace.</w:t>
      </w:r>
      <w:r w:rsidRPr="0094557D">
        <w:rPr>
          <w:rStyle w:val="FootnoteReference"/>
          <w:sz w:val="22"/>
          <w:szCs w:val="22"/>
        </w:rPr>
        <w:footnoteReference w:id="21"/>
      </w:r>
      <w:r w:rsidRPr="00646A79">
        <w:rPr>
          <w:sz w:val="22"/>
          <w:szCs w:val="22"/>
        </w:rPr>
        <w:t xml:space="preserve">  </w:t>
      </w:r>
      <w:r w:rsidRPr="009429D6">
        <w:rPr>
          <w:sz w:val="22"/>
          <w:szCs w:val="22"/>
        </w:rPr>
        <w:t>In addition</w:t>
      </w:r>
      <w:r w:rsidR="00646A79">
        <w:rPr>
          <w:sz w:val="22"/>
          <w:szCs w:val="22"/>
        </w:rPr>
        <w:t>,</w:t>
      </w:r>
      <w:r w:rsidRPr="009429D6">
        <w:rPr>
          <w:sz w:val="22"/>
          <w:szCs w:val="22"/>
        </w:rPr>
        <w:t xml:space="preserve"> </w:t>
      </w:r>
      <w:r>
        <w:rPr>
          <w:sz w:val="22"/>
          <w:szCs w:val="22"/>
        </w:rPr>
        <w:t>improved testing for 6-AM could</w:t>
      </w:r>
      <w:r w:rsidRPr="009429D6">
        <w:rPr>
          <w:sz w:val="22"/>
          <w:szCs w:val="22"/>
        </w:rPr>
        <w:t xml:space="preserve"> deter additional individuals from seeking employment in </w:t>
      </w:r>
      <w:r>
        <w:rPr>
          <w:sz w:val="22"/>
          <w:szCs w:val="22"/>
        </w:rPr>
        <w:t>10 CFR Part 26</w:t>
      </w:r>
      <w:r w:rsidRPr="009429D6">
        <w:rPr>
          <w:sz w:val="22"/>
          <w:szCs w:val="22"/>
        </w:rPr>
        <w:t xml:space="preserve"> regulated workplaces.</w:t>
      </w:r>
    </w:p>
    <w:p w:rsidRPr="005A5966" w:rsidR="00D520BD" w:rsidP="00D520BD" w:rsidRDefault="00D520BD" w14:paraId="4A815A57" w14:textId="77777777">
      <w:pPr>
        <w:numPr>
          <w:ilvl w:val="12"/>
          <w:numId w:val="0"/>
        </w:numPr>
        <w:ind w:left="810" w:hanging="450"/>
        <w:rPr>
          <w:sz w:val="22"/>
          <w:szCs w:val="22"/>
        </w:rPr>
      </w:pPr>
    </w:p>
    <w:p w:rsidRPr="005A5966" w:rsidR="00D520BD" w:rsidP="005C6BA3" w:rsidRDefault="00D520BD" w14:paraId="5F739944" w14:textId="7609AF5C">
      <w:pPr>
        <w:pStyle w:val="ListParagraph"/>
        <w:keepNext/>
        <w:keepLines/>
        <w:numPr>
          <w:ilvl w:val="0"/>
          <w:numId w:val="4"/>
        </w:numPr>
        <w:tabs>
          <w:tab w:val="left" w:pos="720"/>
        </w:tabs>
        <w:ind w:left="720" w:hanging="720"/>
        <w:rPr>
          <w:i/>
          <w:sz w:val="22"/>
          <w:szCs w:val="22"/>
        </w:rPr>
      </w:pPr>
      <w:r w:rsidRPr="005A5966">
        <w:rPr>
          <w:i/>
          <w:sz w:val="22"/>
          <w:szCs w:val="22"/>
        </w:rPr>
        <w:lastRenderedPageBreak/>
        <w:t xml:space="preserve">Expanded initial and confirmatory drug testing panels </w:t>
      </w:r>
      <w:r w:rsidRPr="00E45603">
        <w:rPr>
          <w:i/>
          <w:sz w:val="22"/>
          <w:szCs w:val="22"/>
        </w:rPr>
        <w:t xml:space="preserve">to </w:t>
      </w:r>
      <w:r w:rsidRPr="00582270">
        <w:rPr>
          <w:i/>
          <w:sz w:val="22"/>
        </w:rPr>
        <w:t>include Ecstasy</w:t>
      </w:r>
      <w:r w:rsidR="007F359D">
        <w:rPr>
          <w:i/>
          <w:sz w:val="22"/>
        </w:rPr>
        <w:t xml:space="preserve"> drugs</w:t>
      </w:r>
      <w:r w:rsidRPr="00582270">
        <w:rPr>
          <w:i/>
          <w:sz w:val="22"/>
        </w:rPr>
        <w:t>.</w:t>
      </w:r>
    </w:p>
    <w:p w:rsidRPr="005A5966" w:rsidR="00D520BD" w:rsidP="003141C3" w:rsidRDefault="00D520BD" w14:paraId="70CBA17D" w14:textId="77777777">
      <w:pPr>
        <w:pStyle w:val="ListParagraph"/>
        <w:tabs>
          <w:tab w:val="left" w:pos="1440"/>
        </w:tabs>
        <w:ind w:left="1440" w:hanging="720"/>
        <w:rPr>
          <w:sz w:val="22"/>
          <w:szCs w:val="22"/>
        </w:rPr>
      </w:pPr>
    </w:p>
    <w:p w:rsidR="00D520BD" w:rsidP="00D520BD" w:rsidRDefault="00D520BD" w14:paraId="4EFF25CE" w14:textId="00DB3D12">
      <w:pPr>
        <w:tabs>
          <w:tab w:val="left" w:pos="720"/>
        </w:tabs>
        <w:ind w:left="720"/>
        <w:rPr>
          <w:sz w:val="22"/>
          <w:szCs w:val="22"/>
        </w:rPr>
      </w:pPr>
      <w:r w:rsidRPr="005A5966">
        <w:rPr>
          <w:sz w:val="22"/>
          <w:szCs w:val="22"/>
        </w:rPr>
        <w:t xml:space="preserve">The </w:t>
      </w:r>
      <w:r w:rsidR="00876F41">
        <w:rPr>
          <w:sz w:val="22"/>
          <w:szCs w:val="22"/>
        </w:rPr>
        <w:t xml:space="preserve">final </w:t>
      </w:r>
      <w:r w:rsidRPr="005A5966">
        <w:rPr>
          <w:sz w:val="22"/>
          <w:szCs w:val="22"/>
        </w:rPr>
        <w:t>rule add</w:t>
      </w:r>
      <w:r w:rsidR="00FC5DFF">
        <w:rPr>
          <w:sz w:val="22"/>
          <w:szCs w:val="22"/>
        </w:rPr>
        <w:t>s</w:t>
      </w:r>
      <w:r w:rsidRPr="005A5966">
        <w:rPr>
          <w:sz w:val="22"/>
          <w:szCs w:val="22"/>
        </w:rPr>
        <w:t xml:space="preserve"> testing </w:t>
      </w:r>
      <w:r w:rsidRPr="00194892">
        <w:rPr>
          <w:sz w:val="22"/>
          <w:szCs w:val="22"/>
        </w:rPr>
        <w:t xml:space="preserve">for </w:t>
      </w:r>
      <w:r w:rsidR="006E6529">
        <w:rPr>
          <w:sz w:val="22"/>
          <w:szCs w:val="22"/>
        </w:rPr>
        <w:t xml:space="preserve">the </w:t>
      </w:r>
      <w:r w:rsidRPr="00194892">
        <w:rPr>
          <w:sz w:val="22"/>
        </w:rPr>
        <w:t>Ecstasy</w:t>
      </w:r>
      <w:r w:rsidRPr="00194892">
        <w:rPr>
          <w:sz w:val="22"/>
          <w:szCs w:val="22"/>
        </w:rPr>
        <w:t>-</w:t>
      </w:r>
      <w:r w:rsidRPr="005A5966">
        <w:rPr>
          <w:sz w:val="22"/>
          <w:szCs w:val="22"/>
        </w:rPr>
        <w:t xml:space="preserve">type drugs MDMA </w:t>
      </w:r>
      <w:r w:rsidR="002332D0">
        <w:rPr>
          <w:sz w:val="22"/>
          <w:szCs w:val="22"/>
        </w:rPr>
        <w:t xml:space="preserve">and </w:t>
      </w:r>
      <w:r w:rsidRPr="005A5966">
        <w:rPr>
          <w:sz w:val="22"/>
          <w:szCs w:val="22"/>
        </w:rPr>
        <w:t xml:space="preserve">MDA to the drug testing panel in </w:t>
      </w:r>
      <w:r>
        <w:rPr>
          <w:sz w:val="22"/>
          <w:szCs w:val="22"/>
        </w:rPr>
        <w:t>10 CFR </w:t>
      </w:r>
      <w:r w:rsidRPr="005A5966">
        <w:rPr>
          <w:sz w:val="22"/>
          <w:szCs w:val="22"/>
        </w:rPr>
        <w:t xml:space="preserve">26.31(d)(1) and </w:t>
      </w:r>
      <w:r>
        <w:rPr>
          <w:sz w:val="22"/>
          <w:szCs w:val="22"/>
        </w:rPr>
        <w:t>10 CFR </w:t>
      </w:r>
      <w:r w:rsidRPr="005A5966">
        <w:rPr>
          <w:sz w:val="22"/>
          <w:szCs w:val="22"/>
        </w:rPr>
        <w:t>26.405(d)</w:t>
      </w:r>
      <w:r w:rsidR="00F25867">
        <w:rPr>
          <w:sz w:val="22"/>
          <w:szCs w:val="22"/>
        </w:rPr>
        <w:t xml:space="preserve">, </w:t>
      </w:r>
      <w:r w:rsidRPr="005A5966">
        <w:rPr>
          <w:sz w:val="22"/>
          <w:szCs w:val="22"/>
        </w:rPr>
        <w:t xml:space="preserve">to the substances for initial </w:t>
      </w:r>
      <w:r>
        <w:rPr>
          <w:sz w:val="22"/>
          <w:szCs w:val="22"/>
        </w:rPr>
        <w:t xml:space="preserve">drug </w:t>
      </w:r>
      <w:r w:rsidRPr="005A5966">
        <w:rPr>
          <w:sz w:val="22"/>
          <w:szCs w:val="22"/>
        </w:rPr>
        <w:t xml:space="preserve">testing listed in </w:t>
      </w:r>
      <w:r>
        <w:rPr>
          <w:sz w:val="22"/>
          <w:szCs w:val="22"/>
        </w:rPr>
        <w:t>10 CFR </w:t>
      </w:r>
      <w:r w:rsidRPr="005A5966">
        <w:rPr>
          <w:sz w:val="22"/>
          <w:szCs w:val="22"/>
        </w:rPr>
        <w:t xml:space="preserve">26.133 and </w:t>
      </w:r>
      <w:r>
        <w:rPr>
          <w:sz w:val="22"/>
          <w:szCs w:val="22"/>
        </w:rPr>
        <w:t>10 CFR </w:t>
      </w:r>
      <w:r w:rsidRPr="005A5966">
        <w:rPr>
          <w:sz w:val="22"/>
          <w:szCs w:val="22"/>
        </w:rPr>
        <w:t>26.163(a)(1)</w:t>
      </w:r>
      <w:r w:rsidR="00646A79">
        <w:rPr>
          <w:sz w:val="22"/>
          <w:szCs w:val="22"/>
        </w:rPr>
        <w:t>,</w:t>
      </w:r>
      <w:r w:rsidRPr="005A5966">
        <w:rPr>
          <w:sz w:val="22"/>
          <w:szCs w:val="22"/>
        </w:rPr>
        <w:t xml:space="preserve"> and to the substances for confirmatory </w:t>
      </w:r>
      <w:r>
        <w:rPr>
          <w:sz w:val="22"/>
          <w:szCs w:val="22"/>
        </w:rPr>
        <w:t>drug testing listed in 10 CFR </w:t>
      </w:r>
      <w:r w:rsidRPr="005A5966">
        <w:rPr>
          <w:sz w:val="22"/>
          <w:szCs w:val="22"/>
        </w:rPr>
        <w:t xml:space="preserve">26.163(b)(1).  Conforming changes </w:t>
      </w:r>
      <w:r w:rsidR="008F1D84">
        <w:rPr>
          <w:sz w:val="22"/>
          <w:szCs w:val="22"/>
        </w:rPr>
        <w:t>add MDA and MDMA</w:t>
      </w:r>
      <w:r w:rsidRPr="005A5966">
        <w:rPr>
          <w:sz w:val="22"/>
          <w:szCs w:val="22"/>
        </w:rPr>
        <w:t xml:space="preserve"> to the annual statistical summary reporting requirements </w:t>
      </w:r>
      <w:r>
        <w:rPr>
          <w:sz w:val="22"/>
          <w:szCs w:val="22"/>
        </w:rPr>
        <w:t xml:space="preserve">for </w:t>
      </w:r>
      <w:r w:rsidRPr="005A5966">
        <w:rPr>
          <w:sz w:val="22"/>
          <w:szCs w:val="22"/>
        </w:rPr>
        <w:t>HHS</w:t>
      </w:r>
      <w:r>
        <w:rPr>
          <w:sz w:val="22"/>
          <w:szCs w:val="22"/>
        </w:rPr>
        <w:noBreakHyphen/>
      </w:r>
      <w:r w:rsidRPr="005A5966">
        <w:rPr>
          <w:sz w:val="22"/>
          <w:szCs w:val="22"/>
        </w:rPr>
        <w:t>certified laborator</w:t>
      </w:r>
      <w:r>
        <w:rPr>
          <w:sz w:val="22"/>
          <w:szCs w:val="22"/>
        </w:rPr>
        <w:t>ies</w:t>
      </w:r>
      <w:r w:rsidRPr="005A5966">
        <w:rPr>
          <w:sz w:val="22"/>
          <w:szCs w:val="22"/>
        </w:rPr>
        <w:t xml:space="preserve"> </w:t>
      </w:r>
      <w:r w:rsidR="009405B4">
        <w:rPr>
          <w:sz w:val="22"/>
          <w:szCs w:val="22"/>
        </w:rPr>
        <w:t>in 10 CFR </w:t>
      </w:r>
      <w:r w:rsidRPr="005A5966" w:rsidR="009405B4">
        <w:rPr>
          <w:sz w:val="22"/>
          <w:szCs w:val="22"/>
        </w:rPr>
        <w:t>26.169(h)(3)</w:t>
      </w:r>
      <w:r w:rsidRPr="005A5966">
        <w:rPr>
          <w:sz w:val="22"/>
          <w:szCs w:val="22"/>
        </w:rPr>
        <w:t xml:space="preserve">.  These changes ensure that </w:t>
      </w:r>
      <w:r>
        <w:rPr>
          <w:sz w:val="22"/>
          <w:szCs w:val="22"/>
        </w:rPr>
        <w:t>10 CFR Part 26</w:t>
      </w:r>
      <w:r w:rsidRPr="005A5966">
        <w:rPr>
          <w:sz w:val="22"/>
          <w:szCs w:val="22"/>
        </w:rPr>
        <w:t xml:space="preserve"> is consistent with Section</w:t>
      </w:r>
      <w:r>
        <w:rPr>
          <w:sz w:val="22"/>
          <w:szCs w:val="22"/>
        </w:rPr>
        <w:t> </w:t>
      </w:r>
      <w:r w:rsidRPr="005A5966">
        <w:rPr>
          <w:sz w:val="22"/>
          <w:szCs w:val="22"/>
        </w:rPr>
        <w:t xml:space="preserve">3.4 of the </w:t>
      </w:r>
      <w:r>
        <w:rPr>
          <w:sz w:val="22"/>
          <w:szCs w:val="22"/>
        </w:rPr>
        <w:t xml:space="preserve">2008 </w:t>
      </w:r>
      <w:r w:rsidRPr="005A5966">
        <w:rPr>
          <w:sz w:val="22"/>
          <w:szCs w:val="22"/>
        </w:rPr>
        <w:t>HHS Guidelines</w:t>
      </w:r>
      <w:r w:rsidR="00646A79">
        <w:rPr>
          <w:sz w:val="22"/>
          <w:szCs w:val="22"/>
        </w:rPr>
        <w:t>,</w:t>
      </w:r>
      <w:r w:rsidR="002332D0">
        <w:rPr>
          <w:sz w:val="22"/>
          <w:szCs w:val="22"/>
        </w:rPr>
        <w:t xml:space="preserve"> </w:t>
      </w:r>
      <w:r w:rsidR="00BB6AA9">
        <w:rPr>
          <w:sz w:val="22"/>
          <w:szCs w:val="22"/>
        </w:rPr>
        <w:t xml:space="preserve">with the </w:t>
      </w:r>
      <w:r w:rsidR="002332D0">
        <w:rPr>
          <w:sz w:val="22"/>
          <w:szCs w:val="22"/>
        </w:rPr>
        <w:t>except</w:t>
      </w:r>
      <w:r w:rsidR="00BB6AA9">
        <w:rPr>
          <w:sz w:val="22"/>
          <w:szCs w:val="22"/>
        </w:rPr>
        <w:t>ion of not listing MDEA</w:t>
      </w:r>
      <w:r w:rsidR="00646A79">
        <w:rPr>
          <w:sz w:val="22"/>
          <w:szCs w:val="22"/>
        </w:rPr>
        <w:t>,</w:t>
      </w:r>
      <w:r w:rsidR="00BB6AA9">
        <w:rPr>
          <w:sz w:val="22"/>
          <w:szCs w:val="22"/>
        </w:rPr>
        <w:t xml:space="preserve"> which </w:t>
      </w:r>
      <w:r w:rsidR="003879A1">
        <w:rPr>
          <w:sz w:val="22"/>
          <w:szCs w:val="22"/>
        </w:rPr>
        <w:t xml:space="preserve">the </w:t>
      </w:r>
      <w:r w:rsidR="00BB6AA9">
        <w:rPr>
          <w:sz w:val="22"/>
          <w:szCs w:val="22"/>
        </w:rPr>
        <w:t xml:space="preserve">HHS subsequently </w:t>
      </w:r>
      <w:r w:rsidR="002332D0">
        <w:rPr>
          <w:sz w:val="22"/>
          <w:szCs w:val="22"/>
        </w:rPr>
        <w:t xml:space="preserve">removed </w:t>
      </w:r>
      <w:r w:rsidR="00D74D7C">
        <w:rPr>
          <w:sz w:val="22"/>
          <w:szCs w:val="22"/>
        </w:rPr>
        <w:t xml:space="preserve">from </w:t>
      </w:r>
      <w:r w:rsidR="002332D0">
        <w:rPr>
          <w:sz w:val="22"/>
          <w:szCs w:val="22"/>
        </w:rPr>
        <w:t xml:space="preserve">the list of authorized test analytes </w:t>
      </w:r>
      <w:r w:rsidR="00BB6AA9">
        <w:rPr>
          <w:sz w:val="22"/>
          <w:szCs w:val="22"/>
        </w:rPr>
        <w:t>in the 2017 HHS mandatory guidelines</w:t>
      </w:r>
      <w:r w:rsidR="00DC2A99">
        <w:rPr>
          <w:sz w:val="22"/>
          <w:szCs w:val="22"/>
        </w:rPr>
        <w:t xml:space="preserve"> (</w:t>
      </w:r>
      <w:r w:rsidR="009B72F4">
        <w:rPr>
          <w:rFonts w:cs="Arial"/>
          <w:sz w:val="22"/>
          <w:szCs w:val="22"/>
        </w:rPr>
        <w:t>82 FR 7920</w:t>
      </w:r>
      <w:r w:rsidR="00646A79">
        <w:rPr>
          <w:rFonts w:cs="Arial"/>
          <w:sz w:val="22"/>
          <w:szCs w:val="22"/>
        </w:rPr>
        <w:t>,</w:t>
      </w:r>
      <w:r w:rsidR="009B72F4">
        <w:rPr>
          <w:rFonts w:cs="Arial"/>
          <w:sz w:val="22"/>
          <w:szCs w:val="22"/>
        </w:rPr>
        <w:t xml:space="preserve"> January 23</w:t>
      </w:r>
      <w:r w:rsidR="00646A79">
        <w:rPr>
          <w:rFonts w:cs="Arial"/>
          <w:sz w:val="22"/>
          <w:szCs w:val="22"/>
        </w:rPr>
        <w:t>,</w:t>
      </w:r>
      <w:r w:rsidR="009B72F4">
        <w:rPr>
          <w:rFonts w:cs="Arial"/>
          <w:sz w:val="22"/>
          <w:szCs w:val="22"/>
        </w:rPr>
        <w:t xml:space="preserve"> 2017</w:t>
      </w:r>
      <w:r w:rsidR="00DC2A99">
        <w:rPr>
          <w:sz w:val="22"/>
          <w:szCs w:val="22"/>
        </w:rPr>
        <w:t>)</w:t>
      </w:r>
      <w:r w:rsidRPr="005A5966">
        <w:rPr>
          <w:sz w:val="22"/>
          <w:szCs w:val="22"/>
        </w:rPr>
        <w:t>.</w:t>
      </w:r>
    </w:p>
    <w:p w:rsidR="00277F2B" w:rsidP="00D520BD" w:rsidRDefault="00277F2B" w14:paraId="021F9202" w14:textId="10310470">
      <w:pPr>
        <w:tabs>
          <w:tab w:val="left" w:pos="720"/>
        </w:tabs>
        <w:ind w:left="720"/>
        <w:rPr>
          <w:sz w:val="22"/>
          <w:szCs w:val="22"/>
        </w:rPr>
      </w:pPr>
    </w:p>
    <w:p w:rsidRPr="005A5966" w:rsidR="00D520BD" w:rsidP="00153D3E" w:rsidRDefault="00D520BD" w14:paraId="781D1695" w14:textId="5EACE91E">
      <w:pPr>
        <w:tabs>
          <w:tab w:val="left" w:pos="720"/>
        </w:tabs>
        <w:ind w:left="720"/>
        <w:rPr>
          <w:sz w:val="22"/>
          <w:szCs w:val="22"/>
        </w:rPr>
      </w:pPr>
      <w:r w:rsidRPr="005A5966">
        <w:rPr>
          <w:sz w:val="22"/>
          <w:szCs w:val="22"/>
        </w:rPr>
        <w:t>The</w:t>
      </w:r>
      <w:r>
        <w:rPr>
          <w:sz w:val="22"/>
          <w:szCs w:val="22"/>
        </w:rPr>
        <w:t xml:space="preserve"> </w:t>
      </w:r>
      <w:r w:rsidR="00876F41">
        <w:rPr>
          <w:sz w:val="22"/>
          <w:szCs w:val="22"/>
        </w:rPr>
        <w:t xml:space="preserve">final </w:t>
      </w:r>
      <w:r>
        <w:rPr>
          <w:sz w:val="22"/>
          <w:szCs w:val="22"/>
        </w:rPr>
        <w:t>rule revise</w:t>
      </w:r>
      <w:r w:rsidR="00FC5DFF">
        <w:rPr>
          <w:sz w:val="22"/>
          <w:szCs w:val="22"/>
        </w:rPr>
        <w:t>s</w:t>
      </w:r>
      <w:r w:rsidRPr="005A5966">
        <w:rPr>
          <w:sz w:val="22"/>
          <w:szCs w:val="22"/>
        </w:rPr>
        <w:t xml:space="preserve"> </w:t>
      </w:r>
      <w:r>
        <w:rPr>
          <w:sz w:val="22"/>
          <w:szCs w:val="22"/>
        </w:rPr>
        <w:t xml:space="preserve">the </w:t>
      </w:r>
      <w:r w:rsidRPr="005A5966">
        <w:rPr>
          <w:sz w:val="22"/>
          <w:szCs w:val="22"/>
        </w:rPr>
        <w:t>list of substances to be tested as follows:</w:t>
      </w:r>
    </w:p>
    <w:p w:rsidRPr="005A5966" w:rsidR="00D520BD" w:rsidP="00153D3E" w:rsidRDefault="00D520BD" w14:paraId="0EF85BC7" w14:textId="77777777">
      <w:pPr>
        <w:tabs>
          <w:tab w:val="left" w:pos="720"/>
        </w:tabs>
        <w:ind w:left="720"/>
        <w:rPr>
          <w:sz w:val="22"/>
          <w:szCs w:val="22"/>
        </w:rPr>
      </w:pPr>
    </w:p>
    <w:p w:rsidR="00D520BD" w:rsidP="005C6BA3" w:rsidRDefault="003879A1" w14:paraId="68E58854" w14:textId="181F0413">
      <w:pPr>
        <w:pStyle w:val="ListParagraph"/>
        <w:numPr>
          <w:ilvl w:val="0"/>
          <w:numId w:val="21"/>
        </w:numPr>
        <w:ind w:left="1440" w:hanging="720"/>
        <w:rPr>
          <w:sz w:val="22"/>
          <w:szCs w:val="22"/>
        </w:rPr>
      </w:pPr>
      <w:r>
        <w:rPr>
          <w:sz w:val="22"/>
          <w:szCs w:val="22"/>
        </w:rPr>
        <w:t>i</w:t>
      </w:r>
      <w:r w:rsidRPr="005A5966" w:rsidR="00D520BD">
        <w:rPr>
          <w:sz w:val="22"/>
          <w:szCs w:val="22"/>
        </w:rPr>
        <w:t>nclude</w:t>
      </w:r>
      <w:r w:rsidR="00FC5DFF">
        <w:rPr>
          <w:sz w:val="22"/>
          <w:szCs w:val="22"/>
        </w:rPr>
        <w:t>s</w:t>
      </w:r>
      <w:r w:rsidRPr="005A5966" w:rsidR="00D520BD">
        <w:rPr>
          <w:sz w:val="22"/>
          <w:szCs w:val="22"/>
        </w:rPr>
        <w:t xml:space="preserve"> initial </w:t>
      </w:r>
      <w:r w:rsidR="00D520BD">
        <w:rPr>
          <w:sz w:val="22"/>
          <w:szCs w:val="22"/>
        </w:rPr>
        <w:t xml:space="preserve">drug </w:t>
      </w:r>
      <w:r w:rsidRPr="005A5966" w:rsidR="00D520BD">
        <w:rPr>
          <w:sz w:val="22"/>
          <w:szCs w:val="22"/>
        </w:rPr>
        <w:t xml:space="preserve">testing for MDMA </w:t>
      </w:r>
      <w:r w:rsidR="00873422">
        <w:rPr>
          <w:sz w:val="22"/>
          <w:szCs w:val="22"/>
        </w:rPr>
        <w:t xml:space="preserve">and MDA </w:t>
      </w:r>
      <w:r w:rsidR="00D520BD">
        <w:rPr>
          <w:sz w:val="22"/>
          <w:szCs w:val="22"/>
        </w:rPr>
        <w:t xml:space="preserve">with a 500-ng/mL testing </w:t>
      </w:r>
      <w:r w:rsidRPr="005A5966" w:rsidR="00D520BD">
        <w:rPr>
          <w:sz w:val="22"/>
          <w:szCs w:val="22"/>
        </w:rPr>
        <w:t>cutoff level</w:t>
      </w:r>
    </w:p>
    <w:p w:rsidR="00D520BD" w:rsidP="00153D3E" w:rsidRDefault="00D520BD" w14:paraId="48ABF0B5" w14:textId="77777777">
      <w:pPr>
        <w:pStyle w:val="ListParagraph"/>
        <w:ind w:left="1440" w:hanging="720"/>
        <w:rPr>
          <w:sz w:val="22"/>
          <w:szCs w:val="22"/>
        </w:rPr>
      </w:pPr>
    </w:p>
    <w:p w:rsidR="00D520BD" w:rsidP="005C6BA3" w:rsidRDefault="003879A1" w14:paraId="073E22B4" w14:textId="4887E812">
      <w:pPr>
        <w:pStyle w:val="ListParagraph"/>
        <w:numPr>
          <w:ilvl w:val="0"/>
          <w:numId w:val="21"/>
        </w:numPr>
        <w:ind w:left="1440" w:hanging="720"/>
        <w:rPr>
          <w:sz w:val="22"/>
          <w:szCs w:val="22"/>
        </w:rPr>
      </w:pPr>
      <w:r>
        <w:rPr>
          <w:sz w:val="22"/>
          <w:szCs w:val="22"/>
        </w:rPr>
        <w:t>i</w:t>
      </w:r>
      <w:r w:rsidRPr="005A5966" w:rsidR="00D520BD">
        <w:rPr>
          <w:sz w:val="22"/>
          <w:szCs w:val="22"/>
        </w:rPr>
        <w:t>nclude</w:t>
      </w:r>
      <w:r w:rsidR="00FC5DFF">
        <w:rPr>
          <w:sz w:val="22"/>
          <w:szCs w:val="22"/>
        </w:rPr>
        <w:t>s</w:t>
      </w:r>
      <w:r w:rsidRPr="005A5966" w:rsidR="00D520BD">
        <w:rPr>
          <w:sz w:val="22"/>
          <w:szCs w:val="22"/>
        </w:rPr>
        <w:t xml:space="preserve"> confirmatory </w:t>
      </w:r>
      <w:r w:rsidR="00D520BD">
        <w:rPr>
          <w:sz w:val="22"/>
          <w:szCs w:val="22"/>
        </w:rPr>
        <w:t xml:space="preserve">drug </w:t>
      </w:r>
      <w:r w:rsidRPr="005A5966" w:rsidR="00D520BD">
        <w:rPr>
          <w:sz w:val="22"/>
          <w:szCs w:val="22"/>
        </w:rPr>
        <w:t>testing for MDMA</w:t>
      </w:r>
      <w:r w:rsidR="002332D0">
        <w:rPr>
          <w:sz w:val="22"/>
          <w:szCs w:val="22"/>
        </w:rPr>
        <w:t xml:space="preserve"> and</w:t>
      </w:r>
      <w:r w:rsidRPr="005A5966" w:rsidR="00D520BD">
        <w:rPr>
          <w:sz w:val="22"/>
          <w:szCs w:val="22"/>
        </w:rPr>
        <w:t xml:space="preserve"> MDA </w:t>
      </w:r>
      <w:r w:rsidR="00D520BD">
        <w:rPr>
          <w:sz w:val="22"/>
          <w:szCs w:val="22"/>
        </w:rPr>
        <w:t xml:space="preserve">with 250-ng/mL </w:t>
      </w:r>
      <w:r w:rsidRPr="005A5966" w:rsidR="00D520BD">
        <w:rPr>
          <w:sz w:val="22"/>
          <w:szCs w:val="22"/>
        </w:rPr>
        <w:t>testing</w:t>
      </w:r>
      <w:r w:rsidR="00D520BD">
        <w:rPr>
          <w:sz w:val="22"/>
          <w:szCs w:val="22"/>
        </w:rPr>
        <w:t xml:space="preserve"> </w:t>
      </w:r>
      <w:r w:rsidRPr="005A5966" w:rsidR="00D520BD">
        <w:rPr>
          <w:sz w:val="22"/>
          <w:szCs w:val="22"/>
        </w:rPr>
        <w:t>cutoff level</w:t>
      </w:r>
      <w:r w:rsidR="00D520BD">
        <w:rPr>
          <w:sz w:val="22"/>
          <w:szCs w:val="22"/>
        </w:rPr>
        <w:t>s</w:t>
      </w:r>
      <w:r w:rsidRPr="005A5966" w:rsidR="00D520BD">
        <w:rPr>
          <w:sz w:val="22"/>
          <w:szCs w:val="22"/>
        </w:rPr>
        <w:t>.</w:t>
      </w:r>
    </w:p>
    <w:p w:rsidRPr="002970CF" w:rsidR="002970CF" w:rsidP="002970CF" w:rsidRDefault="002970CF" w14:paraId="1C9D476F" w14:textId="77777777">
      <w:pPr>
        <w:pStyle w:val="ListParagraph"/>
        <w:rPr>
          <w:sz w:val="22"/>
          <w:szCs w:val="22"/>
        </w:rPr>
      </w:pPr>
    </w:p>
    <w:p w:rsidRPr="005A5966" w:rsidR="00D520BD" w:rsidP="00D520BD" w:rsidRDefault="00D520BD" w14:paraId="49725F47" w14:textId="677B5DE1">
      <w:pPr>
        <w:numPr>
          <w:ilvl w:val="12"/>
          <w:numId w:val="0"/>
        </w:numPr>
        <w:tabs>
          <w:tab w:val="left" w:pos="720"/>
        </w:tabs>
        <w:ind w:left="720"/>
        <w:rPr>
          <w:sz w:val="22"/>
          <w:szCs w:val="22"/>
        </w:rPr>
      </w:pPr>
      <w:r w:rsidRPr="005A5966">
        <w:rPr>
          <w:sz w:val="22"/>
          <w:szCs w:val="22"/>
        </w:rPr>
        <w:t xml:space="preserve">Testing for </w:t>
      </w:r>
      <w:r w:rsidR="00FF380E">
        <w:rPr>
          <w:sz w:val="22"/>
          <w:szCs w:val="22"/>
        </w:rPr>
        <w:t>these</w:t>
      </w:r>
      <w:r w:rsidRPr="005A5966">
        <w:rPr>
          <w:sz w:val="22"/>
          <w:szCs w:val="22"/>
        </w:rPr>
        <w:t xml:space="preserve"> additional substance</w:t>
      </w:r>
      <w:r w:rsidR="00FF380E">
        <w:rPr>
          <w:sz w:val="22"/>
          <w:szCs w:val="22"/>
        </w:rPr>
        <w:t>s</w:t>
      </w:r>
      <w:r w:rsidRPr="005A5966">
        <w:rPr>
          <w:sz w:val="22"/>
          <w:szCs w:val="22"/>
        </w:rPr>
        <w:t xml:space="preserve"> enable</w:t>
      </w:r>
      <w:r w:rsidR="00D02582">
        <w:rPr>
          <w:sz w:val="22"/>
          <w:szCs w:val="22"/>
        </w:rPr>
        <w:t>s</w:t>
      </w:r>
      <w:r w:rsidRPr="005A5966">
        <w:rPr>
          <w:sz w:val="22"/>
          <w:szCs w:val="22"/>
        </w:rPr>
        <w:t xml:space="preserve"> the identification of a greater range of</w:t>
      </w:r>
      <w:r>
        <w:rPr>
          <w:sz w:val="22"/>
          <w:szCs w:val="22"/>
        </w:rPr>
        <w:t xml:space="preserve"> illegal</w:t>
      </w:r>
      <w:r w:rsidRPr="005A5966">
        <w:rPr>
          <w:sz w:val="22"/>
          <w:szCs w:val="22"/>
        </w:rPr>
        <w:t xml:space="preserve"> drugs that could impair </w:t>
      </w:r>
      <w:r>
        <w:rPr>
          <w:sz w:val="22"/>
          <w:szCs w:val="22"/>
        </w:rPr>
        <w:t xml:space="preserve">human </w:t>
      </w:r>
      <w:r w:rsidRPr="005A5966">
        <w:rPr>
          <w:sz w:val="22"/>
          <w:szCs w:val="22"/>
        </w:rPr>
        <w:t xml:space="preserve">performance.  </w:t>
      </w:r>
      <w:r w:rsidRPr="00194892">
        <w:rPr>
          <w:sz w:val="22"/>
        </w:rPr>
        <w:t>Ecstasy</w:t>
      </w:r>
      <w:r w:rsidRPr="00194892" w:rsidR="00CD4D83">
        <w:rPr>
          <w:sz w:val="22"/>
          <w:szCs w:val="22"/>
        </w:rPr>
        <w:t xml:space="preserve"> </w:t>
      </w:r>
      <w:r w:rsidR="00357209">
        <w:rPr>
          <w:sz w:val="22"/>
          <w:szCs w:val="22"/>
        </w:rPr>
        <w:t>is</w:t>
      </w:r>
      <w:r w:rsidRPr="005A5966">
        <w:rPr>
          <w:sz w:val="22"/>
          <w:szCs w:val="22"/>
        </w:rPr>
        <w:t xml:space="preserve"> added to the drug testing panels because of </w:t>
      </w:r>
      <w:r w:rsidR="0075032C">
        <w:rPr>
          <w:sz w:val="22"/>
          <w:szCs w:val="22"/>
        </w:rPr>
        <w:t>its</w:t>
      </w:r>
      <w:r w:rsidRPr="005A5966">
        <w:rPr>
          <w:sz w:val="22"/>
          <w:szCs w:val="22"/>
        </w:rPr>
        <w:t xml:space="preserve"> adverse effect</w:t>
      </w:r>
      <w:r>
        <w:rPr>
          <w:sz w:val="22"/>
          <w:szCs w:val="22"/>
        </w:rPr>
        <w:t>s</w:t>
      </w:r>
      <w:r w:rsidRPr="005A5966">
        <w:rPr>
          <w:sz w:val="22"/>
          <w:szCs w:val="22"/>
        </w:rPr>
        <w:t xml:space="preserve"> on persons in the workplace.</w:t>
      </w:r>
      <w:r>
        <w:rPr>
          <w:sz w:val="22"/>
          <w:szCs w:val="22"/>
        </w:rPr>
        <w:t xml:space="preserve">  Testing </w:t>
      </w:r>
      <w:r w:rsidRPr="00194892">
        <w:rPr>
          <w:sz w:val="22"/>
          <w:szCs w:val="22"/>
        </w:rPr>
        <w:t xml:space="preserve">for </w:t>
      </w:r>
      <w:r w:rsidR="00FF380E">
        <w:rPr>
          <w:sz w:val="22"/>
          <w:szCs w:val="22"/>
        </w:rPr>
        <w:t>these substances</w:t>
      </w:r>
      <w:r w:rsidRPr="00194892">
        <w:rPr>
          <w:sz w:val="22"/>
          <w:szCs w:val="22"/>
        </w:rPr>
        <w:t xml:space="preserve"> also</w:t>
      </w:r>
      <w:r>
        <w:rPr>
          <w:sz w:val="22"/>
          <w:szCs w:val="22"/>
        </w:rPr>
        <w:t xml:space="preserve"> may </w:t>
      </w:r>
      <w:r w:rsidRPr="009429D6">
        <w:rPr>
          <w:sz w:val="22"/>
          <w:szCs w:val="22"/>
        </w:rPr>
        <w:t xml:space="preserve">deter additional individuals from seeking employment in </w:t>
      </w:r>
      <w:r>
        <w:rPr>
          <w:sz w:val="22"/>
          <w:szCs w:val="22"/>
        </w:rPr>
        <w:t>10 CFR Part 26</w:t>
      </w:r>
      <w:r w:rsidRPr="009429D6">
        <w:rPr>
          <w:sz w:val="22"/>
          <w:szCs w:val="22"/>
        </w:rPr>
        <w:t xml:space="preserve"> regulated workplaces.</w:t>
      </w:r>
    </w:p>
    <w:p w:rsidRPr="005A5966" w:rsidR="00D520BD" w:rsidP="00D520BD" w:rsidRDefault="00D520BD" w14:paraId="43BDF8FD" w14:textId="77777777">
      <w:pPr>
        <w:numPr>
          <w:ilvl w:val="12"/>
          <w:numId w:val="0"/>
        </w:numPr>
        <w:tabs>
          <w:tab w:val="left" w:pos="720"/>
        </w:tabs>
        <w:ind w:left="720"/>
        <w:rPr>
          <w:sz w:val="22"/>
          <w:szCs w:val="22"/>
        </w:rPr>
      </w:pPr>
    </w:p>
    <w:p w:rsidRPr="00CD4D83" w:rsidR="00CD4D83" w:rsidP="005C6BA3" w:rsidRDefault="00CD4D83" w14:paraId="0192B9F5" w14:textId="01DE2B33">
      <w:pPr>
        <w:pStyle w:val="ListParagraph"/>
        <w:keepNext/>
        <w:keepLines/>
        <w:numPr>
          <w:ilvl w:val="0"/>
          <w:numId w:val="4"/>
        </w:numPr>
        <w:tabs>
          <w:tab w:val="left" w:pos="720"/>
        </w:tabs>
        <w:ind w:left="720" w:hanging="720"/>
        <w:rPr>
          <w:i/>
          <w:sz w:val="22"/>
          <w:szCs w:val="22"/>
        </w:rPr>
      </w:pPr>
      <w:r w:rsidRPr="00CD4D83">
        <w:rPr>
          <w:i/>
          <w:sz w:val="22"/>
          <w:szCs w:val="22"/>
        </w:rPr>
        <w:t xml:space="preserve">Expanded initial and confirmatory drug testing panels to </w:t>
      </w:r>
      <w:r w:rsidRPr="00CD4D83">
        <w:rPr>
          <w:i/>
          <w:sz w:val="22"/>
        </w:rPr>
        <w:t xml:space="preserve">include </w:t>
      </w:r>
      <w:r w:rsidR="003C7A1D">
        <w:rPr>
          <w:i/>
          <w:sz w:val="22"/>
        </w:rPr>
        <w:t xml:space="preserve">the opioid drugs </w:t>
      </w:r>
      <w:r w:rsidRPr="00CD4D83">
        <w:rPr>
          <w:rFonts w:cs="Arial"/>
          <w:i/>
          <w:sz w:val="22"/>
          <w:szCs w:val="22"/>
        </w:rPr>
        <w:t>hydrocodone</w:t>
      </w:r>
      <w:r w:rsidR="006966C0">
        <w:rPr>
          <w:rFonts w:cs="Arial"/>
          <w:i/>
          <w:sz w:val="22"/>
          <w:szCs w:val="22"/>
        </w:rPr>
        <w:t>,</w:t>
      </w:r>
      <w:r w:rsidRPr="00CD4D83">
        <w:rPr>
          <w:rFonts w:cs="Arial"/>
          <w:i/>
          <w:sz w:val="22"/>
          <w:szCs w:val="22"/>
        </w:rPr>
        <w:t xml:space="preserve"> hydromorphone</w:t>
      </w:r>
      <w:r w:rsidR="006966C0">
        <w:rPr>
          <w:rFonts w:cs="Arial"/>
          <w:i/>
          <w:sz w:val="22"/>
          <w:szCs w:val="22"/>
        </w:rPr>
        <w:t>,</w:t>
      </w:r>
      <w:r w:rsidRPr="006966C0" w:rsidR="006966C0">
        <w:rPr>
          <w:rFonts w:cs="Arial"/>
          <w:i/>
          <w:sz w:val="22"/>
          <w:szCs w:val="22"/>
        </w:rPr>
        <w:t xml:space="preserve"> </w:t>
      </w:r>
      <w:r w:rsidRPr="00CD4D83" w:rsidR="006966C0">
        <w:rPr>
          <w:rFonts w:cs="Arial"/>
          <w:i/>
          <w:sz w:val="22"/>
          <w:szCs w:val="22"/>
        </w:rPr>
        <w:t xml:space="preserve">oxycodone, </w:t>
      </w:r>
      <w:r w:rsidR="006966C0">
        <w:rPr>
          <w:rFonts w:cs="Arial"/>
          <w:i/>
          <w:sz w:val="22"/>
          <w:szCs w:val="22"/>
        </w:rPr>
        <w:t xml:space="preserve">and </w:t>
      </w:r>
      <w:r w:rsidRPr="00CD4D83" w:rsidR="006966C0">
        <w:rPr>
          <w:rFonts w:cs="Arial"/>
          <w:i/>
          <w:sz w:val="22"/>
          <w:szCs w:val="22"/>
        </w:rPr>
        <w:t>oxymorphone</w:t>
      </w:r>
      <w:r w:rsidR="00A66FD9">
        <w:rPr>
          <w:rFonts w:cs="Arial"/>
          <w:i/>
          <w:sz w:val="22"/>
          <w:szCs w:val="22"/>
        </w:rPr>
        <w:t>.</w:t>
      </w:r>
    </w:p>
    <w:p w:rsidRPr="00CD4D83" w:rsidR="00CD4D83" w:rsidP="00CD4D83" w:rsidRDefault="00CD4D83" w14:paraId="0F178BE8" w14:textId="3B3529D6">
      <w:pPr>
        <w:pStyle w:val="ListParagraph"/>
        <w:tabs>
          <w:tab w:val="left" w:pos="720"/>
        </w:tabs>
        <w:rPr>
          <w:iCs/>
          <w:sz w:val="22"/>
          <w:szCs w:val="22"/>
        </w:rPr>
      </w:pPr>
    </w:p>
    <w:p w:rsidR="00CD4D83" w:rsidP="00CD4D83" w:rsidRDefault="00CD4D83" w14:paraId="4743E75C" w14:textId="3043022A">
      <w:pPr>
        <w:tabs>
          <w:tab w:val="left" w:pos="720"/>
        </w:tabs>
        <w:ind w:left="720"/>
        <w:rPr>
          <w:sz w:val="22"/>
          <w:szCs w:val="22"/>
        </w:rPr>
      </w:pPr>
      <w:r w:rsidRPr="005A5966">
        <w:rPr>
          <w:sz w:val="22"/>
          <w:szCs w:val="22"/>
        </w:rPr>
        <w:t xml:space="preserve">The </w:t>
      </w:r>
      <w:r w:rsidR="00876F41">
        <w:rPr>
          <w:sz w:val="22"/>
          <w:szCs w:val="22"/>
        </w:rPr>
        <w:t xml:space="preserve">final </w:t>
      </w:r>
      <w:r w:rsidRPr="005A5966">
        <w:rPr>
          <w:sz w:val="22"/>
          <w:szCs w:val="22"/>
        </w:rPr>
        <w:t>rule add</w:t>
      </w:r>
      <w:r w:rsidR="00C86B70">
        <w:rPr>
          <w:sz w:val="22"/>
          <w:szCs w:val="22"/>
        </w:rPr>
        <w:t>s</w:t>
      </w:r>
      <w:r w:rsidRPr="005A5966">
        <w:rPr>
          <w:sz w:val="22"/>
          <w:szCs w:val="22"/>
        </w:rPr>
        <w:t xml:space="preserve"> testing </w:t>
      </w:r>
      <w:r w:rsidRPr="00194892">
        <w:rPr>
          <w:sz w:val="22"/>
          <w:szCs w:val="22"/>
        </w:rPr>
        <w:t xml:space="preserve">for </w:t>
      </w:r>
      <w:r w:rsidRPr="002970CF">
        <w:rPr>
          <w:rFonts w:cs="Arial"/>
          <w:sz w:val="22"/>
          <w:szCs w:val="22"/>
        </w:rPr>
        <w:t>four additional Schedule II drugs of the Controlled Substances Act (i.e., oxycodone, oxymorphone, hydrocodone and hydromorphone)</w:t>
      </w:r>
      <w:r>
        <w:rPr>
          <w:rFonts w:cs="Arial"/>
          <w:sz w:val="22"/>
          <w:szCs w:val="22"/>
        </w:rPr>
        <w:t xml:space="preserve"> </w:t>
      </w:r>
      <w:r w:rsidRPr="005A5966">
        <w:rPr>
          <w:sz w:val="22"/>
          <w:szCs w:val="22"/>
        </w:rPr>
        <w:t xml:space="preserve">to the drug testing panel in </w:t>
      </w:r>
      <w:r>
        <w:rPr>
          <w:sz w:val="22"/>
          <w:szCs w:val="22"/>
        </w:rPr>
        <w:t>10 CFR </w:t>
      </w:r>
      <w:r w:rsidRPr="005A5966">
        <w:rPr>
          <w:sz w:val="22"/>
          <w:szCs w:val="22"/>
        </w:rPr>
        <w:t xml:space="preserve">26.31(d)(1) and </w:t>
      </w:r>
      <w:r>
        <w:rPr>
          <w:sz w:val="22"/>
          <w:szCs w:val="22"/>
        </w:rPr>
        <w:t>10 CFR </w:t>
      </w:r>
      <w:r w:rsidRPr="005A5966">
        <w:rPr>
          <w:sz w:val="22"/>
          <w:szCs w:val="22"/>
        </w:rPr>
        <w:t xml:space="preserve">26.405(d).  </w:t>
      </w:r>
      <w:r w:rsidR="006966C0">
        <w:rPr>
          <w:rFonts w:cs="Arial"/>
          <w:sz w:val="22"/>
          <w:szCs w:val="22"/>
        </w:rPr>
        <w:t>H</w:t>
      </w:r>
      <w:r w:rsidRPr="002970CF">
        <w:rPr>
          <w:rFonts w:cs="Arial"/>
          <w:sz w:val="22"/>
          <w:szCs w:val="22"/>
        </w:rPr>
        <w:t>ydrocodone</w:t>
      </w:r>
      <w:r w:rsidR="006966C0">
        <w:rPr>
          <w:rFonts w:cs="Arial"/>
          <w:sz w:val="22"/>
          <w:szCs w:val="22"/>
        </w:rPr>
        <w:t xml:space="preserve">, </w:t>
      </w:r>
      <w:r w:rsidRPr="002970CF">
        <w:rPr>
          <w:rFonts w:cs="Arial"/>
          <w:sz w:val="22"/>
          <w:szCs w:val="22"/>
        </w:rPr>
        <w:t>hydromorphone</w:t>
      </w:r>
      <w:r w:rsidR="006966C0">
        <w:rPr>
          <w:rFonts w:cs="Arial"/>
          <w:sz w:val="22"/>
          <w:szCs w:val="22"/>
        </w:rPr>
        <w:t>, o</w:t>
      </w:r>
      <w:r w:rsidRPr="002970CF" w:rsidR="006966C0">
        <w:rPr>
          <w:rFonts w:cs="Arial"/>
          <w:sz w:val="22"/>
          <w:szCs w:val="22"/>
        </w:rPr>
        <w:t xml:space="preserve">xycodone, </w:t>
      </w:r>
      <w:r w:rsidR="006966C0">
        <w:rPr>
          <w:rFonts w:cs="Arial"/>
          <w:sz w:val="22"/>
          <w:szCs w:val="22"/>
        </w:rPr>
        <w:t xml:space="preserve">and </w:t>
      </w:r>
      <w:r w:rsidRPr="002970CF" w:rsidR="006966C0">
        <w:rPr>
          <w:rFonts w:cs="Arial"/>
          <w:sz w:val="22"/>
          <w:szCs w:val="22"/>
        </w:rPr>
        <w:t>oxymorphone</w:t>
      </w:r>
      <w:r w:rsidRPr="005A5966">
        <w:rPr>
          <w:sz w:val="22"/>
          <w:szCs w:val="22"/>
        </w:rPr>
        <w:t xml:space="preserve"> </w:t>
      </w:r>
      <w:r w:rsidR="00357209">
        <w:rPr>
          <w:sz w:val="22"/>
          <w:szCs w:val="22"/>
        </w:rPr>
        <w:t>are</w:t>
      </w:r>
      <w:r w:rsidRPr="005A5966">
        <w:rPr>
          <w:sz w:val="22"/>
          <w:szCs w:val="22"/>
        </w:rPr>
        <w:t xml:space="preserve"> added to the substances for initial </w:t>
      </w:r>
      <w:r>
        <w:rPr>
          <w:sz w:val="22"/>
          <w:szCs w:val="22"/>
        </w:rPr>
        <w:t xml:space="preserve">drug </w:t>
      </w:r>
      <w:r w:rsidRPr="005A5966">
        <w:rPr>
          <w:sz w:val="22"/>
          <w:szCs w:val="22"/>
        </w:rPr>
        <w:t xml:space="preserve">testing listed in </w:t>
      </w:r>
      <w:r>
        <w:rPr>
          <w:sz w:val="22"/>
          <w:szCs w:val="22"/>
        </w:rPr>
        <w:t>10 CFR </w:t>
      </w:r>
      <w:r w:rsidRPr="005A5966">
        <w:rPr>
          <w:sz w:val="22"/>
          <w:szCs w:val="22"/>
        </w:rPr>
        <w:t xml:space="preserve">26.133 and </w:t>
      </w:r>
      <w:r>
        <w:rPr>
          <w:sz w:val="22"/>
          <w:szCs w:val="22"/>
        </w:rPr>
        <w:t>10 CFR </w:t>
      </w:r>
      <w:r w:rsidRPr="005A5966">
        <w:rPr>
          <w:sz w:val="22"/>
          <w:szCs w:val="22"/>
        </w:rPr>
        <w:t>26.163(a)(1)</w:t>
      </w:r>
      <w:r w:rsidR="00AA1C85">
        <w:rPr>
          <w:sz w:val="22"/>
          <w:szCs w:val="22"/>
        </w:rPr>
        <w:t xml:space="preserve"> and to</w:t>
      </w:r>
      <w:r w:rsidRPr="005A5966">
        <w:rPr>
          <w:sz w:val="22"/>
          <w:szCs w:val="22"/>
        </w:rPr>
        <w:t xml:space="preserve"> the substances for confirmatory </w:t>
      </w:r>
      <w:r>
        <w:rPr>
          <w:sz w:val="22"/>
          <w:szCs w:val="22"/>
        </w:rPr>
        <w:t>drug testing listed in 10 CFR </w:t>
      </w:r>
      <w:r w:rsidRPr="005A5966">
        <w:rPr>
          <w:sz w:val="22"/>
          <w:szCs w:val="22"/>
        </w:rPr>
        <w:t xml:space="preserve">26.163(b)(1).  Conforming changes </w:t>
      </w:r>
      <w:r w:rsidR="001A5661">
        <w:rPr>
          <w:sz w:val="22"/>
          <w:szCs w:val="22"/>
        </w:rPr>
        <w:t>add the</w:t>
      </w:r>
      <w:r w:rsidR="006D7669">
        <w:rPr>
          <w:sz w:val="22"/>
          <w:szCs w:val="22"/>
        </w:rPr>
        <w:t>se</w:t>
      </w:r>
      <w:r w:rsidR="001A5661">
        <w:rPr>
          <w:sz w:val="22"/>
          <w:szCs w:val="22"/>
        </w:rPr>
        <w:t xml:space="preserve"> four </w:t>
      </w:r>
      <w:r w:rsidR="00EB02AC">
        <w:rPr>
          <w:sz w:val="22"/>
          <w:szCs w:val="22"/>
        </w:rPr>
        <w:t>opioids</w:t>
      </w:r>
      <w:r w:rsidRPr="005A5966">
        <w:rPr>
          <w:sz w:val="22"/>
          <w:szCs w:val="22"/>
        </w:rPr>
        <w:t xml:space="preserve"> to the annual statistical summary reporting requirements </w:t>
      </w:r>
      <w:r>
        <w:rPr>
          <w:sz w:val="22"/>
          <w:szCs w:val="22"/>
        </w:rPr>
        <w:t xml:space="preserve">for </w:t>
      </w:r>
      <w:r w:rsidRPr="005A5966">
        <w:rPr>
          <w:sz w:val="22"/>
          <w:szCs w:val="22"/>
        </w:rPr>
        <w:t>HHS</w:t>
      </w:r>
      <w:r>
        <w:rPr>
          <w:sz w:val="22"/>
          <w:szCs w:val="22"/>
        </w:rPr>
        <w:noBreakHyphen/>
      </w:r>
      <w:r w:rsidRPr="005A5966">
        <w:rPr>
          <w:sz w:val="22"/>
          <w:szCs w:val="22"/>
        </w:rPr>
        <w:t>certified laborator</w:t>
      </w:r>
      <w:r>
        <w:rPr>
          <w:sz w:val="22"/>
          <w:szCs w:val="22"/>
        </w:rPr>
        <w:t>ies</w:t>
      </w:r>
      <w:r w:rsidRPr="005A5966">
        <w:rPr>
          <w:sz w:val="22"/>
          <w:szCs w:val="22"/>
        </w:rPr>
        <w:t xml:space="preserve"> in </w:t>
      </w:r>
      <w:r>
        <w:rPr>
          <w:sz w:val="22"/>
          <w:szCs w:val="22"/>
        </w:rPr>
        <w:t>10 CFR </w:t>
      </w:r>
      <w:r w:rsidRPr="005A5966">
        <w:rPr>
          <w:sz w:val="22"/>
          <w:szCs w:val="22"/>
        </w:rPr>
        <w:t xml:space="preserve">26.169(h)(3).  These changes ensure that </w:t>
      </w:r>
      <w:r>
        <w:rPr>
          <w:sz w:val="22"/>
          <w:szCs w:val="22"/>
        </w:rPr>
        <w:t>10 CFR Part 26</w:t>
      </w:r>
      <w:r w:rsidRPr="005A5966">
        <w:rPr>
          <w:sz w:val="22"/>
          <w:szCs w:val="22"/>
        </w:rPr>
        <w:t xml:space="preserve"> is consistent with Section</w:t>
      </w:r>
      <w:r>
        <w:rPr>
          <w:sz w:val="22"/>
          <w:szCs w:val="22"/>
        </w:rPr>
        <w:t> </w:t>
      </w:r>
      <w:r w:rsidRPr="005A5966">
        <w:rPr>
          <w:sz w:val="22"/>
          <w:szCs w:val="22"/>
        </w:rPr>
        <w:t xml:space="preserve">3.4 of the </w:t>
      </w:r>
      <w:r>
        <w:rPr>
          <w:sz w:val="22"/>
          <w:szCs w:val="22"/>
        </w:rPr>
        <w:t>2017 </w:t>
      </w:r>
      <w:r w:rsidRPr="005A5966">
        <w:rPr>
          <w:sz w:val="22"/>
          <w:szCs w:val="22"/>
        </w:rPr>
        <w:t>HHS Guidelines</w:t>
      </w:r>
      <w:r>
        <w:rPr>
          <w:sz w:val="22"/>
          <w:szCs w:val="22"/>
        </w:rPr>
        <w:t xml:space="preserve"> (</w:t>
      </w:r>
      <w:r>
        <w:rPr>
          <w:rFonts w:cs="Arial"/>
          <w:sz w:val="22"/>
          <w:szCs w:val="22"/>
        </w:rPr>
        <w:t>82 FR 7920, January 23, 2017</w:t>
      </w:r>
      <w:r>
        <w:rPr>
          <w:sz w:val="22"/>
          <w:szCs w:val="22"/>
        </w:rPr>
        <w:t>)</w:t>
      </w:r>
      <w:r w:rsidRPr="005A5966">
        <w:rPr>
          <w:sz w:val="22"/>
          <w:szCs w:val="22"/>
        </w:rPr>
        <w:t>.</w:t>
      </w:r>
    </w:p>
    <w:p w:rsidR="00CD4D83" w:rsidP="00CD4D83" w:rsidRDefault="00CD4D83" w14:paraId="130F96F5" w14:textId="77777777">
      <w:pPr>
        <w:tabs>
          <w:tab w:val="left" w:pos="720"/>
        </w:tabs>
        <w:ind w:left="720"/>
        <w:rPr>
          <w:sz w:val="22"/>
          <w:szCs w:val="22"/>
        </w:rPr>
      </w:pPr>
    </w:p>
    <w:p w:rsidRPr="005A5966" w:rsidR="00CD4D83" w:rsidP="00CD4D83" w:rsidRDefault="00CD4D83" w14:paraId="406CB26E" w14:textId="2A18726A">
      <w:pPr>
        <w:tabs>
          <w:tab w:val="left" w:pos="720"/>
        </w:tabs>
        <w:ind w:left="720"/>
        <w:rPr>
          <w:sz w:val="22"/>
          <w:szCs w:val="22"/>
        </w:rPr>
      </w:pPr>
      <w:r w:rsidRPr="005A5966">
        <w:rPr>
          <w:sz w:val="22"/>
          <w:szCs w:val="22"/>
        </w:rPr>
        <w:t>The</w:t>
      </w:r>
      <w:r>
        <w:rPr>
          <w:sz w:val="22"/>
          <w:szCs w:val="22"/>
        </w:rPr>
        <w:t xml:space="preserve"> </w:t>
      </w:r>
      <w:r w:rsidR="00876F41">
        <w:rPr>
          <w:sz w:val="22"/>
          <w:szCs w:val="22"/>
        </w:rPr>
        <w:t xml:space="preserve">final </w:t>
      </w:r>
      <w:r>
        <w:rPr>
          <w:sz w:val="22"/>
          <w:szCs w:val="22"/>
        </w:rPr>
        <w:t>rule revise</w:t>
      </w:r>
      <w:r w:rsidR="006E7E90">
        <w:rPr>
          <w:sz w:val="22"/>
          <w:szCs w:val="22"/>
        </w:rPr>
        <w:t>s</w:t>
      </w:r>
      <w:r w:rsidRPr="005A5966">
        <w:rPr>
          <w:sz w:val="22"/>
          <w:szCs w:val="22"/>
        </w:rPr>
        <w:t xml:space="preserve"> </w:t>
      </w:r>
      <w:r>
        <w:rPr>
          <w:sz w:val="22"/>
          <w:szCs w:val="22"/>
        </w:rPr>
        <w:t xml:space="preserve">the </w:t>
      </w:r>
      <w:r w:rsidRPr="005A5966">
        <w:rPr>
          <w:sz w:val="22"/>
          <w:szCs w:val="22"/>
        </w:rPr>
        <w:t>list of substances to be tested as follows:</w:t>
      </w:r>
    </w:p>
    <w:p w:rsidRPr="005A5966" w:rsidR="00CD4D83" w:rsidP="00CD4D83" w:rsidRDefault="00CD4D83" w14:paraId="2505FF34" w14:textId="77777777">
      <w:pPr>
        <w:tabs>
          <w:tab w:val="left" w:pos="720"/>
        </w:tabs>
        <w:ind w:left="720"/>
        <w:rPr>
          <w:sz w:val="22"/>
          <w:szCs w:val="22"/>
        </w:rPr>
      </w:pPr>
    </w:p>
    <w:p w:rsidR="00CD4D83" w:rsidP="005C6BA3" w:rsidRDefault="00346377" w14:paraId="721C2E2D" w14:textId="5911327B">
      <w:pPr>
        <w:pStyle w:val="ListParagraph"/>
        <w:numPr>
          <w:ilvl w:val="0"/>
          <w:numId w:val="21"/>
        </w:numPr>
        <w:ind w:left="1440" w:hanging="720"/>
        <w:rPr>
          <w:sz w:val="22"/>
          <w:szCs w:val="22"/>
        </w:rPr>
      </w:pPr>
      <w:r>
        <w:rPr>
          <w:sz w:val="22"/>
          <w:szCs w:val="22"/>
        </w:rPr>
        <w:t>i</w:t>
      </w:r>
      <w:r w:rsidRPr="005A5966" w:rsidR="00CD4D83">
        <w:rPr>
          <w:sz w:val="22"/>
          <w:szCs w:val="22"/>
        </w:rPr>
        <w:t>nclude</w:t>
      </w:r>
      <w:r w:rsidR="001803DE">
        <w:rPr>
          <w:sz w:val="22"/>
          <w:szCs w:val="22"/>
        </w:rPr>
        <w:t>s</w:t>
      </w:r>
      <w:r w:rsidRPr="005A5966" w:rsidR="00CD4D83">
        <w:rPr>
          <w:sz w:val="22"/>
          <w:szCs w:val="22"/>
        </w:rPr>
        <w:t xml:space="preserve"> initial </w:t>
      </w:r>
      <w:r w:rsidR="00CD4D83">
        <w:rPr>
          <w:sz w:val="22"/>
          <w:szCs w:val="22"/>
        </w:rPr>
        <w:t xml:space="preserve">drug </w:t>
      </w:r>
      <w:r w:rsidRPr="005A5966" w:rsidR="00CD4D83">
        <w:rPr>
          <w:sz w:val="22"/>
          <w:szCs w:val="22"/>
        </w:rPr>
        <w:t xml:space="preserve">testing for </w:t>
      </w:r>
      <w:r w:rsidRPr="002970CF" w:rsidR="00CD4D83">
        <w:rPr>
          <w:rFonts w:cs="Arial"/>
          <w:sz w:val="22"/>
          <w:szCs w:val="22"/>
        </w:rPr>
        <w:t>hydrocodone and hydromorphone</w:t>
      </w:r>
      <w:r w:rsidR="00CD4D83">
        <w:rPr>
          <w:sz w:val="22"/>
          <w:szCs w:val="22"/>
        </w:rPr>
        <w:t xml:space="preserve"> with a </w:t>
      </w:r>
      <w:r w:rsidR="008D2AA3">
        <w:rPr>
          <w:sz w:val="22"/>
          <w:szCs w:val="22"/>
        </w:rPr>
        <w:t>300</w:t>
      </w:r>
      <w:r>
        <w:rPr>
          <w:sz w:val="22"/>
          <w:szCs w:val="22"/>
        </w:rPr>
        <w:noBreakHyphen/>
      </w:r>
      <w:r w:rsidRPr="008D2AA3" w:rsidR="00CD4D83">
        <w:rPr>
          <w:sz w:val="22"/>
          <w:szCs w:val="22"/>
        </w:rPr>
        <w:t>ng/mL testing cutoff level</w:t>
      </w:r>
    </w:p>
    <w:p w:rsidR="004469BD" w:rsidP="008D2AA3" w:rsidRDefault="004469BD" w14:paraId="272C0219" w14:textId="77777777">
      <w:pPr>
        <w:pStyle w:val="ListParagraph"/>
        <w:ind w:left="1440"/>
        <w:rPr>
          <w:sz w:val="22"/>
          <w:szCs w:val="22"/>
        </w:rPr>
      </w:pPr>
    </w:p>
    <w:p w:rsidR="004469BD" w:rsidP="004469BD" w:rsidRDefault="00346377" w14:paraId="54B9576D" w14:textId="6E1AFFB4">
      <w:pPr>
        <w:pStyle w:val="ListParagraph"/>
        <w:numPr>
          <w:ilvl w:val="0"/>
          <w:numId w:val="21"/>
        </w:numPr>
        <w:ind w:left="1440" w:hanging="720"/>
        <w:rPr>
          <w:sz w:val="22"/>
          <w:szCs w:val="22"/>
        </w:rPr>
      </w:pPr>
      <w:r>
        <w:rPr>
          <w:sz w:val="22"/>
          <w:szCs w:val="22"/>
        </w:rPr>
        <w:t>i</w:t>
      </w:r>
      <w:r w:rsidRPr="005A5966" w:rsidR="004469BD">
        <w:rPr>
          <w:sz w:val="22"/>
          <w:szCs w:val="22"/>
        </w:rPr>
        <w:t>nclude</w:t>
      </w:r>
      <w:r w:rsidR="001803DE">
        <w:rPr>
          <w:sz w:val="22"/>
          <w:szCs w:val="22"/>
        </w:rPr>
        <w:t>s</w:t>
      </w:r>
      <w:r w:rsidRPr="005A5966" w:rsidR="004469BD">
        <w:rPr>
          <w:sz w:val="22"/>
          <w:szCs w:val="22"/>
        </w:rPr>
        <w:t xml:space="preserve"> initial </w:t>
      </w:r>
      <w:r w:rsidR="004469BD">
        <w:rPr>
          <w:sz w:val="22"/>
          <w:szCs w:val="22"/>
        </w:rPr>
        <w:t xml:space="preserve">drug </w:t>
      </w:r>
      <w:r w:rsidRPr="005A5966" w:rsidR="004469BD">
        <w:rPr>
          <w:sz w:val="22"/>
          <w:szCs w:val="22"/>
        </w:rPr>
        <w:t xml:space="preserve">testing for </w:t>
      </w:r>
      <w:r w:rsidRPr="002970CF" w:rsidR="004469BD">
        <w:rPr>
          <w:rFonts w:cs="Arial"/>
          <w:sz w:val="22"/>
          <w:szCs w:val="22"/>
        </w:rPr>
        <w:t>oxycodone</w:t>
      </w:r>
      <w:r w:rsidR="008D2AA3">
        <w:rPr>
          <w:rFonts w:cs="Arial"/>
          <w:sz w:val="22"/>
          <w:szCs w:val="22"/>
        </w:rPr>
        <w:t xml:space="preserve"> and </w:t>
      </w:r>
      <w:r w:rsidRPr="002970CF" w:rsidR="004469BD">
        <w:rPr>
          <w:rFonts w:cs="Arial"/>
          <w:sz w:val="22"/>
          <w:szCs w:val="22"/>
        </w:rPr>
        <w:t>oxymorphone</w:t>
      </w:r>
      <w:r w:rsidR="008D2AA3">
        <w:rPr>
          <w:rFonts w:cs="Arial"/>
          <w:sz w:val="22"/>
          <w:szCs w:val="22"/>
        </w:rPr>
        <w:t xml:space="preserve"> </w:t>
      </w:r>
      <w:r w:rsidR="004469BD">
        <w:rPr>
          <w:sz w:val="22"/>
          <w:szCs w:val="22"/>
        </w:rPr>
        <w:t xml:space="preserve">with a </w:t>
      </w:r>
      <w:r w:rsidR="008D2AA3">
        <w:rPr>
          <w:sz w:val="22"/>
          <w:szCs w:val="22"/>
        </w:rPr>
        <w:t>100</w:t>
      </w:r>
      <w:r w:rsidRPr="008D2AA3" w:rsidR="004469BD">
        <w:rPr>
          <w:sz w:val="22"/>
          <w:szCs w:val="22"/>
        </w:rPr>
        <w:t>-ng/mL testing cutoff level</w:t>
      </w:r>
    </w:p>
    <w:p w:rsidR="004469BD" w:rsidP="008D2AA3" w:rsidRDefault="004469BD" w14:paraId="0BA2F4D8" w14:textId="77777777">
      <w:pPr>
        <w:pStyle w:val="ListParagraph"/>
        <w:ind w:left="1440"/>
        <w:rPr>
          <w:sz w:val="22"/>
          <w:szCs w:val="22"/>
        </w:rPr>
      </w:pPr>
    </w:p>
    <w:p w:rsidR="00CD4D83" w:rsidP="005C6BA3" w:rsidRDefault="00346377" w14:paraId="16B7E10F" w14:textId="46F1FC70">
      <w:pPr>
        <w:pStyle w:val="ListParagraph"/>
        <w:numPr>
          <w:ilvl w:val="0"/>
          <w:numId w:val="21"/>
        </w:numPr>
        <w:ind w:left="1440" w:hanging="720"/>
        <w:rPr>
          <w:sz w:val="22"/>
          <w:szCs w:val="22"/>
        </w:rPr>
      </w:pPr>
      <w:r>
        <w:rPr>
          <w:sz w:val="22"/>
          <w:szCs w:val="22"/>
        </w:rPr>
        <w:t>i</w:t>
      </w:r>
      <w:r w:rsidRPr="005A5966" w:rsidR="00CD4D83">
        <w:rPr>
          <w:sz w:val="22"/>
          <w:szCs w:val="22"/>
        </w:rPr>
        <w:t>nclude</w:t>
      </w:r>
      <w:r w:rsidR="001803DE">
        <w:rPr>
          <w:sz w:val="22"/>
          <w:szCs w:val="22"/>
        </w:rPr>
        <w:t>s</w:t>
      </w:r>
      <w:r w:rsidRPr="005A5966" w:rsidR="00CD4D83">
        <w:rPr>
          <w:sz w:val="22"/>
          <w:szCs w:val="22"/>
        </w:rPr>
        <w:t xml:space="preserve"> confirmatory </w:t>
      </w:r>
      <w:r w:rsidR="00CD4D83">
        <w:rPr>
          <w:sz w:val="22"/>
          <w:szCs w:val="22"/>
        </w:rPr>
        <w:t xml:space="preserve">drug </w:t>
      </w:r>
      <w:r w:rsidRPr="005A5966" w:rsidR="00CD4D83">
        <w:rPr>
          <w:sz w:val="22"/>
          <w:szCs w:val="22"/>
        </w:rPr>
        <w:t xml:space="preserve">testing for </w:t>
      </w:r>
      <w:r w:rsidRPr="002970CF" w:rsidR="00CD4D83">
        <w:rPr>
          <w:rFonts w:cs="Arial"/>
          <w:sz w:val="22"/>
          <w:szCs w:val="22"/>
        </w:rPr>
        <w:t>hydrocodone</w:t>
      </w:r>
      <w:r w:rsidR="008D2AA3">
        <w:rPr>
          <w:rFonts w:cs="Arial"/>
          <w:sz w:val="22"/>
          <w:szCs w:val="22"/>
        </w:rPr>
        <w:t>,</w:t>
      </w:r>
      <w:r w:rsidRPr="002970CF" w:rsidR="00CD4D83">
        <w:rPr>
          <w:rFonts w:cs="Arial"/>
          <w:sz w:val="22"/>
          <w:szCs w:val="22"/>
        </w:rPr>
        <w:t xml:space="preserve"> hydromorphone</w:t>
      </w:r>
      <w:r w:rsidR="008D2AA3">
        <w:rPr>
          <w:rFonts w:cs="Arial"/>
          <w:sz w:val="22"/>
          <w:szCs w:val="22"/>
        </w:rPr>
        <w:t>,</w:t>
      </w:r>
      <w:r w:rsidR="00CD4D83">
        <w:rPr>
          <w:sz w:val="22"/>
          <w:szCs w:val="22"/>
        </w:rPr>
        <w:t xml:space="preserve"> </w:t>
      </w:r>
      <w:r w:rsidRPr="002970CF" w:rsidR="008D2AA3">
        <w:rPr>
          <w:rFonts w:cs="Arial"/>
          <w:sz w:val="22"/>
          <w:szCs w:val="22"/>
        </w:rPr>
        <w:t xml:space="preserve">oxycodone, </w:t>
      </w:r>
      <w:r w:rsidR="008D2AA3">
        <w:rPr>
          <w:rFonts w:cs="Arial"/>
          <w:sz w:val="22"/>
          <w:szCs w:val="22"/>
        </w:rPr>
        <w:t xml:space="preserve">and </w:t>
      </w:r>
      <w:r w:rsidRPr="002970CF" w:rsidR="008D2AA3">
        <w:rPr>
          <w:rFonts w:cs="Arial"/>
          <w:sz w:val="22"/>
          <w:szCs w:val="22"/>
        </w:rPr>
        <w:t xml:space="preserve">oxymorphone </w:t>
      </w:r>
      <w:r w:rsidR="00CD4D83">
        <w:rPr>
          <w:sz w:val="22"/>
          <w:szCs w:val="22"/>
        </w:rPr>
        <w:t xml:space="preserve">with </w:t>
      </w:r>
      <w:r w:rsidRPr="008D2AA3" w:rsidR="008D2AA3">
        <w:rPr>
          <w:sz w:val="22"/>
          <w:szCs w:val="22"/>
        </w:rPr>
        <w:t>100</w:t>
      </w:r>
      <w:r w:rsidRPr="008D2AA3" w:rsidR="00CD4D83">
        <w:rPr>
          <w:sz w:val="22"/>
          <w:szCs w:val="22"/>
        </w:rPr>
        <w:t>-ng/mL testing cutoff levels</w:t>
      </w:r>
    </w:p>
    <w:p w:rsidRPr="005A5966" w:rsidR="00CD4D83" w:rsidP="001A136F" w:rsidRDefault="00CD4D83" w14:paraId="2701DC35" w14:textId="094B4773">
      <w:pPr>
        <w:numPr>
          <w:ilvl w:val="12"/>
          <w:numId w:val="0"/>
        </w:numPr>
        <w:tabs>
          <w:tab w:val="left" w:pos="720"/>
        </w:tabs>
        <w:spacing w:before="220"/>
        <w:ind w:left="720"/>
        <w:rPr>
          <w:sz w:val="22"/>
          <w:szCs w:val="22"/>
        </w:rPr>
      </w:pPr>
      <w:r w:rsidRPr="005A5966">
        <w:rPr>
          <w:sz w:val="22"/>
          <w:szCs w:val="22"/>
        </w:rPr>
        <w:lastRenderedPageBreak/>
        <w:t xml:space="preserve">Testing for </w:t>
      </w:r>
      <w:r>
        <w:rPr>
          <w:sz w:val="22"/>
          <w:szCs w:val="22"/>
        </w:rPr>
        <w:t>these</w:t>
      </w:r>
      <w:r w:rsidRPr="005A5966">
        <w:rPr>
          <w:sz w:val="22"/>
          <w:szCs w:val="22"/>
        </w:rPr>
        <w:t xml:space="preserve"> </w:t>
      </w:r>
      <w:r w:rsidR="002E25B0">
        <w:rPr>
          <w:sz w:val="22"/>
          <w:szCs w:val="22"/>
        </w:rPr>
        <w:t>four</w:t>
      </w:r>
      <w:r w:rsidR="004A7D16">
        <w:rPr>
          <w:sz w:val="22"/>
          <w:szCs w:val="22"/>
        </w:rPr>
        <w:t xml:space="preserve"> opioid pain</w:t>
      </w:r>
      <w:r w:rsidR="00E43939">
        <w:rPr>
          <w:sz w:val="22"/>
          <w:szCs w:val="22"/>
        </w:rPr>
        <w:t xml:space="preserve"> relievers</w:t>
      </w:r>
      <w:r w:rsidRPr="005A5966">
        <w:rPr>
          <w:sz w:val="22"/>
          <w:szCs w:val="22"/>
        </w:rPr>
        <w:t xml:space="preserve"> enable</w:t>
      </w:r>
      <w:r w:rsidR="00355999">
        <w:rPr>
          <w:sz w:val="22"/>
          <w:szCs w:val="22"/>
        </w:rPr>
        <w:t>s</w:t>
      </w:r>
      <w:r w:rsidRPr="005A5966">
        <w:rPr>
          <w:sz w:val="22"/>
          <w:szCs w:val="22"/>
        </w:rPr>
        <w:t xml:space="preserve"> the </w:t>
      </w:r>
      <w:r w:rsidR="004A7D16">
        <w:rPr>
          <w:sz w:val="22"/>
          <w:szCs w:val="22"/>
        </w:rPr>
        <w:t>detection</w:t>
      </w:r>
      <w:r w:rsidRPr="005A5966">
        <w:rPr>
          <w:sz w:val="22"/>
          <w:szCs w:val="22"/>
        </w:rPr>
        <w:t xml:space="preserve"> of </w:t>
      </w:r>
      <w:r w:rsidR="004A7D16">
        <w:rPr>
          <w:sz w:val="22"/>
          <w:szCs w:val="22"/>
        </w:rPr>
        <w:t>impairing</w:t>
      </w:r>
      <w:r w:rsidRPr="005A5966">
        <w:rPr>
          <w:sz w:val="22"/>
          <w:szCs w:val="22"/>
        </w:rPr>
        <w:t xml:space="preserve"> drugs </w:t>
      </w:r>
      <w:r w:rsidR="00A12F04">
        <w:rPr>
          <w:sz w:val="22"/>
          <w:szCs w:val="22"/>
        </w:rPr>
        <w:t>whose use has</w:t>
      </w:r>
      <w:r w:rsidR="004A7D16">
        <w:rPr>
          <w:sz w:val="22"/>
          <w:szCs w:val="22"/>
        </w:rPr>
        <w:t xml:space="preserve"> been </w:t>
      </w:r>
      <w:r w:rsidR="004D7385">
        <w:rPr>
          <w:sz w:val="22"/>
          <w:szCs w:val="22"/>
        </w:rPr>
        <w:t>increasing in society</w:t>
      </w:r>
      <w:r w:rsidR="000A79C2">
        <w:rPr>
          <w:sz w:val="22"/>
          <w:szCs w:val="22"/>
        </w:rPr>
        <w:t xml:space="preserve"> and </w:t>
      </w:r>
      <w:r w:rsidRPr="00900A3E">
        <w:rPr>
          <w:sz w:val="22"/>
          <w:szCs w:val="22"/>
        </w:rPr>
        <w:t xml:space="preserve">that </w:t>
      </w:r>
      <w:r w:rsidRPr="005A5966">
        <w:rPr>
          <w:sz w:val="22"/>
          <w:szCs w:val="22"/>
        </w:rPr>
        <w:t xml:space="preserve">could impair </w:t>
      </w:r>
      <w:r>
        <w:rPr>
          <w:sz w:val="22"/>
          <w:szCs w:val="22"/>
        </w:rPr>
        <w:t xml:space="preserve">human </w:t>
      </w:r>
      <w:r w:rsidRPr="005A5966">
        <w:rPr>
          <w:sz w:val="22"/>
          <w:szCs w:val="22"/>
        </w:rPr>
        <w:t xml:space="preserve">performance.  </w:t>
      </w:r>
      <w:r w:rsidR="00A12F04">
        <w:rPr>
          <w:sz w:val="22"/>
          <w:szCs w:val="22"/>
        </w:rPr>
        <w:t>The final rule adds h</w:t>
      </w:r>
      <w:r w:rsidRPr="00900A3E">
        <w:rPr>
          <w:rFonts w:cs="Arial"/>
          <w:sz w:val="22"/>
          <w:szCs w:val="22"/>
        </w:rPr>
        <w:t>ydrocodone</w:t>
      </w:r>
      <w:r w:rsidRPr="00900A3E" w:rsidR="003327A0">
        <w:rPr>
          <w:rFonts w:cs="Arial"/>
          <w:sz w:val="22"/>
          <w:szCs w:val="22"/>
        </w:rPr>
        <w:t xml:space="preserve">, </w:t>
      </w:r>
      <w:r w:rsidRPr="00900A3E">
        <w:rPr>
          <w:rFonts w:cs="Arial"/>
          <w:sz w:val="22"/>
          <w:szCs w:val="22"/>
        </w:rPr>
        <w:t>hydromorphone</w:t>
      </w:r>
      <w:r w:rsidRPr="00900A3E" w:rsidR="003327A0">
        <w:rPr>
          <w:rFonts w:cs="Arial"/>
          <w:sz w:val="22"/>
          <w:szCs w:val="22"/>
        </w:rPr>
        <w:t>, oxycodone, and oxymorphone</w:t>
      </w:r>
      <w:r w:rsidRPr="00900A3E">
        <w:rPr>
          <w:sz w:val="22"/>
          <w:szCs w:val="22"/>
        </w:rPr>
        <w:t xml:space="preserve"> to the drug testing panels because of their prevalence </w:t>
      </w:r>
      <w:r w:rsidR="007166BB">
        <w:rPr>
          <w:sz w:val="22"/>
          <w:szCs w:val="22"/>
        </w:rPr>
        <w:t xml:space="preserve">of use </w:t>
      </w:r>
      <w:r w:rsidRPr="00900A3E">
        <w:rPr>
          <w:sz w:val="22"/>
          <w:szCs w:val="22"/>
        </w:rPr>
        <w:t xml:space="preserve">and </w:t>
      </w:r>
      <w:r w:rsidR="00EF343D">
        <w:rPr>
          <w:sz w:val="22"/>
          <w:szCs w:val="22"/>
        </w:rPr>
        <w:t xml:space="preserve">potential </w:t>
      </w:r>
      <w:r w:rsidRPr="00900A3E">
        <w:rPr>
          <w:sz w:val="22"/>
          <w:szCs w:val="22"/>
        </w:rPr>
        <w:t>adverse effects on persons in the workplace.</w:t>
      </w:r>
      <w:r>
        <w:rPr>
          <w:sz w:val="22"/>
          <w:szCs w:val="22"/>
        </w:rPr>
        <w:t xml:space="preserve">  Testing </w:t>
      </w:r>
      <w:r w:rsidRPr="00194892">
        <w:rPr>
          <w:sz w:val="22"/>
          <w:szCs w:val="22"/>
        </w:rPr>
        <w:t xml:space="preserve">for </w:t>
      </w:r>
      <w:r>
        <w:rPr>
          <w:sz w:val="22"/>
          <w:szCs w:val="22"/>
        </w:rPr>
        <w:t>these substances</w:t>
      </w:r>
      <w:r w:rsidRPr="00194892">
        <w:rPr>
          <w:sz w:val="22"/>
          <w:szCs w:val="22"/>
        </w:rPr>
        <w:t xml:space="preserve"> also</w:t>
      </w:r>
      <w:r>
        <w:rPr>
          <w:sz w:val="22"/>
          <w:szCs w:val="22"/>
        </w:rPr>
        <w:t xml:space="preserve"> may </w:t>
      </w:r>
      <w:r w:rsidRPr="009429D6">
        <w:rPr>
          <w:sz w:val="22"/>
          <w:szCs w:val="22"/>
        </w:rPr>
        <w:t xml:space="preserve">deter additional individuals from seeking employment in </w:t>
      </w:r>
      <w:r>
        <w:rPr>
          <w:sz w:val="22"/>
          <w:szCs w:val="22"/>
        </w:rPr>
        <w:t>10 CFR Part 26</w:t>
      </w:r>
      <w:r w:rsidRPr="009429D6">
        <w:rPr>
          <w:sz w:val="22"/>
          <w:szCs w:val="22"/>
        </w:rPr>
        <w:t xml:space="preserve"> regulated workplaces.</w:t>
      </w:r>
    </w:p>
    <w:p w:rsidRPr="00CD4D83" w:rsidR="00CD4D83" w:rsidP="00CD4D83" w:rsidRDefault="00CD4D83" w14:paraId="29F717CB" w14:textId="77777777">
      <w:pPr>
        <w:pStyle w:val="ListParagraph"/>
        <w:tabs>
          <w:tab w:val="left" w:pos="720"/>
        </w:tabs>
        <w:rPr>
          <w:iCs/>
          <w:sz w:val="22"/>
          <w:szCs w:val="22"/>
        </w:rPr>
      </w:pPr>
    </w:p>
    <w:p w:rsidRPr="005A5966" w:rsidR="00D520BD" w:rsidP="005C6BA3" w:rsidRDefault="00D520BD" w14:paraId="6A05E5B6" w14:textId="77777777">
      <w:pPr>
        <w:pStyle w:val="ListParagraph"/>
        <w:keepNext/>
        <w:numPr>
          <w:ilvl w:val="0"/>
          <w:numId w:val="4"/>
        </w:numPr>
        <w:tabs>
          <w:tab w:val="left" w:pos="720"/>
        </w:tabs>
        <w:ind w:left="720" w:hanging="720"/>
        <w:rPr>
          <w:i/>
          <w:sz w:val="22"/>
          <w:szCs w:val="22"/>
        </w:rPr>
      </w:pPr>
      <w:r w:rsidRPr="005A5966">
        <w:rPr>
          <w:i/>
          <w:sz w:val="22"/>
          <w:szCs w:val="22"/>
        </w:rPr>
        <w:t xml:space="preserve">Required special analyses testing </w:t>
      </w:r>
      <w:r>
        <w:rPr>
          <w:i/>
          <w:sz w:val="22"/>
          <w:szCs w:val="22"/>
        </w:rPr>
        <w:t xml:space="preserve">of </w:t>
      </w:r>
      <w:r w:rsidRPr="005A5966">
        <w:rPr>
          <w:i/>
          <w:sz w:val="22"/>
          <w:szCs w:val="22"/>
        </w:rPr>
        <w:t>dilute specimens and specimens collected during suspected subversion attempts.</w:t>
      </w:r>
    </w:p>
    <w:p w:rsidRPr="005A5966" w:rsidR="00D520BD" w:rsidP="00CD4D83" w:rsidRDefault="00D520BD" w14:paraId="7F4A7538" w14:textId="77777777">
      <w:pPr>
        <w:keepNext/>
        <w:rPr>
          <w:sz w:val="22"/>
          <w:szCs w:val="22"/>
        </w:rPr>
      </w:pPr>
    </w:p>
    <w:p w:rsidRPr="005A5966" w:rsidR="00D520BD" w:rsidP="00D520BD" w:rsidRDefault="00D520BD" w14:paraId="667FDA14" w14:textId="1DA34CA8">
      <w:pPr>
        <w:ind w:left="720"/>
        <w:rPr>
          <w:rFonts w:cs="Arial"/>
          <w:sz w:val="22"/>
          <w:szCs w:val="22"/>
        </w:rPr>
      </w:pPr>
      <w:r w:rsidRPr="005A5966">
        <w:rPr>
          <w:rFonts w:cs="Arial"/>
          <w:sz w:val="22"/>
          <w:szCs w:val="22"/>
        </w:rPr>
        <w:t xml:space="preserve">Existing </w:t>
      </w:r>
      <w:r>
        <w:rPr>
          <w:rFonts w:cs="Arial"/>
          <w:sz w:val="22"/>
          <w:szCs w:val="22"/>
        </w:rPr>
        <w:t xml:space="preserve">regulations in </w:t>
      </w:r>
      <w:r>
        <w:rPr>
          <w:sz w:val="22"/>
          <w:szCs w:val="22"/>
        </w:rPr>
        <w:t>10 CFR </w:t>
      </w:r>
      <w:r w:rsidRPr="005A5966">
        <w:rPr>
          <w:rFonts w:cs="Arial"/>
          <w:sz w:val="22"/>
          <w:szCs w:val="22"/>
        </w:rPr>
        <w:t xml:space="preserve">26.163(a)(2) provide licensees with the </w:t>
      </w:r>
      <w:r w:rsidRPr="00C75CE2">
        <w:rPr>
          <w:rFonts w:cs="Arial"/>
          <w:iCs/>
          <w:sz w:val="22"/>
          <w:szCs w:val="22"/>
        </w:rPr>
        <w:t>option</w:t>
      </w:r>
      <w:r w:rsidRPr="005A5966">
        <w:rPr>
          <w:rFonts w:cs="Arial"/>
          <w:sz w:val="22"/>
          <w:szCs w:val="22"/>
        </w:rPr>
        <w:t xml:space="preserve"> to conduct special analyses </w:t>
      </w:r>
      <w:r>
        <w:rPr>
          <w:rFonts w:cs="Arial"/>
          <w:sz w:val="22"/>
          <w:szCs w:val="22"/>
        </w:rPr>
        <w:t xml:space="preserve">testing </w:t>
      </w:r>
      <w:r w:rsidRPr="005A5966">
        <w:rPr>
          <w:rFonts w:cs="Arial"/>
          <w:sz w:val="22"/>
          <w:szCs w:val="22"/>
        </w:rPr>
        <w:t>on a</w:t>
      </w:r>
      <w:r>
        <w:rPr>
          <w:rFonts w:cs="Arial"/>
          <w:sz w:val="22"/>
          <w:szCs w:val="22"/>
        </w:rPr>
        <w:t>ny</w:t>
      </w:r>
      <w:r w:rsidRPr="005A5966">
        <w:rPr>
          <w:rFonts w:cs="Arial"/>
          <w:sz w:val="22"/>
          <w:szCs w:val="22"/>
        </w:rPr>
        <w:t xml:space="preserve"> urine specimen with a dil</w:t>
      </w:r>
      <w:r>
        <w:rPr>
          <w:rFonts w:cs="Arial"/>
          <w:sz w:val="22"/>
          <w:szCs w:val="22"/>
        </w:rPr>
        <w:t>ute validity test result (i.e.</w:t>
      </w:r>
      <w:r w:rsidR="00646A79">
        <w:rPr>
          <w:rFonts w:cs="Arial"/>
          <w:sz w:val="22"/>
          <w:szCs w:val="22"/>
        </w:rPr>
        <w:t>,</w:t>
      </w:r>
      <w:r>
        <w:rPr>
          <w:rFonts w:cs="Arial"/>
          <w:sz w:val="22"/>
          <w:szCs w:val="22"/>
        </w:rPr>
        <w:t> </w:t>
      </w:r>
      <w:r w:rsidRPr="005A5966">
        <w:rPr>
          <w:rFonts w:cs="Arial"/>
          <w:sz w:val="22"/>
          <w:szCs w:val="22"/>
        </w:rPr>
        <w:t>a creatinine concentration greater than or equal to 2</w:t>
      </w:r>
      <w:r>
        <w:rPr>
          <w:rFonts w:cs="Arial"/>
          <w:sz w:val="22"/>
          <w:szCs w:val="22"/>
        </w:rPr>
        <w:t> </w:t>
      </w:r>
      <w:r w:rsidRPr="005A5966">
        <w:rPr>
          <w:rFonts w:cs="Arial"/>
          <w:sz w:val="22"/>
          <w:szCs w:val="22"/>
        </w:rPr>
        <w:t>milligrams</w:t>
      </w:r>
      <w:r w:rsidR="004D3FE0">
        <w:rPr>
          <w:rFonts w:cs="Arial"/>
          <w:sz w:val="22"/>
          <w:szCs w:val="22"/>
        </w:rPr>
        <w:t xml:space="preserve"> (mg)</w:t>
      </w:r>
      <w:r w:rsidRPr="005A5966">
        <w:rPr>
          <w:rFonts w:cs="Arial"/>
          <w:sz w:val="22"/>
          <w:szCs w:val="22"/>
        </w:rPr>
        <w:t xml:space="preserve"> per deciliter (dL) but less than 20</w:t>
      </w:r>
      <w:r>
        <w:rPr>
          <w:rFonts w:cs="Arial"/>
          <w:sz w:val="22"/>
          <w:szCs w:val="22"/>
        </w:rPr>
        <w:t> </w:t>
      </w:r>
      <w:r w:rsidRPr="005A5966">
        <w:rPr>
          <w:rFonts w:cs="Arial"/>
          <w:sz w:val="22"/>
          <w:szCs w:val="22"/>
        </w:rPr>
        <w:t xml:space="preserve">mg/dL).  </w:t>
      </w:r>
      <w:r>
        <w:rPr>
          <w:rFonts w:cs="Arial"/>
          <w:sz w:val="22"/>
          <w:szCs w:val="22"/>
        </w:rPr>
        <w:t>S</w:t>
      </w:r>
      <w:r w:rsidRPr="005A5966">
        <w:rPr>
          <w:rFonts w:cs="Arial"/>
          <w:sz w:val="22"/>
          <w:szCs w:val="22"/>
        </w:rPr>
        <w:t xml:space="preserve">pecial analyses </w:t>
      </w:r>
      <w:r>
        <w:rPr>
          <w:rFonts w:cs="Arial"/>
          <w:sz w:val="22"/>
          <w:szCs w:val="22"/>
        </w:rPr>
        <w:t xml:space="preserve">testing </w:t>
      </w:r>
      <w:r w:rsidRPr="005A5966">
        <w:rPr>
          <w:rFonts w:cs="Arial"/>
          <w:sz w:val="22"/>
          <w:szCs w:val="22"/>
        </w:rPr>
        <w:t>consist</w:t>
      </w:r>
      <w:r>
        <w:rPr>
          <w:rFonts w:cs="Arial"/>
          <w:sz w:val="22"/>
          <w:szCs w:val="22"/>
        </w:rPr>
        <w:t>s</w:t>
      </w:r>
      <w:r w:rsidRPr="005A5966">
        <w:rPr>
          <w:rFonts w:cs="Arial"/>
          <w:sz w:val="22"/>
          <w:szCs w:val="22"/>
        </w:rPr>
        <w:t xml:space="preserve"> of conducting confirmatory</w:t>
      </w:r>
      <w:r>
        <w:rPr>
          <w:rFonts w:cs="Arial"/>
          <w:sz w:val="22"/>
          <w:szCs w:val="22"/>
        </w:rPr>
        <w:t xml:space="preserve"> drug testing to the LOD</w:t>
      </w:r>
      <w:r w:rsidRPr="005A5966">
        <w:rPr>
          <w:rFonts w:cs="Arial"/>
          <w:sz w:val="22"/>
          <w:szCs w:val="22"/>
        </w:rPr>
        <w:t xml:space="preserve"> for any drug with an initial test </w:t>
      </w:r>
      <w:r>
        <w:rPr>
          <w:rFonts w:cs="Arial"/>
          <w:sz w:val="22"/>
          <w:szCs w:val="22"/>
        </w:rPr>
        <w:t>result (i.e.</w:t>
      </w:r>
      <w:r w:rsidR="00646A79">
        <w:rPr>
          <w:rFonts w:cs="Arial"/>
          <w:sz w:val="22"/>
          <w:szCs w:val="22"/>
        </w:rPr>
        <w:t>,</w:t>
      </w:r>
      <w:r>
        <w:rPr>
          <w:rFonts w:cs="Arial"/>
          <w:sz w:val="22"/>
          <w:szCs w:val="22"/>
        </w:rPr>
        <w:t xml:space="preserve"> immunoassay response) </w:t>
      </w:r>
      <w:r w:rsidRPr="005A5966">
        <w:rPr>
          <w:rFonts w:cs="Arial"/>
          <w:sz w:val="22"/>
          <w:szCs w:val="22"/>
        </w:rPr>
        <w:t>equal to or greater than 50</w:t>
      </w:r>
      <w:r>
        <w:rPr>
          <w:rFonts w:cs="Arial"/>
          <w:sz w:val="22"/>
          <w:szCs w:val="22"/>
        </w:rPr>
        <w:t> </w:t>
      </w:r>
      <w:r w:rsidRPr="005A5966">
        <w:rPr>
          <w:rFonts w:cs="Arial"/>
          <w:sz w:val="22"/>
          <w:szCs w:val="22"/>
        </w:rPr>
        <w:t xml:space="preserve">percent of the </w:t>
      </w:r>
      <w:r>
        <w:rPr>
          <w:rFonts w:cs="Arial"/>
          <w:sz w:val="22"/>
          <w:szCs w:val="22"/>
        </w:rPr>
        <w:t xml:space="preserve">testing </w:t>
      </w:r>
      <w:r w:rsidRPr="005A5966">
        <w:rPr>
          <w:rFonts w:cs="Arial"/>
          <w:sz w:val="22"/>
          <w:szCs w:val="22"/>
        </w:rPr>
        <w:t xml:space="preserve">cutoff </w:t>
      </w:r>
      <w:r>
        <w:rPr>
          <w:rFonts w:cs="Arial"/>
          <w:sz w:val="22"/>
          <w:szCs w:val="22"/>
        </w:rPr>
        <w:t>level</w:t>
      </w:r>
      <w:r w:rsidRPr="005A5966">
        <w:rPr>
          <w:rFonts w:cs="Arial"/>
          <w:sz w:val="22"/>
          <w:szCs w:val="22"/>
        </w:rPr>
        <w:t>.</w:t>
      </w:r>
    </w:p>
    <w:p w:rsidRPr="005A5966" w:rsidR="00D520BD" w:rsidP="00D520BD" w:rsidRDefault="00D520BD" w14:paraId="51DE3178" w14:textId="10F56FED">
      <w:pPr>
        <w:ind w:left="720"/>
        <w:rPr>
          <w:rFonts w:cs="Arial"/>
          <w:sz w:val="22"/>
          <w:szCs w:val="22"/>
        </w:rPr>
      </w:pPr>
    </w:p>
    <w:p w:rsidRPr="005A5966" w:rsidR="00D520BD" w:rsidP="00D520BD" w:rsidRDefault="00D520BD" w14:paraId="541C9A44" w14:textId="3D076963">
      <w:pPr>
        <w:ind w:left="720"/>
        <w:rPr>
          <w:rFonts w:cs="Arial"/>
          <w:sz w:val="22"/>
          <w:szCs w:val="22"/>
        </w:rPr>
      </w:pPr>
      <w:r w:rsidRPr="005A5966">
        <w:rPr>
          <w:rFonts w:cs="Arial"/>
          <w:sz w:val="22"/>
          <w:szCs w:val="22"/>
        </w:rPr>
        <w:t xml:space="preserve">The </w:t>
      </w:r>
      <w:r w:rsidR="00A22CF8">
        <w:rPr>
          <w:rFonts w:cs="Arial"/>
          <w:sz w:val="22"/>
          <w:szCs w:val="22"/>
        </w:rPr>
        <w:t xml:space="preserve">final rule includes </w:t>
      </w:r>
      <w:r w:rsidRPr="005A5966">
        <w:rPr>
          <w:rFonts w:cs="Arial"/>
          <w:sz w:val="22"/>
          <w:szCs w:val="22"/>
        </w:rPr>
        <w:t>three changes:</w:t>
      </w:r>
    </w:p>
    <w:p w:rsidRPr="005A5966" w:rsidR="00D520BD" w:rsidP="00D520BD" w:rsidRDefault="00D520BD" w14:paraId="6856FC17" w14:textId="77777777">
      <w:pPr>
        <w:ind w:left="720"/>
        <w:rPr>
          <w:rFonts w:cs="Arial"/>
          <w:sz w:val="22"/>
          <w:szCs w:val="22"/>
        </w:rPr>
      </w:pPr>
    </w:p>
    <w:p w:rsidRPr="00B10C2E" w:rsidR="00D520BD" w:rsidP="005C6BA3" w:rsidRDefault="00536EEC" w14:paraId="6C11F2F1" w14:textId="7C3C3E81">
      <w:pPr>
        <w:pStyle w:val="ListParagraph"/>
        <w:numPr>
          <w:ilvl w:val="0"/>
          <w:numId w:val="34"/>
        </w:numPr>
        <w:tabs>
          <w:tab w:val="left" w:pos="1440"/>
        </w:tabs>
        <w:ind w:left="1440" w:hanging="720"/>
        <w:rPr>
          <w:sz w:val="22"/>
          <w:szCs w:val="22"/>
        </w:rPr>
      </w:pPr>
      <w:r>
        <w:rPr>
          <w:sz w:val="22"/>
          <w:szCs w:val="22"/>
        </w:rPr>
        <w:t>r</w:t>
      </w:r>
      <w:r w:rsidRPr="00B10C2E" w:rsidR="00D520BD">
        <w:rPr>
          <w:sz w:val="22"/>
          <w:szCs w:val="22"/>
        </w:rPr>
        <w:t>equire</w:t>
      </w:r>
      <w:r w:rsidR="00EF343D">
        <w:rPr>
          <w:sz w:val="22"/>
          <w:szCs w:val="22"/>
        </w:rPr>
        <w:t>s</w:t>
      </w:r>
      <w:r w:rsidRPr="00B10C2E" w:rsidR="00D520BD">
        <w:rPr>
          <w:sz w:val="22"/>
          <w:szCs w:val="22"/>
        </w:rPr>
        <w:t xml:space="preserve"> special analyses testing for any drug in a dilute specimen with an initial drug test result that is equal to or greater than 40</w:t>
      </w:r>
      <w:r w:rsidR="00D520BD">
        <w:rPr>
          <w:sz w:val="22"/>
          <w:szCs w:val="22"/>
        </w:rPr>
        <w:t> </w:t>
      </w:r>
      <w:r w:rsidRPr="00B10C2E" w:rsidR="00D520BD">
        <w:rPr>
          <w:sz w:val="22"/>
          <w:szCs w:val="22"/>
        </w:rPr>
        <w:t>percent of the testing cutoff level</w:t>
      </w:r>
    </w:p>
    <w:p w:rsidRPr="003A0528" w:rsidR="00D520BD" w:rsidP="00D520BD" w:rsidRDefault="00D520BD" w14:paraId="07A1F9AC" w14:textId="77777777">
      <w:pPr>
        <w:pStyle w:val="ListParagraph"/>
        <w:tabs>
          <w:tab w:val="left" w:pos="1440"/>
        </w:tabs>
        <w:ind w:left="1440" w:hanging="720"/>
        <w:rPr>
          <w:sz w:val="22"/>
          <w:szCs w:val="22"/>
        </w:rPr>
      </w:pPr>
    </w:p>
    <w:p w:rsidRPr="00B10C2E" w:rsidR="00D520BD" w:rsidP="005C6BA3" w:rsidRDefault="00536EEC" w14:paraId="6BF3E12C" w14:textId="2E36C663">
      <w:pPr>
        <w:pStyle w:val="ListParagraph"/>
        <w:numPr>
          <w:ilvl w:val="0"/>
          <w:numId w:val="34"/>
        </w:numPr>
        <w:tabs>
          <w:tab w:val="left" w:pos="1440"/>
        </w:tabs>
        <w:ind w:left="1440" w:hanging="720"/>
        <w:rPr>
          <w:sz w:val="22"/>
          <w:szCs w:val="22"/>
        </w:rPr>
      </w:pPr>
      <w:r>
        <w:rPr>
          <w:sz w:val="22"/>
          <w:szCs w:val="22"/>
        </w:rPr>
        <w:t>e</w:t>
      </w:r>
      <w:r w:rsidRPr="00B10C2E" w:rsidR="00D520BD">
        <w:rPr>
          <w:sz w:val="22"/>
          <w:szCs w:val="22"/>
        </w:rPr>
        <w:t>xpand</w:t>
      </w:r>
      <w:r w:rsidR="00EF343D">
        <w:rPr>
          <w:sz w:val="22"/>
          <w:szCs w:val="22"/>
        </w:rPr>
        <w:t>s</w:t>
      </w:r>
      <w:r w:rsidRPr="00B10C2E" w:rsidR="00D520BD">
        <w:rPr>
          <w:sz w:val="22"/>
          <w:szCs w:val="22"/>
        </w:rPr>
        <w:t xml:space="preserve"> special analyses testing to circumstances </w:t>
      </w:r>
      <w:r w:rsidR="00D520BD">
        <w:rPr>
          <w:sz w:val="22"/>
          <w:szCs w:val="22"/>
        </w:rPr>
        <w:t>in which</w:t>
      </w:r>
      <w:r w:rsidRPr="00B10C2E" w:rsidR="00D520BD">
        <w:rPr>
          <w:sz w:val="22"/>
          <w:szCs w:val="22"/>
        </w:rPr>
        <w:t xml:space="preserve"> a subversion attempt is suspected during the specimen collection process (e.g.</w:t>
      </w:r>
      <w:r w:rsidR="00646A79">
        <w:rPr>
          <w:sz w:val="22"/>
          <w:szCs w:val="22"/>
        </w:rPr>
        <w:t>,</w:t>
      </w:r>
      <w:r w:rsidR="00D520BD">
        <w:rPr>
          <w:sz w:val="22"/>
          <w:szCs w:val="22"/>
        </w:rPr>
        <w:t> </w:t>
      </w:r>
      <w:r w:rsidRPr="00B10C2E" w:rsidR="00D520BD">
        <w:rPr>
          <w:sz w:val="22"/>
          <w:szCs w:val="22"/>
        </w:rPr>
        <w:t xml:space="preserve">if the initial specimen is out of </w:t>
      </w:r>
      <w:r w:rsidR="00D520BD">
        <w:rPr>
          <w:sz w:val="22"/>
          <w:szCs w:val="22"/>
        </w:rPr>
        <w:t xml:space="preserve">the expected </w:t>
      </w:r>
      <w:r w:rsidRPr="00B10C2E" w:rsidR="00D520BD">
        <w:rPr>
          <w:sz w:val="22"/>
          <w:szCs w:val="22"/>
        </w:rPr>
        <w:t>temperature range</w:t>
      </w:r>
      <w:r w:rsidR="00646A79">
        <w:rPr>
          <w:sz w:val="22"/>
          <w:szCs w:val="22"/>
        </w:rPr>
        <w:t>,</w:t>
      </w:r>
      <w:r w:rsidRPr="00B10C2E" w:rsidR="00D520BD">
        <w:rPr>
          <w:sz w:val="22"/>
          <w:szCs w:val="22"/>
        </w:rPr>
        <w:t xml:space="preserve"> the second specimen collected under direct observation would be subject to the special analyses provisions)</w:t>
      </w:r>
    </w:p>
    <w:p w:rsidRPr="00FB137C" w:rsidR="00D520BD" w:rsidP="00D520BD" w:rsidRDefault="00D520BD" w14:paraId="06123CD7" w14:textId="77777777">
      <w:pPr>
        <w:pStyle w:val="ListParagraph"/>
        <w:tabs>
          <w:tab w:val="left" w:pos="1440"/>
        </w:tabs>
        <w:ind w:left="1440" w:hanging="720"/>
        <w:rPr>
          <w:sz w:val="22"/>
          <w:szCs w:val="22"/>
        </w:rPr>
      </w:pPr>
    </w:p>
    <w:p w:rsidR="00D520BD" w:rsidP="005C6BA3" w:rsidRDefault="00536EEC" w14:paraId="04B4AE4B" w14:textId="6731CAC1">
      <w:pPr>
        <w:pStyle w:val="ListParagraph"/>
        <w:numPr>
          <w:ilvl w:val="0"/>
          <w:numId w:val="34"/>
        </w:numPr>
        <w:tabs>
          <w:tab w:val="left" w:pos="1440"/>
        </w:tabs>
        <w:ind w:left="1440" w:hanging="720"/>
        <w:rPr>
          <w:sz w:val="22"/>
          <w:szCs w:val="22"/>
        </w:rPr>
      </w:pPr>
      <w:r>
        <w:rPr>
          <w:sz w:val="22"/>
          <w:szCs w:val="22"/>
        </w:rPr>
        <w:t>u</w:t>
      </w:r>
      <w:r w:rsidRPr="001237A0" w:rsidR="00D520BD">
        <w:rPr>
          <w:sz w:val="22"/>
          <w:szCs w:val="22"/>
        </w:rPr>
        <w:t xml:space="preserve">se </w:t>
      </w:r>
      <w:r w:rsidR="00EF343D">
        <w:rPr>
          <w:sz w:val="22"/>
          <w:szCs w:val="22"/>
        </w:rPr>
        <w:t>of</w:t>
      </w:r>
      <w:r w:rsidRPr="001237A0" w:rsidR="00D520BD">
        <w:rPr>
          <w:sz w:val="22"/>
          <w:szCs w:val="22"/>
        </w:rPr>
        <w:t xml:space="preserve"> the LOQ instead of </w:t>
      </w:r>
      <w:r w:rsidR="00D520BD">
        <w:rPr>
          <w:sz w:val="22"/>
          <w:szCs w:val="22"/>
        </w:rPr>
        <w:t xml:space="preserve">the </w:t>
      </w:r>
      <w:r w:rsidRPr="001237A0" w:rsidR="00D520BD">
        <w:rPr>
          <w:sz w:val="22"/>
          <w:szCs w:val="22"/>
        </w:rPr>
        <w:t>LOD as the level at which confirmatory drug testing is to be conducted</w:t>
      </w:r>
    </w:p>
    <w:p w:rsidRPr="00447449" w:rsidR="00D520BD" w:rsidP="00D520BD" w:rsidRDefault="00D520BD" w14:paraId="228F30D7" w14:textId="77777777">
      <w:pPr>
        <w:tabs>
          <w:tab w:val="left" w:pos="1080"/>
        </w:tabs>
        <w:ind w:left="720"/>
        <w:rPr>
          <w:sz w:val="22"/>
          <w:szCs w:val="22"/>
        </w:rPr>
      </w:pPr>
    </w:p>
    <w:p w:rsidRPr="005A5966" w:rsidR="00D520BD" w:rsidP="00D520BD" w:rsidRDefault="00D520BD" w14:paraId="6A51676B" w14:textId="01EBF597">
      <w:pPr>
        <w:numPr>
          <w:ilvl w:val="12"/>
          <w:numId w:val="0"/>
        </w:numPr>
        <w:tabs>
          <w:tab w:val="left" w:pos="721"/>
        </w:tabs>
        <w:ind w:left="720"/>
        <w:rPr>
          <w:rFonts w:cs="Arial"/>
          <w:sz w:val="22"/>
          <w:szCs w:val="22"/>
        </w:rPr>
      </w:pPr>
      <w:r w:rsidRPr="005A5966">
        <w:rPr>
          <w:rFonts w:cs="Arial"/>
          <w:sz w:val="22"/>
          <w:szCs w:val="22"/>
        </w:rPr>
        <w:t xml:space="preserve">These three changes enhance the detection of </w:t>
      </w:r>
      <w:r>
        <w:rPr>
          <w:rFonts w:cs="Arial"/>
          <w:sz w:val="22"/>
          <w:szCs w:val="22"/>
        </w:rPr>
        <w:t xml:space="preserve">individuals using </w:t>
      </w:r>
      <w:r w:rsidRPr="005A5966">
        <w:rPr>
          <w:rFonts w:cs="Arial"/>
          <w:sz w:val="22"/>
          <w:szCs w:val="22"/>
        </w:rPr>
        <w:t>illegal drug</w:t>
      </w:r>
      <w:r>
        <w:rPr>
          <w:rFonts w:cs="Arial"/>
          <w:sz w:val="22"/>
          <w:szCs w:val="22"/>
        </w:rPr>
        <w:t>s or misusing legal drugs</w:t>
      </w:r>
      <w:r w:rsidR="00646A79">
        <w:rPr>
          <w:rFonts w:cs="Arial"/>
          <w:sz w:val="22"/>
          <w:szCs w:val="22"/>
        </w:rPr>
        <w:t>,</w:t>
      </w:r>
      <w:r>
        <w:rPr>
          <w:rFonts w:cs="Arial"/>
          <w:sz w:val="22"/>
          <w:szCs w:val="22"/>
        </w:rPr>
        <w:t xml:space="preserve"> or both</w:t>
      </w:r>
      <w:r w:rsidR="00646A79">
        <w:rPr>
          <w:rFonts w:cs="Arial"/>
          <w:sz w:val="22"/>
          <w:szCs w:val="22"/>
        </w:rPr>
        <w:t>,</w:t>
      </w:r>
      <w:r w:rsidRPr="005A5966">
        <w:rPr>
          <w:rFonts w:cs="Arial"/>
          <w:sz w:val="22"/>
          <w:szCs w:val="22"/>
        </w:rPr>
        <w:t xml:space="preserve"> </w:t>
      </w:r>
      <w:r>
        <w:rPr>
          <w:rFonts w:cs="Arial"/>
          <w:sz w:val="22"/>
          <w:szCs w:val="22"/>
        </w:rPr>
        <w:t xml:space="preserve">in circumstances </w:t>
      </w:r>
      <w:r w:rsidR="006C51CA">
        <w:rPr>
          <w:rFonts w:cs="Arial"/>
          <w:sz w:val="22"/>
          <w:szCs w:val="22"/>
        </w:rPr>
        <w:t>when</w:t>
      </w:r>
      <w:r w:rsidRPr="005A5966">
        <w:rPr>
          <w:rFonts w:cs="Arial"/>
          <w:sz w:val="22"/>
          <w:szCs w:val="22"/>
        </w:rPr>
        <w:t xml:space="preserve"> </w:t>
      </w:r>
      <w:r>
        <w:rPr>
          <w:rFonts w:cs="Arial"/>
          <w:sz w:val="22"/>
          <w:szCs w:val="22"/>
        </w:rPr>
        <w:t xml:space="preserve">the urine </w:t>
      </w:r>
      <w:r w:rsidRPr="005A5966">
        <w:rPr>
          <w:rFonts w:cs="Arial"/>
          <w:sz w:val="22"/>
          <w:szCs w:val="22"/>
        </w:rPr>
        <w:t xml:space="preserve">specimens </w:t>
      </w:r>
      <w:r>
        <w:rPr>
          <w:rFonts w:cs="Arial"/>
          <w:sz w:val="22"/>
          <w:szCs w:val="22"/>
        </w:rPr>
        <w:t xml:space="preserve">provided </w:t>
      </w:r>
      <w:r w:rsidRPr="005A5966">
        <w:rPr>
          <w:rFonts w:cs="Arial"/>
          <w:sz w:val="22"/>
          <w:szCs w:val="22"/>
        </w:rPr>
        <w:t xml:space="preserve">do not present normal physiological characteristics.  The </w:t>
      </w:r>
      <w:r w:rsidR="00FC6707">
        <w:rPr>
          <w:rFonts w:cs="Arial"/>
          <w:sz w:val="22"/>
          <w:szCs w:val="22"/>
        </w:rPr>
        <w:t xml:space="preserve">2008 and </w:t>
      </w:r>
      <w:r w:rsidR="007D5F30">
        <w:rPr>
          <w:rFonts w:cs="Arial"/>
          <w:sz w:val="22"/>
          <w:szCs w:val="22"/>
        </w:rPr>
        <w:t>2017</w:t>
      </w:r>
      <w:r>
        <w:rPr>
          <w:rFonts w:cs="Arial"/>
          <w:sz w:val="22"/>
          <w:szCs w:val="22"/>
        </w:rPr>
        <w:t xml:space="preserve"> </w:t>
      </w:r>
      <w:r w:rsidRPr="005A5966">
        <w:rPr>
          <w:rFonts w:cs="Arial"/>
          <w:sz w:val="22"/>
          <w:szCs w:val="22"/>
        </w:rPr>
        <w:t>HHS Guidelines do not address special analyses testing</w:t>
      </w:r>
      <w:r w:rsidR="00646A79">
        <w:rPr>
          <w:rFonts w:cs="Arial"/>
          <w:sz w:val="22"/>
          <w:szCs w:val="22"/>
        </w:rPr>
        <w:t>,</w:t>
      </w:r>
      <w:r w:rsidRPr="005A5966">
        <w:rPr>
          <w:rFonts w:cs="Arial"/>
          <w:sz w:val="22"/>
          <w:szCs w:val="22"/>
        </w:rPr>
        <w:t xml:space="preserve"> but the </w:t>
      </w:r>
      <w:r w:rsidR="008249E2">
        <w:rPr>
          <w:rFonts w:cs="Arial"/>
          <w:sz w:val="22"/>
          <w:szCs w:val="22"/>
        </w:rPr>
        <w:t xml:space="preserve">final rule </w:t>
      </w:r>
      <w:r w:rsidRPr="005A5966">
        <w:rPr>
          <w:rFonts w:cs="Arial"/>
          <w:sz w:val="22"/>
          <w:szCs w:val="22"/>
        </w:rPr>
        <w:t xml:space="preserve">changes are based on industry experience </w:t>
      </w:r>
      <w:r>
        <w:rPr>
          <w:rFonts w:cs="Arial"/>
          <w:sz w:val="22"/>
          <w:szCs w:val="22"/>
        </w:rPr>
        <w:t>(i.e.</w:t>
      </w:r>
      <w:r w:rsidR="00646A79">
        <w:rPr>
          <w:rFonts w:cs="Arial"/>
          <w:sz w:val="22"/>
          <w:szCs w:val="22"/>
        </w:rPr>
        <w:t>,</w:t>
      </w:r>
      <w:r>
        <w:rPr>
          <w:rFonts w:cs="Arial"/>
          <w:sz w:val="22"/>
          <w:szCs w:val="22"/>
        </w:rPr>
        <w:t xml:space="preserve"> high industry adoption of the voluntary 10 CFR 26.163(a)(2) special analyses testing of dilute specimens and the additional dilute positive test results identified each year) </w:t>
      </w:r>
      <w:r w:rsidRPr="005A5966">
        <w:rPr>
          <w:rFonts w:cs="Arial"/>
          <w:sz w:val="22"/>
          <w:szCs w:val="22"/>
        </w:rPr>
        <w:t xml:space="preserve">and feedback received from HHS-certified laboratories in implementing </w:t>
      </w:r>
      <w:r>
        <w:rPr>
          <w:rFonts w:cs="Arial"/>
          <w:sz w:val="22"/>
          <w:szCs w:val="22"/>
        </w:rPr>
        <w:t>the 2008 FFD final rule</w:t>
      </w:r>
      <w:r w:rsidRPr="005A5966">
        <w:rPr>
          <w:rFonts w:cs="Arial"/>
          <w:sz w:val="22"/>
          <w:szCs w:val="22"/>
        </w:rPr>
        <w:t>.</w:t>
      </w:r>
      <w:r>
        <w:rPr>
          <w:rStyle w:val="FootnoteReference"/>
          <w:rFonts w:cs="Arial"/>
          <w:sz w:val="22"/>
          <w:szCs w:val="22"/>
        </w:rPr>
        <w:footnoteReference w:id="22"/>
      </w:r>
    </w:p>
    <w:p w:rsidR="00D520BD" w:rsidP="007D51AE" w:rsidRDefault="00D520BD" w14:paraId="4FF9605E" w14:textId="2B15E745">
      <w:pPr>
        <w:tabs>
          <w:tab w:val="left" w:pos="1080"/>
        </w:tabs>
        <w:ind w:left="720"/>
        <w:rPr>
          <w:sz w:val="22"/>
          <w:szCs w:val="22"/>
        </w:rPr>
      </w:pPr>
    </w:p>
    <w:p w:rsidRPr="00277F2B" w:rsidR="00277F2B" w:rsidP="005C6BA3" w:rsidRDefault="00277F2B" w14:paraId="5C0EE012" w14:textId="7F17AF4F">
      <w:pPr>
        <w:pStyle w:val="ListParagraph"/>
        <w:keepNext/>
        <w:numPr>
          <w:ilvl w:val="0"/>
          <w:numId w:val="4"/>
        </w:numPr>
        <w:tabs>
          <w:tab w:val="left" w:pos="720"/>
        </w:tabs>
        <w:ind w:left="720" w:hanging="720"/>
        <w:rPr>
          <w:i/>
          <w:sz w:val="22"/>
          <w:szCs w:val="22"/>
        </w:rPr>
      </w:pPr>
      <w:r>
        <w:rPr>
          <w:i/>
          <w:sz w:val="22"/>
          <w:szCs w:val="22"/>
        </w:rPr>
        <w:t>A</w:t>
      </w:r>
      <w:r w:rsidRPr="00277F2B">
        <w:rPr>
          <w:i/>
          <w:sz w:val="22"/>
          <w:szCs w:val="22"/>
        </w:rPr>
        <w:t xml:space="preserve">llowing for the collection and testing of an </w:t>
      </w:r>
      <w:r w:rsidR="00906C41">
        <w:rPr>
          <w:i/>
          <w:sz w:val="22"/>
          <w:szCs w:val="22"/>
        </w:rPr>
        <w:t>alternative</w:t>
      </w:r>
      <w:r w:rsidRPr="00277F2B">
        <w:rPr>
          <w:i/>
          <w:sz w:val="22"/>
          <w:szCs w:val="22"/>
        </w:rPr>
        <w:t xml:space="preserve"> specimen (oral fluid)</w:t>
      </w:r>
      <w:r w:rsidR="00770B0C">
        <w:rPr>
          <w:i/>
          <w:sz w:val="22"/>
          <w:szCs w:val="22"/>
        </w:rPr>
        <w:t>.</w:t>
      </w:r>
    </w:p>
    <w:p w:rsidR="00277F2B" w:rsidP="00277F2B" w:rsidRDefault="00277F2B" w14:paraId="230CC61A" w14:textId="77777777">
      <w:pPr>
        <w:keepNext/>
        <w:numPr>
          <w:ilvl w:val="12"/>
          <w:numId w:val="0"/>
        </w:numPr>
        <w:tabs>
          <w:tab w:val="left" w:pos="721"/>
        </w:tabs>
        <w:rPr>
          <w:rFonts w:cs="Arial"/>
          <w:sz w:val="22"/>
          <w:szCs w:val="22"/>
        </w:rPr>
      </w:pPr>
    </w:p>
    <w:p w:rsidRPr="00277F2B" w:rsidR="00277F2B" w:rsidP="00277F2B" w:rsidRDefault="001C5078" w14:paraId="2134CF3F" w14:textId="3557DD64">
      <w:pPr>
        <w:ind w:left="720"/>
        <w:rPr>
          <w:rFonts w:cs="Arial"/>
          <w:sz w:val="22"/>
          <w:szCs w:val="22"/>
        </w:rPr>
      </w:pPr>
      <w:r>
        <w:rPr>
          <w:rFonts w:cs="Arial"/>
          <w:sz w:val="22"/>
          <w:szCs w:val="22"/>
        </w:rPr>
        <w:t>The final rule a</w:t>
      </w:r>
      <w:r w:rsidRPr="00F80750" w:rsidR="00277F2B">
        <w:rPr>
          <w:rFonts w:cs="Arial"/>
          <w:sz w:val="22"/>
          <w:szCs w:val="22"/>
        </w:rPr>
        <w:t>llow</w:t>
      </w:r>
      <w:r>
        <w:rPr>
          <w:rFonts w:cs="Arial"/>
          <w:sz w:val="22"/>
          <w:szCs w:val="22"/>
        </w:rPr>
        <w:t>s</w:t>
      </w:r>
      <w:r w:rsidR="00277F2B">
        <w:rPr>
          <w:rFonts w:cs="Arial"/>
          <w:sz w:val="22"/>
          <w:szCs w:val="22"/>
        </w:rPr>
        <w:t xml:space="preserve"> for</w:t>
      </w:r>
      <w:r w:rsidRPr="00F80750" w:rsidR="00277F2B">
        <w:rPr>
          <w:rFonts w:cs="Arial"/>
          <w:sz w:val="22"/>
          <w:szCs w:val="22"/>
        </w:rPr>
        <w:t xml:space="preserve"> </w:t>
      </w:r>
      <w:r w:rsidR="00277F2B">
        <w:rPr>
          <w:rFonts w:cs="Arial"/>
          <w:sz w:val="22"/>
          <w:szCs w:val="22"/>
        </w:rPr>
        <w:t>the</w:t>
      </w:r>
      <w:r w:rsidRPr="00F80750" w:rsidR="00277F2B">
        <w:rPr>
          <w:rFonts w:cs="Arial"/>
          <w:sz w:val="22"/>
          <w:szCs w:val="22"/>
        </w:rPr>
        <w:t xml:space="preserve"> collection </w:t>
      </w:r>
      <w:r w:rsidR="00277F2B">
        <w:rPr>
          <w:rFonts w:cs="Arial"/>
          <w:sz w:val="22"/>
          <w:szCs w:val="22"/>
        </w:rPr>
        <w:t xml:space="preserve">and </w:t>
      </w:r>
      <w:r w:rsidR="00CB1DAB">
        <w:rPr>
          <w:rFonts w:cs="Arial"/>
          <w:sz w:val="22"/>
          <w:szCs w:val="22"/>
        </w:rPr>
        <w:t xml:space="preserve">drug </w:t>
      </w:r>
      <w:r w:rsidR="00277F2B">
        <w:rPr>
          <w:rFonts w:cs="Arial"/>
          <w:sz w:val="22"/>
          <w:szCs w:val="22"/>
        </w:rPr>
        <w:t xml:space="preserve">testing </w:t>
      </w:r>
      <w:r w:rsidRPr="00F80750" w:rsidR="00277F2B">
        <w:rPr>
          <w:rFonts w:cs="Arial"/>
          <w:sz w:val="22"/>
          <w:szCs w:val="22"/>
        </w:rPr>
        <w:t xml:space="preserve">of an </w:t>
      </w:r>
      <w:r w:rsidR="0077765D">
        <w:rPr>
          <w:rFonts w:cs="Arial"/>
          <w:sz w:val="22"/>
          <w:szCs w:val="22"/>
        </w:rPr>
        <w:t>oral fluid</w:t>
      </w:r>
      <w:r w:rsidRPr="00F80750" w:rsidR="00277F2B">
        <w:rPr>
          <w:rFonts w:cs="Arial"/>
          <w:sz w:val="22"/>
          <w:szCs w:val="22"/>
        </w:rPr>
        <w:t xml:space="preserve"> specimen </w:t>
      </w:r>
      <w:r w:rsidRPr="00B419F5" w:rsidR="005A3297">
        <w:rPr>
          <w:rFonts w:cs="Arial"/>
          <w:sz w:val="22"/>
          <w:szCs w:val="22"/>
        </w:rPr>
        <w:t xml:space="preserve">as an alternative to the collection of </w:t>
      </w:r>
      <w:r w:rsidR="0077765D">
        <w:rPr>
          <w:rFonts w:cs="Arial"/>
          <w:sz w:val="22"/>
          <w:szCs w:val="22"/>
        </w:rPr>
        <w:t>a</w:t>
      </w:r>
      <w:r w:rsidRPr="00B419F5" w:rsidR="005A3297">
        <w:rPr>
          <w:rFonts w:cs="Arial"/>
          <w:sz w:val="22"/>
          <w:szCs w:val="22"/>
        </w:rPr>
        <w:t xml:space="preserve"> urine specimen </w:t>
      </w:r>
      <w:r w:rsidR="0077765D">
        <w:rPr>
          <w:rFonts w:cs="Arial"/>
          <w:sz w:val="22"/>
          <w:szCs w:val="22"/>
        </w:rPr>
        <w:t>under direct observation collection conditions</w:t>
      </w:r>
      <w:r w:rsidRPr="00B419F5" w:rsidR="00277F2B">
        <w:rPr>
          <w:rFonts w:cs="Arial"/>
          <w:sz w:val="22"/>
          <w:szCs w:val="22"/>
        </w:rPr>
        <w:t>.</w:t>
      </w:r>
    </w:p>
    <w:p w:rsidRPr="005A5966" w:rsidR="00277F2B" w:rsidP="00D520BD" w:rsidRDefault="00277F2B" w14:paraId="3C937347" w14:textId="07202F50">
      <w:pPr>
        <w:numPr>
          <w:ilvl w:val="12"/>
          <w:numId w:val="0"/>
        </w:numPr>
        <w:tabs>
          <w:tab w:val="left" w:pos="721"/>
        </w:tabs>
        <w:rPr>
          <w:sz w:val="22"/>
          <w:szCs w:val="22"/>
        </w:rPr>
      </w:pPr>
    </w:p>
    <w:p w:rsidRPr="005A5966" w:rsidR="00D520BD" w:rsidP="00D520BD" w:rsidRDefault="00D520BD" w14:paraId="2CF2D097" w14:textId="7D3E9074">
      <w:pPr>
        <w:numPr>
          <w:ilvl w:val="12"/>
          <w:numId w:val="0"/>
        </w:numPr>
        <w:tabs>
          <w:tab w:val="left" w:pos="721"/>
        </w:tabs>
        <w:rPr>
          <w:rFonts w:cs="Arial"/>
          <w:sz w:val="22"/>
          <w:szCs w:val="22"/>
        </w:rPr>
      </w:pPr>
      <w:r w:rsidRPr="0006004D">
        <w:rPr>
          <w:sz w:val="22"/>
          <w:szCs w:val="22"/>
        </w:rPr>
        <w:lastRenderedPageBreak/>
        <w:t>The</w:t>
      </w:r>
      <w:r w:rsidRPr="005A5966">
        <w:rPr>
          <w:sz w:val="22"/>
          <w:szCs w:val="22"/>
        </w:rPr>
        <w:t xml:space="preserve"> NRC </w:t>
      </w:r>
      <w:r>
        <w:rPr>
          <w:sz w:val="22"/>
          <w:szCs w:val="22"/>
        </w:rPr>
        <w:t xml:space="preserve">staff </w:t>
      </w:r>
      <w:r w:rsidRPr="005A5966">
        <w:rPr>
          <w:sz w:val="22"/>
          <w:szCs w:val="22"/>
        </w:rPr>
        <w:t>developed equations to estimate costs and savings using available data</w:t>
      </w:r>
      <w:r>
        <w:rPr>
          <w:sz w:val="22"/>
          <w:szCs w:val="22"/>
        </w:rPr>
        <w:t xml:space="preserve"> and described </w:t>
      </w:r>
      <w:r>
        <w:rPr>
          <w:rFonts w:cs="Arial"/>
          <w:sz w:val="22"/>
          <w:szCs w:val="22"/>
        </w:rPr>
        <w:t xml:space="preserve">any </w:t>
      </w:r>
      <w:r w:rsidRPr="005A5966">
        <w:rPr>
          <w:rFonts w:cs="Arial"/>
          <w:sz w:val="22"/>
          <w:szCs w:val="22"/>
        </w:rPr>
        <w:t xml:space="preserve">assumptions </w:t>
      </w:r>
      <w:r>
        <w:rPr>
          <w:rFonts w:cs="Arial"/>
          <w:sz w:val="22"/>
          <w:szCs w:val="22"/>
        </w:rPr>
        <w:t>used</w:t>
      </w:r>
      <w:r w:rsidR="00646A79">
        <w:rPr>
          <w:rFonts w:cs="Arial"/>
          <w:sz w:val="22"/>
          <w:szCs w:val="22"/>
        </w:rPr>
        <w:t>,</w:t>
      </w:r>
      <w:r>
        <w:rPr>
          <w:rFonts w:cs="Arial"/>
          <w:sz w:val="22"/>
          <w:szCs w:val="22"/>
        </w:rPr>
        <w:t xml:space="preserve"> </w:t>
      </w:r>
      <w:r w:rsidRPr="005A5966">
        <w:rPr>
          <w:rFonts w:cs="Arial"/>
          <w:sz w:val="22"/>
          <w:szCs w:val="22"/>
        </w:rPr>
        <w:t>when necessary.  Appendices</w:t>
      </w:r>
      <w:r>
        <w:rPr>
          <w:rFonts w:cs="Arial"/>
          <w:sz w:val="22"/>
          <w:szCs w:val="22"/>
        </w:rPr>
        <w:t> </w:t>
      </w:r>
      <w:r w:rsidRPr="005A5966">
        <w:rPr>
          <w:rFonts w:cs="Arial"/>
          <w:sz w:val="22"/>
          <w:szCs w:val="22"/>
        </w:rPr>
        <w:t>B</w:t>
      </w:r>
      <w:r w:rsidR="00646A79">
        <w:rPr>
          <w:rFonts w:cs="Arial"/>
          <w:sz w:val="22"/>
          <w:szCs w:val="22"/>
        </w:rPr>
        <w:t>,</w:t>
      </w:r>
      <w:r w:rsidRPr="005A5966">
        <w:rPr>
          <w:rFonts w:cs="Arial"/>
          <w:sz w:val="22"/>
          <w:szCs w:val="22"/>
        </w:rPr>
        <w:t xml:space="preserve"> C</w:t>
      </w:r>
      <w:r w:rsidR="00646A79">
        <w:rPr>
          <w:rFonts w:cs="Arial"/>
          <w:sz w:val="22"/>
          <w:szCs w:val="22"/>
        </w:rPr>
        <w:t>,</w:t>
      </w:r>
      <w:r>
        <w:rPr>
          <w:rFonts w:cs="Arial"/>
          <w:sz w:val="22"/>
          <w:szCs w:val="22"/>
        </w:rPr>
        <w:t xml:space="preserve"> and D</w:t>
      </w:r>
      <w:r w:rsidRPr="005A5966">
        <w:rPr>
          <w:rFonts w:cs="Arial"/>
          <w:sz w:val="22"/>
          <w:szCs w:val="22"/>
        </w:rPr>
        <w:t xml:space="preserve"> document this analysis</w:t>
      </w:r>
      <w:r w:rsidR="00646A79">
        <w:rPr>
          <w:rFonts w:cs="Arial"/>
          <w:sz w:val="22"/>
          <w:szCs w:val="22"/>
        </w:rPr>
        <w:t>,</w:t>
      </w:r>
      <w:r w:rsidRPr="005A5966">
        <w:rPr>
          <w:rFonts w:cs="Arial"/>
          <w:sz w:val="22"/>
          <w:szCs w:val="22"/>
        </w:rPr>
        <w:t xml:space="preserve"> including the specific per</w:t>
      </w:r>
      <w:r>
        <w:rPr>
          <w:rFonts w:cs="Arial"/>
          <w:sz w:val="22"/>
          <w:szCs w:val="22"/>
        </w:rPr>
        <w:noBreakHyphen/>
      </w:r>
      <w:r w:rsidRPr="005A5966">
        <w:rPr>
          <w:rFonts w:cs="Arial"/>
          <w:sz w:val="22"/>
          <w:szCs w:val="22"/>
        </w:rPr>
        <w:t>site or per</w:t>
      </w:r>
      <w:r>
        <w:rPr>
          <w:rFonts w:cs="Arial"/>
          <w:sz w:val="22"/>
          <w:szCs w:val="22"/>
        </w:rPr>
        <w:noBreakHyphen/>
        <w:t>FFD</w:t>
      </w:r>
      <w:r>
        <w:rPr>
          <w:rFonts w:cs="Arial"/>
          <w:sz w:val="22"/>
          <w:szCs w:val="22"/>
        </w:rPr>
        <w:noBreakHyphen/>
      </w:r>
      <w:r w:rsidRPr="005A5966">
        <w:rPr>
          <w:rFonts w:cs="Arial"/>
          <w:sz w:val="22"/>
          <w:szCs w:val="22"/>
        </w:rPr>
        <w:t>program cost assumptions used to quantify</w:t>
      </w:r>
      <w:r>
        <w:rPr>
          <w:rFonts w:cs="Arial"/>
          <w:sz w:val="22"/>
          <w:szCs w:val="22"/>
        </w:rPr>
        <w:t xml:space="preserve"> costs and savings</w:t>
      </w:r>
      <w:r w:rsidRPr="005A5966">
        <w:rPr>
          <w:rFonts w:cs="Arial"/>
          <w:sz w:val="22"/>
          <w:szCs w:val="22"/>
        </w:rPr>
        <w:t>.</w:t>
      </w:r>
    </w:p>
    <w:p w:rsidRPr="005A5966" w:rsidR="00D520BD" w:rsidP="00D520BD" w:rsidRDefault="00D520BD" w14:paraId="7A38ED8B" w14:textId="77777777">
      <w:pPr>
        <w:numPr>
          <w:ilvl w:val="12"/>
          <w:numId w:val="0"/>
        </w:numPr>
        <w:tabs>
          <w:tab w:val="left" w:pos="721"/>
        </w:tabs>
        <w:rPr>
          <w:rFonts w:cs="Arial"/>
          <w:sz w:val="22"/>
          <w:szCs w:val="22"/>
        </w:rPr>
      </w:pPr>
    </w:p>
    <w:p w:rsidRPr="005A5966" w:rsidR="00D520BD" w:rsidP="00D520BD" w:rsidRDefault="00D520BD" w14:paraId="74FDF2A4" w14:textId="57A79D33">
      <w:pPr>
        <w:numPr>
          <w:ilvl w:val="12"/>
          <w:numId w:val="0"/>
        </w:numPr>
        <w:tabs>
          <w:tab w:val="left" w:pos="721"/>
        </w:tabs>
        <w:rPr>
          <w:sz w:val="22"/>
          <w:szCs w:val="22"/>
        </w:rPr>
      </w:pPr>
      <w:r w:rsidRPr="005A5966">
        <w:rPr>
          <w:sz w:val="22"/>
          <w:szCs w:val="22"/>
        </w:rPr>
        <w:t xml:space="preserve">The </w:t>
      </w:r>
      <w:r w:rsidR="004C43B4">
        <w:rPr>
          <w:sz w:val="22"/>
          <w:szCs w:val="22"/>
        </w:rPr>
        <w:t xml:space="preserve">final </w:t>
      </w:r>
      <w:r w:rsidRPr="005A5966">
        <w:rPr>
          <w:sz w:val="22"/>
          <w:szCs w:val="22"/>
        </w:rPr>
        <w:t>rule also include</w:t>
      </w:r>
      <w:r w:rsidR="004C43B4">
        <w:rPr>
          <w:sz w:val="22"/>
          <w:szCs w:val="22"/>
        </w:rPr>
        <w:t>s</w:t>
      </w:r>
      <w:r w:rsidRPr="005A5966">
        <w:rPr>
          <w:sz w:val="22"/>
          <w:szCs w:val="22"/>
        </w:rPr>
        <w:t xml:space="preserve"> the following changes</w:t>
      </w:r>
      <w:r w:rsidR="00646A79">
        <w:rPr>
          <w:sz w:val="22"/>
          <w:szCs w:val="22"/>
        </w:rPr>
        <w:t>,</w:t>
      </w:r>
      <w:r w:rsidRPr="005A5966">
        <w:rPr>
          <w:sz w:val="22"/>
          <w:szCs w:val="22"/>
        </w:rPr>
        <w:t xml:space="preserve"> which result in either no or negligible incremental costs</w:t>
      </w:r>
      <w:r>
        <w:rPr>
          <w:sz w:val="22"/>
          <w:szCs w:val="22"/>
        </w:rPr>
        <w:t xml:space="preserve"> to licensees</w:t>
      </w:r>
      <w:r w:rsidRPr="005A5966">
        <w:rPr>
          <w:sz w:val="22"/>
          <w:szCs w:val="22"/>
        </w:rPr>
        <w:t xml:space="preserve"> but lead to some benefits as discussed below:</w:t>
      </w:r>
    </w:p>
    <w:p w:rsidRPr="005A5966" w:rsidR="00D520BD" w:rsidP="00D520BD" w:rsidRDefault="00D520BD" w14:paraId="4D52753D" w14:textId="625F647A">
      <w:pPr>
        <w:numPr>
          <w:ilvl w:val="12"/>
          <w:numId w:val="0"/>
        </w:numPr>
        <w:tabs>
          <w:tab w:val="left" w:pos="721"/>
        </w:tabs>
        <w:rPr>
          <w:sz w:val="22"/>
          <w:szCs w:val="22"/>
        </w:rPr>
      </w:pPr>
    </w:p>
    <w:p w:rsidRPr="005A5966" w:rsidR="00D520BD" w:rsidP="005C6BA3" w:rsidRDefault="00D520BD" w14:paraId="6F688225" w14:textId="0167BD16">
      <w:pPr>
        <w:pStyle w:val="ListParagraph"/>
        <w:numPr>
          <w:ilvl w:val="0"/>
          <w:numId w:val="2"/>
        </w:numPr>
        <w:tabs>
          <w:tab w:val="left" w:pos="721"/>
        </w:tabs>
        <w:ind w:hanging="720"/>
        <w:rPr>
          <w:sz w:val="22"/>
          <w:szCs w:val="22"/>
        </w:rPr>
      </w:pPr>
      <w:r w:rsidRPr="005A5966">
        <w:rPr>
          <w:sz w:val="22"/>
          <w:szCs w:val="22"/>
        </w:rPr>
        <w:t xml:space="preserve">The </w:t>
      </w:r>
      <w:r w:rsidR="00F601DD">
        <w:rPr>
          <w:sz w:val="22"/>
          <w:szCs w:val="22"/>
        </w:rPr>
        <w:t xml:space="preserve">final </w:t>
      </w:r>
      <w:r w:rsidRPr="005A5966">
        <w:rPr>
          <w:sz w:val="22"/>
          <w:szCs w:val="22"/>
        </w:rPr>
        <w:t>rule add</w:t>
      </w:r>
      <w:r w:rsidR="004C43B4">
        <w:rPr>
          <w:sz w:val="22"/>
          <w:szCs w:val="22"/>
        </w:rPr>
        <w:t>s</w:t>
      </w:r>
      <w:r w:rsidRPr="005A5966">
        <w:rPr>
          <w:sz w:val="22"/>
          <w:szCs w:val="22"/>
        </w:rPr>
        <w:t xml:space="preserve"> and revise</w:t>
      </w:r>
      <w:r w:rsidR="004C43B4">
        <w:rPr>
          <w:sz w:val="22"/>
          <w:szCs w:val="22"/>
        </w:rPr>
        <w:t>s</w:t>
      </w:r>
      <w:r w:rsidRPr="005A5966">
        <w:rPr>
          <w:sz w:val="22"/>
          <w:szCs w:val="22"/>
        </w:rPr>
        <w:t xml:space="preserve"> definitions in </w:t>
      </w:r>
      <w:r>
        <w:rPr>
          <w:sz w:val="22"/>
          <w:szCs w:val="22"/>
        </w:rPr>
        <w:t>10 CFR Part 26</w:t>
      </w:r>
      <w:r w:rsidRPr="005A5966">
        <w:rPr>
          <w:sz w:val="22"/>
          <w:szCs w:val="22"/>
        </w:rPr>
        <w:t xml:space="preserve"> to improve consistency with the definitions in the </w:t>
      </w:r>
      <w:r>
        <w:rPr>
          <w:sz w:val="22"/>
          <w:szCs w:val="22"/>
        </w:rPr>
        <w:t xml:space="preserve">2008 </w:t>
      </w:r>
      <w:r w:rsidRPr="005A5966">
        <w:rPr>
          <w:sz w:val="22"/>
          <w:szCs w:val="22"/>
        </w:rPr>
        <w:t xml:space="preserve">HHS Guidelines and </w:t>
      </w:r>
      <w:r>
        <w:rPr>
          <w:sz w:val="22"/>
          <w:szCs w:val="22"/>
        </w:rPr>
        <w:t xml:space="preserve">also </w:t>
      </w:r>
      <w:r w:rsidR="00C323A7">
        <w:rPr>
          <w:sz w:val="22"/>
          <w:szCs w:val="22"/>
        </w:rPr>
        <w:t xml:space="preserve">to </w:t>
      </w:r>
      <w:r>
        <w:rPr>
          <w:sz w:val="22"/>
          <w:szCs w:val="22"/>
        </w:rPr>
        <w:t>improve internal consistency in 10 CFR Part 26</w:t>
      </w:r>
      <w:r w:rsidRPr="005A5966">
        <w:rPr>
          <w:sz w:val="22"/>
          <w:szCs w:val="22"/>
        </w:rPr>
        <w:t xml:space="preserve">.  These administrative changes </w:t>
      </w:r>
      <w:r>
        <w:rPr>
          <w:sz w:val="22"/>
          <w:szCs w:val="22"/>
        </w:rPr>
        <w:t xml:space="preserve">are </w:t>
      </w:r>
      <w:r w:rsidRPr="005A5966">
        <w:rPr>
          <w:sz w:val="22"/>
          <w:szCs w:val="22"/>
        </w:rPr>
        <w:t>estimate</w:t>
      </w:r>
      <w:r>
        <w:rPr>
          <w:sz w:val="22"/>
          <w:szCs w:val="22"/>
        </w:rPr>
        <w:t>d to result in</w:t>
      </w:r>
      <w:r w:rsidRPr="005A5966">
        <w:rPr>
          <w:sz w:val="22"/>
          <w:szCs w:val="22"/>
        </w:rPr>
        <w:t xml:space="preserve"> </w:t>
      </w:r>
      <w:r>
        <w:rPr>
          <w:sz w:val="22"/>
          <w:szCs w:val="22"/>
        </w:rPr>
        <w:t>negligible</w:t>
      </w:r>
      <w:r w:rsidRPr="005A5966">
        <w:rPr>
          <w:sz w:val="22"/>
          <w:szCs w:val="22"/>
        </w:rPr>
        <w:t xml:space="preserve"> incremental costs</w:t>
      </w:r>
      <w:r>
        <w:rPr>
          <w:sz w:val="22"/>
          <w:szCs w:val="22"/>
        </w:rPr>
        <w:t xml:space="preserve"> and </w:t>
      </w:r>
      <w:r w:rsidRPr="005A5966">
        <w:rPr>
          <w:sz w:val="22"/>
          <w:szCs w:val="22"/>
        </w:rPr>
        <w:t>could result in savings.  The change</w:t>
      </w:r>
      <w:r>
        <w:rPr>
          <w:sz w:val="22"/>
          <w:szCs w:val="22"/>
        </w:rPr>
        <w:t>s</w:t>
      </w:r>
      <w:r w:rsidRPr="005A5966">
        <w:rPr>
          <w:sz w:val="22"/>
          <w:szCs w:val="22"/>
        </w:rPr>
        <w:t xml:space="preserve"> improve regulatory efficiency</w:t>
      </w:r>
      <w:r w:rsidR="00646A79">
        <w:rPr>
          <w:sz w:val="22"/>
          <w:szCs w:val="22"/>
        </w:rPr>
        <w:t>,</w:t>
      </w:r>
      <w:r>
        <w:rPr>
          <w:sz w:val="22"/>
          <w:szCs w:val="22"/>
        </w:rPr>
        <w:t xml:space="preserve"> in part by promoting clear and unambiguous communications</w:t>
      </w:r>
      <w:r w:rsidRPr="005A5966">
        <w:rPr>
          <w:sz w:val="22"/>
          <w:szCs w:val="22"/>
        </w:rPr>
        <w:t>.</w:t>
      </w:r>
    </w:p>
    <w:p w:rsidRPr="005A5966" w:rsidR="00D520BD" w:rsidP="00277F2B" w:rsidRDefault="00D520BD" w14:paraId="1755AF3E" w14:textId="77777777">
      <w:pPr>
        <w:numPr>
          <w:ilvl w:val="12"/>
          <w:numId w:val="0"/>
        </w:numPr>
        <w:tabs>
          <w:tab w:val="left" w:pos="721"/>
        </w:tabs>
        <w:rPr>
          <w:sz w:val="22"/>
          <w:szCs w:val="22"/>
        </w:rPr>
      </w:pPr>
    </w:p>
    <w:p w:rsidRPr="005A5966" w:rsidR="00D520BD" w:rsidP="005C6BA3" w:rsidRDefault="00D520BD" w14:paraId="4D30A348" w14:textId="655029A3">
      <w:pPr>
        <w:pStyle w:val="ListParagraph"/>
        <w:numPr>
          <w:ilvl w:val="0"/>
          <w:numId w:val="2"/>
        </w:numPr>
        <w:tabs>
          <w:tab w:val="left" w:pos="721"/>
        </w:tabs>
        <w:ind w:hanging="720"/>
        <w:rPr>
          <w:sz w:val="22"/>
          <w:szCs w:val="22"/>
        </w:rPr>
      </w:pPr>
      <w:r w:rsidRPr="005A5966">
        <w:rPr>
          <w:sz w:val="22"/>
          <w:szCs w:val="22"/>
        </w:rPr>
        <w:t xml:space="preserve">The </w:t>
      </w:r>
      <w:r w:rsidR="00F601DD">
        <w:rPr>
          <w:sz w:val="22"/>
          <w:szCs w:val="22"/>
        </w:rPr>
        <w:t xml:space="preserve">final </w:t>
      </w:r>
      <w:r w:rsidRPr="005A5966">
        <w:rPr>
          <w:sz w:val="22"/>
          <w:szCs w:val="22"/>
        </w:rPr>
        <w:t>rule replace</w:t>
      </w:r>
      <w:r w:rsidR="004C43B4">
        <w:rPr>
          <w:sz w:val="22"/>
          <w:szCs w:val="22"/>
        </w:rPr>
        <w:t>s</w:t>
      </w:r>
      <w:r w:rsidRPr="005A5966">
        <w:rPr>
          <w:sz w:val="22"/>
          <w:szCs w:val="22"/>
        </w:rPr>
        <w:t xml:space="preserve"> </w:t>
      </w:r>
      <w:r>
        <w:rPr>
          <w:sz w:val="22"/>
          <w:szCs w:val="22"/>
        </w:rPr>
        <w:t xml:space="preserve">the </w:t>
      </w:r>
      <w:r w:rsidRPr="005A5966">
        <w:rPr>
          <w:sz w:val="22"/>
          <w:szCs w:val="22"/>
        </w:rPr>
        <w:t xml:space="preserve">LOD with </w:t>
      </w:r>
      <w:r>
        <w:rPr>
          <w:sz w:val="22"/>
          <w:szCs w:val="22"/>
        </w:rPr>
        <w:t xml:space="preserve">the </w:t>
      </w:r>
      <w:r w:rsidRPr="005A5966">
        <w:rPr>
          <w:sz w:val="22"/>
          <w:szCs w:val="22"/>
        </w:rPr>
        <w:t xml:space="preserve">LOQ as the decision point </w:t>
      </w:r>
      <w:r>
        <w:rPr>
          <w:sz w:val="22"/>
          <w:szCs w:val="22"/>
        </w:rPr>
        <w:t>for</w:t>
      </w:r>
      <w:r w:rsidRPr="005A5966">
        <w:rPr>
          <w:sz w:val="22"/>
          <w:szCs w:val="22"/>
        </w:rPr>
        <w:t xml:space="preserve"> determin</w:t>
      </w:r>
      <w:r>
        <w:rPr>
          <w:sz w:val="22"/>
          <w:szCs w:val="22"/>
        </w:rPr>
        <w:t>ing</w:t>
      </w:r>
      <w:r w:rsidRPr="005A5966">
        <w:rPr>
          <w:sz w:val="22"/>
          <w:szCs w:val="22"/>
        </w:rPr>
        <w:t xml:space="preserve"> whether a specimen contains an adulterant or is invalid </w:t>
      </w:r>
      <w:r>
        <w:rPr>
          <w:sz w:val="22"/>
          <w:szCs w:val="22"/>
        </w:rPr>
        <w:t>(i.e.</w:t>
      </w:r>
      <w:r w:rsidR="00646A79">
        <w:rPr>
          <w:sz w:val="22"/>
          <w:szCs w:val="22"/>
        </w:rPr>
        <w:t>,</w:t>
      </w:r>
      <w:r>
        <w:rPr>
          <w:sz w:val="22"/>
          <w:szCs w:val="22"/>
        </w:rPr>
        <w:t xml:space="preserve"> a valid test result cannot be determined) </w:t>
      </w:r>
      <w:r w:rsidRPr="005A5966">
        <w:rPr>
          <w:sz w:val="22"/>
          <w:szCs w:val="22"/>
        </w:rPr>
        <w:t xml:space="preserve">based on the possible presence of </w:t>
      </w:r>
      <w:r>
        <w:rPr>
          <w:sz w:val="22"/>
          <w:szCs w:val="22"/>
        </w:rPr>
        <w:t xml:space="preserve">a </w:t>
      </w:r>
      <w:r w:rsidRPr="005A5966">
        <w:rPr>
          <w:sz w:val="22"/>
          <w:szCs w:val="22"/>
        </w:rPr>
        <w:t xml:space="preserve">halogen or an oxidizing adulterant.  </w:t>
      </w:r>
      <w:r w:rsidRPr="00800A47">
        <w:rPr>
          <w:sz w:val="22"/>
          <w:szCs w:val="22"/>
        </w:rPr>
        <w:t>This entail</w:t>
      </w:r>
      <w:r w:rsidR="00727633">
        <w:rPr>
          <w:sz w:val="22"/>
          <w:szCs w:val="22"/>
        </w:rPr>
        <w:t>s</w:t>
      </w:r>
      <w:r w:rsidRPr="00800A47">
        <w:rPr>
          <w:sz w:val="22"/>
          <w:szCs w:val="22"/>
        </w:rPr>
        <w:t xml:space="preserve"> minor procedural changes with negligible incremental costs.  </w:t>
      </w:r>
      <w:r>
        <w:rPr>
          <w:sz w:val="22"/>
          <w:szCs w:val="22"/>
        </w:rPr>
        <w:t>The change to LOQ enhances the protection afforded to individuals subject to validity testing because the test result reliably identifies and quantifies the substance tested.</w:t>
      </w:r>
    </w:p>
    <w:p w:rsidRPr="005A5966" w:rsidR="00D520BD" w:rsidP="00DE4C4C" w:rsidRDefault="00D520BD" w14:paraId="5DF4DF1D" w14:textId="1596B609">
      <w:pPr>
        <w:numPr>
          <w:ilvl w:val="12"/>
          <w:numId w:val="0"/>
        </w:numPr>
        <w:tabs>
          <w:tab w:val="left" w:pos="721"/>
        </w:tabs>
        <w:rPr>
          <w:sz w:val="22"/>
          <w:szCs w:val="22"/>
        </w:rPr>
      </w:pPr>
    </w:p>
    <w:p w:rsidRPr="005A5966" w:rsidR="00D520BD" w:rsidP="005C6BA3" w:rsidRDefault="00D520BD" w14:paraId="16205333" w14:textId="5682435A">
      <w:pPr>
        <w:pStyle w:val="ListParagraph"/>
        <w:numPr>
          <w:ilvl w:val="0"/>
          <w:numId w:val="2"/>
        </w:numPr>
        <w:tabs>
          <w:tab w:val="left" w:pos="721"/>
        </w:tabs>
        <w:ind w:hanging="720"/>
        <w:rPr>
          <w:sz w:val="22"/>
          <w:szCs w:val="22"/>
        </w:rPr>
      </w:pPr>
      <w:r w:rsidRPr="005A5966">
        <w:rPr>
          <w:sz w:val="22"/>
          <w:szCs w:val="22"/>
        </w:rPr>
        <w:t xml:space="preserve">The </w:t>
      </w:r>
      <w:r w:rsidR="00F601DD">
        <w:rPr>
          <w:sz w:val="22"/>
          <w:szCs w:val="22"/>
        </w:rPr>
        <w:t xml:space="preserve">final </w:t>
      </w:r>
      <w:r w:rsidRPr="005A5966">
        <w:rPr>
          <w:sz w:val="22"/>
          <w:szCs w:val="22"/>
        </w:rPr>
        <w:t>rule clarif</w:t>
      </w:r>
      <w:r w:rsidR="00727633">
        <w:rPr>
          <w:sz w:val="22"/>
          <w:szCs w:val="22"/>
        </w:rPr>
        <w:t>ies</w:t>
      </w:r>
      <w:r w:rsidRPr="005A5966">
        <w:rPr>
          <w:sz w:val="22"/>
          <w:szCs w:val="22"/>
        </w:rPr>
        <w:t xml:space="preserve"> </w:t>
      </w:r>
      <w:r>
        <w:rPr>
          <w:sz w:val="22"/>
          <w:szCs w:val="22"/>
        </w:rPr>
        <w:t xml:space="preserve">the procedures for observed urine specimen </w:t>
      </w:r>
      <w:r w:rsidRPr="005A5966">
        <w:rPr>
          <w:sz w:val="22"/>
          <w:szCs w:val="22"/>
        </w:rPr>
        <w:t>collection</w:t>
      </w:r>
      <w:r>
        <w:rPr>
          <w:sz w:val="22"/>
          <w:szCs w:val="22"/>
        </w:rPr>
        <w:t>s</w:t>
      </w:r>
      <w:r w:rsidR="00646A79">
        <w:rPr>
          <w:sz w:val="22"/>
          <w:szCs w:val="22"/>
        </w:rPr>
        <w:t>,</w:t>
      </w:r>
      <w:r>
        <w:rPr>
          <w:sz w:val="22"/>
          <w:szCs w:val="22"/>
        </w:rPr>
        <w:t xml:space="preserve"> as well as</w:t>
      </w:r>
      <w:r w:rsidRPr="005A5966">
        <w:rPr>
          <w:sz w:val="22"/>
          <w:szCs w:val="22"/>
        </w:rPr>
        <w:t xml:space="preserve"> specimen quantity</w:t>
      </w:r>
      <w:r w:rsidR="00646A79">
        <w:rPr>
          <w:sz w:val="22"/>
          <w:szCs w:val="22"/>
        </w:rPr>
        <w:t>,</w:t>
      </w:r>
      <w:r w:rsidRPr="005A5966">
        <w:rPr>
          <w:sz w:val="22"/>
          <w:szCs w:val="22"/>
        </w:rPr>
        <w:t xml:space="preserve"> altered specimens</w:t>
      </w:r>
      <w:r w:rsidR="00646A79">
        <w:rPr>
          <w:sz w:val="22"/>
          <w:szCs w:val="22"/>
        </w:rPr>
        <w:t>,</w:t>
      </w:r>
      <w:r w:rsidRPr="005A5966">
        <w:rPr>
          <w:sz w:val="22"/>
          <w:szCs w:val="22"/>
        </w:rPr>
        <w:t xml:space="preserve"> and refusals to test.  These changes clarif</w:t>
      </w:r>
      <w:r w:rsidR="00E54E53">
        <w:rPr>
          <w:sz w:val="22"/>
          <w:szCs w:val="22"/>
        </w:rPr>
        <w:t>y</w:t>
      </w:r>
      <w:r>
        <w:rPr>
          <w:sz w:val="22"/>
          <w:szCs w:val="22"/>
        </w:rPr>
        <w:t xml:space="preserve"> existing procedures</w:t>
      </w:r>
      <w:r w:rsidR="00646A79">
        <w:rPr>
          <w:sz w:val="22"/>
          <w:szCs w:val="22"/>
        </w:rPr>
        <w:t>,</w:t>
      </w:r>
      <w:r>
        <w:rPr>
          <w:sz w:val="22"/>
          <w:szCs w:val="22"/>
        </w:rPr>
        <w:t xml:space="preserve"> and the </w:t>
      </w:r>
      <w:r w:rsidR="004D6760">
        <w:rPr>
          <w:sz w:val="22"/>
          <w:szCs w:val="22"/>
        </w:rPr>
        <w:t xml:space="preserve">NRC </w:t>
      </w:r>
      <w:r>
        <w:rPr>
          <w:sz w:val="22"/>
          <w:szCs w:val="22"/>
        </w:rPr>
        <w:t>staff therefore expects incremental costs to be negligible</w:t>
      </w:r>
      <w:r w:rsidRPr="005A5966">
        <w:rPr>
          <w:sz w:val="22"/>
          <w:szCs w:val="22"/>
        </w:rPr>
        <w:t xml:space="preserve">.  The changes </w:t>
      </w:r>
      <w:r>
        <w:rPr>
          <w:sz w:val="22"/>
          <w:szCs w:val="22"/>
        </w:rPr>
        <w:t xml:space="preserve">enhance consistency with the 2008 </w:t>
      </w:r>
      <w:r w:rsidR="00153D3E">
        <w:rPr>
          <w:sz w:val="22"/>
          <w:szCs w:val="22"/>
        </w:rPr>
        <w:t xml:space="preserve">and 2017 </w:t>
      </w:r>
      <w:r>
        <w:rPr>
          <w:sz w:val="22"/>
          <w:szCs w:val="22"/>
        </w:rPr>
        <w:t>HHS Guidelines and allow for increased flexibility in licensee implementation of the rule</w:t>
      </w:r>
      <w:r w:rsidRPr="005A5966">
        <w:rPr>
          <w:sz w:val="22"/>
          <w:szCs w:val="22"/>
        </w:rPr>
        <w:t>.</w:t>
      </w:r>
    </w:p>
    <w:p w:rsidRPr="005A5966" w:rsidR="00D520BD" w:rsidP="00277F2B" w:rsidRDefault="00D520BD" w14:paraId="71248213" w14:textId="77777777">
      <w:pPr>
        <w:numPr>
          <w:ilvl w:val="12"/>
          <w:numId w:val="0"/>
        </w:numPr>
        <w:tabs>
          <w:tab w:val="left" w:pos="721"/>
        </w:tabs>
        <w:rPr>
          <w:sz w:val="22"/>
          <w:szCs w:val="22"/>
        </w:rPr>
      </w:pPr>
    </w:p>
    <w:p w:rsidR="00D520BD" w:rsidP="005C6BA3" w:rsidRDefault="00D520BD" w14:paraId="209EF5BC" w14:textId="0861B5DA">
      <w:pPr>
        <w:pStyle w:val="ListParagraph"/>
        <w:numPr>
          <w:ilvl w:val="0"/>
          <w:numId w:val="2"/>
        </w:numPr>
        <w:tabs>
          <w:tab w:val="left" w:pos="721"/>
        </w:tabs>
        <w:ind w:hanging="720"/>
        <w:rPr>
          <w:sz w:val="22"/>
          <w:szCs w:val="22"/>
        </w:rPr>
      </w:pPr>
      <w:r>
        <w:rPr>
          <w:sz w:val="22"/>
          <w:szCs w:val="22"/>
        </w:rPr>
        <w:t xml:space="preserve">The </w:t>
      </w:r>
      <w:r w:rsidR="00F601DD">
        <w:rPr>
          <w:sz w:val="22"/>
          <w:szCs w:val="22"/>
        </w:rPr>
        <w:t xml:space="preserve">final </w:t>
      </w:r>
      <w:r>
        <w:rPr>
          <w:sz w:val="22"/>
          <w:szCs w:val="22"/>
        </w:rPr>
        <w:t>rule permit</w:t>
      </w:r>
      <w:r w:rsidR="00E125B9">
        <w:rPr>
          <w:sz w:val="22"/>
          <w:szCs w:val="22"/>
        </w:rPr>
        <w:t>s</w:t>
      </w:r>
      <w:r>
        <w:rPr>
          <w:sz w:val="22"/>
          <w:szCs w:val="22"/>
        </w:rPr>
        <w:t xml:space="preserve"> additional licensee or other entity staff at the collection site to observe a donor in the hydration process.  An individual enters the hydration process </w:t>
      </w:r>
      <w:r w:rsidR="00CD40CA">
        <w:rPr>
          <w:sz w:val="22"/>
          <w:szCs w:val="22"/>
        </w:rPr>
        <w:t>after the initial unsuccessful attempt</w:t>
      </w:r>
      <w:r>
        <w:rPr>
          <w:sz w:val="22"/>
          <w:szCs w:val="22"/>
        </w:rPr>
        <w:t xml:space="preserve"> to provide a urine specimen of adequate volume for testing (i.e.</w:t>
      </w:r>
      <w:r w:rsidR="00646A79">
        <w:rPr>
          <w:sz w:val="22"/>
          <w:szCs w:val="22"/>
        </w:rPr>
        <w:t>,</w:t>
      </w:r>
      <w:r>
        <w:rPr>
          <w:sz w:val="22"/>
          <w:szCs w:val="22"/>
        </w:rPr>
        <w:t> a shy bladder).  Currently</w:t>
      </w:r>
      <w:r w:rsidR="00646A79">
        <w:rPr>
          <w:sz w:val="22"/>
          <w:szCs w:val="22"/>
        </w:rPr>
        <w:t>,</w:t>
      </w:r>
      <w:r>
        <w:rPr>
          <w:sz w:val="22"/>
          <w:szCs w:val="22"/>
        </w:rPr>
        <w:t xml:space="preserve"> the specimen collector must remain with the donor for the duration of the hydration period (a maximum of 3 hours) and not conduct an additional collection until the collection </w:t>
      </w:r>
      <w:r w:rsidR="005C5ACA">
        <w:rPr>
          <w:sz w:val="22"/>
          <w:szCs w:val="22"/>
        </w:rPr>
        <w:t>process for</w:t>
      </w:r>
      <w:r>
        <w:rPr>
          <w:sz w:val="22"/>
          <w:szCs w:val="22"/>
        </w:rPr>
        <w:t xml:space="preserve"> the hydrating individual </w:t>
      </w:r>
      <w:r w:rsidR="005C5ACA">
        <w:rPr>
          <w:sz w:val="22"/>
          <w:szCs w:val="22"/>
        </w:rPr>
        <w:t xml:space="preserve">is </w:t>
      </w:r>
      <w:r>
        <w:rPr>
          <w:sz w:val="22"/>
          <w:szCs w:val="22"/>
        </w:rPr>
        <w:t xml:space="preserve">completed.  The </w:t>
      </w:r>
      <w:r w:rsidR="001F38CE">
        <w:rPr>
          <w:sz w:val="22"/>
          <w:szCs w:val="22"/>
        </w:rPr>
        <w:t xml:space="preserve">final rule </w:t>
      </w:r>
      <w:r>
        <w:rPr>
          <w:sz w:val="22"/>
          <w:szCs w:val="22"/>
        </w:rPr>
        <w:t>add</w:t>
      </w:r>
      <w:r w:rsidR="001F38CE">
        <w:rPr>
          <w:sz w:val="22"/>
          <w:szCs w:val="22"/>
        </w:rPr>
        <w:t>s</w:t>
      </w:r>
      <w:r>
        <w:rPr>
          <w:sz w:val="22"/>
          <w:szCs w:val="22"/>
        </w:rPr>
        <w:t xml:space="preserve"> flexibility to the collection process by permitting </w:t>
      </w:r>
      <w:r w:rsidR="00CD40CA">
        <w:rPr>
          <w:sz w:val="22"/>
          <w:szCs w:val="22"/>
        </w:rPr>
        <w:t>the original</w:t>
      </w:r>
      <w:r>
        <w:rPr>
          <w:sz w:val="22"/>
          <w:szCs w:val="22"/>
        </w:rPr>
        <w:t xml:space="preserve"> specimen collector to conduct additional collections while the </w:t>
      </w:r>
      <w:r w:rsidR="00F61401">
        <w:rPr>
          <w:sz w:val="22"/>
          <w:szCs w:val="22"/>
        </w:rPr>
        <w:t xml:space="preserve">hydrating </w:t>
      </w:r>
      <w:r>
        <w:rPr>
          <w:sz w:val="22"/>
          <w:szCs w:val="22"/>
        </w:rPr>
        <w:t xml:space="preserve">donor is </w:t>
      </w:r>
      <w:r w:rsidR="001F38CE">
        <w:rPr>
          <w:sz w:val="22"/>
          <w:szCs w:val="22"/>
        </w:rPr>
        <w:t xml:space="preserve">observed by another </w:t>
      </w:r>
      <w:r w:rsidR="0050762E">
        <w:rPr>
          <w:sz w:val="22"/>
          <w:szCs w:val="22"/>
        </w:rPr>
        <w:t xml:space="preserve">specimen collector or </w:t>
      </w:r>
      <w:r w:rsidR="001F38CE">
        <w:rPr>
          <w:sz w:val="22"/>
          <w:szCs w:val="22"/>
        </w:rPr>
        <w:t xml:space="preserve">individual </w:t>
      </w:r>
      <w:r w:rsidR="00883B20">
        <w:rPr>
          <w:sz w:val="22"/>
          <w:szCs w:val="22"/>
        </w:rPr>
        <w:t>who</w:t>
      </w:r>
      <w:r w:rsidR="001F38CE">
        <w:rPr>
          <w:sz w:val="22"/>
          <w:szCs w:val="22"/>
        </w:rPr>
        <w:t xml:space="preserve"> has been instruct</w:t>
      </w:r>
      <w:r w:rsidR="0001351A">
        <w:rPr>
          <w:sz w:val="22"/>
          <w:szCs w:val="22"/>
        </w:rPr>
        <w:t>ed</w:t>
      </w:r>
      <w:r w:rsidR="001F38CE">
        <w:rPr>
          <w:sz w:val="22"/>
          <w:szCs w:val="22"/>
        </w:rPr>
        <w:t xml:space="preserve"> on required responsibilities</w:t>
      </w:r>
      <w:r w:rsidR="00CD45D1">
        <w:rPr>
          <w:sz w:val="22"/>
          <w:szCs w:val="22"/>
        </w:rPr>
        <w:t xml:space="preserve"> (a hydration monitor)</w:t>
      </w:r>
      <w:r w:rsidR="0050762E">
        <w:rPr>
          <w:sz w:val="22"/>
          <w:szCs w:val="22"/>
        </w:rPr>
        <w:t>.</w:t>
      </w:r>
      <w:r>
        <w:rPr>
          <w:sz w:val="22"/>
          <w:szCs w:val="22"/>
        </w:rPr>
        <w:t xml:space="preserve">  </w:t>
      </w:r>
      <w:r w:rsidRPr="00677A18">
        <w:rPr>
          <w:sz w:val="22"/>
          <w:szCs w:val="22"/>
        </w:rPr>
        <w:t xml:space="preserve">The NRC </w:t>
      </w:r>
      <w:r w:rsidRPr="00677A18" w:rsidR="00B535BE">
        <w:rPr>
          <w:sz w:val="22"/>
          <w:szCs w:val="22"/>
        </w:rPr>
        <w:t>does not collect data on the incidence of shy</w:t>
      </w:r>
      <w:r w:rsidR="007C79FB">
        <w:rPr>
          <w:sz w:val="22"/>
          <w:szCs w:val="22"/>
        </w:rPr>
        <w:noBreakHyphen/>
      </w:r>
      <w:r w:rsidRPr="00677A18" w:rsidR="00B535BE">
        <w:rPr>
          <w:sz w:val="22"/>
          <w:szCs w:val="22"/>
        </w:rPr>
        <w:t>bladder events and therefore is unable to estimate potential</w:t>
      </w:r>
      <w:r w:rsidRPr="00677A18">
        <w:rPr>
          <w:sz w:val="22"/>
          <w:szCs w:val="22"/>
        </w:rPr>
        <w:t xml:space="preserve"> savings associated with </w:t>
      </w:r>
      <w:r w:rsidRPr="00677A18" w:rsidR="002F056D">
        <w:rPr>
          <w:sz w:val="22"/>
          <w:szCs w:val="22"/>
        </w:rPr>
        <w:t xml:space="preserve">the additional flexibility provided in the </w:t>
      </w:r>
      <w:r w:rsidRPr="00677A18" w:rsidR="00ED763D">
        <w:rPr>
          <w:sz w:val="22"/>
          <w:szCs w:val="22"/>
        </w:rPr>
        <w:t>final rule</w:t>
      </w:r>
      <w:r>
        <w:rPr>
          <w:sz w:val="22"/>
          <w:szCs w:val="22"/>
        </w:rPr>
        <w:t>.</w:t>
      </w:r>
    </w:p>
    <w:p w:rsidRPr="00AF3430" w:rsidR="00D520BD" w:rsidP="00D520BD" w:rsidRDefault="00D520BD" w14:paraId="0D45F741" w14:textId="77777777">
      <w:pPr>
        <w:pStyle w:val="ListParagraph"/>
        <w:ind w:hanging="720"/>
        <w:rPr>
          <w:sz w:val="22"/>
          <w:szCs w:val="22"/>
        </w:rPr>
      </w:pPr>
    </w:p>
    <w:p w:rsidRPr="005A5966" w:rsidR="00D520BD" w:rsidP="005C6BA3" w:rsidRDefault="00D520BD" w14:paraId="502B36CE" w14:textId="0B62E177">
      <w:pPr>
        <w:pStyle w:val="ListParagraph"/>
        <w:numPr>
          <w:ilvl w:val="0"/>
          <w:numId w:val="2"/>
        </w:numPr>
        <w:tabs>
          <w:tab w:val="left" w:pos="721"/>
        </w:tabs>
        <w:ind w:hanging="720"/>
        <w:rPr>
          <w:sz w:val="22"/>
          <w:szCs w:val="22"/>
        </w:rPr>
      </w:pPr>
      <w:r w:rsidRPr="005A5966">
        <w:rPr>
          <w:sz w:val="22"/>
          <w:szCs w:val="22"/>
        </w:rPr>
        <w:t xml:space="preserve">The </w:t>
      </w:r>
      <w:r w:rsidR="00F601DD">
        <w:rPr>
          <w:sz w:val="22"/>
          <w:szCs w:val="22"/>
        </w:rPr>
        <w:t xml:space="preserve">final </w:t>
      </w:r>
      <w:r w:rsidRPr="005A5966">
        <w:rPr>
          <w:sz w:val="22"/>
          <w:szCs w:val="22"/>
        </w:rPr>
        <w:t>rule eliminate</w:t>
      </w:r>
      <w:r w:rsidR="00E125B9">
        <w:rPr>
          <w:sz w:val="22"/>
          <w:szCs w:val="22"/>
        </w:rPr>
        <w:t>s</w:t>
      </w:r>
      <w:r w:rsidRPr="005A5966">
        <w:rPr>
          <w:sz w:val="22"/>
          <w:szCs w:val="22"/>
        </w:rPr>
        <w:t xml:space="preserve"> the </w:t>
      </w:r>
      <w:r>
        <w:rPr>
          <w:sz w:val="22"/>
          <w:szCs w:val="22"/>
        </w:rPr>
        <w:t>6</w:t>
      </w:r>
      <w:r w:rsidRPr="005A5966">
        <w:rPr>
          <w:sz w:val="22"/>
          <w:szCs w:val="22"/>
        </w:rPr>
        <w:t xml:space="preserve">-month in-service </w:t>
      </w:r>
      <w:r>
        <w:rPr>
          <w:sz w:val="22"/>
          <w:szCs w:val="22"/>
        </w:rPr>
        <w:t xml:space="preserve">limit </w:t>
      </w:r>
      <w:r w:rsidRPr="005A5966">
        <w:rPr>
          <w:sz w:val="22"/>
          <w:szCs w:val="22"/>
        </w:rPr>
        <w:t>for BPTSs</w:t>
      </w:r>
      <w:r>
        <w:rPr>
          <w:sz w:val="22"/>
          <w:szCs w:val="22"/>
        </w:rPr>
        <w:t xml:space="preserve"> and allow</w:t>
      </w:r>
      <w:r w:rsidR="00C81880">
        <w:rPr>
          <w:sz w:val="22"/>
          <w:szCs w:val="22"/>
        </w:rPr>
        <w:t>s</w:t>
      </w:r>
      <w:r>
        <w:rPr>
          <w:sz w:val="22"/>
          <w:szCs w:val="22"/>
        </w:rPr>
        <w:t xml:space="preserve"> BPTS suppliers to specify the shelf life of sample lots</w:t>
      </w:r>
      <w:r w:rsidRPr="005A5966">
        <w:rPr>
          <w:sz w:val="22"/>
          <w:szCs w:val="22"/>
        </w:rPr>
        <w:t>.  Th</w:t>
      </w:r>
      <w:r>
        <w:rPr>
          <w:sz w:val="22"/>
          <w:szCs w:val="22"/>
        </w:rPr>
        <w:t>e</w:t>
      </w:r>
      <w:r w:rsidRPr="005A5966">
        <w:rPr>
          <w:sz w:val="22"/>
          <w:szCs w:val="22"/>
        </w:rPr>
        <w:t xml:space="preserve"> </w:t>
      </w:r>
      <w:r>
        <w:rPr>
          <w:sz w:val="22"/>
          <w:szCs w:val="22"/>
        </w:rPr>
        <w:t>option to specify shelf</w:t>
      </w:r>
      <w:r w:rsidR="00E433E1">
        <w:rPr>
          <w:sz w:val="22"/>
          <w:szCs w:val="22"/>
        </w:rPr>
        <w:t>-</w:t>
      </w:r>
      <w:r>
        <w:rPr>
          <w:sz w:val="22"/>
          <w:szCs w:val="22"/>
        </w:rPr>
        <w:t xml:space="preserve">life </w:t>
      </w:r>
      <w:r w:rsidR="00E125B9">
        <w:rPr>
          <w:sz w:val="22"/>
          <w:szCs w:val="22"/>
        </w:rPr>
        <w:t xml:space="preserve">duration </w:t>
      </w:r>
      <w:r>
        <w:rPr>
          <w:sz w:val="22"/>
          <w:szCs w:val="22"/>
        </w:rPr>
        <w:t xml:space="preserve">adds flexibility to the rule and </w:t>
      </w:r>
      <w:r w:rsidR="00806EDB">
        <w:rPr>
          <w:sz w:val="22"/>
          <w:szCs w:val="22"/>
        </w:rPr>
        <w:t>does</w:t>
      </w:r>
      <w:r w:rsidRPr="005A5966">
        <w:rPr>
          <w:sz w:val="22"/>
          <w:szCs w:val="22"/>
        </w:rPr>
        <w:t xml:space="preserve"> not impose any incremental costs</w:t>
      </w:r>
      <w:r>
        <w:rPr>
          <w:sz w:val="22"/>
          <w:szCs w:val="22"/>
        </w:rPr>
        <w:t xml:space="preserve"> because current practice </w:t>
      </w:r>
      <w:r w:rsidR="00242CB8">
        <w:rPr>
          <w:sz w:val="22"/>
          <w:szCs w:val="22"/>
        </w:rPr>
        <w:t>is</w:t>
      </w:r>
      <w:r>
        <w:rPr>
          <w:sz w:val="22"/>
          <w:szCs w:val="22"/>
        </w:rPr>
        <w:t xml:space="preserve"> acceptable.  The change enhance</w:t>
      </w:r>
      <w:r w:rsidR="00E125B9">
        <w:rPr>
          <w:sz w:val="22"/>
          <w:szCs w:val="22"/>
        </w:rPr>
        <w:t>s</w:t>
      </w:r>
      <w:r>
        <w:rPr>
          <w:sz w:val="22"/>
          <w:szCs w:val="22"/>
        </w:rPr>
        <w:t xml:space="preserve"> consistency with the 2008 </w:t>
      </w:r>
      <w:r w:rsidR="006F352C">
        <w:rPr>
          <w:sz w:val="22"/>
          <w:szCs w:val="22"/>
        </w:rPr>
        <w:t>and 2017</w:t>
      </w:r>
      <w:r>
        <w:rPr>
          <w:sz w:val="22"/>
          <w:szCs w:val="22"/>
        </w:rPr>
        <w:t xml:space="preserve"> HHS Guidelines</w:t>
      </w:r>
      <w:r w:rsidR="00646A79">
        <w:rPr>
          <w:sz w:val="22"/>
          <w:szCs w:val="22"/>
        </w:rPr>
        <w:t>,</w:t>
      </w:r>
      <w:r>
        <w:rPr>
          <w:sz w:val="22"/>
          <w:szCs w:val="22"/>
        </w:rPr>
        <w:t xml:space="preserve"> which do not require similar in</w:t>
      </w:r>
      <w:r>
        <w:rPr>
          <w:sz w:val="22"/>
          <w:szCs w:val="22"/>
        </w:rPr>
        <w:noBreakHyphen/>
        <w:t>service limits on BPTS lots.</w:t>
      </w:r>
    </w:p>
    <w:p w:rsidRPr="005A5966" w:rsidR="00D520BD" w:rsidP="00277F2B" w:rsidRDefault="00D520BD" w14:paraId="24E24D89" w14:textId="77777777">
      <w:pPr>
        <w:numPr>
          <w:ilvl w:val="12"/>
          <w:numId w:val="0"/>
        </w:numPr>
        <w:tabs>
          <w:tab w:val="left" w:pos="721"/>
        </w:tabs>
        <w:rPr>
          <w:sz w:val="22"/>
          <w:szCs w:val="22"/>
        </w:rPr>
      </w:pPr>
    </w:p>
    <w:p w:rsidRPr="007A6D18" w:rsidR="00D520BD" w:rsidP="005C6BA3" w:rsidRDefault="00D520BD" w14:paraId="18C54C4D" w14:textId="10EDFE44">
      <w:pPr>
        <w:pStyle w:val="ListParagraph"/>
        <w:numPr>
          <w:ilvl w:val="0"/>
          <w:numId w:val="2"/>
        </w:numPr>
        <w:tabs>
          <w:tab w:val="left" w:pos="721"/>
        </w:tabs>
        <w:ind w:hanging="720"/>
        <w:rPr>
          <w:sz w:val="22"/>
          <w:szCs w:val="22"/>
        </w:rPr>
      </w:pPr>
      <w:r w:rsidRPr="007A6D18">
        <w:rPr>
          <w:sz w:val="22"/>
          <w:szCs w:val="22"/>
        </w:rPr>
        <w:t xml:space="preserve">The </w:t>
      </w:r>
      <w:r w:rsidR="00F601DD">
        <w:rPr>
          <w:sz w:val="22"/>
          <w:szCs w:val="22"/>
        </w:rPr>
        <w:t xml:space="preserve">final </w:t>
      </w:r>
      <w:r w:rsidRPr="007A6D18">
        <w:rPr>
          <w:sz w:val="22"/>
          <w:szCs w:val="22"/>
        </w:rPr>
        <w:t>rule remove</w:t>
      </w:r>
      <w:r w:rsidR="00F209B1">
        <w:rPr>
          <w:sz w:val="22"/>
          <w:szCs w:val="22"/>
        </w:rPr>
        <w:t>s</w:t>
      </w:r>
      <w:r w:rsidRPr="007A6D18">
        <w:rPr>
          <w:sz w:val="22"/>
          <w:szCs w:val="22"/>
        </w:rPr>
        <w:t xml:space="preserve"> </w:t>
      </w:r>
      <w:r>
        <w:rPr>
          <w:sz w:val="22"/>
          <w:szCs w:val="22"/>
        </w:rPr>
        <w:t>10 CFR </w:t>
      </w:r>
      <w:r w:rsidRPr="007A6D18">
        <w:rPr>
          <w:sz w:val="22"/>
          <w:szCs w:val="22"/>
        </w:rPr>
        <w:t>26.155</w:t>
      </w:r>
      <w:r w:rsidR="00646A79">
        <w:rPr>
          <w:sz w:val="22"/>
          <w:szCs w:val="22"/>
        </w:rPr>
        <w:t>,</w:t>
      </w:r>
      <w:r>
        <w:rPr>
          <w:sz w:val="22"/>
          <w:szCs w:val="22"/>
        </w:rPr>
        <w:t xml:space="preserve"> </w:t>
      </w:r>
      <w:r w:rsidR="00646A79">
        <w:rPr>
          <w:sz w:val="22"/>
          <w:szCs w:val="22"/>
        </w:rPr>
        <w:t>“</w:t>
      </w:r>
      <w:r w:rsidRPr="007A6D18">
        <w:rPr>
          <w:sz w:val="22"/>
          <w:szCs w:val="22"/>
        </w:rPr>
        <w:t xml:space="preserve">Laboratory </w:t>
      </w:r>
      <w:r w:rsidR="00DB148C">
        <w:rPr>
          <w:sz w:val="22"/>
          <w:szCs w:val="22"/>
        </w:rPr>
        <w:t>p</w:t>
      </w:r>
      <w:r w:rsidRPr="007A6D18">
        <w:rPr>
          <w:sz w:val="22"/>
          <w:szCs w:val="22"/>
        </w:rPr>
        <w:t>ersonnel</w:t>
      </w:r>
      <w:r w:rsidR="00646A79">
        <w:rPr>
          <w:sz w:val="22"/>
          <w:szCs w:val="22"/>
        </w:rPr>
        <w:t>,”</w:t>
      </w:r>
      <w:r>
        <w:rPr>
          <w:sz w:val="22"/>
          <w:szCs w:val="22"/>
        </w:rPr>
        <w:t xml:space="preserve"> </w:t>
      </w:r>
      <w:r w:rsidRPr="007A6D18">
        <w:rPr>
          <w:sz w:val="22"/>
          <w:szCs w:val="22"/>
        </w:rPr>
        <w:t xml:space="preserve">and </w:t>
      </w:r>
      <w:r>
        <w:rPr>
          <w:sz w:val="22"/>
          <w:szCs w:val="22"/>
        </w:rPr>
        <w:t xml:space="preserve">paragraphs </w:t>
      </w:r>
      <w:r w:rsidR="00BA7A83">
        <w:rPr>
          <w:sz w:val="22"/>
          <w:szCs w:val="22"/>
        </w:rPr>
        <w:t>(b) through (e</w:t>
      </w:r>
      <w:r>
        <w:rPr>
          <w:sz w:val="22"/>
          <w:szCs w:val="22"/>
        </w:rPr>
        <w:t>) of 10 CFR </w:t>
      </w:r>
      <w:r w:rsidRPr="007A6D18">
        <w:rPr>
          <w:sz w:val="22"/>
          <w:szCs w:val="22"/>
        </w:rPr>
        <w:t>26.157</w:t>
      </w:r>
      <w:r w:rsidR="00646A79">
        <w:rPr>
          <w:sz w:val="22"/>
          <w:szCs w:val="22"/>
        </w:rPr>
        <w:t>,</w:t>
      </w:r>
      <w:r>
        <w:rPr>
          <w:sz w:val="22"/>
          <w:szCs w:val="22"/>
        </w:rPr>
        <w:t xml:space="preserve"> </w:t>
      </w:r>
      <w:r w:rsidR="00646A79">
        <w:rPr>
          <w:sz w:val="22"/>
          <w:szCs w:val="22"/>
        </w:rPr>
        <w:t>“</w:t>
      </w:r>
      <w:r>
        <w:rPr>
          <w:sz w:val="22"/>
          <w:szCs w:val="22"/>
        </w:rPr>
        <w:t>Procedures</w:t>
      </w:r>
      <w:r w:rsidR="00646A79">
        <w:rPr>
          <w:sz w:val="22"/>
          <w:szCs w:val="22"/>
        </w:rPr>
        <w:t>,”</w:t>
      </w:r>
      <w:r>
        <w:rPr>
          <w:sz w:val="22"/>
          <w:szCs w:val="22"/>
        </w:rPr>
        <w:t xml:space="preserve"> which</w:t>
      </w:r>
      <w:r w:rsidRPr="007A6D18">
        <w:rPr>
          <w:sz w:val="22"/>
          <w:szCs w:val="22"/>
        </w:rPr>
        <w:t xml:space="preserve"> repeat requirements contained in the HHS Guidelines that the</w:t>
      </w:r>
      <w:r w:rsidRPr="00F41646">
        <w:rPr>
          <w:rFonts w:cs="Arial"/>
          <w:sz w:val="22"/>
          <w:szCs w:val="22"/>
        </w:rPr>
        <w:t xml:space="preserve"> </w:t>
      </w:r>
      <w:r w:rsidRPr="00102C8B">
        <w:rPr>
          <w:rFonts w:cs="Arial"/>
          <w:sz w:val="22"/>
          <w:szCs w:val="22"/>
        </w:rPr>
        <w:t>National Laboratory Certification Program</w:t>
      </w:r>
      <w:r w:rsidRPr="007A6D18">
        <w:rPr>
          <w:sz w:val="22"/>
          <w:szCs w:val="22"/>
        </w:rPr>
        <w:t xml:space="preserve"> </w:t>
      </w:r>
      <w:r>
        <w:rPr>
          <w:sz w:val="22"/>
          <w:szCs w:val="22"/>
        </w:rPr>
        <w:t>(</w:t>
      </w:r>
      <w:r w:rsidRPr="007A6D18">
        <w:rPr>
          <w:sz w:val="22"/>
          <w:szCs w:val="22"/>
        </w:rPr>
        <w:t>N</w:t>
      </w:r>
      <w:r>
        <w:rPr>
          <w:sz w:val="22"/>
          <w:szCs w:val="22"/>
        </w:rPr>
        <w:t>LCP)</w:t>
      </w:r>
      <w:r w:rsidRPr="007A6D18">
        <w:rPr>
          <w:sz w:val="22"/>
          <w:szCs w:val="22"/>
        </w:rPr>
        <w:t xml:space="preserve"> verifies in order for a laboratory to achieve and maintain HHS</w:t>
      </w:r>
      <w:r>
        <w:rPr>
          <w:sz w:val="22"/>
          <w:szCs w:val="22"/>
        </w:rPr>
        <w:t xml:space="preserve"> </w:t>
      </w:r>
      <w:r w:rsidRPr="007A6D18">
        <w:rPr>
          <w:sz w:val="22"/>
          <w:szCs w:val="22"/>
        </w:rPr>
        <w:t xml:space="preserve">certification.  </w:t>
      </w:r>
      <w:r w:rsidR="00F209B1">
        <w:rPr>
          <w:sz w:val="22"/>
          <w:szCs w:val="22"/>
        </w:rPr>
        <w:t>E</w:t>
      </w:r>
      <w:r w:rsidRPr="007A6D18">
        <w:rPr>
          <w:sz w:val="22"/>
          <w:szCs w:val="22"/>
        </w:rPr>
        <w:t>liminat</w:t>
      </w:r>
      <w:r w:rsidR="00F209B1">
        <w:rPr>
          <w:sz w:val="22"/>
          <w:szCs w:val="22"/>
        </w:rPr>
        <w:t>ing</w:t>
      </w:r>
      <w:r w:rsidRPr="007A6D18">
        <w:rPr>
          <w:sz w:val="22"/>
          <w:szCs w:val="22"/>
        </w:rPr>
        <w:t xml:space="preserve"> dual </w:t>
      </w:r>
      <w:r w:rsidRPr="007A6D18">
        <w:rPr>
          <w:sz w:val="22"/>
          <w:szCs w:val="22"/>
        </w:rPr>
        <w:lastRenderedPageBreak/>
        <w:t xml:space="preserve">regulation of an HHS-certified laboratory (a private entity) </w:t>
      </w:r>
      <w:r>
        <w:rPr>
          <w:sz w:val="22"/>
          <w:szCs w:val="22"/>
        </w:rPr>
        <w:t>reduce</w:t>
      </w:r>
      <w:r w:rsidR="00F209B1">
        <w:rPr>
          <w:sz w:val="22"/>
          <w:szCs w:val="22"/>
        </w:rPr>
        <w:t>s</w:t>
      </w:r>
      <w:r>
        <w:rPr>
          <w:sz w:val="22"/>
          <w:szCs w:val="22"/>
        </w:rPr>
        <w:t xml:space="preserve"> </w:t>
      </w:r>
      <w:r w:rsidRPr="007A6D18">
        <w:rPr>
          <w:sz w:val="22"/>
          <w:szCs w:val="22"/>
        </w:rPr>
        <w:t>the regulatory burden on licensees.</w:t>
      </w:r>
    </w:p>
    <w:p w:rsidRPr="005A5966" w:rsidR="00D520BD" w:rsidP="00277F2B" w:rsidRDefault="00D520BD" w14:paraId="640CDD0B" w14:textId="77777777">
      <w:pPr>
        <w:numPr>
          <w:ilvl w:val="12"/>
          <w:numId w:val="0"/>
        </w:numPr>
        <w:tabs>
          <w:tab w:val="left" w:pos="721"/>
        </w:tabs>
        <w:rPr>
          <w:sz w:val="22"/>
          <w:szCs w:val="22"/>
        </w:rPr>
      </w:pPr>
    </w:p>
    <w:p w:rsidRPr="005C7807" w:rsidR="00D520BD" w:rsidP="005C6BA3" w:rsidRDefault="00D520BD" w14:paraId="5C88DC3D" w14:textId="658B7CB4">
      <w:pPr>
        <w:pStyle w:val="ListParagraph"/>
        <w:numPr>
          <w:ilvl w:val="0"/>
          <w:numId w:val="2"/>
        </w:numPr>
        <w:tabs>
          <w:tab w:val="left" w:pos="721"/>
        </w:tabs>
        <w:ind w:hanging="720"/>
        <w:rPr>
          <w:sz w:val="22"/>
          <w:szCs w:val="22"/>
        </w:rPr>
      </w:pPr>
      <w:r w:rsidRPr="005C7807">
        <w:rPr>
          <w:sz w:val="22"/>
          <w:szCs w:val="22"/>
        </w:rPr>
        <w:t xml:space="preserve">The </w:t>
      </w:r>
      <w:r w:rsidRPr="005C7807" w:rsidR="00F601DD">
        <w:rPr>
          <w:sz w:val="22"/>
          <w:szCs w:val="22"/>
        </w:rPr>
        <w:t xml:space="preserve">final </w:t>
      </w:r>
      <w:r w:rsidRPr="005C7807">
        <w:rPr>
          <w:sz w:val="22"/>
          <w:szCs w:val="22"/>
        </w:rPr>
        <w:t xml:space="preserve">rule </w:t>
      </w:r>
      <w:r w:rsidR="002C17E1">
        <w:rPr>
          <w:sz w:val="22"/>
          <w:szCs w:val="22"/>
        </w:rPr>
        <w:t xml:space="preserve">address issues </w:t>
      </w:r>
      <w:r w:rsidRPr="0029717A">
        <w:rPr>
          <w:sz w:val="22"/>
          <w:szCs w:val="22"/>
        </w:rPr>
        <w:t xml:space="preserve">described in </w:t>
      </w:r>
      <w:r w:rsidR="0050375B">
        <w:rPr>
          <w:rFonts w:cs="Arial"/>
          <w:sz w:val="22"/>
          <w:szCs w:val="22"/>
        </w:rPr>
        <w:t>an</w:t>
      </w:r>
      <w:r w:rsidRPr="005C7807" w:rsidR="00B6154F">
        <w:rPr>
          <w:sz w:val="22"/>
          <w:szCs w:val="22"/>
        </w:rPr>
        <w:t xml:space="preserve"> enforcement guidance </w:t>
      </w:r>
      <w:r w:rsidRPr="005C7807">
        <w:rPr>
          <w:sz w:val="22"/>
          <w:szCs w:val="22"/>
        </w:rPr>
        <w:t>memorandum dated March 31</w:t>
      </w:r>
      <w:r w:rsidRPr="005C7807" w:rsidR="00646A79">
        <w:rPr>
          <w:sz w:val="22"/>
          <w:szCs w:val="22"/>
        </w:rPr>
        <w:t>,</w:t>
      </w:r>
      <w:r w:rsidRPr="005C7807">
        <w:rPr>
          <w:sz w:val="22"/>
          <w:szCs w:val="22"/>
        </w:rPr>
        <w:t xml:space="preserve"> 2009 </w:t>
      </w:r>
      <w:r w:rsidRPr="005C7807">
        <w:rPr>
          <w:rFonts w:cs="Arial"/>
          <w:sz w:val="22"/>
          <w:szCs w:val="22"/>
        </w:rPr>
        <w:t>(</w:t>
      </w:r>
      <w:r w:rsidRPr="005C7807" w:rsidR="00773487">
        <w:rPr>
          <w:rFonts w:cs="Arial"/>
          <w:sz w:val="22"/>
          <w:szCs w:val="22"/>
        </w:rPr>
        <w:t>NRC</w:t>
      </w:r>
      <w:r w:rsidRPr="005C7807" w:rsidR="00646A79">
        <w:rPr>
          <w:rFonts w:cs="Arial"/>
          <w:sz w:val="22"/>
          <w:szCs w:val="22"/>
        </w:rPr>
        <w:t>,</w:t>
      </w:r>
      <w:r w:rsidRPr="005C7807" w:rsidR="00773487">
        <w:rPr>
          <w:rFonts w:cs="Arial"/>
          <w:sz w:val="22"/>
          <w:szCs w:val="22"/>
        </w:rPr>
        <w:t xml:space="preserve"> 2009</w:t>
      </w:r>
      <w:r w:rsidRPr="00E073C8" w:rsidR="001B382F">
        <w:rPr>
          <w:rFonts w:cs="Arial"/>
          <w:sz w:val="22"/>
          <w:szCs w:val="22"/>
        </w:rPr>
        <w:t>c</w:t>
      </w:r>
      <w:r w:rsidRPr="0050375B">
        <w:rPr>
          <w:rFonts w:cs="Arial"/>
          <w:sz w:val="22"/>
          <w:szCs w:val="22"/>
        </w:rPr>
        <w:t>)</w:t>
      </w:r>
      <w:r w:rsidRPr="003762B3" w:rsidR="003762B3">
        <w:rPr>
          <w:sz w:val="22"/>
          <w:szCs w:val="22"/>
        </w:rPr>
        <w:t xml:space="preserve"> </w:t>
      </w:r>
      <w:r w:rsidR="003762B3">
        <w:rPr>
          <w:sz w:val="22"/>
          <w:szCs w:val="22"/>
        </w:rPr>
        <w:t>on the testing of</w:t>
      </w:r>
      <w:r w:rsidRPr="0029717A" w:rsidR="003762B3">
        <w:rPr>
          <w:sz w:val="22"/>
          <w:szCs w:val="22"/>
        </w:rPr>
        <w:t xml:space="preserve"> quality control samples</w:t>
      </w:r>
      <w:r w:rsidR="003762B3">
        <w:rPr>
          <w:sz w:val="22"/>
          <w:szCs w:val="22"/>
        </w:rPr>
        <w:t xml:space="preserve"> at licensee testing facilities.</w:t>
      </w:r>
    </w:p>
    <w:p w:rsidRPr="005A5966" w:rsidR="00D520BD" w:rsidP="00277F2B" w:rsidRDefault="00D520BD" w14:paraId="097609EC" w14:textId="77777777">
      <w:pPr>
        <w:numPr>
          <w:ilvl w:val="12"/>
          <w:numId w:val="0"/>
        </w:numPr>
        <w:tabs>
          <w:tab w:val="left" w:pos="721"/>
        </w:tabs>
        <w:rPr>
          <w:sz w:val="22"/>
          <w:szCs w:val="22"/>
        </w:rPr>
      </w:pPr>
    </w:p>
    <w:p w:rsidR="00D520BD" w:rsidP="005C6BA3" w:rsidRDefault="00D520BD" w14:paraId="10675C95" w14:textId="18A24723">
      <w:pPr>
        <w:pStyle w:val="ListParagraph"/>
        <w:numPr>
          <w:ilvl w:val="0"/>
          <w:numId w:val="2"/>
        </w:numPr>
        <w:tabs>
          <w:tab w:val="left" w:pos="721"/>
        </w:tabs>
        <w:ind w:hanging="720"/>
        <w:rPr>
          <w:sz w:val="22"/>
          <w:szCs w:val="22"/>
        </w:rPr>
      </w:pPr>
      <w:r w:rsidRPr="00AF149A">
        <w:rPr>
          <w:sz w:val="22"/>
          <w:szCs w:val="22"/>
        </w:rPr>
        <w:t>The</w:t>
      </w:r>
      <w:r w:rsidRPr="00C17229">
        <w:rPr>
          <w:sz w:val="22"/>
          <w:szCs w:val="22"/>
        </w:rPr>
        <w:t xml:space="preserve"> </w:t>
      </w:r>
      <w:r w:rsidR="00F601DD">
        <w:rPr>
          <w:sz w:val="22"/>
          <w:szCs w:val="22"/>
        </w:rPr>
        <w:t xml:space="preserve">final </w:t>
      </w:r>
      <w:r w:rsidRPr="00C17229">
        <w:rPr>
          <w:sz w:val="22"/>
          <w:szCs w:val="22"/>
        </w:rPr>
        <w:t xml:space="preserve">rule </w:t>
      </w:r>
      <w:r w:rsidR="00F209B1">
        <w:rPr>
          <w:sz w:val="22"/>
          <w:szCs w:val="22"/>
        </w:rPr>
        <w:t>establishes a required</w:t>
      </w:r>
      <w:r w:rsidRPr="00C17229">
        <w:rPr>
          <w:sz w:val="22"/>
          <w:szCs w:val="22"/>
        </w:rPr>
        <w:t xml:space="preserve"> MRO </w:t>
      </w:r>
      <w:r w:rsidR="00F209B1">
        <w:rPr>
          <w:sz w:val="22"/>
          <w:szCs w:val="22"/>
        </w:rPr>
        <w:t xml:space="preserve">review for </w:t>
      </w:r>
      <w:r w:rsidRPr="00C17229">
        <w:rPr>
          <w:sz w:val="22"/>
          <w:szCs w:val="22"/>
        </w:rPr>
        <w:t xml:space="preserve">invalid validity test results </w:t>
      </w:r>
      <w:r>
        <w:rPr>
          <w:sz w:val="22"/>
          <w:szCs w:val="22"/>
        </w:rPr>
        <w:t xml:space="preserve">due to </w:t>
      </w:r>
      <w:r w:rsidRPr="00C17229">
        <w:rPr>
          <w:sz w:val="22"/>
          <w:szCs w:val="22"/>
        </w:rPr>
        <w:t xml:space="preserve">high pH </w:t>
      </w:r>
      <w:r>
        <w:rPr>
          <w:sz w:val="22"/>
          <w:szCs w:val="22"/>
        </w:rPr>
        <w:t xml:space="preserve">values </w:t>
      </w:r>
      <w:r w:rsidRPr="00C17229">
        <w:rPr>
          <w:sz w:val="22"/>
          <w:szCs w:val="22"/>
        </w:rPr>
        <w:t xml:space="preserve">between 9.0 and 9.5.  This </w:t>
      </w:r>
      <w:r w:rsidR="00F209B1">
        <w:rPr>
          <w:sz w:val="22"/>
          <w:szCs w:val="22"/>
        </w:rPr>
        <w:t xml:space="preserve">review </w:t>
      </w:r>
      <w:r w:rsidR="00F549F1">
        <w:rPr>
          <w:sz w:val="22"/>
          <w:szCs w:val="22"/>
        </w:rPr>
        <w:t>will</w:t>
      </w:r>
      <w:r w:rsidRPr="00C17229">
        <w:rPr>
          <w:sz w:val="22"/>
          <w:szCs w:val="22"/>
        </w:rPr>
        <w:t xml:space="preserve"> result in some incremental effort on the part of </w:t>
      </w:r>
      <w:r>
        <w:rPr>
          <w:sz w:val="22"/>
          <w:szCs w:val="22"/>
        </w:rPr>
        <w:t xml:space="preserve">the </w:t>
      </w:r>
      <w:r w:rsidRPr="00C17229">
        <w:rPr>
          <w:sz w:val="22"/>
          <w:szCs w:val="22"/>
        </w:rPr>
        <w:t>MRO (e.g.</w:t>
      </w:r>
      <w:r w:rsidR="00646A79">
        <w:rPr>
          <w:sz w:val="22"/>
          <w:szCs w:val="22"/>
        </w:rPr>
        <w:t>,</w:t>
      </w:r>
      <w:r>
        <w:rPr>
          <w:sz w:val="22"/>
          <w:szCs w:val="22"/>
        </w:rPr>
        <w:t> </w:t>
      </w:r>
      <w:r w:rsidR="004F4716">
        <w:rPr>
          <w:sz w:val="22"/>
          <w:szCs w:val="22"/>
        </w:rPr>
        <w:t>about</w:t>
      </w:r>
      <w:r w:rsidRPr="00C17229">
        <w:rPr>
          <w:sz w:val="22"/>
          <w:szCs w:val="22"/>
        </w:rPr>
        <w:t xml:space="preserve"> an hour per occurrence to review </w:t>
      </w:r>
      <w:r w:rsidR="00CD1761">
        <w:rPr>
          <w:sz w:val="22"/>
          <w:szCs w:val="22"/>
        </w:rPr>
        <w:t>specimen handling conditions</w:t>
      </w:r>
      <w:r w:rsidRPr="00C17229">
        <w:rPr>
          <w:sz w:val="22"/>
          <w:szCs w:val="22"/>
        </w:rPr>
        <w:t>)</w:t>
      </w:r>
      <w:r w:rsidR="00646A79">
        <w:rPr>
          <w:sz w:val="22"/>
          <w:szCs w:val="22"/>
        </w:rPr>
        <w:t>,</w:t>
      </w:r>
      <w:r w:rsidRPr="00C17229">
        <w:rPr>
          <w:sz w:val="22"/>
          <w:szCs w:val="22"/>
        </w:rPr>
        <w:t xml:space="preserve"> but the cost </w:t>
      </w:r>
      <w:r w:rsidR="001B65B8">
        <w:rPr>
          <w:sz w:val="22"/>
          <w:szCs w:val="22"/>
        </w:rPr>
        <w:t xml:space="preserve">will be </w:t>
      </w:r>
      <w:r w:rsidRPr="00C17229">
        <w:rPr>
          <w:sz w:val="22"/>
          <w:szCs w:val="22"/>
        </w:rPr>
        <w:t xml:space="preserve">incurred infrequently </w:t>
      </w:r>
      <w:r w:rsidR="000D03A5">
        <w:rPr>
          <w:sz w:val="22"/>
          <w:szCs w:val="22"/>
        </w:rPr>
        <w:t xml:space="preserve">because </w:t>
      </w:r>
      <w:r w:rsidR="00987435">
        <w:rPr>
          <w:sz w:val="22"/>
          <w:szCs w:val="22"/>
        </w:rPr>
        <w:t xml:space="preserve">an </w:t>
      </w:r>
      <w:r w:rsidR="000D03A5">
        <w:rPr>
          <w:sz w:val="22"/>
          <w:szCs w:val="22"/>
        </w:rPr>
        <w:t>invalid specimen test result</w:t>
      </w:r>
      <w:r w:rsidR="00987435">
        <w:rPr>
          <w:sz w:val="22"/>
          <w:szCs w:val="22"/>
        </w:rPr>
        <w:t xml:space="preserve"> i</w:t>
      </w:r>
      <w:r w:rsidR="000D03A5">
        <w:rPr>
          <w:sz w:val="22"/>
          <w:szCs w:val="22"/>
        </w:rPr>
        <w:t xml:space="preserve">s </w:t>
      </w:r>
      <w:r w:rsidR="00987435">
        <w:rPr>
          <w:sz w:val="22"/>
          <w:szCs w:val="22"/>
        </w:rPr>
        <w:t xml:space="preserve">a </w:t>
      </w:r>
      <w:r w:rsidR="000D03A5">
        <w:rPr>
          <w:sz w:val="22"/>
          <w:szCs w:val="22"/>
        </w:rPr>
        <w:t>rare</w:t>
      </w:r>
      <w:r w:rsidR="00987435">
        <w:rPr>
          <w:sz w:val="22"/>
          <w:szCs w:val="22"/>
        </w:rPr>
        <w:t xml:space="preserve"> event</w:t>
      </w:r>
      <w:r w:rsidR="000651A7">
        <w:rPr>
          <w:sz w:val="22"/>
          <w:szCs w:val="22"/>
        </w:rPr>
        <w:t>.  Therefore,</w:t>
      </w:r>
      <w:r w:rsidRPr="00C17229">
        <w:rPr>
          <w:sz w:val="22"/>
          <w:szCs w:val="22"/>
        </w:rPr>
        <w:t xml:space="preserve"> the total cost of the change </w:t>
      </w:r>
      <w:r w:rsidR="00821E65">
        <w:rPr>
          <w:sz w:val="22"/>
          <w:szCs w:val="22"/>
        </w:rPr>
        <w:t>will</w:t>
      </w:r>
      <w:r w:rsidRPr="00C17229">
        <w:rPr>
          <w:sz w:val="22"/>
          <w:szCs w:val="22"/>
        </w:rPr>
        <w:t xml:space="preserve"> be</w:t>
      </w:r>
      <w:r>
        <w:rPr>
          <w:sz w:val="22"/>
          <w:szCs w:val="22"/>
        </w:rPr>
        <w:t xml:space="preserve"> small</w:t>
      </w:r>
      <w:r w:rsidRPr="00C17229">
        <w:rPr>
          <w:sz w:val="22"/>
          <w:szCs w:val="22"/>
        </w:rPr>
        <w:t>.</w:t>
      </w:r>
      <w:r>
        <w:rPr>
          <w:sz w:val="22"/>
          <w:szCs w:val="22"/>
        </w:rPr>
        <w:t xml:space="preserve">  </w:t>
      </w:r>
      <w:r w:rsidRPr="00C17229">
        <w:rPr>
          <w:sz w:val="22"/>
          <w:szCs w:val="22"/>
        </w:rPr>
        <w:t>Th</w:t>
      </w:r>
      <w:r>
        <w:rPr>
          <w:sz w:val="22"/>
          <w:szCs w:val="22"/>
        </w:rPr>
        <w:t>is</w:t>
      </w:r>
      <w:r w:rsidRPr="00C17229">
        <w:rPr>
          <w:sz w:val="22"/>
          <w:szCs w:val="22"/>
        </w:rPr>
        <w:t xml:space="preserve"> change enhance</w:t>
      </w:r>
      <w:r w:rsidR="00821E65">
        <w:rPr>
          <w:sz w:val="22"/>
          <w:szCs w:val="22"/>
        </w:rPr>
        <w:t>s</w:t>
      </w:r>
      <w:r w:rsidRPr="00C17229">
        <w:rPr>
          <w:sz w:val="22"/>
          <w:szCs w:val="22"/>
        </w:rPr>
        <w:t xml:space="preserve"> FFD program integrity and </w:t>
      </w:r>
      <w:r>
        <w:rPr>
          <w:sz w:val="22"/>
          <w:szCs w:val="22"/>
        </w:rPr>
        <w:t xml:space="preserve">the </w:t>
      </w:r>
      <w:r w:rsidRPr="00C17229">
        <w:rPr>
          <w:sz w:val="22"/>
          <w:szCs w:val="22"/>
        </w:rPr>
        <w:t>protection of individual rights.</w:t>
      </w:r>
    </w:p>
    <w:p w:rsidRPr="00881D0F" w:rsidR="00D520BD" w:rsidP="00D520BD" w:rsidRDefault="00D520BD" w14:paraId="68577C4B" w14:textId="77777777">
      <w:pPr>
        <w:pStyle w:val="ListParagraph"/>
        <w:ind w:hanging="720"/>
        <w:rPr>
          <w:sz w:val="22"/>
          <w:szCs w:val="22"/>
        </w:rPr>
      </w:pPr>
    </w:p>
    <w:p w:rsidRPr="00D32AA2" w:rsidR="00D520BD" w:rsidP="005C6BA3" w:rsidRDefault="00D520BD" w14:paraId="7F4843FA" w14:textId="1CAC446A">
      <w:pPr>
        <w:pStyle w:val="ListParagraph"/>
        <w:numPr>
          <w:ilvl w:val="0"/>
          <w:numId w:val="2"/>
        </w:numPr>
        <w:ind w:hanging="720"/>
        <w:rPr>
          <w:sz w:val="22"/>
          <w:szCs w:val="22"/>
        </w:rPr>
      </w:pPr>
      <w:r w:rsidRPr="00D32AA2">
        <w:rPr>
          <w:sz w:val="22"/>
          <w:szCs w:val="22"/>
        </w:rPr>
        <w:t xml:space="preserve">The </w:t>
      </w:r>
      <w:r w:rsidR="00F601DD">
        <w:rPr>
          <w:sz w:val="22"/>
          <w:szCs w:val="22"/>
        </w:rPr>
        <w:t xml:space="preserve">final </w:t>
      </w:r>
      <w:r w:rsidRPr="00D32AA2">
        <w:rPr>
          <w:sz w:val="22"/>
          <w:szCs w:val="22"/>
        </w:rPr>
        <w:t>rule require</w:t>
      </w:r>
      <w:r w:rsidR="00821E65">
        <w:rPr>
          <w:sz w:val="22"/>
          <w:szCs w:val="22"/>
        </w:rPr>
        <w:t>s</w:t>
      </w:r>
      <w:r w:rsidRPr="00D32AA2">
        <w:rPr>
          <w:sz w:val="22"/>
          <w:szCs w:val="22"/>
        </w:rPr>
        <w:t xml:space="preserve"> the MRO to document a </w:t>
      </w:r>
      <w:r w:rsidR="0002114D">
        <w:rPr>
          <w:sz w:val="22"/>
          <w:szCs w:val="22"/>
        </w:rPr>
        <w:t xml:space="preserve">donor’s </w:t>
      </w:r>
      <w:r w:rsidRPr="00D32AA2">
        <w:rPr>
          <w:sz w:val="22"/>
          <w:szCs w:val="22"/>
        </w:rPr>
        <w:t xml:space="preserve">verbal request </w:t>
      </w:r>
      <w:r>
        <w:rPr>
          <w:sz w:val="22"/>
          <w:szCs w:val="22"/>
        </w:rPr>
        <w:t>to</w:t>
      </w:r>
      <w:r w:rsidRPr="00D32AA2">
        <w:rPr>
          <w:sz w:val="22"/>
          <w:szCs w:val="22"/>
        </w:rPr>
        <w:t xml:space="preserve"> test Bottle</w:t>
      </w:r>
      <w:r>
        <w:rPr>
          <w:sz w:val="22"/>
          <w:szCs w:val="22"/>
        </w:rPr>
        <w:t> </w:t>
      </w:r>
      <w:r w:rsidRPr="00D32AA2">
        <w:rPr>
          <w:sz w:val="22"/>
          <w:szCs w:val="22"/>
        </w:rPr>
        <w:t>B of a split specimen or retest a single specimen.  This change ensure</w:t>
      </w:r>
      <w:r w:rsidR="00821E65">
        <w:rPr>
          <w:sz w:val="22"/>
          <w:szCs w:val="22"/>
        </w:rPr>
        <w:t>s</w:t>
      </w:r>
      <w:r w:rsidRPr="00D32AA2">
        <w:rPr>
          <w:sz w:val="22"/>
          <w:szCs w:val="22"/>
        </w:rPr>
        <w:t xml:space="preserve"> that</w:t>
      </w:r>
      <w:r>
        <w:rPr>
          <w:sz w:val="22"/>
          <w:szCs w:val="22"/>
        </w:rPr>
        <w:t xml:space="preserve"> the </w:t>
      </w:r>
      <w:r w:rsidRPr="00D32AA2">
        <w:rPr>
          <w:sz w:val="22"/>
          <w:szCs w:val="22"/>
        </w:rPr>
        <w:t>donor</w:t>
      </w:r>
      <w:r>
        <w:rPr>
          <w:sz w:val="22"/>
          <w:szCs w:val="22"/>
        </w:rPr>
        <w:t>’s</w:t>
      </w:r>
      <w:r w:rsidRPr="00D32AA2">
        <w:rPr>
          <w:sz w:val="22"/>
          <w:szCs w:val="22"/>
        </w:rPr>
        <w:t xml:space="preserve"> request is documented an</w:t>
      </w:r>
      <w:r>
        <w:rPr>
          <w:sz w:val="22"/>
          <w:szCs w:val="22"/>
        </w:rPr>
        <w:t>d confirm</w:t>
      </w:r>
      <w:r w:rsidR="00821E65">
        <w:rPr>
          <w:sz w:val="22"/>
          <w:szCs w:val="22"/>
        </w:rPr>
        <w:t>s</w:t>
      </w:r>
      <w:r>
        <w:rPr>
          <w:sz w:val="22"/>
          <w:szCs w:val="22"/>
        </w:rPr>
        <w:t xml:space="preserve"> that </w:t>
      </w:r>
      <w:r w:rsidR="0002114D">
        <w:rPr>
          <w:sz w:val="22"/>
          <w:szCs w:val="22"/>
        </w:rPr>
        <w:t xml:space="preserve">a </w:t>
      </w:r>
      <w:r w:rsidRPr="00D32AA2">
        <w:rPr>
          <w:sz w:val="22"/>
          <w:szCs w:val="22"/>
        </w:rPr>
        <w:t xml:space="preserve">request </w:t>
      </w:r>
      <w:r w:rsidR="0002114D">
        <w:rPr>
          <w:sz w:val="22"/>
          <w:szCs w:val="22"/>
        </w:rPr>
        <w:t>is</w:t>
      </w:r>
      <w:r w:rsidRPr="00D32AA2">
        <w:rPr>
          <w:sz w:val="22"/>
          <w:szCs w:val="22"/>
        </w:rPr>
        <w:t xml:space="preserve"> made in a timely manner (</w:t>
      </w:r>
      <w:r w:rsidR="0042517A">
        <w:rPr>
          <w:sz w:val="22"/>
          <w:szCs w:val="22"/>
        </w:rPr>
        <w:t>i.e.,</w:t>
      </w:r>
      <w:r w:rsidR="003E45A7">
        <w:rPr>
          <w:sz w:val="22"/>
          <w:szCs w:val="22"/>
        </w:rPr>
        <w:t> </w:t>
      </w:r>
      <w:r w:rsidRPr="00D32AA2" w:rsidR="0042517A">
        <w:rPr>
          <w:sz w:val="22"/>
          <w:szCs w:val="22"/>
        </w:rPr>
        <w:t>within 3</w:t>
      </w:r>
      <w:r w:rsidR="003E45A7">
        <w:rPr>
          <w:sz w:val="22"/>
          <w:szCs w:val="22"/>
        </w:rPr>
        <w:t> </w:t>
      </w:r>
      <w:r w:rsidRPr="00D32AA2" w:rsidR="0042517A">
        <w:rPr>
          <w:sz w:val="22"/>
          <w:szCs w:val="22"/>
        </w:rPr>
        <w:t>business days</w:t>
      </w:r>
      <w:r w:rsidR="0042517A">
        <w:rPr>
          <w:sz w:val="22"/>
          <w:szCs w:val="22"/>
        </w:rPr>
        <w:t xml:space="preserve"> of MRO notification, as permitted under</w:t>
      </w:r>
      <w:r w:rsidRPr="00D32AA2">
        <w:rPr>
          <w:sz w:val="22"/>
          <w:szCs w:val="22"/>
        </w:rPr>
        <w:t xml:space="preserve"> </w:t>
      </w:r>
      <w:r>
        <w:rPr>
          <w:sz w:val="22"/>
          <w:szCs w:val="22"/>
        </w:rPr>
        <w:t>10 CFR </w:t>
      </w:r>
      <w:r w:rsidRPr="00D32AA2">
        <w:rPr>
          <w:sz w:val="22"/>
          <w:szCs w:val="22"/>
        </w:rPr>
        <w:t>26.165(b)(2)</w:t>
      </w:r>
      <w:r>
        <w:rPr>
          <w:sz w:val="22"/>
          <w:szCs w:val="22"/>
        </w:rPr>
        <w:t>)</w:t>
      </w:r>
      <w:r w:rsidRPr="00D32AA2">
        <w:rPr>
          <w:sz w:val="22"/>
          <w:szCs w:val="22"/>
        </w:rPr>
        <w:t>.  This change enhance</w:t>
      </w:r>
      <w:r w:rsidR="00821E65">
        <w:rPr>
          <w:sz w:val="22"/>
          <w:szCs w:val="22"/>
        </w:rPr>
        <w:t>s</w:t>
      </w:r>
      <w:r w:rsidRPr="00D32AA2">
        <w:rPr>
          <w:sz w:val="22"/>
          <w:szCs w:val="22"/>
        </w:rPr>
        <w:t xml:space="preserve"> consisten</w:t>
      </w:r>
      <w:r>
        <w:rPr>
          <w:sz w:val="22"/>
          <w:szCs w:val="22"/>
        </w:rPr>
        <w:t>cy</w:t>
      </w:r>
      <w:r w:rsidRPr="00D32AA2">
        <w:rPr>
          <w:sz w:val="22"/>
          <w:szCs w:val="22"/>
        </w:rPr>
        <w:t xml:space="preserve"> with the 200</w:t>
      </w:r>
      <w:r>
        <w:rPr>
          <w:sz w:val="22"/>
          <w:szCs w:val="22"/>
        </w:rPr>
        <w:t>8</w:t>
      </w:r>
      <w:r w:rsidRPr="00D32AA2">
        <w:rPr>
          <w:sz w:val="22"/>
          <w:szCs w:val="22"/>
        </w:rPr>
        <w:t xml:space="preserve"> </w:t>
      </w:r>
      <w:r w:rsidR="00FF21F7">
        <w:rPr>
          <w:sz w:val="22"/>
          <w:szCs w:val="22"/>
        </w:rPr>
        <w:t xml:space="preserve">and 2017 </w:t>
      </w:r>
      <w:r w:rsidRPr="00D32AA2">
        <w:rPr>
          <w:sz w:val="22"/>
          <w:szCs w:val="22"/>
        </w:rPr>
        <w:t>HHS Guidelines</w:t>
      </w:r>
      <w:r w:rsidR="00646A79">
        <w:rPr>
          <w:sz w:val="22"/>
          <w:szCs w:val="22"/>
        </w:rPr>
        <w:t>,</w:t>
      </w:r>
      <w:r>
        <w:rPr>
          <w:sz w:val="22"/>
          <w:szCs w:val="22"/>
        </w:rPr>
        <w:t xml:space="preserve"> </w:t>
      </w:r>
      <w:r w:rsidR="00E21284">
        <w:rPr>
          <w:sz w:val="22"/>
          <w:szCs w:val="22"/>
        </w:rPr>
        <w:t xml:space="preserve">increases </w:t>
      </w:r>
      <w:r>
        <w:rPr>
          <w:sz w:val="22"/>
          <w:szCs w:val="22"/>
        </w:rPr>
        <w:t>transparency of the testing process</w:t>
      </w:r>
      <w:r w:rsidR="00646A79">
        <w:rPr>
          <w:sz w:val="22"/>
          <w:szCs w:val="22"/>
        </w:rPr>
        <w:t>,</w:t>
      </w:r>
      <w:r>
        <w:rPr>
          <w:sz w:val="22"/>
          <w:szCs w:val="22"/>
        </w:rPr>
        <w:t xml:space="preserve"> and </w:t>
      </w:r>
      <w:r w:rsidR="00A63332">
        <w:rPr>
          <w:sz w:val="22"/>
          <w:szCs w:val="22"/>
        </w:rPr>
        <w:t xml:space="preserve">affords </w:t>
      </w:r>
      <w:r>
        <w:rPr>
          <w:sz w:val="22"/>
          <w:szCs w:val="22"/>
        </w:rPr>
        <w:t>due process to the donor</w:t>
      </w:r>
      <w:r w:rsidRPr="00D32AA2">
        <w:rPr>
          <w:sz w:val="22"/>
          <w:szCs w:val="22"/>
        </w:rPr>
        <w:t>.</w:t>
      </w:r>
    </w:p>
    <w:p w:rsidRPr="00AF3430" w:rsidR="00D520BD" w:rsidP="00D520BD" w:rsidRDefault="00D520BD" w14:paraId="1264BBE5" w14:textId="77777777">
      <w:pPr>
        <w:pStyle w:val="ListParagraph"/>
        <w:ind w:hanging="720"/>
        <w:rPr>
          <w:sz w:val="22"/>
          <w:szCs w:val="22"/>
        </w:rPr>
      </w:pPr>
    </w:p>
    <w:p w:rsidR="00D520BD" w:rsidP="005C6BA3" w:rsidRDefault="00D520BD" w14:paraId="3D88ED39" w14:textId="2A72337C">
      <w:pPr>
        <w:pStyle w:val="ListParagraph"/>
        <w:numPr>
          <w:ilvl w:val="0"/>
          <w:numId w:val="2"/>
        </w:numPr>
        <w:tabs>
          <w:tab w:val="left" w:pos="721"/>
        </w:tabs>
        <w:ind w:hanging="720"/>
        <w:rPr>
          <w:sz w:val="22"/>
          <w:szCs w:val="22"/>
        </w:rPr>
      </w:pPr>
      <w:r>
        <w:rPr>
          <w:sz w:val="22"/>
          <w:szCs w:val="22"/>
        </w:rPr>
        <w:t xml:space="preserve">The </w:t>
      </w:r>
      <w:r w:rsidR="00E1238D">
        <w:rPr>
          <w:sz w:val="22"/>
          <w:szCs w:val="22"/>
        </w:rPr>
        <w:t xml:space="preserve">final </w:t>
      </w:r>
      <w:r>
        <w:rPr>
          <w:sz w:val="22"/>
          <w:szCs w:val="22"/>
        </w:rPr>
        <w:t>rule require</w:t>
      </w:r>
      <w:r w:rsidR="00821E65">
        <w:rPr>
          <w:sz w:val="22"/>
          <w:szCs w:val="22"/>
        </w:rPr>
        <w:t>s</w:t>
      </w:r>
      <w:r>
        <w:rPr>
          <w:sz w:val="22"/>
          <w:szCs w:val="22"/>
        </w:rPr>
        <w:t xml:space="preserve"> the testing of any specimen collected during a post-event testing situation in which a testing refusal </w:t>
      </w:r>
      <w:r w:rsidR="00821E65">
        <w:rPr>
          <w:sz w:val="22"/>
          <w:szCs w:val="22"/>
        </w:rPr>
        <w:t>is</w:t>
      </w:r>
      <w:r>
        <w:rPr>
          <w:sz w:val="22"/>
          <w:szCs w:val="22"/>
        </w:rPr>
        <w:t xml:space="preserve"> determined during the collection process.  Previously</w:t>
      </w:r>
      <w:r w:rsidR="00646A79">
        <w:rPr>
          <w:sz w:val="22"/>
          <w:szCs w:val="22"/>
        </w:rPr>
        <w:t>,</w:t>
      </w:r>
      <w:r>
        <w:rPr>
          <w:sz w:val="22"/>
          <w:szCs w:val="22"/>
        </w:rPr>
        <w:t xml:space="preserve"> any specimen collected </w:t>
      </w:r>
      <w:r w:rsidR="0028606D">
        <w:rPr>
          <w:sz w:val="22"/>
          <w:szCs w:val="22"/>
        </w:rPr>
        <w:t xml:space="preserve">could </w:t>
      </w:r>
      <w:r>
        <w:rPr>
          <w:sz w:val="22"/>
          <w:szCs w:val="22"/>
        </w:rPr>
        <w:t>be discarded</w:t>
      </w:r>
      <w:r w:rsidR="004B0743">
        <w:rPr>
          <w:sz w:val="22"/>
          <w:szCs w:val="22"/>
        </w:rPr>
        <w:t xml:space="preserve"> as the rule did not include a requirement for specimen testing</w:t>
      </w:r>
      <w:r>
        <w:rPr>
          <w:sz w:val="22"/>
          <w:szCs w:val="22"/>
        </w:rPr>
        <w:t xml:space="preserve">.  </w:t>
      </w:r>
      <w:r w:rsidR="00CF0AD0">
        <w:rPr>
          <w:sz w:val="22"/>
          <w:szCs w:val="22"/>
        </w:rPr>
        <w:t>To</w:t>
      </w:r>
      <w:r>
        <w:rPr>
          <w:sz w:val="22"/>
          <w:szCs w:val="22"/>
        </w:rPr>
        <w:t xml:space="preserve"> improve the root</w:t>
      </w:r>
      <w:r w:rsidR="00153D3E">
        <w:rPr>
          <w:sz w:val="22"/>
          <w:szCs w:val="22"/>
        </w:rPr>
        <w:noBreakHyphen/>
      </w:r>
      <w:r>
        <w:rPr>
          <w:sz w:val="22"/>
          <w:szCs w:val="22"/>
        </w:rPr>
        <w:t>cause evaluation process associated with accidents</w:t>
      </w:r>
      <w:r w:rsidR="00646A79">
        <w:rPr>
          <w:sz w:val="22"/>
          <w:szCs w:val="22"/>
        </w:rPr>
        <w:t>,</w:t>
      </w:r>
      <w:r>
        <w:rPr>
          <w:sz w:val="22"/>
          <w:szCs w:val="22"/>
        </w:rPr>
        <w:t xml:space="preserve"> testing of any urine specimen collected </w:t>
      </w:r>
      <w:r w:rsidR="00CF0AD0">
        <w:rPr>
          <w:sz w:val="22"/>
          <w:szCs w:val="22"/>
        </w:rPr>
        <w:t>will</w:t>
      </w:r>
      <w:r>
        <w:rPr>
          <w:sz w:val="22"/>
          <w:szCs w:val="22"/>
        </w:rPr>
        <w:t xml:space="preserve"> be required to ensure that all available information is obtained to support the evaluation of human performance associated with the event.  </w:t>
      </w:r>
      <w:r w:rsidRPr="00FA48B8">
        <w:rPr>
          <w:sz w:val="22"/>
          <w:szCs w:val="22"/>
        </w:rPr>
        <w:t>Because post</w:t>
      </w:r>
      <w:r w:rsidR="00153D3E">
        <w:rPr>
          <w:sz w:val="22"/>
          <w:szCs w:val="22"/>
        </w:rPr>
        <w:noBreakHyphen/>
      </w:r>
      <w:r w:rsidRPr="00FA48B8">
        <w:rPr>
          <w:sz w:val="22"/>
          <w:szCs w:val="22"/>
        </w:rPr>
        <w:t>event testing situations are rare</w:t>
      </w:r>
      <w:r w:rsidR="00646A79">
        <w:rPr>
          <w:sz w:val="22"/>
          <w:szCs w:val="22"/>
        </w:rPr>
        <w:t>,</w:t>
      </w:r>
      <w:r w:rsidRPr="00FA48B8">
        <w:rPr>
          <w:sz w:val="22"/>
          <w:szCs w:val="22"/>
        </w:rPr>
        <w:t xml:space="preserve"> and an event </w:t>
      </w:r>
      <w:r>
        <w:rPr>
          <w:sz w:val="22"/>
          <w:szCs w:val="22"/>
        </w:rPr>
        <w:t>in which</w:t>
      </w:r>
      <w:r w:rsidRPr="00FA48B8">
        <w:rPr>
          <w:sz w:val="22"/>
          <w:szCs w:val="22"/>
        </w:rPr>
        <w:t xml:space="preserve"> a donor provides a specimen and then refuses to cooperate with the collector </w:t>
      </w:r>
      <w:r>
        <w:rPr>
          <w:sz w:val="22"/>
          <w:szCs w:val="22"/>
        </w:rPr>
        <w:t>after providing the</w:t>
      </w:r>
      <w:r w:rsidRPr="00FA48B8">
        <w:rPr>
          <w:sz w:val="22"/>
          <w:szCs w:val="22"/>
        </w:rPr>
        <w:t xml:space="preserve"> specimen is even rarer</w:t>
      </w:r>
      <w:r w:rsidR="00646A79">
        <w:rPr>
          <w:sz w:val="22"/>
          <w:szCs w:val="22"/>
        </w:rPr>
        <w:t>,</w:t>
      </w:r>
      <w:r w:rsidRPr="00FA48B8">
        <w:rPr>
          <w:sz w:val="22"/>
          <w:szCs w:val="22"/>
        </w:rPr>
        <w:t xml:space="preserve"> the incremental cost associated with this rule change </w:t>
      </w:r>
      <w:r w:rsidR="0076581A">
        <w:rPr>
          <w:sz w:val="22"/>
          <w:szCs w:val="22"/>
        </w:rPr>
        <w:t>is</w:t>
      </w:r>
      <w:r w:rsidRPr="00FA48B8">
        <w:rPr>
          <w:sz w:val="22"/>
          <w:szCs w:val="22"/>
        </w:rPr>
        <w:t xml:space="preserve"> negligible (i.e.</w:t>
      </w:r>
      <w:r w:rsidR="00646A79">
        <w:rPr>
          <w:sz w:val="22"/>
          <w:szCs w:val="22"/>
        </w:rPr>
        <w:t>,</w:t>
      </w:r>
      <w:r>
        <w:rPr>
          <w:sz w:val="22"/>
          <w:szCs w:val="22"/>
        </w:rPr>
        <w:t> </w:t>
      </w:r>
      <w:r w:rsidRPr="00FA48B8">
        <w:rPr>
          <w:sz w:val="22"/>
          <w:szCs w:val="22"/>
        </w:rPr>
        <w:t>the cost of testing a specimen for an infrequent event).</w:t>
      </w:r>
    </w:p>
    <w:p w:rsidRPr="0037712A" w:rsidR="00D520BD" w:rsidP="00D520BD" w:rsidRDefault="00D520BD" w14:paraId="490183EA" w14:textId="77777777">
      <w:pPr>
        <w:tabs>
          <w:tab w:val="left" w:pos="721"/>
        </w:tabs>
        <w:rPr>
          <w:sz w:val="22"/>
          <w:szCs w:val="22"/>
        </w:rPr>
      </w:pPr>
    </w:p>
    <w:p w:rsidRPr="005A5966" w:rsidR="00D520BD" w:rsidP="00D520BD" w:rsidRDefault="00D520BD" w14:paraId="5A2E8A8A" w14:textId="77777777">
      <w:pPr>
        <w:pStyle w:val="Heading3"/>
      </w:pPr>
      <w:bookmarkStart w:name="_Toc199932651" w:id="103"/>
      <w:bookmarkStart w:name="_Toc332032764" w:id="104"/>
      <w:bookmarkStart w:name="_Toc460412606" w:id="105"/>
      <w:bookmarkStart w:name="_Toc72840024" w:id="106"/>
      <w:bookmarkStart w:name="_Toc105681497" w:id="107"/>
      <w:r>
        <w:t>4</w:t>
      </w:r>
      <w:r w:rsidRPr="005A5966">
        <w:t>.2.</w:t>
      </w:r>
      <w:r>
        <w:t>5</w:t>
      </w:r>
      <w:r w:rsidRPr="005A5966">
        <w:tab/>
        <w:t>Data</w:t>
      </w:r>
      <w:bookmarkEnd w:id="103"/>
      <w:r w:rsidRPr="005A5966">
        <w:t xml:space="preserve"> </w:t>
      </w:r>
      <w:bookmarkEnd w:id="104"/>
      <w:r w:rsidRPr="005A5966">
        <w:t>Sources</w:t>
      </w:r>
      <w:bookmarkEnd w:id="105"/>
      <w:bookmarkEnd w:id="106"/>
      <w:bookmarkEnd w:id="107"/>
    </w:p>
    <w:p w:rsidR="00D520BD" w:rsidP="00D520BD" w:rsidRDefault="00D520BD" w14:paraId="4685A481" w14:textId="77777777">
      <w:pPr>
        <w:keepNext/>
        <w:keepLines/>
        <w:numPr>
          <w:ilvl w:val="12"/>
          <w:numId w:val="0"/>
        </w:numPr>
        <w:tabs>
          <w:tab w:val="left" w:pos="721"/>
        </w:tabs>
        <w:rPr>
          <w:sz w:val="22"/>
          <w:szCs w:val="22"/>
        </w:rPr>
      </w:pPr>
    </w:p>
    <w:p w:rsidR="00D520BD" w:rsidP="00D520BD" w:rsidRDefault="00D520BD" w14:paraId="1004B093" w14:textId="77777777">
      <w:pPr>
        <w:numPr>
          <w:ilvl w:val="12"/>
          <w:numId w:val="0"/>
        </w:numPr>
        <w:tabs>
          <w:tab w:val="left" w:pos="721"/>
        </w:tabs>
        <w:rPr>
          <w:sz w:val="22"/>
          <w:szCs w:val="22"/>
        </w:rPr>
      </w:pPr>
      <w:r w:rsidRPr="005A5966">
        <w:rPr>
          <w:sz w:val="22"/>
          <w:szCs w:val="22"/>
        </w:rPr>
        <w:t>Th</w:t>
      </w:r>
      <w:r>
        <w:rPr>
          <w:sz w:val="22"/>
          <w:szCs w:val="22"/>
        </w:rPr>
        <w:t>e analysis used the following data sources:</w:t>
      </w:r>
    </w:p>
    <w:p w:rsidR="00D520BD" w:rsidP="00D520BD" w:rsidRDefault="00D520BD" w14:paraId="1EF6A45D" w14:textId="0F8AB913">
      <w:pPr>
        <w:numPr>
          <w:ilvl w:val="12"/>
          <w:numId w:val="0"/>
        </w:numPr>
        <w:tabs>
          <w:tab w:val="left" w:pos="721"/>
        </w:tabs>
        <w:rPr>
          <w:sz w:val="22"/>
          <w:szCs w:val="22"/>
        </w:rPr>
      </w:pPr>
    </w:p>
    <w:p w:rsidRPr="00760364" w:rsidR="00D520BD" w:rsidP="005C6BA3" w:rsidRDefault="00D520BD" w14:paraId="770C36A9" w14:textId="21758B38">
      <w:pPr>
        <w:pStyle w:val="ListParagraph"/>
        <w:numPr>
          <w:ilvl w:val="0"/>
          <w:numId w:val="7"/>
        </w:numPr>
        <w:tabs>
          <w:tab w:val="left" w:pos="721"/>
        </w:tabs>
        <w:ind w:hanging="720"/>
        <w:rPr>
          <w:sz w:val="22"/>
          <w:szCs w:val="22"/>
        </w:rPr>
      </w:pPr>
      <w:r w:rsidRPr="00C83E9A">
        <w:rPr>
          <w:i/>
          <w:sz w:val="22"/>
          <w:szCs w:val="22"/>
        </w:rPr>
        <w:t>Affected entities</w:t>
      </w:r>
      <w:r>
        <w:rPr>
          <w:sz w:val="22"/>
          <w:szCs w:val="22"/>
        </w:rPr>
        <w:t>:</w:t>
      </w:r>
      <w:r w:rsidRPr="00C83E9A">
        <w:rPr>
          <w:sz w:val="22"/>
          <w:szCs w:val="22"/>
        </w:rPr>
        <w:t xml:space="preserve">  The </w:t>
      </w:r>
      <w:r>
        <w:rPr>
          <w:sz w:val="22"/>
          <w:szCs w:val="22"/>
        </w:rPr>
        <w:t xml:space="preserve">determination of </w:t>
      </w:r>
      <w:r w:rsidR="00651CFC">
        <w:rPr>
          <w:sz w:val="22"/>
          <w:szCs w:val="22"/>
        </w:rPr>
        <w:t>59</w:t>
      </w:r>
      <w:r>
        <w:rPr>
          <w:sz w:val="22"/>
          <w:szCs w:val="22"/>
        </w:rPr>
        <w:t> </w:t>
      </w:r>
      <w:r w:rsidRPr="00C83E9A">
        <w:rPr>
          <w:sz w:val="22"/>
          <w:szCs w:val="22"/>
        </w:rPr>
        <w:t>affected entities</w:t>
      </w:r>
      <w:r w:rsidR="00646A79">
        <w:rPr>
          <w:sz w:val="22"/>
          <w:szCs w:val="22"/>
        </w:rPr>
        <w:t>,</w:t>
      </w:r>
      <w:r>
        <w:rPr>
          <w:sz w:val="22"/>
          <w:szCs w:val="22"/>
        </w:rPr>
        <w:t xml:space="preserve"> also called sites in the analysis</w:t>
      </w:r>
      <w:r w:rsidR="00646A79">
        <w:rPr>
          <w:sz w:val="22"/>
          <w:szCs w:val="22"/>
        </w:rPr>
        <w:t>,</w:t>
      </w:r>
      <w:r w:rsidRPr="00C83E9A">
        <w:rPr>
          <w:sz w:val="22"/>
          <w:szCs w:val="22"/>
        </w:rPr>
        <w:t xml:space="preserve"> is based on</w:t>
      </w:r>
      <w:r>
        <w:rPr>
          <w:sz w:val="22"/>
          <w:szCs w:val="22"/>
        </w:rPr>
        <w:t xml:space="preserve"> the FFD program performance </w:t>
      </w:r>
      <w:r w:rsidRPr="00C83E9A">
        <w:rPr>
          <w:sz w:val="22"/>
          <w:szCs w:val="22"/>
        </w:rPr>
        <w:t xml:space="preserve">information </w:t>
      </w:r>
      <w:r>
        <w:rPr>
          <w:sz w:val="22"/>
          <w:szCs w:val="22"/>
        </w:rPr>
        <w:t>reported to the NRC under 10 CFR 26.717.</w:t>
      </w:r>
      <w:r>
        <w:rPr>
          <w:iCs/>
          <w:sz w:val="22"/>
          <w:szCs w:val="22"/>
        </w:rPr>
        <w:t xml:space="preserve">  The analysis does not include data for any site that already has</w:t>
      </w:r>
      <w:r w:rsidRPr="00760364">
        <w:rPr>
          <w:sz w:val="22"/>
          <w:szCs w:val="22"/>
        </w:rPr>
        <w:t xml:space="preserve"> entered decommissioning</w:t>
      </w:r>
      <w:r>
        <w:rPr>
          <w:sz w:val="22"/>
          <w:szCs w:val="22"/>
        </w:rPr>
        <w:t xml:space="preserve"> or </w:t>
      </w:r>
      <w:r w:rsidR="0047110E">
        <w:rPr>
          <w:sz w:val="22"/>
          <w:szCs w:val="22"/>
        </w:rPr>
        <w:t xml:space="preserve">that has </w:t>
      </w:r>
      <w:r>
        <w:rPr>
          <w:sz w:val="22"/>
          <w:szCs w:val="22"/>
        </w:rPr>
        <w:t xml:space="preserve">announced early plant closure </w:t>
      </w:r>
      <w:r w:rsidRPr="00760364">
        <w:rPr>
          <w:sz w:val="22"/>
          <w:szCs w:val="22"/>
        </w:rPr>
        <w:t xml:space="preserve">and </w:t>
      </w:r>
      <w:r>
        <w:rPr>
          <w:sz w:val="22"/>
          <w:szCs w:val="22"/>
        </w:rPr>
        <w:t xml:space="preserve">would cease operations before or during </w:t>
      </w:r>
      <w:r w:rsidR="0047110E">
        <w:rPr>
          <w:sz w:val="22"/>
          <w:szCs w:val="22"/>
        </w:rPr>
        <w:t>CY</w:t>
      </w:r>
      <w:r>
        <w:rPr>
          <w:sz w:val="22"/>
          <w:szCs w:val="22"/>
        </w:rPr>
        <w:t xml:space="preserve"> 20</w:t>
      </w:r>
      <w:r w:rsidR="00153D3E">
        <w:rPr>
          <w:sz w:val="22"/>
          <w:szCs w:val="22"/>
        </w:rPr>
        <w:t>22</w:t>
      </w:r>
      <w:r>
        <w:rPr>
          <w:sz w:val="22"/>
          <w:szCs w:val="22"/>
        </w:rPr>
        <w:t xml:space="preserve"> and no longer be subject to 10 CFR Part 26</w:t>
      </w:r>
      <w:r w:rsidRPr="00760364">
        <w:rPr>
          <w:sz w:val="22"/>
          <w:szCs w:val="22"/>
        </w:rPr>
        <w:t>.</w:t>
      </w:r>
      <w:r w:rsidR="00DB148C">
        <w:rPr>
          <w:rStyle w:val="FootnoteReference"/>
          <w:sz w:val="22"/>
          <w:szCs w:val="22"/>
        </w:rPr>
        <w:footnoteReference w:id="23"/>
      </w:r>
    </w:p>
    <w:p w:rsidR="00D520BD" w:rsidP="001A706C" w:rsidRDefault="00D520BD" w14:paraId="2A99D80C" w14:textId="77777777">
      <w:pPr>
        <w:numPr>
          <w:ilvl w:val="12"/>
          <w:numId w:val="0"/>
        </w:numPr>
        <w:tabs>
          <w:tab w:val="left" w:pos="721"/>
        </w:tabs>
        <w:rPr>
          <w:sz w:val="22"/>
          <w:szCs w:val="22"/>
        </w:rPr>
      </w:pPr>
    </w:p>
    <w:p w:rsidRPr="00936A41" w:rsidR="00D520BD" w:rsidP="005C6BA3" w:rsidRDefault="00D520BD" w14:paraId="6B021880" w14:textId="3B4DBD11">
      <w:pPr>
        <w:pStyle w:val="ListParagraph"/>
        <w:numPr>
          <w:ilvl w:val="0"/>
          <w:numId w:val="7"/>
        </w:numPr>
        <w:ind w:hanging="720"/>
        <w:rPr>
          <w:sz w:val="22"/>
          <w:szCs w:val="22"/>
        </w:rPr>
      </w:pPr>
      <w:r w:rsidRPr="00760364">
        <w:rPr>
          <w:i/>
          <w:sz w:val="22"/>
          <w:szCs w:val="22"/>
        </w:rPr>
        <w:t>Site</w:t>
      </w:r>
      <w:r>
        <w:rPr>
          <w:i/>
          <w:sz w:val="22"/>
          <w:szCs w:val="22"/>
        </w:rPr>
        <w:t>-</w:t>
      </w:r>
      <w:r w:rsidRPr="00760364">
        <w:rPr>
          <w:i/>
          <w:sz w:val="22"/>
          <w:szCs w:val="22"/>
        </w:rPr>
        <w:t>specific drug and alcohol testing data</w:t>
      </w:r>
      <w:r>
        <w:rPr>
          <w:sz w:val="22"/>
          <w:szCs w:val="22"/>
        </w:rPr>
        <w:t>:</w:t>
      </w:r>
      <w:r w:rsidRPr="00760364">
        <w:rPr>
          <w:i/>
          <w:sz w:val="22"/>
          <w:szCs w:val="22"/>
        </w:rPr>
        <w:t xml:space="preserve">  </w:t>
      </w:r>
      <w:r w:rsidRPr="00936A41">
        <w:rPr>
          <w:sz w:val="22"/>
          <w:szCs w:val="22"/>
        </w:rPr>
        <w:t>Appendix</w:t>
      </w:r>
      <w:r>
        <w:rPr>
          <w:sz w:val="22"/>
          <w:szCs w:val="22"/>
        </w:rPr>
        <w:t> </w:t>
      </w:r>
      <w:r w:rsidRPr="00936A41">
        <w:rPr>
          <w:sz w:val="22"/>
          <w:szCs w:val="22"/>
        </w:rPr>
        <w:t xml:space="preserve">A to this </w:t>
      </w:r>
      <w:r>
        <w:rPr>
          <w:sz w:val="22"/>
          <w:szCs w:val="22"/>
        </w:rPr>
        <w:t>document</w:t>
      </w:r>
      <w:r w:rsidRPr="00936A41">
        <w:rPr>
          <w:sz w:val="22"/>
          <w:szCs w:val="22"/>
        </w:rPr>
        <w:t xml:space="preserve"> presents</w:t>
      </w:r>
      <w:r>
        <w:rPr>
          <w:sz w:val="22"/>
          <w:szCs w:val="22"/>
        </w:rPr>
        <w:t xml:space="preserve"> the NRC FFD program performance</w:t>
      </w:r>
      <w:r w:rsidRPr="00936A41">
        <w:rPr>
          <w:sz w:val="22"/>
          <w:szCs w:val="22"/>
        </w:rPr>
        <w:t xml:space="preserve"> </w:t>
      </w:r>
      <w:r>
        <w:rPr>
          <w:sz w:val="22"/>
          <w:szCs w:val="22"/>
        </w:rPr>
        <w:t xml:space="preserve">data on the total number of drug tests conducted as </w:t>
      </w:r>
      <w:r>
        <w:rPr>
          <w:sz w:val="22"/>
          <w:szCs w:val="22"/>
        </w:rPr>
        <w:lastRenderedPageBreak/>
        <w:t>well as the total number of positive</w:t>
      </w:r>
      <w:r w:rsidR="00646A79">
        <w:rPr>
          <w:sz w:val="22"/>
          <w:szCs w:val="22"/>
        </w:rPr>
        <w:t>,</w:t>
      </w:r>
      <w:r>
        <w:rPr>
          <w:sz w:val="22"/>
          <w:szCs w:val="22"/>
        </w:rPr>
        <w:t xml:space="preserve"> adulterated</w:t>
      </w:r>
      <w:r w:rsidR="00646A79">
        <w:rPr>
          <w:sz w:val="22"/>
          <w:szCs w:val="22"/>
        </w:rPr>
        <w:t>,</w:t>
      </w:r>
      <w:r>
        <w:rPr>
          <w:sz w:val="22"/>
          <w:szCs w:val="22"/>
        </w:rPr>
        <w:t xml:space="preserve"> substituted</w:t>
      </w:r>
      <w:r w:rsidR="00646A79">
        <w:rPr>
          <w:sz w:val="22"/>
          <w:szCs w:val="22"/>
        </w:rPr>
        <w:t>,</w:t>
      </w:r>
      <w:r>
        <w:rPr>
          <w:sz w:val="22"/>
          <w:szCs w:val="22"/>
        </w:rPr>
        <w:t xml:space="preserve"> and refusal to tests results by site for CY 2009 through CY 201</w:t>
      </w:r>
      <w:r w:rsidR="001A706C">
        <w:rPr>
          <w:sz w:val="22"/>
          <w:szCs w:val="22"/>
        </w:rPr>
        <w:t>9</w:t>
      </w:r>
      <w:r w:rsidRPr="00936A41">
        <w:rPr>
          <w:sz w:val="22"/>
          <w:szCs w:val="22"/>
        </w:rPr>
        <w:t xml:space="preserve">.  </w:t>
      </w:r>
      <w:r>
        <w:rPr>
          <w:sz w:val="22"/>
          <w:szCs w:val="22"/>
        </w:rPr>
        <w:t xml:space="preserve">The NRC staff used </w:t>
      </w:r>
      <w:r w:rsidRPr="003D4F6F">
        <w:rPr>
          <w:sz w:val="22"/>
          <w:szCs w:val="22"/>
        </w:rPr>
        <w:t xml:space="preserve">the average of </w:t>
      </w:r>
      <w:r w:rsidR="001A706C">
        <w:rPr>
          <w:sz w:val="22"/>
          <w:szCs w:val="22"/>
        </w:rPr>
        <w:t>11</w:t>
      </w:r>
      <w:r>
        <w:rPr>
          <w:sz w:val="22"/>
          <w:szCs w:val="22"/>
        </w:rPr>
        <w:t> </w:t>
      </w:r>
      <w:r w:rsidRPr="003D4F6F">
        <w:rPr>
          <w:sz w:val="22"/>
          <w:szCs w:val="22"/>
        </w:rPr>
        <w:t>years of testing data</w:t>
      </w:r>
      <w:r w:rsidR="00646A79">
        <w:rPr>
          <w:sz w:val="22"/>
          <w:szCs w:val="22"/>
        </w:rPr>
        <w:t>,</w:t>
      </w:r>
      <w:r w:rsidRPr="003D4F6F">
        <w:rPr>
          <w:sz w:val="22"/>
          <w:szCs w:val="22"/>
        </w:rPr>
        <w:t xml:space="preserve"> which accounts for </w:t>
      </w:r>
      <w:r>
        <w:rPr>
          <w:sz w:val="22"/>
          <w:szCs w:val="22"/>
        </w:rPr>
        <w:t xml:space="preserve">several </w:t>
      </w:r>
      <w:r w:rsidRPr="003D4F6F">
        <w:rPr>
          <w:sz w:val="22"/>
          <w:szCs w:val="22"/>
        </w:rPr>
        <w:t>outage cycle</w:t>
      </w:r>
      <w:r>
        <w:rPr>
          <w:sz w:val="22"/>
          <w:szCs w:val="22"/>
        </w:rPr>
        <w:t>s</w:t>
      </w:r>
      <w:r w:rsidRPr="003D4F6F">
        <w:rPr>
          <w:sz w:val="22"/>
          <w:szCs w:val="22"/>
        </w:rPr>
        <w:t xml:space="preserve"> for </w:t>
      </w:r>
      <w:r w:rsidR="00BB4916">
        <w:rPr>
          <w:sz w:val="22"/>
          <w:szCs w:val="22"/>
        </w:rPr>
        <w:t>each</w:t>
      </w:r>
      <w:r w:rsidRPr="003D4F6F">
        <w:rPr>
          <w:sz w:val="22"/>
          <w:szCs w:val="22"/>
        </w:rPr>
        <w:t xml:space="preserve"> operating power reactor.</w:t>
      </w:r>
    </w:p>
    <w:p w:rsidRPr="00936A41" w:rsidR="00D520BD" w:rsidP="00D520BD" w:rsidRDefault="00D520BD" w14:paraId="4A72E607" w14:textId="77777777">
      <w:pPr>
        <w:pStyle w:val="ListParagraph"/>
        <w:ind w:hanging="720"/>
        <w:rPr>
          <w:i/>
          <w:sz w:val="22"/>
          <w:szCs w:val="22"/>
        </w:rPr>
      </w:pPr>
    </w:p>
    <w:p w:rsidR="00D520BD" w:rsidP="005C6BA3" w:rsidRDefault="00D520BD" w14:paraId="34EF7A61" w14:textId="07819419">
      <w:pPr>
        <w:pStyle w:val="ListParagraph"/>
        <w:numPr>
          <w:ilvl w:val="0"/>
          <w:numId w:val="7"/>
        </w:numPr>
        <w:tabs>
          <w:tab w:val="left" w:pos="721"/>
        </w:tabs>
        <w:ind w:hanging="720"/>
        <w:rPr>
          <w:sz w:val="22"/>
          <w:szCs w:val="22"/>
        </w:rPr>
      </w:pPr>
      <w:r w:rsidRPr="0004683F">
        <w:rPr>
          <w:i/>
          <w:sz w:val="22"/>
          <w:szCs w:val="22"/>
        </w:rPr>
        <w:t>Workforce to receive training on policy changes</w:t>
      </w:r>
      <w:r>
        <w:rPr>
          <w:sz w:val="22"/>
          <w:szCs w:val="22"/>
        </w:rPr>
        <w:t xml:space="preserve">:  Each site reports its workforce subject to 10 CFR Part 26 random testing in its annual FFD program performance report submission to the NRC as required by 10 CFR 26.717.  This information is the best source available to the NRC </w:t>
      </w:r>
      <w:r w:rsidR="00BB4916">
        <w:rPr>
          <w:sz w:val="22"/>
          <w:szCs w:val="22"/>
        </w:rPr>
        <w:t xml:space="preserve">on the size </w:t>
      </w:r>
      <w:r>
        <w:rPr>
          <w:sz w:val="22"/>
          <w:szCs w:val="22"/>
        </w:rPr>
        <w:t xml:space="preserve">of the workforce that would require training on the rule changes.  The NRC’s analysis of </w:t>
      </w:r>
      <w:r w:rsidR="00F10E8B">
        <w:rPr>
          <w:sz w:val="22"/>
          <w:szCs w:val="22"/>
        </w:rPr>
        <w:t xml:space="preserve">FFD program performance report data from </w:t>
      </w:r>
      <w:r>
        <w:rPr>
          <w:sz w:val="22"/>
          <w:szCs w:val="22"/>
        </w:rPr>
        <w:t>CY 2009 through CY 201</w:t>
      </w:r>
      <w:r w:rsidR="001A706C">
        <w:rPr>
          <w:sz w:val="22"/>
          <w:szCs w:val="22"/>
        </w:rPr>
        <w:t>9</w:t>
      </w:r>
      <w:r>
        <w:rPr>
          <w:sz w:val="22"/>
          <w:szCs w:val="22"/>
        </w:rPr>
        <w:t xml:space="preserve"> determined that the </w:t>
      </w:r>
      <w:r w:rsidR="004C3E55">
        <w:rPr>
          <w:sz w:val="22"/>
          <w:szCs w:val="22"/>
        </w:rPr>
        <w:t>average</w:t>
      </w:r>
      <w:r>
        <w:rPr>
          <w:sz w:val="22"/>
          <w:szCs w:val="22"/>
        </w:rPr>
        <w:t xml:space="preserve"> workforce size subject to 10 CFR Part 26 testing </w:t>
      </w:r>
      <w:r w:rsidR="004C3E55">
        <w:rPr>
          <w:sz w:val="22"/>
          <w:szCs w:val="22"/>
        </w:rPr>
        <w:t>annually</w:t>
      </w:r>
      <w:r>
        <w:rPr>
          <w:sz w:val="22"/>
          <w:szCs w:val="22"/>
        </w:rPr>
        <w:t xml:space="preserve"> is </w:t>
      </w:r>
      <w:r w:rsidR="004C3E55">
        <w:rPr>
          <w:sz w:val="22"/>
          <w:szCs w:val="22"/>
        </w:rPr>
        <w:t>92,356</w:t>
      </w:r>
      <w:r>
        <w:rPr>
          <w:sz w:val="22"/>
          <w:szCs w:val="22"/>
        </w:rPr>
        <w:t>.</w:t>
      </w:r>
    </w:p>
    <w:p w:rsidRPr="0004683F" w:rsidR="00D520BD" w:rsidP="00D520BD" w:rsidRDefault="00D520BD" w14:paraId="62369AED" w14:textId="77777777">
      <w:pPr>
        <w:pStyle w:val="ListParagraph"/>
        <w:ind w:hanging="720"/>
        <w:rPr>
          <w:sz w:val="22"/>
          <w:szCs w:val="22"/>
        </w:rPr>
      </w:pPr>
    </w:p>
    <w:p w:rsidR="00D520BD" w:rsidP="005C6BA3" w:rsidRDefault="00D520BD" w14:paraId="63E25F12" w14:textId="395B90DE">
      <w:pPr>
        <w:pStyle w:val="ListParagraph"/>
        <w:numPr>
          <w:ilvl w:val="0"/>
          <w:numId w:val="7"/>
        </w:numPr>
        <w:tabs>
          <w:tab w:val="left" w:pos="721"/>
        </w:tabs>
        <w:ind w:hanging="720"/>
        <w:rPr>
          <w:sz w:val="22"/>
          <w:szCs w:val="22"/>
        </w:rPr>
      </w:pPr>
      <w:r w:rsidRPr="006125C1">
        <w:rPr>
          <w:i/>
          <w:sz w:val="22"/>
          <w:szCs w:val="22"/>
        </w:rPr>
        <w:t>NRC drug testing information</w:t>
      </w:r>
      <w:r>
        <w:rPr>
          <w:sz w:val="22"/>
          <w:szCs w:val="22"/>
        </w:rPr>
        <w:t xml:space="preserve">:  The </w:t>
      </w:r>
      <w:r w:rsidR="003640D3">
        <w:rPr>
          <w:sz w:val="22"/>
          <w:szCs w:val="22"/>
        </w:rPr>
        <w:t>s</w:t>
      </w:r>
      <w:r>
        <w:rPr>
          <w:sz w:val="22"/>
          <w:szCs w:val="22"/>
        </w:rPr>
        <w:t xml:space="preserve">ummary of </w:t>
      </w:r>
      <w:r w:rsidR="005C5FFE">
        <w:rPr>
          <w:sz w:val="22"/>
          <w:szCs w:val="22"/>
        </w:rPr>
        <w:t>FFD</w:t>
      </w:r>
      <w:r w:rsidR="003640D3">
        <w:rPr>
          <w:sz w:val="22"/>
          <w:szCs w:val="22"/>
        </w:rPr>
        <w:t xml:space="preserve"> program performance reports for CY </w:t>
      </w:r>
      <w:r>
        <w:rPr>
          <w:sz w:val="22"/>
          <w:szCs w:val="22"/>
        </w:rPr>
        <w:t>20</w:t>
      </w:r>
      <w:r w:rsidR="003640D3">
        <w:rPr>
          <w:sz w:val="22"/>
          <w:szCs w:val="22"/>
        </w:rPr>
        <w:t>09 through CY</w:t>
      </w:r>
      <w:r w:rsidR="00322D03">
        <w:rPr>
          <w:sz w:val="22"/>
          <w:szCs w:val="22"/>
        </w:rPr>
        <w:t xml:space="preserve"> </w:t>
      </w:r>
      <w:r w:rsidR="003640D3">
        <w:rPr>
          <w:sz w:val="22"/>
          <w:szCs w:val="22"/>
        </w:rPr>
        <w:t>2015</w:t>
      </w:r>
      <w:r>
        <w:rPr>
          <w:sz w:val="22"/>
          <w:szCs w:val="22"/>
        </w:rPr>
        <w:t xml:space="preserve"> (</w:t>
      </w:r>
      <w:r w:rsidR="003760ED">
        <w:rPr>
          <w:sz w:val="22"/>
          <w:szCs w:val="22"/>
        </w:rPr>
        <w:t>NRC</w:t>
      </w:r>
      <w:r w:rsidR="00646A79">
        <w:rPr>
          <w:sz w:val="22"/>
          <w:szCs w:val="22"/>
        </w:rPr>
        <w:t>,</w:t>
      </w:r>
      <w:r w:rsidR="003760ED">
        <w:rPr>
          <w:sz w:val="22"/>
          <w:szCs w:val="22"/>
        </w:rPr>
        <w:t xml:space="preserve"> 201</w:t>
      </w:r>
      <w:r w:rsidR="007D51AE">
        <w:rPr>
          <w:sz w:val="22"/>
          <w:szCs w:val="22"/>
        </w:rPr>
        <w:t>7</w:t>
      </w:r>
      <w:r>
        <w:rPr>
          <w:sz w:val="22"/>
          <w:szCs w:val="22"/>
        </w:rPr>
        <w:t>) and FFD program performance data received for CY 201</w:t>
      </w:r>
      <w:r w:rsidR="003640D3">
        <w:rPr>
          <w:sz w:val="22"/>
          <w:szCs w:val="22"/>
        </w:rPr>
        <w:t>6 through CY</w:t>
      </w:r>
      <w:r w:rsidR="003B4B88">
        <w:rPr>
          <w:sz w:val="22"/>
          <w:szCs w:val="22"/>
        </w:rPr>
        <w:t xml:space="preserve"> </w:t>
      </w:r>
      <w:r w:rsidR="003640D3">
        <w:rPr>
          <w:sz w:val="22"/>
          <w:szCs w:val="22"/>
        </w:rPr>
        <w:t>2019</w:t>
      </w:r>
      <w:r>
        <w:rPr>
          <w:sz w:val="22"/>
          <w:szCs w:val="22"/>
        </w:rPr>
        <w:t xml:space="preserve"> (</w:t>
      </w:r>
      <w:r w:rsidR="005A12C5">
        <w:rPr>
          <w:sz w:val="22"/>
          <w:szCs w:val="22"/>
        </w:rPr>
        <w:t>i.e., </w:t>
      </w:r>
      <w:r>
        <w:rPr>
          <w:sz w:val="22"/>
          <w:szCs w:val="22"/>
        </w:rPr>
        <w:t xml:space="preserve">the agency has </w:t>
      </w:r>
      <w:r w:rsidR="003640D3">
        <w:rPr>
          <w:sz w:val="22"/>
          <w:szCs w:val="22"/>
        </w:rPr>
        <w:t xml:space="preserve">received </w:t>
      </w:r>
      <w:r w:rsidR="005C5FFE">
        <w:rPr>
          <w:sz w:val="22"/>
          <w:szCs w:val="22"/>
        </w:rPr>
        <w:t xml:space="preserve">and evaluated </w:t>
      </w:r>
      <w:r w:rsidR="003640D3">
        <w:rPr>
          <w:sz w:val="22"/>
          <w:szCs w:val="22"/>
        </w:rPr>
        <w:t xml:space="preserve">the data but has </w:t>
      </w:r>
      <w:r>
        <w:rPr>
          <w:sz w:val="22"/>
          <w:szCs w:val="22"/>
        </w:rPr>
        <w:t>not yet published the summary report) are the sources of NRC licensee and other entity drug testing data used in the analysis.  In the base case estimate</w:t>
      </w:r>
      <w:r w:rsidR="00646A79">
        <w:rPr>
          <w:sz w:val="22"/>
          <w:szCs w:val="22"/>
        </w:rPr>
        <w:t>,</w:t>
      </w:r>
      <w:r>
        <w:rPr>
          <w:sz w:val="22"/>
          <w:szCs w:val="22"/>
        </w:rPr>
        <w:t xml:space="preserve"> the NRC staff used the </w:t>
      </w:r>
      <w:r w:rsidR="003640D3">
        <w:rPr>
          <w:sz w:val="22"/>
          <w:szCs w:val="22"/>
        </w:rPr>
        <w:t>11</w:t>
      </w:r>
      <w:r w:rsidR="003640D3">
        <w:rPr>
          <w:sz w:val="22"/>
          <w:szCs w:val="22"/>
        </w:rPr>
        <w:noBreakHyphen/>
      </w:r>
      <w:r>
        <w:rPr>
          <w:sz w:val="22"/>
          <w:szCs w:val="22"/>
        </w:rPr>
        <w:t>year average of data from CY 2009 through CY 201</w:t>
      </w:r>
      <w:r w:rsidR="003640D3">
        <w:rPr>
          <w:sz w:val="22"/>
          <w:szCs w:val="22"/>
        </w:rPr>
        <w:t>9</w:t>
      </w:r>
      <w:r>
        <w:rPr>
          <w:sz w:val="22"/>
          <w:szCs w:val="22"/>
        </w:rPr>
        <w:t xml:space="preserve"> for the following:</w:t>
      </w:r>
    </w:p>
    <w:p w:rsidR="00D520BD" w:rsidP="00D520BD" w:rsidRDefault="00D520BD" w14:paraId="7E6621BB" w14:textId="77777777">
      <w:pPr>
        <w:pStyle w:val="ListParagraph"/>
        <w:tabs>
          <w:tab w:val="left" w:pos="721"/>
        </w:tabs>
        <w:rPr>
          <w:sz w:val="22"/>
          <w:szCs w:val="22"/>
        </w:rPr>
      </w:pPr>
    </w:p>
    <w:p w:rsidRPr="00A22DAE" w:rsidR="00D520BD" w:rsidP="005C6BA3" w:rsidRDefault="00D520BD" w14:paraId="2F290E3A" w14:textId="19C7280B">
      <w:pPr>
        <w:pStyle w:val="ListParagraph"/>
        <w:numPr>
          <w:ilvl w:val="1"/>
          <w:numId w:val="36"/>
        </w:numPr>
        <w:tabs>
          <w:tab w:val="left" w:pos="721"/>
        </w:tabs>
        <w:ind w:hanging="720"/>
        <w:contextualSpacing w:val="0"/>
        <w:rPr>
          <w:sz w:val="22"/>
          <w:szCs w:val="22"/>
        </w:rPr>
      </w:pPr>
      <w:r w:rsidRPr="00A22DAE">
        <w:rPr>
          <w:sz w:val="22"/>
          <w:szCs w:val="22"/>
        </w:rPr>
        <w:t xml:space="preserve">number of drug tests conducted annually = </w:t>
      </w:r>
      <w:r w:rsidRPr="00A22DAE" w:rsidR="00A22DAE">
        <w:rPr>
          <w:sz w:val="22"/>
          <w:szCs w:val="22"/>
        </w:rPr>
        <w:t>92,356</w:t>
      </w:r>
    </w:p>
    <w:p w:rsidRPr="00A22DAE" w:rsidR="00D520BD" w:rsidP="005C6BA3" w:rsidRDefault="00D520BD" w14:paraId="55139452" w14:textId="12EF3CE8">
      <w:pPr>
        <w:pStyle w:val="ListParagraph"/>
        <w:numPr>
          <w:ilvl w:val="1"/>
          <w:numId w:val="36"/>
        </w:numPr>
        <w:tabs>
          <w:tab w:val="left" w:pos="721"/>
        </w:tabs>
        <w:ind w:hanging="720"/>
        <w:rPr>
          <w:sz w:val="22"/>
          <w:szCs w:val="22"/>
        </w:rPr>
      </w:pPr>
      <w:r w:rsidRPr="00A22DAE">
        <w:rPr>
          <w:sz w:val="22"/>
          <w:szCs w:val="22"/>
        </w:rPr>
        <w:t xml:space="preserve">positive </w:t>
      </w:r>
      <w:r w:rsidR="00F04910">
        <w:rPr>
          <w:sz w:val="22"/>
          <w:szCs w:val="22"/>
        </w:rPr>
        <w:t xml:space="preserve">test </w:t>
      </w:r>
      <w:r w:rsidRPr="00A22DAE">
        <w:rPr>
          <w:sz w:val="22"/>
          <w:szCs w:val="22"/>
        </w:rPr>
        <w:t xml:space="preserve">rate for amphetamines </w:t>
      </w:r>
      <w:r w:rsidR="00963B6A">
        <w:rPr>
          <w:sz w:val="22"/>
          <w:szCs w:val="22"/>
        </w:rPr>
        <w:t xml:space="preserve">= </w:t>
      </w:r>
      <w:r w:rsidRPr="00A22DAE">
        <w:rPr>
          <w:sz w:val="22"/>
          <w:szCs w:val="22"/>
        </w:rPr>
        <w:t>0.0</w:t>
      </w:r>
      <w:r w:rsidRPr="00A22DAE" w:rsidR="00A22DAE">
        <w:rPr>
          <w:sz w:val="22"/>
          <w:szCs w:val="22"/>
        </w:rPr>
        <w:t>66</w:t>
      </w:r>
      <w:r w:rsidRPr="00A22DAE">
        <w:rPr>
          <w:sz w:val="22"/>
          <w:szCs w:val="22"/>
        </w:rPr>
        <w:t xml:space="preserve"> percent</w:t>
      </w:r>
    </w:p>
    <w:p w:rsidRPr="00D92B8F" w:rsidR="00D520BD" w:rsidP="00D92B8F" w:rsidRDefault="00D520BD" w14:paraId="6B2DF20A" w14:textId="4997641B">
      <w:pPr>
        <w:pStyle w:val="ListParagraph"/>
        <w:numPr>
          <w:ilvl w:val="1"/>
          <w:numId w:val="36"/>
        </w:numPr>
        <w:tabs>
          <w:tab w:val="left" w:pos="721"/>
        </w:tabs>
        <w:ind w:hanging="720"/>
        <w:rPr>
          <w:sz w:val="22"/>
          <w:szCs w:val="22"/>
        </w:rPr>
      </w:pPr>
      <w:r w:rsidRPr="00A22DAE">
        <w:rPr>
          <w:sz w:val="22"/>
          <w:szCs w:val="22"/>
        </w:rPr>
        <w:t>positive</w:t>
      </w:r>
      <w:r w:rsidR="00F04910">
        <w:rPr>
          <w:sz w:val="22"/>
          <w:szCs w:val="22"/>
        </w:rPr>
        <w:t xml:space="preserve"> test</w:t>
      </w:r>
      <w:r w:rsidRPr="00A22DAE">
        <w:rPr>
          <w:sz w:val="22"/>
          <w:szCs w:val="22"/>
        </w:rPr>
        <w:t xml:space="preserve"> rate for cocaine </w:t>
      </w:r>
      <w:r w:rsidR="00963B6A">
        <w:rPr>
          <w:sz w:val="22"/>
          <w:szCs w:val="22"/>
        </w:rPr>
        <w:t xml:space="preserve">= </w:t>
      </w:r>
      <w:r w:rsidRPr="00A22DAE">
        <w:rPr>
          <w:sz w:val="22"/>
          <w:szCs w:val="22"/>
        </w:rPr>
        <w:t>0.0</w:t>
      </w:r>
      <w:r w:rsidRPr="00A22DAE" w:rsidR="00A22DAE">
        <w:rPr>
          <w:sz w:val="22"/>
          <w:szCs w:val="22"/>
        </w:rPr>
        <w:t>83</w:t>
      </w:r>
      <w:r w:rsidRPr="00A22DAE">
        <w:rPr>
          <w:sz w:val="22"/>
          <w:szCs w:val="22"/>
        </w:rPr>
        <w:t xml:space="preserve"> percent</w:t>
      </w:r>
    </w:p>
    <w:p w:rsidRPr="008626E3" w:rsidR="00D520BD" w:rsidP="00D520BD" w:rsidRDefault="00D520BD" w14:paraId="5CAB6B2F" w14:textId="77777777">
      <w:pPr>
        <w:pStyle w:val="ListParagraph"/>
        <w:rPr>
          <w:sz w:val="22"/>
          <w:szCs w:val="22"/>
        </w:rPr>
      </w:pPr>
    </w:p>
    <w:p w:rsidRPr="003640D3" w:rsidR="00D520BD" w:rsidP="005C6BA3" w:rsidRDefault="005103FE" w14:paraId="373BC629" w14:textId="3AD157D0">
      <w:pPr>
        <w:pStyle w:val="ListParagraph"/>
        <w:numPr>
          <w:ilvl w:val="0"/>
          <w:numId w:val="7"/>
        </w:numPr>
        <w:tabs>
          <w:tab w:val="left" w:pos="721"/>
        </w:tabs>
        <w:ind w:hanging="720"/>
        <w:rPr>
          <w:sz w:val="22"/>
          <w:szCs w:val="22"/>
        </w:rPr>
      </w:pPr>
      <w:r w:rsidRPr="003640D3">
        <w:rPr>
          <w:i/>
          <w:sz w:val="22"/>
        </w:rPr>
        <w:t xml:space="preserve">Future </w:t>
      </w:r>
      <w:r w:rsidR="001733C5">
        <w:rPr>
          <w:i/>
          <w:sz w:val="22"/>
        </w:rPr>
        <w:t>n</w:t>
      </w:r>
      <w:r w:rsidR="004945B5">
        <w:rPr>
          <w:i/>
          <w:sz w:val="22"/>
        </w:rPr>
        <w:t xml:space="preserve">uclear </w:t>
      </w:r>
      <w:r w:rsidR="001733C5">
        <w:rPr>
          <w:i/>
          <w:sz w:val="22"/>
        </w:rPr>
        <w:t>f</w:t>
      </w:r>
      <w:r w:rsidR="004945B5">
        <w:rPr>
          <w:i/>
          <w:sz w:val="22"/>
        </w:rPr>
        <w:t>acilities</w:t>
      </w:r>
      <w:r w:rsidRPr="003640D3" w:rsidR="00D520BD">
        <w:rPr>
          <w:i/>
          <w:sz w:val="22"/>
        </w:rPr>
        <w:t xml:space="preserve"> (test results)</w:t>
      </w:r>
      <w:r w:rsidRPr="003640D3" w:rsidR="00D520BD">
        <w:rPr>
          <w:sz w:val="22"/>
        </w:rPr>
        <w:t>:</w:t>
      </w:r>
      <w:r w:rsidRPr="003640D3" w:rsidR="00D520BD">
        <w:rPr>
          <w:sz w:val="22"/>
          <w:szCs w:val="22"/>
        </w:rPr>
        <w:t xml:space="preserve">  The NRC staff modeled the drug tests to be performed and the positive results to be expected </w:t>
      </w:r>
      <w:r w:rsidRPr="003640D3" w:rsidR="00084E2E">
        <w:rPr>
          <w:sz w:val="22"/>
          <w:szCs w:val="22"/>
        </w:rPr>
        <w:t xml:space="preserve">during the </w:t>
      </w:r>
      <w:r w:rsidRPr="003640D3">
        <w:rPr>
          <w:sz w:val="22"/>
          <w:szCs w:val="22"/>
        </w:rPr>
        <w:t xml:space="preserve">operation </w:t>
      </w:r>
      <w:r w:rsidRPr="003640D3" w:rsidR="00084E2E">
        <w:rPr>
          <w:sz w:val="22"/>
          <w:szCs w:val="22"/>
        </w:rPr>
        <w:t xml:space="preserve">of </w:t>
      </w:r>
      <w:r w:rsidRPr="003640D3">
        <w:rPr>
          <w:sz w:val="22"/>
          <w:szCs w:val="22"/>
        </w:rPr>
        <w:t>future</w:t>
      </w:r>
      <w:r w:rsidR="004945B5">
        <w:rPr>
          <w:sz w:val="22"/>
          <w:szCs w:val="22"/>
        </w:rPr>
        <w:t xml:space="preserve"> nuclear facilities that commence operation</w:t>
      </w:r>
      <w:r w:rsidR="00AA00F7">
        <w:rPr>
          <w:sz w:val="22"/>
          <w:szCs w:val="22"/>
        </w:rPr>
        <w:t>s</w:t>
      </w:r>
      <w:r w:rsidR="004945B5">
        <w:rPr>
          <w:sz w:val="22"/>
          <w:szCs w:val="22"/>
        </w:rPr>
        <w:t xml:space="preserve"> after the effective date of the </w:t>
      </w:r>
      <w:r w:rsidR="007963C7">
        <w:rPr>
          <w:sz w:val="22"/>
          <w:szCs w:val="22"/>
        </w:rPr>
        <w:t xml:space="preserve">final </w:t>
      </w:r>
      <w:r w:rsidR="004945B5">
        <w:rPr>
          <w:sz w:val="22"/>
          <w:szCs w:val="22"/>
        </w:rPr>
        <w:t>rule</w:t>
      </w:r>
      <w:r w:rsidRPr="003640D3" w:rsidR="00084E2E">
        <w:rPr>
          <w:sz w:val="22"/>
          <w:szCs w:val="22"/>
        </w:rPr>
        <w:t>.</w:t>
      </w:r>
    </w:p>
    <w:p w:rsidRPr="00A10DDE" w:rsidR="00D520BD" w:rsidP="00D520BD" w:rsidRDefault="00D520BD" w14:paraId="0B2DF5CE" w14:textId="6FA1711C">
      <w:pPr>
        <w:pStyle w:val="ListParagraph"/>
        <w:tabs>
          <w:tab w:val="left" w:pos="721"/>
        </w:tabs>
        <w:ind w:hanging="720"/>
        <w:rPr>
          <w:sz w:val="22"/>
          <w:szCs w:val="22"/>
        </w:rPr>
      </w:pPr>
    </w:p>
    <w:p w:rsidR="00D520BD" w:rsidP="005C6BA3" w:rsidRDefault="00D520BD" w14:paraId="7D3B8A51" w14:textId="5AF5D336">
      <w:pPr>
        <w:pStyle w:val="ListParagraph"/>
        <w:numPr>
          <w:ilvl w:val="0"/>
          <w:numId w:val="7"/>
        </w:numPr>
        <w:tabs>
          <w:tab w:val="left" w:pos="721"/>
        </w:tabs>
        <w:ind w:hanging="720"/>
        <w:rPr>
          <w:sz w:val="22"/>
          <w:szCs w:val="22"/>
        </w:rPr>
      </w:pPr>
      <w:r w:rsidRPr="00872B18">
        <w:rPr>
          <w:i/>
          <w:sz w:val="22"/>
          <w:szCs w:val="22"/>
        </w:rPr>
        <w:t xml:space="preserve">Percent change in positive </w:t>
      </w:r>
      <w:r w:rsidRPr="008F00F9">
        <w:rPr>
          <w:i/>
          <w:sz w:val="22"/>
          <w:szCs w:val="22"/>
        </w:rPr>
        <w:t>rates</w:t>
      </w:r>
      <w:r w:rsidRPr="00BF6582">
        <w:rPr>
          <w:i/>
          <w:sz w:val="22"/>
        </w:rPr>
        <w:t xml:space="preserve"> (amphetamines and cocaine</w:t>
      </w:r>
      <w:r w:rsidRPr="00B10C2E">
        <w:rPr>
          <w:i/>
          <w:sz w:val="22"/>
          <w:szCs w:val="22"/>
        </w:rPr>
        <w:t>)</w:t>
      </w:r>
      <w:r>
        <w:rPr>
          <w:sz w:val="22"/>
          <w:szCs w:val="22"/>
        </w:rPr>
        <w:t xml:space="preserve">: </w:t>
      </w:r>
      <w:r w:rsidRPr="00FF5301">
        <w:rPr>
          <w:sz w:val="22"/>
          <w:szCs w:val="22"/>
        </w:rPr>
        <w:t xml:space="preserve"> </w:t>
      </w:r>
      <w:r>
        <w:rPr>
          <w:sz w:val="22"/>
          <w:szCs w:val="22"/>
        </w:rPr>
        <w:t>The</w:t>
      </w:r>
      <w:r w:rsidR="00A776EC">
        <w:rPr>
          <w:sz w:val="22"/>
          <w:szCs w:val="22"/>
        </w:rPr>
        <w:t xml:space="preserve"> changes in</w:t>
      </w:r>
      <w:r w:rsidR="00181254">
        <w:rPr>
          <w:sz w:val="22"/>
          <w:szCs w:val="22"/>
        </w:rPr>
        <w:t xml:space="preserve"> positive rate</w:t>
      </w:r>
      <w:r w:rsidR="00A776EC">
        <w:rPr>
          <w:sz w:val="22"/>
          <w:szCs w:val="22"/>
        </w:rPr>
        <w:t>s</w:t>
      </w:r>
      <w:r>
        <w:rPr>
          <w:sz w:val="22"/>
          <w:szCs w:val="22"/>
        </w:rPr>
        <w:t xml:space="preserve"> are</w:t>
      </w:r>
      <w:r w:rsidRPr="00FF5301">
        <w:rPr>
          <w:sz w:val="22"/>
          <w:szCs w:val="22"/>
        </w:rPr>
        <w:t xml:space="preserve"> based </w:t>
      </w:r>
      <w:r>
        <w:rPr>
          <w:sz w:val="22"/>
          <w:szCs w:val="22"/>
        </w:rPr>
        <w:t xml:space="preserve">on an NRC </w:t>
      </w:r>
      <w:r w:rsidRPr="0015388B">
        <w:rPr>
          <w:sz w:val="22"/>
          <w:szCs w:val="22"/>
        </w:rPr>
        <w:t xml:space="preserve">analysis of MRO-verified drug test results from </w:t>
      </w:r>
      <w:r>
        <w:rPr>
          <w:sz w:val="22"/>
          <w:szCs w:val="22"/>
        </w:rPr>
        <w:t>CY </w:t>
      </w:r>
      <w:r w:rsidRPr="0015388B">
        <w:rPr>
          <w:sz w:val="22"/>
          <w:szCs w:val="22"/>
        </w:rPr>
        <w:t xml:space="preserve">2010 </w:t>
      </w:r>
      <w:r>
        <w:rPr>
          <w:sz w:val="22"/>
          <w:szCs w:val="22"/>
        </w:rPr>
        <w:t>and CY </w:t>
      </w:r>
      <w:r w:rsidRPr="0015388B">
        <w:rPr>
          <w:sz w:val="22"/>
          <w:szCs w:val="22"/>
        </w:rPr>
        <w:t xml:space="preserve">2011 </w:t>
      </w:r>
      <w:r w:rsidRPr="00BE1887">
        <w:rPr>
          <w:sz w:val="22"/>
          <w:szCs w:val="22"/>
        </w:rPr>
        <w:t xml:space="preserve">for three DOT modal </w:t>
      </w:r>
      <w:r w:rsidRPr="0015388B">
        <w:rPr>
          <w:sz w:val="22"/>
          <w:szCs w:val="22"/>
        </w:rPr>
        <w:t>administrations (i.e.</w:t>
      </w:r>
      <w:r w:rsidR="00646A79">
        <w:rPr>
          <w:sz w:val="22"/>
          <w:szCs w:val="22"/>
        </w:rPr>
        <w:t>,</w:t>
      </w:r>
      <w:r>
        <w:rPr>
          <w:sz w:val="22"/>
          <w:szCs w:val="22"/>
        </w:rPr>
        <w:t> Federal Aviation Administration (FAA)</w:t>
      </w:r>
      <w:r w:rsidR="00646A79">
        <w:rPr>
          <w:sz w:val="22"/>
          <w:szCs w:val="22"/>
        </w:rPr>
        <w:t>,</w:t>
      </w:r>
      <w:r>
        <w:rPr>
          <w:sz w:val="22"/>
          <w:szCs w:val="22"/>
        </w:rPr>
        <w:t xml:space="preserve"> Federal Transit Administration (FTA)</w:t>
      </w:r>
      <w:r w:rsidR="00646A79">
        <w:rPr>
          <w:sz w:val="22"/>
          <w:szCs w:val="22"/>
        </w:rPr>
        <w:t>,</w:t>
      </w:r>
      <w:r>
        <w:rPr>
          <w:sz w:val="22"/>
          <w:szCs w:val="22"/>
        </w:rPr>
        <w:t xml:space="preserve"> and Federal Railroad Administration (FRA)).  Use of MRO-verified results is important because Schedule II drugs can be legally prescribed</w:t>
      </w:r>
      <w:r w:rsidR="00E73931">
        <w:rPr>
          <w:sz w:val="22"/>
          <w:szCs w:val="22"/>
        </w:rPr>
        <w:t xml:space="preserve"> </w:t>
      </w:r>
      <w:r>
        <w:rPr>
          <w:sz w:val="22"/>
          <w:szCs w:val="22"/>
        </w:rPr>
        <w:t>to treat a medical condition (e.g.</w:t>
      </w:r>
      <w:r w:rsidR="00646A79">
        <w:rPr>
          <w:sz w:val="22"/>
          <w:szCs w:val="22"/>
        </w:rPr>
        <w:t>,</w:t>
      </w:r>
      <w:r>
        <w:rPr>
          <w:sz w:val="22"/>
          <w:szCs w:val="22"/>
        </w:rPr>
        <w:t> amphetamines may be prescribed to treat attention deficit disorder)</w:t>
      </w:r>
      <w:r w:rsidR="00734C50">
        <w:rPr>
          <w:sz w:val="22"/>
          <w:szCs w:val="22"/>
        </w:rPr>
        <w:t>,</w:t>
      </w:r>
      <w:r>
        <w:rPr>
          <w:sz w:val="22"/>
          <w:szCs w:val="22"/>
        </w:rPr>
        <w:t xml:space="preserve"> and so the results could be downgraded to a negative result upon medical doctor review.  Use of MRO-verified results ensures that the detection improvements model illegal drug use and not legitimate prescription use.  </w:t>
      </w:r>
      <w:r w:rsidR="00E84203">
        <w:rPr>
          <w:sz w:val="22"/>
          <w:szCs w:val="22"/>
        </w:rPr>
        <w:t>The staff used 1 </w:t>
      </w:r>
      <w:r w:rsidR="00E84B28">
        <w:rPr>
          <w:sz w:val="22"/>
          <w:szCs w:val="22"/>
        </w:rPr>
        <w:t xml:space="preserve">year of </w:t>
      </w:r>
      <w:r w:rsidR="004904B2">
        <w:rPr>
          <w:sz w:val="22"/>
          <w:szCs w:val="22"/>
        </w:rPr>
        <w:t>DOT testing data</w:t>
      </w:r>
      <w:r w:rsidR="00E84B28">
        <w:rPr>
          <w:sz w:val="22"/>
          <w:szCs w:val="22"/>
        </w:rPr>
        <w:t xml:space="preserve"> to </w:t>
      </w:r>
      <w:r>
        <w:rPr>
          <w:sz w:val="22"/>
          <w:szCs w:val="22"/>
        </w:rPr>
        <w:t xml:space="preserve">limit the potential differences </w:t>
      </w:r>
      <w:r w:rsidR="00D950D1">
        <w:rPr>
          <w:sz w:val="22"/>
          <w:szCs w:val="22"/>
        </w:rPr>
        <w:t>i</w:t>
      </w:r>
      <w:r w:rsidR="00E84203">
        <w:rPr>
          <w:sz w:val="22"/>
          <w:szCs w:val="22"/>
        </w:rPr>
        <w:t>n</w:t>
      </w:r>
      <w:r w:rsidR="00D950D1">
        <w:rPr>
          <w:sz w:val="22"/>
          <w:szCs w:val="22"/>
        </w:rPr>
        <w:t xml:space="preserve"> substance</w:t>
      </w:r>
      <w:r>
        <w:rPr>
          <w:sz w:val="22"/>
          <w:szCs w:val="22"/>
        </w:rPr>
        <w:t xml:space="preserve"> use </w:t>
      </w:r>
      <w:r w:rsidR="00E84203">
        <w:rPr>
          <w:sz w:val="22"/>
          <w:szCs w:val="22"/>
        </w:rPr>
        <w:t>between</w:t>
      </w:r>
      <w:r>
        <w:rPr>
          <w:sz w:val="22"/>
          <w:szCs w:val="22"/>
        </w:rPr>
        <w:t xml:space="preserve"> the NRC- and DOT-covered workforces</w:t>
      </w:r>
      <w:r w:rsidR="00B45917">
        <w:rPr>
          <w:sz w:val="22"/>
          <w:szCs w:val="22"/>
        </w:rPr>
        <w:t xml:space="preserve">.  The </w:t>
      </w:r>
      <w:r w:rsidR="00D950D1">
        <w:rPr>
          <w:sz w:val="22"/>
          <w:szCs w:val="22"/>
        </w:rPr>
        <w:t xml:space="preserve">NRC </w:t>
      </w:r>
      <w:r w:rsidR="00B45917">
        <w:rPr>
          <w:sz w:val="22"/>
          <w:szCs w:val="22"/>
        </w:rPr>
        <w:t>applied</w:t>
      </w:r>
      <w:r>
        <w:rPr>
          <w:sz w:val="22"/>
          <w:szCs w:val="22"/>
        </w:rPr>
        <w:t xml:space="preserve"> the change in </w:t>
      </w:r>
      <w:r w:rsidR="00885660">
        <w:rPr>
          <w:sz w:val="22"/>
          <w:szCs w:val="22"/>
        </w:rPr>
        <w:t xml:space="preserve">the positive </w:t>
      </w:r>
      <w:r>
        <w:rPr>
          <w:sz w:val="22"/>
          <w:szCs w:val="22"/>
        </w:rPr>
        <w:t xml:space="preserve">testing </w:t>
      </w:r>
      <w:r w:rsidR="00885660">
        <w:rPr>
          <w:sz w:val="22"/>
          <w:szCs w:val="22"/>
        </w:rPr>
        <w:t xml:space="preserve">rates </w:t>
      </w:r>
      <w:r w:rsidR="00E879D8">
        <w:rPr>
          <w:sz w:val="22"/>
          <w:szCs w:val="22"/>
        </w:rPr>
        <w:t xml:space="preserve">in </w:t>
      </w:r>
      <w:r w:rsidR="00E006C6">
        <w:rPr>
          <w:sz w:val="22"/>
          <w:szCs w:val="22"/>
        </w:rPr>
        <w:t xml:space="preserve">the year that the lower </w:t>
      </w:r>
      <w:r>
        <w:rPr>
          <w:sz w:val="22"/>
          <w:szCs w:val="22"/>
        </w:rPr>
        <w:t>cutoff levels</w:t>
      </w:r>
      <w:r w:rsidR="00E006C6">
        <w:rPr>
          <w:sz w:val="22"/>
          <w:szCs w:val="22"/>
        </w:rPr>
        <w:t xml:space="preserve"> were implement</w:t>
      </w:r>
      <w:r w:rsidR="00BB48C7">
        <w:rPr>
          <w:sz w:val="22"/>
          <w:szCs w:val="22"/>
        </w:rPr>
        <w:t xml:space="preserve">ed in </w:t>
      </w:r>
      <w:r w:rsidR="00E879D8">
        <w:rPr>
          <w:sz w:val="22"/>
          <w:szCs w:val="22"/>
        </w:rPr>
        <w:t xml:space="preserve">the DOT testing program </w:t>
      </w:r>
      <w:r w:rsidR="00E84B28">
        <w:rPr>
          <w:sz w:val="22"/>
          <w:szCs w:val="22"/>
        </w:rPr>
        <w:t xml:space="preserve">to </w:t>
      </w:r>
      <w:r w:rsidR="00B505A9">
        <w:rPr>
          <w:sz w:val="22"/>
          <w:szCs w:val="22"/>
        </w:rPr>
        <w:t xml:space="preserve">the existing </w:t>
      </w:r>
      <w:r w:rsidR="00B86A6D">
        <w:rPr>
          <w:sz w:val="22"/>
          <w:szCs w:val="22"/>
        </w:rPr>
        <w:t xml:space="preserve">average </w:t>
      </w:r>
      <w:r w:rsidR="00E879D8">
        <w:rPr>
          <w:sz w:val="22"/>
          <w:szCs w:val="22"/>
        </w:rPr>
        <w:t xml:space="preserve">positive testing rates </w:t>
      </w:r>
      <w:r w:rsidR="00B45917">
        <w:rPr>
          <w:sz w:val="22"/>
          <w:szCs w:val="22"/>
        </w:rPr>
        <w:t>for amphetamine</w:t>
      </w:r>
      <w:r w:rsidR="00B56BCC">
        <w:rPr>
          <w:sz w:val="22"/>
          <w:szCs w:val="22"/>
        </w:rPr>
        <w:t>s</w:t>
      </w:r>
      <w:r w:rsidR="00B45917">
        <w:rPr>
          <w:sz w:val="22"/>
          <w:szCs w:val="22"/>
        </w:rPr>
        <w:t xml:space="preserve"> and cocaine in the </w:t>
      </w:r>
      <w:r w:rsidR="00D37AE8">
        <w:rPr>
          <w:sz w:val="22"/>
          <w:szCs w:val="22"/>
        </w:rPr>
        <w:t>10 CFR </w:t>
      </w:r>
      <w:r w:rsidR="00E879D8">
        <w:rPr>
          <w:sz w:val="22"/>
          <w:szCs w:val="22"/>
        </w:rPr>
        <w:t>Part 26 testing program</w:t>
      </w:r>
      <w:r w:rsidR="00480B78">
        <w:rPr>
          <w:sz w:val="22"/>
          <w:szCs w:val="22"/>
        </w:rPr>
        <w:t>.</w:t>
      </w:r>
    </w:p>
    <w:p w:rsidR="00D520BD" w:rsidP="00D520BD" w:rsidRDefault="00D520BD" w14:paraId="70364540" w14:textId="49F7BF55">
      <w:pPr>
        <w:pStyle w:val="ListParagraph"/>
        <w:tabs>
          <w:tab w:val="left" w:pos="721"/>
        </w:tabs>
        <w:rPr>
          <w:sz w:val="22"/>
          <w:szCs w:val="22"/>
        </w:rPr>
      </w:pPr>
    </w:p>
    <w:p w:rsidRPr="00B10C2E" w:rsidR="00D520BD" w:rsidP="005C6BA3" w:rsidRDefault="00D520BD" w14:paraId="6D0BA3F4" w14:textId="77777777">
      <w:pPr>
        <w:pStyle w:val="ListParagraph"/>
        <w:numPr>
          <w:ilvl w:val="0"/>
          <w:numId w:val="33"/>
        </w:numPr>
        <w:tabs>
          <w:tab w:val="left" w:pos="1440"/>
        </w:tabs>
        <w:ind w:left="1440" w:hanging="720"/>
        <w:rPr>
          <w:sz w:val="22"/>
          <w:szCs w:val="22"/>
        </w:rPr>
      </w:pPr>
      <w:r w:rsidRPr="00B10C2E">
        <w:rPr>
          <w:sz w:val="22"/>
          <w:szCs w:val="22"/>
        </w:rPr>
        <w:t xml:space="preserve">The NRC staff assumes that positive laboratory test results </w:t>
      </w:r>
      <w:r w:rsidR="00DB148C">
        <w:rPr>
          <w:sz w:val="22"/>
          <w:szCs w:val="22"/>
        </w:rPr>
        <w:t xml:space="preserve">for amphetamines </w:t>
      </w:r>
      <w:r w:rsidRPr="00B10C2E">
        <w:rPr>
          <w:sz w:val="22"/>
          <w:szCs w:val="22"/>
        </w:rPr>
        <w:t>will be confirmed as illegal drug use or legal drug misuse by an MRO 75</w:t>
      </w:r>
      <w:r>
        <w:rPr>
          <w:sz w:val="22"/>
          <w:szCs w:val="22"/>
        </w:rPr>
        <w:t> </w:t>
      </w:r>
      <w:r w:rsidRPr="00B10C2E">
        <w:rPr>
          <w:sz w:val="22"/>
          <w:szCs w:val="22"/>
        </w:rPr>
        <w:t>percent of the time.</w:t>
      </w:r>
    </w:p>
    <w:p w:rsidR="00D520BD" w:rsidP="00D520BD" w:rsidRDefault="00D520BD" w14:paraId="729DC3A5" w14:textId="77777777">
      <w:pPr>
        <w:pStyle w:val="ListParagraph"/>
        <w:tabs>
          <w:tab w:val="left" w:pos="1440"/>
        </w:tabs>
        <w:ind w:left="1440" w:hanging="720"/>
        <w:rPr>
          <w:sz w:val="22"/>
          <w:szCs w:val="22"/>
        </w:rPr>
      </w:pPr>
    </w:p>
    <w:p w:rsidRPr="00B10C2E" w:rsidR="00D520BD" w:rsidP="005C6BA3" w:rsidRDefault="00D520BD" w14:paraId="29678276" w14:textId="4629F804">
      <w:pPr>
        <w:pStyle w:val="ListParagraph"/>
        <w:numPr>
          <w:ilvl w:val="0"/>
          <w:numId w:val="33"/>
        </w:numPr>
        <w:tabs>
          <w:tab w:val="left" w:pos="1440"/>
        </w:tabs>
        <w:ind w:left="1440" w:hanging="720"/>
        <w:rPr>
          <w:sz w:val="22"/>
          <w:szCs w:val="22"/>
        </w:rPr>
      </w:pPr>
      <w:r w:rsidRPr="00B10C2E">
        <w:rPr>
          <w:sz w:val="22"/>
          <w:szCs w:val="22"/>
        </w:rPr>
        <w:t>The NRC staff assumes that all positive laboratory test results</w:t>
      </w:r>
      <w:r w:rsidR="00386E41">
        <w:rPr>
          <w:sz w:val="22"/>
          <w:szCs w:val="22"/>
        </w:rPr>
        <w:t xml:space="preserve"> for cocaine</w:t>
      </w:r>
      <w:r w:rsidRPr="00B10C2E">
        <w:rPr>
          <w:sz w:val="22"/>
          <w:szCs w:val="22"/>
        </w:rPr>
        <w:t xml:space="preserve"> will be confirmed as illegal drug use or legal drug misuse by an MRO.  It is unlikely that an individual subject to 10 CFR Part 26 would have recently been subject to a medical procedure </w:t>
      </w:r>
      <w:r>
        <w:rPr>
          <w:sz w:val="22"/>
          <w:szCs w:val="22"/>
        </w:rPr>
        <w:t>for which</w:t>
      </w:r>
      <w:r w:rsidRPr="00B10C2E">
        <w:rPr>
          <w:sz w:val="22"/>
          <w:szCs w:val="22"/>
        </w:rPr>
        <w:t xml:space="preserve"> cocaine might have been used (</w:t>
      </w:r>
      <w:r>
        <w:rPr>
          <w:sz w:val="22"/>
          <w:szCs w:val="22"/>
        </w:rPr>
        <w:t>e.g.</w:t>
      </w:r>
      <w:r w:rsidR="00646A79">
        <w:rPr>
          <w:sz w:val="22"/>
          <w:szCs w:val="22"/>
        </w:rPr>
        <w:t>,</w:t>
      </w:r>
      <w:r>
        <w:rPr>
          <w:sz w:val="22"/>
          <w:szCs w:val="22"/>
        </w:rPr>
        <w:t> </w:t>
      </w:r>
      <w:r w:rsidRPr="00B10C2E">
        <w:rPr>
          <w:sz w:val="22"/>
          <w:szCs w:val="22"/>
        </w:rPr>
        <w:t xml:space="preserve">nasal or throat </w:t>
      </w:r>
      <w:r w:rsidRPr="00B10C2E">
        <w:rPr>
          <w:sz w:val="22"/>
          <w:szCs w:val="22"/>
        </w:rPr>
        <w:lastRenderedPageBreak/>
        <w:t>surgery</w:t>
      </w:r>
      <w:r w:rsidR="00646A79">
        <w:rPr>
          <w:sz w:val="22"/>
          <w:szCs w:val="22"/>
        </w:rPr>
        <w:t>,</w:t>
      </w:r>
      <w:r w:rsidRPr="00B10C2E">
        <w:rPr>
          <w:sz w:val="22"/>
          <w:szCs w:val="22"/>
        </w:rPr>
        <w:t xml:space="preserve"> an intubation procedure) and then returned to work before the medical condition had resolved and the individual was able to physically return to work.</w:t>
      </w:r>
    </w:p>
    <w:p w:rsidR="00D520BD" w:rsidP="00D520BD" w:rsidRDefault="00D520BD" w14:paraId="0304A38A" w14:textId="13414213">
      <w:pPr>
        <w:pStyle w:val="ListParagraph"/>
        <w:tabs>
          <w:tab w:val="left" w:pos="721"/>
        </w:tabs>
        <w:rPr>
          <w:sz w:val="22"/>
          <w:szCs w:val="22"/>
        </w:rPr>
      </w:pPr>
    </w:p>
    <w:p w:rsidR="00715C2F" w:rsidP="00CB21B7" w:rsidRDefault="00715C2F" w14:paraId="7BE2FDE9" w14:textId="086C15AE">
      <w:pPr>
        <w:pStyle w:val="ListParagraph"/>
        <w:numPr>
          <w:ilvl w:val="0"/>
          <w:numId w:val="7"/>
        </w:numPr>
        <w:tabs>
          <w:tab w:val="left" w:pos="721"/>
        </w:tabs>
        <w:ind w:hanging="720"/>
        <w:rPr>
          <w:sz w:val="22"/>
          <w:szCs w:val="22"/>
        </w:rPr>
      </w:pPr>
      <w:r w:rsidRPr="004C5C7D">
        <w:rPr>
          <w:i/>
          <w:iCs/>
          <w:sz w:val="22"/>
          <w:szCs w:val="22"/>
        </w:rPr>
        <w:t xml:space="preserve">Positive rates for the </w:t>
      </w:r>
      <w:r w:rsidRPr="004C5C7D" w:rsidR="001779E9">
        <w:rPr>
          <w:i/>
          <w:iCs/>
          <w:sz w:val="22"/>
          <w:szCs w:val="22"/>
        </w:rPr>
        <w:t xml:space="preserve">expanded </w:t>
      </w:r>
      <w:r w:rsidR="008C7F0C">
        <w:rPr>
          <w:i/>
          <w:iCs/>
          <w:sz w:val="22"/>
          <w:szCs w:val="22"/>
        </w:rPr>
        <w:t>opioid</w:t>
      </w:r>
      <w:r w:rsidRPr="004C5C7D" w:rsidR="001779E9">
        <w:rPr>
          <w:i/>
          <w:iCs/>
          <w:sz w:val="22"/>
          <w:szCs w:val="22"/>
        </w:rPr>
        <w:t xml:space="preserve"> panel</w:t>
      </w:r>
      <w:r w:rsidRPr="004C5C7D" w:rsidR="009826E4">
        <w:rPr>
          <w:sz w:val="22"/>
          <w:szCs w:val="22"/>
        </w:rPr>
        <w:t>:</w:t>
      </w:r>
      <w:r w:rsidRPr="004C5C7D" w:rsidR="001F4A0C">
        <w:rPr>
          <w:sz w:val="22"/>
          <w:szCs w:val="22"/>
        </w:rPr>
        <w:t xml:space="preserve"> </w:t>
      </w:r>
      <w:r w:rsidRPr="004C5C7D" w:rsidR="001779E9">
        <w:rPr>
          <w:sz w:val="22"/>
          <w:szCs w:val="22"/>
        </w:rPr>
        <w:t xml:space="preserve"> </w:t>
      </w:r>
      <w:r w:rsidRPr="004C5C7D" w:rsidR="001F4A0C">
        <w:rPr>
          <w:sz w:val="22"/>
          <w:szCs w:val="22"/>
        </w:rPr>
        <w:t xml:space="preserve">The NRC used </w:t>
      </w:r>
      <w:r w:rsidRPr="004C5C7D" w:rsidR="00C23CF0">
        <w:rPr>
          <w:sz w:val="22"/>
          <w:szCs w:val="22"/>
        </w:rPr>
        <w:t>the NRC FFD program performance test results for amphetamine</w:t>
      </w:r>
      <w:r w:rsidRPr="004C5C7D" w:rsidR="009A27A6">
        <w:rPr>
          <w:sz w:val="22"/>
          <w:szCs w:val="22"/>
        </w:rPr>
        <w:t xml:space="preserve"> positives as a proxy for the projected confirmed positive test rate for the expanded opio</w:t>
      </w:r>
      <w:r w:rsidR="001738CD">
        <w:rPr>
          <w:sz w:val="22"/>
          <w:szCs w:val="22"/>
        </w:rPr>
        <w:t>i</w:t>
      </w:r>
      <w:r w:rsidRPr="004C5C7D" w:rsidR="009A27A6">
        <w:rPr>
          <w:sz w:val="22"/>
          <w:szCs w:val="22"/>
        </w:rPr>
        <w:t xml:space="preserve">d panel.  </w:t>
      </w:r>
      <w:r w:rsidRPr="004C5C7D" w:rsidR="007115ED">
        <w:rPr>
          <w:sz w:val="22"/>
          <w:szCs w:val="22"/>
        </w:rPr>
        <w:t>This decision is partially informed</w:t>
      </w:r>
      <w:r w:rsidRPr="004C5C7D" w:rsidR="0031430D">
        <w:rPr>
          <w:sz w:val="22"/>
          <w:szCs w:val="22"/>
        </w:rPr>
        <w:t xml:space="preserve"> by </w:t>
      </w:r>
      <w:r w:rsidR="00BE6334">
        <w:rPr>
          <w:sz w:val="22"/>
          <w:szCs w:val="22"/>
        </w:rPr>
        <w:t xml:space="preserve">the </w:t>
      </w:r>
      <w:r w:rsidRPr="004C5C7D" w:rsidR="001F4A0C">
        <w:rPr>
          <w:sz w:val="22"/>
          <w:szCs w:val="22"/>
        </w:rPr>
        <w:t>DOT’s</w:t>
      </w:r>
      <w:r w:rsidRPr="004C5C7D" w:rsidR="002204FE">
        <w:rPr>
          <w:sz w:val="22"/>
          <w:szCs w:val="22"/>
        </w:rPr>
        <w:t xml:space="preserve"> </w:t>
      </w:r>
      <w:r w:rsidRPr="004C5C7D" w:rsidR="007F24C8">
        <w:rPr>
          <w:sz w:val="22"/>
          <w:szCs w:val="22"/>
        </w:rPr>
        <w:t>HH</w:t>
      </w:r>
      <w:r w:rsidRPr="004C5C7D" w:rsidR="002204FE">
        <w:rPr>
          <w:sz w:val="22"/>
          <w:szCs w:val="22"/>
        </w:rPr>
        <w:t xml:space="preserve">S-certified laboratory drug test results after </w:t>
      </w:r>
      <w:r w:rsidR="00BE6334">
        <w:rPr>
          <w:sz w:val="22"/>
          <w:szCs w:val="22"/>
        </w:rPr>
        <w:t xml:space="preserve">the </w:t>
      </w:r>
      <w:r w:rsidRPr="004C5C7D" w:rsidR="002204FE">
        <w:rPr>
          <w:sz w:val="22"/>
          <w:szCs w:val="22"/>
        </w:rPr>
        <w:t xml:space="preserve">DOT implemented the 2017 HHS Guidelines </w:t>
      </w:r>
      <w:r w:rsidRPr="004C5C7D" w:rsidR="00102E24">
        <w:rPr>
          <w:sz w:val="22"/>
          <w:szCs w:val="22"/>
        </w:rPr>
        <w:t>changes</w:t>
      </w:r>
      <w:r w:rsidRPr="004C5C7D" w:rsidR="006B083E">
        <w:rPr>
          <w:sz w:val="22"/>
          <w:szCs w:val="22"/>
        </w:rPr>
        <w:t>.</w:t>
      </w:r>
      <w:r w:rsidRPr="004C5C7D" w:rsidR="00D20F49">
        <w:rPr>
          <w:sz w:val="22"/>
          <w:szCs w:val="22"/>
        </w:rPr>
        <w:t xml:space="preserve">  </w:t>
      </w:r>
      <w:r w:rsidRPr="004C5C7D" w:rsidR="004C5C7D">
        <w:rPr>
          <w:sz w:val="22"/>
          <w:szCs w:val="22"/>
        </w:rPr>
        <w:t xml:space="preserve">The </w:t>
      </w:r>
      <w:r w:rsidRPr="004C5C7D" w:rsidR="001F4A0C">
        <w:rPr>
          <w:sz w:val="22"/>
          <w:szCs w:val="22"/>
        </w:rPr>
        <w:t>estimated increase in positive results for the expanded opioid panel is based</w:t>
      </w:r>
      <w:r w:rsidR="004701B3">
        <w:rPr>
          <w:sz w:val="22"/>
          <w:szCs w:val="22"/>
        </w:rPr>
        <w:t xml:space="preserve">, </w:t>
      </w:r>
      <w:r w:rsidR="00AA357F">
        <w:rPr>
          <w:sz w:val="22"/>
          <w:szCs w:val="22"/>
        </w:rPr>
        <w:t>in part,</w:t>
      </w:r>
      <w:r w:rsidRPr="004C5C7D" w:rsidR="001F4A0C">
        <w:rPr>
          <w:sz w:val="22"/>
          <w:szCs w:val="22"/>
        </w:rPr>
        <w:t xml:space="preserve"> on the incremental changes in the MRO</w:t>
      </w:r>
      <w:r w:rsidR="00BF6B6F">
        <w:rPr>
          <w:sz w:val="22"/>
          <w:szCs w:val="22"/>
        </w:rPr>
        <w:noBreakHyphen/>
      </w:r>
      <w:r w:rsidRPr="004C5C7D" w:rsidR="001F4A0C">
        <w:rPr>
          <w:sz w:val="22"/>
          <w:szCs w:val="22"/>
        </w:rPr>
        <w:t>verified positive testing rates in the year after the DOT implemented the HHS Guidelines changes (i.e., change in positive rates from 2017 to 2018 for opioids</w:t>
      </w:r>
      <w:r w:rsidR="00E33307">
        <w:rPr>
          <w:sz w:val="22"/>
          <w:szCs w:val="22"/>
        </w:rPr>
        <w:t>)</w:t>
      </w:r>
      <w:r w:rsidRPr="004C5C7D" w:rsidR="001F4A0C">
        <w:rPr>
          <w:sz w:val="22"/>
          <w:szCs w:val="22"/>
        </w:rPr>
        <w:t>.</w:t>
      </w:r>
    </w:p>
    <w:p w:rsidRPr="004C5C7D" w:rsidR="00926B5C" w:rsidP="00926B5C" w:rsidRDefault="00926B5C" w14:paraId="6D3B523A" w14:textId="77777777">
      <w:pPr>
        <w:pStyle w:val="ListParagraph"/>
        <w:tabs>
          <w:tab w:val="left" w:pos="721"/>
        </w:tabs>
        <w:rPr>
          <w:sz w:val="22"/>
          <w:szCs w:val="22"/>
        </w:rPr>
      </w:pPr>
    </w:p>
    <w:p w:rsidR="004C5C7D" w:rsidP="004C5C7D" w:rsidRDefault="008C2AFB" w14:paraId="07FEDE45" w14:textId="35887852">
      <w:pPr>
        <w:pStyle w:val="ListParagraph"/>
        <w:numPr>
          <w:ilvl w:val="1"/>
          <w:numId w:val="36"/>
        </w:numPr>
        <w:tabs>
          <w:tab w:val="left" w:pos="721"/>
        </w:tabs>
        <w:ind w:hanging="720"/>
        <w:rPr>
          <w:sz w:val="22"/>
          <w:szCs w:val="22"/>
        </w:rPr>
      </w:pPr>
      <w:r>
        <w:rPr>
          <w:sz w:val="22"/>
          <w:szCs w:val="22"/>
        </w:rPr>
        <w:t>p</w:t>
      </w:r>
      <w:r w:rsidR="00660817">
        <w:rPr>
          <w:sz w:val="22"/>
          <w:szCs w:val="22"/>
        </w:rPr>
        <w:t>rojected confirmed positive test rate for e</w:t>
      </w:r>
      <w:r w:rsidR="00926B5C">
        <w:rPr>
          <w:sz w:val="22"/>
          <w:szCs w:val="22"/>
        </w:rPr>
        <w:t>xpanded opioid panel</w:t>
      </w:r>
      <w:r w:rsidR="004C5C7D">
        <w:rPr>
          <w:sz w:val="22"/>
          <w:szCs w:val="22"/>
        </w:rPr>
        <w:t xml:space="preserve"> = 0.0</w:t>
      </w:r>
      <w:r w:rsidR="00926B5C">
        <w:rPr>
          <w:sz w:val="22"/>
          <w:szCs w:val="22"/>
        </w:rPr>
        <w:t>6</w:t>
      </w:r>
      <w:r w:rsidR="004C5C7D">
        <w:rPr>
          <w:sz w:val="22"/>
          <w:szCs w:val="22"/>
        </w:rPr>
        <w:t>6 percent</w:t>
      </w:r>
    </w:p>
    <w:p w:rsidRPr="004002FA" w:rsidR="00205E2C" w:rsidP="00205E2C" w:rsidRDefault="00205E2C" w14:paraId="17DEE59A" w14:textId="77777777">
      <w:pPr>
        <w:pStyle w:val="ListParagraph"/>
        <w:tabs>
          <w:tab w:val="left" w:pos="721"/>
        </w:tabs>
        <w:rPr>
          <w:sz w:val="22"/>
          <w:szCs w:val="22"/>
        </w:rPr>
      </w:pPr>
    </w:p>
    <w:p w:rsidR="00D520BD" w:rsidP="005C6BA3" w:rsidRDefault="00FC1C1E" w14:paraId="6402A139" w14:textId="1E3A86B9">
      <w:pPr>
        <w:pStyle w:val="ListParagraph"/>
        <w:numPr>
          <w:ilvl w:val="0"/>
          <w:numId w:val="7"/>
        </w:numPr>
        <w:tabs>
          <w:tab w:val="left" w:pos="721"/>
        </w:tabs>
        <w:ind w:hanging="720"/>
        <w:rPr>
          <w:sz w:val="22"/>
          <w:szCs w:val="22"/>
        </w:rPr>
      </w:pPr>
      <w:r>
        <w:rPr>
          <w:i/>
          <w:sz w:val="22"/>
          <w:szCs w:val="22"/>
        </w:rPr>
        <w:t>P</w:t>
      </w:r>
      <w:r w:rsidR="00D520BD">
        <w:rPr>
          <w:i/>
          <w:sz w:val="22"/>
          <w:szCs w:val="22"/>
        </w:rPr>
        <w:t xml:space="preserve">ositive rates for 6-AM and </w:t>
      </w:r>
      <w:r w:rsidRPr="00865DD6" w:rsidR="00D520BD">
        <w:rPr>
          <w:i/>
          <w:sz w:val="22"/>
          <w:szCs w:val="22"/>
        </w:rPr>
        <w:t>Ecstasy</w:t>
      </w:r>
      <w:r w:rsidR="00FF0421">
        <w:rPr>
          <w:i/>
          <w:sz w:val="22"/>
          <w:szCs w:val="22"/>
        </w:rPr>
        <w:t>-type</w:t>
      </w:r>
      <w:r w:rsidR="00D520BD">
        <w:rPr>
          <w:i/>
          <w:sz w:val="22"/>
          <w:szCs w:val="22"/>
        </w:rPr>
        <w:t xml:space="preserve"> drugs</w:t>
      </w:r>
      <w:r w:rsidR="00D520BD">
        <w:rPr>
          <w:sz w:val="22"/>
          <w:szCs w:val="22"/>
        </w:rPr>
        <w:t>:</w:t>
      </w:r>
      <w:r w:rsidR="00D520BD">
        <w:rPr>
          <w:i/>
          <w:sz w:val="22"/>
          <w:szCs w:val="22"/>
        </w:rPr>
        <w:t xml:space="preserve"> </w:t>
      </w:r>
      <w:r w:rsidRPr="00763EF4" w:rsidR="00D520BD">
        <w:rPr>
          <w:sz w:val="22"/>
          <w:szCs w:val="22"/>
        </w:rPr>
        <w:t xml:space="preserve"> </w:t>
      </w:r>
      <w:r w:rsidR="00D520BD">
        <w:rPr>
          <w:sz w:val="22"/>
          <w:szCs w:val="22"/>
        </w:rPr>
        <w:t xml:space="preserve">The NRC </w:t>
      </w:r>
      <w:r w:rsidR="00047238">
        <w:rPr>
          <w:sz w:val="22"/>
          <w:szCs w:val="22"/>
        </w:rPr>
        <w:t>used</w:t>
      </w:r>
      <w:r w:rsidRPr="00936A41" w:rsidR="00D520BD">
        <w:rPr>
          <w:sz w:val="22"/>
          <w:szCs w:val="22"/>
        </w:rPr>
        <w:t xml:space="preserve"> </w:t>
      </w:r>
      <w:r w:rsidR="00336A76">
        <w:rPr>
          <w:sz w:val="22"/>
          <w:szCs w:val="22"/>
        </w:rPr>
        <w:t xml:space="preserve">the </w:t>
      </w:r>
      <w:r w:rsidR="00FF6C44">
        <w:rPr>
          <w:sz w:val="22"/>
          <w:szCs w:val="22"/>
        </w:rPr>
        <w:t xml:space="preserve">DOT’s </w:t>
      </w:r>
      <w:r w:rsidR="00D520BD">
        <w:rPr>
          <w:sz w:val="22"/>
          <w:szCs w:val="22"/>
        </w:rPr>
        <w:t>HHS</w:t>
      </w:r>
      <w:r w:rsidR="00D520BD">
        <w:rPr>
          <w:sz w:val="22"/>
          <w:szCs w:val="22"/>
        </w:rPr>
        <w:noBreakHyphen/>
        <w:t xml:space="preserve">certified laboratory drug test results </w:t>
      </w:r>
      <w:r w:rsidR="009279BD">
        <w:rPr>
          <w:sz w:val="22"/>
          <w:szCs w:val="22"/>
        </w:rPr>
        <w:t xml:space="preserve">after </w:t>
      </w:r>
      <w:r w:rsidR="00336A76">
        <w:rPr>
          <w:sz w:val="22"/>
          <w:szCs w:val="22"/>
        </w:rPr>
        <w:t xml:space="preserve">the </w:t>
      </w:r>
      <w:r w:rsidR="009279BD">
        <w:rPr>
          <w:sz w:val="22"/>
          <w:szCs w:val="22"/>
        </w:rPr>
        <w:t>DOT</w:t>
      </w:r>
      <w:r w:rsidRPr="00936A41" w:rsidR="00D520BD">
        <w:rPr>
          <w:sz w:val="22"/>
          <w:szCs w:val="22"/>
        </w:rPr>
        <w:t xml:space="preserve"> implement</w:t>
      </w:r>
      <w:r w:rsidR="00D520BD">
        <w:rPr>
          <w:sz w:val="22"/>
          <w:szCs w:val="22"/>
        </w:rPr>
        <w:t>ed</w:t>
      </w:r>
      <w:r w:rsidRPr="00936A41" w:rsidR="00D520BD">
        <w:rPr>
          <w:sz w:val="22"/>
          <w:szCs w:val="22"/>
        </w:rPr>
        <w:t xml:space="preserve"> the 2008 HHS Guidelines changes </w:t>
      </w:r>
      <w:r w:rsidR="009279BD">
        <w:rPr>
          <w:sz w:val="22"/>
          <w:szCs w:val="22"/>
        </w:rPr>
        <w:t>to inform</w:t>
      </w:r>
      <w:r w:rsidR="00336A76">
        <w:rPr>
          <w:sz w:val="22"/>
          <w:szCs w:val="22"/>
        </w:rPr>
        <w:t xml:space="preserve"> the</w:t>
      </w:r>
      <w:r w:rsidR="009279BD">
        <w:rPr>
          <w:sz w:val="22"/>
          <w:szCs w:val="22"/>
        </w:rPr>
        <w:t xml:space="preserve"> NRC’s expected</w:t>
      </w:r>
      <w:r w:rsidR="008D4DFD">
        <w:rPr>
          <w:sz w:val="22"/>
          <w:szCs w:val="22"/>
        </w:rPr>
        <w:t xml:space="preserve"> positive rates</w:t>
      </w:r>
      <w:r w:rsidR="004E4137">
        <w:rPr>
          <w:sz w:val="22"/>
          <w:szCs w:val="22"/>
        </w:rPr>
        <w:t xml:space="preserve"> for </w:t>
      </w:r>
      <w:r w:rsidR="00E972A1">
        <w:rPr>
          <w:sz w:val="22"/>
          <w:szCs w:val="22"/>
        </w:rPr>
        <w:t>new drugs in the test panel</w:t>
      </w:r>
      <w:r w:rsidRPr="00936A41" w:rsidR="00D520BD">
        <w:rPr>
          <w:sz w:val="22"/>
          <w:szCs w:val="22"/>
        </w:rPr>
        <w:t>.</w:t>
      </w:r>
      <w:r w:rsidR="00D520BD">
        <w:rPr>
          <w:sz w:val="22"/>
          <w:szCs w:val="22"/>
        </w:rPr>
        <w:t xml:space="preserve">  MRO</w:t>
      </w:r>
      <w:r w:rsidR="00336A76">
        <w:rPr>
          <w:sz w:val="22"/>
          <w:szCs w:val="22"/>
        </w:rPr>
        <w:t xml:space="preserve"> </w:t>
      </w:r>
      <w:r w:rsidR="00B36246">
        <w:rPr>
          <w:sz w:val="22"/>
          <w:szCs w:val="22"/>
        </w:rPr>
        <w:t>verification</w:t>
      </w:r>
      <w:r w:rsidR="0033682D">
        <w:rPr>
          <w:sz w:val="22"/>
          <w:szCs w:val="22"/>
        </w:rPr>
        <w:t xml:space="preserve"> for</w:t>
      </w:r>
      <w:r w:rsidR="004C173A">
        <w:rPr>
          <w:sz w:val="22"/>
          <w:szCs w:val="22"/>
        </w:rPr>
        <w:t xml:space="preserve"> </w:t>
      </w:r>
      <w:r w:rsidR="00D520BD">
        <w:rPr>
          <w:sz w:val="22"/>
          <w:szCs w:val="22"/>
        </w:rPr>
        <w:t xml:space="preserve">these </w:t>
      </w:r>
      <w:r w:rsidR="004C173A">
        <w:rPr>
          <w:sz w:val="22"/>
          <w:szCs w:val="22"/>
        </w:rPr>
        <w:t>test</w:t>
      </w:r>
      <w:r w:rsidR="0033682D">
        <w:rPr>
          <w:sz w:val="22"/>
          <w:szCs w:val="22"/>
        </w:rPr>
        <w:t xml:space="preserve"> results</w:t>
      </w:r>
      <w:r w:rsidR="004C173A">
        <w:rPr>
          <w:sz w:val="22"/>
          <w:szCs w:val="22"/>
        </w:rPr>
        <w:t xml:space="preserve"> </w:t>
      </w:r>
      <w:r w:rsidR="0033682D">
        <w:rPr>
          <w:sz w:val="22"/>
          <w:szCs w:val="22"/>
        </w:rPr>
        <w:t>is unnecessary because each is a</w:t>
      </w:r>
      <w:r w:rsidR="00500C11">
        <w:rPr>
          <w:sz w:val="22"/>
          <w:szCs w:val="22"/>
        </w:rPr>
        <w:t xml:space="preserve"> </w:t>
      </w:r>
      <w:r w:rsidR="00D520BD">
        <w:rPr>
          <w:sz w:val="22"/>
          <w:szCs w:val="22"/>
        </w:rPr>
        <w:t>Schedule</w:t>
      </w:r>
      <w:r w:rsidR="00500C11">
        <w:rPr>
          <w:sz w:val="22"/>
          <w:szCs w:val="22"/>
        </w:rPr>
        <w:t xml:space="preserve"> </w:t>
      </w:r>
      <w:r w:rsidR="00D520BD">
        <w:rPr>
          <w:sz w:val="22"/>
          <w:szCs w:val="22"/>
        </w:rPr>
        <w:t xml:space="preserve">I </w:t>
      </w:r>
      <w:r w:rsidR="004B6310">
        <w:rPr>
          <w:sz w:val="22"/>
          <w:szCs w:val="22"/>
        </w:rPr>
        <w:t>drug</w:t>
      </w:r>
      <w:r w:rsidR="00500C11">
        <w:rPr>
          <w:sz w:val="22"/>
          <w:szCs w:val="22"/>
        </w:rPr>
        <w:t xml:space="preserve"> (</w:t>
      </w:r>
      <w:r w:rsidR="00F467CF">
        <w:rPr>
          <w:sz w:val="22"/>
          <w:szCs w:val="22"/>
        </w:rPr>
        <w:t xml:space="preserve">i.e., </w:t>
      </w:r>
      <w:r w:rsidR="00500C11">
        <w:rPr>
          <w:sz w:val="22"/>
          <w:szCs w:val="22"/>
        </w:rPr>
        <w:t xml:space="preserve">an </w:t>
      </w:r>
      <w:r w:rsidR="00D520BD">
        <w:rPr>
          <w:sz w:val="22"/>
          <w:szCs w:val="22"/>
        </w:rPr>
        <w:t xml:space="preserve">illegal </w:t>
      </w:r>
      <w:r w:rsidR="00B36246">
        <w:rPr>
          <w:sz w:val="22"/>
          <w:szCs w:val="22"/>
        </w:rPr>
        <w:t>drug</w:t>
      </w:r>
      <w:r w:rsidR="00D520BD">
        <w:rPr>
          <w:sz w:val="22"/>
          <w:szCs w:val="22"/>
        </w:rPr>
        <w:t xml:space="preserve"> with no medical use permitted in the United States). </w:t>
      </w:r>
      <w:r w:rsidR="008D4DFD">
        <w:rPr>
          <w:sz w:val="22"/>
          <w:szCs w:val="22"/>
        </w:rPr>
        <w:t xml:space="preserve"> </w:t>
      </w:r>
      <w:r w:rsidR="00413047">
        <w:rPr>
          <w:sz w:val="22"/>
          <w:szCs w:val="22"/>
        </w:rPr>
        <w:t xml:space="preserve">Unlike the </w:t>
      </w:r>
      <w:r w:rsidR="007648F3">
        <w:rPr>
          <w:sz w:val="22"/>
          <w:szCs w:val="22"/>
        </w:rPr>
        <w:t xml:space="preserve">positive </w:t>
      </w:r>
      <w:r w:rsidR="004B4010">
        <w:rPr>
          <w:sz w:val="22"/>
          <w:szCs w:val="22"/>
        </w:rPr>
        <w:t>test</w:t>
      </w:r>
      <w:r w:rsidR="007648F3">
        <w:rPr>
          <w:sz w:val="22"/>
          <w:szCs w:val="22"/>
        </w:rPr>
        <w:t xml:space="preserve"> </w:t>
      </w:r>
      <w:r w:rsidR="00413047">
        <w:rPr>
          <w:sz w:val="22"/>
          <w:szCs w:val="22"/>
        </w:rPr>
        <w:t>results for amphetamines and cocaine, these</w:t>
      </w:r>
      <w:r w:rsidR="00850B2E">
        <w:rPr>
          <w:sz w:val="22"/>
          <w:szCs w:val="22"/>
        </w:rPr>
        <w:t xml:space="preserve"> data </w:t>
      </w:r>
      <w:r w:rsidR="00476F69">
        <w:rPr>
          <w:sz w:val="22"/>
          <w:szCs w:val="22"/>
        </w:rPr>
        <w:t xml:space="preserve">do not permit analysis by DOT </w:t>
      </w:r>
      <w:r w:rsidR="00703470">
        <w:rPr>
          <w:sz w:val="22"/>
          <w:szCs w:val="22"/>
        </w:rPr>
        <w:t>modal administration</w:t>
      </w:r>
      <w:r w:rsidR="00413047">
        <w:rPr>
          <w:sz w:val="22"/>
          <w:szCs w:val="22"/>
        </w:rPr>
        <w:t>.  Therefore</w:t>
      </w:r>
      <w:r w:rsidR="00A72662">
        <w:rPr>
          <w:sz w:val="22"/>
          <w:szCs w:val="22"/>
        </w:rPr>
        <w:t>,</w:t>
      </w:r>
      <w:r w:rsidR="00413047">
        <w:rPr>
          <w:sz w:val="22"/>
          <w:szCs w:val="22"/>
        </w:rPr>
        <w:t xml:space="preserve"> </w:t>
      </w:r>
      <w:r w:rsidR="000E48F5">
        <w:rPr>
          <w:sz w:val="22"/>
          <w:szCs w:val="22"/>
        </w:rPr>
        <w:t xml:space="preserve">even though </w:t>
      </w:r>
      <w:r w:rsidR="00413047">
        <w:rPr>
          <w:sz w:val="22"/>
          <w:szCs w:val="22"/>
        </w:rPr>
        <w:t xml:space="preserve">these </w:t>
      </w:r>
      <w:r w:rsidR="008B39C3">
        <w:rPr>
          <w:sz w:val="22"/>
          <w:szCs w:val="22"/>
        </w:rPr>
        <w:t>positive rates</w:t>
      </w:r>
      <w:r w:rsidR="001807C5">
        <w:rPr>
          <w:sz w:val="22"/>
          <w:szCs w:val="22"/>
        </w:rPr>
        <w:t xml:space="preserve"> </w:t>
      </w:r>
      <w:r w:rsidR="000E48F5">
        <w:rPr>
          <w:sz w:val="22"/>
          <w:szCs w:val="22"/>
        </w:rPr>
        <w:t xml:space="preserve">are </w:t>
      </w:r>
      <w:r w:rsidR="001807C5">
        <w:rPr>
          <w:sz w:val="22"/>
          <w:szCs w:val="22"/>
        </w:rPr>
        <w:t>low,</w:t>
      </w:r>
      <w:r w:rsidR="008B39C3">
        <w:rPr>
          <w:sz w:val="22"/>
          <w:szCs w:val="22"/>
        </w:rPr>
        <w:t xml:space="preserve"> </w:t>
      </w:r>
      <w:r w:rsidR="000E48F5">
        <w:rPr>
          <w:sz w:val="22"/>
          <w:szCs w:val="22"/>
        </w:rPr>
        <w:t xml:space="preserve">they </w:t>
      </w:r>
      <w:r w:rsidR="00413047">
        <w:rPr>
          <w:sz w:val="22"/>
          <w:szCs w:val="22"/>
        </w:rPr>
        <w:t xml:space="preserve">may be higher than the analogous </w:t>
      </w:r>
      <w:r w:rsidR="00A72662">
        <w:rPr>
          <w:sz w:val="22"/>
          <w:szCs w:val="22"/>
        </w:rPr>
        <w:t xml:space="preserve">worker populations reflected in the </w:t>
      </w:r>
      <w:r w:rsidR="00413047">
        <w:rPr>
          <w:sz w:val="22"/>
          <w:szCs w:val="22"/>
        </w:rPr>
        <w:t xml:space="preserve">three </w:t>
      </w:r>
      <w:r w:rsidR="00C00442">
        <w:rPr>
          <w:sz w:val="22"/>
          <w:szCs w:val="22"/>
        </w:rPr>
        <w:t xml:space="preserve">DOT </w:t>
      </w:r>
      <w:r w:rsidR="008D20EB">
        <w:rPr>
          <w:sz w:val="22"/>
          <w:szCs w:val="22"/>
        </w:rPr>
        <w:t xml:space="preserve">modal </w:t>
      </w:r>
      <w:r w:rsidR="00EF2356">
        <w:rPr>
          <w:sz w:val="22"/>
          <w:szCs w:val="22"/>
        </w:rPr>
        <w:t>administrations</w:t>
      </w:r>
      <w:r w:rsidR="000A3E6D">
        <w:rPr>
          <w:sz w:val="22"/>
          <w:szCs w:val="22"/>
        </w:rPr>
        <w:t xml:space="preserve"> evaluated </w:t>
      </w:r>
      <w:r w:rsidR="00A72662">
        <w:rPr>
          <w:sz w:val="22"/>
          <w:szCs w:val="22"/>
        </w:rPr>
        <w:t>for amphetamine</w:t>
      </w:r>
      <w:r w:rsidR="00593A14">
        <w:rPr>
          <w:sz w:val="22"/>
          <w:szCs w:val="22"/>
        </w:rPr>
        <w:t>s</w:t>
      </w:r>
      <w:r w:rsidR="00A72662">
        <w:rPr>
          <w:sz w:val="22"/>
          <w:szCs w:val="22"/>
        </w:rPr>
        <w:t xml:space="preserve"> and cocaine. </w:t>
      </w:r>
      <w:r w:rsidR="005B1C1E">
        <w:rPr>
          <w:sz w:val="22"/>
          <w:szCs w:val="22"/>
        </w:rPr>
        <w:t xml:space="preserve"> </w:t>
      </w:r>
      <w:r w:rsidR="00D520BD">
        <w:rPr>
          <w:sz w:val="22"/>
          <w:szCs w:val="22"/>
        </w:rPr>
        <w:t xml:space="preserve">The </w:t>
      </w:r>
      <w:r w:rsidR="00B3126B">
        <w:rPr>
          <w:sz w:val="22"/>
          <w:szCs w:val="22"/>
        </w:rPr>
        <w:t xml:space="preserve">analysis uses the average annual </w:t>
      </w:r>
      <w:r w:rsidR="00D520BD">
        <w:rPr>
          <w:sz w:val="22"/>
          <w:szCs w:val="22"/>
        </w:rPr>
        <w:t>positive rate</w:t>
      </w:r>
      <w:r w:rsidR="0092317F">
        <w:rPr>
          <w:sz w:val="22"/>
          <w:szCs w:val="22"/>
        </w:rPr>
        <w:t>s</w:t>
      </w:r>
      <w:r w:rsidR="00D520BD">
        <w:rPr>
          <w:sz w:val="22"/>
          <w:szCs w:val="22"/>
        </w:rPr>
        <w:t xml:space="preserve"> </w:t>
      </w:r>
      <w:r w:rsidR="00B3126B">
        <w:rPr>
          <w:sz w:val="22"/>
          <w:szCs w:val="22"/>
        </w:rPr>
        <w:t xml:space="preserve">from </w:t>
      </w:r>
      <w:r w:rsidR="00D520BD">
        <w:rPr>
          <w:sz w:val="22"/>
          <w:szCs w:val="22"/>
        </w:rPr>
        <w:t xml:space="preserve">CY 2010 through </w:t>
      </w:r>
      <w:r w:rsidRPr="0034723F" w:rsidR="00D520BD">
        <w:rPr>
          <w:sz w:val="22"/>
          <w:szCs w:val="22"/>
        </w:rPr>
        <w:t>CY 201</w:t>
      </w:r>
      <w:r w:rsidRPr="0034723F" w:rsidR="0034723F">
        <w:rPr>
          <w:sz w:val="22"/>
          <w:szCs w:val="22"/>
        </w:rPr>
        <w:t>8</w:t>
      </w:r>
      <w:r w:rsidR="00D520BD">
        <w:rPr>
          <w:sz w:val="22"/>
          <w:szCs w:val="22"/>
        </w:rPr>
        <w:t>:</w:t>
      </w:r>
    </w:p>
    <w:p w:rsidR="00D520BD" w:rsidP="00D520BD" w:rsidRDefault="00D520BD" w14:paraId="53EFFB79" w14:textId="1CCD0281">
      <w:pPr>
        <w:pStyle w:val="ListParagraph"/>
        <w:tabs>
          <w:tab w:val="left" w:pos="721"/>
        </w:tabs>
        <w:rPr>
          <w:sz w:val="22"/>
          <w:szCs w:val="22"/>
        </w:rPr>
      </w:pPr>
    </w:p>
    <w:p w:rsidR="00A22DAE" w:rsidP="005C6BA3" w:rsidRDefault="00A22DAE" w14:paraId="335102CB" w14:textId="18391663">
      <w:pPr>
        <w:pStyle w:val="ListParagraph"/>
        <w:numPr>
          <w:ilvl w:val="1"/>
          <w:numId w:val="36"/>
        </w:numPr>
        <w:tabs>
          <w:tab w:val="left" w:pos="721"/>
        </w:tabs>
        <w:ind w:hanging="720"/>
        <w:rPr>
          <w:sz w:val="22"/>
          <w:szCs w:val="22"/>
        </w:rPr>
      </w:pPr>
      <w:r>
        <w:rPr>
          <w:sz w:val="22"/>
          <w:szCs w:val="22"/>
        </w:rPr>
        <w:t>6-AM = 0.016 percent</w:t>
      </w:r>
    </w:p>
    <w:p w:rsidRPr="00936A41" w:rsidR="00A22DAE" w:rsidP="005C6BA3" w:rsidRDefault="00A22DAE" w14:paraId="611C9560" w14:textId="44BA5C5F">
      <w:pPr>
        <w:pStyle w:val="ListParagraph"/>
        <w:numPr>
          <w:ilvl w:val="1"/>
          <w:numId w:val="36"/>
        </w:numPr>
        <w:tabs>
          <w:tab w:val="left" w:pos="721"/>
        </w:tabs>
        <w:ind w:hanging="720"/>
        <w:rPr>
          <w:sz w:val="22"/>
          <w:szCs w:val="22"/>
        </w:rPr>
      </w:pPr>
      <w:r>
        <w:rPr>
          <w:sz w:val="22"/>
          <w:szCs w:val="22"/>
        </w:rPr>
        <w:t>Ecstasy</w:t>
      </w:r>
      <w:r w:rsidR="00FF0421">
        <w:rPr>
          <w:sz w:val="22"/>
          <w:szCs w:val="22"/>
        </w:rPr>
        <w:t>-type</w:t>
      </w:r>
      <w:r>
        <w:rPr>
          <w:sz w:val="22"/>
          <w:szCs w:val="22"/>
        </w:rPr>
        <w:t xml:space="preserve"> drugs = 0.004 percent</w:t>
      </w:r>
    </w:p>
    <w:p w:rsidRPr="00A22DAE" w:rsidR="00D520BD" w:rsidP="00D520BD" w:rsidRDefault="00D520BD" w14:paraId="0C0B65EE" w14:textId="77777777">
      <w:pPr>
        <w:tabs>
          <w:tab w:val="left" w:pos="721"/>
        </w:tabs>
        <w:rPr>
          <w:sz w:val="22"/>
          <w:szCs w:val="22"/>
        </w:rPr>
      </w:pPr>
    </w:p>
    <w:p w:rsidR="00D520BD" w:rsidP="005C6BA3" w:rsidRDefault="00D520BD" w14:paraId="2C5209EB" w14:textId="3DD541B9">
      <w:pPr>
        <w:pStyle w:val="ListParagraph"/>
        <w:numPr>
          <w:ilvl w:val="0"/>
          <w:numId w:val="8"/>
        </w:numPr>
        <w:tabs>
          <w:tab w:val="left" w:pos="721"/>
        </w:tabs>
        <w:ind w:hanging="720"/>
        <w:rPr>
          <w:sz w:val="22"/>
          <w:szCs w:val="22"/>
        </w:rPr>
      </w:pPr>
      <w:r w:rsidRPr="00872B18">
        <w:rPr>
          <w:i/>
          <w:sz w:val="22"/>
          <w:szCs w:val="22"/>
        </w:rPr>
        <w:t>Specimen testing costs</w:t>
      </w:r>
      <w:r>
        <w:rPr>
          <w:sz w:val="22"/>
          <w:szCs w:val="22"/>
        </w:rPr>
        <w:t xml:space="preserve">:  </w:t>
      </w:r>
      <w:r w:rsidRPr="00A65CE5">
        <w:rPr>
          <w:sz w:val="22"/>
          <w:szCs w:val="22"/>
        </w:rPr>
        <w:t xml:space="preserve">The analysis </w:t>
      </w:r>
      <w:r>
        <w:rPr>
          <w:sz w:val="22"/>
          <w:szCs w:val="22"/>
        </w:rPr>
        <w:t xml:space="preserve">used </w:t>
      </w:r>
      <w:r w:rsidRPr="00A65CE5">
        <w:rPr>
          <w:sz w:val="22"/>
          <w:szCs w:val="22"/>
        </w:rPr>
        <w:t xml:space="preserve">input </w:t>
      </w:r>
      <w:r>
        <w:rPr>
          <w:sz w:val="22"/>
          <w:szCs w:val="22"/>
        </w:rPr>
        <w:t xml:space="preserve">from </w:t>
      </w:r>
      <w:r w:rsidRPr="00A65CE5">
        <w:rPr>
          <w:sz w:val="22"/>
          <w:szCs w:val="22"/>
        </w:rPr>
        <w:t xml:space="preserve">stakeholders </w:t>
      </w:r>
      <w:r>
        <w:rPr>
          <w:sz w:val="22"/>
          <w:szCs w:val="22"/>
        </w:rPr>
        <w:t xml:space="preserve">received during and after </w:t>
      </w:r>
      <w:r w:rsidRPr="00A65CE5">
        <w:rPr>
          <w:sz w:val="22"/>
          <w:szCs w:val="22"/>
        </w:rPr>
        <w:t>public meetings</w:t>
      </w:r>
      <w:r>
        <w:rPr>
          <w:sz w:val="22"/>
          <w:szCs w:val="22"/>
        </w:rPr>
        <w:t xml:space="preserve"> held </w:t>
      </w:r>
      <w:r w:rsidR="00C82438">
        <w:rPr>
          <w:sz w:val="22"/>
          <w:szCs w:val="22"/>
        </w:rPr>
        <w:t>during rulemaking activities</w:t>
      </w:r>
      <w:r w:rsidR="0043793E">
        <w:rPr>
          <w:sz w:val="22"/>
          <w:szCs w:val="22"/>
        </w:rPr>
        <w:t>,</w:t>
      </w:r>
      <w:r>
        <w:rPr>
          <w:sz w:val="22"/>
          <w:szCs w:val="22"/>
        </w:rPr>
        <w:t xml:space="preserve"> and the </w:t>
      </w:r>
      <w:r w:rsidR="00E2717A">
        <w:rPr>
          <w:sz w:val="22"/>
          <w:szCs w:val="22"/>
        </w:rPr>
        <w:t xml:space="preserve">estimated </w:t>
      </w:r>
      <w:r w:rsidR="00EE6CBD">
        <w:rPr>
          <w:sz w:val="22"/>
          <w:szCs w:val="22"/>
        </w:rPr>
        <w:t xml:space="preserve">specimen </w:t>
      </w:r>
      <w:r w:rsidR="00E2717A">
        <w:rPr>
          <w:sz w:val="22"/>
          <w:szCs w:val="22"/>
        </w:rPr>
        <w:t xml:space="preserve">testing costs published </w:t>
      </w:r>
      <w:r w:rsidR="00EE532B">
        <w:rPr>
          <w:sz w:val="22"/>
          <w:szCs w:val="22"/>
        </w:rPr>
        <w:t xml:space="preserve">in </w:t>
      </w:r>
      <w:r w:rsidRPr="006421B2" w:rsidR="00EE532B">
        <w:rPr>
          <w:i/>
          <w:iCs/>
          <w:sz w:val="22"/>
          <w:szCs w:val="22"/>
        </w:rPr>
        <w:t>Federal Register</w:t>
      </w:r>
      <w:r w:rsidR="00EE532B">
        <w:rPr>
          <w:sz w:val="22"/>
          <w:szCs w:val="22"/>
        </w:rPr>
        <w:t xml:space="preserve"> notices issued </w:t>
      </w:r>
      <w:r w:rsidR="00E2717A">
        <w:rPr>
          <w:sz w:val="22"/>
          <w:szCs w:val="22"/>
        </w:rPr>
        <w:t xml:space="preserve">by </w:t>
      </w:r>
      <w:r w:rsidR="00880318">
        <w:rPr>
          <w:sz w:val="22"/>
          <w:szCs w:val="22"/>
        </w:rPr>
        <w:t xml:space="preserve">the </w:t>
      </w:r>
      <w:r w:rsidR="00E2717A">
        <w:rPr>
          <w:sz w:val="22"/>
          <w:szCs w:val="22"/>
        </w:rPr>
        <w:t xml:space="preserve">HHS and </w:t>
      </w:r>
      <w:r w:rsidR="00861DB7">
        <w:rPr>
          <w:sz w:val="22"/>
          <w:szCs w:val="22"/>
        </w:rPr>
        <w:t xml:space="preserve">the </w:t>
      </w:r>
      <w:r w:rsidR="00E2717A">
        <w:rPr>
          <w:sz w:val="22"/>
          <w:szCs w:val="22"/>
        </w:rPr>
        <w:t xml:space="preserve">DOT when testing changes were implemented. </w:t>
      </w:r>
      <w:r w:rsidR="006421B2">
        <w:rPr>
          <w:sz w:val="22"/>
          <w:szCs w:val="22"/>
        </w:rPr>
        <w:t xml:space="preserve"> </w:t>
      </w:r>
      <w:r w:rsidR="00E2717A">
        <w:rPr>
          <w:sz w:val="22"/>
          <w:szCs w:val="22"/>
        </w:rPr>
        <w:t xml:space="preserve">These </w:t>
      </w:r>
      <w:r w:rsidR="00EE532B">
        <w:rPr>
          <w:sz w:val="22"/>
          <w:szCs w:val="22"/>
        </w:rPr>
        <w:t xml:space="preserve">data also were supplemented by </w:t>
      </w:r>
      <w:r>
        <w:rPr>
          <w:sz w:val="22"/>
          <w:szCs w:val="22"/>
        </w:rPr>
        <w:t xml:space="preserve">the </w:t>
      </w:r>
      <w:r w:rsidR="00BD216A">
        <w:rPr>
          <w:sz w:val="22"/>
          <w:szCs w:val="22"/>
        </w:rPr>
        <w:t xml:space="preserve">NRC staff’s </w:t>
      </w:r>
      <w:r>
        <w:rPr>
          <w:sz w:val="22"/>
          <w:szCs w:val="22"/>
        </w:rPr>
        <w:t>professional judgment</w:t>
      </w:r>
      <w:r w:rsidR="00646A79">
        <w:rPr>
          <w:sz w:val="22"/>
          <w:szCs w:val="22"/>
        </w:rPr>
        <w:t>,</w:t>
      </w:r>
      <w:r>
        <w:rPr>
          <w:sz w:val="22"/>
          <w:szCs w:val="22"/>
        </w:rPr>
        <w:t xml:space="preserve"> when necessary.  Appendix B lists the data sources for these inputs.</w:t>
      </w:r>
    </w:p>
    <w:p w:rsidR="00D520BD" w:rsidP="00D520BD" w:rsidRDefault="00D520BD" w14:paraId="62534786" w14:textId="4A2242C5">
      <w:pPr>
        <w:tabs>
          <w:tab w:val="left" w:pos="721"/>
        </w:tabs>
        <w:ind w:left="720" w:hanging="720"/>
        <w:rPr>
          <w:sz w:val="22"/>
          <w:szCs w:val="22"/>
        </w:rPr>
      </w:pPr>
    </w:p>
    <w:p w:rsidRPr="00646A79" w:rsidR="00D520BD" w:rsidP="00D609BF" w:rsidRDefault="00D520BD" w14:paraId="2FEBC0A3" w14:textId="3989C063">
      <w:pPr>
        <w:pStyle w:val="ListParagraph"/>
        <w:numPr>
          <w:ilvl w:val="0"/>
          <w:numId w:val="8"/>
        </w:numPr>
        <w:spacing w:after="240"/>
        <w:ind w:hanging="720"/>
        <w:contextualSpacing w:val="0"/>
        <w:rPr>
          <w:sz w:val="22"/>
          <w:szCs w:val="22"/>
        </w:rPr>
      </w:pPr>
      <w:r w:rsidRPr="00860CD3">
        <w:rPr>
          <w:rFonts w:cs="Arial"/>
          <w:i/>
          <w:sz w:val="22"/>
          <w:szCs w:val="22"/>
        </w:rPr>
        <w:t xml:space="preserve">Special analyses testing of specimens collected under direct observation </w:t>
      </w:r>
      <w:r w:rsidRPr="00344DCD">
        <w:rPr>
          <w:rFonts w:cs="Arial"/>
          <w:i/>
          <w:sz w:val="22"/>
          <w:szCs w:val="22"/>
        </w:rPr>
        <w:t>(suspect specimens)</w:t>
      </w:r>
      <w:r w:rsidRPr="00344DCD">
        <w:rPr>
          <w:rFonts w:cs="Arial"/>
          <w:sz w:val="22"/>
          <w:szCs w:val="22"/>
        </w:rPr>
        <w:t>:</w:t>
      </w:r>
      <w:r w:rsidRPr="00860CD3">
        <w:rPr>
          <w:rFonts w:cs="Arial"/>
          <w:i/>
          <w:sz w:val="22"/>
          <w:szCs w:val="22"/>
        </w:rPr>
        <w:t xml:space="preserve"> </w:t>
      </w:r>
      <w:r>
        <w:rPr>
          <w:rFonts w:cs="Arial"/>
          <w:sz w:val="22"/>
          <w:szCs w:val="22"/>
        </w:rPr>
        <w:t xml:space="preserve"> E-reported </w:t>
      </w:r>
      <w:r w:rsidRPr="00A55C89">
        <w:rPr>
          <w:rFonts w:cs="Arial"/>
          <w:sz w:val="22"/>
          <w:szCs w:val="22"/>
        </w:rPr>
        <w:t xml:space="preserve">FFD program performance </w:t>
      </w:r>
      <w:r>
        <w:rPr>
          <w:rFonts w:cs="Arial"/>
          <w:sz w:val="22"/>
          <w:szCs w:val="22"/>
        </w:rPr>
        <w:t xml:space="preserve">data provide detailed information on each subversion attempt.  </w:t>
      </w:r>
      <w:r w:rsidRPr="00E3079A" w:rsidR="00FE7232">
        <w:rPr>
          <w:rFonts w:cs="Arial"/>
          <w:sz w:val="22"/>
          <w:szCs w:val="22"/>
        </w:rPr>
        <w:fldChar w:fldCharType="begin"/>
      </w:r>
      <w:r w:rsidRPr="00E3079A" w:rsidR="00FE7232">
        <w:rPr>
          <w:rFonts w:cs="Arial"/>
          <w:sz w:val="22"/>
          <w:szCs w:val="22"/>
        </w:rPr>
        <w:instrText xml:space="preserve"> REF _Ref72781801 \h </w:instrText>
      </w:r>
      <w:r w:rsidRPr="00E3079A" w:rsidR="00E3079A">
        <w:rPr>
          <w:rFonts w:cs="Arial"/>
          <w:sz w:val="22"/>
          <w:szCs w:val="22"/>
        </w:rPr>
        <w:instrText xml:space="preserve"> \* MERGEFORMAT </w:instrText>
      </w:r>
      <w:r w:rsidRPr="00E3079A" w:rsidR="00FE7232">
        <w:rPr>
          <w:rFonts w:cs="Arial"/>
          <w:sz w:val="22"/>
          <w:szCs w:val="22"/>
        </w:rPr>
      </w:r>
      <w:r w:rsidRPr="00E3079A" w:rsidR="00FE7232">
        <w:rPr>
          <w:rFonts w:cs="Arial"/>
          <w:sz w:val="22"/>
          <w:szCs w:val="22"/>
        </w:rPr>
        <w:fldChar w:fldCharType="separate"/>
      </w:r>
      <w:r w:rsidRPr="006155B8" w:rsidR="00A6777F">
        <w:rPr>
          <w:sz w:val="22"/>
          <w:szCs w:val="22"/>
        </w:rPr>
        <w:t>Table 4-3</w:t>
      </w:r>
      <w:r w:rsidRPr="00E3079A" w:rsidR="00FE7232">
        <w:rPr>
          <w:rFonts w:cs="Arial"/>
          <w:sz w:val="22"/>
          <w:szCs w:val="22"/>
        </w:rPr>
        <w:fldChar w:fldCharType="end"/>
      </w:r>
      <w:r>
        <w:rPr>
          <w:rFonts w:cs="Arial"/>
          <w:sz w:val="22"/>
          <w:szCs w:val="22"/>
        </w:rPr>
        <w:t xml:space="preserve"> presents information on the total number of subversion attempts confirmed in CY 2011 through </w:t>
      </w:r>
      <w:r>
        <w:rPr>
          <w:sz w:val="22"/>
          <w:szCs w:val="22"/>
        </w:rPr>
        <w:t>CY </w:t>
      </w:r>
      <w:r>
        <w:rPr>
          <w:rFonts w:cs="Arial"/>
          <w:sz w:val="22"/>
          <w:szCs w:val="22"/>
        </w:rPr>
        <w:t>201</w:t>
      </w:r>
      <w:r w:rsidR="003640D3">
        <w:rPr>
          <w:rFonts w:cs="Arial"/>
          <w:sz w:val="22"/>
          <w:szCs w:val="22"/>
        </w:rPr>
        <w:t>9</w:t>
      </w:r>
      <w:r w:rsidR="00646A79">
        <w:rPr>
          <w:rFonts w:cs="Arial"/>
          <w:sz w:val="22"/>
          <w:szCs w:val="22"/>
        </w:rPr>
        <w:t>,</w:t>
      </w:r>
      <w:r>
        <w:rPr>
          <w:rFonts w:cs="Arial"/>
          <w:sz w:val="22"/>
          <w:szCs w:val="22"/>
        </w:rPr>
        <w:t xml:space="preserve"> the number of subversion attempts confirmed through the testing of specimens collected under direct observation</w:t>
      </w:r>
      <w:r w:rsidR="00646A79">
        <w:rPr>
          <w:rFonts w:cs="Arial"/>
          <w:sz w:val="22"/>
          <w:szCs w:val="22"/>
        </w:rPr>
        <w:t>,</w:t>
      </w:r>
      <w:r>
        <w:rPr>
          <w:rFonts w:cs="Arial"/>
          <w:sz w:val="22"/>
          <w:szCs w:val="22"/>
        </w:rPr>
        <w:t xml:space="preserve"> the percentage of subversion attempts determined through the testing of specimens collected under direct observation</w:t>
      </w:r>
      <w:r w:rsidR="00646A79">
        <w:rPr>
          <w:rFonts w:cs="Arial"/>
          <w:sz w:val="22"/>
          <w:szCs w:val="22"/>
        </w:rPr>
        <w:t>,</w:t>
      </w:r>
      <w:r>
        <w:rPr>
          <w:rFonts w:cs="Arial"/>
          <w:sz w:val="22"/>
          <w:szCs w:val="22"/>
        </w:rPr>
        <w:t xml:space="preserve"> and the percentage of all specimens collected each year that are suspect specimens collected under direct observation and that test positive</w:t>
      </w:r>
      <w:r w:rsidRPr="00A55C89">
        <w:rPr>
          <w:rFonts w:cs="Arial"/>
          <w:sz w:val="22"/>
          <w:szCs w:val="22"/>
        </w:rPr>
        <w:t>.</w:t>
      </w:r>
    </w:p>
    <w:p w:rsidRPr="002310BA" w:rsidR="002310BA" w:rsidP="002310BA" w:rsidRDefault="002310BA" w14:paraId="65E9714A" w14:textId="47372BB4">
      <w:pPr>
        <w:pStyle w:val="Caption"/>
        <w:jc w:val="center"/>
        <w:rPr>
          <w:b/>
          <w:bCs w:val="0"/>
        </w:rPr>
      </w:pPr>
      <w:bookmarkStart w:name="_Ref72781801" w:id="108"/>
      <w:bookmarkStart w:name="_Toc72490562" w:id="109"/>
      <w:bookmarkStart w:name="_Toc105681559" w:id="110"/>
      <w:r w:rsidRPr="002310BA">
        <w:rPr>
          <w:b/>
          <w:bCs w:val="0"/>
        </w:rPr>
        <w:lastRenderedPageBreak/>
        <w:t>Table 4-</w:t>
      </w:r>
      <w:r w:rsidRPr="002310BA">
        <w:rPr>
          <w:b/>
          <w:bCs w:val="0"/>
        </w:rPr>
        <w:fldChar w:fldCharType="begin"/>
      </w:r>
      <w:r w:rsidRPr="002310BA">
        <w:rPr>
          <w:b/>
          <w:bCs w:val="0"/>
        </w:rPr>
        <w:instrText xml:space="preserve"> SEQ Table \* ARABIC </w:instrText>
      </w:r>
      <w:r w:rsidRPr="002310BA">
        <w:rPr>
          <w:b/>
          <w:bCs w:val="0"/>
        </w:rPr>
        <w:fldChar w:fldCharType="separate"/>
      </w:r>
      <w:r w:rsidR="00A6777F">
        <w:rPr>
          <w:b/>
          <w:bCs w:val="0"/>
          <w:noProof/>
        </w:rPr>
        <w:t>3</w:t>
      </w:r>
      <w:r w:rsidRPr="002310BA">
        <w:rPr>
          <w:b/>
          <w:bCs w:val="0"/>
        </w:rPr>
        <w:fldChar w:fldCharType="end"/>
      </w:r>
      <w:bookmarkEnd w:id="108"/>
      <w:r w:rsidRPr="002310BA">
        <w:rPr>
          <w:b/>
          <w:bCs w:val="0"/>
        </w:rPr>
        <w:t xml:space="preserve">  Suspect Specimens Collected Under Direct Observation</w:t>
      </w:r>
      <w:bookmarkEnd w:id="109"/>
      <w:bookmarkEnd w:id="110"/>
    </w:p>
    <w:tbl>
      <w:tblPr>
        <w:tblStyle w:val="TableGrid"/>
        <w:tblW w:w="5000" w:type="pct"/>
        <w:tblLook w:val="04A0" w:firstRow="1" w:lastRow="0" w:firstColumn="1" w:lastColumn="0" w:noHBand="0" w:noVBand="1"/>
      </w:tblPr>
      <w:tblGrid>
        <w:gridCol w:w="886"/>
        <w:gridCol w:w="1268"/>
        <w:gridCol w:w="2162"/>
        <w:gridCol w:w="2339"/>
        <w:gridCol w:w="2695"/>
      </w:tblGrid>
      <w:tr w:rsidR="00D520BD" w:rsidTr="002513D0" w14:paraId="6509000E" w14:textId="77777777">
        <w:trPr>
          <w:tblHeader/>
        </w:trPr>
        <w:tc>
          <w:tcPr>
            <w:tcW w:w="474" w:type="pct"/>
            <w:vAlign w:val="center"/>
          </w:tcPr>
          <w:p w:rsidRPr="00C96FE1" w:rsidR="00D520BD" w:rsidP="002310BA" w:rsidRDefault="00D520BD" w14:paraId="4CA88676" w14:textId="77777777">
            <w:pPr>
              <w:jc w:val="center"/>
              <w:rPr>
                <w:rFonts w:cs="Arial"/>
                <w:bCs/>
              </w:rPr>
            </w:pPr>
            <w:r w:rsidRPr="00C96FE1">
              <w:rPr>
                <w:rFonts w:cs="Arial"/>
                <w:bCs/>
              </w:rPr>
              <w:t>Year</w:t>
            </w:r>
          </w:p>
        </w:tc>
        <w:tc>
          <w:tcPr>
            <w:tcW w:w="678" w:type="pct"/>
            <w:vAlign w:val="center"/>
          </w:tcPr>
          <w:p w:rsidRPr="00C96FE1" w:rsidR="00D520BD" w:rsidP="002310BA" w:rsidRDefault="00D520BD" w14:paraId="783B4A56" w14:textId="77777777">
            <w:pPr>
              <w:jc w:val="center"/>
              <w:rPr>
                <w:rFonts w:cs="Arial"/>
                <w:bCs/>
              </w:rPr>
            </w:pPr>
            <w:r>
              <w:rPr>
                <w:rFonts w:cs="Arial"/>
                <w:bCs/>
              </w:rPr>
              <w:t xml:space="preserve">Total </w:t>
            </w:r>
            <w:r w:rsidRPr="00C96FE1">
              <w:rPr>
                <w:rFonts w:cs="Arial"/>
                <w:bCs/>
              </w:rPr>
              <w:t>Number of Subversion Attempts</w:t>
            </w:r>
            <w:r>
              <w:rPr>
                <w:rFonts w:cs="Arial"/>
                <w:bCs/>
              </w:rPr>
              <w:t xml:space="preserve"> </w:t>
            </w:r>
          </w:p>
        </w:tc>
        <w:tc>
          <w:tcPr>
            <w:tcW w:w="1156" w:type="pct"/>
            <w:vAlign w:val="center"/>
          </w:tcPr>
          <w:p w:rsidRPr="00C96FE1" w:rsidR="00D520BD" w:rsidP="006F21ED" w:rsidRDefault="00D520BD" w14:paraId="29D18158" w14:textId="7C8EC126">
            <w:pPr>
              <w:jc w:val="center"/>
              <w:rPr>
                <w:rFonts w:cs="Arial"/>
                <w:bCs/>
              </w:rPr>
            </w:pPr>
            <w:r>
              <w:rPr>
                <w:rFonts w:cs="Arial"/>
                <w:bCs/>
              </w:rPr>
              <w:t xml:space="preserve">Number of Subversion Attempts Confirmed by Testing of Specimens Collected under Direct Observation </w:t>
            </w:r>
          </w:p>
        </w:tc>
        <w:tc>
          <w:tcPr>
            <w:tcW w:w="1251" w:type="pct"/>
            <w:vAlign w:val="center"/>
          </w:tcPr>
          <w:p w:rsidRPr="00C96FE1" w:rsidR="00D520BD" w:rsidP="002310BA" w:rsidRDefault="00D520BD" w14:paraId="655BCA42" w14:textId="77777777">
            <w:pPr>
              <w:jc w:val="center"/>
              <w:rPr>
                <w:rFonts w:cs="Arial"/>
                <w:bCs/>
              </w:rPr>
            </w:pPr>
            <w:r>
              <w:rPr>
                <w:rFonts w:cs="Arial"/>
                <w:bCs/>
              </w:rPr>
              <w:t>Percentage of Subversion Attempts Confirmed Through the Testing of Specimens Collected under Direct Observation</w:t>
            </w:r>
          </w:p>
        </w:tc>
        <w:tc>
          <w:tcPr>
            <w:tcW w:w="1441" w:type="pct"/>
            <w:vAlign w:val="center"/>
          </w:tcPr>
          <w:p w:rsidRPr="009D07D0" w:rsidR="00D520BD" w:rsidP="002310BA" w:rsidRDefault="00D520BD" w14:paraId="0D6B3626" w14:textId="394720B0">
            <w:pPr>
              <w:jc w:val="center"/>
              <w:rPr>
                <w:rFonts w:cs="Arial"/>
                <w:bCs/>
              </w:rPr>
            </w:pPr>
            <w:r>
              <w:rPr>
                <w:rFonts w:cs="Arial"/>
                <w:bCs/>
              </w:rPr>
              <w:t xml:space="preserve">Percentage of Total Specimens Collected Each Year that </w:t>
            </w:r>
            <w:r w:rsidR="00C0679D">
              <w:rPr>
                <w:rFonts w:cs="Arial"/>
                <w:bCs/>
              </w:rPr>
              <w:t>A</w:t>
            </w:r>
            <w:r>
              <w:rPr>
                <w:rFonts w:cs="Arial"/>
                <w:bCs/>
              </w:rPr>
              <w:t xml:space="preserve">re </w:t>
            </w:r>
            <w:r w:rsidRPr="00C96FE1">
              <w:rPr>
                <w:rFonts w:cs="Arial"/>
                <w:bCs/>
              </w:rPr>
              <w:t>Suspect</w:t>
            </w:r>
            <w:r>
              <w:rPr>
                <w:rFonts w:cs="Arial"/>
                <w:bCs/>
              </w:rPr>
              <w:t xml:space="preserve"> Specimens Collected under Direct Observation and Test Positive</w:t>
            </w:r>
          </w:p>
        </w:tc>
      </w:tr>
      <w:tr w:rsidR="00D520BD" w:rsidTr="002513D0" w14:paraId="444A93B6" w14:textId="77777777">
        <w:tc>
          <w:tcPr>
            <w:tcW w:w="474" w:type="pct"/>
          </w:tcPr>
          <w:p w:rsidRPr="00C96FE1" w:rsidR="00D520BD" w:rsidP="002310BA" w:rsidRDefault="00D520BD" w14:paraId="25541864" w14:textId="77777777">
            <w:pPr>
              <w:jc w:val="center"/>
              <w:rPr>
                <w:rFonts w:cs="Arial"/>
                <w:bCs/>
              </w:rPr>
            </w:pPr>
            <w:r w:rsidRPr="00C96FE1">
              <w:rPr>
                <w:rFonts w:cs="Arial"/>
                <w:bCs/>
              </w:rPr>
              <w:t>2011</w:t>
            </w:r>
          </w:p>
        </w:tc>
        <w:tc>
          <w:tcPr>
            <w:tcW w:w="678" w:type="pct"/>
          </w:tcPr>
          <w:p w:rsidRPr="00C96FE1" w:rsidR="00D520BD" w:rsidP="002310BA" w:rsidRDefault="00D520BD" w14:paraId="26387F1C" w14:textId="22683570">
            <w:pPr>
              <w:jc w:val="center"/>
              <w:rPr>
                <w:rFonts w:cs="Arial"/>
                <w:bCs/>
              </w:rPr>
            </w:pPr>
            <w:r>
              <w:rPr>
                <w:rFonts w:cs="Arial"/>
                <w:bCs/>
              </w:rPr>
              <w:t>12</w:t>
            </w:r>
            <w:r w:rsidR="00AA6C13">
              <w:rPr>
                <w:rFonts w:cs="Arial"/>
                <w:bCs/>
              </w:rPr>
              <w:t>8</w:t>
            </w:r>
          </w:p>
        </w:tc>
        <w:tc>
          <w:tcPr>
            <w:tcW w:w="1156" w:type="pct"/>
          </w:tcPr>
          <w:p w:rsidRPr="00C96FE1" w:rsidR="00D520BD" w:rsidP="002310BA" w:rsidRDefault="00D520BD" w14:paraId="60711349" w14:textId="77777777">
            <w:pPr>
              <w:jc w:val="center"/>
              <w:rPr>
                <w:rFonts w:cs="Arial"/>
                <w:bCs/>
              </w:rPr>
            </w:pPr>
            <w:r>
              <w:rPr>
                <w:rFonts w:cs="Arial"/>
                <w:bCs/>
              </w:rPr>
              <w:t>42</w:t>
            </w:r>
          </w:p>
        </w:tc>
        <w:tc>
          <w:tcPr>
            <w:tcW w:w="1251" w:type="pct"/>
          </w:tcPr>
          <w:p w:rsidRPr="00C96FE1" w:rsidR="00D520BD" w:rsidP="002310BA" w:rsidRDefault="00D520BD" w14:paraId="6CFDC79C" w14:textId="3467986D">
            <w:pPr>
              <w:jc w:val="center"/>
              <w:rPr>
                <w:rFonts w:cs="Arial"/>
                <w:bCs/>
              </w:rPr>
            </w:pPr>
            <w:r>
              <w:rPr>
                <w:rFonts w:cs="Arial"/>
                <w:bCs/>
              </w:rPr>
              <w:t>3</w:t>
            </w:r>
            <w:r w:rsidR="00AA6C13">
              <w:rPr>
                <w:rFonts w:cs="Arial"/>
                <w:bCs/>
              </w:rPr>
              <w:t>2.8</w:t>
            </w:r>
            <w:r>
              <w:rPr>
                <w:rFonts w:cs="Arial"/>
                <w:bCs/>
              </w:rPr>
              <w:t>%</w:t>
            </w:r>
          </w:p>
        </w:tc>
        <w:tc>
          <w:tcPr>
            <w:tcW w:w="1441" w:type="pct"/>
          </w:tcPr>
          <w:p w:rsidRPr="00C96FE1" w:rsidR="00D520BD" w:rsidP="002310BA" w:rsidRDefault="00D520BD" w14:paraId="5EDFA1AF" w14:textId="77777777">
            <w:pPr>
              <w:jc w:val="center"/>
              <w:rPr>
                <w:rFonts w:cs="Arial"/>
                <w:bCs/>
              </w:rPr>
            </w:pPr>
            <w:r>
              <w:rPr>
                <w:rFonts w:cs="Arial"/>
                <w:bCs/>
              </w:rPr>
              <w:t>0.030%</w:t>
            </w:r>
          </w:p>
        </w:tc>
      </w:tr>
      <w:tr w:rsidR="00D520BD" w:rsidTr="002513D0" w14:paraId="16609999" w14:textId="77777777">
        <w:tc>
          <w:tcPr>
            <w:tcW w:w="474" w:type="pct"/>
          </w:tcPr>
          <w:p w:rsidRPr="00C96FE1" w:rsidR="00D520BD" w:rsidP="002310BA" w:rsidRDefault="00D520BD" w14:paraId="7C117E7C" w14:textId="77777777">
            <w:pPr>
              <w:jc w:val="center"/>
              <w:rPr>
                <w:rFonts w:cs="Arial"/>
                <w:bCs/>
              </w:rPr>
            </w:pPr>
            <w:r w:rsidRPr="00C96FE1">
              <w:rPr>
                <w:rFonts w:cs="Arial"/>
                <w:bCs/>
              </w:rPr>
              <w:t>2012</w:t>
            </w:r>
          </w:p>
        </w:tc>
        <w:tc>
          <w:tcPr>
            <w:tcW w:w="678" w:type="pct"/>
          </w:tcPr>
          <w:p w:rsidRPr="00C96FE1" w:rsidR="00D520BD" w:rsidP="002310BA" w:rsidRDefault="00D520BD" w14:paraId="462E654A" w14:textId="5231A601">
            <w:pPr>
              <w:jc w:val="center"/>
              <w:rPr>
                <w:rFonts w:cs="Arial"/>
                <w:bCs/>
              </w:rPr>
            </w:pPr>
            <w:r>
              <w:rPr>
                <w:rFonts w:cs="Arial"/>
                <w:bCs/>
              </w:rPr>
              <w:t>15</w:t>
            </w:r>
            <w:r w:rsidR="00AA6C13">
              <w:rPr>
                <w:rFonts w:cs="Arial"/>
                <w:bCs/>
              </w:rPr>
              <w:t>9</w:t>
            </w:r>
          </w:p>
        </w:tc>
        <w:tc>
          <w:tcPr>
            <w:tcW w:w="1156" w:type="pct"/>
          </w:tcPr>
          <w:p w:rsidRPr="00C96FE1" w:rsidR="00D520BD" w:rsidP="002310BA" w:rsidRDefault="00D520BD" w14:paraId="7CF0A6AA" w14:textId="6A5C2FC6">
            <w:pPr>
              <w:jc w:val="center"/>
              <w:rPr>
                <w:rFonts w:cs="Arial"/>
                <w:bCs/>
              </w:rPr>
            </w:pPr>
            <w:r>
              <w:rPr>
                <w:rFonts w:cs="Arial"/>
                <w:bCs/>
              </w:rPr>
              <w:t>5</w:t>
            </w:r>
            <w:r w:rsidR="00AA6C13">
              <w:rPr>
                <w:rFonts w:cs="Arial"/>
                <w:bCs/>
              </w:rPr>
              <w:t>6</w:t>
            </w:r>
          </w:p>
        </w:tc>
        <w:tc>
          <w:tcPr>
            <w:tcW w:w="1251" w:type="pct"/>
          </w:tcPr>
          <w:p w:rsidRPr="00C96FE1" w:rsidR="00D520BD" w:rsidP="002310BA" w:rsidRDefault="00D520BD" w14:paraId="3736BF58" w14:textId="1F661215">
            <w:pPr>
              <w:jc w:val="center"/>
              <w:rPr>
                <w:rFonts w:cs="Arial"/>
                <w:bCs/>
              </w:rPr>
            </w:pPr>
            <w:r>
              <w:rPr>
                <w:rFonts w:cs="Arial"/>
                <w:bCs/>
              </w:rPr>
              <w:t>3</w:t>
            </w:r>
            <w:r w:rsidR="00AA6C13">
              <w:rPr>
                <w:rFonts w:cs="Arial"/>
                <w:bCs/>
              </w:rPr>
              <w:t>5.2</w:t>
            </w:r>
            <w:r>
              <w:rPr>
                <w:rFonts w:cs="Arial"/>
                <w:bCs/>
              </w:rPr>
              <w:t>%</w:t>
            </w:r>
          </w:p>
        </w:tc>
        <w:tc>
          <w:tcPr>
            <w:tcW w:w="1441" w:type="pct"/>
          </w:tcPr>
          <w:p w:rsidRPr="00C96FE1" w:rsidR="00D520BD" w:rsidP="002310BA" w:rsidRDefault="00D520BD" w14:paraId="4A5768E9" w14:textId="3CBE5A3A">
            <w:pPr>
              <w:jc w:val="center"/>
              <w:rPr>
                <w:rFonts w:cs="Arial"/>
                <w:bCs/>
              </w:rPr>
            </w:pPr>
            <w:r>
              <w:rPr>
                <w:rFonts w:cs="Arial"/>
                <w:bCs/>
              </w:rPr>
              <w:t>0.03</w:t>
            </w:r>
            <w:r w:rsidR="00AA6C13">
              <w:rPr>
                <w:rFonts w:cs="Arial"/>
                <w:bCs/>
              </w:rPr>
              <w:t>6</w:t>
            </w:r>
            <w:r>
              <w:rPr>
                <w:rFonts w:cs="Arial"/>
                <w:bCs/>
              </w:rPr>
              <w:t>%</w:t>
            </w:r>
          </w:p>
        </w:tc>
      </w:tr>
      <w:tr w:rsidR="00D520BD" w:rsidTr="002513D0" w14:paraId="3D00DB63" w14:textId="77777777">
        <w:tc>
          <w:tcPr>
            <w:tcW w:w="474" w:type="pct"/>
          </w:tcPr>
          <w:p w:rsidRPr="00C96FE1" w:rsidR="00D520BD" w:rsidP="002310BA" w:rsidRDefault="00D520BD" w14:paraId="12F14C17" w14:textId="77777777">
            <w:pPr>
              <w:jc w:val="center"/>
              <w:rPr>
                <w:rFonts w:cs="Arial"/>
                <w:bCs/>
              </w:rPr>
            </w:pPr>
            <w:r w:rsidRPr="00C96FE1">
              <w:rPr>
                <w:rFonts w:cs="Arial"/>
                <w:bCs/>
              </w:rPr>
              <w:t>2013</w:t>
            </w:r>
          </w:p>
        </w:tc>
        <w:tc>
          <w:tcPr>
            <w:tcW w:w="678" w:type="pct"/>
          </w:tcPr>
          <w:p w:rsidRPr="00C96FE1" w:rsidR="00D520BD" w:rsidP="002310BA" w:rsidRDefault="00D520BD" w14:paraId="4E00C919" w14:textId="77777777">
            <w:pPr>
              <w:jc w:val="center"/>
              <w:rPr>
                <w:rFonts w:cs="Arial"/>
                <w:bCs/>
              </w:rPr>
            </w:pPr>
            <w:r>
              <w:rPr>
                <w:rFonts w:cs="Arial"/>
                <w:bCs/>
              </w:rPr>
              <w:t>145</w:t>
            </w:r>
          </w:p>
        </w:tc>
        <w:tc>
          <w:tcPr>
            <w:tcW w:w="1156" w:type="pct"/>
          </w:tcPr>
          <w:p w:rsidRPr="00C96FE1" w:rsidR="00D520BD" w:rsidP="002310BA" w:rsidRDefault="00D520BD" w14:paraId="0F2FAD82" w14:textId="77777777">
            <w:pPr>
              <w:jc w:val="center"/>
              <w:rPr>
                <w:rFonts w:cs="Arial"/>
                <w:bCs/>
              </w:rPr>
            </w:pPr>
            <w:r>
              <w:rPr>
                <w:rFonts w:cs="Arial"/>
                <w:bCs/>
              </w:rPr>
              <w:t>44</w:t>
            </w:r>
          </w:p>
        </w:tc>
        <w:tc>
          <w:tcPr>
            <w:tcW w:w="1251" w:type="pct"/>
          </w:tcPr>
          <w:p w:rsidRPr="00C96FE1" w:rsidR="00D520BD" w:rsidP="002310BA" w:rsidRDefault="00D520BD" w14:paraId="33201D82" w14:textId="77777777">
            <w:pPr>
              <w:jc w:val="center"/>
              <w:rPr>
                <w:rFonts w:cs="Arial"/>
                <w:bCs/>
              </w:rPr>
            </w:pPr>
            <w:r>
              <w:rPr>
                <w:rFonts w:cs="Arial"/>
                <w:bCs/>
              </w:rPr>
              <w:t>30.3%</w:t>
            </w:r>
          </w:p>
        </w:tc>
        <w:tc>
          <w:tcPr>
            <w:tcW w:w="1441" w:type="pct"/>
          </w:tcPr>
          <w:p w:rsidRPr="00C96FE1" w:rsidR="00D520BD" w:rsidP="002310BA" w:rsidRDefault="00D520BD" w14:paraId="7218D06D" w14:textId="77777777">
            <w:pPr>
              <w:jc w:val="center"/>
              <w:rPr>
                <w:rFonts w:cs="Arial"/>
                <w:bCs/>
              </w:rPr>
            </w:pPr>
            <w:r>
              <w:rPr>
                <w:rFonts w:cs="Arial"/>
                <w:bCs/>
              </w:rPr>
              <w:t>0.029%</w:t>
            </w:r>
          </w:p>
        </w:tc>
      </w:tr>
      <w:tr w:rsidR="00D520BD" w:rsidTr="002513D0" w14:paraId="3525FD8F" w14:textId="77777777">
        <w:tc>
          <w:tcPr>
            <w:tcW w:w="474" w:type="pct"/>
          </w:tcPr>
          <w:p w:rsidRPr="00C96FE1" w:rsidR="00D520BD" w:rsidP="002310BA" w:rsidRDefault="00D520BD" w14:paraId="64ED2D1E" w14:textId="77777777">
            <w:pPr>
              <w:jc w:val="center"/>
              <w:rPr>
                <w:rFonts w:cs="Arial"/>
                <w:bCs/>
              </w:rPr>
            </w:pPr>
            <w:r>
              <w:rPr>
                <w:rFonts w:cs="Arial"/>
                <w:bCs/>
              </w:rPr>
              <w:t>2014</w:t>
            </w:r>
          </w:p>
        </w:tc>
        <w:tc>
          <w:tcPr>
            <w:tcW w:w="678" w:type="pct"/>
            <w:tcBorders>
              <w:bottom w:val="single" w:color="auto" w:sz="4" w:space="0"/>
            </w:tcBorders>
          </w:tcPr>
          <w:p w:rsidRPr="00C96FE1" w:rsidR="00D520BD" w:rsidP="002310BA" w:rsidRDefault="00D520BD" w14:paraId="79E8D507" w14:textId="77777777">
            <w:pPr>
              <w:jc w:val="center"/>
              <w:rPr>
                <w:rFonts w:cs="Arial"/>
                <w:bCs/>
              </w:rPr>
            </w:pPr>
            <w:r>
              <w:rPr>
                <w:rFonts w:cs="Arial"/>
                <w:bCs/>
              </w:rPr>
              <w:t>187</w:t>
            </w:r>
          </w:p>
        </w:tc>
        <w:tc>
          <w:tcPr>
            <w:tcW w:w="1156" w:type="pct"/>
            <w:tcBorders>
              <w:bottom w:val="single" w:color="auto" w:sz="4" w:space="0"/>
            </w:tcBorders>
          </w:tcPr>
          <w:p w:rsidRPr="00C96FE1" w:rsidR="00D520BD" w:rsidP="002310BA" w:rsidRDefault="00D520BD" w14:paraId="7441546B" w14:textId="77777777">
            <w:pPr>
              <w:jc w:val="center"/>
              <w:rPr>
                <w:rFonts w:cs="Arial"/>
                <w:bCs/>
              </w:rPr>
            </w:pPr>
            <w:r>
              <w:rPr>
                <w:rFonts w:cs="Arial"/>
                <w:bCs/>
              </w:rPr>
              <w:t>63</w:t>
            </w:r>
          </w:p>
        </w:tc>
        <w:tc>
          <w:tcPr>
            <w:tcW w:w="1251" w:type="pct"/>
            <w:tcBorders>
              <w:bottom w:val="single" w:color="auto" w:sz="4" w:space="0"/>
            </w:tcBorders>
          </w:tcPr>
          <w:p w:rsidRPr="00C96FE1" w:rsidR="00D520BD" w:rsidP="002310BA" w:rsidRDefault="00D520BD" w14:paraId="095075D9" w14:textId="77777777">
            <w:pPr>
              <w:jc w:val="center"/>
              <w:rPr>
                <w:rFonts w:cs="Arial"/>
                <w:bCs/>
              </w:rPr>
            </w:pPr>
            <w:r>
              <w:rPr>
                <w:rFonts w:cs="Arial"/>
                <w:bCs/>
              </w:rPr>
              <w:t>33.7%</w:t>
            </w:r>
          </w:p>
        </w:tc>
        <w:tc>
          <w:tcPr>
            <w:tcW w:w="1441" w:type="pct"/>
            <w:tcBorders>
              <w:bottom w:val="single" w:color="auto" w:sz="4" w:space="0"/>
            </w:tcBorders>
          </w:tcPr>
          <w:p w:rsidRPr="00C96FE1" w:rsidR="00D520BD" w:rsidP="002310BA" w:rsidRDefault="00D520BD" w14:paraId="6EC5CBBD" w14:textId="77777777">
            <w:pPr>
              <w:jc w:val="center"/>
              <w:rPr>
                <w:rFonts w:cs="Arial"/>
                <w:bCs/>
              </w:rPr>
            </w:pPr>
            <w:r>
              <w:rPr>
                <w:rFonts w:cs="Arial"/>
                <w:bCs/>
              </w:rPr>
              <w:t>0.038%</w:t>
            </w:r>
          </w:p>
        </w:tc>
      </w:tr>
      <w:tr w:rsidRPr="00347671" w:rsidR="003640D3" w:rsidTr="002513D0" w14:paraId="611AFEBC" w14:textId="77777777">
        <w:trPr>
          <w:trHeight w:val="233"/>
        </w:trPr>
        <w:tc>
          <w:tcPr>
            <w:tcW w:w="474" w:type="pct"/>
          </w:tcPr>
          <w:p w:rsidRPr="00347671" w:rsidR="003640D3" w:rsidP="002310BA" w:rsidRDefault="003640D3" w14:paraId="7AF79EF0" w14:textId="058CE68A">
            <w:pPr>
              <w:jc w:val="center"/>
              <w:rPr>
                <w:rFonts w:cs="Arial"/>
                <w:bCs/>
              </w:rPr>
            </w:pPr>
            <w:r w:rsidRPr="00347671">
              <w:rPr>
                <w:rFonts w:cs="Arial"/>
                <w:bCs/>
              </w:rPr>
              <w:t>2015</w:t>
            </w:r>
          </w:p>
        </w:tc>
        <w:tc>
          <w:tcPr>
            <w:tcW w:w="678" w:type="pct"/>
            <w:shd w:val="clear" w:color="auto" w:fill="auto"/>
          </w:tcPr>
          <w:p w:rsidRPr="00347671" w:rsidR="003640D3" w:rsidP="00AA6C13" w:rsidRDefault="00AA6C13" w14:paraId="089959DF" w14:textId="55BFDCB9">
            <w:pPr>
              <w:pStyle w:val="Heading4"/>
              <w:spacing w:before="0" w:after="0"/>
              <w:jc w:val="center"/>
              <w:outlineLvl w:val="3"/>
              <w:rPr>
                <w:rFonts w:cs="Arial"/>
                <w:b w:val="0"/>
                <w:sz w:val="20"/>
                <w:szCs w:val="20"/>
              </w:rPr>
            </w:pPr>
            <w:r>
              <w:rPr>
                <w:rFonts w:cs="Arial"/>
                <w:b w:val="0"/>
                <w:sz w:val="20"/>
                <w:szCs w:val="20"/>
              </w:rPr>
              <w:t>232</w:t>
            </w:r>
          </w:p>
        </w:tc>
        <w:tc>
          <w:tcPr>
            <w:tcW w:w="1156" w:type="pct"/>
            <w:shd w:val="clear" w:color="auto" w:fill="auto"/>
          </w:tcPr>
          <w:p w:rsidRPr="00347671" w:rsidR="003640D3" w:rsidP="00AA6C13" w:rsidRDefault="00AA6C13" w14:paraId="7E197D13" w14:textId="1A746F21">
            <w:pPr>
              <w:pStyle w:val="Heading4"/>
              <w:spacing w:before="0" w:after="0"/>
              <w:jc w:val="center"/>
              <w:outlineLvl w:val="3"/>
              <w:rPr>
                <w:rFonts w:cs="Arial"/>
                <w:b w:val="0"/>
                <w:sz w:val="20"/>
                <w:szCs w:val="20"/>
              </w:rPr>
            </w:pPr>
            <w:r>
              <w:rPr>
                <w:rFonts w:cs="Arial"/>
                <w:b w:val="0"/>
                <w:sz w:val="20"/>
                <w:szCs w:val="20"/>
              </w:rPr>
              <w:t>81</w:t>
            </w:r>
          </w:p>
        </w:tc>
        <w:tc>
          <w:tcPr>
            <w:tcW w:w="1251" w:type="pct"/>
            <w:shd w:val="clear" w:color="auto" w:fill="auto"/>
          </w:tcPr>
          <w:p w:rsidRPr="00347671" w:rsidR="003640D3" w:rsidP="00AA6C13" w:rsidRDefault="00AA6C13" w14:paraId="32E04388" w14:textId="0390C97A">
            <w:pPr>
              <w:pStyle w:val="Heading4"/>
              <w:spacing w:before="0" w:after="0"/>
              <w:jc w:val="center"/>
              <w:outlineLvl w:val="3"/>
              <w:rPr>
                <w:rFonts w:cs="Arial"/>
                <w:b w:val="0"/>
                <w:sz w:val="20"/>
                <w:szCs w:val="20"/>
              </w:rPr>
            </w:pPr>
            <w:r>
              <w:rPr>
                <w:rFonts w:cs="Arial"/>
                <w:b w:val="0"/>
                <w:sz w:val="20"/>
                <w:szCs w:val="20"/>
              </w:rPr>
              <w:t>34.9%</w:t>
            </w:r>
          </w:p>
        </w:tc>
        <w:tc>
          <w:tcPr>
            <w:tcW w:w="1441" w:type="pct"/>
            <w:shd w:val="clear" w:color="auto" w:fill="auto"/>
          </w:tcPr>
          <w:p w:rsidRPr="00347671" w:rsidR="003640D3" w:rsidP="00AA6C13" w:rsidRDefault="00AA6C13" w14:paraId="608B752C" w14:textId="27B12DA3">
            <w:pPr>
              <w:pStyle w:val="Heading4"/>
              <w:spacing w:before="0" w:after="0"/>
              <w:jc w:val="center"/>
              <w:outlineLvl w:val="3"/>
              <w:rPr>
                <w:rFonts w:cs="Arial"/>
                <w:b w:val="0"/>
                <w:sz w:val="20"/>
                <w:szCs w:val="20"/>
              </w:rPr>
            </w:pPr>
            <w:r>
              <w:rPr>
                <w:rFonts w:cs="Arial"/>
                <w:b w:val="0"/>
                <w:sz w:val="20"/>
                <w:szCs w:val="20"/>
              </w:rPr>
              <w:t>0.050%</w:t>
            </w:r>
          </w:p>
        </w:tc>
      </w:tr>
      <w:tr w:rsidRPr="00347671" w:rsidR="003640D3" w:rsidTr="002513D0" w14:paraId="4C187A13" w14:textId="77777777">
        <w:tc>
          <w:tcPr>
            <w:tcW w:w="474" w:type="pct"/>
          </w:tcPr>
          <w:p w:rsidRPr="00347671" w:rsidR="003640D3" w:rsidP="002310BA" w:rsidRDefault="003640D3" w14:paraId="4A428769" w14:textId="461D6BA3">
            <w:pPr>
              <w:jc w:val="center"/>
              <w:rPr>
                <w:rFonts w:cs="Arial"/>
                <w:bCs/>
              </w:rPr>
            </w:pPr>
            <w:r w:rsidRPr="00347671">
              <w:rPr>
                <w:rFonts w:cs="Arial"/>
                <w:bCs/>
              </w:rPr>
              <w:t>2016</w:t>
            </w:r>
          </w:p>
        </w:tc>
        <w:tc>
          <w:tcPr>
            <w:tcW w:w="678" w:type="pct"/>
            <w:shd w:val="clear" w:color="auto" w:fill="auto"/>
          </w:tcPr>
          <w:p w:rsidRPr="00347671" w:rsidR="003640D3" w:rsidP="00AA6C13" w:rsidRDefault="00AA6C13" w14:paraId="75519C7C" w14:textId="1C6F9D09">
            <w:pPr>
              <w:pStyle w:val="Heading4"/>
              <w:spacing w:before="0" w:after="0"/>
              <w:jc w:val="center"/>
              <w:outlineLvl w:val="3"/>
              <w:rPr>
                <w:rFonts w:cs="Arial"/>
                <w:b w:val="0"/>
                <w:sz w:val="20"/>
                <w:szCs w:val="20"/>
              </w:rPr>
            </w:pPr>
            <w:r>
              <w:rPr>
                <w:rFonts w:cs="Arial"/>
                <w:b w:val="0"/>
                <w:sz w:val="20"/>
                <w:szCs w:val="20"/>
              </w:rPr>
              <w:t>305</w:t>
            </w:r>
          </w:p>
        </w:tc>
        <w:tc>
          <w:tcPr>
            <w:tcW w:w="1156" w:type="pct"/>
            <w:shd w:val="clear" w:color="auto" w:fill="auto"/>
          </w:tcPr>
          <w:p w:rsidRPr="00347671" w:rsidR="003640D3" w:rsidP="00AA6C13" w:rsidRDefault="00AA6C13" w14:paraId="56ED3CFA" w14:textId="07B761A9">
            <w:pPr>
              <w:pStyle w:val="Heading4"/>
              <w:spacing w:before="0" w:after="0"/>
              <w:jc w:val="center"/>
              <w:outlineLvl w:val="3"/>
              <w:rPr>
                <w:rFonts w:cs="Arial"/>
                <w:b w:val="0"/>
                <w:sz w:val="20"/>
                <w:szCs w:val="20"/>
              </w:rPr>
            </w:pPr>
            <w:r>
              <w:rPr>
                <w:rFonts w:cs="Arial"/>
                <w:b w:val="0"/>
                <w:sz w:val="20"/>
                <w:szCs w:val="20"/>
              </w:rPr>
              <w:t>119</w:t>
            </w:r>
          </w:p>
        </w:tc>
        <w:tc>
          <w:tcPr>
            <w:tcW w:w="1251" w:type="pct"/>
            <w:shd w:val="clear" w:color="auto" w:fill="auto"/>
          </w:tcPr>
          <w:p w:rsidRPr="00347671" w:rsidR="003640D3" w:rsidP="00AA6C13" w:rsidRDefault="00AA6C13" w14:paraId="66492D71" w14:textId="19783BF2">
            <w:pPr>
              <w:pStyle w:val="Heading4"/>
              <w:spacing w:before="0" w:after="0"/>
              <w:jc w:val="center"/>
              <w:outlineLvl w:val="3"/>
              <w:rPr>
                <w:rFonts w:cs="Arial"/>
                <w:b w:val="0"/>
                <w:sz w:val="20"/>
                <w:szCs w:val="20"/>
              </w:rPr>
            </w:pPr>
            <w:r>
              <w:rPr>
                <w:rFonts w:cs="Arial"/>
                <w:b w:val="0"/>
                <w:sz w:val="20"/>
                <w:szCs w:val="20"/>
              </w:rPr>
              <w:t>39.0%</w:t>
            </w:r>
          </w:p>
        </w:tc>
        <w:tc>
          <w:tcPr>
            <w:tcW w:w="1441" w:type="pct"/>
            <w:shd w:val="clear" w:color="auto" w:fill="auto"/>
          </w:tcPr>
          <w:p w:rsidRPr="00347671" w:rsidR="003640D3" w:rsidP="00AA6C13" w:rsidRDefault="00AA6C13" w14:paraId="2061341A" w14:textId="3102CCA6">
            <w:pPr>
              <w:pStyle w:val="Heading4"/>
              <w:spacing w:before="0" w:after="0"/>
              <w:jc w:val="center"/>
              <w:outlineLvl w:val="3"/>
              <w:rPr>
                <w:rFonts w:cs="Arial"/>
                <w:b w:val="0"/>
                <w:sz w:val="20"/>
                <w:szCs w:val="20"/>
              </w:rPr>
            </w:pPr>
            <w:r>
              <w:rPr>
                <w:rFonts w:cs="Arial"/>
                <w:b w:val="0"/>
                <w:sz w:val="20"/>
                <w:szCs w:val="20"/>
              </w:rPr>
              <w:t>0.077%</w:t>
            </w:r>
          </w:p>
        </w:tc>
      </w:tr>
      <w:tr w:rsidRPr="00347671" w:rsidR="003640D3" w:rsidTr="002513D0" w14:paraId="5EC4D38F" w14:textId="77777777">
        <w:tc>
          <w:tcPr>
            <w:tcW w:w="474" w:type="pct"/>
          </w:tcPr>
          <w:p w:rsidRPr="00347671" w:rsidR="003640D3" w:rsidP="002310BA" w:rsidRDefault="003640D3" w14:paraId="3141554C" w14:textId="1B6EC054">
            <w:pPr>
              <w:jc w:val="center"/>
              <w:rPr>
                <w:rFonts w:cs="Arial"/>
                <w:bCs/>
              </w:rPr>
            </w:pPr>
            <w:r w:rsidRPr="00347671">
              <w:rPr>
                <w:rFonts w:cs="Arial"/>
                <w:bCs/>
              </w:rPr>
              <w:t>2017</w:t>
            </w:r>
          </w:p>
        </w:tc>
        <w:tc>
          <w:tcPr>
            <w:tcW w:w="678" w:type="pct"/>
            <w:shd w:val="clear" w:color="auto" w:fill="auto"/>
          </w:tcPr>
          <w:p w:rsidRPr="00347671" w:rsidR="003640D3" w:rsidP="00AA6C13" w:rsidRDefault="00AA6C13" w14:paraId="3271FF94" w14:textId="05B4834C">
            <w:pPr>
              <w:pStyle w:val="Heading4"/>
              <w:spacing w:before="0" w:after="0"/>
              <w:jc w:val="center"/>
              <w:outlineLvl w:val="3"/>
              <w:rPr>
                <w:rFonts w:cs="Arial"/>
                <w:b w:val="0"/>
                <w:sz w:val="20"/>
                <w:szCs w:val="20"/>
              </w:rPr>
            </w:pPr>
            <w:r>
              <w:rPr>
                <w:rFonts w:cs="Arial"/>
                <w:b w:val="0"/>
                <w:sz w:val="20"/>
                <w:szCs w:val="20"/>
              </w:rPr>
              <w:t>305</w:t>
            </w:r>
          </w:p>
        </w:tc>
        <w:tc>
          <w:tcPr>
            <w:tcW w:w="1156" w:type="pct"/>
            <w:shd w:val="clear" w:color="auto" w:fill="auto"/>
          </w:tcPr>
          <w:p w:rsidRPr="00347671" w:rsidR="003640D3" w:rsidP="00AA6C13" w:rsidRDefault="00AA6C13" w14:paraId="5A66A8BB" w14:textId="02FFAFEB">
            <w:pPr>
              <w:pStyle w:val="Heading4"/>
              <w:spacing w:before="0" w:after="0"/>
              <w:jc w:val="center"/>
              <w:outlineLvl w:val="3"/>
              <w:rPr>
                <w:rFonts w:cs="Arial"/>
                <w:b w:val="0"/>
                <w:sz w:val="20"/>
                <w:szCs w:val="20"/>
              </w:rPr>
            </w:pPr>
            <w:r>
              <w:rPr>
                <w:rFonts w:cs="Arial"/>
                <w:b w:val="0"/>
                <w:sz w:val="20"/>
                <w:szCs w:val="20"/>
              </w:rPr>
              <w:t>93</w:t>
            </w:r>
          </w:p>
        </w:tc>
        <w:tc>
          <w:tcPr>
            <w:tcW w:w="1251" w:type="pct"/>
            <w:shd w:val="clear" w:color="auto" w:fill="auto"/>
          </w:tcPr>
          <w:p w:rsidRPr="00347671" w:rsidR="003640D3" w:rsidP="00AA6C13" w:rsidRDefault="00AA6C13" w14:paraId="2F63F137" w14:textId="4D0480C0">
            <w:pPr>
              <w:pStyle w:val="Heading4"/>
              <w:spacing w:before="0" w:after="0"/>
              <w:jc w:val="center"/>
              <w:outlineLvl w:val="3"/>
              <w:rPr>
                <w:rFonts w:cs="Arial"/>
                <w:b w:val="0"/>
                <w:sz w:val="20"/>
                <w:szCs w:val="20"/>
              </w:rPr>
            </w:pPr>
            <w:r>
              <w:rPr>
                <w:rFonts w:cs="Arial"/>
                <w:b w:val="0"/>
                <w:sz w:val="20"/>
                <w:szCs w:val="20"/>
              </w:rPr>
              <w:t>30.5%</w:t>
            </w:r>
          </w:p>
        </w:tc>
        <w:tc>
          <w:tcPr>
            <w:tcW w:w="1441" w:type="pct"/>
            <w:shd w:val="clear" w:color="auto" w:fill="auto"/>
          </w:tcPr>
          <w:p w:rsidRPr="00347671" w:rsidR="003640D3" w:rsidP="00AA6C13" w:rsidRDefault="00AA6C13" w14:paraId="2829984F" w14:textId="4762AFDF">
            <w:pPr>
              <w:pStyle w:val="Heading4"/>
              <w:spacing w:before="0" w:after="0"/>
              <w:jc w:val="center"/>
              <w:outlineLvl w:val="3"/>
              <w:rPr>
                <w:rFonts w:cs="Arial"/>
                <w:b w:val="0"/>
                <w:sz w:val="20"/>
                <w:szCs w:val="20"/>
              </w:rPr>
            </w:pPr>
            <w:r>
              <w:rPr>
                <w:rFonts w:cs="Arial"/>
                <w:b w:val="0"/>
                <w:sz w:val="20"/>
                <w:szCs w:val="20"/>
              </w:rPr>
              <w:t>0.063%</w:t>
            </w:r>
          </w:p>
        </w:tc>
      </w:tr>
      <w:tr w:rsidRPr="00347671" w:rsidR="003640D3" w:rsidTr="002513D0" w14:paraId="1A471C77" w14:textId="77777777">
        <w:tc>
          <w:tcPr>
            <w:tcW w:w="474" w:type="pct"/>
          </w:tcPr>
          <w:p w:rsidRPr="00347671" w:rsidR="003640D3" w:rsidP="002310BA" w:rsidRDefault="003640D3" w14:paraId="12FDB27A" w14:textId="5F5CE2C2">
            <w:pPr>
              <w:jc w:val="center"/>
              <w:rPr>
                <w:rFonts w:cs="Arial"/>
                <w:bCs/>
              </w:rPr>
            </w:pPr>
            <w:r w:rsidRPr="00347671">
              <w:rPr>
                <w:rFonts w:cs="Arial"/>
                <w:bCs/>
              </w:rPr>
              <w:t>2018</w:t>
            </w:r>
          </w:p>
        </w:tc>
        <w:tc>
          <w:tcPr>
            <w:tcW w:w="678" w:type="pct"/>
            <w:shd w:val="clear" w:color="auto" w:fill="auto"/>
          </w:tcPr>
          <w:p w:rsidRPr="00347671" w:rsidR="003640D3" w:rsidP="00AA6C13" w:rsidRDefault="00AA6C13" w14:paraId="29B4B442" w14:textId="7629504D">
            <w:pPr>
              <w:pStyle w:val="Heading4"/>
              <w:spacing w:before="0" w:after="0"/>
              <w:jc w:val="center"/>
              <w:outlineLvl w:val="3"/>
              <w:rPr>
                <w:rFonts w:cs="Arial"/>
                <w:b w:val="0"/>
                <w:sz w:val="20"/>
                <w:szCs w:val="20"/>
              </w:rPr>
            </w:pPr>
            <w:r>
              <w:rPr>
                <w:rFonts w:cs="Arial"/>
                <w:b w:val="0"/>
                <w:sz w:val="20"/>
                <w:szCs w:val="20"/>
              </w:rPr>
              <w:t>298</w:t>
            </w:r>
          </w:p>
        </w:tc>
        <w:tc>
          <w:tcPr>
            <w:tcW w:w="1156" w:type="pct"/>
            <w:shd w:val="clear" w:color="auto" w:fill="auto"/>
          </w:tcPr>
          <w:p w:rsidRPr="00347671" w:rsidR="003640D3" w:rsidP="00AA6C13" w:rsidRDefault="00AA6C13" w14:paraId="14741BD3" w14:textId="0DA345FA">
            <w:pPr>
              <w:pStyle w:val="Heading4"/>
              <w:spacing w:before="0" w:after="0"/>
              <w:jc w:val="center"/>
              <w:outlineLvl w:val="3"/>
              <w:rPr>
                <w:rFonts w:cs="Arial"/>
                <w:b w:val="0"/>
                <w:sz w:val="20"/>
                <w:szCs w:val="20"/>
              </w:rPr>
            </w:pPr>
            <w:r>
              <w:rPr>
                <w:rFonts w:cs="Arial"/>
                <w:b w:val="0"/>
                <w:sz w:val="20"/>
                <w:szCs w:val="20"/>
              </w:rPr>
              <w:t>72</w:t>
            </w:r>
          </w:p>
        </w:tc>
        <w:tc>
          <w:tcPr>
            <w:tcW w:w="1251" w:type="pct"/>
            <w:shd w:val="clear" w:color="auto" w:fill="auto"/>
          </w:tcPr>
          <w:p w:rsidRPr="00347671" w:rsidR="003640D3" w:rsidP="00AA6C13" w:rsidRDefault="00AA6C13" w14:paraId="455C2AF2" w14:textId="33E964EA">
            <w:pPr>
              <w:pStyle w:val="Heading4"/>
              <w:spacing w:before="0" w:after="0"/>
              <w:jc w:val="center"/>
              <w:outlineLvl w:val="3"/>
              <w:rPr>
                <w:rFonts w:cs="Arial"/>
                <w:b w:val="0"/>
                <w:sz w:val="20"/>
                <w:szCs w:val="20"/>
              </w:rPr>
            </w:pPr>
            <w:r>
              <w:rPr>
                <w:rFonts w:cs="Arial"/>
                <w:b w:val="0"/>
                <w:sz w:val="20"/>
                <w:szCs w:val="20"/>
              </w:rPr>
              <w:t>24.2%</w:t>
            </w:r>
          </w:p>
        </w:tc>
        <w:tc>
          <w:tcPr>
            <w:tcW w:w="1441" w:type="pct"/>
            <w:shd w:val="clear" w:color="auto" w:fill="auto"/>
          </w:tcPr>
          <w:p w:rsidRPr="00347671" w:rsidR="003640D3" w:rsidP="00AA6C13" w:rsidRDefault="00AA6C13" w14:paraId="7BE84FB7" w14:textId="3735A33E">
            <w:pPr>
              <w:pStyle w:val="Heading4"/>
              <w:spacing w:before="0" w:after="0"/>
              <w:jc w:val="center"/>
              <w:outlineLvl w:val="3"/>
              <w:rPr>
                <w:rFonts w:cs="Arial"/>
                <w:b w:val="0"/>
                <w:sz w:val="20"/>
                <w:szCs w:val="20"/>
              </w:rPr>
            </w:pPr>
            <w:r>
              <w:rPr>
                <w:rFonts w:cs="Arial"/>
                <w:b w:val="0"/>
                <w:sz w:val="20"/>
                <w:szCs w:val="20"/>
              </w:rPr>
              <w:t>0.049%</w:t>
            </w:r>
          </w:p>
        </w:tc>
      </w:tr>
      <w:tr w:rsidRPr="00347671" w:rsidR="003640D3" w:rsidTr="002513D0" w14:paraId="51C0E54F" w14:textId="77777777">
        <w:tc>
          <w:tcPr>
            <w:tcW w:w="474" w:type="pct"/>
          </w:tcPr>
          <w:p w:rsidRPr="00347671" w:rsidR="003640D3" w:rsidP="002310BA" w:rsidRDefault="003640D3" w14:paraId="476481FE" w14:textId="79AAF023">
            <w:pPr>
              <w:jc w:val="center"/>
              <w:rPr>
                <w:rFonts w:cs="Arial"/>
                <w:bCs/>
              </w:rPr>
            </w:pPr>
            <w:r w:rsidRPr="00347671">
              <w:rPr>
                <w:rFonts w:cs="Arial"/>
                <w:bCs/>
              </w:rPr>
              <w:t>2019</w:t>
            </w:r>
          </w:p>
        </w:tc>
        <w:tc>
          <w:tcPr>
            <w:tcW w:w="678" w:type="pct"/>
            <w:shd w:val="clear" w:color="auto" w:fill="auto"/>
          </w:tcPr>
          <w:p w:rsidRPr="00347671" w:rsidR="003640D3" w:rsidP="00AA6C13" w:rsidRDefault="00AA6C13" w14:paraId="75DBB880" w14:textId="7E982C0D">
            <w:pPr>
              <w:pStyle w:val="Heading4"/>
              <w:spacing w:before="0" w:after="0"/>
              <w:jc w:val="center"/>
              <w:outlineLvl w:val="3"/>
              <w:rPr>
                <w:rFonts w:cs="Arial"/>
                <w:b w:val="0"/>
                <w:sz w:val="20"/>
                <w:szCs w:val="20"/>
              </w:rPr>
            </w:pPr>
            <w:r>
              <w:rPr>
                <w:rFonts w:cs="Arial"/>
                <w:b w:val="0"/>
                <w:sz w:val="20"/>
                <w:szCs w:val="20"/>
              </w:rPr>
              <w:t>307</w:t>
            </w:r>
          </w:p>
        </w:tc>
        <w:tc>
          <w:tcPr>
            <w:tcW w:w="1156" w:type="pct"/>
            <w:shd w:val="clear" w:color="auto" w:fill="auto"/>
          </w:tcPr>
          <w:p w:rsidRPr="00347671" w:rsidR="003640D3" w:rsidP="00AA6C13" w:rsidRDefault="00AA6C13" w14:paraId="0941EE6E" w14:textId="371107FC">
            <w:pPr>
              <w:pStyle w:val="Heading4"/>
              <w:spacing w:before="0" w:after="0"/>
              <w:jc w:val="center"/>
              <w:outlineLvl w:val="3"/>
              <w:rPr>
                <w:rFonts w:cs="Arial"/>
                <w:b w:val="0"/>
                <w:sz w:val="20"/>
                <w:szCs w:val="20"/>
              </w:rPr>
            </w:pPr>
            <w:r>
              <w:rPr>
                <w:rFonts w:cs="Arial"/>
                <w:b w:val="0"/>
                <w:sz w:val="20"/>
                <w:szCs w:val="20"/>
              </w:rPr>
              <w:t>68</w:t>
            </w:r>
          </w:p>
        </w:tc>
        <w:tc>
          <w:tcPr>
            <w:tcW w:w="1251" w:type="pct"/>
            <w:shd w:val="clear" w:color="auto" w:fill="auto"/>
          </w:tcPr>
          <w:p w:rsidRPr="00347671" w:rsidR="003640D3" w:rsidP="00AA6C13" w:rsidRDefault="00AA6C13" w14:paraId="4164A30A" w14:textId="1B0F91B0">
            <w:pPr>
              <w:pStyle w:val="Heading4"/>
              <w:spacing w:before="0" w:after="0"/>
              <w:jc w:val="center"/>
              <w:outlineLvl w:val="3"/>
              <w:rPr>
                <w:rFonts w:cs="Arial"/>
                <w:b w:val="0"/>
                <w:sz w:val="20"/>
                <w:szCs w:val="20"/>
              </w:rPr>
            </w:pPr>
            <w:r>
              <w:rPr>
                <w:rFonts w:cs="Arial"/>
                <w:b w:val="0"/>
                <w:sz w:val="20"/>
                <w:szCs w:val="20"/>
              </w:rPr>
              <w:t>22.1%</w:t>
            </w:r>
          </w:p>
        </w:tc>
        <w:tc>
          <w:tcPr>
            <w:tcW w:w="1441" w:type="pct"/>
            <w:shd w:val="clear" w:color="auto" w:fill="auto"/>
          </w:tcPr>
          <w:p w:rsidRPr="00347671" w:rsidR="003640D3" w:rsidP="00AA6C13" w:rsidRDefault="00AA6C13" w14:paraId="4CCF8F7F" w14:textId="50706E1F">
            <w:pPr>
              <w:pStyle w:val="Heading4"/>
              <w:spacing w:before="0" w:after="0"/>
              <w:jc w:val="center"/>
              <w:outlineLvl w:val="3"/>
              <w:rPr>
                <w:rFonts w:cs="Arial"/>
                <w:b w:val="0"/>
                <w:sz w:val="20"/>
                <w:szCs w:val="20"/>
              </w:rPr>
            </w:pPr>
            <w:r>
              <w:rPr>
                <w:rFonts w:cs="Arial"/>
                <w:b w:val="0"/>
                <w:sz w:val="20"/>
                <w:szCs w:val="20"/>
              </w:rPr>
              <w:t>0.052%</w:t>
            </w:r>
          </w:p>
        </w:tc>
      </w:tr>
    </w:tbl>
    <w:p w:rsidRPr="00953B27" w:rsidR="00D520BD" w:rsidP="00D520BD" w:rsidRDefault="00D520BD" w14:paraId="0D7D2002" w14:textId="0D6D994D">
      <w:pPr>
        <w:pStyle w:val="ListParagraph"/>
        <w:rPr>
          <w:rFonts w:cs="Arial"/>
          <w:sz w:val="22"/>
          <w:szCs w:val="22"/>
        </w:rPr>
      </w:pPr>
    </w:p>
    <w:p w:rsidRPr="00953B27" w:rsidR="00D520BD" w:rsidP="005C6BA3" w:rsidRDefault="00D520BD" w14:paraId="1441A407" w14:textId="70FD4A9A">
      <w:pPr>
        <w:pStyle w:val="ListParagraph"/>
        <w:numPr>
          <w:ilvl w:val="0"/>
          <w:numId w:val="8"/>
        </w:numPr>
        <w:ind w:hanging="720"/>
        <w:rPr>
          <w:rFonts w:cs="Arial"/>
          <w:sz w:val="22"/>
          <w:szCs w:val="22"/>
        </w:rPr>
      </w:pPr>
      <w:r w:rsidRPr="00953B27">
        <w:rPr>
          <w:rFonts w:cs="Arial"/>
          <w:i/>
          <w:sz w:val="22"/>
          <w:szCs w:val="22"/>
        </w:rPr>
        <w:t xml:space="preserve">Special analyses testing of dilute specimens: </w:t>
      </w:r>
      <w:r w:rsidRPr="00953B27">
        <w:rPr>
          <w:rFonts w:cs="Arial"/>
          <w:sz w:val="22"/>
          <w:szCs w:val="22"/>
        </w:rPr>
        <w:t xml:space="preserve"> Beginning in CY 2013</w:t>
      </w:r>
      <w:r w:rsidRPr="00953B27" w:rsidR="00646A79">
        <w:rPr>
          <w:rFonts w:cs="Arial"/>
          <w:sz w:val="22"/>
          <w:szCs w:val="22"/>
        </w:rPr>
        <w:t>,</w:t>
      </w:r>
      <w:r w:rsidRPr="00953B27">
        <w:rPr>
          <w:rFonts w:cs="Arial"/>
          <w:sz w:val="22"/>
          <w:szCs w:val="22"/>
        </w:rPr>
        <w:t xml:space="preserve"> changes to the e</w:t>
      </w:r>
      <w:r w:rsidRPr="00953B27">
        <w:rPr>
          <w:rFonts w:cs="Arial"/>
          <w:sz w:val="22"/>
          <w:szCs w:val="22"/>
        </w:rPr>
        <w:noBreakHyphen/>
        <w:t>reporting forms permitted the uniform collection of data on the number of dilute specimens subject to speci</w:t>
      </w:r>
      <w:r w:rsidR="001B7F5E">
        <w:rPr>
          <w:rFonts w:cs="Arial"/>
          <w:sz w:val="22"/>
          <w:szCs w:val="22"/>
        </w:rPr>
        <w:t>al</w:t>
      </w:r>
      <w:r w:rsidRPr="00953B27">
        <w:rPr>
          <w:rFonts w:cs="Arial"/>
          <w:sz w:val="22"/>
          <w:szCs w:val="22"/>
        </w:rPr>
        <w:t xml:space="preserve"> analyses testing.  </w:t>
      </w:r>
      <w:r w:rsidR="00953B27">
        <w:rPr>
          <w:rFonts w:cs="Arial"/>
          <w:sz w:val="22"/>
          <w:szCs w:val="22"/>
        </w:rPr>
        <w:t>Additionally</w:t>
      </w:r>
      <w:r w:rsidRPr="00953B27" w:rsidR="00646A79">
        <w:rPr>
          <w:rFonts w:cs="Arial"/>
          <w:sz w:val="22"/>
          <w:szCs w:val="22"/>
        </w:rPr>
        <w:t>,</w:t>
      </w:r>
      <w:r w:rsidRPr="00953B27">
        <w:rPr>
          <w:rFonts w:cs="Arial"/>
          <w:sz w:val="22"/>
          <w:szCs w:val="22"/>
        </w:rPr>
        <w:t xml:space="preserve"> the number of dilute specimens that tested positive during special analyses testing has been collected uniformly in the e-reporting system since CY 2011.  </w:t>
      </w:r>
      <w:r w:rsidR="00953B27">
        <w:rPr>
          <w:rFonts w:cs="Arial"/>
          <w:sz w:val="22"/>
          <w:szCs w:val="22"/>
        </w:rPr>
        <w:t>Over 90</w:t>
      </w:r>
      <w:r w:rsidRPr="00953B27">
        <w:rPr>
          <w:rFonts w:cs="Arial"/>
          <w:sz w:val="22"/>
          <w:szCs w:val="22"/>
        </w:rPr>
        <w:t> percent of licensees and other entities have voluntarily adopted the optional special analyses testing of dilute specimens in 10 CFR 26.163(a)(2).</w:t>
      </w:r>
    </w:p>
    <w:p w:rsidRPr="00953B27" w:rsidR="00D520BD" w:rsidP="00D520BD" w:rsidRDefault="00D520BD" w14:paraId="353E55F8" w14:textId="77777777">
      <w:pPr>
        <w:pStyle w:val="ListParagraph"/>
        <w:tabs>
          <w:tab w:val="left" w:pos="721"/>
        </w:tabs>
        <w:rPr>
          <w:sz w:val="22"/>
          <w:szCs w:val="22"/>
        </w:rPr>
      </w:pPr>
    </w:p>
    <w:p w:rsidR="00D520BD" w:rsidP="00D520BD" w:rsidRDefault="00D520BD" w14:paraId="3374D220" w14:textId="1B654F2A">
      <w:pPr>
        <w:numPr>
          <w:ilvl w:val="12"/>
          <w:numId w:val="0"/>
        </w:numPr>
        <w:tabs>
          <w:tab w:val="left" w:pos="721"/>
        </w:tabs>
        <w:rPr>
          <w:sz w:val="22"/>
          <w:szCs w:val="22"/>
        </w:rPr>
      </w:pPr>
      <w:r w:rsidRPr="00953B27">
        <w:rPr>
          <w:sz w:val="22"/>
          <w:szCs w:val="22"/>
        </w:rPr>
        <w:t>Appendices B</w:t>
      </w:r>
      <w:r w:rsidRPr="00953B27" w:rsidR="00646A79">
        <w:rPr>
          <w:sz w:val="22"/>
          <w:szCs w:val="22"/>
        </w:rPr>
        <w:t>,</w:t>
      </w:r>
      <w:r w:rsidRPr="00953B27">
        <w:rPr>
          <w:sz w:val="22"/>
          <w:szCs w:val="22"/>
        </w:rPr>
        <w:t xml:space="preserve"> C</w:t>
      </w:r>
      <w:r w:rsidRPr="00953B27" w:rsidR="00646A79">
        <w:rPr>
          <w:sz w:val="22"/>
          <w:szCs w:val="22"/>
        </w:rPr>
        <w:t>,</w:t>
      </w:r>
      <w:r w:rsidRPr="00953B27">
        <w:rPr>
          <w:sz w:val="22"/>
          <w:szCs w:val="22"/>
        </w:rPr>
        <w:t xml:space="preserve"> and D </w:t>
      </w:r>
      <w:r w:rsidRPr="00953B27" w:rsidR="00347671">
        <w:rPr>
          <w:sz w:val="22"/>
          <w:szCs w:val="22"/>
        </w:rPr>
        <w:t>provide</w:t>
      </w:r>
      <w:r w:rsidRPr="00953B27">
        <w:rPr>
          <w:sz w:val="22"/>
          <w:szCs w:val="22"/>
        </w:rPr>
        <w:t xml:space="preserve"> </w:t>
      </w:r>
      <w:r w:rsidR="000A19F2">
        <w:rPr>
          <w:sz w:val="22"/>
          <w:szCs w:val="22"/>
        </w:rPr>
        <w:t xml:space="preserve">more information on </w:t>
      </w:r>
      <w:r w:rsidRPr="00953B27">
        <w:rPr>
          <w:sz w:val="22"/>
          <w:szCs w:val="22"/>
        </w:rPr>
        <w:t>the assumptions and data sources used in the analysis.</w:t>
      </w:r>
    </w:p>
    <w:p w:rsidR="00D520BD" w:rsidP="00D520BD" w:rsidRDefault="00D520BD" w14:paraId="23ADF6F5" w14:textId="77777777">
      <w:pPr>
        <w:numPr>
          <w:ilvl w:val="12"/>
          <w:numId w:val="0"/>
        </w:numPr>
        <w:tabs>
          <w:tab w:val="left" w:pos="721"/>
        </w:tabs>
        <w:rPr>
          <w:sz w:val="22"/>
          <w:szCs w:val="22"/>
        </w:rPr>
      </w:pPr>
    </w:p>
    <w:p w:rsidRPr="005A5966" w:rsidR="00D520BD" w:rsidP="00D520BD" w:rsidRDefault="00D520BD" w14:paraId="63E7ECF8" w14:textId="77777777">
      <w:pPr>
        <w:pStyle w:val="Heading3"/>
      </w:pPr>
      <w:bookmarkStart w:name="_Toc460412607" w:id="111"/>
      <w:bookmarkStart w:name="_Toc72840025" w:id="112"/>
      <w:bookmarkStart w:name="_Toc105681498" w:id="113"/>
      <w:bookmarkStart w:name="_Toc199932396" w:id="114"/>
      <w:bookmarkStart w:name="_Toc199932474" w:id="115"/>
      <w:bookmarkStart w:name="_Toc199932653" w:id="116"/>
      <w:r>
        <w:t>4</w:t>
      </w:r>
      <w:r w:rsidRPr="005A5966">
        <w:t>.2.</w:t>
      </w:r>
      <w:r>
        <w:t>6</w:t>
      </w:r>
      <w:r w:rsidRPr="005A5966">
        <w:tab/>
        <w:t>Assumptions</w:t>
      </w:r>
      <w:bookmarkEnd w:id="111"/>
      <w:bookmarkEnd w:id="112"/>
      <w:bookmarkEnd w:id="113"/>
    </w:p>
    <w:p w:rsidRPr="00646A79" w:rsidR="00D520BD" w:rsidP="00D520BD" w:rsidRDefault="00D520BD" w14:paraId="537AC95F" w14:textId="77777777">
      <w:pPr>
        <w:keepNext/>
        <w:keepLines/>
        <w:rPr>
          <w:sz w:val="22"/>
          <w:szCs w:val="22"/>
        </w:rPr>
      </w:pPr>
    </w:p>
    <w:p w:rsidRPr="00176FD3" w:rsidR="00D520BD" w:rsidP="00D520BD" w:rsidRDefault="00D520BD" w14:paraId="288C3534" w14:textId="68444976">
      <w:pPr>
        <w:numPr>
          <w:ilvl w:val="12"/>
          <w:numId w:val="0"/>
        </w:numPr>
        <w:tabs>
          <w:tab w:val="left" w:pos="721"/>
        </w:tabs>
        <w:rPr>
          <w:sz w:val="22"/>
          <w:szCs w:val="22"/>
        </w:rPr>
      </w:pPr>
      <w:r w:rsidRPr="000E20C9">
        <w:rPr>
          <w:sz w:val="22"/>
          <w:szCs w:val="22"/>
        </w:rPr>
        <w:t>The NRC</w:t>
      </w:r>
      <w:r>
        <w:rPr>
          <w:sz w:val="22"/>
          <w:szCs w:val="22"/>
        </w:rPr>
        <w:t xml:space="preserve"> staff made the following assumptions to quantify the costs and benefits of the rule alternative:</w:t>
      </w:r>
    </w:p>
    <w:p w:rsidRPr="00176FD3" w:rsidR="00D520BD" w:rsidP="00D520BD" w:rsidRDefault="00D520BD" w14:paraId="25E1D0C0" w14:textId="601EE77C">
      <w:pPr>
        <w:numPr>
          <w:ilvl w:val="12"/>
          <w:numId w:val="0"/>
        </w:numPr>
        <w:tabs>
          <w:tab w:val="left" w:pos="721"/>
        </w:tabs>
        <w:rPr>
          <w:sz w:val="22"/>
          <w:szCs w:val="22"/>
        </w:rPr>
      </w:pPr>
    </w:p>
    <w:p w:rsidR="00AC4FB4" w:rsidP="005C6BA3" w:rsidRDefault="00D520BD" w14:paraId="21F4F87C" w14:textId="604266A2">
      <w:pPr>
        <w:pStyle w:val="ListParagraph"/>
        <w:numPr>
          <w:ilvl w:val="0"/>
          <w:numId w:val="7"/>
        </w:numPr>
        <w:tabs>
          <w:tab w:val="left" w:pos="721"/>
        </w:tabs>
        <w:ind w:hanging="720"/>
        <w:rPr>
          <w:sz w:val="22"/>
          <w:szCs w:val="22"/>
        </w:rPr>
      </w:pPr>
      <w:r>
        <w:rPr>
          <w:sz w:val="22"/>
          <w:szCs w:val="22"/>
        </w:rPr>
        <w:t>The NRC estimates</w:t>
      </w:r>
      <w:r w:rsidRPr="00176FD3">
        <w:rPr>
          <w:sz w:val="22"/>
          <w:szCs w:val="22"/>
        </w:rPr>
        <w:t xml:space="preserve"> </w:t>
      </w:r>
      <w:r>
        <w:rPr>
          <w:sz w:val="22"/>
          <w:szCs w:val="22"/>
        </w:rPr>
        <w:t>o</w:t>
      </w:r>
      <w:r w:rsidR="009C14CD">
        <w:rPr>
          <w:sz w:val="22"/>
          <w:szCs w:val="22"/>
        </w:rPr>
        <w:t>f</w:t>
      </w:r>
      <w:r>
        <w:rPr>
          <w:sz w:val="22"/>
          <w:szCs w:val="22"/>
        </w:rPr>
        <w:t xml:space="preserve"> the expected </w:t>
      </w:r>
      <w:r w:rsidRPr="00176FD3">
        <w:rPr>
          <w:sz w:val="22"/>
          <w:szCs w:val="22"/>
        </w:rPr>
        <w:t xml:space="preserve">positive testing rates </w:t>
      </w:r>
      <w:r>
        <w:rPr>
          <w:sz w:val="22"/>
          <w:szCs w:val="22"/>
        </w:rPr>
        <w:t xml:space="preserve">are based </w:t>
      </w:r>
      <w:r w:rsidRPr="00FB390F">
        <w:rPr>
          <w:sz w:val="22"/>
          <w:szCs w:val="22"/>
        </w:rPr>
        <w:t>on</w:t>
      </w:r>
      <w:r>
        <w:rPr>
          <w:sz w:val="22"/>
          <w:szCs w:val="22"/>
        </w:rPr>
        <w:t xml:space="preserve"> </w:t>
      </w:r>
      <w:r w:rsidRPr="00176FD3">
        <w:rPr>
          <w:sz w:val="22"/>
          <w:szCs w:val="22"/>
        </w:rPr>
        <w:t>DOT drug test</w:t>
      </w:r>
      <w:r>
        <w:rPr>
          <w:sz w:val="22"/>
          <w:szCs w:val="22"/>
        </w:rPr>
        <w:t xml:space="preserve">s performed from </w:t>
      </w:r>
      <w:r w:rsidRPr="0034723F">
        <w:rPr>
          <w:sz w:val="22"/>
          <w:szCs w:val="22"/>
        </w:rPr>
        <w:t>CY 2010 through CY 201</w:t>
      </w:r>
      <w:r w:rsidRPr="0034723F" w:rsidR="00275AC3">
        <w:rPr>
          <w:sz w:val="22"/>
          <w:szCs w:val="22"/>
        </w:rPr>
        <w:t>8</w:t>
      </w:r>
      <w:r w:rsidR="00AC5AC2">
        <w:rPr>
          <w:sz w:val="22"/>
          <w:szCs w:val="22"/>
        </w:rPr>
        <w:t xml:space="preserve"> </w:t>
      </w:r>
      <w:r w:rsidRPr="00BE1887" w:rsidR="00AC5AC2">
        <w:rPr>
          <w:sz w:val="22"/>
          <w:szCs w:val="22"/>
        </w:rPr>
        <w:t xml:space="preserve">for three DOT modal </w:t>
      </w:r>
      <w:r w:rsidRPr="0015388B" w:rsidR="00AC5AC2">
        <w:rPr>
          <w:sz w:val="22"/>
          <w:szCs w:val="22"/>
        </w:rPr>
        <w:t>administrations (i.e.</w:t>
      </w:r>
      <w:r w:rsidR="00AC5AC2">
        <w:rPr>
          <w:sz w:val="22"/>
          <w:szCs w:val="22"/>
        </w:rPr>
        <w:t>, FAA, FTA, and FRA)</w:t>
      </w:r>
      <w:r w:rsidRPr="00176FD3">
        <w:rPr>
          <w:sz w:val="22"/>
          <w:szCs w:val="22"/>
        </w:rPr>
        <w:t xml:space="preserve">.  </w:t>
      </w:r>
      <w:r>
        <w:rPr>
          <w:sz w:val="22"/>
          <w:szCs w:val="22"/>
        </w:rPr>
        <w:t xml:space="preserve">These testing data represent a comprehensive set of annual drug testing results </w:t>
      </w:r>
      <w:r w:rsidRPr="006B6D65">
        <w:rPr>
          <w:sz w:val="22"/>
          <w:szCs w:val="22"/>
        </w:rPr>
        <w:t>(</w:t>
      </w:r>
      <w:r>
        <w:rPr>
          <w:sz w:val="22"/>
          <w:szCs w:val="22"/>
        </w:rPr>
        <w:t xml:space="preserve">approximately </w:t>
      </w:r>
      <w:r w:rsidR="00AC5AC2">
        <w:rPr>
          <w:sz w:val="22"/>
          <w:szCs w:val="22"/>
        </w:rPr>
        <w:t>483,000</w:t>
      </w:r>
      <w:r w:rsidRPr="006B6D65">
        <w:rPr>
          <w:sz w:val="22"/>
          <w:szCs w:val="22"/>
        </w:rPr>
        <w:t xml:space="preserve"> tests per year) </w:t>
      </w:r>
      <w:r w:rsidRPr="00176FD3">
        <w:rPr>
          <w:sz w:val="22"/>
          <w:szCs w:val="22"/>
        </w:rPr>
        <w:t xml:space="preserve">for a </w:t>
      </w:r>
      <w:r>
        <w:rPr>
          <w:sz w:val="22"/>
          <w:szCs w:val="22"/>
        </w:rPr>
        <w:t>f</w:t>
      </w:r>
      <w:r w:rsidRPr="00176FD3">
        <w:rPr>
          <w:sz w:val="22"/>
          <w:szCs w:val="22"/>
        </w:rPr>
        <w:t>ederally</w:t>
      </w:r>
      <w:r>
        <w:rPr>
          <w:sz w:val="22"/>
          <w:szCs w:val="22"/>
        </w:rPr>
        <w:t xml:space="preserve"> </w:t>
      </w:r>
      <w:r w:rsidRPr="00176FD3">
        <w:rPr>
          <w:sz w:val="22"/>
          <w:szCs w:val="22"/>
        </w:rPr>
        <w:t xml:space="preserve">regulated industry (the </w:t>
      </w:r>
      <w:r>
        <w:rPr>
          <w:sz w:val="22"/>
          <w:szCs w:val="22"/>
        </w:rPr>
        <w:t xml:space="preserve">transportation industry) with safety- and security-sensitive positions comparable </w:t>
      </w:r>
      <w:r w:rsidRPr="00176FD3">
        <w:rPr>
          <w:sz w:val="22"/>
          <w:szCs w:val="22"/>
        </w:rPr>
        <w:t xml:space="preserve">to </w:t>
      </w:r>
      <w:r>
        <w:rPr>
          <w:sz w:val="22"/>
          <w:szCs w:val="22"/>
        </w:rPr>
        <w:t xml:space="preserve">those in the </w:t>
      </w:r>
      <w:r w:rsidRPr="00176FD3">
        <w:rPr>
          <w:sz w:val="22"/>
          <w:szCs w:val="22"/>
        </w:rPr>
        <w:t>commercial nuclear industry</w:t>
      </w:r>
      <w:r>
        <w:rPr>
          <w:sz w:val="22"/>
          <w:szCs w:val="22"/>
        </w:rPr>
        <w:t>.</w:t>
      </w:r>
    </w:p>
    <w:p w:rsidR="00AC4FB4" w:rsidP="00AC4FB4" w:rsidRDefault="00AC4FB4" w14:paraId="292C28DE" w14:textId="77777777">
      <w:pPr>
        <w:pStyle w:val="ListParagraph"/>
        <w:tabs>
          <w:tab w:val="left" w:pos="721"/>
        </w:tabs>
        <w:rPr>
          <w:sz w:val="22"/>
          <w:szCs w:val="22"/>
        </w:rPr>
      </w:pPr>
    </w:p>
    <w:p w:rsidRPr="004D2805" w:rsidR="00D520BD" w:rsidP="00AC4FB4" w:rsidRDefault="00C54FAD" w14:paraId="63122CD1" w14:textId="67D623EC">
      <w:pPr>
        <w:pStyle w:val="ListParagraph"/>
        <w:tabs>
          <w:tab w:val="left" w:pos="721"/>
        </w:tabs>
        <w:rPr>
          <w:sz w:val="22"/>
          <w:szCs w:val="22"/>
        </w:rPr>
      </w:pPr>
      <w:r>
        <w:rPr>
          <w:sz w:val="22"/>
          <w:szCs w:val="22"/>
        </w:rPr>
        <w:t>The estimated</w:t>
      </w:r>
      <w:r w:rsidRPr="00D45ED5" w:rsidR="00D520BD">
        <w:rPr>
          <w:sz w:val="22"/>
          <w:szCs w:val="22"/>
        </w:rPr>
        <w:t xml:space="preserve"> increase in positive results for amphetamines</w:t>
      </w:r>
      <w:r w:rsidR="003837C5">
        <w:rPr>
          <w:sz w:val="22"/>
          <w:szCs w:val="22"/>
        </w:rPr>
        <w:t xml:space="preserve">, </w:t>
      </w:r>
      <w:r w:rsidRPr="00D45ED5" w:rsidR="00D520BD">
        <w:rPr>
          <w:sz w:val="22"/>
          <w:szCs w:val="22"/>
        </w:rPr>
        <w:t>cocaine</w:t>
      </w:r>
      <w:r w:rsidR="00646A79">
        <w:rPr>
          <w:sz w:val="22"/>
          <w:szCs w:val="22"/>
        </w:rPr>
        <w:t>,</w:t>
      </w:r>
      <w:r w:rsidRPr="00D45ED5" w:rsidR="00D520BD">
        <w:rPr>
          <w:sz w:val="22"/>
          <w:szCs w:val="22"/>
        </w:rPr>
        <w:t xml:space="preserve"> </w:t>
      </w:r>
      <w:r w:rsidR="003837C5">
        <w:rPr>
          <w:sz w:val="22"/>
          <w:szCs w:val="22"/>
        </w:rPr>
        <w:t>and the expanded opioid panel</w:t>
      </w:r>
      <w:r w:rsidRPr="00D45ED5" w:rsidR="00D520BD">
        <w:rPr>
          <w:sz w:val="22"/>
          <w:szCs w:val="22"/>
        </w:rPr>
        <w:t xml:space="preserve"> </w:t>
      </w:r>
      <w:r>
        <w:rPr>
          <w:sz w:val="22"/>
          <w:szCs w:val="22"/>
        </w:rPr>
        <w:t xml:space="preserve">is based on </w:t>
      </w:r>
      <w:r w:rsidRPr="00D45ED5" w:rsidR="00D520BD">
        <w:rPr>
          <w:sz w:val="22"/>
          <w:szCs w:val="22"/>
        </w:rPr>
        <w:t>the incremental change</w:t>
      </w:r>
      <w:r w:rsidR="00F75A5F">
        <w:rPr>
          <w:sz w:val="22"/>
          <w:szCs w:val="22"/>
        </w:rPr>
        <w:t>s</w:t>
      </w:r>
      <w:r w:rsidRPr="00D45ED5" w:rsidR="00D520BD">
        <w:rPr>
          <w:sz w:val="22"/>
          <w:szCs w:val="22"/>
        </w:rPr>
        <w:t xml:space="preserve"> in </w:t>
      </w:r>
      <w:r w:rsidR="009375A6">
        <w:rPr>
          <w:sz w:val="22"/>
          <w:szCs w:val="22"/>
        </w:rPr>
        <w:t xml:space="preserve">the MRO-verified </w:t>
      </w:r>
      <w:r w:rsidRPr="00D45ED5" w:rsidR="00D520BD">
        <w:rPr>
          <w:sz w:val="22"/>
          <w:szCs w:val="22"/>
        </w:rPr>
        <w:t xml:space="preserve">positive testing rates </w:t>
      </w:r>
      <w:r>
        <w:rPr>
          <w:sz w:val="22"/>
          <w:szCs w:val="22"/>
        </w:rPr>
        <w:t xml:space="preserve">in the year </w:t>
      </w:r>
      <w:r w:rsidRPr="00D45ED5" w:rsidR="00D520BD">
        <w:rPr>
          <w:sz w:val="22"/>
          <w:szCs w:val="22"/>
        </w:rPr>
        <w:t xml:space="preserve">after </w:t>
      </w:r>
      <w:r w:rsidR="00D520BD">
        <w:rPr>
          <w:sz w:val="22"/>
          <w:szCs w:val="22"/>
        </w:rPr>
        <w:t>the</w:t>
      </w:r>
      <w:r w:rsidR="009375A6">
        <w:rPr>
          <w:sz w:val="22"/>
          <w:szCs w:val="22"/>
        </w:rPr>
        <w:t xml:space="preserve"> DOT</w:t>
      </w:r>
      <w:r w:rsidR="00D520BD">
        <w:rPr>
          <w:sz w:val="22"/>
          <w:szCs w:val="22"/>
        </w:rPr>
        <w:t xml:space="preserve"> implemented </w:t>
      </w:r>
      <w:r w:rsidRPr="00D45ED5" w:rsidR="00D520BD">
        <w:rPr>
          <w:sz w:val="22"/>
          <w:szCs w:val="22"/>
        </w:rPr>
        <w:t>the HHS Guidelines changes</w:t>
      </w:r>
      <w:r w:rsidR="00F47037">
        <w:rPr>
          <w:sz w:val="22"/>
          <w:szCs w:val="22"/>
        </w:rPr>
        <w:t xml:space="preserve"> (i.e., change in positive </w:t>
      </w:r>
      <w:r w:rsidR="009375A6">
        <w:rPr>
          <w:sz w:val="22"/>
          <w:szCs w:val="22"/>
        </w:rPr>
        <w:t>rates</w:t>
      </w:r>
      <w:r w:rsidR="00F47037">
        <w:rPr>
          <w:sz w:val="22"/>
          <w:szCs w:val="22"/>
        </w:rPr>
        <w:t xml:space="preserve"> from 2010 to 2011 for amphetamines and cocaine, and the change in positive </w:t>
      </w:r>
      <w:r w:rsidR="009375A6">
        <w:rPr>
          <w:sz w:val="22"/>
          <w:szCs w:val="22"/>
        </w:rPr>
        <w:t>rate</w:t>
      </w:r>
      <w:r w:rsidR="00F47037">
        <w:rPr>
          <w:sz w:val="22"/>
          <w:szCs w:val="22"/>
        </w:rPr>
        <w:t xml:space="preserve"> from 2017 </w:t>
      </w:r>
      <w:r w:rsidR="0077368A">
        <w:rPr>
          <w:sz w:val="22"/>
          <w:szCs w:val="22"/>
        </w:rPr>
        <w:t>to</w:t>
      </w:r>
      <w:r w:rsidR="00F47037">
        <w:rPr>
          <w:sz w:val="22"/>
          <w:szCs w:val="22"/>
        </w:rPr>
        <w:t xml:space="preserve"> 2018 for </w:t>
      </w:r>
      <w:r w:rsidR="003F3120">
        <w:rPr>
          <w:sz w:val="22"/>
          <w:szCs w:val="22"/>
        </w:rPr>
        <w:t>opioids)</w:t>
      </w:r>
      <w:r w:rsidRPr="00D45ED5" w:rsidR="00D520BD">
        <w:rPr>
          <w:sz w:val="22"/>
          <w:szCs w:val="22"/>
        </w:rPr>
        <w:t xml:space="preserve">.  </w:t>
      </w:r>
      <w:r w:rsidR="00D520BD">
        <w:rPr>
          <w:sz w:val="22"/>
          <w:szCs w:val="22"/>
        </w:rPr>
        <w:t xml:space="preserve">For heroin and </w:t>
      </w:r>
      <w:r w:rsidRPr="00194892" w:rsidR="00D520BD">
        <w:rPr>
          <w:sz w:val="22"/>
        </w:rPr>
        <w:t>Ecstasy</w:t>
      </w:r>
      <w:r w:rsidR="002D1DA4">
        <w:rPr>
          <w:sz w:val="22"/>
        </w:rPr>
        <w:t>-type</w:t>
      </w:r>
      <w:r w:rsidRPr="00194892" w:rsidR="00D520BD">
        <w:rPr>
          <w:sz w:val="22"/>
          <w:szCs w:val="22"/>
        </w:rPr>
        <w:t xml:space="preserve"> drugs</w:t>
      </w:r>
      <w:r w:rsidR="00646A79">
        <w:rPr>
          <w:sz w:val="22"/>
          <w:szCs w:val="22"/>
        </w:rPr>
        <w:t>,</w:t>
      </w:r>
      <w:r w:rsidR="00D520BD">
        <w:rPr>
          <w:sz w:val="22"/>
          <w:szCs w:val="22"/>
        </w:rPr>
        <w:t xml:space="preserve"> the analysis modeled the detection of these drugs by taking the average annual </w:t>
      </w:r>
      <w:r w:rsidR="00E6593C">
        <w:rPr>
          <w:sz w:val="22"/>
          <w:szCs w:val="22"/>
        </w:rPr>
        <w:t xml:space="preserve">unverified laboratory positive test results reported by </w:t>
      </w:r>
      <w:r w:rsidR="009C14CD">
        <w:rPr>
          <w:sz w:val="22"/>
          <w:szCs w:val="22"/>
        </w:rPr>
        <w:t xml:space="preserve">the </w:t>
      </w:r>
      <w:r w:rsidR="00D520BD">
        <w:rPr>
          <w:sz w:val="22"/>
          <w:szCs w:val="22"/>
        </w:rPr>
        <w:t>DOT from October 2010 (when the D</w:t>
      </w:r>
      <w:r w:rsidR="009C14CD">
        <w:rPr>
          <w:sz w:val="22"/>
          <w:szCs w:val="22"/>
        </w:rPr>
        <w:t>OT</w:t>
      </w:r>
      <w:r w:rsidR="00D520BD">
        <w:rPr>
          <w:sz w:val="22"/>
          <w:szCs w:val="22"/>
        </w:rPr>
        <w:t xml:space="preserve"> began implementing the 2008 HHS Guidelines) through </w:t>
      </w:r>
      <w:r w:rsidRPr="00F008DD" w:rsidR="00D520BD">
        <w:rPr>
          <w:sz w:val="22"/>
          <w:szCs w:val="22"/>
        </w:rPr>
        <w:t>CY 201</w:t>
      </w:r>
      <w:r w:rsidRPr="00F008DD" w:rsidR="00FC0176">
        <w:rPr>
          <w:sz w:val="22"/>
          <w:szCs w:val="22"/>
        </w:rPr>
        <w:t>5</w:t>
      </w:r>
      <w:r w:rsidR="00FC0176">
        <w:rPr>
          <w:sz w:val="22"/>
          <w:szCs w:val="22"/>
        </w:rPr>
        <w:t>, which is the extent of DOT data available</w:t>
      </w:r>
      <w:r w:rsidR="00D520BD">
        <w:rPr>
          <w:sz w:val="22"/>
          <w:szCs w:val="22"/>
        </w:rPr>
        <w:t>.</w:t>
      </w:r>
      <w:r w:rsidR="00AC4FB4">
        <w:rPr>
          <w:sz w:val="22"/>
          <w:szCs w:val="22"/>
        </w:rPr>
        <w:t xml:space="preserve">  </w:t>
      </w:r>
      <w:r w:rsidR="00576336">
        <w:rPr>
          <w:sz w:val="22"/>
          <w:szCs w:val="22"/>
        </w:rPr>
        <w:t>While these testing data are unverified, these drugs are Schedule</w:t>
      </w:r>
      <w:r w:rsidR="009C14CD">
        <w:rPr>
          <w:sz w:val="22"/>
          <w:szCs w:val="22"/>
        </w:rPr>
        <w:t> </w:t>
      </w:r>
      <w:r w:rsidR="00576336">
        <w:rPr>
          <w:sz w:val="22"/>
          <w:szCs w:val="22"/>
        </w:rPr>
        <w:t>I drugs (i.e., no legitimate medical use in the U</w:t>
      </w:r>
      <w:r w:rsidR="009C14CD">
        <w:rPr>
          <w:sz w:val="22"/>
          <w:szCs w:val="22"/>
        </w:rPr>
        <w:t xml:space="preserve">nited </w:t>
      </w:r>
      <w:r w:rsidR="00576336">
        <w:rPr>
          <w:sz w:val="22"/>
          <w:szCs w:val="22"/>
        </w:rPr>
        <w:t>S</w:t>
      </w:r>
      <w:r w:rsidR="009C14CD">
        <w:rPr>
          <w:sz w:val="22"/>
          <w:szCs w:val="22"/>
        </w:rPr>
        <w:t>tates</w:t>
      </w:r>
      <w:r w:rsidR="00576336">
        <w:rPr>
          <w:sz w:val="22"/>
          <w:szCs w:val="22"/>
        </w:rPr>
        <w:t>)</w:t>
      </w:r>
      <w:r w:rsidR="006C53E0">
        <w:rPr>
          <w:sz w:val="22"/>
          <w:szCs w:val="22"/>
        </w:rPr>
        <w:t>.</w:t>
      </w:r>
    </w:p>
    <w:p w:rsidRPr="00A76DDE" w:rsidR="00D520BD" w:rsidP="007B2F60" w:rsidRDefault="00D520BD" w14:paraId="10BA177B" w14:textId="6FAB41E1">
      <w:pPr>
        <w:pStyle w:val="ListParagraph"/>
        <w:numPr>
          <w:ilvl w:val="0"/>
          <w:numId w:val="7"/>
        </w:numPr>
        <w:tabs>
          <w:tab w:val="left" w:pos="721"/>
        </w:tabs>
        <w:spacing w:before="220"/>
        <w:ind w:hanging="720"/>
        <w:contextualSpacing w:val="0"/>
        <w:rPr>
          <w:sz w:val="22"/>
          <w:szCs w:val="22"/>
        </w:rPr>
      </w:pPr>
      <w:r w:rsidRPr="00A76DDE">
        <w:rPr>
          <w:sz w:val="22"/>
          <w:szCs w:val="22"/>
        </w:rPr>
        <w:lastRenderedPageBreak/>
        <w:t xml:space="preserve">The NRC evaluated </w:t>
      </w:r>
      <w:r w:rsidR="00A37DB0">
        <w:rPr>
          <w:sz w:val="22"/>
          <w:szCs w:val="22"/>
        </w:rPr>
        <w:t>11</w:t>
      </w:r>
      <w:r>
        <w:rPr>
          <w:sz w:val="22"/>
          <w:szCs w:val="22"/>
        </w:rPr>
        <w:t xml:space="preserve"> years of </w:t>
      </w:r>
      <w:r w:rsidRPr="00A76DDE">
        <w:rPr>
          <w:sz w:val="22"/>
          <w:szCs w:val="22"/>
        </w:rPr>
        <w:t>site</w:t>
      </w:r>
      <w:r>
        <w:rPr>
          <w:sz w:val="22"/>
          <w:szCs w:val="22"/>
        </w:rPr>
        <w:t>-</w:t>
      </w:r>
      <w:r w:rsidRPr="00A76DDE">
        <w:rPr>
          <w:sz w:val="22"/>
          <w:szCs w:val="22"/>
        </w:rPr>
        <w:t xml:space="preserve">specific </w:t>
      </w:r>
      <w:r w:rsidR="00D9192C">
        <w:rPr>
          <w:sz w:val="22"/>
          <w:szCs w:val="22"/>
        </w:rPr>
        <w:t>10 CFR </w:t>
      </w:r>
      <w:r w:rsidR="00F86520">
        <w:rPr>
          <w:sz w:val="22"/>
          <w:szCs w:val="22"/>
        </w:rPr>
        <w:t xml:space="preserve">Part 26 </w:t>
      </w:r>
      <w:r w:rsidRPr="00A76DDE">
        <w:rPr>
          <w:sz w:val="22"/>
          <w:szCs w:val="22"/>
        </w:rPr>
        <w:t xml:space="preserve">FFD program performance </w:t>
      </w:r>
      <w:r>
        <w:rPr>
          <w:sz w:val="22"/>
          <w:szCs w:val="22"/>
        </w:rPr>
        <w:t>testing data (CY </w:t>
      </w:r>
      <w:r w:rsidRPr="00A76DDE">
        <w:rPr>
          <w:sz w:val="22"/>
          <w:szCs w:val="22"/>
        </w:rPr>
        <w:t xml:space="preserve">2009 through </w:t>
      </w:r>
      <w:r>
        <w:rPr>
          <w:sz w:val="22"/>
          <w:szCs w:val="22"/>
        </w:rPr>
        <w:t>CY </w:t>
      </w:r>
      <w:r w:rsidRPr="00A76DDE">
        <w:rPr>
          <w:sz w:val="22"/>
          <w:szCs w:val="22"/>
        </w:rPr>
        <w:t>201</w:t>
      </w:r>
      <w:r w:rsidR="00A37DB0">
        <w:rPr>
          <w:sz w:val="22"/>
          <w:szCs w:val="22"/>
        </w:rPr>
        <w:t>9</w:t>
      </w:r>
      <w:r w:rsidRPr="00A76DDE">
        <w:rPr>
          <w:sz w:val="22"/>
          <w:szCs w:val="22"/>
        </w:rPr>
        <w:t>)</w:t>
      </w:r>
      <w:r>
        <w:rPr>
          <w:sz w:val="22"/>
          <w:szCs w:val="22"/>
        </w:rPr>
        <w:t xml:space="preserve"> to establish</w:t>
      </w:r>
      <w:r w:rsidRPr="00A76DDE">
        <w:rPr>
          <w:sz w:val="22"/>
          <w:szCs w:val="22"/>
        </w:rPr>
        <w:t xml:space="preserve"> the baseline estimates </w:t>
      </w:r>
      <w:r w:rsidR="00DB6775">
        <w:rPr>
          <w:sz w:val="22"/>
          <w:szCs w:val="22"/>
        </w:rPr>
        <w:t>of</w:t>
      </w:r>
      <w:r w:rsidRPr="00A76DDE">
        <w:rPr>
          <w:sz w:val="22"/>
          <w:szCs w:val="22"/>
        </w:rPr>
        <w:t xml:space="preserve"> tested populations and positive testing ra</w:t>
      </w:r>
      <w:r>
        <w:rPr>
          <w:sz w:val="22"/>
          <w:szCs w:val="22"/>
        </w:rPr>
        <w:t>tes for substances ev</w:t>
      </w:r>
      <w:r w:rsidRPr="00A76DDE">
        <w:rPr>
          <w:sz w:val="22"/>
          <w:szCs w:val="22"/>
        </w:rPr>
        <w:t>aluated in the regulatory analysis.</w:t>
      </w:r>
      <w:r>
        <w:rPr>
          <w:sz w:val="22"/>
          <w:szCs w:val="22"/>
        </w:rPr>
        <w:t xml:space="preserve">  The </w:t>
      </w:r>
      <w:r w:rsidR="001B543F">
        <w:rPr>
          <w:sz w:val="22"/>
          <w:szCs w:val="22"/>
        </w:rPr>
        <w:t>NRC</w:t>
      </w:r>
      <w:r>
        <w:rPr>
          <w:sz w:val="22"/>
          <w:szCs w:val="22"/>
        </w:rPr>
        <w:t xml:space="preserve"> also used </w:t>
      </w:r>
      <w:r w:rsidR="00DB6775">
        <w:rPr>
          <w:sz w:val="22"/>
          <w:szCs w:val="22"/>
        </w:rPr>
        <w:t>the data from this period</w:t>
      </w:r>
      <w:r>
        <w:rPr>
          <w:sz w:val="22"/>
          <w:szCs w:val="22"/>
        </w:rPr>
        <w:t xml:space="preserve"> to determine </w:t>
      </w:r>
      <w:r w:rsidR="00DB6775">
        <w:rPr>
          <w:sz w:val="22"/>
          <w:szCs w:val="22"/>
        </w:rPr>
        <w:t>expected variation in</w:t>
      </w:r>
      <w:r>
        <w:rPr>
          <w:sz w:val="22"/>
          <w:szCs w:val="22"/>
        </w:rPr>
        <w:t xml:space="preserve"> certain inputs </w:t>
      </w:r>
      <w:r w:rsidR="00DB6775">
        <w:rPr>
          <w:sz w:val="22"/>
          <w:szCs w:val="22"/>
        </w:rPr>
        <w:t>in order</w:t>
      </w:r>
      <w:r>
        <w:rPr>
          <w:sz w:val="22"/>
          <w:szCs w:val="22"/>
        </w:rPr>
        <w:t xml:space="preserve"> to establish realistic ranges for use in the uncertainty analysis.</w:t>
      </w:r>
    </w:p>
    <w:p w:rsidRPr="00A76DDE" w:rsidR="00D520BD" w:rsidP="00D520BD" w:rsidRDefault="00D520BD" w14:paraId="4E238A0C" w14:textId="77777777">
      <w:pPr>
        <w:pStyle w:val="ListParagraph"/>
        <w:ind w:hanging="720"/>
        <w:rPr>
          <w:sz w:val="22"/>
          <w:szCs w:val="22"/>
        </w:rPr>
      </w:pPr>
    </w:p>
    <w:p w:rsidR="00D520BD" w:rsidP="005C6BA3" w:rsidRDefault="00D520BD" w14:paraId="4473C953" w14:textId="6FCB5843">
      <w:pPr>
        <w:pStyle w:val="ListParagraph"/>
        <w:numPr>
          <w:ilvl w:val="0"/>
          <w:numId w:val="7"/>
        </w:numPr>
        <w:tabs>
          <w:tab w:val="left" w:pos="721"/>
        </w:tabs>
        <w:ind w:hanging="720"/>
        <w:rPr>
          <w:sz w:val="22"/>
          <w:szCs w:val="22"/>
        </w:rPr>
      </w:pPr>
      <w:r w:rsidRPr="00312B07">
        <w:rPr>
          <w:sz w:val="22"/>
          <w:szCs w:val="22"/>
        </w:rPr>
        <w:t xml:space="preserve">The </w:t>
      </w:r>
      <w:r>
        <w:rPr>
          <w:sz w:val="22"/>
          <w:szCs w:val="22"/>
        </w:rPr>
        <w:t xml:space="preserve">NRC used </w:t>
      </w:r>
      <w:r w:rsidR="00DB6775">
        <w:rPr>
          <w:sz w:val="22"/>
          <w:szCs w:val="22"/>
        </w:rPr>
        <w:t>10 CFR </w:t>
      </w:r>
      <w:r w:rsidR="00E6593C">
        <w:rPr>
          <w:sz w:val="22"/>
          <w:szCs w:val="22"/>
        </w:rPr>
        <w:t>Part 26</w:t>
      </w:r>
      <w:r>
        <w:rPr>
          <w:sz w:val="22"/>
          <w:szCs w:val="22"/>
        </w:rPr>
        <w:t xml:space="preserve"> </w:t>
      </w:r>
      <w:r w:rsidRPr="00312B07">
        <w:rPr>
          <w:sz w:val="22"/>
          <w:szCs w:val="22"/>
        </w:rPr>
        <w:t xml:space="preserve">FFD </w:t>
      </w:r>
      <w:r>
        <w:rPr>
          <w:sz w:val="22"/>
          <w:szCs w:val="22"/>
        </w:rPr>
        <w:t>program performance testing</w:t>
      </w:r>
      <w:r w:rsidRPr="00312B07">
        <w:rPr>
          <w:sz w:val="22"/>
          <w:szCs w:val="22"/>
        </w:rPr>
        <w:t xml:space="preserve"> data </w:t>
      </w:r>
      <w:r>
        <w:rPr>
          <w:sz w:val="22"/>
          <w:szCs w:val="22"/>
        </w:rPr>
        <w:t xml:space="preserve">as the basis to forecast </w:t>
      </w:r>
      <w:r w:rsidRPr="00312B07">
        <w:rPr>
          <w:sz w:val="22"/>
          <w:szCs w:val="22"/>
        </w:rPr>
        <w:t xml:space="preserve">the </w:t>
      </w:r>
      <w:r>
        <w:rPr>
          <w:sz w:val="22"/>
          <w:szCs w:val="22"/>
        </w:rPr>
        <w:t xml:space="preserve">future </w:t>
      </w:r>
      <w:r w:rsidRPr="00312B07">
        <w:rPr>
          <w:sz w:val="22"/>
          <w:szCs w:val="22"/>
        </w:rPr>
        <w:t xml:space="preserve">positive testing rates for </w:t>
      </w:r>
      <w:r w:rsidR="00FC0176">
        <w:rPr>
          <w:sz w:val="22"/>
          <w:szCs w:val="22"/>
        </w:rPr>
        <w:t xml:space="preserve">6-AM, </w:t>
      </w:r>
      <w:r w:rsidRPr="00312B07">
        <w:rPr>
          <w:sz w:val="22"/>
          <w:szCs w:val="22"/>
        </w:rPr>
        <w:t>amphetamines</w:t>
      </w:r>
      <w:r w:rsidR="00646A79">
        <w:rPr>
          <w:sz w:val="22"/>
          <w:szCs w:val="22"/>
        </w:rPr>
        <w:t>,</w:t>
      </w:r>
      <w:r w:rsidRPr="00312B07">
        <w:rPr>
          <w:sz w:val="22"/>
          <w:szCs w:val="22"/>
        </w:rPr>
        <w:t xml:space="preserve"> cocaine</w:t>
      </w:r>
      <w:r w:rsidR="00646A79">
        <w:rPr>
          <w:sz w:val="22"/>
          <w:szCs w:val="22"/>
        </w:rPr>
        <w:t>,</w:t>
      </w:r>
      <w:r w:rsidRPr="00312B07">
        <w:rPr>
          <w:sz w:val="22"/>
          <w:szCs w:val="22"/>
        </w:rPr>
        <w:t xml:space="preserve"> dilute specimens</w:t>
      </w:r>
      <w:r w:rsidR="00646A79">
        <w:rPr>
          <w:sz w:val="22"/>
          <w:szCs w:val="22"/>
        </w:rPr>
        <w:t>,</w:t>
      </w:r>
      <w:r w:rsidRPr="00312B07">
        <w:rPr>
          <w:sz w:val="22"/>
          <w:szCs w:val="22"/>
        </w:rPr>
        <w:t xml:space="preserve"> and </w:t>
      </w:r>
      <w:r>
        <w:rPr>
          <w:sz w:val="22"/>
          <w:szCs w:val="22"/>
        </w:rPr>
        <w:t>suspect specimens (</w:t>
      </w:r>
      <w:r w:rsidRPr="00312B07">
        <w:rPr>
          <w:sz w:val="22"/>
          <w:szCs w:val="22"/>
        </w:rPr>
        <w:t>subversion attempts</w:t>
      </w:r>
      <w:r>
        <w:rPr>
          <w:sz w:val="22"/>
          <w:szCs w:val="22"/>
        </w:rPr>
        <w:t>)</w:t>
      </w:r>
      <w:r w:rsidRPr="00312B07">
        <w:rPr>
          <w:sz w:val="22"/>
          <w:szCs w:val="22"/>
        </w:rPr>
        <w:t xml:space="preserve">.  The </w:t>
      </w:r>
      <w:r w:rsidR="00DC16BB">
        <w:rPr>
          <w:sz w:val="22"/>
          <w:szCs w:val="22"/>
        </w:rPr>
        <w:t>site-specific</w:t>
      </w:r>
      <w:r w:rsidRPr="00312B07">
        <w:rPr>
          <w:sz w:val="22"/>
          <w:szCs w:val="22"/>
        </w:rPr>
        <w:t xml:space="preserve"> FFD program performance data </w:t>
      </w:r>
      <w:r w:rsidR="00FC0176">
        <w:rPr>
          <w:sz w:val="22"/>
          <w:szCs w:val="22"/>
        </w:rPr>
        <w:t xml:space="preserve">in Appendix A </w:t>
      </w:r>
      <w:r w:rsidR="00EF23FD">
        <w:rPr>
          <w:sz w:val="22"/>
          <w:szCs w:val="22"/>
        </w:rPr>
        <w:t xml:space="preserve">reflect the total </w:t>
      </w:r>
      <w:r w:rsidR="0030206C">
        <w:rPr>
          <w:sz w:val="22"/>
          <w:szCs w:val="22"/>
        </w:rPr>
        <w:t xml:space="preserve">tests performed and total </w:t>
      </w:r>
      <w:r w:rsidR="00DC16BB">
        <w:rPr>
          <w:sz w:val="22"/>
          <w:szCs w:val="22"/>
        </w:rPr>
        <w:t>positive test results</w:t>
      </w:r>
      <w:r w:rsidR="00EF23FD">
        <w:rPr>
          <w:sz w:val="22"/>
          <w:szCs w:val="22"/>
        </w:rPr>
        <w:t xml:space="preserve"> per year (includes all drug and alcohol positives and </w:t>
      </w:r>
      <w:r w:rsidR="001C15EA">
        <w:rPr>
          <w:sz w:val="22"/>
          <w:szCs w:val="22"/>
        </w:rPr>
        <w:t>subversion attempts</w:t>
      </w:r>
      <w:r w:rsidR="0030206C">
        <w:rPr>
          <w:sz w:val="22"/>
          <w:szCs w:val="22"/>
        </w:rPr>
        <w:t>)</w:t>
      </w:r>
      <w:r w:rsidR="001C15EA">
        <w:rPr>
          <w:sz w:val="22"/>
          <w:szCs w:val="22"/>
        </w:rPr>
        <w:t xml:space="preserve">. </w:t>
      </w:r>
      <w:r w:rsidR="00DB6775">
        <w:rPr>
          <w:sz w:val="22"/>
          <w:szCs w:val="22"/>
        </w:rPr>
        <w:t xml:space="preserve"> </w:t>
      </w:r>
      <w:r w:rsidR="00DA6727">
        <w:rPr>
          <w:sz w:val="22"/>
          <w:szCs w:val="22"/>
        </w:rPr>
        <w:t xml:space="preserve">These data were used to model the number of tests performed at </w:t>
      </w:r>
      <w:r w:rsidR="00F13C0E">
        <w:rPr>
          <w:sz w:val="22"/>
          <w:szCs w:val="22"/>
        </w:rPr>
        <w:t xml:space="preserve">each facility </w:t>
      </w:r>
      <w:r w:rsidR="00DB6775">
        <w:rPr>
          <w:sz w:val="22"/>
          <w:szCs w:val="22"/>
        </w:rPr>
        <w:t>type</w:t>
      </w:r>
      <w:r w:rsidR="00DA6727">
        <w:rPr>
          <w:sz w:val="22"/>
          <w:szCs w:val="22"/>
        </w:rPr>
        <w:t>, as well as the number of testing violations reported each year</w:t>
      </w:r>
      <w:r w:rsidR="00FC0176">
        <w:rPr>
          <w:sz w:val="22"/>
          <w:szCs w:val="22"/>
        </w:rPr>
        <w:t>.</w:t>
      </w:r>
    </w:p>
    <w:p w:rsidR="00D520BD" w:rsidP="00D520BD" w:rsidRDefault="00D520BD" w14:paraId="28FF3C43" w14:textId="77777777">
      <w:pPr>
        <w:pStyle w:val="ListParagraph"/>
        <w:tabs>
          <w:tab w:val="left" w:pos="721"/>
        </w:tabs>
        <w:ind w:hanging="720"/>
        <w:rPr>
          <w:sz w:val="22"/>
          <w:szCs w:val="22"/>
        </w:rPr>
      </w:pPr>
    </w:p>
    <w:p w:rsidRPr="008B0159" w:rsidR="00D520BD" w:rsidP="005C6BA3" w:rsidRDefault="001F1BDB" w14:paraId="62B79846" w14:textId="504C5EC6">
      <w:pPr>
        <w:pStyle w:val="ListParagraph"/>
        <w:numPr>
          <w:ilvl w:val="0"/>
          <w:numId w:val="7"/>
        </w:numPr>
        <w:tabs>
          <w:tab w:val="left" w:pos="721"/>
        </w:tabs>
        <w:ind w:hanging="720"/>
        <w:rPr>
          <w:sz w:val="22"/>
          <w:szCs w:val="22"/>
        </w:rPr>
      </w:pPr>
      <w:r w:rsidRPr="008B0159">
        <w:rPr>
          <w:sz w:val="22"/>
          <w:szCs w:val="22"/>
        </w:rPr>
        <w:t xml:space="preserve">The </w:t>
      </w:r>
      <w:r w:rsidR="00DB6775">
        <w:rPr>
          <w:sz w:val="22"/>
          <w:szCs w:val="22"/>
        </w:rPr>
        <w:t>10 CFR </w:t>
      </w:r>
      <w:r w:rsidRPr="008B0159">
        <w:rPr>
          <w:sz w:val="22"/>
          <w:szCs w:val="22"/>
        </w:rPr>
        <w:t xml:space="preserve">Part 26 FFD program </w:t>
      </w:r>
      <w:r w:rsidRPr="008B0159" w:rsidR="00D520BD">
        <w:rPr>
          <w:sz w:val="22"/>
          <w:szCs w:val="22"/>
        </w:rPr>
        <w:t>positive test rates for amphetamines</w:t>
      </w:r>
      <w:r w:rsidRPr="008B0159" w:rsidR="00646A79">
        <w:rPr>
          <w:sz w:val="22"/>
          <w:szCs w:val="22"/>
        </w:rPr>
        <w:t>,</w:t>
      </w:r>
      <w:r w:rsidRPr="008B0159" w:rsidR="00D520BD">
        <w:rPr>
          <w:sz w:val="22"/>
          <w:szCs w:val="22"/>
        </w:rPr>
        <w:t xml:space="preserve"> methamphetamines</w:t>
      </w:r>
      <w:r w:rsidRPr="008B0159" w:rsidR="00646A79">
        <w:rPr>
          <w:sz w:val="22"/>
          <w:szCs w:val="22"/>
        </w:rPr>
        <w:t>,</w:t>
      </w:r>
      <w:r w:rsidRPr="008B0159" w:rsidR="00D520BD">
        <w:rPr>
          <w:sz w:val="22"/>
          <w:szCs w:val="22"/>
        </w:rPr>
        <w:t xml:space="preserve"> and cocaine could be higher than reported</w:t>
      </w:r>
      <w:r w:rsidRPr="008B0159">
        <w:rPr>
          <w:sz w:val="22"/>
          <w:szCs w:val="22"/>
        </w:rPr>
        <w:t xml:space="preserve"> b</w:t>
      </w:r>
      <w:r w:rsidRPr="008B0159" w:rsidR="00D520BD">
        <w:rPr>
          <w:sz w:val="22"/>
          <w:szCs w:val="22"/>
        </w:rPr>
        <w:t xml:space="preserve">ecause of the prevalence of attempts to subvert the drug testing process.  The model forecasts detection improvements using the average positive rate for </w:t>
      </w:r>
      <w:r w:rsidRPr="008B0159" w:rsidR="006E6585">
        <w:rPr>
          <w:sz w:val="22"/>
          <w:szCs w:val="22"/>
        </w:rPr>
        <w:t xml:space="preserve">each </w:t>
      </w:r>
      <w:r w:rsidRPr="008B0159" w:rsidR="00D520BD">
        <w:rPr>
          <w:sz w:val="22"/>
          <w:szCs w:val="22"/>
        </w:rPr>
        <w:t>substance from CY 2010 through CY 201</w:t>
      </w:r>
      <w:r w:rsidRPr="008B0159" w:rsidR="00FC0176">
        <w:rPr>
          <w:sz w:val="22"/>
          <w:szCs w:val="22"/>
        </w:rPr>
        <w:t>9</w:t>
      </w:r>
      <w:r w:rsidRPr="008B0159" w:rsidR="00D520BD">
        <w:rPr>
          <w:sz w:val="22"/>
          <w:szCs w:val="22"/>
        </w:rPr>
        <w:t xml:space="preserve">.  Because </w:t>
      </w:r>
      <w:r w:rsidR="00764598">
        <w:rPr>
          <w:sz w:val="22"/>
          <w:szCs w:val="22"/>
        </w:rPr>
        <w:t xml:space="preserve">approximately </w:t>
      </w:r>
      <w:r w:rsidRPr="008B0159" w:rsidR="00D520BD">
        <w:rPr>
          <w:sz w:val="22"/>
          <w:szCs w:val="22"/>
        </w:rPr>
        <w:t>two-thirds of those identified as subverting a test do not submit a specimen for testing (</w:t>
      </w:r>
      <w:r w:rsidRPr="008B0159" w:rsidR="00CC49BE">
        <w:rPr>
          <w:sz w:val="22"/>
          <w:szCs w:val="22"/>
        </w:rPr>
        <w:t>average 155</w:t>
      </w:r>
      <w:r w:rsidRPr="008B0159" w:rsidR="00D520BD">
        <w:rPr>
          <w:sz w:val="22"/>
          <w:szCs w:val="22"/>
        </w:rPr>
        <w:t> individuals per year)</w:t>
      </w:r>
      <w:r w:rsidRPr="008B0159" w:rsidR="00646A79">
        <w:rPr>
          <w:sz w:val="22"/>
          <w:szCs w:val="22"/>
        </w:rPr>
        <w:t>,</w:t>
      </w:r>
      <w:r w:rsidRPr="008B0159" w:rsidR="00D520BD">
        <w:rPr>
          <w:sz w:val="22"/>
          <w:szCs w:val="22"/>
        </w:rPr>
        <w:t xml:space="preserve"> the drug(s) in a donor’s body </w:t>
      </w:r>
      <w:r w:rsidRPr="008B0159" w:rsidR="006E6585">
        <w:rPr>
          <w:sz w:val="22"/>
          <w:szCs w:val="22"/>
        </w:rPr>
        <w:t>cannot</w:t>
      </w:r>
      <w:r w:rsidRPr="008B0159" w:rsidR="00D520BD">
        <w:rPr>
          <w:sz w:val="22"/>
          <w:szCs w:val="22"/>
        </w:rPr>
        <w:t xml:space="preserve"> be detected and captured in the total results for the year.</w:t>
      </w:r>
    </w:p>
    <w:p w:rsidRPr="00312B07" w:rsidR="00D520BD" w:rsidP="00D520BD" w:rsidRDefault="00D520BD" w14:paraId="3859AFA3" w14:textId="77777777">
      <w:pPr>
        <w:numPr>
          <w:ilvl w:val="12"/>
          <w:numId w:val="0"/>
        </w:numPr>
        <w:tabs>
          <w:tab w:val="left" w:pos="721"/>
        </w:tabs>
        <w:rPr>
          <w:sz w:val="22"/>
          <w:szCs w:val="22"/>
        </w:rPr>
      </w:pPr>
    </w:p>
    <w:p w:rsidRPr="005A5966" w:rsidR="00D520BD" w:rsidP="00D520BD" w:rsidRDefault="00D520BD" w14:paraId="0739ABD2" w14:textId="361327D6">
      <w:pPr>
        <w:numPr>
          <w:ilvl w:val="12"/>
          <w:numId w:val="0"/>
        </w:numPr>
        <w:tabs>
          <w:tab w:val="left" w:pos="721"/>
        </w:tabs>
        <w:rPr>
          <w:sz w:val="22"/>
          <w:szCs w:val="22"/>
        </w:rPr>
      </w:pPr>
      <w:r w:rsidRPr="00312B07">
        <w:rPr>
          <w:sz w:val="22"/>
          <w:szCs w:val="22"/>
        </w:rPr>
        <w:t>Appendices</w:t>
      </w:r>
      <w:r>
        <w:rPr>
          <w:sz w:val="22"/>
          <w:szCs w:val="22"/>
        </w:rPr>
        <w:t> </w:t>
      </w:r>
      <w:r w:rsidRPr="00312B07">
        <w:rPr>
          <w:sz w:val="22"/>
          <w:szCs w:val="22"/>
        </w:rPr>
        <w:t>B</w:t>
      </w:r>
      <w:r w:rsidR="00646A79">
        <w:rPr>
          <w:sz w:val="22"/>
          <w:szCs w:val="22"/>
        </w:rPr>
        <w:t>,</w:t>
      </w:r>
      <w:r w:rsidRPr="00312B07">
        <w:rPr>
          <w:sz w:val="22"/>
          <w:szCs w:val="22"/>
        </w:rPr>
        <w:t xml:space="preserve"> C</w:t>
      </w:r>
      <w:r w:rsidR="00646A79">
        <w:rPr>
          <w:sz w:val="22"/>
          <w:szCs w:val="22"/>
        </w:rPr>
        <w:t>,</w:t>
      </w:r>
      <w:r w:rsidRPr="00312B07">
        <w:rPr>
          <w:sz w:val="22"/>
          <w:szCs w:val="22"/>
        </w:rPr>
        <w:t xml:space="preserve"> and D </w:t>
      </w:r>
      <w:r w:rsidR="00D6015B">
        <w:rPr>
          <w:sz w:val="22"/>
          <w:szCs w:val="22"/>
        </w:rPr>
        <w:t xml:space="preserve">provide </w:t>
      </w:r>
      <w:r w:rsidR="00E32156">
        <w:rPr>
          <w:sz w:val="22"/>
          <w:szCs w:val="22"/>
        </w:rPr>
        <w:t xml:space="preserve">details </w:t>
      </w:r>
      <w:r>
        <w:rPr>
          <w:sz w:val="22"/>
          <w:szCs w:val="22"/>
        </w:rPr>
        <w:t>the</w:t>
      </w:r>
      <w:r w:rsidRPr="00312B07">
        <w:rPr>
          <w:sz w:val="22"/>
          <w:szCs w:val="22"/>
        </w:rPr>
        <w:t xml:space="preserve"> assumptions used in the analysis.</w:t>
      </w:r>
      <w:r>
        <w:rPr>
          <w:sz w:val="22"/>
          <w:szCs w:val="22"/>
        </w:rPr>
        <w:t xml:space="preserve">  Section 5.2 </w:t>
      </w:r>
      <w:r w:rsidR="00E32156">
        <w:rPr>
          <w:sz w:val="22"/>
          <w:szCs w:val="22"/>
        </w:rPr>
        <w:t xml:space="preserve">presents </w:t>
      </w:r>
      <w:r>
        <w:rPr>
          <w:sz w:val="22"/>
          <w:szCs w:val="22"/>
        </w:rPr>
        <w:t>the inputs and results of the uncertainty analysis.</w:t>
      </w:r>
    </w:p>
    <w:p w:rsidRPr="00A37DB0" w:rsidR="00D520BD" w:rsidP="00D520BD" w:rsidRDefault="00D520BD" w14:paraId="4A81478B" w14:textId="37DAF5A3">
      <w:pPr>
        <w:autoSpaceDE/>
        <w:autoSpaceDN/>
        <w:adjustRightInd/>
        <w:rPr>
          <w:rFonts w:cs="Arial"/>
          <w:kern w:val="32"/>
          <w:sz w:val="22"/>
          <w:szCs w:val="22"/>
        </w:rPr>
      </w:pPr>
      <w:bookmarkStart w:name="_Toc460412608" w:id="117"/>
      <w:r w:rsidRPr="00A37DB0">
        <w:rPr>
          <w:sz w:val="22"/>
          <w:szCs w:val="22"/>
        </w:rPr>
        <w:br w:type="page"/>
      </w:r>
    </w:p>
    <w:p w:rsidRPr="005A5966" w:rsidR="00D520BD" w:rsidP="00D520BD" w:rsidRDefault="00D520BD" w14:paraId="5CA2786F" w14:textId="77777777">
      <w:pPr>
        <w:pStyle w:val="Heading1"/>
      </w:pPr>
      <w:bookmarkStart w:name="_Toc72840026" w:id="118"/>
      <w:bookmarkStart w:name="_Toc105681499" w:id="119"/>
      <w:r>
        <w:lastRenderedPageBreak/>
        <w:t>5</w:t>
      </w:r>
      <w:r w:rsidRPr="005A5966">
        <w:t>.</w:t>
      </w:r>
      <w:r w:rsidRPr="005A5966">
        <w:tab/>
        <w:t>Results</w:t>
      </w:r>
      <w:bookmarkEnd w:id="114"/>
      <w:bookmarkEnd w:id="115"/>
      <w:bookmarkEnd w:id="116"/>
      <w:bookmarkEnd w:id="117"/>
      <w:bookmarkEnd w:id="118"/>
      <w:bookmarkEnd w:id="119"/>
    </w:p>
    <w:p w:rsidRPr="005A5966" w:rsidR="00D520BD" w:rsidP="00D520BD" w:rsidRDefault="00D520BD" w14:paraId="5FF32B77" w14:textId="77777777">
      <w:pPr>
        <w:keepNext/>
        <w:keepLines/>
        <w:numPr>
          <w:ilvl w:val="12"/>
          <w:numId w:val="0"/>
        </w:numPr>
        <w:tabs>
          <w:tab w:val="left" w:pos="721"/>
        </w:tabs>
        <w:rPr>
          <w:sz w:val="22"/>
          <w:szCs w:val="22"/>
        </w:rPr>
      </w:pPr>
    </w:p>
    <w:p w:rsidRPr="005A5966" w:rsidR="00D520BD" w:rsidP="00D520BD" w:rsidRDefault="00D520BD" w14:paraId="0ED758B6" w14:textId="6A29B751">
      <w:pPr>
        <w:rPr>
          <w:sz w:val="22"/>
          <w:szCs w:val="22"/>
        </w:rPr>
      </w:pPr>
      <w:r w:rsidRPr="00F000B6">
        <w:rPr>
          <w:sz w:val="22"/>
          <w:szCs w:val="22"/>
        </w:rPr>
        <w:t xml:space="preserve">This section organizes the analytical results into </w:t>
      </w:r>
      <w:r w:rsidR="00D51636">
        <w:rPr>
          <w:sz w:val="22"/>
          <w:szCs w:val="22"/>
        </w:rPr>
        <w:t>four</w:t>
      </w:r>
      <w:r w:rsidRPr="00F000B6">
        <w:rPr>
          <w:sz w:val="22"/>
          <w:szCs w:val="22"/>
        </w:rPr>
        <w:t xml:space="preserve"> sections.  Section</w:t>
      </w:r>
      <w:r>
        <w:rPr>
          <w:sz w:val="22"/>
          <w:szCs w:val="22"/>
        </w:rPr>
        <w:t> 5</w:t>
      </w:r>
      <w:r w:rsidRPr="00F000B6">
        <w:rPr>
          <w:sz w:val="22"/>
          <w:szCs w:val="22"/>
        </w:rPr>
        <w:t xml:space="preserve">.1 presents results on the benefits and costs of the </w:t>
      </w:r>
      <w:r w:rsidR="00C82438">
        <w:rPr>
          <w:sz w:val="22"/>
          <w:szCs w:val="22"/>
        </w:rPr>
        <w:t>final</w:t>
      </w:r>
      <w:r w:rsidRPr="00F000B6">
        <w:rPr>
          <w:sz w:val="22"/>
          <w:szCs w:val="22"/>
        </w:rPr>
        <w:t xml:space="preserve"> rule.  </w:t>
      </w:r>
      <w:r w:rsidRPr="00867CA5">
        <w:rPr>
          <w:sz w:val="22"/>
          <w:szCs w:val="22"/>
        </w:rPr>
        <w:t>Section</w:t>
      </w:r>
      <w:r>
        <w:rPr>
          <w:sz w:val="22"/>
          <w:szCs w:val="22"/>
        </w:rPr>
        <w:t> </w:t>
      </w:r>
      <w:r w:rsidRPr="00867CA5">
        <w:rPr>
          <w:sz w:val="22"/>
          <w:szCs w:val="22"/>
        </w:rPr>
        <w:t xml:space="preserve">5.2 </w:t>
      </w:r>
      <w:r w:rsidRPr="00867CA5">
        <w:rPr>
          <w:rFonts w:cs="Arial"/>
          <w:sz w:val="22"/>
          <w:szCs w:val="22"/>
        </w:rPr>
        <w:t xml:space="preserve">evaluates the uncertainties in the benefit and cost estimate and identifies those uncertain variables that most affect the variation in the results. </w:t>
      </w:r>
      <w:r w:rsidRPr="00867CA5">
        <w:rPr>
          <w:sz w:val="22"/>
          <w:szCs w:val="22"/>
        </w:rPr>
        <w:t xml:space="preserve"> Sec</w:t>
      </w:r>
      <w:r w:rsidRPr="005273FC">
        <w:rPr>
          <w:sz w:val="22"/>
          <w:szCs w:val="22"/>
        </w:rPr>
        <w:t>tion</w:t>
      </w:r>
      <w:r>
        <w:rPr>
          <w:sz w:val="22"/>
          <w:szCs w:val="22"/>
        </w:rPr>
        <w:t> 5</w:t>
      </w:r>
      <w:r w:rsidRPr="00867CA5">
        <w:rPr>
          <w:sz w:val="22"/>
          <w:szCs w:val="22"/>
        </w:rPr>
        <w:t xml:space="preserve">.3 </w:t>
      </w:r>
      <w:r w:rsidRPr="005273FC">
        <w:rPr>
          <w:sz w:val="22"/>
          <w:szCs w:val="22"/>
        </w:rPr>
        <w:t xml:space="preserve">addresses the </w:t>
      </w:r>
      <w:r w:rsidRPr="00867CA5">
        <w:rPr>
          <w:rFonts w:cs="Arial"/>
          <w:sz w:val="22"/>
          <w:szCs w:val="22"/>
        </w:rPr>
        <w:t xml:space="preserve">disaggregation </w:t>
      </w:r>
      <w:r w:rsidRPr="00F000B6">
        <w:rPr>
          <w:sz w:val="22"/>
          <w:szCs w:val="22"/>
        </w:rPr>
        <w:t xml:space="preserve">results for each of the regulatory initiatives that comprise the </w:t>
      </w:r>
      <w:r w:rsidR="00C82438">
        <w:rPr>
          <w:sz w:val="22"/>
          <w:szCs w:val="22"/>
        </w:rPr>
        <w:t>final</w:t>
      </w:r>
      <w:r w:rsidRPr="00F000B6">
        <w:rPr>
          <w:sz w:val="22"/>
          <w:szCs w:val="22"/>
        </w:rPr>
        <w:t xml:space="preserve"> rule</w:t>
      </w:r>
      <w:r w:rsidRPr="00867CA5">
        <w:rPr>
          <w:sz w:val="22"/>
          <w:szCs w:val="22"/>
        </w:rPr>
        <w:t>.  Section</w:t>
      </w:r>
      <w:r>
        <w:rPr>
          <w:sz w:val="22"/>
          <w:szCs w:val="22"/>
        </w:rPr>
        <w:t> 5</w:t>
      </w:r>
      <w:r w:rsidRPr="00867CA5">
        <w:rPr>
          <w:sz w:val="22"/>
          <w:szCs w:val="22"/>
        </w:rPr>
        <w:t>.</w:t>
      </w:r>
      <w:r>
        <w:rPr>
          <w:sz w:val="22"/>
          <w:szCs w:val="22"/>
        </w:rPr>
        <w:t xml:space="preserve">4 </w:t>
      </w:r>
      <w:r w:rsidRPr="00867CA5">
        <w:rPr>
          <w:sz w:val="22"/>
          <w:szCs w:val="22"/>
        </w:rPr>
        <w:t>describes the</w:t>
      </w:r>
      <w:r w:rsidRPr="00F000B6">
        <w:rPr>
          <w:sz w:val="22"/>
          <w:szCs w:val="22"/>
        </w:rPr>
        <w:t xml:space="preserve"> information required for review by the Committee to Review Generic Requirements (CRGR).</w:t>
      </w:r>
    </w:p>
    <w:p w:rsidRPr="005A5966" w:rsidR="00D520BD" w:rsidP="00D520BD" w:rsidRDefault="00D520BD" w14:paraId="767307D8" w14:textId="77777777">
      <w:pPr>
        <w:rPr>
          <w:rFonts w:cs="Arial"/>
          <w:sz w:val="22"/>
          <w:szCs w:val="22"/>
        </w:rPr>
      </w:pPr>
    </w:p>
    <w:p w:rsidRPr="005A5966" w:rsidR="00D520BD" w:rsidP="00D520BD" w:rsidRDefault="00D520BD" w14:paraId="3600DF7B" w14:textId="542E2DF4">
      <w:pPr>
        <w:pStyle w:val="Heading2"/>
      </w:pPr>
      <w:bookmarkStart w:name="_Toc199932654" w:id="120"/>
      <w:bookmarkStart w:name="_Toc460412609" w:id="121"/>
      <w:bookmarkStart w:name="_Toc72840027" w:id="122"/>
      <w:bookmarkStart w:name="_Toc105681500" w:id="123"/>
      <w:r>
        <w:t>5</w:t>
      </w:r>
      <w:r w:rsidRPr="005A5966">
        <w:t>.1</w:t>
      </w:r>
      <w:r w:rsidRPr="005A5966">
        <w:tab/>
        <w:t xml:space="preserve">Benefits and Costs </w:t>
      </w:r>
      <w:bookmarkEnd w:id="120"/>
      <w:r w:rsidRPr="005A5966">
        <w:t xml:space="preserve">of the </w:t>
      </w:r>
      <w:r w:rsidR="00C82438">
        <w:t>Final</w:t>
      </w:r>
      <w:r w:rsidRPr="005A5966">
        <w:t xml:space="preserve"> Rule</w:t>
      </w:r>
      <w:bookmarkEnd w:id="121"/>
      <w:bookmarkEnd w:id="122"/>
      <w:bookmarkEnd w:id="123"/>
    </w:p>
    <w:p w:rsidRPr="005A5966" w:rsidR="00D520BD" w:rsidP="00D520BD" w:rsidRDefault="00D520BD" w14:paraId="5A8A4ED1" w14:textId="77777777">
      <w:pPr>
        <w:keepNext/>
        <w:keepLines/>
        <w:numPr>
          <w:ilvl w:val="12"/>
          <w:numId w:val="0"/>
        </w:numPr>
        <w:tabs>
          <w:tab w:val="left" w:pos="721"/>
        </w:tabs>
        <w:rPr>
          <w:sz w:val="22"/>
          <w:szCs w:val="22"/>
        </w:rPr>
      </w:pPr>
    </w:p>
    <w:p w:rsidRPr="005A5966" w:rsidR="00D520BD" w:rsidP="00D520BD" w:rsidRDefault="00D520BD" w14:paraId="06FE9FAA" w14:textId="48063A75">
      <w:pPr>
        <w:numPr>
          <w:ilvl w:val="12"/>
          <w:numId w:val="0"/>
        </w:numPr>
        <w:tabs>
          <w:tab w:val="left" w:pos="721"/>
        </w:tabs>
        <w:rPr>
          <w:sz w:val="22"/>
          <w:szCs w:val="22"/>
        </w:rPr>
      </w:pPr>
      <w:r w:rsidRPr="005A5966">
        <w:rPr>
          <w:sz w:val="22"/>
          <w:szCs w:val="22"/>
        </w:rPr>
        <w:t>This section discusses the benefits and costs estimated for the rule (as summarized in Tables</w:t>
      </w:r>
      <w:r>
        <w:rPr>
          <w:sz w:val="22"/>
          <w:szCs w:val="22"/>
        </w:rPr>
        <w:t> 5</w:t>
      </w:r>
      <w:r w:rsidRPr="005A5966">
        <w:rPr>
          <w:sz w:val="22"/>
          <w:szCs w:val="22"/>
        </w:rPr>
        <w:t xml:space="preserve">-1 and </w:t>
      </w:r>
      <w:r>
        <w:rPr>
          <w:sz w:val="22"/>
          <w:szCs w:val="22"/>
        </w:rPr>
        <w:t>5</w:t>
      </w:r>
      <w:r w:rsidRPr="005A5966">
        <w:rPr>
          <w:sz w:val="22"/>
          <w:szCs w:val="22"/>
        </w:rPr>
        <w:t xml:space="preserve">-2) and for each quantifiable regulatory initiative contained in the rule (as summarized in Table </w:t>
      </w:r>
      <w:r>
        <w:rPr>
          <w:sz w:val="22"/>
          <w:szCs w:val="22"/>
        </w:rPr>
        <w:t>5</w:t>
      </w:r>
      <w:r w:rsidRPr="005A5966">
        <w:rPr>
          <w:sz w:val="22"/>
          <w:szCs w:val="22"/>
        </w:rPr>
        <w:t>-3).</w:t>
      </w:r>
      <w:r>
        <w:rPr>
          <w:sz w:val="22"/>
          <w:szCs w:val="22"/>
        </w:rPr>
        <w:t xml:space="preserve">  Sections 5.1.7 through 5.1.10 describe the qualitatively evaluated attributes in the analysis.</w:t>
      </w:r>
      <w:r w:rsidR="004E7E64">
        <w:rPr>
          <w:sz w:val="22"/>
          <w:szCs w:val="22"/>
        </w:rPr>
        <w:t xml:space="preserve">  </w:t>
      </w:r>
      <w:r w:rsidRPr="004E7E64" w:rsidR="004E7E64">
        <w:rPr>
          <w:sz w:val="22"/>
          <w:szCs w:val="22"/>
        </w:rPr>
        <w:t>The NRC staff performed a qualitative assessment of these attributes, which is consistent with the Commission’s direction in SECY-14-0087 (NRC, 2015).</w:t>
      </w:r>
    </w:p>
    <w:p w:rsidRPr="005A5966" w:rsidR="00D520BD" w:rsidP="00D520BD" w:rsidRDefault="00D520BD" w14:paraId="713FFA45" w14:textId="19B318FF">
      <w:pPr>
        <w:numPr>
          <w:ilvl w:val="12"/>
          <w:numId w:val="0"/>
        </w:numPr>
        <w:tabs>
          <w:tab w:val="left" w:pos="721"/>
        </w:tabs>
        <w:rPr>
          <w:sz w:val="22"/>
          <w:szCs w:val="22"/>
        </w:rPr>
      </w:pPr>
    </w:p>
    <w:p w:rsidRPr="005A5966" w:rsidR="00D520BD" w:rsidP="00D520BD" w:rsidRDefault="00D520BD" w14:paraId="3E712E24" w14:textId="75DED5DF">
      <w:pPr>
        <w:numPr>
          <w:ilvl w:val="12"/>
          <w:numId w:val="0"/>
        </w:numPr>
        <w:tabs>
          <w:tab w:val="left" w:pos="721"/>
        </w:tabs>
        <w:rPr>
          <w:sz w:val="22"/>
          <w:szCs w:val="22"/>
        </w:rPr>
      </w:pPr>
      <w:r w:rsidRPr="00CC49BE">
        <w:rPr>
          <w:sz w:val="22"/>
          <w:szCs w:val="22"/>
        </w:rPr>
        <w:t xml:space="preserve">The </w:t>
      </w:r>
      <w:r w:rsidR="00384CB9">
        <w:rPr>
          <w:sz w:val="22"/>
          <w:szCs w:val="22"/>
        </w:rPr>
        <w:t xml:space="preserve">final </w:t>
      </w:r>
      <w:r w:rsidRPr="00CC49BE">
        <w:rPr>
          <w:sz w:val="22"/>
          <w:szCs w:val="22"/>
        </w:rPr>
        <w:t xml:space="preserve">rule (Alternative 2) </w:t>
      </w:r>
      <w:r w:rsidR="00384CB9">
        <w:rPr>
          <w:sz w:val="22"/>
          <w:szCs w:val="22"/>
        </w:rPr>
        <w:t xml:space="preserve">will </w:t>
      </w:r>
      <w:r w:rsidRPr="00CC49BE">
        <w:rPr>
          <w:sz w:val="22"/>
          <w:szCs w:val="22"/>
        </w:rPr>
        <w:t xml:space="preserve">result in an estimated net </w:t>
      </w:r>
      <w:r w:rsidR="0051405D">
        <w:rPr>
          <w:sz w:val="22"/>
          <w:szCs w:val="22"/>
        </w:rPr>
        <w:t>benefit</w:t>
      </w:r>
      <w:r w:rsidRPr="00CC49BE">
        <w:rPr>
          <w:sz w:val="22"/>
          <w:szCs w:val="22"/>
        </w:rPr>
        <w:t xml:space="preserve"> of between $</w:t>
      </w:r>
      <w:r w:rsidR="00355A1B">
        <w:rPr>
          <w:sz w:val="22"/>
          <w:szCs w:val="22"/>
        </w:rPr>
        <w:t>418,356</w:t>
      </w:r>
      <w:r w:rsidRPr="00CC49BE">
        <w:rPr>
          <w:sz w:val="22"/>
          <w:szCs w:val="22"/>
        </w:rPr>
        <w:t xml:space="preserve"> and $</w:t>
      </w:r>
      <w:r w:rsidR="00C14109">
        <w:rPr>
          <w:sz w:val="22"/>
          <w:szCs w:val="22"/>
        </w:rPr>
        <w:t>69</w:t>
      </w:r>
      <w:r w:rsidR="00E074FF">
        <w:rPr>
          <w:sz w:val="22"/>
          <w:szCs w:val="22"/>
        </w:rPr>
        <w:t>2,799</w:t>
      </w:r>
      <w:r w:rsidRPr="00CC49BE" w:rsidR="00646A79">
        <w:rPr>
          <w:sz w:val="22"/>
          <w:szCs w:val="22"/>
        </w:rPr>
        <w:t>,</w:t>
      </w:r>
      <w:r w:rsidRPr="00CC49BE">
        <w:rPr>
          <w:sz w:val="22"/>
          <w:szCs w:val="22"/>
        </w:rPr>
        <w:t xml:space="preserve"> at 7-percent and 3-percent discount rate</w:t>
      </w:r>
      <w:r w:rsidR="00D91A21">
        <w:rPr>
          <w:sz w:val="22"/>
          <w:szCs w:val="22"/>
        </w:rPr>
        <w:t>s</w:t>
      </w:r>
      <w:r w:rsidRPr="00CC49BE" w:rsidR="00646A79">
        <w:rPr>
          <w:sz w:val="22"/>
          <w:szCs w:val="22"/>
        </w:rPr>
        <w:t>,</w:t>
      </w:r>
      <w:r w:rsidRPr="00CC49BE">
        <w:rPr>
          <w:sz w:val="22"/>
          <w:szCs w:val="22"/>
        </w:rPr>
        <w:t xml:space="preserve"> respectively.  These costs are associated with </w:t>
      </w:r>
      <w:r w:rsidRPr="00CC49BE" w:rsidR="00A37DB0">
        <w:rPr>
          <w:sz w:val="22"/>
          <w:szCs w:val="22"/>
        </w:rPr>
        <w:t>two</w:t>
      </w:r>
      <w:r w:rsidRPr="00CC49BE">
        <w:rPr>
          <w:sz w:val="22"/>
          <w:szCs w:val="22"/>
        </w:rPr>
        <w:t xml:space="preserve"> affected attributes—industry implementation</w:t>
      </w:r>
      <w:r w:rsidRPr="00CC49BE" w:rsidR="00A37DB0">
        <w:rPr>
          <w:sz w:val="22"/>
          <w:szCs w:val="22"/>
        </w:rPr>
        <w:t xml:space="preserve"> and</w:t>
      </w:r>
      <w:r w:rsidRPr="00CC49BE">
        <w:rPr>
          <w:sz w:val="22"/>
          <w:szCs w:val="22"/>
        </w:rPr>
        <w:t xml:space="preserve"> industry operation.  These</w:t>
      </w:r>
      <w:r>
        <w:rPr>
          <w:sz w:val="22"/>
          <w:szCs w:val="22"/>
        </w:rPr>
        <w:t xml:space="preserve"> numbers</w:t>
      </w:r>
      <w:r w:rsidRPr="00A10DDE">
        <w:rPr>
          <w:sz w:val="22"/>
          <w:szCs w:val="22"/>
        </w:rPr>
        <w:t xml:space="preserve"> </w:t>
      </w:r>
      <w:r>
        <w:rPr>
          <w:sz w:val="22"/>
          <w:szCs w:val="22"/>
        </w:rPr>
        <w:t>include</w:t>
      </w:r>
      <w:r w:rsidRPr="00A10DDE">
        <w:rPr>
          <w:sz w:val="22"/>
          <w:szCs w:val="22"/>
        </w:rPr>
        <w:t xml:space="preserve"> averted </w:t>
      </w:r>
      <w:r>
        <w:rPr>
          <w:sz w:val="22"/>
          <w:szCs w:val="22"/>
        </w:rPr>
        <w:t xml:space="preserve">training </w:t>
      </w:r>
      <w:r w:rsidRPr="00A10DDE">
        <w:rPr>
          <w:sz w:val="22"/>
          <w:szCs w:val="22"/>
        </w:rPr>
        <w:t xml:space="preserve">costs </w:t>
      </w:r>
      <w:r>
        <w:rPr>
          <w:sz w:val="22"/>
          <w:szCs w:val="22"/>
        </w:rPr>
        <w:t>(i.e.</w:t>
      </w:r>
      <w:r w:rsidR="00646A79">
        <w:rPr>
          <w:sz w:val="22"/>
          <w:szCs w:val="22"/>
        </w:rPr>
        <w:t>,</w:t>
      </w:r>
      <w:r>
        <w:rPr>
          <w:sz w:val="22"/>
          <w:szCs w:val="22"/>
        </w:rPr>
        <w:t> quantified benefits) to</w:t>
      </w:r>
      <w:r w:rsidRPr="00A10DDE">
        <w:rPr>
          <w:sz w:val="22"/>
          <w:szCs w:val="22"/>
        </w:rPr>
        <w:t xml:space="preserve"> industry operation associated with additional </w:t>
      </w:r>
      <w:r>
        <w:rPr>
          <w:sz w:val="22"/>
          <w:szCs w:val="22"/>
        </w:rPr>
        <w:t xml:space="preserve">individuals testing </w:t>
      </w:r>
      <w:r w:rsidRPr="00A10DDE">
        <w:rPr>
          <w:sz w:val="22"/>
          <w:szCs w:val="22"/>
        </w:rPr>
        <w:t xml:space="preserve">positive during </w:t>
      </w:r>
      <w:r>
        <w:rPr>
          <w:sz w:val="22"/>
          <w:szCs w:val="22"/>
        </w:rPr>
        <w:t>pre</w:t>
      </w:r>
      <w:r w:rsidR="00413809">
        <w:rPr>
          <w:sz w:val="22"/>
          <w:szCs w:val="22"/>
        </w:rPr>
        <w:noBreakHyphen/>
      </w:r>
      <w:r w:rsidRPr="00A10DDE">
        <w:rPr>
          <w:sz w:val="22"/>
          <w:szCs w:val="22"/>
        </w:rPr>
        <w:t xml:space="preserve">access </w:t>
      </w:r>
      <w:r>
        <w:rPr>
          <w:sz w:val="22"/>
          <w:szCs w:val="22"/>
        </w:rPr>
        <w:t xml:space="preserve">drug </w:t>
      </w:r>
      <w:r w:rsidRPr="00A10DDE">
        <w:rPr>
          <w:sz w:val="22"/>
          <w:szCs w:val="22"/>
        </w:rPr>
        <w:t>testing.</w:t>
      </w:r>
    </w:p>
    <w:p w:rsidRPr="005A5966" w:rsidR="00D520BD" w:rsidP="00D520BD" w:rsidRDefault="00D520BD" w14:paraId="1703E556" w14:textId="77777777">
      <w:pPr>
        <w:rPr>
          <w:sz w:val="22"/>
          <w:szCs w:val="22"/>
        </w:rPr>
      </w:pPr>
    </w:p>
    <w:p w:rsidRPr="005A5966" w:rsidR="00D520BD" w:rsidP="00D520BD" w:rsidRDefault="00D520BD" w14:paraId="0B81C7F2" w14:textId="28E6C6F1">
      <w:pPr>
        <w:rPr>
          <w:rFonts w:cs="Arial"/>
          <w:sz w:val="22"/>
          <w:szCs w:val="22"/>
        </w:rPr>
      </w:pPr>
      <w:r w:rsidRPr="005A5966">
        <w:rPr>
          <w:sz w:val="22"/>
          <w:szCs w:val="22"/>
        </w:rPr>
        <w:t>Appendix</w:t>
      </w:r>
      <w:r>
        <w:rPr>
          <w:sz w:val="22"/>
          <w:szCs w:val="22"/>
        </w:rPr>
        <w:t> C</w:t>
      </w:r>
      <w:r w:rsidRPr="005A5966">
        <w:rPr>
          <w:sz w:val="22"/>
          <w:szCs w:val="22"/>
        </w:rPr>
        <w:t xml:space="preserve"> provides detail</w:t>
      </w:r>
      <w:r>
        <w:rPr>
          <w:sz w:val="22"/>
          <w:szCs w:val="22"/>
        </w:rPr>
        <w:t>s</w:t>
      </w:r>
      <w:r w:rsidRPr="005A5966">
        <w:rPr>
          <w:sz w:val="22"/>
          <w:szCs w:val="22"/>
        </w:rPr>
        <w:t xml:space="preserve"> on the </w:t>
      </w:r>
      <w:r>
        <w:rPr>
          <w:sz w:val="22"/>
          <w:szCs w:val="22"/>
        </w:rPr>
        <w:t xml:space="preserve">industry’s </w:t>
      </w:r>
      <w:r w:rsidRPr="005A5966">
        <w:rPr>
          <w:sz w:val="22"/>
          <w:szCs w:val="22"/>
        </w:rPr>
        <w:t xml:space="preserve">incremental activities required under the </w:t>
      </w:r>
      <w:r w:rsidR="00052F35">
        <w:rPr>
          <w:sz w:val="22"/>
          <w:szCs w:val="22"/>
        </w:rPr>
        <w:t xml:space="preserve">final </w:t>
      </w:r>
      <w:r w:rsidRPr="005A5966">
        <w:rPr>
          <w:sz w:val="22"/>
          <w:szCs w:val="22"/>
        </w:rPr>
        <w:t xml:space="preserve">rule and estimates the one-time and annual costs associated with these activities.  </w:t>
      </w:r>
      <w:r w:rsidRPr="005A5966">
        <w:rPr>
          <w:rFonts w:cs="Arial"/>
          <w:sz w:val="22"/>
          <w:szCs w:val="22"/>
        </w:rPr>
        <w:t xml:space="preserve">This analysis considers the potential costs associated with required sanctions resulting from additional positive test results.  </w:t>
      </w:r>
      <w:r>
        <w:rPr>
          <w:rFonts w:cs="Arial"/>
          <w:sz w:val="22"/>
          <w:szCs w:val="22"/>
        </w:rPr>
        <w:t>The regulations in 10 CFR 26.75(e) require</w:t>
      </w:r>
      <w:r w:rsidRPr="005A5966">
        <w:rPr>
          <w:rFonts w:cs="Arial"/>
          <w:sz w:val="22"/>
          <w:szCs w:val="22"/>
        </w:rPr>
        <w:t xml:space="preserve"> that a first positive drug or alcohol test result must lead to termination of the individual’s </w:t>
      </w:r>
      <w:r>
        <w:rPr>
          <w:rFonts w:cs="Arial"/>
          <w:sz w:val="22"/>
          <w:szCs w:val="22"/>
        </w:rPr>
        <w:t xml:space="preserve">unescorted access </w:t>
      </w:r>
      <w:r w:rsidRPr="005A5966">
        <w:rPr>
          <w:rFonts w:cs="Arial"/>
          <w:sz w:val="22"/>
          <w:szCs w:val="22"/>
        </w:rPr>
        <w:t>authorization for at least 14</w:t>
      </w:r>
      <w:r>
        <w:rPr>
          <w:rFonts w:cs="Arial"/>
          <w:sz w:val="22"/>
          <w:szCs w:val="22"/>
        </w:rPr>
        <w:t> </w:t>
      </w:r>
      <w:r w:rsidRPr="005A5966">
        <w:rPr>
          <w:rFonts w:cs="Arial"/>
          <w:sz w:val="22"/>
          <w:szCs w:val="22"/>
        </w:rPr>
        <w:t>days.  For a second positive drug or alcohol test result</w:t>
      </w:r>
      <w:r w:rsidR="00646A79">
        <w:rPr>
          <w:rFonts w:cs="Arial"/>
          <w:sz w:val="22"/>
          <w:szCs w:val="22"/>
        </w:rPr>
        <w:t>,</w:t>
      </w:r>
      <w:r w:rsidRPr="005A5966">
        <w:rPr>
          <w:rFonts w:cs="Arial"/>
          <w:sz w:val="22"/>
          <w:szCs w:val="22"/>
        </w:rPr>
        <w:t xml:space="preserve"> </w:t>
      </w:r>
      <w:r>
        <w:rPr>
          <w:rFonts w:cs="Arial"/>
          <w:sz w:val="22"/>
          <w:szCs w:val="22"/>
        </w:rPr>
        <w:t>10 CFR 26.75(e)</w:t>
      </w:r>
      <w:r w:rsidRPr="005A5966">
        <w:rPr>
          <w:rFonts w:cs="Arial"/>
          <w:sz w:val="22"/>
          <w:szCs w:val="22"/>
        </w:rPr>
        <w:t xml:space="preserve"> requires a 5</w:t>
      </w:r>
      <w:r>
        <w:rPr>
          <w:rFonts w:cs="Arial"/>
          <w:sz w:val="22"/>
          <w:szCs w:val="22"/>
        </w:rPr>
        <w:noBreakHyphen/>
      </w:r>
      <w:r w:rsidRPr="005A5966">
        <w:rPr>
          <w:rFonts w:cs="Arial"/>
          <w:sz w:val="22"/>
          <w:szCs w:val="22"/>
        </w:rPr>
        <w:t xml:space="preserve">year denial of </w:t>
      </w:r>
      <w:r>
        <w:rPr>
          <w:rFonts w:cs="Arial"/>
          <w:sz w:val="22"/>
          <w:szCs w:val="22"/>
        </w:rPr>
        <w:t>access</w:t>
      </w:r>
      <w:r w:rsidRPr="005A5966">
        <w:rPr>
          <w:rFonts w:cs="Arial"/>
          <w:sz w:val="22"/>
          <w:szCs w:val="22"/>
        </w:rPr>
        <w:t>.</w:t>
      </w:r>
      <w:r w:rsidRPr="005A5966">
        <w:rPr>
          <w:rStyle w:val="FootnoteReference"/>
          <w:rFonts w:cs="Arial"/>
          <w:sz w:val="22"/>
          <w:szCs w:val="22"/>
        </w:rPr>
        <w:footnoteReference w:id="24"/>
      </w:r>
    </w:p>
    <w:p w:rsidRPr="00B33D88" w:rsidR="00D520BD" w:rsidP="00D520BD" w:rsidRDefault="00D520BD" w14:paraId="0CE04F22" w14:textId="388AA3AB">
      <w:pPr>
        <w:rPr>
          <w:rFonts w:cs="Arial"/>
          <w:sz w:val="22"/>
          <w:szCs w:val="22"/>
        </w:rPr>
      </w:pPr>
    </w:p>
    <w:p w:rsidR="00D520BD" w:rsidP="00D520BD" w:rsidRDefault="00D520BD" w14:paraId="14487204" w14:textId="18E64AE6">
      <w:pPr>
        <w:numPr>
          <w:ilvl w:val="12"/>
          <w:numId w:val="0"/>
        </w:numPr>
        <w:tabs>
          <w:tab w:val="left" w:pos="721"/>
        </w:tabs>
        <w:rPr>
          <w:sz w:val="22"/>
          <w:szCs w:val="22"/>
        </w:rPr>
      </w:pPr>
      <w:r w:rsidRPr="005A5966">
        <w:rPr>
          <w:sz w:val="22"/>
          <w:szCs w:val="22"/>
        </w:rPr>
        <w:t xml:space="preserve">The </w:t>
      </w:r>
      <w:r>
        <w:rPr>
          <w:sz w:val="22"/>
          <w:szCs w:val="22"/>
        </w:rPr>
        <w:t>NRC staff</w:t>
      </w:r>
      <w:r w:rsidRPr="005A5966">
        <w:rPr>
          <w:sz w:val="22"/>
          <w:szCs w:val="22"/>
        </w:rPr>
        <w:t xml:space="preserve"> assumes that </w:t>
      </w:r>
      <w:r>
        <w:rPr>
          <w:sz w:val="22"/>
          <w:szCs w:val="22"/>
        </w:rPr>
        <w:t>Alternative </w:t>
      </w:r>
      <w:r w:rsidRPr="005A5966">
        <w:rPr>
          <w:sz w:val="22"/>
          <w:szCs w:val="22"/>
        </w:rPr>
        <w:t>2 result</w:t>
      </w:r>
      <w:r w:rsidR="00C462D6">
        <w:rPr>
          <w:sz w:val="22"/>
          <w:szCs w:val="22"/>
        </w:rPr>
        <w:t>s</w:t>
      </w:r>
      <w:r w:rsidRPr="005A5966">
        <w:rPr>
          <w:sz w:val="22"/>
          <w:szCs w:val="22"/>
        </w:rPr>
        <w:t xml:space="preserve"> in qualitative benefits in the attributes</w:t>
      </w:r>
      <w:r>
        <w:rPr>
          <w:sz w:val="22"/>
          <w:szCs w:val="22"/>
        </w:rPr>
        <w:t xml:space="preserve"> of </w:t>
      </w:r>
      <w:r w:rsidRPr="005A5966">
        <w:rPr>
          <w:sz w:val="22"/>
          <w:szCs w:val="22"/>
        </w:rPr>
        <w:t>public health (accident)</w:t>
      </w:r>
      <w:r w:rsidR="00646A79">
        <w:rPr>
          <w:sz w:val="22"/>
          <w:szCs w:val="22"/>
        </w:rPr>
        <w:t>,</w:t>
      </w:r>
      <w:r w:rsidRPr="005A5966">
        <w:rPr>
          <w:sz w:val="22"/>
          <w:szCs w:val="22"/>
        </w:rPr>
        <w:t xml:space="preserve"> occupational health (accident)</w:t>
      </w:r>
      <w:r w:rsidR="00646A79">
        <w:rPr>
          <w:sz w:val="22"/>
          <w:szCs w:val="22"/>
        </w:rPr>
        <w:t>,</w:t>
      </w:r>
      <w:r w:rsidRPr="005A5966">
        <w:rPr>
          <w:sz w:val="22"/>
          <w:szCs w:val="22"/>
        </w:rPr>
        <w:t xml:space="preserve"> offsite property</w:t>
      </w:r>
      <w:r w:rsidR="00646A79">
        <w:rPr>
          <w:sz w:val="22"/>
          <w:szCs w:val="22"/>
        </w:rPr>
        <w:t>,</w:t>
      </w:r>
      <w:r w:rsidRPr="005A5966">
        <w:rPr>
          <w:sz w:val="22"/>
          <w:szCs w:val="22"/>
        </w:rPr>
        <w:t xml:space="preserve"> onsite property</w:t>
      </w:r>
      <w:r w:rsidR="00646A79">
        <w:rPr>
          <w:sz w:val="22"/>
          <w:szCs w:val="22"/>
        </w:rPr>
        <w:t>,</w:t>
      </w:r>
      <w:r w:rsidRPr="005A5966">
        <w:rPr>
          <w:sz w:val="22"/>
          <w:szCs w:val="22"/>
        </w:rPr>
        <w:t xml:space="preserve"> regulatory </w:t>
      </w:r>
      <w:r w:rsidRPr="005A5966">
        <w:rPr>
          <w:sz w:val="22"/>
          <w:szCs w:val="22"/>
        </w:rPr>
        <w:lastRenderedPageBreak/>
        <w:t>efficiency</w:t>
      </w:r>
      <w:r w:rsidR="00646A79">
        <w:rPr>
          <w:sz w:val="22"/>
          <w:szCs w:val="22"/>
        </w:rPr>
        <w:t>,</w:t>
      </w:r>
      <w:r w:rsidRPr="005A5966">
        <w:rPr>
          <w:sz w:val="22"/>
          <w:szCs w:val="22"/>
        </w:rPr>
        <w:t xml:space="preserve"> safeguards and security considerations</w:t>
      </w:r>
      <w:r w:rsidR="00646A79">
        <w:rPr>
          <w:sz w:val="22"/>
          <w:szCs w:val="22"/>
        </w:rPr>
        <w:t>,</w:t>
      </w:r>
      <w:r>
        <w:rPr>
          <w:sz w:val="22"/>
          <w:szCs w:val="22"/>
        </w:rPr>
        <w:t xml:space="preserve"> and other considerations</w:t>
      </w:r>
      <w:r w:rsidR="00646A79">
        <w:rPr>
          <w:sz w:val="22"/>
          <w:szCs w:val="22"/>
        </w:rPr>
        <w:t>,</w:t>
      </w:r>
      <w:r>
        <w:rPr>
          <w:sz w:val="22"/>
          <w:szCs w:val="22"/>
        </w:rPr>
        <w:t xml:space="preserve"> which include </w:t>
      </w:r>
      <w:r w:rsidRPr="0019447B">
        <w:rPr>
          <w:sz w:val="22"/>
          <w:szCs w:val="22"/>
        </w:rPr>
        <w:t>public perception</w:t>
      </w:r>
      <w:r w:rsidR="00646A79">
        <w:rPr>
          <w:sz w:val="22"/>
          <w:szCs w:val="22"/>
        </w:rPr>
        <w:t>,</w:t>
      </w:r>
      <w:r w:rsidRPr="0019447B">
        <w:rPr>
          <w:sz w:val="22"/>
          <w:szCs w:val="22"/>
        </w:rPr>
        <w:t xml:space="preserve"> </w:t>
      </w:r>
      <w:r>
        <w:rPr>
          <w:sz w:val="22"/>
          <w:szCs w:val="22"/>
        </w:rPr>
        <w:t>public trust</w:t>
      </w:r>
      <w:r w:rsidR="00646A79">
        <w:rPr>
          <w:sz w:val="22"/>
          <w:szCs w:val="22"/>
        </w:rPr>
        <w:t>,</w:t>
      </w:r>
      <w:r>
        <w:rPr>
          <w:sz w:val="22"/>
          <w:szCs w:val="22"/>
        </w:rPr>
        <w:t xml:space="preserve"> </w:t>
      </w:r>
      <w:r w:rsidRPr="0019447B">
        <w:rPr>
          <w:sz w:val="22"/>
          <w:szCs w:val="22"/>
        </w:rPr>
        <w:t>workplace productivity</w:t>
      </w:r>
      <w:r w:rsidR="00646A79">
        <w:rPr>
          <w:sz w:val="22"/>
          <w:szCs w:val="22"/>
        </w:rPr>
        <w:t>,</w:t>
      </w:r>
      <w:r w:rsidRPr="0019447B">
        <w:rPr>
          <w:sz w:val="22"/>
          <w:szCs w:val="22"/>
        </w:rPr>
        <w:t xml:space="preserve"> workplace safety</w:t>
      </w:r>
      <w:r w:rsidR="00646A79">
        <w:rPr>
          <w:sz w:val="22"/>
          <w:szCs w:val="22"/>
        </w:rPr>
        <w:t>,</w:t>
      </w:r>
      <w:r w:rsidRPr="0019447B">
        <w:rPr>
          <w:sz w:val="22"/>
          <w:szCs w:val="22"/>
        </w:rPr>
        <w:t xml:space="preserve"> and improved protection of individual rights</w:t>
      </w:r>
      <w:r w:rsidRPr="005A5966">
        <w:rPr>
          <w:sz w:val="22"/>
          <w:szCs w:val="22"/>
        </w:rPr>
        <w:t>.</w:t>
      </w:r>
    </w:p>
    <w:p w:rsidR="00D520BD" w:rsidP="00D520BD" w:rsidRDefault="00D520BD" w14:paraId="3A4AD2CE" w14:textId="77777777">
      <w:pPr>
        <w:numPr>
          <w:ilvl w:val="12"/>
          <w:numId w:val="0"/>
        </w:numPr>
        <w:tabs>
          <w:tab w:val="left" w:pos="721"/>
        </w:tabs>
        <w:rPr>
          <w:sz w:val="22"/>
          <w:szCs w:val="22"/>
        </w:rPr>
      </w:pPr>
    </w:p>
    <w:p w:rsidRPr="00E67D8D" w:rsidR="00D520BD" w:rsidP="00D520BD" w:rsidRDefault="00D520BD" w14:paraId="6385EA06" w14:textId="3AA6F7DE">
      <w:pPr>
        <w:autoSpaceDE/>
        <w:autoSpaceDN/>
        <w:adjustRightInd/>
        <w:rPr>
          <w:sz w:val="22"/>
        </w:rPr>
      </w:pPr>
      <w:r w:rsidRPr="00910BA2">
        <w:rPr>
          <w:sz w:val="22"/>
          <w:szCs w:val="22"/>
        </w:rPr>
        <w:t>As benefits</w:t>
      </w:r>
      <w:r w:rsidRPr="00910BA2" w:rsidR="00646A79">
        <w:rPr>
          <w:sz w:val="22"/>
          <w:szCs w:val="22"/>
        </w:rPr>
        <w:t>,</w:t>
      </w:r>
      <w:r w:rsidRPr="00910BA2">
        <w:rPr>
          <w:sz w:val="22"/>
          <w:szCs w:val="22"/>
        </w:rPr>
        <w:t xml:space="preserve"> the </w:t>
      </w:r>
      <w:r w:rsidRPr="00910BA2" w:rsidR="00BA3577">
        <w:rPr>
          <w:sz w:val="22"/>
          <w:szCs w:val="22"/>
        </w:rPr>
        <w:t>NRC</w:t>
      </w:r>
      <w:r w:rsidRPr="00910BA2">
        <w:rPr>
          <w:sz w:val="22"/>
          <w:szCs w:val="22"/>
        </w:rPr>
        <w:t xml:space="preserve"> </w:t>
      </w:r>
      <w:r w:rsidRPr="00910BA2" w:rsidR="004807D5">
        <w:rPr>
          <w:sz w:val="22"/>
          <w:szCs w:val="22"/>
        </w:rPr>
        <w:t xml:space="preserve">staff estimates that the rule </w:t>
      </w:r>
      <w:r w:rsidRPr="00910BA2">
        <w:rPr>
          <w:sz w:val="22"/>
          <w:szCs w:val="22"/>
        </w:rPr>
        <w:t>result</w:t>
      </w:r>
      <w:r w:rsidRPr="00910BA2" w:rsidR="00CF006B">
        <w:rPr>
          <w:sz w:val="22"/>
          <w:szCs w:val="22"/>
        </w:rPr>
        <w:t>s</w:t>
      </w:r>
      <w:r w:rsidRPr="00910BA2">
        <w:rPr>
          <w:sz w:val="22"/>
          <w:szCs w:val="22"/>
        </w:rPr>
        <w:t xml:space="preserve"> in a </w:t>
      </w:r>
      <w:r w:rsidRPr="00910BA2" w:rsidR="00910BA2">
        <w:rPr>
          <w:sz w:val="22"/>
          <w:szCs w:val="22"/>
        </w:rPr>
        <w:t>2</w:t>
      </w:r>
      <w:r w:rsidRPr="00910BA2">
        <w:rPr>
          <w:sz w:val="22"/>
          <w:szCs w:val="22"/>
        </w:rPr>
        <w:t>2</w:t>
      </w:r>
      <w:r w:rsidR="00CD1575">
        <w:rPr>
          <w:sz w:val="22"/>
          <w:szCs w:val="22"/>
        </w:rPr>
        <w:noBreakHyphen/>
      </w:r>
      <w:r w:rsidRPr="00910BA2">
        <w:rPr>
          <w:sz w:val="22"/>
          <w:szCs w:val="22"/>
        </w:rPr>
        <w:t>percent increase in the number</w:t>
      </w:r>
      <w:r w:rsidRPr="0019139B">
        <w:rPr>
          <w:sz w:val="22"/>
          <w:szCs w:val="22"/>
        </w:rPr>
        <w:t xml:space="preserve"> of individuals identified each year using illegal drugs</w:t>
      </w:r>
      <w:r w:rsidR="00646A79">
        <w:rPr>
          <w:sz w:val="22"/>
          <w:szCs w:val="22"/>
        </w:rPr>
        <w:t>,</w:t>
      </w:r>
      <w:r w:rsidRPr="0019139B">
        <w:rPr>
          <w:sz w:val="22"/>
          <w:szCs w:val="22"/>
        </w:rPr>
        <w:t xml:space="preserve"> misusing illegal drugs</w:t>
      </w:r>
      <w:r w:rsidR="00646A79">
        <w:rPr>
          <w:sz w:val="22"/>
          <w:szCs w:val="22"/>
        </w:rPr>
        <w:t>,</w:t>
      </w:r>
      <w:r w:rsidRPr="0019139B">
        <w:rPr>
          <w:sz w:val="22"/>
          <w:szCs w:val="22"/>
        </w:rPr>
        <w:t xml:space="preserve"> or attempting to subvert the testing process and who would be determined not to be fit for duty or not trustworthy and reliable</w:t>
      </w:r>
      <w:r w:rsidR="00646A79">
        <w:rPr>
          <w:sz w:val="22"/>
          <w:szCs w:val="22"/>
        </w:rPr>
        <w:t>,</w:t>
      </w:r>
      <w:r w:rsidRPr="0019139B">
        <w:rPr>
          <w:sz w:val="22"/>
          <w:szCs w:val="22"/>
        </w:rPr>
        <w:t xml:space="preserve"> or both.  The rule </w:t>
      </w:r>
      <w:r w:rsidR="007A5C7A">
        <w:rPr>
          <w:sz w:val="22"/>
          <w:szCs w:val="22"/>
        </w:rPr>
        <w:t>maintain</w:t>
      </w:r>
      <w:r w:rsidR="00973341">
        <w:rPr>
          <w:sz w:val="22"/>
          <w:szCs w:val="22"/>
        </w:rPr>
        <w:t>s</w:t>
      </w:r>
      <w:r w:rsidRPr="0019139B" w:rsidR="007A5C7A">
        <w:rPr>
          <w:sz w:val="22"/>
          <w:szCs w:val="22"/>
        </w:rPr>
        <w:t xml:space="preserve"> </w:t>
      </w:r>
      <w:r w:rsidRPr="0019139B">
        <w:rPr>
          <w:sz w:val="22"/>
          <w:szCs w:val="22"/>
        </w:rPr>
        <w:t xml:space="preserve">the existing </w:t>
      </w:r>
      <w:r w:rsidR="007B2E75">
        <w:rPr>
          <w:sz w:val="22"/>
          <w:szCs w:val="22"/>
        </w:rPr>
        <w:t xml:space="preserve">FFD program </w:t>
      </w:r>
      <w:r w:rsidRPr="00AD431D">
        <w:rPr>
          <w:sz w:val="22"/>
          <w:szCs w:val="22"/>
        </w:rPr>
        <w:t>performance objective</w:t>
      </w:r>
      <w:r w:rsidRPr="00AD431D" w:rsidR="00F7551D">
        <w:rPr>
          <w:sz w:val="22"/>
          <w:szCs w:val="22"/>
        </w:rPr>
        <w:t>s</w:t>
      </w:r>
      <w:r w:rsidRPr="0019139B">
        <w:rPr>
          <w:sz w:val="22"/>
          <w:szCs w:val="22"/>
        </w:rPr>
        <w:t xml:space="preserve"> in 10 CFR 26.23(</w:t>
      </w:r>
      <w:r w:rsidRPr="00AD431D" w:rsidR="006478BB">
        <w:rPr>
          <w:sz w:val="22"/>
          <w:szCs w:val="22"/>
        </w:rPr>
        <w:t>c)</w:t>
      </w:r>
      <w:r w:rsidR="0062454C">
        <w:rPr>
          <w:sz w:val="22"/>
          <w:szCs w:val="22"/>
        </w:rPr>
        <w:t>,</w:t>
      </w:r>
      <w:r w:rsidRPr="00AD431D" w:rsidR="006478BB">
        <w:rPr>
          <w:sz w:val="22"/>
          <w:szCs w:val="22"/>
        </w:rPr>
        <w:t xml:space="preserve"> </w:t>
      </w:r>
      <w:r w:rsidR="007B2E75">
        <w:rPr>
          <w:sz w:val="22"/>
          <w:szCs w:val="22"/>
        </w:rPr>
        <w:t>to</w:t>
      </w:r>
      <w:r w:rsidRPr="00AD431D" w:rsidR="006478BB">
        <w:rPr>
          <w:sz w:val="22"/>
          <w:szCs w:val="22"/>
        </w:rPr>
        <w:t xml:space="preserve"> “provide reasonable measures for the early detection of individuals who are not fit to perform the duties</w:t>
      </w:r>
      <w:r w:rsidRPr="0019139B">
        <w:rPr>
          <w:sz w:val="22"/>
          <w:szCs w:val="22"/>
        </w:rPr>
        <w:t xml:space="preserve"> that </w:t>
      </w:r>
      <w:r w:rsidRPr="00AD431D" w:rsidR="006478BB">
        <w:rPr>
          <w:sz w:val="22"/>
          <w:szCs w:val="22"/>
        </w:rPr>
        <w:t>require them to be subject to the FFD program</w:t>
      </w:r>
      <w:r w:rsidR="0062454C">
        <w:rPr>
          <w:sz w:val="22"/>
          <w:szCs w:val="22"/>
        </w:rPr>
        <w:t>,</w:t>
      </w:r>
      <w:r w:rsidRPr="00AD431D" w:rsidR="006478BB">
        <w:rPr>
          <w:sz w:val="22"/>
          <w:szCs w:val="22"/>
        </w:rPr>
        <w:t>” and</w:t>
      </w:r>
      <w:r w:rsidRPr="00AD431D">
        <w:rPr>
          <w:sz w:val="22"/>
          <w:szCs w:val="22"/>
        </w:rPr>
        <w:t xml:space="preserve"> in 10 CFR 26.23(d)</w:t>
      </w:r>
      <w:r w:rsidR="002960C0">
        <w:rPr>
          <w:sz w:val="22"/>
          <w:szCs w:val="22"/>
        </w:rPr>
        <w:t>,</w:t>
      </w:r>
      <w:r>
        <w:rPr>
          <w:sz w:val="22"/>
          <w:szCs w:val="22"/>
        </w:rPr>
        <w:t xml:space="preserve"> to</w:t>
      </w:r>
      <w:r w:rsidRPr="0019139B">
        <w:rPr>
          <w:sz w:val="22"/>
          <w:szCs w:val="22"/>
        </w:rPr>
        <w:t xml:space="preserve"> </w:t>
      </w:r>
      <w:r w:rsidR="00646A79">
        <w:rPr>
          <w:sz w:val="22"/>
          <w:szCs w:val="22"/>
        </w:rPr>
        <w:t>“</w:t>
      </w:r>
      <w:r w:rsidRPr="0019139B">
        <w:rPr>
          <w:sz w:val="22"/>
          <w:szCs w:val="22"/>
        </w:rPr>
        <w:t>provide reasonable assurance that the workplaces subject to this part are free from the presence and effects of illegal drugs.</w:t>
      </w:r>
      <w:r w:rsidR="00646A79">
        <w:rPr>
          <w:sz w:val="22"/>
          <w:szCs w:val="22"/>
        </w:rPr>
        <w:t>”</w:t>
      </w:r>
      <w:r w:rsidRPr="0019139B">
        <w:rPr>
          <w:sz w:val="22"/>
          <w:szCs w:val="22"/>
        </w:rPr>
        <w:t xml:space="preserve">  </w:t>
      </w:r>
      <w:r w:rsidR="00CD52F4">
        <w:rPr>
          <w:sz w:val="22"/>
          <w:szCs w:val="22"/>
        </w:rPr>
        <w:t xml:space="preserve">The </w:t>
      </w:r>
      <w:r w:rsidR="00EC3140">
        <w:rPr>
          <w:sz w:val="22"/>
          <w:szCs w:val="22"/>
        </w:rPr>
        <w:t>NRC</w:t>
      </w:r>
      <w:r w:rsidRPr="0019139B" w:rsidDel="00EC3140">
        <w:rPr>
          <w:sz w:val="22"/>
          <w:szCs w:val="22"/>
        </w:rPr>
        <w:t xml:space="preserve"> </w:t>
      </w:r>
      <w:r w:rsidRPr="00FD2C87">
        <w:rPr>
          <w:sz w:val="22"/>
          <w:szCs w:val="22"/>
        </w:rPr>
        <w:t>analysis of annual FFD program performance data submitted to the NRC by licensees and other entities</w:t>
      </w:r>
      <w:r w:rsidR="00EC3140">
        <w:rPr>
          <w:sz w:val="22"/>
          <w:szCs w:val="22"/>
        </w:rPr>
        <w:t xml:space="preserve"> demonstrates that</w:t>
      </w:r>
      <w:r w:rsidRPr="00FD2C87">
        <w:rPr>
          <w:sz w:val="22"/>
          <w:szCs w:val="22"/>
        </w:rPr>
        <w:t xml:space="preserve"> the workplaces subject to 10 CFR Part 26 testing are not free from the presen</w:t>
      </w:r>
      <w:r w:rsidRPr="002A790F">
        <w:rPr>
          <w:sz w:val="22"/>
          <w:szCs w:val="22"/>
        </w:rPr>
        <w:t>ce and effects of illegal drugs.</w:t>
      </w:r>
    </w:p>
    <w:p w:rsidRPr="00646A79" w:rsidR="00D520BD" w:rsidP="00D520BD" w:rsidRDefault="00D520BD" w14:paraId="236FC312" w14:textId="77777777">
      <w:pPr>
        <w:autoSpaceDE/>
        <w:autoSpaceDN/>
        <w:adjustRightInd/>
        <w:rPr>
          <w:rFonts w:cs="Arial"/>
          <w:sz w:val="22"/>
          <w:szCs w:val="22"/>
        </w:rPr>
      </w:pPr>
    </w:p>
    <w:p w:rsidR="00D520BD" w:rsidP="00D520BD" w:rsidRDefault="00D520BD" w14:paraId="119B49AE" w14:textId="48B707BF">
      <w:pPr>
        <w:numPr>
          <w:ilvl w:val="12"/>
          <w:numId w:val="0"/>
        </w:numPr>
        <w:tabs>
          <w:tab w:val="left" w:pos="721"/>
        </w:tabs>
        <w:rPr>
          <w:sz w:val="22"/>
          <w:szCs w:val="22"/>
        </w:rPr>
      </w:pPr>
      <w:r>
        <w:rPr>
          <w:sz w:val="22"/>
          <w:szCs w:val="22"/>
        </w:rPr>
        <w:t>Licensees and other entities also may recognize a variety of other benefits</w:t>
      </w:r>
      <w:r w:rsidR="00646A79">
        <w:rPr>
          <w:sz w:val="22"/>
          <w:szCs w:val="22"/>
        </w:rPr>
        <w:t>,</w:t>
      </w:r>
      <w:r>
        <w:rPr>
          <w:sz w:val="22"/>
          <w:szCs w:val="22"/>
        </w:rPr>
        <w:t xml:space="preserve"> such as those associated with the following types of activities:</w:t>
      </w:r>
    </w:p>
    <w:p w:rsidR="00D520BD" w:rsidP="00D520BD" w:rsidRDefault="00D520BD" w14:paraId="0D665E46" w14:textId="77777777">
      <w:pPr>
        <w:numPr>
          <w:ilvl w:val="12"/>
          <w:numId w:val="0"/>
        </w:numPr>
        <w:tabs>
          <w:tab w:val="left" w:pos="721"/>
        </w:tabs>
        <w:rPr>
          <w:sz w:val="22"/>
          <w:szCs w:val="22"/>
        </w:rPr>
      </w:pPr>
    </w:p>
    <w:p w:rsidR="00D520BD" w:rsidP="005C6BA3" w:rsidRDefault="00D520BD" w14:paraId="2B3B508A" w14:textId="2927CD05">
      <w:pPr>
        <w:pStyle w:val="ListParagraph"/>
        <w:numPr>
          <w:ilvl w:val="0"/>
          <w:numId w:val="15"/>
        </w:numPr>
        <w:tabs>
          <w:tab w:val="left" w:pos="721"/>
        </w:tabs>
        <w:ind w:hanging="720"/>
        <w:rPr>
          <w:sz w:val="22"/>
          <w:szCs w:val="22"/>
        </w:rPr>
      </w:pPr>
      <w:r>
        <w:rPr>
          <w:sz w:val="22"/>
          <w:szCs w:val="22"/>
        </w:rPr>
        <w:t>Permanent denial:  If an individual is identified as having subverted the testing process</w:t>
      </w:r>
      <w:r w:rsidR="00646A79">
        <w:rPr>
          <w:sz w:val="22"/>
          <w:szCs w:val="22"/>
        </w:rPr>
        <w:t>,</w:t>
      </w:r>
      <w:r>
        <w:rPr>
          <w:sz w:val="22"/>
          <w:szCs w:val="22"/>
        </w:rPr>
        <w:t xml:space="preserve"> the individual will be permanently denied access</w:t>
      </w:r>
      <w:r w:rsidR="00F8687E">
        <w:rPr>
          <w:sz w:val="22"/>
          <w:szCs w:val="22"/>
        </w:rPr>
        <w:t xml:space="preserve"> </w:t>
      </w:r>
      <w:r>
        <w:rPr>
          <w:sz w:val="22"/>
          <w:szCs w:val="22"/>
        </w:rPr>
        <w:t>under 10 CFR 26.75(b).  As a result</w:t>
      </w:r>
      <w:r w:rsidR="00646A79">
        <w:rPr>
          <w:sz w:val="22"/>
          <w:szCs w:val="22"/>
        </w:rPr>
        <w:t>,</w:t>
      </w:r>
      <w:r>
        <w:rPr>
          <w:sz w:val="22"/>
          <w:szCs w:val="22"/>
        </w:rPr>
        <w:t xml:space="preserve"> the entire industry benefits from no longer incurring the </w:t>
      </w:r>
      <w:r w:rsidRPr="00762728">
        <w:rPr>
          <w:sz w:val="22"/>
          <w:szCs w:val="22"/>
        </w:rPr>
        <w:t>potential risk</w:t>
      </w:r>
      <w:r>
        <w:rPr>
          <w:sz w:val="22"/>
          <w:szCs w:val="22"/>
        </w:rPr>
        <w:t xml:space="preserve"> of this individual working at any sites or any of the associated costs.</w:t>
      </w:r>
    </w:p>
    <w:p w:rsidR="00D520BD" w:rsidP="00D520BD" w:rsidRDefault="00D520BD" w14:paraId="1D8D7EF3" w14:textId="77777777">
      <w:pPr>
        <w:pStyle w:val="ListParagraph"/>
        <w:tabs>
          <w:tab w:val="left" w:pos="721"/>
        </w:tabs>
        <w:ind w:hanging="720"/>
        <w:rPr>
          <w:sz w:val="22"/>
          <w:szCs w:val="22"/>
        </w:rPr>
      </w:pPr>
    </w:p>
    <w:p w:rsidR="00D520BD" w:rsidP="005C6BA3" w:rsidRDefault="00D520BD" w14:paraId="584BE853" w14:textId="0074BD52">
      <w:pPr>
        <w:pStyle w:val="ListParagraph"/>
        <w:numPr>
          <w:ilvl w:val="0"/>
          <w:numId w:val="15"/>
        </w:numPr>
        <w:tabs>
          <w:tab w:val="left" w:pos="721"/>
        </w:tabs>
        <w:ind w:hanging="720"/>
        <w:rPr>
          <w:sz w:val="22"/>
          <w:szCs w:val="22"/>
        </w:rPr>
      </w:pPr>
      <w:r>
        <w:rPr>
          <w:sz w:val="22"/>
          <w:szCs w:val="22"/>
        </w:rPr>
        <w:t>Second chance policy and follow</w:t>
      </w:r>
      <w:r w:rsidR="006B404F">
        <w:rPr>
          <w:sz w:val="22"/>
          <w:szCs w:val="22"/>
        </w:rPr>
        <w:noBreakHyphen/>
      </w:r>
      <w:r>
        <w:rPr>
          <w:sz w:val="22"/>
          <w:szCs w:val="22"/>
        </w:rPr>
        <w:t xml:space="preserve">up testing:  </w:t>
      </w:r>
      <w:r w:rsidR="00BD20F6">
        <w:rPr>
          <w:sz w:val="22"/>
          <w:szCs w:val="22"/>
        </w:rPr>
        <w:t>L</w:t>
      </w:r>
      <w:r w:rsidRPr="00F462D9">
        <w:rPr>
          <w:sz w:val="22"/>
          <w:szCs w:val="22"/>
        </w:rPr>
        <w:t xml:space="preserve">icensees </w:t>
      </w:r>
      <w:r>
        <w:rPr>
          <w:sz w:val="22"/>
          <w:szCs w:val="22"/>
        </w:rPr>
        <w:t>may</w:t>
      </w:r>
      <w:r w:rsidRPr="00F462D9">
        <w:rPr>
          <w:sz w:val="22"/>
          <w:szCs w:val="22"/>
        </w:rPr>
        <w:t xml:space="preserve"> provide a second chan</w:t>
      </w:r>
      <w:r>
        <w:rPr>
          <w:sz w:val="22"/>
          <w:szCs w:val="22"/>
        </w:rPr>
        <w:t>c</w:t>
      </w:r>
      <w:r w:rsidRPr="00F462D9">
        <w:rPr>
          <w:sz w:val="22"/>
          <w:szCs w:val="22"/>
        </w:rPr>
        <w:t xml:space="preserve">e to </w:t>
      </w:r>
      <w:r>
        <w:rPr>
          <w:sz w:val="22"/>
          <w:szCs w:val="22"/>
        </w:rPr>
        <w:t xml:space="preserve">their </w:t>
      </w:r>
      <w:r w:rsidRPr="00F462D9">
        <w:rPr>
          <w:sz w:val="22"/>
          <w:szCs w:val="22"/>
        </w:rPr>
        <w:t>employee</w:t>
      </w:r>
      <w:r>
        <w:rPr>
          <w:sz w:val="22"/>
          <w:szCs w:val="22"/>
        </w:rPr>
        <w:t>s</w:t>
      </w:r>
      <w:r w:rsidRPr="00F462D9">
        <w:rPr>
          <w:sz w:val="22"/>
          <w:szCs w:val="22"/>
        </w:rPr>
        <w:t xml:space="preserve"> who test positive for a drug</w:t>
      </w:r>
      <w:r w:rsidR="00BD20F6">
        <w:rPr>
          <w:sz w:val="22"/>
          <w:szCs w:val="22"/>
        </w:rPr>
        <w:t xml:space="preserve"> (they generally do not do so for C/V workers)</w:t>
      </w:r>
      <w:r w:rsidRPr="00F462D9">
        <w:rPr>
          <w:sz w:val="22"/>
          <w:szCs w:val="22"/>
        </w:rPr>
        <w:t>.  As a result</w:t>
      </w:r>
      <w:r w:rsidR="00646A79">
        <w:rPr>
          <w:sz w:val="22"/>
          <w:szCs w:val="22"/>
        </w:rPr>
        <w:t>,</w:t>
      </w:r>
      <w:r w:rsidRPr="00F462D9">
        <w:rPr>
          <w:sz w:val="22"/>
          <w:szCs w:val="22"/>
        </w:rPr>
        <w:t xml:space="preserve"> each</w:t>
      </w:r>
      <w:r>
        <w:rPr>
          <w:sz w:val="22"/>
          <w:szCs w:val="22"/>
        </w:rPr>
        <w:t xml:space="preserve"> of these</w:t>
      </w:r>
      <w:r w:rsidRPr="00F462D9">
        <w:rPr>
          <w:sz w:val="22"/>
          <w:szCs w:val="22"/>
        </w:rPr>
        <w:t xml:space="preserve"> individual</w:t>
      </w:r>
      <w:r>
        <w:rPr>
          <w:sz w:val="22"/>
          <w:szCs w:val="22"/>
        </w:rPr>
        <w:t>s</w:t>
      </w:r>
      <w:r w:rsidRPr="00F462D9">
        <w:rPr>
          <w:sz w:val="22"/>
          <w:szCs w:val="22"/>
        </w:rPr>
        <w:t xml:space="preserve"> </w:t>
      </w:r>
      <w:r>
        <w:rPr>
          <w:sz w:val="22"/>
          <w:szCs w:val="22"/>
        </w:rPr>
        <w:t>who</w:t>
      </w:r>
      <w:r w:rsidRPr="00F462D9">
        <w:rPr>
          <w:sz w:val="22"/>
          <w:szCs w:val="22"/>
        </w:rPr>
        <w:t xml:space="preserve"> successfully receive</w:t>
      </w:r>
      <w:r w:rsidR="00BD20F6">
        <w:rPr>
          <w:sz w:val="22"/>
          <w:szCs w:val="22"/>
        </w:rPr>
        <w:t>s</w:t>
      </w:r>
      <w:r w:rsidRPr="00F462D9">
        <w:rPr>
          <w:sz w:val="22"/>
          <w:szCs w:val="22"/>
        </w:rPr>
        <w:t xml:space="preserve"> treatment and returns to the workforce will be subject to a </w:t>
      </w:r>
      <w:r>
        <w:rPr>
          <w:sz w:val="22"/>
          <w:szCs w:val="22"/>
        </w:rPr>
        <w:t>10 CFR Part 26</w:t>
      </w:r>
      <w:r w:rsidRPr="00F462D9">
        <w:rPr>
          <w:sz w:val="22"/>
          <w:szCs w:val="22"/>
        </w:rPr>
        <w:t xml:space="preserve"> follow</w:t>
      </w:r>
      <w:r w:rsidR="006B404F">
        <w:rPr>
          <w:sz w:val="22"/>
          <w:szCs w:val="22"/>
        </w:rPr>
        <w:noBreakHyphen/>
      </w:r>
      <w:r w:rsidRPr="00F462D9">
        <w:rPr>
          <w:sz w:val="22"/>
          <w:szCs w:val="22"/>
        </w:rPr>
        <w:t xml:space="preserve">up testing program.  </w:t>
      </w:r>
      <w:r>
        <w:rPr>
          <w:sz w:val="22"/>
          <w:szCs w:val="22"/>
        </w:rPr>
        <w:t>If pre-access testing detects drug use by the individual</w:t>
      </w:r>
      <w:r w:rsidR="00646A79">
        <w:rPr>
          <w:sz w:val="22"/>
          <w:szCs w:val="22"/>
        </w:rPr>
        <w:t>,</w:t>
      </w:r>
      <w:r w:rsidRPr="002E2CCA">
        <w:rPr>
          <w:sz w:val="22"/>
          <w:szCs w:val="22"/>
        </w:rPr>
        <w:t xml:space="preserve"> </w:t>
      </w:r>
      <w:r>
        <w:rPr>
          <w:sz w:val="22"/>
          <w:szCs w:val="22"/>
        </w:rPr>
        <w:t>then t</w:t>
      </w:r>
      <w:r w:rsidRPr="00F462D9">
        <w:rPr>
          <w:sz w:val="22"/>
          <w:szCs w:val="22"/>
        </w:rPr>
        <w:t>he cost of conducting follow</w:t>
      </w:r>
      <w:r w:rsidR="006B404F">
        <w:rPr>
          <w:sz w:val="22"/>
          <w:szCs w:val="22"/>
        </w:rPr>
        <w:noBreakHyphen/>
      </w:r>
      <w:r w:rsidRPr="00F462D9">
        <w:rPr>
          <w:sz w:val="22"/>
          <w:szCs w:val="22"/>
        </w:rPr>
        <w:t xml:space="preserve">up testing </w:t>
      </w:r>
      <w:r>
        <w:rPr>
          <w:sz w:val="22"/>
          <w:szCs w:val="22"/>
        </w:rPr>
        <w:t>on</w:t>
      </w:r>
      <w:r w:rsidRPr="00F462D9">
        <w:rPr>
          <w:sz w:val="22"/>
          <w:szCs w:val="22"/>
        </w:rPr>
        <w:t xml:space="preserve"> an individual </w:t>
      </w:r>
      <w:r w:rsidR="00973341">
        <w:rPr>
          <w:sz w:val="22"/>
          <w:szCs w:val="22"/>
        </w:rPr>
        <w:t>is</w:t>
      </w:r>
      <w:r w:rsidRPr="00F462D9">
        <w:rPr>
          <w:sz w:val="22"/>
          <w:szCs w:val="22"/>
        </w:rPr>
        <w:t xml:space="preserve"> averted.</w:t>
      </w:r>
    </w:p>
    <w:p w:rsidR="00D520BD" w:rsidP="00D520BD" w:rsidRDefault="00D520BD" w14:paraId="731C8CE5" w14:textId="64D749F9">
      <w:pPr>
        <w:numPr>
          <w:ilvl w:val="12"/>
          <w:numId w:val="0"/>
        </w:numPr>
        <w:tabs>
          <w:tab w:val="left" w:pos="721"/>
        </w:tabs>
        <w:rPr>
          <w:sz w:val="22"/>
          <w:szCs w:val="22"/>
        </w:rPr>
      </w:pPr>
    </w:p>
    <w:p w:rsidRPr="005A5966" w:rsidR="00D520BD" w:rsidP="00D520BD" w:rsidRDefault="00D520BD" w14:paraId="295617BE" w14:textId="0A3DF362">
      <w:pPr>
        <w:numPr>
          <w:ilvl w:val="12"/>
          <w:numId w:val="0"/>
        </w:numPr>
        <w:tabs>
          <w:tab w:val="left" w:pos="721"/>
        </w:tabs>
        <w:rPr>
          <w:sz w:val="22"/>
          <w:szCs w:val="22"/>
        </w:rPr>
      </w:pPr>
      <w:r>
        <w:rPr>
          <w:sz w:val="22"/>
          <w:szCs w:val="22"/>
        </w:rPr>
        <w:t>The rule changes</w:t>
      </w:r>
      <w:r w:rsidRPr="005A5966">
        <w:rPr>
          <w:sz w:val="22"/>
          <w:szCs w:val="22"/>
        </w:rPr>
        <w:t xml:space="preserve"> also </w:t>
      </w:r>
      <w:r>
        <w:rPr>
          <w:sz w:val="22"/>
          <w:szCs w:val="22"/>
        </w:rPr>
        <w:t>improve</w:t>
      </w:r>
      <w:r w:rsidRPr="005A5966">
        <w:rPr>
          <w:sz w:val="22"/>
          <w:szCs w:val="22"/>
        </w:rPr>
        <w:t xml:space="preserve"> regulatory efficiency through regulatory and compliance improvements</w:t>
      </w:r>
      <w:r w:rsidR="00646A79">
        <w:rPr>
          <w:sz w:val="22"/>
          <w:szCs w:val="22"/>
        </w:rPr>
        <w:t>,</w:t>
      </w:r>
      <w:r>
        <w:rPr>
          <w:sz w:val="22"/>
          <w:szCs w:val="22"/>
        </w:rPr>
        <w:t xml:space="preserve"> including harmonizing definitions and procedures with those described in the 2008</w:t>
      </w:r>
      <w:r w:rsidR="00A37DB0">
        <w:rPr>
          <w:sz w:val="22"/>
          <w:szCs w:val="22"/>
        </w:rPr>
        <w:t xml:space="preserve"> and 2017</w:t>
      </w:r>
      <w:r>
        <w:rPr>
          <w:sz w:val="22"/>
          <w:szCs w:val="22"/>
        </w:rPr>
        <w:t xml:space="preserve"> HHS Guidelines</w:t>
      </w:r>
      <w:r w:rsidR="00646A79">
        <w:rPr>
          <w:sz w:val="22"/>
          <w:szCs w:val="22"/>
        </w:rPr>
        <w:t>,</w:t>
      </w:r>
      <w:r>
        <w:rPr>
          <w:sz w:val="22"/>
          <w:szCs w:val="22"/>
        </w:rPr>
        <w:t xml:space="preserve"> eliminating dual regulation of HHS-certified laboratories</w:t>
      </w:r>
      <w:r w:rsidR="00646A79">
        <w:rPr>
          <w:sz w:val="22"/>
          <w:szCs w:val="22"/>
        </w:rPr>
        <w:t>,</w:t>
      </w:r>
      <w:r>
        <w:rPr>
          <w:sz w:val="22"/>
          <w:szCs w:val="22"/>
        </w:rPr>
        <w:t xml:space="preserve"> and clarifying ambiguous or imprecise regulatory language in 10 CFR Part 26</w:t>
      </w:r>
      <w:r w:rsidRPr="005A5966">
        <w:rPr>
          <w:sz w:val="22"/>
          <w:szCs w:val="22"/>
        </w:rPr>
        <w:t>.</w:t>
      </w:r>
    </w:p>
    <w:p w:rsidR="00D520BD" w:rsidP="00D520BD" w:rsidRDefault="00D520BD" w14:paraId="66D992E3" w14:textId="77777777">
      <w:pPr>
        <w:numPr>
          <w:ilvl w:val="12"/>
          <w:numId w:val="0"/>
        </w:numPr>
        <w:tabs>
          <w:tab w:val="left" w:pos="721"/>
        </w:tabs>
        <w:rPr>
          <w:sz w:val="22"/>
          <w:szCs w:val="22"/>
        </w:rPr>
      </w:pPr>
    </w:p>
    <w:p w:rsidRPr="002310BA" w:rsidR="002310BA" w:rsidP="00A6777F" w:rsidRDefault="002310BA" w14:paraId="285B473C" w14:textId="7CC45ED8">
      <w:pPr>
        <w:pStyle w:val="Caption"/>
        <w:keepLines/>
        <w:jc w:val="center"/>
        <w:rPr>
          <w:b/>
          <w:bCs w:val="0"/>
        </w:rPr>
      </w:pPr>
      <w:bookmarkStart w:name="_Toc72490563" w:id="124"/>
      <w:bookmarkStart w:name="_Toc105681560" w:id="125"/>
      <w:r w:rsidRPr="002310BA">
        <w:rPr>
          <w:b/>
          <w:bCs w:val="0"/>
        </w:rPr>
        <w:lastRenderedPageBreak/>
        <w:t xml:space="preserve">Table </w:t>
      </w:r>
      <w:r>
        <w:rPr>
          <w:b/>
          <w:bCs w:val="0"/>
        </w:rPr>
        <w:t>5-</w:t>
      </w:r>
      <w:r w:rsidRPr="002310BA">
        <w:rPr>
          <w:b/>
          <w:bCs w:val="0"/>
        </w:rPr>
        <w:fldChar w:fldCharType="begin"/>
      </w:r>
      <w:r w:rsidRPr="002310BA">
        <w:rPr>
          <w:b/>
          <w:bCs w:val="0"/>
        </w:rPr>
        <w:instrText xml:space="preserve"> SEQ Table \* ARABIC </w:instrText>
      </w:r>
      <w:r>
        <w:rPr>
          <w:b/>
          <w:bCs w:val="0"/>
        </w:rPr>
        <w:instrText>\r 1</w:instrText>
      </w:r>
      <w:r w:rsidRPr="002310BA">
        <w:rPr>
          <w:b/>
          <w:bCs w:val="0"/>
        </w:rPr>
        <w:fldChar w:fldCharType="separate"/>
      </w:r>
      <w:r w:rsidR="00A6777F">
        <w:rPr>
          <w:b/>
          <w:bCs w:val="0"/>
          <w:noProof/>
        </w:rPr>
        <w:t>1</w:t>
      </w:r>
      <w:r w:rsidRPr="002310BA">
        <w:rPr>
          <w:b/>
          <w:bCs w:val="0"/>
        </w:rPr>
        <w:fldChar w:fldCharType="end"/>
      </w:r>
      <w:r w:rsidRPr="002310BA">
        <w:rPr>
          <w:b/>
          <w:bCs w:val="0"/>
        </w:rPr>
        <w:t xml:space="preserve">  Summary of Overall Benefits and Costs (Quantitative and Qualitative)</w:t>
      </w:r>
      <w:r w:rsidR="00646A79">
        <w:rPr>
          <w:b/>
          <w:bCs w:val="0"/>
        </w:rPr>
        <w:t>,</w:t>
      </w:r>
      <w:r w:rsidRPr="002310BA">
        <w:rPr>
          <w:b/>
          <w:bCs w:val="0"/>
        </w:rPr>
        <w:t xml:space="preserve"> Alternative 2 (</w:t>
      </w:r>
      <w:r w:rsidRPr="00074DEE" w:rsidR="00D63706">
        <w:rPr>
          <w:b/>
          <w:bCs w:val="0"/>
        </w:rPr>
        <w:t>Amend 10 CFR Part 26</w:t>
      </w:r>
      <w:r w:rsidRPr="002310BA">
        <w:rPr>
          <w:b/>
          <w:bCs w:val="0"/>
        </w:rPr>
        <w:t>)</w:t>
      </w:r>
      <w:bookmarkEnd w:id="124"/>
      <w:bookmarkEnd w:id="125"/>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0" w:type="dxa"/>
          <w:right w:w="100" w:type="dxa"/>
        </w:tblCellMar>
        <w:tblLook w:val="0000" w:firstRow="0" w:lastRow="0" w:firstColumn="0" w:lastColumn="0" w:noHBand="0" w:noVBand="0"/>
      </w:tblPr>
      <w:tblGrid>
        <w:gridCol w:w="3594"/>
        <w:gridCol w:w="5756"/>
      </w:tblGrid>
      <w:tr w:rsidRPr="005A5966" w:rsidR="00D520BD" w:rsidTr="001A7649" w14:paraId="69F8205B" w14:textId="77777777">
        <w:trPr>
          <w:cantSplit/>
          <w:trHeight w:val="287"/>
          <w:tblHeader/>
        </w:trPr>
        <w:tc>
          <w:tcPr>
            <w:tcW w:w="1922" w:type="pct"/>
            <w:vAlign w:val="center"/>
          </w:tcPr>
          <w:p w:rsidRPr="00FF380E" w:rsidR="00D520BD" w:rsidP="00A60C27" w:rsidRDefault="00D520BD" w14:paraId="6E187FEB" w14:textId="54B784F2">
            <w:pPr>
              <w:keepNext/>
              <w:keepLines/>
              <w:numPr>
                <w:ilvl w:val="12"/>
                <w:numId w:val="0"/>
              </w:numPr>
              <w:tabs>
                <w:tab w:val="left" w:pos="0"/>
                <w:tab w:val="left" w:pos="720"/>
                <w:tab w:val="left" w:pos="1440"/>
                <w:tab w:val="left" w:pos="2160"/>
                <w:tab w:val="left" w:pos="2880"/>
              </w:tabs>
              <w:jc w:val="center"/>
              <w:rPr>
                <w:rFonts w:cs="Arial"/>
                <w:b/>
                <w:sz w:val="18"/>
                <w:szCs w:val="18"/>
              </w:rPr>
            </w:pPr>
            <w:r w:rsidRPr="00FF380E">
              <w:rPr>
                <w:rFonts w:cs="Arial"/>
                <w:b/>
                <w:sz w:val="18"/>
                <w:szCs w:val="18"/>
              </w:rPr>
              <w:t>Benefits</w:t>
            </w:r>
            <w:r w:rsidR="00353F66">
              <w:rPr>
                <w:rFonts w:cs="Arial"/>
                <w:b/>
                <w:sz w:val="18"/>
                <w:szCs w:val="18"/>
              </w:rPr>
              <w:t xml:space="preserve"> (Costs)</w:t>
            </w:r>
          </w:p>
        </w:tc>
        <w:tc>
          <w:tcPr>
            <w:tcW w:w="3078" w:type="pct"/>
            <w:vAlign w:val="center"/>
          </w:tcPr>
          <w:p w:rsidRPr="00FF380E" w:rsidR="00D520BD" w:rsidP="00A60C27" w:rsidRDefault="001C1E00" w14:paraId="3CF04E49" w14:textId="0699A16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jc w:val="center"/>
              <w:rPr>
                <w:rFonts w:cs="Arial"/>
                <w:b/>
                <w:sz w:val="18"/>
                <w:szCs w:val="18"/>
              </w:rPr>
            </w:pPr>
            <w:r>
              <w:rPr>
                <w:b/>
                <w:sz w:val="18"/>
                <w:szCs w:val="18"/>
              </w:rPr>
              <w:t>Qualitative Benefits and Costs</w:t>
            </w:r>
          </w:p>
        </w:tc>
      </w:tr>
      <w:tr w:rsidRPr="005A5966" w:rsidR="00D520BD" w:rsidTr="006B1E81" w14:paraId="24740123" w14:textId="77777777">
        <w:tc>
          <w:tcPr>
            <w:tcW w:w="1922" w:type="pct"/>
          </w:tcPr>
          <w:p w:rsidRPr="00FF380E" w:rsidR="001C1E00" w:rsidP="00A60C27" w:rsidRDefault="001C1E00" w14:paraId="27DD923F"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spacing w:before="120"/>
              <w:rPr>
                <w:bCs/>
                <w:sz w:val="18"/>
                <w:szCs w:val="18"/>
              </w:rPr>
            </w:pPr>
            <w:r w:rsidRPr="00FF380E">
              <w:rPr>
                <w:b/>
                <w:sz w:val="18"/>
                <w:szCs w:val="18"/>
              </w:rPr>
              <w:t>Industry Implementation</w:t>
            </w:r>
          </w:p>
          <w:p w:rsidRPr="00FF380E" w:rsidR="001C1E00" w:rsidP="00A60C27" w:rsidRDefault="001C1E00" w14:paraId="7A404D14" w14:textId="70C3CC11">
            <w:pPr>
              <w:keepNext/>
              <w:keepLines/>
              <w:numPr>
                <w:ilvl w:val="12"/>
                <w:numId w:val="0"/>
              </w:numPr>
              <w:shd w:val="clear" w:color="auto" w:fill="FFFFFF" w:themeFill="background1"/>
              <w:tabs>
                <w:tab w:val="left" w:pos="0"/>
                <w:tab w:val="left" w:pos="720"/>
                <w:tab w:val="left" w:pos="1440"/>
                <w:tab w:val="left" w:pos="2160"/>
                <w:tab w:val="left" w:pos="2880"/>
                <w:tab w:val="left" w:pos="3600"/>
                <w:tab w:val="left" w:pos="4320"/>
                <w:tab w:val="left" w:pos="5040"/>
                <w:tab w:val="left" w:pos="5760"/>
              </w:tabs>
              <w:rPr>
                <w:sz w:val="18"/>
                <w:szCs w:val="18"/>
              </w:rPr>
            </w:pPr>
            <w:r>
              <w:rPr>
                <w:sz w:val="18"/>
                <w:szCs w:val="18"/>
              </w:rPr>
              <w:t>(</w:t>
            </w:r>
            <w:r w:rsidRPr="00FF380E">
              <w:rPr>
                <w:sz w:val="18"/>
                <w:szCs w:val="18"/>
              </w:rPr>
              <w:t>$</w:t>
            </w:r>
            <w:r>
              <w:rPr>
                <w:sz w:val="18"/>
                <w:szCs w:val="18"/>
              </w:rPr>
              <w:t>0.1</w:t>
            </w:r>
            <w:r w:rsidR="00BF4E24">
              <w:rPr>
                <w:sz w:val="18"/>
                <w:szCs w:val="18"/>
              </w:rPr>
              <w:t>4</w:t>
            </w:r>
            <w:r w:rsidRPr="00FF380E">
              <w:rPr>
                <w:sz w:val="18"/>
                <w:szCs w:val="18"/>
              </w:rPr>
              <w:t> million</w:t>
            </w:r>
            <w:r>
              <w:rPr>
                <w:sz w:val="18"/>
                <w:szCs w:val="18"/>
              </w:rPr>
              <w:t>)</w:t>
            </w:r>
          </w:p>
          <w:p w:rsidR="00BE2821" w:rsidP="00A60C27" w:rsidRDefault="005531F1" w14:paraId="1035F8EF" w14:textId="449FAB79">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spacing w:before="240"/>
              <w:rPr>
                <w:b/>
                <w:sz w:val="18"/>
                <w:szCs w:val="18"/>
              </w:rPr>
            </w:pPr>
            <w:r>
              <w:rPr>
                <w:b/>
                <w:sz w:val="18"/>
                <w:szCs w:val="18"/>
              </w:rPr>
              <w:t>Industry Operation</w:t>
            </w:r>
          </w:p>
          <w:p w:rsidR="005531F1" w:rsidP="00A60C27" w:rsidRDefault="00292834" w14:paraId="32458560" w14:textId="39EA6DC6">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bCs/>
                <w:sz w:val="18"/>
                <w:szCs w:val="18"/>
              </w:rPr>
            </w:pPr>
            <w:r>
              <w:rPr>
                <w:bCs/>
                <w:sz w:val="18"/>
                <w:szCs w:val="18"/>
              </w:rPr>
              <w:t>$</w:t>
            </w:r>
            <w:r w:rsidR="00DA53C4">
              <w:rPr>
                <w:bCs/>
                <w:sz w:val="18"/>
                <w:szCs w:val="18"/>
              </w:rPr>
              <w:t>0.</w:t>
            </w:r>
            <w:r w:rsidR="001E3EA7">
              <w:rPr>
                <w:bCs/>
                <w:sz w:val="18"/>
                <w:szCs w:val="18"/>
              </w:rPr>
              <w:t>56</w:t>
            </w:r>
            <w:r w:rsidR="00AB245F">
              <w:rPr>
                <w:bCs/>
                <w:sz w:val="18"/>
                <w:szCs w:val="18"/>
              </w:rPr>
              <w:t xml:space="preserve"> million</w:t>
            </w:r>
            <w:r w:rsidR="00F86CAB">
              <w:rPr>
                <w:bCs/>
                <w:sz w:val="18"/>
                <w:szCs w:val="18"/>
              </w:rPr>
              <w:t xml:space="preserve"> using a 7% discount rate</w:t>
            </w:r>
          </w:p>
          <w:p w:rsidRPr="00AB245F" w:rsidR="00E93B12" w:rsidP="00A60C27" w:rsidRDefault="00E93B12" w14:paraId="6EED9077" w14:textId="6652FC8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bCs/>
                <w:sz w:val="18"/>
                <w:szCs w:val="18"/>
              </w:rPr>
            </w:pPr>
            <w:r>
              <w:rPr>
                <w:bCs/>
                <w:sz w:val="18"/>
                <w:szCs w:val="18"/>
              </w:rPr>
              <w:t>$</w:t>
            </w:r>
            <w:r w:rsidR="00D210B8">
              <w:rPr>
                <w:bCs/>
                <w:sz w:val="18"/>
                <w:szCs w:val="18"/>
              </w:rPr>
              <w:t>0.83</w:t>
            </w:r>
            <w:r w:rsidR="00292834">
              <w:rPr>
                <w:bCs/>
                <w:sz w:val="18"/>
                <w:szCs w:val="18"/>
              </w:rPr>
              <w:t xml:space="preserve"> million using a 3% discount rate</w:t>
            </w:r>
          </w:p>
          <w:p w:rsidR="00DF7725" w:rsidP="00A60C27" w:rsidRDefault="00F86131" w14:paraId="7BBD328D" w14:textId="64A9BDAE">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spacing w:before="240"/>
              <w:rPr>
                <w:b/>
                <w:sz w:val="18"/>
                <w:szCs w:val="18"/>
              </w:rPr>
            </w:pPr>
            <w:r>
              <w:rPr>
                <w:b/>
                <w:sz w:val="18"/>
                <w:szCs w:val="18"/>
              </w:rPr>
              <w:t>Total Net Costs</w:t>
            </w:r>
          </w:p>
          <w:p w:rsidR="00512746" w:rsidP="00A60C27" w:rsidRDefault="0093585E" w14:paraId="152F8A1D" w14:textId="27BDDB9C">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bCs/>
                <w:sz w:val="18"/>
                <w:szCs w:val="18"/>
              </w:rPr>
            </w:pPr>
            <w:r>
              <w:rPr>
                <w:bCs/>
                <w:sz w:val="18"/>
                <w:szCs w:val="18"/>
              </w:rPr>
              <w:t>$</w:t>
            </w:r>
            <w:r w:rsidR="00A05A64">
              <w:rPr>
                <w:bCs/>
                <w:sz w:val="18"/>
                <w:szCs w:val="18"/>
              </w:rPr>
              <w:t>0.42</w:t>
            </w:r>
            <w:r w:rsidR="00512746">
              <w:rPr>
                <w:bCs/>
                <w:sz w:val="18"/>
                <w:szCs w:val="18"/>
              </w:rPr>
              <w:t xml:space="preserve"> million using a 7% discount rate</w:t>
            </w:r>
          </w:p>
          <w:p w:rsidRPr="00A22472" w:rsidR="00D520BD" w:rsidP="00A22472" w:rsidRDefault="00512746" w14:paraId="69A3D8C5" w14:textId="5B6CE63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bCs/>
                <w:sz w:val="18"/>
                <w:szCs w:val="18"/>
              </w:rPr>
            </w:pPr>
            <w:r>
              <w:rPr>
                <w:bCs/>
                <w:sz w:val="18"/>
                <w:szCs w:val="18"/>
              </w:rPr>
              <w:t>$</w:t>
            </w:r>
            <w:r w:rsidR="003E21CA">
              <w:rPr>
                <w:bCs/>
                <w:sz w:val="18"/>
                <w:szCs w:val="18"/>
              </w:rPr>
              <w:t>0</w:t>
            </w:r>
            <w:r w:rsidR="00E600E7">
              <w:rPr>
                <w:bCs/>
                <w:sz w:val="18"/>
                <w:szCs w:val="18"/>
              </w:rPr>
              <w:t>.69</w:t>
            </w:r>
            <w:r>
              <w:rPr>
                <w:bCs/>
                <w:sz w:val="18"/>
                <w:szCs w:val="18"/>
              </w:rPr>
              <w:t xml:space="preserve"> million using a 3% discount rate</w:t>
            </w:r>
          </w:p>
        </w:tc>
        <w:tc>
          <w:tcPr>
            <w:tcW w:w="3078" w:type="pct"/>
          </w:tcPr>
          <w:p w:rsidRPr="00E33B36" w:rsidR="00D520BD" w:rsidP="00A60C27" w:rsidRDefault="00B71C2D" w14:paraId="6DF52FA0" w14:textId="77777777">
            <w:pPr>
              <w:keepNext/>
              <w:keepLines/>
              <w:numPr>
                <w:ilvl w:val="12"/>
                <w:numId w:val="0"/>
              </w:numPr>
              <w:shd w:val="clear" w:color="auto" w:fill="FFFFFF" w:themeFill="background1"/>
              <w:tabs>
                <w:tab w:val="left" w:pos="0"/>
                <w:tab w:val="left" w:pos="720"/>
                <w:tab w:val="left" w:pos="1440"/>
                <w:tab w:val="left" w:pos="2160"/>
                <w:tab w:val="left" w:pos="2880"/>
                <w:tab w:val="left" w:pos="3600"/>
                <w:tab w:val="left" w:pos="4320"/>
                <w:tab w:val="left" w:pos="5040"/>
                <w:tab w:val="left" w:pos="5760"/>
              </w:tabs>
              <w:spacing w:before="120"/>
              <w:rPr>
                <w:b/>
                <w:bCs/>
                <w:sz w:val="18"/>
                <w:szCs w:val="18"/>
                <w:u w:val="single"/>
              </w:rPr>
            </w:pPr>
            <w:r w:rsidRPr="00E33B36">
              <w:rPr>
                <w:b/>
                <w:bCs/>
                <w:sz w:val="18"/>
                <w:szCs w:val="18"/>
                <w:u w:val="single"/>
              </w:rPr>
              <w:t>Benefits</w:t>
            </w:r>
          </w:p>
          <w:p w:rsidRPr="00C93593" w:rsidR="00E33B36" w:rsidP="00A60C27" w:rsidRDefault="00E33B36" w14:paraId="2DADE60C" w14:textId="62591CE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spacing w:before="240"/>
              <w:rPr>
                <w:bCs/>
                <w:sz w:val="18"/>
                <w:szCs w:val="18"/>
              </w:rPr>
            </w:pPr>
            <w:r w:rsidRPr="00250162">
              <w:rPr>
                <w:b/>
                <w:sz w:val="18"/>
                <w:szCs w:val="18"/>
              </w:rPr>
              <w:t>Estimated 22</w:t>
            </w:r>
            <w:r w:rsidRPr="00250162">
              <w:rPr>
                <w:b/>
                <w:sz w:val="18"/>
                <w:szCs w:val="18"/>
              </w:rPr>
              <w:noBreakHyphen/>
              <w:t>percent increase in detection of individuals using drugs or attempting to subvert the drug testing process</w:t>
            </w:r>
            <w:r w:rsidRPr="00C93593">
              <w:rPr>
                <w:b/>
                <w:sz w:val="18"/>
                <w:szCs w:val="18"/>
              </w:rPr>
              <w:t>.</w:t>
            </w:r>
            <w:r w:rsidRPr="00C93593">
              <w:rPr>
                <w:bCs/>
                <w:sz w:val="18"/>
                <w:szCs w:val="18"/>
              </w:rPr>
              <w:t xml:space="preserve">  This equates to </w:t>
            </w:r>
            <w:r w:rsidR="00262A64">
              <w:rPr>
                <w:bCs/>
                <w:sz w:val="18"/>
                <w:szCs w:val="18"/>
              </w:rPr>
              <w:t>an average of</w:t>
            </w:r>
            <w:r w:rsidRPr="00C93593">
              <w:rPr>
                <w:bCs/>
                <w:sz w:val="18"/>
                <w:szCs w:val="18"/>
              </w:rPr>
              <w:t xml:space="preserve"> 176 individuals per year or 4,235</w:t>
            </w:r>
            <w:r w:rsidR="00287807">
              <w:rPr>
                <w:bCs/>
                <w:sz w:val="18"/>
                <w:szCs w:val="18"/>
              </w:rPr>
              <w:t> </w:t>
            </w:r>
            <w:r w:rsidRPr="00C93593">
              <w:rPr>
                <w:bCs/>
                <w:sz w:val="18"/>
                <w:szCs w:val="18"/>
              </w:rPr>
              <w:t>individuals over the 24-year period of the analysis.</w:t>
            </w:r>
          </w:p>
          <w:p w:rsidRPr="00250162" w:rsidR="00E33B36" w:rsidP="00A60C27" w:rsidRDefault="00E33B36" w14:paraId="035F1FAC"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b/>
                <w:sz w:val="18"/>
                <w:szCs w:val="18"/>
              </w:rPr>
            </w:pPr>
          </w:p>
          <w:p w:rsidRPr="00FF380E" w:rsidR="00E33B36" w:rsidP="00A60C27" w:rsidRDefault="00E33B36" w14:paraId="734EBDA2" w14:textId="7DB38D1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r w:rsidRPr="00FF380E">
              <w:rPr>
                <w:b/>
                <w:sz w:val="18"/>
                <w:szCs w:val="18"/>
              </w:rPr>
              <w:t xml:space="preserve">Public Health (Accident): </w:t>
            </w:r>
            <w:r w:rsidRPr="00250162">
              <w:rPr>
                <w:b/>
                <w:sz w:val="18"/>
                <w:szCs w:val="18"/>
              </w:rPr>
              <w:t xml:space="preserve"> </w:t>
            </w:r>
            <w:r w:rsidRPr="000D3B34">
              <w:rPr>
                <w:bCs/>
                <w:sz w:val="18"/>
                <w:szCs w:val="18"/>
              </w:rPr>
              <w:t>Identif</w:t>
            </w:r>
            <w:r w:rsidR="00CB46C9">
              <w:rPr>
                <w:bCs/>
                <w:sz w:val="18"/>
                <w:szCs w:val="18"/>
              </w:rPr>
              <w:t>ying</w:t>
            </w:r>
            <w:r w:rsidRPr="005E2BFE">
              <w:rPr>
                <w:sz w:val="18"/>
              </w:rPr>
              <w:t xml:space="preserve"> additional</w:t>
            </w:r>
            <w:r w:rsidRPr="00FF380E">
              <w:rPr>
                <w:sz w:val="18"/>
                <w:szCs w:val="18"/>
              </w:rPr>
              <w:t xml:space="preserve"> individuals using drugs and denying them unescorted access authorization</w:t>
            </w:r>
            <w:r w:rsidR="00CB46C9">
              <w:rPr>
                <w:sz w:val="18"/>
                <w:szCs w:val="18"/>
              </w:rPr>
              <w:t xml:space="preserve"> </w:t>
            </w:r>
            <w:r w:rsidRPr="00FF380E">
              <w:rPr>
                <w:sz w:val="18"/>
                <w:szCs w:val="18"/>
              </w:rPr>
              <w:t>reduce</w:t>
            </w:r>
            <w:r>
              <w:rPr>
                <w:sz w:val="18"/>
                <w:szCs w:val="18"/>
              </w:rPr>
              <w:t>s</w:t>
            </w:r>
            <w:r w:rsidRPr="00FF380E">
              <w:rPr>
                <w:sz w:val="18"/>
                <w:szCs w:val="18"/>
              </w:rPr>
              <w:t xml:space="preserve"> the risk that public health </w:t>
            </w:r>
            <w:r>
              <w:rPr>
                <w:sz w:val="18"/>
                <w:szCs w:val="18"/>
              </w:rPr>
              <w:t>is</w:t>
            </w:r>
            <w:r w:rsidRPr="00FF380E">
              <w:rPr>
                <w:sz w:val="18"/>
                <w:szCs w:val="18"/>
              </w:rPr>
              <w:t xml:space="preserve"> affected by an accident resulting from human performance issues associated with drug</w:t>
            </w:r>
            <w:r w:rsidR="00CB46C9">
              <w:rPr>
                <w:sz w:val="18"/>
                <w:szCs w:val="18"/>
              </w:rPr>
              <w:noBreakHyphen/>
            </w:r>
            <w:r w:rsidRPr="00FF380E">
              <w:rPr>
                <w:sz w:val="18"/>
                <w:szCs w:val="18"/>
              </w:rPr>
              <w:t>induced impairment.</w:t>
            </w:r>
          </w:p>
          <w:p w:rsidRPr="00FF380E" w:rsidR="00E33B36" w:rsidP="00A60C27" w:rsidRDefault="00E33B36" w14:paraId="2ECDD9E0"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p>
          <w:p w:rsidRPr="00FF380E" w:rsidR="00E33B36" w:rsidP="00B61C00" w:rsidRDefault="00E33B36" w14:paraId="2A2C411D" w14:textId="74A67B7D">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r w:rsidRPr="00FF380E">
              <w:rPr>
                <w:b/>
                <w:sz w:val="18"/>
                <w:szCs w:val="18"/>
              </w:rPr>
              <w:t xml:space="preserve">Occupational Health (Accident): </w:t>
            </w:r>
            <w:r w:rsidRPr="00FF380E">
              <w:rPr>
                <w:sz w:val="18"/>
                <w:szCs w:val="18"/>
              </w:rPr>
              <w:t xml:space="preserve"> Identif</w:t>
            </w:r>
            <w:r w:rsidR="00CB46C9">
              <w:rPr>
                <w:sz w:val="18"/>
                <w:szCs w:val="18"/>
              </w:rPr>
              <w:t>ying</w:t>
            </w:r>
            <w:r w:rsidRPr="00FF380E">
              <w:rPr>
                <w:sz w:val="18"/>
                <w:szCs w:val="18"/>
              </w:rPr>
              <w:t xml:space="preserve"> additional individuals using drugs and denying them unescorted access authorization</w:t>
            </w:r>
            <w:r w:rsidR="00CB46C9">
              <w:rPr>
                <w:sz w:val="18"/>
                <w:szCs w:val="18"/>
              </w:rPr>
              <w:t xml:space="preserve"> </w:t>
            </w:r>
            <w:r w:rsidRPr="00FF380E">
              <w:rPr>
                <w:sz w:val="18"/>
                <w:szCs w:val="18"/>
              </w:rPr>
              <w:t>reduce</w:t>
            </w:r>
            <w:r>
              <w:rPr>
                <w:sz w:val="18"/>
                <w:szCs w:val="18"/>
              </w:rPr>
              <w:t>s</w:t>
            </w:r>
            <w:r w:rsidRPr="00FF380E">
              <w:rPr>
                <w:sz w:val="18"/>
                <w:szCs w:val="18"/>
              </w:rPr>
              <w:t xml:space="preserve"> the risk that occupational health </w:t>
            </w:r>
            <w:r>
              <w:rPr>
                <w:sz w:val="18"/>
                <w:szCs w:val="18"/>
              </w:rPr>
              <w:t>is</w:t>
            </w:r>
            <w:r w:rsidRPr="00FF380E">
              <w:rPr>
                <w:sz w:val="18"/>
                <w:szCs w:val="18"/>
              </w:rPr>
              <w:t xml:space="preserve"> affected by an accident resulting from human performance issues associated with drug</w:t>
            </w:r>
            <w:r w:rsidR="00CB46C9">
              <w:rPr>
                <w:sz w:val="18"/>
                <w:szCs w:val="18"/>
              </w:rPr>
              <w:noBreakHyphen/>
            </w:r>
            <w:r w:rsidRPr="00FF380E">
              <w:rPr>
                <w:sz w:val="18"/>
                <w:szCs w:val="18"/>
              </w:rPr>
              <w:t>induced impairment.</w:t>
            </w:r>
          </w:p>
          <w:p w:rsidRPr="00FF380E" w:rsidR="00E33B36" w:rsidP="00A60C27" w:rsidRDefault="00E33B36" w14:paraId="7ECACE19"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p>
          <w:p w:rsidRPr="00FF380E" w:rsidR="00E33B36" w:rsidP="00A60C27" w:rsidRDefault="00E33B36" w14:paraId="455189BF" w14:textId="4A22563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r w:rsidRPr="00FF380E">
              <w:rPr>
                <w:b/>
                <w:sz w:val="18"/>
                <w:szCs w:val="18"/>
              </w:rPr>
              <w:t xml:space="preserve">Offsite Property: </w:t>
            </w:r>
            <w:r w:rsidRPr="00FF380E">
              <w:rPr>
                <w:sz w:val="18"/>
                <w:szCs w:val="18"/>
              </w:rPr>
              <w:t xml:space="preserve"> Identif</w:t>
            </w:r>
            <w:r w:rsidR="00CB46C9">
              <w:rPr>
                <w:sz w:val="18"/>
                <w:szCs w:val="18"/>
              </w:rPr>
              <w:t>ying</w:t>
            </w:r>
            <w:r w:rsidRPr="00FF380E">
              <w:rPr>
                <w:sz w:val="18"/>
                <w:szCs w:val="18"/>
              </w:rPr>
              <w:t xml:space="preserve"> additional individuals using drugs and denying them unescorted access authorization</w:t>
            </w:r>
            <w:r w:rsidR="00CB46C9">
              <w:rPr>
                <w:sz w:val="18"/>
                <w:szCs w:val="18"/>
              </w:rPr>
              <w:t xml:space="preserve"> </w:t>
            </w:r>
            <w:r w:rsidRPr="00FF380E">
              <w:rPr>
                <w:sz w:val="18"/>
                <w:szCs w:val="18"/>
              </w:rPr>
              <w:t>reduce</w:t>
            </w:r>
            <w:r>
              <w:rPr>
                <w:sz w:val="18"/>
                <w:szCs w:val="18"/>
              </w:rPr>
              <w:t>s</w:t>
            </w:r>
            <w:r w:rsidRPr="00FF380E">
              <w:rPr>
                <w:sz w:val="18"/>
                <w:szCs w:val="18"/>
              </w:rPr>
              <w:t xml:space="preserve"> the risk that offsite property </w:t>
            </w:r>
            <w:r>
              <w:rPr>
                <w:sz w:val="18"/>
                <w:szCs w:val="18"/>
              </w:rPr>
              <w:t>is</w:t>
            </w:r>
            <w:r w:rsidRPr="00FF380E">
              <w:rPr>
                <w:sz w:val="18"/>
                <w:szCs w:val="18"/>
              </w:rPr>
              <w:t xml:space="preserve"> affected by an accident resulting from human performance issues associated with drug-induced impairment.</w:t>
            </w:r>
          </w:p>
          <w:p w:rsidRPr="00FF380E" w:rsidR="00E33B36" w:rsidP="00A60C27" w:rsidRDefault="00E33B36" w14:paraId="641E372E"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p>
          <w:p w:rsidRPr="00FF380E" w:rsidR="00E33B36" w:rsidP="00A60C27" w:rsidRDefault="00E33B36" w14:paraId="7637D4E5" w14:textId="7AD92BEB">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r w:rsidRPr="00FF380E">
              <w:rPr>
                <w:b/>
                <w:sz w:val="18"/>
                <w:szCs w:val="18"/>
              </w:rPr>
              <w:t xml:space="preserve">Onsite Property: </w:t>
            </w:r>
            <w:r w:rsidRPr="00FF380E">
              <w:rPr>
                <w:sz w:val="18"/>
                <w:szCs w:val="18"/>
              </w:rPr>
              <w:t xml:space="preserve"> Identif</w:t>
            </w:r>
            <w:r w:rsidR="00CB46C9">
              <w:rPr>
                <w:sz w:val="18"/>
                <w:szCs w:val="18"/>
              </w:rPr>
              <w:t>ying</w:t>
            </w:r>
            <w:r w:rsidRPr="00FF380E">
              <w:rPr>
                <w:sz w:val="18"/>
                <w:szCs w:val="18"/>
              </w:rPr>
              <w:t xml:space="preserve"> additional individuals using drugs and denying them unescorted access authorization</w:t>
            </w:r>
            <w:r w:rsidR="00CB46C9">
              <w:rPr>
                <w:sz w:val="18"/>
                <w:szCs w:val="18"/>
              </w:rPr>
              <w:t xml:space="preserve"> </w:t>
            </w:r>
            <w:r w:rsidRPr="00FF380E">
              <w:rPr>
                <w:sz w:val="18"/>
                <w:szCs w:val="18"/>
              </w:rPr>
              <w:t>reduce</w:t>
            </w:r>
            <w:r>
              <w:rPr>
                <w:sz w:val="18"/>
                <w:szCs w:val="18"/>
              </w:rPr>
              <w:t>s</w:t>
            </w:r>
            <w:r w:rsidRPr="00FF380E">
              <w:rPr>
                <w:sz w:val="18"/>
                <w:szCs w:val="18"/>
              </w:rPr>
              <w:t xml:space="preserve"> the risk</w:t>
            </w:r>
            <w:r w:rsidRPr="00FF380E" w:rsidDel="003E53BF">
              <w:rPr>
                <w:sz w:val="18"/>
                <w:szCs w:val="18"/>
              </w:rPr>
              <w:t xml:space="preserve"> </w:t>
            </w:r>
            <w:r w:rsidRPr="00FF380E">
              <w:rPr>
                <w:sz w:val="18"/>
                <w:szCs w:val="18"/>
              </w:rPr>
              <w:t xml:space="preserve">that onsite property </w:t>
            </w:r>
            <w:r>
              <w:rPr>
                <w:sz w:val="18"/>
                <w:szCs w:val="18"/>
              </w:rPr>
              <w:t>is</w:t>
            </w:r>
            <w:r w:rsidRPr="00FF380E">
              <w:rPr>
                <w:sz w:val="18"/>
                <w:szCs w:val="18"/>
              </w:rPr>
              <w:t xml:space="preserve"> affected by radiological releases resulting from human performance issues associated with drug</w:t>
            </w:r>
            <w:r w:rsidR="002672D7">
              <w:rPr>
                <w:sz w:val="18"/>
                <w:szCs w:val="18"/>
              </w:rPr>
              <w:noBreakHyphen/>
            </w:r>
            <w:r w:rsidRPr="00FF380E">
              <w:rPr>
                <w:sz w:val="18"/>
                <w:szCs w:val="18"/>
              </w:rPr>
              <w:t>induced impairment.</w:t>
            </w:r>
          </w:p>
          <w:p w:rsidRPr="00FF380E" w:rsidR="00E33B36" w:rsidP="00A60C27" w:rsidRDefault="00E33B36" w14:paraId="56EF58B1"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p>
          <w:p w:rsidRPr="00FF380E" w:rsidR="00E33B36" w:rsidP="00A60C27" w:rsidRDefault="00E33B36" w14:paraId="372A4FC0" w14:textId="01A27C1F">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r w:rsidRPr="00FF380E">
              <w:rPr>
                <w:b/>
                <w:sz w:val="18"/>
                <w:szCs w:val="18"/>
              </w:rPr>
              <w:t xml:space="preserve">Regulatory Efficiency: </w:t>
            </w:r>
            <w:r w:rsidRPr="00FF380E">
              <w:rPr>
                <w:sz w:val="18"/>
                <w:szCs w:val="18"/>
              </w:rPr>
              <w:t xml:space="preserve"> Harmonizing definitions and procedures with those in the 2008 and 2017 HHS Guidelines, addressing dual regulation of HHS</w:t>
            </w:r>
            <w:r w:rsidRPr="00FF380E">
              <w:rPr>
                <w:sz w:val="18"/>
                <w:szCs w:val="18"/>
              </w:rPr>
              <w:noBreakHyphen/>
              <w:t>certified laboratories, clarifying ambiguous rule language, providing additional regulatory flexibility in 10 CFR Part 26, and enhancing donor due process provisions improve regulatory efficiency.</w:t>
            </w:r>
          </w:p>
          <w:p w:rsidRPr="00FF380E" w:rsidR="00E33B36" w:rsidP="00A60C27" w:rsidRDefault="00E33B36" w14:paraId="6D423D3B"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p>
          <w:p w:rsidRPr="00FF380E" w:rsidR="00E33B36" w:rsidP="00A60C27" w:rsidRDefault="00E33B36" w14:paraId="21340163" w14:textId="3B4FE5D2">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r w:rsidRPr="00FF380E">
              <w:rPr>
                <w:b/>
                <w:sz w:val="18"/>
                <w:szCs w:val="18"/>
              </w:rPr>
              <w:t xml:space="preserve">Safeguards and Security Considerations: </w:t>
            </w:r>
            <w:r w:rsidRPr="00FF380E">
              <w:rPr>
                <w:sz w:val="18"/>
                <w:szCs w:val="18"/>
              </w:rPr>
              <w:t xml:space="preserve"> Increas</w:t>
            </w:r>
            <w:r w:rsidR="00AD5BCE">
              <w:rPr>
                <w:sz w:val="18"/>
                <w:szCs w:val="18"/>
              </w:rPr>
              <w:t>ing</w:t>
            </w:r>
            <w:r w:rsidRPr="00FF380E">
              <w:rPr>
                <w:sz w:val="18"/>
                <w:szCs w:val="18"/>
              </w:rPr>
              <w:t xml:space="preserve"> assurance that individuals are trustworthy and reliable by enhancing the detection and deterrence of illegal drug use, legal drug misuse, and attempts to subvert the drug testing process improve</w:t>
            </w:r>
            <w:r>
              <w:rPr>
                <w:sz w:val="18"/>
                <w:szCs w:val="18"/>
              </w:rPr>
              <w:t>s</w:t>
            </w:r>
            <w:r w:rsidRPr="00FF380E">
              <w:rPr>
                <w:sz w:val="18"/>
                <w:szCs w:val="18"/>
              </w:rPr>
              <w:t xml:space="preserve"> safeguards and security.</w:t>
            </w:r>
          </w:p>
          <w:p w:rsidRPr="00FF380E" w:rsidR="00E33B36" w:rsidP="00A60C27" w:rsidRDefault="00E33B36" w14:paraId="6325FDAB" w14:textId="77777777">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s>
              <w:rPr>
                <w:sz w:val="18"/>
                <w:szCs w:val="18"/>
              </w:rPr>
            </w:pPr>
          </w:p>
          <w:p w:rsidRPr="00FF380E" w:rsidR="00B71C2D" w:rsidP="00A60C27" w:rsidRDefault="00E33B36" w14:paraId="598A29D7" w14:textId="538EB2CF">
            <w:pPr>
              <w:keepNext/>
              <w:keepLines/>
              <w:numPr>
                <w:ilvl w:val="12"/>
                <w:numId w:val="0"/>
              </w:numPr>
              <w:shd w:val="clear" w:color="auto" w:fill="FFFFFF" w:themeFill="background1"/>
              <w:tabs>
                <w:tab w:val="left" w:pos="0"/>
                <w:tab w:val="left" w:pos="720"/>
                <w:tab w:val="left" w:pos="1440"/>
                <w:tab w:val="left" w:pos="2160"/>
                <w:tab w:val="left" w:pos="2880"/>
                <w:tab w:val="left" w:pos="3600"/>
                <w:tab w:val="left" w:pos="4320"/>
                <w:tab w:val="left" w:pos="5040"/>
                <w:tab w:val="left" w:pos="5760"/>
              </w:tabs>
              <w:spacing w:after="120"/>
              <w:rPr>
                <w:sz w:val="18"/>
                <w:szCs w:val="18"/>
              </w:rPr>
            </w:pPr>
            <w:r w:rsidRPr="00FF380E">
              <w:rPr>
                <w:b/>
                <w:sz w:val="18"/>
                <w:szCs w:val="18"/>
              </w:rPr>
              <w:t>Other Considerations:</w:t>
            </w:r>
            <w:r w:rsidRPr="00FF380E">
              <w:rPr>
                <w:sz w:val="18"/>
                <w:szCs w:val="18"/>
              </w:rPr>
              <w:t xml:space="preserve">  The deterrent </w:t>
            </w:r>
            <w:r w:rsidR="00661782">
              <w:rPr>
                <w:sz w:val="18"/>
                <w:szCs w:val="18"/>
              </w:rPr>
              <w:t>effect of</w:t>
            </w:r>
            <w:r w:rsidRPr="00FF380E">
              <w:rPr>
                <w:sz w:val="18"/>
                <w:szCs w:val="18"/>
              </w:rPr>
              <w:t xml:space="preserve"> a drug testing program provide</w:t>
            </w:r>
            <w:r>
              <w:rPr>
                <w:sz w:val="18"/>
                <w:szCs w:val="18"/>
              </w:rPr>
              <w:t>s</w:t>
            </w:r>
            <w:r w:rsidRPr="00FF380E">
              <w:rPr>
                <w:sz w:val="18"/>
                <w:szCs w:val="18"/>
              </w:rPr>
              <w:t xml:space="preserve"> benefits to industry in that it </w:t>
            </w:r>
            <w:r w:rsidR="003D69F6">
              <w:rPr>
                <w:sz w:val="18"/>
                <w:szCs w:val="18"/>
              </w:rPr>
              <w:t xml:space="preserve">helps </w:t>
            </w:r>
            <w:r w:rsidR="00FB524F">
              <w:rPr>
                <w:sz w:val="18"/>
                <w:szCs w:val="18"/>
              </w:rPr>
              <w:t xml:space="preserve">dissuade </w:t>
            </w:r>
            <w:r w:rsidRPr="00FF380E">
              <w:rPr>
                <w:sz w:val="18"/>
                <w:szCs w:val="18"/>
              </w:rPr>
              <w:t xml:space="preserve">additional individuals </w:t>
            </w:r>
            <w:r w:rsidR="00FB524F">
              <w:rPr>
                <w:sz w:val="18"/>
                <w:szCs w:val="18"/>
              </w:rPr>
              <w:t>using</w:t>
            </w:r>
            <w:r w:rsidRPr="00FF380E">
              <w:rPr>
                <w:sz w:val="18"/>
                <w:szCs w:val="18"/>
              </w:rPr>
              <w:t xml:space="preserve"> illegal drug</w:t>
            </w:r>
            <w:r w:rsidR="00FB524F">
              <w:rPr>
                <w:sz w:val="18"/>
                <w:szCs w:val="18"/>
              </w:rPr>
              <w:t>s</w:t>
            </w:r>
            <w:r w:rsidRPr="00FF380E">
              <w:rPr>
                <w:sz w:val="18"/>
                <w:szCs w:val="18"/>
              </w:rPr>
              <w:t xml:space="preserve"> and </w:t>
            </w:r>
            <w:r w:rsidR="00FB524F">
              <w:rPr>
                <w:sz w:val="18"/>
                <w:szCs w:val="18"/>
              </w:rPr>
              <w:t xml:space="preserve">misusing </w:t>
            </w:r>
            <w:r w:rsidRPr="00FF380E">
              <w:rPr>
                <w:sz w:val="18"/>
                <w:szCs w:val="18"/>
              </w:rPr>
              <w:t>legal drug</w:t>
            </w:r>
            <w:r w:rsidR="00FB524F">
              <w:rPr>
                <w:sz w:val="18"/>
                <w:szCs w:val="18"/>
              </w:rPr>
              <w:t xml:space="preserve">s from </w:t>
            </w:r>
            <w:r w:rsidRPr="00FF380E">
              <w:rPr>
                <w:sz w:val="18"/>
                <w:szCs w:val="18"/>
              </w:rPr>
              <w:t xml:space="preserve">seeking employment in 10 CFR Part 26 regulated </w:t>
            </w:r>
            <w:r w:rsidR="007C57D8">
              <w:rPr>
                <w:sz w:val="18"/>
                <w:szCs w:val="18"/>
              </w:rPr>
              <w:t>workplace</w:t>
            </w:r>
            <w:r w:rsidRPr="00FF380E" w:rsidR="007C57D8">
              <w:rPr>
                <w:sz w:val="18"/>
                <w:szCs w:val="18"/>
              </w:rPr>
              <w:t>s</w:t>
            </w:r>
            <w:r w:rsidRPr="00FF380E">
              <w:rPr>
                <w:sz w:val="18"/>
                <w:szCs w:val="18"/>
              </w:rPr>
              <w:t>.  Industry benefits from fewer drug users in the workforce may include increased worker productivity, fewer sick days, less turnover in positions, reduced number of job</w:t>
            </w:r>
            <w:r w:rsidRPr="00FF380E">
              <w:rPr>
                <w:sz w:val="18"/>
                <w:szCs w:val="18"/>
              </w:rPr>
              <w:noBreakHyphen/>
              <w:t xml:space="preserve">related accidents, reduced number of disability claims, and reduced likelihood of equipment damage as a result of </w:t>
            </w:r>
            <w:r w:rsidR="00A6158C">
              <w:rPr>
                <w:sz w:val="18"/>
                <w:szCs w:val="18"/>
              </w:rPr>
              <w:t xml:space="preserve">personnel </w:t>
            </w:r>
            <w:r w:rsidRPr="00FF380E">
              <w:rPr>
                <w:sz w:val="18"/>
                <w:szCs w:val="18"/>
              </w:rPr>
              <w:t>impair</w:t>
            </w:r>
            <w:r w:rsidR="00FB524F">
              <w:rPr>
                <w:sz w:val="18"/>
                <w:szCs w:val="18"/>
              </w:rPr>
              <w:t xml:space="preserve">ed </w:t>
            </w:r>
            <w:r w:rsidRPr="00FF380E">
              <w:rPr>
                <w:sz w:val="18"/>
                <w:szCs w:val="18"/>
              </w:rPr>
              <w:t xml:space="preserve">from the use </w:t>
            </w:r>
            <w:r w:rsidR="00FB524F">
              <w:rPr>
                <w:sz w:val="18"/>
                <w:szCs w:val="18"/>
              </w:rPr>
              <w:t xml:space="preserve">or abuse </w:t>
            </w:r>
            <w:r w:rsidRPr="00FF380E">
              <w:rPr>
                <w:sz w:val="18"/>
                <w:szCs w:val="18"/>
              </w:rPr>
              <w:t>of drugs.</w:t>
            </w:r>
          </w:p>
        </w:tc>
      </w:tr>
    </w:tbl>
    <w:p w:rsidRPr="00DA0840" w:rsidR="00D520BD" w:rsidP="00A60C27" w:rsidRDefault="00D520BD" w14:paraId="115C6200" w14:textId="1839B7D5">
      <w:pPr>
        <w:widowControl w:val="0"/>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2310BA" w:rsidR="002310BA" w:rsidP="00A6777F" w:rsidRDefault="002310BA" w14:paraId="3A59EA73" w14:textId="16C5A006">
      <w:pPr>
        <w:pStyle w:val="Caption"/>
        <w:keepLines/>
        <w:widowControl w:val="0"/>
        <w:jc w:val="center"/>
        <w:rPr>
          <w:b/>
          <w:bCs w:val="0"/>
        </w:rPr>
      </w:pPr>
      <w:bookmarkStart w:name="_Toc72490564" w:id="126"/>
      <w:bookmarkStart w:name="_Toc105681561" w:id="127"/>
      <w:r w:rsidRPr="00B37562">
        <w:rPr>
          <w:b/>
          <w:bCs w:val="0"/>
        </w:rPr>
        <w:lastRenderedPageBreak/>
        <w:t>Table 5-</w:t>
      </w:r>
      <w:r w:rsidRPr="00B37562">
        <w:rPr>
          <w:b/>
          <w:bCs w:val="0"/>
        </w:rPr>
        <w:fldChar w:fldCharType="begin"/>
      </w:r>
      <w:r w:rsidRPr="00B37562">
        <w:rPr>
          <w:b/>
          <w:bCs w:val="0"/>
        </w:rPr>
        <w:instrText xml:space="preserve"> SEQ Table \* ARABIC </w:instrText>
      </w:r>
      <w:r w:rsidRPr="00B37562">
        <w:rPr>
          <w:b/>
          <w:bCs w:val="0"/>
        </w:rPr>
        <w:fldChar w:fldCharType="separate"/>
      </w:r>
      <w:r w:rsidR="00A6777F">
        <w:rPr>
          <w:b/>
          <w:bCs w:val="0"/>
          <w:noProof/>
        </w:rPr>
        <w:t>2</w:t>
      </w:r>
      <w:r w:rsidRPr="00B37562">
        <w:rPr>
          <w:b/>
          <w:bCs w:val="0"/>
        </w:rPr>
        <w:fldChar w:fldCharType="end"/>
      </w:r>
      <w:r w:rsidRPr="00B37562">
        <w:rPr>
          <w:b/>
          <w:bCs w:val="0"/>
        </w:rPr>
        <w:t xml:space="preserve">  Summary of Total Benefits and Costs to Industry (One-Time and Annual)</w:t>
      </w:r>
      <w:bookmarkEnd w:id="126"/>
      <w:bookmarkEnd w:id="127"/>
    </w:p>
    <w:tbl>
      <w:tblPr>
        <w:tblW w:w="9340" w:type="dxa"/>
        <w:tblLook w:val="04A0" w:firstRow="1" w:lastRow="0" w:firstColumn="1" w:lastColumn="0" w:noHBand="0" w:noVBand="1"/>
      </w:tblPr>
      <w:tblGrid>
        <w:gridCol w:w="1790"/>
        <w:gridCol w:w="1530"/>
        <w:gridCol w:w="1080"/>
        <w:gridCol w:w="1440"/>
        <w:gridCol w:w="1710"/>
        <w:gridCol w:w="1568"/>
        <w:gridCol w:w="222"/>
      </w:tblGrid>
      <w:tr w:rsidRPr="007A7A40" w:rsidR="007A7A40" w:rsidTr="00AF439A" w14:paraId="67B63B18" w14:textId="77777777">
        <w:trPr>
          <w:gridAfter w:val="1"/>
          <w:wAfter w:w="222" w:type="dxa"/>
          <w:trHeight w:val="285"/>
        </w:trPr>
        <w:tc>
          <w:tcPr>
            <w:tcW w:w="5840" w:type="dxa"/>
            <w:gridSpan w:val="4"/>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7A7A40" w:rsidR="007A7A40" w:rsidP="00A60C27" w:rsidRDefault="00F64061" w14:paraId="7620E6C4" w14:textId="73129E70">
            <w:pPr>
              <w:keepNext/>
              <w:keepLines/>
              <w:widowControl w:val="0"/>
              <w:autoSpaceDE/>
              <w:autoSpaceDN/>
              <w:adjustRightInd/>
              <w:jc w:val="center"/>
              <w:rPr>
                <w:rFonts w:cs="Arial"/>
                <w:b/>
                <w:bCs/>
                <w:color w:val="000000"/>
              </w:rPr>
            </w:pPr>
            <w:r>
              <w:rPr>
                <w:rFonts w:cs="Arial"/>
                <w:b/>
                <w:bCs/>
              </w:rPr>
              <w:t xml:space="preserve">Industry </w:t>
            </w:r>
            <w:r w:rsidRPr="007A7A40" w:rsidR="007A7A40">
              <w:rPr>
                <w:rFonts w:cs="Arial"/>
                <w:b/>
                <w:bCs/>
              </w:rPr>
              <w:t xml:space="preserve">Total </w:t>
            </w:r>
          </w:p>
        </w:tc>
        <w:tc>
          <w:tcPr>
            <w:tcW w:w="3278" w:type="dxa"/>
            <w:gridSpan w:val="2"/>
            <w:tcBorders>
              <w:top w:val="single" w:color="auto" w:sz="8" w:space="0"/>
              <w:left w:val="nil"/>
              <w:bottom w:val="single" w:color="auto" w:sz="8" w:space="0"/>
              <w:right w:val="single" w:color="000000" w:sz="8" w:space="0"/>
            </w:tcBorders>
            <w:shd w:val="clear" w:color="auto" w:fill="auto"/>
            <w:noWrap/>
            <w:vAlign w:val="center"/>
            <w:hideMark/>
          </w:tcPr>
          <w:p w:rsidRPr="007A7A40" w:rsidR="007A7A40" w:rsidP="00A60C27" w:rsidRDefault="007A7A40" w14:paraId="6741F08D" w14:textId="77777777">
            <w:pPr>
              <w:keepNext/>
              <w:keepLines/>
              <w:widowControl w:val="0"/>
              <w:autoSpaceDE/>
              <w:autoSpaceDN/>
              <w:adjustRightInd/>
              <w:jc w:val="center"/>
              <w:rPr>
                <w:rFonts w:cs="Arial"/>
                <w:b/>
                <w:bCs/>
                <w:color w:val="000000"/>
              </w:rPr>
            </w:pPr>
            <w:r w:rsidRPr="007A7A40">
              <w:rPr>
                <w:rFonts w:cs="Arial"/>
                <w:b/>
                <w:bCs/>
              </w:rPr>
              <w:t>Average per Site</w:t>
            </w:r>
            <w:r w:rsidRPr="007A7A40">
              <w:rPr>
                <w:rFonts w:cs="Arial"/>
                <w:b/>
                <w:bCs/>
                <w:color w:val="000000"/>
                <w:vertAlign w:val="superscript"/>
              </w:rPr>
              <w:t>a</w:t>
            </w:r>
          </w:p>
        </w:tc>
      </w:tr>
      <w:tr w:rsidRPr="007A7A40" w:rsidR="00B2064F" w:rsidTr="00AF439A" w14:paraId="6A463343" w14:textId="77777777">
        <w:trPr>
          <w:gridAfter w:val="1"/>
          <w:wAfter w:w="222" w:type="dxa"/>
          <w:trHeight w:val="230"/>
        </w:trPr>
        <w:tc>
          <w:tcPr>
            <w:tcW w:w="1790" w:type="dxa"/>
            <w:vMerge w:val="restart"/>
            <w:tcBorders>
              <w:top w:val="nil"/>
              <w:left w:val="single" w:color="auto" w:sz="8" w:space="0"/>
              <w:bottom w:val="single" w:color="000000" w:sz="8" w:space="0"/>
              <w:right w:val="single" w:color="auto" w:sz="8" w:space="0"/>
            </w:tcBorders>
            <w:shd w:val="clear" w:color="auto" w:fill="auto"/>
            <w:vAlign w:val="center"/>
            <w:hideMark/>
          </w:tcPr>
          <w:p w:rsidR="00184EBF" w:rsidP="00A60C27" w:rsidRDefault="007A7A40" w14:paraId="7955848A" w14:textId="77777777">
            <w:pPr>
              <w:keepNext/>
              <w:keepLines/>
              <w:widowControl w:val="0"/>
              <w:autoSpaceDE/>
              <w:autoSpaceDN/>
              <w:adjustRightInd/>
              <w:jc w:val="center"/>
              <w:rPr>
                <w:rFonts w:cs="Arial"/>
              </w:rPr>
            </w:pPr>
            <w:r w:rsidRPr="007A7A40">
              <w:rPr>
                <w:rFonts w:cs="Arial"/>
              </w:rPr>
              <w:t xml:space="preserve">One-Time </w:t>
            </w:r>
          </w:p>
          <w:p w:rsidRPr="007A7A40" w:rsidR="007A7A40" w:rsidP="00A60C27" w:rsidRDefault="007A7A40" w14:paraId="5505FACF" w14:textId="4739393C">
            <w:pPr>
              <w:keepNext/>
              <w:keepLines/>
              <w:widowControl w:val="0"/>
              <w:autoSpaceDE/>
              <w:autoSpaceDN/>
              <w:adjustRightInd/>
              <w:jc w:val="center"/>
              <w:rPr>
                <w:rFonts w:cs="Arial"/>
                <w:color w:val="000000"/>
              </w:rPr>
            </w:pPr>
            <w:r w:rsidRPr="007A7A40">
              <w:rPr>
                <w:rFonts w:cs="Arial"/>
              </w:rPr>
              <w:t>Benefit</w:t>
            </w:r>
            <w:r w:rsidR="00BD06A1">
              <w:rPr>
                <w:rFonts w:cs="Arial"/>
              </w:rPr>
              <w:t xml:space="preserve"> (Cost)</w:t>
            </w:r>
          </w:p>
        </w:tc>
        <w:tc>
          <w:tcPr>
            <w:tcW w:w="1530" w:type="dxa"/>
            <w:vMerge w:val="restart"/>
            <w:tcBorders>
              <w:top w:val="nil"/>
              <w:left w:val="single" w:color="auto" w:sz="8" w:space="0"/>
              <w:bottom w:val="single" w:color="000000" w:sz="8" w:space="0"/>
              <w:right w:val="single" w:color="auto" w:sz="8" w:space="0"/>
            </w:tcBorders>
            <w:shd w:val="clear" w:color="auto" w:fill="auto"/>
            <w:vAlign w:val="center"/>
            <w:hideMark/>
          </w:tcPr>
          <w:p w:rsidR="00184EBF" w:rsidP="00A60C27" w:rsidRDefault="007A7A40" w14:paraId="59BCA3D0" w14:textId="77777777">
            <w:pPr>
              <w:keepNext/>
              <w:keepLines/>
              <w:widowControl w:val="0"/>
              <w:autoSpaceDE/>
              <w:autoSpaceDN/>
              <w:adjustRightInd/>
              <w:jc w:val="center"/>
              <w:rPr>
                <w:rFonts w:cs="Arial"/>
              </w:rPr>
            </w:pPr>
            <w:r w:rsidRPr="007A7A40">
              <w:rPr>
                <w:rFonts w:cs="Arial"/>
              </w:rPr>
              <w:t xml:space="preserve">Annual </w:t>
            </w:r>
          </w:p>
          <w:p w:rsidRPr="007A7A40" w:rsidR="007A7A40" w:rsidP="00A60C27" w:rsidRDefault="007A7A40" w14:paraId="6173B109" w14:textId="60CAA8DA">
            <w:pPr>
              <w:keepNext/>
              <w:keepLines/>
              <w:widowControl w:val="0"/>
              <w:autoSpaceDE/>
              <w:autoSpaceDN/>
              <w:adjustRightInd/>
              <w:jc w:val="center"/>
              <w:rPr>
                <w:rFonts w:cs="Arial"/>
                <w:color w:val="000000"/>
              </w:rPr>
            </w:pPr>
            <w:r w:rsidRPr="007A7A40">
              <w:rPr>
                <w:rFonts w:cs="Arial"/>
              </w:rPr>
              <w:t>Benefit</w:t>
            </w:r>
            <w:r w:rsidR="00BD06A1">
              <w:rPr>
                <w:rFonts w:cs="Arial"/>
              </w:rPr>
              <w:t xml:space="preserve"> (Cost)</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hideMark/>
          </w:tcPr>
          <w:p w:rsidR="00B2064F" w:rsidP="00A60C27" w:rsidRDefault="007A7A40" w14:paraId="657EDE66" w14:textId="7C1D04E0">
            <w:pPr>
              <w:keepNext/>
              <w:keepLines/>
              <w:widowControl w:val="0"/>
              <w:autoSpaceDE/>
              <w:autoSpaceDN/>
              <w:adjustRightInd/>
              <w:jc w:val="center"/>
              <w:rPr>
                <w:rFonts w:cs="Arial"/>
              </w:rPr>
            </w:pPr>
            <w:r w:rsidRPr="007A7A40">
              <w:rPr>
                <w:rFonts w:cs="Arial"/>
              </w:rPr>
              <w:t xml:space="preserve">7% </w:t>
            </w:r>
          </w:p>
          <w:p w:rsidRPr="007A7A40" w:rsidR="007A7A40" w:rsidP="00A60C27" w:rsidRDefault="007A7A40" w14:paraId="2E5B9E4E" w14:textId="16F6CE18">
            <w:pPr>
              <w:keepNext/>
              <w:keepLines/>
              <w:widowControl w:val="0"/>
              <w:autoSpaceDE/>
              <w:autoSpaceDN/>
              <w:adjustRightInd/>
              <w:jc w:val="center"/>
              <w:rPr>
                <w:rFonts w:cs="Arial"/>
                <w:color w:val="000000"/>
              </w:rPr>
            </w:pPr>
            <w:r w:rsidRPr="007A7A40">
              <w:rPr>
                <w:rFonts w:cs="Arial"/>
              </w:rPr>
              <w:t>NPV</w:t>
            </w:r>
          </w:p>
        </w:tc>
        <w:tc>
          <w:tcPr>
            <w:tcW w:w="1440" w:type="dxa"/>
            <w:vMerge w:val="restart"/>
            <w:tcBorders>
              <w:top w:val="nil"/>
              <w:left w:val="single" w:color="auto" w:sz="8" w:space="0"/>
              <w:bottom w:val="single" w:color="000000" w:sz="8" w:space="0"/>
              <w:right w:val="single" w:color="auto" w:sz="8" w:space="0"/>
            </w:tcBorders>
            <w:shd w:val="clear" w:color="auto" w:fill="auto"/>
            <w:vAlign w:val="center"/>
            <w:hideMark/>
          </w:tcPr>
          <w:p w:rsidR="009B33E7" w:rsidP="00A60C27" w:rsidRDefault="007A7A40" w14:paraId="0A59E3FB" w14:textId="358BCF61">
            <w:pPr>
              <w:keepNext/>
              <w:keepLines/>
              <w:widowControl w:val="0"/>
              <w:autoSpaceDE/>
              <w:autoSpaceDN/>
              <w:adjustRightInd/>
              <w:jc w:val="center"/>
              <w:rPr>
                <w:rFonts w:cs="Arial"/>
              </w:rPr>
            </w:pPr>
            <w:r w:rsidRPr="007A7A40">
              <w:rPr>
                <w:rFonts w:cs="Arial"/>
              </w:rPr>
              <w:t>3</w:t>
            </w:r>
            <w:r w:rsidR="009B33E7">
              <w:rPr>
                <w:rFonts w:cs="Arial"/>
              </w:rPr>
              <w:t>%</w:t>
            </w:r>
            <w:r w:rsidRPr="007A7A40">
              <w:rPr>
                <w:rFonts w:cs="Arial"/>
              </w:rPr>
              <w:t xml:space="preserve"> </w:t>
            </w:r>
          </w:p>
          <w:p w:rsidRPr="007A7A40" w:rsidR="007A7A40" w:rsidP="00A60C27" w:rsidRDefault="007A7A40" w14:paraId="0BD4EFBB" w14:textId="66F97066">
            <w:pPr>
              <w:keepNext/>
              <w:keepLines/>
              <w:widowControl w:val="0"/>
              <w:autoSpaceDE/>
              <w:autoSpaceDN/>
              <w:adjustRightInd/>
              <w:jc w:val="center"/>
              <w:rPr>
                <w:rFonts w:cs="Arial"/>
                <w:color w:val="000000"/>
              </w:rPr>
            </w:pPr>
            <w:r w:rsidRPr="007A7A40">
              <w:rPr>
                <w:rFonts w:cs="Arial"/>
              </w:rPr>
              <w:t>NPV</w:t>
            </w:r>
          </w:p>
        </w:tc>
        <w:tc>
          <w:tcPr>
            <w:tcW w:w="1710" w:type="dxa"/>
            <w:vMerge w:val="restart"/>
            <w:tcBorders>
              <w:top w:val="nil"/>
              <w:left w:val="single" w:color="auto" w:sz="8" w:space="0"/>
              <w:bottom w:val="single" w:color="000000" w:sz="8" w:space="0"/>
              <w:right w:val="single" w:color="auto" w:sz="8" w:space="0"/>
            </w:tcBorders>
            <w:shd w:val="clear" w:color="auto" w:fill="auto"/>
            <w:vAlign w:val="center"/>
            <w:hideMark/>
          </w:tcPr>
          <w:p w:rsidRPr="007A7A40" w:rsidR="007A7A40" w:rsidP="00A60C27" w:rsidRDefault="007A7A40" w14:paraId="02FD80CD" w14:textId="354C2D9C">
            <w:pPr>
              <w:keepNext/>
              <w:keepLines/>
              <w:widowControl w:val="0"/>
              <w:autoSpaceDE/>
              <w:autoSpaceDN/>
              <w:adjustRightInd/>
              <w:jc w:val="center"/>
              <w:rPr>
                <w:rFonts w:cs="Arial"/>
                <w:color w:val="000000"/>
              </w:rPr>
            </w:pPr>
            <w:r w:rsidRPr="007A7A40">
              <w:rPr>
                <w:rFonts w:cs="Arial"/>
              </w:rPr>
              <w:t>One-Time Benefit</w:t>
            </w:r>
            <w:r w:rsidR="00BD06A1">
              <w:rPr>
                <w:rFonts w:cs="Arial"/>
              </w:rPr>
              <w:t xml:space="preserve"> (Cost)</w:t>
            </w:r>
          </w:p>
        </w:tc>
        <w:tc>
          <w:tcPr>
            <w:tcW w:w="1568" w:type="dxa"/>
            <w:vMerge w:val="restart"/>
            <w:tcBorders>
              <w:top w:val="nil"/>
              <w:left w:val="single" w:color="auto" w:sz="8" w:space="0"/>
              <w:bottom w:val="single" w:color="000000" w:sz="8" w:space="0"/>
              <w:right w:val="single" w:color="auto" w:sz="8" w:space="0"/>
            </w:tcBorders>
            <w:shd w:val="clear" w:color="auto" w:fill="auto"/>
            <w:vAlign w:val="center"/>
            <w:hideMark/>
          </w:tcPr>
          <w:p w:rsidR="00184EBF" w:rsidP="00A60C27" w:rsidRDefault="007A7A40" w14:paraId="5953ACB3" w14:textId="77777777">
            <w:pPr>
              <w:keepNext/>
              <w:keepLines/>
              <w:widowControl w:val="0"/>
              <w:autoSpaceDE/>
              <w:autoSpaceDN/>
              <w:adjustRightInd/>
              <w:jc w:val="center"/>
              <w:rPr>
                <w:rFonts w:cs="Arial"/>
              </w:rPr>
            </w:pPr>
            <w:r w:rsidRPr="007A7A40">
              <w:rPr>
                <w:rFonts w:cs="Arial"/>
              </w:rPr>
              <w:t>Annual</w:t>
            </w:r>
            <w:r w:rsidR="00B2064F">
              <w:rPr>
                <w:rFonts w:cs="Arial"/>
              </w:rPr>
              <w:t xml:space="preserve"> </w:t>
            </w:r>
          </w:p>
          <w:p w:rsidRPr="007A7A40" w:rsidR="007A7A40" w:rsidP="00A60C27" w:rsidRDefault="007A7A40" w14:paraId="5242DDDC" w14:textId="34E53CA1">
            <w:pPr>
              <w:keepNext/>
              <w:keepLines/>
              <w:widowControl w:val="0"/>
              <w:autoSpaceDE/>
              <w:autoSpaceDN/>
              <w:adjustRightInd/>
              <w:jc w:val="center"/>
              <w:rPr>
                <w:rFonts w:cs="Arial"/>
                <w:color w:val="000000"/>
              </w:rPr>
            </w:pPr>
            <w:r w:rsidRPr="007A7A40">
              <w:rPr>
                <w:rFonts w:cs="Arial"/>
              </w:rPr>
              <w:t>Benefit</w:t>
            </w:r>
            <w:r w:rsidR="00BD06A1">
              <w:rPr>
                <w:rFonts w:cs="Arial"/>
              </w:rPr>
              <w:t xml:space="preserve"> (Cost)</w:t>
            </w:r>
          </w:p>
        </w:tc>
      </w:tr>
      <w:tr w:rsidRPr="007A7A40" w:rsidR="00B2064F" w:rsidTr="00AF439A" w14:paraId="77F70857" w14:textId="77777777">
        <w:trPr>
          <w:trHeight w:val="48"/>
        </w:trPr>
        <w:tc>
          <w:tcPr>
            <w:tcW w:w="1790" w:type="dxa"/>
            <w:vMerge/>
            <w:tcBorders>
              <w:top w:val="nil"/>
              <w:left w:val="single" w:color="auto" w:sz="8" w:space="0"/>
              <w:bottom w:val="single" w:color="000000" w:sz="8" w:space="0"/>
              <w:right w:val="single" w:color="auto" w:sz="8" w:space="0"/>
            </w:tcBorders>
            <w:shd w:val="clear" w:color="auto" w:fill="auto"/>
            <w:vAlign w:val="center"/>
            <w:hideMark/>
          </w:tcPr>
          <w:p w:rsidRPr="007A7A40" w:rsidR="007A7A40" w:rsidP="00A60C27" w:rsidRDefault="007A7A40" w14:paraId="2229893A" w14:textId="77777777">
            <w:pPr>
              <w:keepNext/>
              <w:keepLines/>
              <w:widowControl w:val="0"/>
              <w:autoSpaceDE/>
              <w:autoSpaceDN/>
              <w:adjustRightInd/>
              <w:rPr>
                <w:rFonts w:cs="Arial"/>
                <w:color w:val="000000"/>
              </w:rPr>
            </w:pPr>
          </w:p>
        </w:tc>
        <w:tc>
          <w:tcPr>
            <w:tcW w:w="1530" w:type="dxa"/>
            <w:vMerge/>
            <w:tcBorders>
              <w:top w:val="nil"/>
              <w:left w:val="single" w:color="auto" w:sz="8" w:space="0"/>
              <w:bottom w:val="single" w:color="000000" w:sz="8" w:space="0"/>
              <w:right w:val="single" w:color="auto" w:sz="8" w:space="0"/>
            </w:tcBorders>
            <w:shd w:val="clear" w:color="auto" w:fill="auto"/>
            <w:vAlign w:val="center"/>
            <w:hideMark/>
          </w:tcPr>
          <w:p w:rsidRPr="007A7A40" w:rsidR="007A7A40" w:rsidP="00A60C27" w:rsidRDefault="007A7A40" w14:paraId="2E824186" w14:textId="77777777">
            <w:pPr>
              <w:keepNext/>
              <w:keepLines/>
              <w:widowControl w:val="0"/>
              <w:autoSpaceDE/>
              <w:autoSpaceDN/>
              <w:adjustRightInd/>
              <w:rPr>
                <w:rFonts w:cs="Arial"/>
                <w:color w:val="000000"/>
              </w:rPr>
            </w:pPr>
          </w:p>
        </w:tc>
        <w:tc>
          <w:tcPr>
            <w:tcW w:w="1080" w:type="dxa"/>
            <w:vMerge/>
            <w:tcBorders>
              <w:top w:val="nil"/>
              <w:left w:val="single" w:color="auto" w:sz="8" w:space="0"/>
              <w:bottom w:val="single" w:color="000000" w:sz="8" w:space="0"/>
              <w:right w:val="single" w:color="auto" w:sz="8" w:space="0"/>
            </w:tcBorders>
            <w:shd w:val="clear" w:color="auto" w:fill="auto"/>
            <w:vAlign w:val="center"/>
            <w:hideMark/>
          </w:tcPr>
          <w:p w:rsidRPr="007A7A40" w:rsidR="007A7A40" w:rsidP="00A60C27" w:rsidRDefault="007A7A40" w14:paraId="56188825" w14:textId="77777777">
            <w:pPr>
              <w:keepNext/>
              <w:keepLines/>
              <w:widowControl w:val="0"/>
              <w:autoSpaceDE/>
              <w:autoSpaceDN/>
              <w:adjustRightInd/>
              <w:rPr>
                <w:rFonts w:cs="Arial"/>
                <w:color w:val="000000"/>
              </w:rPr>
            </w:pPr>
          </w:p>
        </w:tc>
        <w:tc>
          <w:tcPr>
            <w:tcW w:w="1440" w:type="dxa"/>
            <w:vMerge/>
            <w:tcBorders>
              <w:top w:val="nil"/>
              <w:left w:val="single" w:color="auto" w:sz="8" w:space="0"/>
              <w:bottom w:val="single" w:color="000000" w:sz="8" w:space="0"/>
              <w:right w:val="single" w:color="auto" w:sz="8" w:space="0"/>
            </w:tcBorders>
            <w:shd w:val="clear" w:color="auto" w:fill="auto"/>
            <w:vAlign w:val="center"/>
            <w:hideMark/>
          </w:tcPr>
          <w:p w:rsidRPr="007A7A40" w:rsidR="007A7A40" w:rsidP="00A60C27" w:rsidRDefault="007A7A40" w14:paraId="062BE4D0" w14:textId="77777777">
            <w:pPr>
              <w:keepNext/>
              <w:keepLines/>
              <w:widowControl w:val="0"/>
              <w:autoSpaceDE/>
              <w:autoSpaceDN/>
              <w:adjustRightInd/>
              <w:rPr>
                <w:rFonts w:cs="Arial"/>
                <w:color w:val="000000"/>
              </w:rPr>
            </w:pPr>
          </w:p>
        </w:tc>
        <w:tc>
          <w:tcPr>
            <w:tcW w:w="1710" w:type="dxa"/>
            <w:vMerge/>
            <w:tcBorders>
              <w:top w:val="nil"/>
              <w:left w:val="single" w:color="auto" w:sz="8" w:space="0"/>
              <w:bottom w:val="single" w:color="000000" w:sz="8" w:space="0"/>
              <w:right w:val="single" w:color="auto" w:sz="8" w:space="0"/>
            </w:tcBorders>
            <w:shd w:val="clear" w:color="auto" w:fill="auto"/>
            <w:vAlign w:val="center"/>
            <w:hideMark/>
          </w:tcPr>
          <w:p w:rsidRPr="007A7A40" w:rsidR="007A7A40" w:rsidP="00A60C27" w:rsidRDefault="007A7A40" w14:paraId="5CF5AC38" w14:textId="77777777">
            <w:pPr>
              <w:keepNext/>
              <w:keepLines/>
              <w:widowControl w:val="0"/>
              <w:autoSpaceDE/>
              <w:autoSpaceDN/>
              <w:adjustRightInd/>
              <w:rPr>
                <w:rFonts w:cs="Arial"/>
                <w:color w:val="000000"/>
              </w:rPr>
            </w:pPr>
          </w:p>
        </w:tc>
        <w:tc>
          <w:tcPr>
            <w:tcW w:w="1568" w:type="dxa"/>
            <w:vMerge/>
            <w:tcBorders>
              <w:top w:val="nil"/>
              <w:left w:val="single" w:color="auto" w:sz="8" w:space="0"/>
              <w:bottom w:val="single" w:color="000000" w:sz="8" w:space="0"/>
              <w:right w:val="single" w:color="auto" w:sz="8" w:space="0"/>
            </w:tcBorders>
            <w:shd w:val="clear" w:color="auto" w:fill="auto"/>
            <w:vAlign w:val="center"/>
            <w:hideMark/>
          </w:tcPr>
          <w:p w:rsidRPr="007A7A40" w:rsidR="007A7A40" w:rsidP="00A60C27" w:rsidRDefault="007A7A40" w14:paraId="57DCC412" w14:textId="77777777">
            <w:pPr>
              <w:keepNext/>
              <w:keepLines/>
              <w:widowControl w:val="0"/>
              <w:autoSpaceDE/>
              <w:autoSpaceDN/>
              <w:adjustRightInd/>
              <w:rPr>
                <w:rFonts w:cs="Arial"/>
                <w:color w:val="000000"/>
              </w:rPr>
            </w:pPr>
          </w:p>
        </w:tc>
        <w:tc>
          <w:tcPr>
            <w:tcW w:w="222" w:type="dxa"/>
            <w:tcBorders>
              <w:top w:val="nil"/>
              <w:left w:val="nil"/>
              <w:bottom w:val="nil"/>
              <w:right w:val="nil"/>
            </w:tcBorders>
            <w:shd w:val="clear" w:color="auto" w:fill="auto"/>
            <w:noWrap/>
            <w:vAlign w:val="bottom"/>
            <w:hideMark/>
          </w:tcPr>
          <w:p w:rsidRPr="007A7A40" w:rsidR="007A7A40" w:rsidP="00A60C27" w:rsidRDefault="007A7A40" w14:paraId="4B5ADDAD" w14:textId="77777777">
            <w:pPr>
              <w:keepNext/>
              <w:keepLines/>
              <w:widowControl w:val="0"/>
              <w:autoSpaceDE/>
              <w:autoSpaceDN/>
              <w:adjustRightInd/>
              <w:jc w:val="center"/>
              <w:rPr>
                <w:rFonts w:cs="Arial"/>
                <w:color w:val="000000"/>
              </w:rPr>
            </w:pPr>
          </w:p>
        </w:tc>
      </w:tr>
      <w:tr w:rsidRPr="007A7A40" w:rsidR="00B2064F" w:rsidTr="00AF439A" w14:paraId="464B09CC" w14:textId="77777777">
        <w:trPr>
          <w:trHeight w:val="240"/>
        </w:trPr>
        <w:tc>
          <w:tcPr>
            <w:tcW w:w="1790" w:type="dxa"/>
            <w:tcBorders>
              <w:top w:val="nil"/>
              <w:left w:val="single" w:color="auto" w:sz="8" w:space="0"/>
              <w:bottom w:val="single" w:color="auto" w:sz="8" w:space="0"/>
              <w:right w:val="single" w:color="auto" w:sz="8" w:space="0"/>
            </w:tcBorders>
            <w:shd w:val="clear" w:color="auto" w:fill="auto"/>
            <w:noWrap/>
            <w:vAlign w:val="center"/>
            <w:hideMark/>
          </w:tcPr>
          <w:p w:rsidRPr="007A7A40" w:rsidR="007A7A40" w:rsidP="00A60C27" w:rsidRDefault="007A7A40" w14:paraId="5B07F148" w14:textId="77777777">
            <w:pPr>
              <w:keepNext/>
              <w:keepLines/>
              <w:widowControl w:val="0"/>
              <w:autoSpaceDE/>
              <w:autoSpaceDN/>
              <w:adjustRightInd/>
              <w:jc w:val="center"/>
              <w:rPr>
                <w:rFonts w:cs="Arial"/>
                <w:color w:val="000000"/>
              </w:rPr>
            </w:pPr>
            <w:r w:rsidRPr="007A7A40">
              <w:rPr>
                <w:rFonts w:cs="Arial"/>
              </w:rPr>
              <w:t>($136,936)</w:t>
            </w:r>
          </w:p>
        </w:tc>
        <w:tc>
          <w:tcPr>
            <w:tcW w:w="1530" w:type="dxa"/>
            <w:tcBorders>
              <w:top w:val="nil"/>
              <w:left w:val="nil"/>
              <w:bottom w:val="single" w:color="auto" w:sz="8" w:space="0"/>
              <w:right w:val="single" w:color="auto" w:sz="8" w:space="0"/>
            </w:tcBorders>
            <w:shd w:val="clear" w:color="auto" w:fill="auto"/>
            <w:noWrap/>
            <w:vAlign w:val="center"/>
            <w:hideMark/>
          </w:tcPr>
          <w:p w:rsidRPr="007A7A40" w:rsidR="007A7A40" w:rsidP="00A60C27" w:rsidRDefault="007A7A40" w14:paraId="5AC044C6" w14:textId="5266D2F1">
            <w:pPr>
              <w:keepNext/>
              <w:keepLines/>
              <w:widowControl w:val="0"/>
              <w:autoSpaceDE/>
              <w:autoSpaceDN/>
              <w:adjustRightInd/>
              <w:jc w:val="center"/>
              <w:rPr>
                <w:rFonts w:cs="Arial"/>
                <w:color w:val="000000"/>
              </w:rPr>
            </w:pPr>
            <w:r w:rsidRPr="007A7A40">
              <w:rPr>
                <w:rFonts w:cs="Arial"/>
              </w:rPr>
              <w:t>$</w:t>
            </w:r>
            <w:r w:rsidR="00E600E7">
              <w:rPr>
                <w:rFonts w:cs="Arial"/>
              </w:rPr>
              <w:t>47,650</w:t>
            </w:r>
          </w:p>
        </w:tc>
        <w:tc>
          <w:tcPr>
            <w:tcW w:w="1080" w:type="dxa"/>
            <w:tcBorders>
              <w:top w:val="nil"/>
              <w:left w:val="nil"/>
              <w:bottom w:val="single" w:color="auto" w:sz="8" w:space="0"/>
              <w:right w:val="single" w:color="auto" w:sz="8" w:space="0"/>
            </w:tcBorders>
            <w:shd w:val="clear" w:color="auto" w:fill="auto"/>
            <w:noWrap/>
            <w:vAlign w:val="center"/>
            <w:hideMark/>
          </w:tcPr>
          <w:p w:rsidRPr="007A7A40" w:rsidR="007A7A40" w:rsidP="00A60C27" w:rsidRDefault="007A7A40" w14:paraId="1D1B562B" w14:textId="0A463C3C">
            <w:pPr>
              <w:keepNext/>
              <w:keepLines/>
              <w:widowControl w:val="0"/>
              <w:autoSpaceDE/>
              <w:autoSpaceDN/>
              <w:adjustRightInd/>
              <w:jc w:val="center"/>
              <w:rPr>
                <w:rFonts w:cs="Arial"/>
                <w:color w:val="000000"/>
              </w:rPr>
            </w:pPr>
            <w:r w:rsidRPr="007A7A40">
              <w:rPr>
                <w:rFonts w:cs="Arial"/>
              </w:rPr>
              <w:t>$</w:t>
            </w:r>
            <w:r w:rsidR="00E600E7">
              <w:rPr>
                <w:rFonts w:cs="Arial"/>
              </w:rPr>
              <w:t>418,356</w:t>
            </w:r>
          </w:p>
        </w:tc>
        <w:tc>
          <w:tcPr>
            <w:tcW w:w="1440" w:type="dxa"/>
            <w:tcBorders>
              <w:top w:val="nil"/>
              <w:left w:val="nil"/>
              <w:bottom w:val="single" w:color="auto" w:sz="8" w:space="0"/>
              <w:right w:val="single" w:color="auto" w:sz="8" w:space="0"/>
            </w:tcBorders>
            <w:shd w:val="clear" w:color="auto" w:fill="auto"/>
            <w:noWrap/>
            <w:vAlign w:val="center"/>
            <w:hideMark/>
          </w:tcPr>
          <w:p w:rsidRPr="007A7A40" w:rsidR="007A7A40" w:rsidP="00A60C27" w:rsidRDefault="007A7A40" w14:paraId="3CC57B39" w14:textId="16CE7AB5">
            <w:pPr>
              <w:keepNext/>
              <w:keepLines/>
              <w:widowControl w:val="0"/>
              <w:autoSpaceDE/>
              <w:autoSpaceDN/>
              <w:adjustRightInd/>
              <w:jc w:val="center"/>
              <w:rPr>
                <w:rFonts w:cs="Arial"/>
                <w:color w:val="000000"/>
              </w:rPr>
            </w:pPr>
            <w:r w:rsidRPr="007A7A40">
              <w:rPr>
                <w:rFonts w:cs="Arial"/>
              </w:rPr>
              <w:t>$</w:t>
            </w:r>
            <w:r w:rsidR="006532FC">
              <w:rPr>
                <w:rFonts w:cs="Arial"/>
              </w:rPr>
              <w:t>692,799</w:t>
            </w:r>
          </w:p>
        </w:tc>
        <w:tc>
          <w:tcPr>
            <w:tcW w:w="1710" w:type="dxa"/>
            <w:tcBorders>
              <w:top w:val="nil"/>
              <w:left w:val="nil"/>
              <w:bottom w:val="single" w:color="auto" w:sz="8" w:space="0"/>
              <w:right w:val="single" w:color="auto" w:sz="8" w:space="0"/>
            </w:tcBorders>
            <w:shd w:val="clear" w:color="auto" w:fill="auto"/>
            <w:noWrap/>
            <w:vAlign w:val="center"/>
            <w:hideMark/>
          </w:tcPr>
          <w:p w:rsidRPr="007A7A40" w:rsidR="007A7A40" w:rsidP="00A60C27" w:rsidRDefault="007A7A40" w14:paraId="7F151E1B" w14:textId="77777777">
            <w:pPr>
              <w:keepNext/>
              <w:keepLines/>
              <w:widowControl w:val="0"/>
              <w:autoSpaceDE/>
              <w:autoSpaceDN/>
              <w:adjustRightInd/>
              <w:jc w:val="center"/>
              <w:rPr>
                <w:rFonts w:cs="Arial"/>
                <w:color w:val="000000"/>
              </w:rPr>
            </w:pPr>
            <w:r w:rsidRPr="007A7A40">
              <w:rPr>
                <w:rFonts w:cs="Arial"/>
              </w:rPr>
              <w:t>($2,321)</w:t>
            </w:r>
          </w:p>
        </w:tc>
        <w:tc>
          <w:tcPr>
            <w:tcW w:w="1568" w:type="dxa"/>
            <w:tcBorders>
              <w:top w:val="nil"/>
              <w:left w:val="nil"/>
              <w:bottom w:val="single" w:color="auto" w:sz="8" w:space="0"/>
              <w:right w:val="single" w:color="auto" w:sz="8" w:space="0"/>
            </w:tcBorders>
            <w:shd w:val="clear" w:color="auto" w:fill="auto"/>
            <w:noWrap/>
            <w:vAlign w:val="center"/>
            <w:hideMark/>
          </w:tcPr>
          <w:p w:rsidRPr="007A7A40" w:rsidR="007A7A40" w:rsidP="00A60C27" w:rsidRDefault="007A7A40" w14:paraId="6831014B" w14:textId="459240D8">
            <w:pPr>
              <w:keepNext/>
              <w:keepLines/>
              <w:widowControl w:val="0"/>
              <w:autoSpaceDE/>
              <w:autoSpaceDN/>
              <w:adjustRightInd/>
              <w:jc w:val="center"/>
              <w:rPr>
                <w:rFonts w:cs="Arial"/>
                <w:color w:val="000000"/>
              </w:rPr>
            </w:pPr>
            <w:r w:rsidRPr="007A7A40">
              <w:rPr>
                <w:rFonts w:cs="Arial"/>
              </w:rPr>
              <w:t>$</w:t>
            </w:r>
            <w:r w:rsidR="006532FC">
              <w:rPr>
                <w:rFonts w:cs="Arial"/>
              </w:rPr>
              <w:t>808</w:t>
            </w:r>
          </w:p>
        </w:tc>
        <w:tc>
          <w:tcPr>
            <w:tcW w:w="222" w:type="dxa"/>
            <w:vAlign w:val="center"/>
            <w:hideMark/>
          </w:tcPr>
          <w:p w:rsidRPr="007A7A40" w:rsidR="007A7A40" w:rsidP="00A60C27" w:rsidRDefault="007A7A40" w14:paraId="3B0B9474" w14:textId="77777777">
            <w:pPr>
              <w:keepNext/>
              <w:keepLines/>
              <w:widowControl w:val="0"/>
              <w:autoSpaceDE/>
              <w:autoSpaceDN/>
              <w:adjustRightInd/>
              <w:rPr>
                <w:rFonts w:ascii="Times New Roman" w:hAnsi="Times New Roman"/>
              </w:rPr>
            </w:pPr>
          </w:p>
        </w:tc>
      </w:tr>
    </w:tbl>
    <w:p w:rsidRPr="00503AED" w:rsidR="00D520BD" w:rsidP="00A60C27" w:rsidRDefault="00B37562" w14:paraId="2618500E" w14:textId="573AD3D9">
      <w:pPr>
        <w:keepNext/>
        <w:keepLines/>
        <w:widowControl w:val="0"/>
        <w:autoSpaceDE/>
        <w:autoSpaceDN/>
        <w:adjustRightInd/>
        <w:spacing w:before="60"/>
        <w:ind w:left="360" w:hanging="360"/>
        <w:rPr>
          <w:sz w:val="18"/>
        </w:rPr>
      </w:pPr>
      <w:proofErr w:type="spellStart"/>
      <w:proofErr w:type="gramStart"/>
      <w:r w:rsidRPr="00503AED">
        <w:rPr>
          <w:sz w:val="18"/>
          <w:vertAlign w:val="superscript"/>
        </w:rPr>
        <w:t>a</w:t>
      </w:r>
      <w:proofErr w:type="spellEnd"/>
      <w:proofErr w:type="gramEnd"/>
      <w:r w:rsidRPr="00503AED" w:rsidR="00D520BD">
        <w:rPr>
          <w:sz w:val="18"/>
        </w:rPr>
        <w:tab/>
        <w:t>Average cost per site calculated by dividing the total industrywide cost by the number of sites (</w:t>
      </w:r>
      <w:r w:rsidRPr="00503AED" w:rsidR="00F771E3">
        <w:rPr>
          <w:sz w:val="18"/>
        </w:rPr>
        <w:t>59</w:t>
      </w:r>
      <w:r w:rsidRPr="00503AED" w:rsidR="00D520BD">
        <w:rPr>
          <w:sz w:val="18"/>
        </w:rPr>
        <w:t>).</w:t>
      </w:r>
    </w:p>
    <w:p w:rsidRPr="00503AED" w:rsidR="00D520BD" w:rsidP="00A60C27" w:rsidRDefault="008404A3" w14:paraId="32FBF7EB" w14:textId="154E3A18">
      <w:pPr>
        <w:keepNext/>
        <w:keepLines/>
        <w:widowControl w:val="0"/>
        <w:autoSpaceDE/>
        <w:autoSpaceDN/>
        <w:adjustRightInd/>
        <w:ind w:left="360" w:hanging="360"/>
        <w:rPr>
          <w:sz w:val="18"/>
        </w:rPr>
      </w:pPr>
      <w:r>
        <w:rPr>
          <w:sz w:val="18"/>
        </w:rPr>
        <w:t>Note</w:t>
      </w:r>
      <w:r w:rsidR="003816D2">
        <w:rPr>
          <w:sz w:val="18"/>
        </w:rPr>
        <w:t>:  Table r</w:t>
      </w:r>
      <w:r w:rsidRPr="00503AED" w:rsidR="00D520BD">
        <w:rPr>
          <w:sz w:val="18"/>
        </w:rPr>
        <w:t xml:space="preserve">esults </w:t>
      </w:r>
      <w:r w:rsidR="003816D2">
        <w:rPr>
          <w:sz w:val="18"/>
        </w:rPr>
        <w:t xml:space="preserve">are </w:t>
      </w:r>
      <w:r w:rsidRPr="00503AED" w:rsidR="00D520BD">
        <w:rPr>
          <w:sz w:val="18"/>
        </w:rPr>
        <w:t>stated in 20</w:t>
      </w:r>
      <w:r w:rsidRPr="00503AED" w:rsidR="00A37DB0">
        <w:rPr>
          <w:sz w:val="18"/>
        </w:rPr>
        <w:t>2</w:t>
      </w:r>
      <w:r w:rsidRPr="00503AED" w:rsidR="003D3885">
        <w:rPr>
          <w:sz w:val="18"/>
        </w:rPr>
        <w:t>2</w:t>
      </w:r>
      <w:r w:rsidRPr="00503AED" w:rsidR="00D520BD">
        <w:rPr>
          <w:sz w:val="18"/>
        </w:rPr>
        <w:t xml:space="preserve"> dollars.</w:t>
      </w:r>
    </w:p>
    <w:p w:rsidRPr="008B13BF" w:rsidR="00143034" w:rsidP="00A60C27" w:rsidRDefault="00143034" w14:paraId="5529EA42" w14:textId="601408E1">
      <w:pPr>
        <w:widowControl w:val="0"/>
        <w:autoSpaceDE/>
        <w:autoSpaceDN/>
        <w:adjustRightInd/>
        <w:rPr>
          <w:sz w:val="22"/>
          <w:szCs w:val="22"/>
        </w:rPr>
      </w:pPr>
    </w:p>
    <w:p w:rsidRPr="00625C7E" w:rsidR="00625C7E" w:rsidP="00341094" w:rsidRDefault="00625C7E" w14:paraId="1B8D1E90" w14:textId="50653EBD">
      <w:pPr>
        <w:pStyle w:val="Caption"/>
        <w:jc w:val="center"/>
        <w:rPr>
          <w:b/>
          <w:bCs w:val="0"/>
        </w:rPr>
      </w:pPr>
      <w:bookmarkStart w:name="_Toc72490565" w:id="128"/>
      <w:bookmarkStart w:name="_Toc105681562" w:id="129"/>
      <w:r w:rsidRPr="00625C7E">
        <w:rPr>
          <w:b/>
          <w:bCs w:val="0"/>
        </w:rPr>
        <w:t>Table 5-</w:t>
      </w:r>
      <w:r w:rsidRPr="00625C7E">
        <w:rPr>
          <w:b/>
          <w:bCs w:val="0"/>
        </w:rPr>
        <w:fldChar w:fldCharType="begin"/>
      </w:r>
      <w:r w:rsidRPr="00625C7E">
        <w:rPr>
          <w:b/>
          <w:bCs w:val="0"/>
        </w:rPr>
        <w:instrText xml:space="preserve"> SEQ Table \* ARABIC </w:instrText>
      </w:r>
      <w:r w:rsidRPr="00625C7E">
        <w:rPr>
          <w:b/>
          <w:bCs w:val="0"/>
        </w:rPr>
        <w:fldChar w:fldCharType="separate"/>
      </w:r>
      <w:r w:rsidR="00A6777F">
        <w:rPr>
          <w:b/>
          <w:bCs w:val="0"/>
          <w:noProof/>
        </w:rPr>
        <w:t>3</w:t>
      </w:r>
      <w:r w:rsidRPr="00625C7E">
        <w:rPr>
          <w:b/>
          <w:bCs w:val="0"/>
        </w:rPr>
        <w:fldChar w:fldCharType="end"/>
      </w:r>
      <w:r w:rsidRPr="00625C7E">
        <w:rPr>
          <w:b/>
          <w:bCs w:val="0"/>
        </w:rPr>
        <w:t xml:space="preserve">  Summary of One-Time and Annual Benefits and Costs to Industry</w:t>
      </w:r>
      <w:r w:rsidR="00646A79">
        <w:rPr>
          <w:b/>
          <w:bCs w:val="0"/>
        </w:rPr>
        <w:t>,</w:t>
      </w:r>
      <w:r w:rsidRPr="00625C7E">
        <w:rPr>
          <w:b/>
          <w:bCs w:val="0"/>
        </w:rPr>
        <w:t xml:space="preserve"> by Regulatory Initiative</w:t>
      </w:r>
      <w:bookmarkEnd w:id="128"/>
      <w:bookmarkEnd w:id="129"/>
    </w:p>
    <w:tbl>
      <w:tblPr>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10"/>
        <w:gridCol w:w="2713"/>
        <w:gridCol w:w="2083"/>
        <w:gridCol w:w="2134"/>
      </w:tblGrid>
      <w:tr w:rsidRPr="00F81C9F" w:rsidR="00D520BD" w:rsidTr="00F407DD" w14:paraId="6A8FFFB1" w14:textId="77777777">
        <w:trPr>
          <w:trHeight w:val="270"/>
          <w:tblHeader/>
          <w:jc w:val="center"/>
        </w:trPr>
        <w:tc>
          <w:tcPr>
            <w:tcW w:w="3845" w:type="pct"/>
            <w:gridSpan w:val="3"/>
            <w:shd w:val="clear" w:color="auto" w:fill="auto"/>
            <w:vAlign w:val="center"/>
          </w:tcPr>
          <w:p w:rsidRPr="00F81C9F" w:rsidR="00D520BD" w:rsidP="00341094" w:rsidRDefault="00F64061" w14:paraId="66E43F4F" w14:textId="7C93900E">
            <w:pPr>
              <w:keepNext/>
              <w:autoSpaceDE/>
              <w:autoSpaceDN/>
              <w:adjustRightInd/>
              <w:jc w:val="center"/>
              <w:rPr>
                <w:rFonts w:cs="Arial"/>
                <w:b/>
                <w:bCs/>
              </w:rPr>
            </w:pPr>
            <w:r>
              <w:rPr>
                <w:rFonts w:cs="Arial"/>
                <w:b/>
                <w:bCs/>
              </w:rPr>
              <w:t xml:space="preserve">Industry </w:t>
            </w:r>
            <w:r w:rsidRPr="00F81C9F" w:rsidR="00D520BD">
              <w:rPr>
                <w:rFonts w:cs="Arial"/>
                <w:b/>
                <w:bCs/>
              </w:rPr>
              <w:t xml:space="preserve">Total </w:t>
            </w:r>
          </w:p>
        </w:tc>
        <w:tc>
          <w:tcPr>
            <w:tcW w:w="1155" w:type="pct"/>
            <w:shd w:val="clear" w:color="auto" w:fill="auto"/>
            <w:vAlign w:val="center"/>
          </w:tcPr>
          <w:p w:rsidRPr="00F81C9F" w:rsidR="00D520BD" w:rsidP="00341094" w:rsidRDefault="00D520BD" w14:paraId="5D5D97A8" w14:textId="48D2C777">
            <w:pPr>
              <w:keepNext/>
              <w:autoSpaceDE/>
              <w:autoSpaceDN/>
              <w:adjustRightInd/>
              <w:jc w:val="center"/>
              <w:rPr>
                <w:rFonts w:cs="Arial"/>
                <w:b/>
                <w:bCs/>
              </w:rPr>
            </w:pPr>
            <w:r w:rsidRPr="00F81C9F">
              <w:rPr>
                <w:rFonts w:cs="Arial"/>
                <w:b/>
                <w:bCs/>
              </w:rPr>
              <w:t>Average per Site</w:t>
            </w:r>
            <w:r w:rsidRPr="00F81C9F" w:rsidR="004626EC">
              <w:rPr>
                <w:rFonts w:cs="Arial"/>
                <w:b/>
                <w:bCs/>
                <w:vertAlign w:val="superscript"/>
              </w:rPr>
              <w:t>a</w:t>
            </w:r>
          </w:p>
        </w:tc>
      </w:tr>
      <w:tr w:rsidRPr="00F81C9F" w:rsidR="00D520BD" w:rsidTr="00586347" w14:paraId="2708EBC7" w14:textId="77777777">
        <w:trPr>
          <w:trHeight w:val="377"/>
          <w:tblHeader/>
          <w:jc w:val="center"/>
        </w:trPr>
        <w:tc>
          <w:tcPr>
            <w:tcW w:w="1250" w:type="pct"/>
            <w:shd w:val="clear" w:color="auto" w:fill="auto"/>
            <w:vAlign w:val="center"/>
          </w:tcPr>
          <w:p w:rsidR="00F64061" w:rsidP="00341094" w:rsidRDefault="00D520BD" w14:paraId="5E003301" w14:textId="77777777">
            <w:pPr>
              <w:keepNext/>
              <w:autoSpaceDE/>
              <w:autoSpaceDN/>
              <w:adjustRightInd/>
              <w:jc w:val="center"/>
              <w:rPr>
                <w:rFonts w:cs="Arial"/>
              </w:rPr>
            </w:pPr>
            <w:r w:rsidRPr="00F81C9F">
              <w:rPr>
                <w:rFonts w:cs="Arial"/>
              </w:rPr>
              <w:t>Annual</w:t>
            </w:r>
            <w:r w:rsidR="00F407DD">
              <w:rPr>
                <w:rFonts w:cs="Arial"/>
              </w:rPr>
              <w:t xml:space="preserve"> </w:t>
            </w:r>
          </w:p>
          <w:p w:rsidRPr="00F81C9F" w:rsidR="00D520BD" w:rsidP="00341094" w:rsidRDefault="00D520BD" w14:paraId="0C682873" w14:textId="440A6637">
            <w:pPr>
              <w:keepNext/>
              <w:autoSpaceDE/>
              <w:autoSpaceDN/>
              <w:adjustRightInd/>
              <w:jc w:val="center"/>
              <w:rPr>
                <w:rFonts w:cs="Arial"/>
              </w:rPr>
            </w:pPr>
            <w:r w:rsidRPr="00F81C9F">
              <w:rPr>
                <w:rFonts w:cs="Arial"/>
              </w:rPr>
              <w:t>Benefit (Cost)</w:t>
            </w:r>
          </w:p>
        </w:tc>
        <w:tc>
          <w:tcPr>
            <w:tcW w:w="1468" w:type="pct"/>
            <w:shd w:val="clear" w:color="auto" w:fill="auto"/>
            <w:vAlign w:val="center"/>
          </w:tcPr>
          <w:p w:rsidR="00F64061" w:rsidP="00341094" w:rsidRDefault="00D520BD" w14:paraId="61F51583" w14:textId="77777777">
            <w:pPr>
              <w:keepNext/>
              <w:autoSpaceDE/>
              <w:autoSpaceDN/>
              <w:adjustRightInd/>
              <w:jc w:val="center"/>
              <w:rPr>
                <w:rFonts w:cs="Arial"/>
              </w:rPr>
            </w:pPr>
            <w:r w:rsidRPr="00F81C9F">
              <w:rPr>
                <w:rFonts w:cs="Arial"/>
              </w:rPr>
              <w:t>7</w:t>
            </w:r>
            <w:r w:rsidRPr="00F81C9F" w:rsidR="009B72F4">
              <w:rPr>
                <w:rFonts w:cs="Arial"/>
              </w:rPr>
              <w:t xml:space="preserve">% </w:t>
            </w:r>
          </w:p>
          <w:p w:rsidRPr="00F81C9F" w:rsidR="00D520BD" w:rsidP="00341094" w:rsidRDefault="009B72F4" w14:paraId="651B439D" w14:textId="48B1A433">
            <w:pPr>
              <w:keepNext/>
              <w:autoSpaceDE/>
              <w:autoSpaceDN/>
              <w:adjustRightInd/>
              <w:jc w:val="center"/>
              <w:rPr>
                <w:rFonts w:cs="Arial"/>
              </w:rPr>
            </w:pPr>
            <w:r w:rsidRPr="00F81C9F">
              <w:rPr>
                <w:rFonts w:cs="Arial"/>
              </w:rPr>
              <w:t>NPV</w:t>
            </w:r>
          </w:p>
        </w:tc>
        <w:tc>
          <w:tcPr>
            <w:tcW w:w="1127" w:type="pct"/>
            <w:shd w:val="clear" w:color="auto" w:fill="auto"/>
            <w:vAlign w:val="center"/>
          </w:tcPr>
          <w:p w:rsidR="00F64061" w:rsidP="00341094" w:rsidRDefault="009B72F4" w14:paraId="4F7EBE16" w14:textId="77777777">
            <w:pPr>
              <w:keepNext/>
              <w:autoSpaceDE/>
              <w:autoSpaceDN/>
              <w:adjustRightInd/>
              <w:jc w:val="center"/>
              <w:rPr>
                <w:rFonts w:cs="Arial"/>
              </w:rPr>
            </w:pPr>
            <w:r w:rsidRPr="00F81C9F">
              <w:rPr>
                <w:rFonts w:cs="Arial"/>
              </w:rPr>
              <w:t xml:space="preserve">3% </w:t>
            </w:r>
          </w:p>
          <w:p w:rsidRPr="00F81C9F" w:rsidR="00D520BD" w:rsidP="00341094" w:rsidRDefault="009B72F4" w14:paraId="6283047F" w14:textId="12472C64">
            <w:pPr>
              <w:keepNext/>
              <w:autoSpaceDE/>
              <w:autoSpaceDN/>
              <w:adjustRightInd/>
              <w:jc w:val="center"/>
              <w:rPr>
                <w:rFonts w:cs="Arial"/>
              </w:rPr>
            </w:pPr>
            <w:r w:rsidRPr="00F81C9F">
              <w:rPr>
                <w:rFonts w:cs="Arial"/>
              </w:rPr>
              <w:t>NPV</w:t>
            </w:r>
          </w:p>
        </w:tc>
        <w:tc>
          <w:tcPr>
            <w:tcW w:w="1155" w:type="pct"/>
            <w:shd w:val="clear" w:color="auto" w:fill="auto"/>
            <w:vAlign w:val="center"/>
          </w:tcPr>
          <w:p w:rsidR="00F64061" w:rsidP="00341094" w:rsidRDefault="00D520BD" w14:paraId="14EF74F1" w14:textId="77777777">
            <w:pPr>
              <w:keepNext/>
              <w:autoSpaceDE/>
              <w:autoSpaceDN/>
              <w:adjustRightInd/>
              <w:jc w:val="center"/>
              <w:rPr>
                <w:rFonts w:cs="Arial"/>
              </w:rPr>
            </w:pPr>
            <w:r w:rsidRPr="00F81C9F">
              <w:rPr>
                <w:rFonts w:cs="Arial"/>
              </w:rPr>
              <w:t>Annual</w:t>
            </w:r>
            <w:r w:rsidR="00F407DD">
              <w:rPr>
                <w:rFonts w:cs="Arial"/>
              </w:rPr>
              <w:t xml:space="preserve"> </w:t>
            </w:r>
          </w:p>
          <w:p w:rsidRPr="00F81C9F" w:rsidR="00D520BD" w:rsidP="00341094" w:rsidRDefault="00D520BD" w14:paraId="41103D35" w14:textId="4C4F2FF4">
            <w:pPr>
              <w:keepNext/>
              <w:autoSpaceDE/>
              <w:autoSpaceDN/>
              <w:adjustRightInd/>
              <w:jc w:val="center"/>
              <w:rPr>
                <w:rFonts w:cs="Arial"/>
              </w:rPr>
            </w:pPr>
            <w:r w:rsidRPr="00F81C9F">
              <w:rPr>
                <w:rFonts w:cs="Arial"/>
              </w:rPr>
              <w:t>Benefit (Cost)</w:t>
            </w:r>
          </w:p>
        </w:tc>
      </w:tr>
      <w:tr w:rsidRPr="00F81C9F" w:rsidR="00D520BD" w:rsidTr="00982BD1" w14:paraId="79BDF98F" w14:textId="77777777">
        <w:trPr>
          <w:trHeight w:val="255"/>
          <w:jc w:val="center"/>
        </w:trPr>
        <w:tc>
          <w:tcPr>
            <w:tcW w:w="5000" w:type="pct"/>
            <w:gridSpan w:val="4"/>
            <w:shd w:val="clear" w:color="auto" w:fill="auto"/>
            <w:vAlign w:val="center"/>
          </w:tcPr>
          <w:p w:rsidRPr="00F81C9F" w:rsidR="00D520BD" w:rsidP="00341094" w:rsidRDefault="00D520BD" w14:paraId="5D7201DA" w14:textId="593B0276">
            <w:pPr>
              <w:keepNext/>
              <w:autoSpaceDE/>
              <w:autoSpaceDN/>
              <w:adjustRightInd/>
              <w:rPr>
                <w:rFonts w:cs="Arial"/>
                <w:b/>
                <w:bCs/>
              </w:rPr>
            </w:pPr>
            <w:r w:rsidRPr="00F81C9F">
              <w:rPr>
                <w:rFonts w:cs="Arial"/>
                <w:b/>
              </w:rPr>
              <w:t>Costs to implement drug testing program changes</w:t>
            </w:r>
            <w:r w:rsidRPr="00F81C9F" w:rsidR="00A37DB0">
              <w:rPr>
                <w:rFonts w:cs="Arial"/>
                <w:b/>
              </w:rPr>
              <w:t xml:space="preserve"> </w:t>
            </w:r>
            <w:r w:rsidRPr="00F81C9F">
              <w:rPr>
                <w:rFonts w:cs="Arial"/>
                <w:b/>
              </w:rPr>
              <w:t>(</w:t>
            </w:r>
            <w:r w:rsidR="00AC16A5">
              <w:rPr>
                <w:rFonts w:cs="Arial"/>
                <w:b/>
              </w:rPr>
              <w:t>o</w:t>
            </w:r>
            <w:r w:rsidRPr="00F81C9F">
              <w:rPr>
                <w:rFonts w:cs="Arial"/>
                <w:b/>
              </w:rPr>
              <w:t>ne-time policy</w:t>
            </w:r>
            <w:r w:rsidRPr="00F81C9F" w:rsidR="00646A79">
              <w:rPr>
                <w:rFonts w:cs="Arial"/>
                <w:b/>
              </w:rPr>
              <w:t>,</w:t>
            </w:r>
            <w:r w:rsidRPr="00F81C9F">
              <w:rPr>
                <w:rFonts w:cs="Arial"/>
                <w:b/>
              </w:rPr>
              <w:t xml:space="preserve"> procedure</w:t>
            </w:r>
            <w:r w:rsidRPr="00F81C9F" w:rsidR="00646A79">
              <w:rPr>
                <w:rFonts w:cs="Arial"/>
                <w:b/>
              </w:rPr>
              <w:t>,</w:t>
            </w:r>
            <w:r w:rsidRPr="00F81C9F">
              <w:rPr>
                <w:rFonts w:cs="Arial"/>
                <w:b/>
              </w:rPr>
              <w:t xml:space="preserve"> and training)</w:t>
            </w:r>
          </w:p>
        </w:tc>
      </w:tr>
      <w:tr w:rsidRPr="00F81C9F" w:rsidR="00D520BD" w:rsidTr="00F407DD" w14:paraId="3CB0E3F6" w14:textId="77777777">
        <w:trPr>
          <w:trHeight w:val="255"/>
          <w:jc w:val="center"/>
        </w:trPr>
        <w:tc>
          <w:tcPr>
            <w:tcW w:w="1250" w:type="pct"/>
            <w:shd w:val="clear" w:color="auto" w:fill="auto"/>
            <w:vAlign w:val="center"/>
          </w:tcPr>
          <w:p w:rsidRPr="00F81C9F" w:rsidR="00D520BD" w:rsidP="00341094" w:rsidRDefault="00D520BD" w14:paraId="081BDC56" w14:textId="77777777">
            <w:pPr>
              <w:keepNext/>
              <w:autoSpaceDE/>
              <w:autoSpaceDN/>
              <w:adjustRightInd/>
              <w:jc w:val="center"/>
              <w:rPr>
                <w:rFonts w:cs="Arial"/>
                <w:bCs/>
              </w:rPr>
            </w:pPr>
            <w:r w:rsidRPr="00F81C9F">
              <w:rPr>
                <w:rFonts w:cs="Arial"/>
                <w:bCs/>
              </w:rPr>
              <w:t>-</w:t>
            </w:r>
          </w:p>
        </w:tc>
        <w:tc>
          <w:tcPr>
            <w:tcW w:w="1468" w:type="pct"/>
            <w:shd w:val="clear" w:color="auto" w:fill="auto"/>
            <w:vAlign w:val="center"/>
          </w:tcPr>
          <w:p w:rsidRPr="00F81C9F" w:rsidR="00D520BD" w:rsidP="00341094" w:rsidRDefault="00D520BD" w14:paraId="2FE08C9C" w14:textId="60D16A9D">
            <w:pPr>
              <w:keepNext/>
              <w:autoSpaceDE/>
              <w:autoSpaceDN/>
              <w:adjustRightInd/>
              <w:jc w:val="center"/>
              <w:rPr>
                <w:rFonts w:cs="Arial"/>
                <w:b/>
                <w:bCs/>
              </w:rPr>
            </w:pPr>
            <w:r w:rsidRPr="00F81C9F">
              <w:rPr>
                <w:rFonts w:cs="Arial"/>
              </w:rPr>
              <w:t>($</w:t>
            </w:r>
            <w:r w:rsidR="002A5B4A">
              <w:rPr>
                <w:rFonts w:cs="Arial"/>
              </w:rPr>
              <w:t>136,936</w:t>
            </w:r>
            <w:r w:rsidRPr="00F81C9F">
              <w:rPr>
                <w:rFonts w:cs="Arial"/>
              </w:rPr>
              <w:t>)</w:t>
            </w:r>
          </w:p>
        </w:tc>
        <w:tc>
          <w:tcPr>
            <w:tcW w:w="1127" w:type="pct"/>
            <w:shd w:val="clear" w:color="auto" w:fill="auto"/>
            <w:vAlign w:val="center"/>
          </w:tcPr>
          <w:p w:rsidRPr="00F81C9F" w:rsidR="00D520BD" w:rsidP="00341094" w:rsidRDefault="00D54F66" w14:paraId="547F0D72" w14:textId="5CF3F6A7">
            <w:pPr>
              <w:keepNext/>
              <w:autoSpaceDE/>
              <w:autoSpaceDN/>
              <w:adjustRightInd/>
              <w:jc w:val="center"/>
              <w:rPr>
                <w:rFonts w:cs="Arial"/>
                <w:b/>
                <w:bCs/>
              </w:rPr>
            </w:pPr>
            <w:r w:rsidRPr="00F81C9F">
              <w:rPr>
                <w:rFonts w:cs="Arial"/>
              </w:rPr>
              <w:t>($</w:t>
            </w:r>
            <w:r w:rsidR="00C86C72">
              <w:rPr>
                <w:rFonts w:cs="Arial"/>
              </w:rPr>
              <w:t>136,936</w:t>
            </w:r>
            <w:r w:rsidRPr="00F81C9F">
              <w:rPr>
                <w:rFonts w:cs="Arial"/>
              </w:rPr>
              <w:t>)</w:t>
            </w:r>
          </w:p>
        </w:tc>
        <w:tc>
          <w:tcPr>
            <w:tcW w:w="1155" w:type="pct"/>
            <w:shd w:val="clear" w:color="auto" w:fill="auto"/>
            <w:vAlign w:val="center"/>
          </w:tcPr>
          <w:p w:rsidRPr="00F81C9F" w:rsidR="00D520BD" w:rsidP="00341094" w:rsidRDefault="00D520BD" w14:paraId="2933A0E9" w14:textId="77777777">
            <w:pPr>
              <w:keepNext/>
              <w:autoSpaceDE/>
              <w:autoSpaceDN/>
              <w:adjustRightInd/>
              <w:jc w:val="center"/>
              <w:rPr>
                <w:rFonts w:cs="Arial"/>
                <w:bCs/>
              </w:rPr>
            </w:pPr>
            <w:r w:rsidRPr="00F81C9F">
              <w:rPr>
                <w:rFonts w:cs="Arial"/>
                <w:bCs/>
              </w:rPr>
              <w:t>-</w:t>
            </w:r>
          </w:p>
        </w:tc>
      </w:tr>
      <w:tr w:rsidRPr="00F81C9F" w:rsidR="00D520BD" w:rsidTr="00982BD1" w14:paraId="75FE98FF" w14:textId="77777777">
        <w:trPr>
          <w:trHeight w:val="255"/>
          <w:jc w:val="center"/>
        </w:trPr>
        <w:tc>
          <w:tcPr>
            <w:tcW w:w="5000" w:type="pct"/>
            <w:gridSpan w:val="4"/>
            <w:shd w:val="clear" w:color="auto" w:fill="auto"/>
            <w:vAlign w:val="center"/>
          </w:tcPr>
          <w:p w:rsidRPr="00F81C9F" w:rsidR="00D520BD" w:rsidP="005C6BA3" w:rsidRDefault="00D520BD" w14:paraId="69261B9F" w14:textId="77777777">
            <w:pPr>
              <w:pStyle w:val="ListParagraph"/>
              <w:numPr>
                <w:ilvl w:val="0"/>
                <w:numId w:val="27"/>
              </w:numPr>
              <w:autoSpaceDE/>
              <w:autoSpaceDN/>
              <w:adjustRightInd/>
              <w:ind w:left="337" w:hanging="337"/>
              <w:rPr>
                <w:rFonts w:cs="Arial"/>
              </w:rPr>
            </w:pPr>
            <w:r w:rsidRPr="00F81C9F">
              <w:rPr>
                <w:rFonts w:cs="Arial"/>
                <w:b/>
                <w:bCs/>
              </w:rPr>
              <w:t>Lowered initial and confirmatory testing cutoff levels for amphetamines and cocaine metabolites</w:t>
            </w:r>
          </w:p>
        </w:tc>
      </w:tr>
      <w:tr w:rsidRPr="00F81C9F" w:rsidR="00D520BD" w:rsidTr="00F407DD" w14:paraId="7AD3C551" w14:textId="77777777">
        <w:trPr>
          <w:trHeight w:val="255"/>
          <w:jc w:val="center"/>
        </w:trPr>
        <w:tc>
          <w:tcPr>
            <w:tcW w:w="1250" w:type="pct"/>
            <w:shd w:val="clear" w:color="auto" w:fill="auto"/>
            <w:vAlign w:val="center"/>
          </w:tcPr>
          <w:p w:rsidRPr="00F81C9F" w:rsidR="00D520BD" w:rsidP="002310BA" w:rsidRDefault="00D520BD" w14:paraId="4340609A" w14:textId="164A5AE8">
            <w:pPr>
              <w:jc w:val="center"/>
              <w:rPr>
                <w:rFonts w:cs="Arial"/>
              </w:rPr>
            </w:pPr>
            <w:r w:rsidRPr="00F81C9F">
              <w:rPr>
                <w:rFonts w:cs="Arial"/>
              </w:rPr>
              <w:t>($</w:t>
            </w:r>
            <w:r w:rsidR="00C86C72">
              <w:rPr>
                <w:rFonts w:cs="Arial"/>
              </w:rPr>
              <w:t>15,952</w:t>
            </w:r>
            <w:r w:rsidRPr="00F81C9F">
              <w:rPr>
                <w:rFonts w:cs="Arial"/>
              </w:rPr>
              <w:t>)</w:t>
            </w:r>
          </w:p>
        </w:tc>
        <w:tc>
          <w:tcPr>
            <w:tcW w:w="1468" w:type="pct"/>
            <w:shd w:val="clear" w:color="auto" w:fill="auto"/>
            <w:vAlign w:val="center"/>
          </w:tcPr>
          <w:p w:rsidRPr="00F81C9F" w:rsidR="00D520BD" w:rsidP="002310BA" w:rsidRDefault="00D520BD" w14:paraId="17C6D86D" w14:textId="3D8E41E2">
            <w:pPr>
              <w:jc w:val="center"/>
              <w:rPr>
                <w:rFonts w:cs="Arial"/>
              </w:rPr>
            </w:pPr>
            <w:r w:rsidRPr="00F81C9F">
              <w:rPr>
                <w:rFonts w:cs="Arial"/>
              </w:rPr>
              <w:t>($</w:t>
            </w:r>
            <w:r w:rsidR="001C3119">
              <w:rPr>
                <w:rFonts w:cs="Arial"/>
              </w:rPr>
              <w:t>185,898</w:t>
            </w:r>
            <w:r w:rsidRPr="00F81C9F">
              <w:rPr>
                <w:rFonts w:cs="Arial"/>
              </w:rPr>
              <w:t>)</w:t>
            </w:r>
          </w:p>
        </w:tc>
        <w:tc>
          <w:tcPr>
            <w:tcW w:w="1127" w:type="pct"/>
            <w:shd w:val="clear" w:color="auto" w:fill="auto"/>
            <w:vAlign w:val="center"/>
          </w:tcPr>
          <w:p w:rsidRPr="00F81C9F" w:rsidR="00D520BD" w:rsidP="002310BA" w:rsidRDefault="00D520BD" w14:paraId="42699754" w14:textId="15825F82">
            <w:pPr>
              <w:jc w:val="center"/>
              <w:rPr>
                <w:rFonts w:cs="Arial"/>
              </w:rPr>
            </w:pPr>
            <w:r w:rsidRPr="00F81C9F">
              <w:rPr>
                <w:rFonts w:cs="Arial"/>
              </w:rPr>
              <w:t>($</w:t>
            </w:r>
            <w:r w:rsidR="001C3119">
              <w:rPr>
                <w:rFonts w:cs="Arial"/>
              </w:rPr>
              <w:t>277,775</w:t>
            </w:r>
            <w:r w:rsidRPr="00F81C9F">
              <w:rPr>
                <w:rFonts w:cs="Arial"/>
              </w:rPr>
              <w:t>)</w:t>
            </w:r>
          </w:p>
        </w:tc>
        <w:tc>
          <w:tcPr>
            <w:tcW w:w="1155" w:type="pct"/>
            <w:shd w:val="clear" w:color="auto" w:fill="auto"/>
            <w:vAlign w:val="center"/>
          </w:tcPr>
          <w:p w:rsidRPr="00F81C9F" w:rsidR="00D520BD" w:rsidP="002310BA" w:rsidRDefault="00D520BD" w14:paraId="67DF412A" w14:textId="43767DAE">
            <w:pPr>
              <w:jc w:val="center"/>
              <w:rPr>
                <w:rFonts w:cs="Arial"/>
              </w:rPr>
            </w:pPr>
            <w:r w:rsidRPr="00F81C9F">
              <w:rPr>
                <w:rFonts w:cs="Arial"/>
              </w:rPr>
              <w:t>($2</w:t>
            </w:r>
            <w:r w:rsidR="001C3119">
              <w:rPr>
                <w:rFonts w:cs="Arial"/>
              </w:rPr>
              <w:t>70</w:t>
            </w:r>
            <w:r w:rsidRPr="00F81C9F">
              <w:rPr>
                <w:rFonts w:cs="Arial"/>
              </w:rPr>
              <w:t>)</w:t>
            </w:r>
          </w:p>
        </w:tc>
      </w:tr>
      <w:tr w:rsidRPr="00F81C9F" w:rsidR="00D520BD" w:rsidTr="00982BD1" w14:paraId="6FDF30E0" w14:textId="77777777">
        <w:trPr>
          <w:trHeight w:val="255"/>
          <w:jc w:val="center"/>
        </w:trPr>
        <w:tc>
          <w:tcPr>
            <w:tcW w:w="5000" w:type="pct"/>
            <w:gridSpan w:val="4"/>
            <w:shd w:val="clear" w:color="auto" w:fill="auto"/>
            <w:vAlign w:val="center"/>
          </w:tcPr>
          <w:p w:rsidRPr="00F81C9F" w:rsidR="00D520BD" w:rsidP="005C6BA3" w:rsidRDefault="00D520BD" w14:paraId="2945A532" w14:textId="77777777">
            <w:pPr>
              <w:pStyle w:val="ListParagraph"/>
              <w:numPr>
                <w:ilvl w:val="0"/>
                <w:numId w:val="27"/>
              </w:numPr>
              <w:autoSpaceDE/>
              <w:autoSpaceDN/>
              <w:adjustRightInd/>
              <w:ind w:left="337" w:hanging="337"/>
              <w:rPr>
                <w:rFonts w:cs="Arial"/>
              </w:rPr>
            </w:pPr>
            <w:r w:rsidRPr="00F81C9F">
              <w:rPr>
                <w:rFonts w:cs="Arial"/>
                <w:b/>
                <w:bCs/>
              </w:rPr>
              <w:t>Expanded initial drug testing panel to include 6-AM and revised confirmatory testing cutoff level for 6-AM</w:t>
            </w:r>
          </w:p>
        </w:tc>
      </w:tr>
      <w:tr w:rsidRPr="00F81C9F" w:rsidR="00D520BD" w:rsidTr="00F407DD" w14:paraId="37BD1F0F" w14:textId="77777777">
        <w:trPr>
          <w:trHeight w:val="255"/>
          <w:jc w:val="center"/>
        </w:trPr>
        <w:tc>
          <w:tcPr>
            <w:tcW w:w="1250" w:type="pct"/>
            <w:shd w:val="clear" w:color="auto" w:fill="auto"/>
            <w:vAlign w:val="center"/>
          </w:tcPr>
          <w:p w:rsidRPr="00F81C9F" w:rsidR="00D520BD" w:rsidP="002310BA" w:rsidRDefault="00D520BD" w14:paraId="6062E6AD" w14:textId="33C058E6">
            <w:pPr>
              <w:jc w:val="center"/>
              <w:rPr>
                <w:rFonts w:cs="Arial"/>
              </w:rPr>
            </w:pPr>
            <w:r w:rsidRPr="00F81C9F">
              <w:rPr>
                <w:rFonts w:cs="Arial"/>
              </w:rPr>
              <w:t>($</w:t>
            </w:r>
            <w:r w:rsidR="00A3553F">
              <w:rPr>
                <w:rFonts w:cs="Arial"/>
              </w:rPr>
              <w:t>80,265</w:t>
            </w:r>
            <w:r w:rsidRPr="00F81C9F">
              <w:rPr>
                <w:rFonts w:cs="Arial"/>
              </w:rPr>
              <w:t>)</w:t>
            </w:r>
          </w:p>
        </w:tc>
        <w:tc>
          <w:tcPr>
            <w:tcW w:w="1468" w:type="pct"/>
            <w:shd w:val="clear" w:color="auto" w:fill="auto"/>
            <w:vAlign w:val="center"/>
          </w:tcPr>
          <w:p w:rsidRPr="00F81C9F" w:rsidR="00D520BD" w:rsidP="002310BA" w:rsidRDefault="00D520BD" w14:paraId="4D386ADD" w14:textId="1F93E216">
            <w:pPr>
              <w:jc w:val="center"/>
              <w:rPr>
                <w:rFonts w:cs="Arial"/>
              </w:rPr>
            </w:pPr>
            <w:r w:rsidRPr="00F81C9F">
              <w:rPr>
                <w:rFonts w:cs="Arial"/>
              </w:rPr>
              <w:t>($</w:t>
            </w:r>
            <w:r w:rsidR="0060405D">
              <w:rPr>
                <w:rFonts w:cs="Arial"/>
              </w:rPr>
              <w:t>935,375</w:t>
            </w:r>
            <w:r w:rsidRPr="00F81C9F">
              <w:rPr>
                <w:rFonts w:cs="Arial"/>
              </w:rPr>
              <w:t>)</w:t>
            </w:r>
          </w:p>
        </w:tc>
        <w:tc>
          <w:tcPr>
            <w:tcW w:w="1127" w:type="pct"/>
            <w:shd w:val="clear" w:color="auto" w:fill="auto"/>
            <w:vAlign w:val="center"/>
          </w:tcPr>
          <w:p w:rsidRPr="00F81C9F" w:rsidR="00D520BD" w:rsidP="002310BA" w:rsidRDefault="00D520BD" w14:paraId="08688F55" w14:textId="2424FC7F">
            <w:pPr>
              <w:jc w:val="center"/>
              <w:rPr>
                <w:rFonts w:cs="Arial"/>
              </w:rPr>
            </w:pPr>
            <w:r w:rsidRPr="00F81C9F">
              <w:rPr>
                <w:rFonts w:cs="Arial"/>
              </w:rPr>
              <w:t>($</w:t>
            </w:r>
            <w:r w:rsidR="0060405D">
              <w:rPr>
                <w:rFonts w:cs="Arial"/>
              </w:rPr>
              <w:t>1</w:t>
            </w:r>
            <w:r w:rsidR="00082C90">
              <w:rPr>
                <w:rFonts w:cs="Arial"/>
              </w:rPr>
              <w:t>,</w:t>
            </w:r>
            <w:r w:rsidR="0060405D">
              <w:rPr>
                <w:rFonts w:cs="Arial"/>
              </w:rPr>
              <w:t>397,666</w:t>
            </w:r>
            <w:r w:rsidRPr="00F81C9F">
              <w:rPr>
                <w:rFonts w:cs="Arial"/>
              </w:rPr>
              <w:t>)</w:t>
            </w:r>
          </w:p>
        </w:tc>
        <w:tc>
          <w:tcPr>
            <w:tcW w:w="1155" w:type="pct"/>
            <w:shd w:val="clear" w:color="auto" w:fill="auto"/>
            <w:vAlign w:val="center"/>
          </w:tcPr>
          <w:p w:rsidRPr="00F81C9F" w:rsidR="00D520BD" w:rsidP="002310BA" w:rsidRDefault="00D520BD" w14:paraId="2E4F6AB3" w14:textId="06257B4F">
            <w:pPr>
              <w:jc w:val="center"/>
              <w:rPr>
                <w:rFonts w:cs="Arial"/>
              </w:rPr>
            </w:pPr>
            <w:r w:rsidRPr="00F81C9F">
              <w:rPr>
                <w:rFonts w:cs="Arial"/>
              </w:rPr>
              <w:t>($</w:t>
            </w:r>
            <w:r w:rsidR="00195054">
              <w:rPr>
                <w:rFonts w:cs="Arial"/>
              </w:rPr>
              <w:t>1,360</w:t>
            </w:r>
            <w:r w:rsidRPr="00F81C9F">
              <w:rPr>
                <w:rFonts w:cs="Arial"/>
              </w:rPr>
              <w:t>)</w:t>
            </w:r>
          </w:p>
        </w:tc>
      </w:tr>
      <w:tr w:rsidRPr="00F81C9F" w:rsidR="00D520BD" w:rsidTr="00982BD1" w14:paraId="2E90F840" w14:textId="77777777">
        <w:trPr>
          <w:trHeight w:val="255"/>
          <w:jc w:val="center"/>
        </w:trPr>
        <w:tc>
          <w:tcPr>
            <w:tcW w:w="5000" w:type="pct"/>
            <w:gridSpan w:val="4"/>
            <w:shd w:val="clear" w:color="auto" w:fill="auto"/>
            <w:vAlign w:val="center"/>
          </w:tcPr>
          <w:p w:rsidRPr="00F81C9F" w:rsidR="00D520BD" w:rsidP="005C6BA3" w:rsidRDefault="00D520BD" w14:paraId="6D5D479B" w14:textId="00AF583E">
            <w:pPr>
              <w:pStyle w:val="ListParagraph"/>
              <w:numPr>
                <w:ilvl w:val="0"/>
                <w:numId w:val="27"/>
              </w:numPr>
              <w:autoSpaceDE/>
              <w:autoSpaceDN/>
              <w:adjustRightInd/>
              <w:ind w:left="337" w:hanging="337"/>
              <w:rPr>
                <w:rFonts w:cs="Arial"/>
                <w:b/>
                <w:bCs/>
              </w:rPr>
            </w:pPr>
            <w:r w:rsidRPr="00F81C9F">
              <w:rPr>
                <w:rFonts w:cs="Arial"/>
                <w:b/>
                <w:bCs/>
              </w:rPr>
              <w:t>Expanded initial and confirmatory drug testing panels to include</w:t>
            </w:r>
            <w:r w:rsidRPr="00F81C9F" w:rsidR="00FF380E">
              <w:rPr>
                <w:rFonts w:cs="Arial"/>
                <w:b/>
                <w:bCs/>
              </w:rPr>
              <w:t xml:space="preserve"> oxycodone, oxymorphone, hydrocodone</w:t>
            </w:r>
            <w:r w:rsidR="00D460C0">
              <w:rPr>
                <w:rFonts w:cs="Arial"/>
                <w:b/>
                <w:bCs/>
              </w:rPr>
              <w:t>,</w:t>
            </w:r>
            <w:r w:rsidRPr="00F81C9F" w:rsidR="00FF380E">
              <w:rPr>
                <w:rFonts w:cs="Arial"/>
                <w:b/>
                <w:bCs/>
              </w:rPr>
              <w:t xml:space="preserve"> and hydromorphone</w:t>
            </w:r>
          </w:p>
        </w:tc>
      </w:tr>
      <w:tr w:rsidRPr="00F81C9F" w:rsidR="00D520BD" w:rsidTr="00F407DD" w14:paraId="7A41AF94" w14:textId="77777777">
        <w:trPr>
          <w:trHeight w:val="255"/>
          <w:jc w:val="center"/>
        </w:trPr>
        <w:tc>
          <w:tcPr>
            <w:tcW w:w="1250" w:type="pct"/>
            <w:shd w:val="clear" w:color="auto" w:fill="auto"/>
            <w:vAlign w:val="center"/>
          </w:tcPr>
          <w:p w:rsidRPr="00F81C9F" w:rsidR="00D520BD" w:rsidP="002310BA" w:rsidRDefault="00D520BD" w14:paraId="0A907B4E" w14:textId="3AF33348">
            <w:pPr>
              <w:jc w:val="center"/>
              <w:rPr>
                <w:rFonts w:cs="Arial"/>
              </w:rPr>
            </w:pPr>
            <w:r w:rsidRPr="00F81C9F">
              <w:rPr>
                <w:rFonts w:cs="Arial"/>
              </w:rPr>
              <w:t>($</w:t>
            </w:r>
            <w:r w:rsidR="00727096">
              <w:rPr>
                <w:rFonts w:cs="Arial"/>
              </w:rPr>
              <w:t>1</w:t>
            </w:r>
            <w:r w:rsidR="00EF2420">
              <w:rPr>
                <w:rFonts w:cs="Arial"/>
              </w:rPr>
              <w:t>56,968</w:t>
            </w:r>
            <w:r w:rsidRPr="00F81C9F">
              <w:rPr>
                <w:rFonts w:cs="Arial"/>
              </w:rPr>
              <w:t>)</w:t>
            </w:r>
          </w:p>
        </w:tc>
        <w:tc>
          <w:tcPr>
            <w:tcW w:w="1468" w:type="pct"/>
            <w:shd w:val="clear" w:color="auto" w:fill="auto"/>
            <w:vAlign w:val="center"/>
          </w:tcPr>
          <w:p w:rsidRPr="00F81C9F" w:rsidR="00D520BD" w:rsidP="002310BA" w:rsidRDefault="00D520BD" w14:paraId="63D720D2" w14:textId="32F64F3A">
            <w:pPr>
              <w:jc w:val="center"/>
              <w:rPr>
                <w:rFonts w:cs="Arial"/>
              </w:rPr>
            </w:pPr>
            <w:r w:rsidRPr="00F81C9F">
              <w:rPr>
                <w:rFonts w:cs="Arial"/>
              </w:rPr>
              <w:t>($</w:t>
            </w:r>
            <w:r w:rsidR="00D33A20">
              <w:rPr>
                <w:rFonts w:cs="Arial"/>
              </w:rPr>
              <w:t>1,</w:t>
            </w:r>
            <w:r w:rsidR="00EF2420">
              <w:rPr>
                <w:rFonts w:cs="Arial"/>
              </w:rPr>
              <w:t>829,243</w:t>
            </w:r>
            <w:r w:rsidRPr="00F81C9F">
              <w:rPr>
                <w:rFonts w:cs="Arial"/>
              </w:rPr>
              <w:t>)</w:t>
            </w:r>
          </w:p>
        </w:tc>
        <w:tc>
          <w:tcPr>
            <w:tcW w:w="1127" w:type="pct"/>
            <w:shd w:val="clear" w:color="auto" w:fill="auto"/>
            <w:vAlign w:val="center"/>
          </w:tcPr>
          <w:p w:rsidRPr="00F81C9F" w:rsidR="00D520BD" w:rsidP="002310BA" w:rsidRDefault="00D520BD" w14:paraId="4F130F0D" w14:textId="606CA2C7">
            <w:pPr>
              <w:jc w:val="center"/>
              <w:rPr>
                <w:rFonts w:cs="Arial"/>
              </w:rPr>
            </w:pPr>
            <w:r w:rsidRPr="00F81C9F">
              <w:rPr>
                <w:rFonts w:cs="Arial"/>
              </w:rPr>
              <w:t>($</w:t>
            </w:r>
            <w:r w:rsidR="00D33A20">
              <w:rPr>
                <w:rFonts w:cs="Arial"/>
              </w:rPr>
              <w:t>2,</w:t>
            </w:r>
            <w:r w:rsidR="00EF2420">
              <w:rPr>
                <w:rFonts w:cs="Arial"/>
              </w:rPr>
              <w:t>733,312</w:t>
            </w:r>
            <w:r w:rsidRPr="00F81C9F">
              <w:rPr>
                <w:rFonts w:cs="Arial"/>
              </w:rPr>
              <w:t>)</w:t>
            </w:r>
          </w:p>
        </w:tc>
        <w:tc>
          <w:tcPr>
            <w:tcW w:w="1155" w:type="pct"/>
            <w:shd w:val="clear" w:color="auto" w:fill="auto"/>
            <w:vAlign w:val="center"/>
          </w:tcPr>
          <w:p w:rsidRPr="00F81C9F" w:rsidR="00D520BD" w:rsidP="002310BA" w:rsidRDefault="00D520BD" w14:paraId="29353BBE" w14:textId="6323AC1B">
            <w:pPr>
              <w:jc w:val="center"/>
              <w:rPr>
                <w:rFonts w:cs="Arial"/>
              </w:rPr>
            </w:pPr>
            <w:r w:rsidRPr="00F81C9F">
              <w:rPr>
                <w:rFonts w:cs="Arial"/>
              </w:rPr>
              <w:t>($</w:t>
            </w:r>
            <w:r w:rsidR="00EE5A66">
              <w:rPr>
                <w:rFonts w:cs="Arial"/>
              </w:rPr>
              <w:t>2,</w:t>
            </w:r>
            <w:r w:rsidR="00C467B9">
              <w:rPr>
                <w:rFonts w:cs="Arial"/>
              </w:rPr>
              <w:t>660</w:t>
            </w:r>
            <w:r w:rsidRPr="00F81C9F">
              <w:rPr>
                <w:rFonts w:cs="Arial"/>
              </w:rPr>
              <w:t>)</w:t>
            </w:r>
          </w:p>
        </w:tc>
      </w:tr>
      <w:tr w:rsidRPr="00F81C9F" w:rsidR="00D520BD" w:rsidTr="00982BD1" w14:paraId="395BFF39" w14:textId="77777777">
        <w:trPr>
          <w:trHeight w:val="255"/>
          <w:jc w:val="center"/>
        </w:trPr>
        <w:tc>
          <w:tcPr>
            <w:tcW w:w="5000" w:type="pct"/>
            <w:gridSpan w:val="4"/>
            <w:shd w:val="clear" w:color="auto" w:fill="auto"/>
            <w:vAlign w:val="center"/>
          </w:tcPr>
          <w:p w:rsidRPr="00F81C9F" w:rsidR="00D520BD" w:rsidP="005C6BA3" w:rsidRDefault="007D2242" w14:paraId="44F9AC83" w14:textId="447E8705">
            <w:pPr>
              <w:pStyle w:val="ListParagraph"/>
              <w:numPr>
                <w:ilvl w:val="0"/>
                <w:numId w:val="27"/>
              </w:numPr>
              <w:autoSpaceDE/>
              <w:autoSpaceDN/>
              <w:adjustRightInd/>
              <w:ind w:left="337" w:hanging="337"/>
              <w:rPr>
                <w:rFonts w:cs="Arial"/>
              </w:rPr>
            </w:pPr>
            <w:r w:rsidRPr="00F81C9F">
              <w:rPr>
                <w:rFonts w:cs="Arial"/>
                <w:b/>
                <w:bCs/>
              </w:rPr>
              <w:t>Expanded initial and confirmatory drug testing panels to include Ecstasy</w:t>
            </w:r>
          </w:p>
        </w:tc>
      </w:tr>
      <w:tr w:rsidRPr="00F81C9F" w:rsidR="009737C7" w:rsidTr="00F407DD" w14:paraId="0583FC1D" w14:textId="77777777">
        <w:trPr>
          <w:trHeight w:val="255"/>
          <w:jc w:val="center"/>
        </w:trPr>
        <w:tc>
          <w:tcPr>
            <w:tcW w:w="1250" w:type="pct"/>
            <w:shd w:val="clear" w:color="auto" w:fill="auto"/>
            <w:vAlign w:val="center"/>
          </w:tcPr>
          <w:p w:rsidRPr="00F81C9F" w:rsidR="009737C7" w:rsidP="009737C7" w:rsidRDefault="009737C7" w14:paraId="195AFB30" w14:textId="74AF71E3">
            <w:pPr>
              <w:jc w:val="center"/>
              <w:rPr>
                <w:rFonts w:cs="Arial"/>
              </w:rPr>
            </w:pPr>
            <w:r w:rsidRPr="00F81C9F">
              <w:rPr>
                <w:rFonts w:cs="Arial"/>
              </w:rPr>
              <w:t>($</w:t>
            </w:r>
            <w:r w:rsidR="00EE41C9">
              <w:rPr>
                <w:rFonts w:cs="Arial"/>
              </w:rPr>
              <w:t>60,323</w:t>
            </w:r>
            <w:r w:rsidRPr="00F81C9F">
              <w:rPr>
                <w:rFonts w:cs="Arial"/>
              </w:rPr>
              <w:t>)</w:t>
            </w:r>
          </w:p>
        </w:tc>
        <w:tc>
          <w:tcPr>
            <w:tcW w:w="1468" w:type="pct"/>
            <w:shd w:val="clear" w:color="auto" w:fill="auto"/>
            <w:vAlign w:val="center"/>
          </w:tcPr>
          <w:p w:rsidRPr="00F81C9F" w:rsidR="009737C7" w:rsidP="009737C7" w:rsidRDefault="009737C7" w14:paraId="52630CDF" w14:textId="09B101A3">
            <w:pPr>
              <w:jc w:val="center"/>
              <w:rPr>
                <w:rFonts w:cs="Arial"/>
              </w:rPr>
            </w:pPr>
            <w:r w:rsidRPr="00F81C9F">
              <w:rPr>
                <w:rFonts w:cs="Arial"/>
              </w:rPr>
              <w:t>($</w:t>
            </w:r>
            <w:r w:rsidR="003D47FF">
              <w:rPr>
                <w:rFonts w:cs="Arial"/>
              </w:rPr>
              <w:t>702,980</w:t>
            </w:r>
            <w:r w:rsidRPr="00F81C9F">
              <w:rPr>
                <w:rFonts w:cs="Arial"/>
              </w:rPr>
              <w:t>)</w:t>
            </w:r>
          </w:p>
        </w:tc>
        <w:tc>
          <w:tcPr>
            <w:tcW w:w="1127" w:type="pct"/>
            <w:shd w:val="clear" w:color="auto" w:fill="auto"/>
            <w:vAlign w:val="center"/>
          </w:tcPr>
          <w:p w:rsidRPr="00F81C9F" w:rsidR="009737C7" w:rsidP="009737C7" w:rsidRDefault="009737C7" w14:paraId="3CF195D6" w14:textId="02A20669">
            <w:pPr>
              <w:jc w:val="center"/>
              <w:rPr>
                <w:rFonts w:cs="Arial"/>
              </w:rPr>
            </w:pPr>
            <w:r w:rsidRPr="00F81C9F">
              <w:rPr>
                <w:rFonts w:cs="Arial"/>
              </w:rPr>
              <w:t>($</w:t>
            </w:r>
            <w:r w:rsidR="003D47FF">
              <w:rPr>
                <w:rFonts w:cs="Arial"/>
              </w:rPr>
              <w:t>1,050,415</w:t>
            </w:r>
            <w:r w:rsidRPr="00F81C9F">
              <w:rPr>
                <w:rFonts w:cs="Arial"/>
              </w:rPr>
              <w:t>)</w:t>
            </w:r>
          </w:p>
        </w:tc>
        <w:tc>
          <w:tcPr>
            <w:tcW w:w="1155" w:type="pct"/>
            <w:shd w:val="clear" w:color="auto" w:fill="auto"/>
            <w:vAlign w:val="center"/>
          </w:tcPr>
          <w:p w:rsidRPr="00F81C9F" w:rsidR="009737C7" w:rsidP="009737C7" w:rsidRDefault="009737C7" w14:paraId="1B0E0FE1" w14:textId="53B7CF8B">
            <w:pPr>
              <w:jc w:val="center"/>
              <w:rPr>
                <w:rFonts w:cs="Arial"/>
              </w:rPr>
            </w:pPr>
            <w:r w:rsidRPr="00F81C9F">
              <w:rPr>
                <w:rFonts w:cs="Arial"/>
              </w:rPr>
              <w:t>($</w:t>
            </w:r>
            <w:r w:rsidR="003D47FF">
              <w:rPr>
                <w:rFonts w:cs="Arial"/>
              </w:rPr>
              <w:t>1,022</w:t>
            </w:r>
            <w:r w:rsidRPr="00F81C9F">
              <w:rPr>
                <w:rFonts w:cs="Arial"/>
              </w:rPr>
              <w:t>)</w:t>
            </w:r>
          </w:p>
        </w:tc>
      </w:tr>
      <w:tr w:rsidRPr="00F81C9F" w:rsidR="009737C7" w:rsidTr="00982BD1" w14:paraId="120F5CB2" w14:textId="77777777">
        <w:trPr>
          <w:trHeight w:val="255"/>
          <w:jc w:val="center"/>
        </w:trPr>
        <w:tc>
          <w:tcPr>
            <w:tcW w:w="5000" w:type="pct"/>
            <w:gridSpan w:val="4"/>
            <w:shd w:val="clear" w:color="auto" w:fill="auto"/>
            <w:vAlign w:val="center"/>
          </w:tcPr>
          <w:p w:rsidRPr="00F81C9F" w:rsidR="009737C7" w:rsidP="009737C7" w:rsidRDefault="009737C7" w14:paraId="2F560520" w14:textId="09FF5049">
            <w:pPr>
              <w:pStyle w:val="ListParagraph"/>
              <w:numPr>
                <w:ilvl w:val="0"/>
                <w:numId w:val="27"/>
              </w:numPr>
              <w:autoSpaceDE/>
              <w:autoSpaceDN/>
              <w:adjustRightInd/>
              <w:ind w:left="337" w:hanging="337"/>
              <w:rPr>
                <w:rFonts w:cs="Arial"/>
                <w:b/>
                <w:bCs/>
              </w:rPr>
            </w:pPr>
            <w:r w:rsidRPr="00F81C9F">
              <w:rPr>
                <w:rFonts w:cs="Arial"/>
                <w:b/>
                <w:bCs/>
              </w:rPr>
              <w:t>Required special analyses testing of dilute specimens and specimens collected during suspected subversion attempts</w:t>
            </w:r>
          </w:p>
        </w:tc>
      </w:tr>
      <w:tr w:rsidRPr="00DD1E0D" w:rsidR="009737C7" w:rsidTr="00F407DD" w14:paraId="790B9937" w14:textId="77777777">
        <w:trPr>
          <w:trHeight w:val="255"/>
          <w:jc w:val="center"/>
        </w:trPr>
        <w:tc>
          <w:tcPr>
            <w:tcW w:w="1250" w:type="pct"/>
            <w:shd w:val="clear" w:color="auto" w:fill="auto"/>
            <w:vAlign w:val="center"/>
          </w:tcPr>
          <w:p w:rsidRPr="00DD1E0D" w:rsidR="009737C7" w:rsidP="00EF2696" w:rsidRDefault="009737C7" w14:paraId="3BB01993" w14:textId="4DA1E4B5">
            <w:pPr>
              <w:pStyle w:val="ListParagraph"/>
              <w:autoSpaceDE/>
              <w:autoSpaceDN/>
              <w:adjustRightInd/>
              <w:ind w:left="337" w:hanging="337"/>
              <w:jc w:val="center"/>
              <w:rPr>
                <w:rFonts w:cs="Arial"/>
              </w:rPr>
            </w:pPr>
            <w:r w:rsidRPr="00F81C9F">
              <w:rPr>
                <w:rFonts w:cs="Arial"/>
              </w:rPr>
              <w:t>($</w:t>
            </w:r>
            <w:r w:rsidR="003D47FF">
              <w:rPr>
                <w:rFonts w:cs="Arial"/>
              </w:rPr>
              <w:t>9,381</w:t>
            </w:r>
            <w:r w:rsidRPr="00F81C9F">
              <w:rPr>
                <w:rFonts w:cs="Arial"/>
              </w:rPr>
              <w:t>)</w:t>
            </w:r>
          </w:p>
        </w:tc>
        <w:tc>
          <w:tcPr>
            <w:tcW w:w="1468" w:type="pct"/>
            <w:shd w:val="clear" w:color="auto" w:fill="auto"/>
            <w:vAlign w:val="center"/>
          </w:tcPr>
          <w:p w:rsidRPr="00DD1E0D" w:rsidR="009737C7" w:rsidP="00EF2696" w:rsidRDefault="009737C7" w14:paraId="6DD1E814" w14:textId="56CFCC18">
            <w:pPr>
              <w:pStyle w:val="ListParagraph"/>
              <w:autoSpaceDE/>
              <w:autoSpaceDN/>
              <w:adjustRightInd/>
              <w:ind w:left="337" w:hanging="337"/>
              <w:jc w:val="center"/>
              <w:rPr>
                <w:rFonts w:cs="Arial"/>
              </w:rPr>
            </w:pPr>
            <w:r w:rsidRPr="00F81C9F">
              <w:rPr>
                <w:rFonts w:cs="Arial"/>
              </w:rPr>
              <w:t>($</w:t>
            </w:r>
            <w:r w:rsidR="00F82F04">
              <w:rPr>
                <w:rFonts w:cs="Arial"/>
              </w:rPr>
              <w:t>109,322</w:t>
            </w:r>
            <w:r w:rsidRPr="00F81C9F">
              <w:rPr>
                <w:rFonts w:cs="Arial"/>
              </w:rPr>
              <w:t>)</w:t>
            </w:r>
          </w:p>
        </w:tc>
        <w:tc>
          <w:tcPr>
            <w:tcW w:w="1127" w:type="pct"/>
            <w:shd w:val="clear" w:color="auto" w:fill="auto"/>
            <w:vAlign w:val="center"/>
          </w:tcPr>
          <w:p w:rsidRPr="00DD1E0D" w:rsidR="009737C7" w:rsidP="00EF2696" w:rsidRDefault="009737C7" w14:paraId="28C132A4" w14:textId="7CD59479">
            <w:pPr>
              <w:pStyle w:val="ListParagraph"/>
              <w:autoSpaceDE/>
              <w:autoSpaceDN/>
              <w:adjustRightInd/>
              <w:ind w:left="337" w:hanging="337"/>
              <w:jc w:val="center"/>
              <w:rPr>
                <w:rFonts w:cs="Arial"/>
              </w:rPr>
            </w:pPr>
            <w:r w:rsidRPr="00F81C9F">
              <w:rPr>
                <w:rFonts w:cs="Arial"/>
              </w:rPr>
              <w:t>($</w:t>
            </w:r>
            <w:r w:rsidR="00F82F04">
              <w:rPr>
                <w:rFonts w:cs="Arial"/>
              </w:rPr>
              <w:t>163,353</w:t>
            </w:r>
            <w:r w:rsidRPr="00F81C9F">
              <w:rPr>
                <w:rFonts w:cs="Arial"/>
              </w:rPr>
              <w:t>)</w:t>
            </w:r>
          </w:p>
        </w:tc>
        <w:tc>
          <w:tcPr>
            <w:tcW w:w="1155" w:type="pct"/>
            <w:shd w:val="clear" w:color="auto" w:fill="auto"/>
            <w:vAlign w:val="center"/>
          </w:tcPr>
          <w:p w:rsidRPr="00DD1E0D" w:rsidR="009737C7" w:rsidP="001F614A" w:rsidRDefault="009737C7" w14:paraId="7263C864" w14:textId="332CBB97">
            <w:pPr>
              <w:pStyle w:val="ListParagraph"/>
              <w:autoSpaceDE/>
              <w:autoSpaceDN/>
              <w:adjustRightInd/>
              <w:ind w:left="0"/>
              <w:jc w:val="center"/>
              <w:rPr>
                <w:rFonts w:cs="Arial"/>
              </w:rPr>
            </w:pPr>
            <w:r w:rsidRPr="00F81C9F">
              <w:rPr>
                <w:rFonts w:cs="Arial"/>
              </w:rPr>
              <w:t>($</w:t>
            </w:r>
            <w:r w:rsidR="003E6164">
              <w:rPr>
                <w:rFonts w:cs="Arial"/>
              </w:rPr>
              <w:t>159</w:t>
            </w:r>
            <w:r w:rsidRPr="00F81C9F">
              <w:rPr>
                <w:rFonts w:cs="Arial"/>
              </w:rPr>
              <w:t>)</w:t>
            </w:r>
          </w:p>
        </w:tc>
      </w:tr>
      <w:tr w:rsidRPr="00F81C9F" w:rsidR="009737C7" w:rsidTr="00982BD1" w14:paraId="4334AB6F" w14:textId="77777777">
        <w:trPr>
          <w:trHeight w:val="255"/>
          <w:jc w:val="center"/>
        </w:trPr>
        <w:tc>
          <w:tcPr>
            <w:tcW w:w="5000" w:type="pct"/>
            <w:gridSpan w:val="4"/>
            <w:shd w:val="clear" w:color="auto" w:fill="auto"/>
            <w:vAlign w:val="center"/>
          </w:tcPr>
          <w:p w:rsidRPr="00F81C9F" w:rsidR="009737C7" w:rsidP="009737C7" w:rsidRDefault="009737C7" w14:paraId="336BA20D" w14:textId="47DA47BA">
            <w:pPr>
              <w:pStyle w:val="ListParagraph"/>
              <w:numPr>
                <w:ilvl w:val="0"/>
                <w:numId w:val="27"/>
              </w:numPr>
              <w:autoSpaceDE/>
              <w:autoSpaceDN/>
              <w:adjustRightInd/>
              <w:ind w:left="337" w:hanging="337"/>
              <w:rPr>
                <w:rFonts w:cs="Arial"/>
                <w:b/>
              </w:rPr>
            </w:pPr>
            <w:r w:rsidRPr="00F81C9F">
              <w:rPr>
                <w:rFonts w:cs="Arial"/>
                <w:b/>
                <w:bCs/>
              </w:rPr>
              <w:t>Averted training costs as a result of pre-access testing</w:t>
            </w:r>
          </w:p>
        </w:tc>
      </w:tr>
      <w:tr w:rsidRPr="00F81C9F" w:rsidR="009737C7" w:rsidTr="00F407DD" w14:paraId="6742E53C" w14:textId="77777777">
        <w:trPr>
          <w:trHeight w:val="255"/>
          <w:jc w:val="center"/>
        </w:trPr>
        <w:tc>
          <w:tcPr>
            <w:tcW w:w="1250" w:type="pct"/>
            <w:shd w:val="clear" w:color="auto" w:fill="auto"/>
            <w:vAlign w:val="center"/>
          </w:tcPr>
          <w:p w:rsidRPr="00F81C9F" w:rsidR="009737C7" w:rsidP="009737C7" w:rsidRDefault="009737C7" w14:paraId="56A18B94" w14:textId="74A5F918">
            <w:pPr>
              <w:jc w:val="center"/>
              <w:rPr>
                <w:rFonts w:cs="Arial"/>
              </w:rPr>
            </w:pPr>
            <w:r w:rsidRPr="00F81C9F">
              <w:rPr>
                <w:rFonts w:cs="Arial"/>
              </w:rPr>
              <w:t>$</w:t>
            </w:r>
            <w:r w:rsidR="00EF2696">
              <w:rPr>
                <w:rFonts w:cs="Arial"/>
              </w:rPr>
              <w:t>370,539</w:t>
            </w:r>
          </w:p>
        </w:tc>
        <w:tc>
          <w:tcPr>
            <w:tcW w:w="1468" w:type="pct"/>
            <w:shd w:val="clear" w:color="auto" w:fill="auto"/>
            <w:vAlign w:val="center"/>
          </w:tcPr>
          <w:p w:rsidRPr="00F81C9F" w:rsidR="009737C7" w:rsidP="009737C7" w:rsidRDefault="009737C7" w14:paraId="0E7486D5" w14:textId="022AF426">
            <w:pPr>
              <w:jc w:val="center"/>
              <w:rPr>
                <w:rFonts w:cs="Arial"/>
              </w:rPr>
            </w:pPr>
            <w:r w:rsidRPr="00F81C9F">
              <w:rPr>
                <w:rFonts w:cs="Arial"/>
              </w:rPr>
              <w:t>$</w:t>
            </w:r>
            <w:r w:rsidR="00EF2696">
              <w:rPr>
                <w:rFonts w:cs="Arial"/>
              </w:rPr>
              <w:t>4,318,110</w:t>
            </w:r>
          </w:p>
        </w:tc>
        <w:tc>
          <w:tcPr>
            <w:tcW w:w="1127" w:type="pct"/>
            <w:shd w:val="clear" w:color="auto" w:fill="auto"/>
            <w:vAlign w:val="center"/>
          </w:tcPr>
          <w:p w:rsidRPr="00F81C9F" w:rsidR="009737C7" w:rsidP="009737C7" w:rsidRDefault="009737C7" w14:paraId="27655998" w14:textId="6064C7CD">
            <w:pPr>
              <w:jc w:val="center"/>
              <w:rPr>
                <w:rFonts w:cs="Arial"/>
              </w:rPr>
            </w:pPr>
            <w:r w:rsidRPr="00F81C9F">
              <w:rPr>
                <w:rFonts w:cs="Arial"/>
              </w:rPr>
              <w:t>$</w:t>
            </w:r>
            <w:r w:rsidR="0055206F">
              <w:rPr>
                <w:rFonts w:cs="Arial"/>
              </w:rPr>
              <w:t>6,452,255</w:t>
            </w:r>
          </w:p>
        </w:tc>
        <w:tc>
          <w:tcPr>
            <w:tcW w:w="1155" w:type="pct"/>
            <w:shd w:val="clear" w:color="auto" w:fill="auto"/>
            <w:vAlign w:val="center"/>
          </w:tcPr>
          <w:p w:rsidRPr="00F81C9F" w:rsidR="009737C7" w:rsidP="009737C7" w:rsidRDefault="009737C7" w14:paraId="762AE93E" w14:textId="768A12C4">
            <w:pPr>
              <w:jc w:val="center"/>
              <w:rPr>
                <w:rFonts w:cs="Arial"/>
              </w:rPr>
            </w:pPr>
            <w:r w:rsidRPr="00F81C9F">
              <w:rPr>
                <w:rFonts w:cs="Arial"/>
              </w:rPr>
              <w:t>$</w:t>
            </w:r>
            <w:r w:rsidR="0055206F">
              <w:rPr>
                <w:rFonts w:cs="Arial"/>
              </w:rPr>
              <w:t>6,280</w:t>
            </w:r>
          </w:p>
        </w:tc>
      </w:tr>
      <w:tr w:rsidRPr="00F81C9F" w:rsidR="009737C7" w:rsidTr="00982BD1" w14:paraId="03A60F18" w14:textId="77777777">
        <w:trPr>
          <w:trHeight w:val="255"/>
          <w:jc w:val="center"/>
        </w:trPr>
        <w:tc>
          <w:tcPr>
            <w:tcW w:w="5000" w:type="pct"/>
            <w:gridSpan w:val="4"/>
            <w:shd w:val="clear" w:color="auto" w:fill="auto"/>
            <w:vAlign w:val="center"/>
          </w:tcPr>
          <w:p w:rsidRPr="00F81C9F" w:rsidR="009737C7" w:rsidP="009737C7" w:rsidRDefault="009737C7" w14:paraId="0C61166D" w14:textId="77777777">
            <w:pPr>
              <w:autoSpaceDE/>
              <w:autoSpaceDN/>
              <w:adjustRightInd/>
              <w:rPr>
                <w:rFonts w:cs="Arial"/>
                <w:bCs/>
                <w:i/>
              </w:rPr>
            </w:pPr>
            <w:r w:rsidRPr="00F81C9F">
              <w:rPr>
                <w:rFonts w:cs="Arial"/>
                <w:b/>
                <w:bCs/>
                <w:i/>
              </w:rPr>
              <w:t>TOTAL</w:t>
            </w:r>
          </w:p>
        </w:tc>
      </w:tr>
      <w:tr w:rsidRPr="00F81C9F" w:rsidR="009737C7" w:rsidTr="00F407DD" w14:paraId="0FEA6C96" w14:textId="77777777">
        <w:trPr>
          <w:trHeight w:val="255"/>
          <w:jc w:val="center"/>
        </w:trPr>
        <w:tc>
          <w:tcPr>
            <w:tcW w:w="1250" w:type="pct"/>
            <w:shd w:val="clear" w:color="auto" w:fill="auto"/>
            <w:vAlign w:val="center"/>
          </w:tcPr>
          <w:p w:rsidRPr="00F81C9F" w:rsidR="009737C7" w:rsidP="009737C7" w:rsidRDefault="00CA4395" w14:paraId="149DC7BD" w14:textId="50FB74F3">
            <w:pPr>
              <w:jc w:val="center"/>
              <w:rPr>
                <w:rFonts w:cs="Arial"/>
                <w:i/>
              </w:rPr>
            </w:pPr>
            <w:r>
              <w:rPr>
                <w:rFonts w:cs="Arial"/>
                <w:i/>
              </w:rPr>
              <w:t>$</w:t>
            </w:r>
            <w:r w:rsidR="00284DF8">
              <w:rPr>
                <w:rFonts w:cs="Arial"/>
                <w:i/>
              </w:rPr>
              <w:t>47,650</w:t>
            </w:r>
          </w:p>
        </w:tc>
        <w:tc>
          <w:tcPr>
            <w:tcW w:w="1468" w:type="pct"/>
            <w:shd w:val="clear" w:color="auto" w:fill="auto"/>
            <w:noWrap/>
            <w:vAlign w:val="center"/>
          </w:tcPr>
          <w:p w:rsidRPr="00F81C9F" w:rsidR="009737C7" w:rsidP="009737C7" w:rsidRDefault="00CA4395" w14:paraId="04046419" w14:textId="315EBA68">
            <w:pPr>
              <w:jc w:val="center"/>
              <w:rPr>
                <w:rFonts w:cs="Arial"/>
                <w:i/>
              </w:rPr>
            </w:pPr>
            <w:r>
              <w:rPr>
                <w:rFonts w:cs="Arial"/>
                <w:i/>
              </w:rPr>
              <w:t>$</w:t>
            </w:r>
            <w:r w:rsidR="00284DF8">
              <w:rPr>
                <w:rFonts w:cs="Arial"/>
                <w:i/>
              </w:rPr>
              <w:t>418,356</w:t>
            </w:r>
          </w:p>
        </w:tc>
        <w:tc>
          <w:tcPr>
            <w:tcW w:w="1127" w:type="pct"/>
            <w:shd w:val="clear" w:color="auto" w:fill="auto"/>
            <w:noWrap/>
            <w:vAlign w:val="center"/>
          </w:tcPr>
          <w:p w:rsidRPr="00F81C9F" w:rsidR="009737C7" w:rsidP="009737C7" w:rsidRDefault="006D118F" w14:paraId="3780BCAB" w14:textId="29B582D3">
            <w:pPr>
              <w:jc w:val="center"/>
              <w:rPr>
                <w:rFonts w:cs="Arial"/>
                <w:i/>
              </w:rPr>
            </w:pPr>
            <w:r>
              <w:rPr>
                <w:rFonts w:cs="Arial"/>
                <w:i/>
              </w:rPr>
              <w:t>$</w:t>
            </w:r>
            <w:r w:rsidR="00284DF8">
              <w:rPr>
                <w:rFonts w:cs="Arial"/>
                <w:i/>
              </w:rPr>
              <w:t>692,</w:t>
            </w:r>
            <w:r w:rsidR="0069198A">
              <w:rPr>
                <w:rFonts w:cs="Arial"/>
                <w:i/>
              </w:rPr>
              <w:t>799</w:t>
            </w:r>
          </w:p>
        </w:tc>
        <w:tc>
          <w:tcPr>
            <w:tcW w:w="1155" w:type="pct"/>
            <w:shd w:val="clear" w:color="auto" w:fill="auto"/>
            <w:noWrap/>
            <w:vAlign w:val="center"/>
          </w:tcPr>
          <w:p w:rsidRPr="00F81C9F" w:rsidR="009737C7" w:rsidP="009737C7" w:rsidRDefault="008058BE" w14:paraId="60D2BEB1" w14:textId="479F9981">
            <w:pPr>
              <w:jc w:val="center"/>
              <w:rPr>
                <w:rFonts w:cs="Arial"/>
                <w:i/>
              </w:rPr>
            </w:pPr>
            <w:r>
              <w:rPr>
                <w:rFonts w:cs="Arial"/>
                <w:i/>
              </w:rPr>
              <w:t>$</w:t>
            </w:r>
            <w:r w:rsidR="00284DF8">
              <w:rPr>
                <w:rFonts w:cs="Arial"/>
                <w:i/>
              </w:rPr>
              <w:t>808</w:t>
            </w:r>
          </w:p>
        </w:tc>
      </w:tr>
      <w:tr w:rsidRPr="00F81C9F" w:rsidR="008841C9" w:rsidTr="008841C9" w14:paraId="3553FB55" w14:textId="77777777">
        <w:trPr>
          <w:trHeight w:val="255"/>
          <w:jc w:val="center"/>
        </w:trPr>
        <w:tc>
          <w:tcPr>
            <w:tcW w:w="5000" w:type="pct"/>
            <w:gridSpan w:val="4"/>
            <w:shd w:val="clear" w:color="auto" w:fill="auto"/>
            <w:vAlign w:val="center"/>
          </w:tcPr>
          <w:p w:rsidRPr="00947C54" w:rsidR="008841C9" w:rsidP="000A4CBE" w:rsidRDefault="000A4CBE" w14:paraId="534C688E" w14:textId="4FB1AF35">
            <w:pPr>
              <w:rPr>
                <w:rFonts w:cs="Arial"/>
                <w:b/>
                <w:bCs/>
                <w:i/>
              </w:rPr>
            </w:pPr>
            <w:r w:rsidRPr="00947C54">
              <w:rPr>
                <w:rFonts w:cs="Arial"/>
                <w:b/>
                <w:bCs/>
                <w:i/>
              </w:rPr>
              <w:t>AVERAGE NET PRESENT VALUE</w:t>
            </w:r>
            <w:r w:rsidRPr="00947C54" w:rsidR="00947C54">
              <w:rPr>
                <w:rFonts w:cs="Arial"/>
                <w:b/>
                <w:bCs/>
                <w:i/>
              </w:rPr>
              <w:t xml:space="preserve"> BENEFIT PER SITE</w:t>
            </w:r>
          </w:p>
        </w:tc>
      </w:tr>
      <w:tr w:rsidRPr="00F81C9F" w:rsidR="008841C9" w:rsidTr="00DD500A" w14:paraId="6352EC85" w14:textId="77777777">
        <w:trPr>
          <w:trHeight w:val="255"/>
          <w:jc w:val="center"/>
        </w:trPr>
        <w:tc>
          <w:tcPr>
            <w:tcW w:w="1250" w:type="pct"/>
            <w:shd w:val="clear" w:color="auto" w:fill="D9D9D9" w:themeFill="background1" w:themeFillShade="D9"/>
            <w:vAlign w:val="center"/>
          </w:tcPr>
          <w:p w:rsidR="008841C9" w:rsidP="009737C7" w:rsidRDefault="008841C9" w14:paraId="4805918E" w14:textId="77777777">
            <w:pPr>
              <w:jc w:val="center"/>
              <w:rPr>
                <w:rFonts w:cs="Arial"/>
                <w:i/>
              </w:rPr>
            </w:pPr>
          </w:p>
        </w:tc>
        <w:tc>
          <w:tcPr>
            <w:tcW w:w="1468" w:type="pct"/>
            <w:shd w:val="clear" w:color="auto" w:fill="auto"/>
            <w:noWrap/>
            <w:vAlign w:val="center"/>
          </w:tcPr>
          <w:p w:rsidR="008841C9" w:rsidP="009737C7" w:rsidRDefault="00947C54" w14:paraId="18ADC8CF" w14:textId="56C9B26D">
            <w:pPr>
              <w:jc w:val="center"/>
              <w:rPr>
                <w:rFonts w:cs="Arial"/>
                <w:i/>
              </w:rPr>
            </w:pPr>
            <w:r>
              <w:rPr>
                <w:rFonts w:cs="Arial"/>
                <w:i/>
              </w:rPr>
              <w:t>$7,091</w:t>
            </w:r>
          </w:p>
        </w:tc>
        <w:tc>
          <w:tcPr>
            <w:tcW w:w="1127" w:type="pct"/>
            <w:shd w:val="clear" w:color="auto" w:fill="auto"/>
            <w:noWrap/>
            <w:vAlign w:val="center"/>
          </w:tcPr>
          <w:p w:rsidR="008841C9" w:rsidP="009737C7" w:rsidRDefault="00DD500A" w14:paraId="5DFD66F8" w14:textId="48830B62">
            <w:pPr>
              <w:jc w:val="center"/>
              <w:rPr>
                <w:rFonts w:cs="Arial"/>
                <w:i/>
              </w:rPr>
            </w:pPr>
            <w:r>
              <w:rPr>
                <w:rFonts w:cs="Arial"/>
                <w:i/>
              </w:rPr>
              <w:t>$11,742</w:t>
            </w:r>
          </w:p>
        </w:tc>
        <w:tc>
          <w:tcPr>
            <w:tcW w:w="1155" w:type="pct"/>
            <w:shd w:val="clear" w:color="auto" w:fill="D9D9D9" w:themeFill="background1" w:themeFillShade="D9"/>
            <w:noWrap/>
            <w:vAlign w:val="center"/>
          </w:tcPr>
          <w:p w:rsidR="008841C9" w:rsidP="009737C7" w:rsidRDefault="008841C9" w14:paraId="5D6413A8" w14:textId="77777777">
            <w:pPr>
              <w:jc w:val="center"/>
              <w:rPr>
                <w:rFonts w:cs="Arial"/>
                <w:i/>
              </w:rPr>
            </w:pPr>
          </w:p>
        </w:tc>
      </w:tr>
      <w:tr w:rsidRPr="00F81C9F" w:rsidR="009737C7" w:rsidTr="00B40DCF" w14:paraId="052CD267" w14:textId="77777777">
        <w:trPr>
          <w:trHeight w:val="161"/>
          <w:jc w:val="center"/>
        </w:trPr>
        <w:tc>
          <w:tcPr>
            <w:tcW w:w="5000" w:type="pct"/>
            <w:gridSpan w:val="4"/>
            <w:shd w:val="clear" w:color="auto" w:fill="D9D9D9" w:themeFill="background1" w:themeFillShade="D9"/>
            <w:vAlign w:val="center"/>
          </w:tcPr>
          <w:p w:rsidRPr="00B40DCF" w:rsidR="009737C7" w:rsidP="009737C7" w:rsidRDefault="009737C7" w14:paraId="5D93ABA5" w14:textId="77777777">
            <w:pPr>
              <w:jc w:val="center"/>
              <w:rPr>
                <w:rFonts w:cs="Arial"/>
                <w:i/>
                <w:sz w:val="12"/>
                <w:szCs w:val="12"/>
              </w:rPr>
            </w:pPr>
          </w:p>
        </w:tc>
      </w:tr>
      <w:tr w:rsidRPr="00F81C9F" w:rsidR="009737C7" w:rsidTr="009273A9" w14:paraId="38D0023C" w14:textId="77777777">
        <w:trPr>
          <w:trHeight w:val="255"/>
          <w:jc w:val="center"/>
        </w:trPr>
        <w:tc>
          <w:tcPr>
            <w:tcW w:w="5000" w:type="pct"/>
            <w:gridSpan w:val="4"/>
            <w:shd w:val="clear" w:color="auto" w:fill="auto"/>
            <w:vAlign w:val="center"/>
          </w:tcPr>
          <w:p w:rsidRPr="00F81C9F" w:rsidR="009737C7" w:rsidP="00483C43" w:rsidRDefault="009737C7" w14:paraId="7BEC71A0" w14:textId="0DEB44AA">
            <w:pPr>
              <w:keepNext/>
              <w:keepLines/>
              <w:rPr>
                <w:rFonts w:cs="Arial"/>
                <w:b/>
                <w:bCs/>
                <w:i/>
              </w:rPr>
            </w:pPr>
            <w:r w:rsidRPr="00F81C9F">
              <w:rPr>
                <w:rFonts w:cs="Arial"/>
                <w:b/>
                <w:bCs/>
                <w:i/>
              </w:rPr>
              <w:t xml:space="preserve">Alternative Specimen </w:t>
            </w:r>
            <w:r w:rsidR="00BC4128">
              <w:rPr>
                <w:rFonts w:cs="Arial"/>
                <w:b/>
                <w:bCs/>
                <w:i/>
              </w:rPr>
              <w:t xml:space="preserve">(Oral Fluid) </w:t>
            </w:r>
            <w:r w:rsidRPr="00F81C9F">
              <w:rPr>
                <w:rFonts w:cs="Arial"/>
                <w:b/>
                <w:bCs/>
                <w:i/>
              </w:rPr>
              <w:t>Drug Testing</w:t>
            </w:r>
            <w:r w:rsidRPr="00F81C9F">
              <w:rPr>
                <w:rFonts w:cs="Arial"/>
                <w:b/>
                <w:bCs/>
                <w:i/>
                <w:vertAlign w:val="superscript"/>
              </w:rPr>
              <w:t>b</w:t>
            </w:r>
          </w:p>
        </w:tc>
      </w:tr>
      <w:tr w:rsidRPr="00F81C9F" w:rsidR="009737C7" w:rsidTr="00F407DD" w14:paraId="0FFFD097" w14:textId="77777777">
        <w:trPr>
          <w:trHeight w:val="255"/>
          <w:jc w:val="center"/>
        </w:trPr>
        <w:tc>
          <w:tcPr>
            <w:tcW w:w="1250" w:type="pct"/>
            <w:shd w:val="clear" w:color="auto" w:fill="auto"/>
            <w:vAlign w:val="center"/>
          </w:tcPr>
          <w:p w:rsidRPr="00F81C9F" w:rsidR="009737C7" w:rsidP="00483C43" w:rsidRDefault="009737C7" w14:paraId="0D9900A5" w14:textId="22A83804">
            <w:pPr>
              <w:keepNext/>
              <w:keepLines/>
              <w:jc w:val="center"/>
              <w:rPr>
                <w:rFonts w:cs="Arial"/>
                <w:i/>
              </w:rPr>
            </w:pPr>
            <w:r w:rsidRPr="00F81C9F">
              <w:rPr>
                <w:rFonts w:cs="Arial"/>
                <w:i/>
              </w:rPr>
              <w:t>$</w:t>
            </w:r>
            <w:r w:rsidR="00F534A3">
              <w:rPr>
                <w:rFonts w:cs="Arial"/>
                <w:i/>
              </w:rPr>
              <w:t>6,665</w:t>
            </w:r>
          </w:p>
        </w:tc>
        <w:tc>
          <w:tcPr>
            <w:tcW w:w="1468" w:type="pct"/>
            <w:shd w:val="clear" w:color="auto" w:fill="auto"/>
            <w:noWrap/>
            <w:vAlign w:val="center"/>
          </w:tcPr>
          <w:p w:rsidRPr="00F81C9F" w:rsidR="009737C7" w:rsidP="00483C43" w:rsidRDefault="009737C7" w14:paraId="41BA6540" w14:textId="2A79AE72">
            <w:pPr>
              <w:keepNext/>
              <w:keepLines/>
              <w:jc w:val="center"/>
              <w:rPr>
                <w:rFonts w:cs="Arial"/>
                <w:i/>
              </w:rPr>
            </w:pPr>
            <w:r w:rsidRPr="00F81C9F">
              <w:rPr>
                <w:rFonts w:cs="Arial"/>
                <w:i/>
              </w:rPr>
              <w:t>$</w:t>
            </w:r>
            <w:r w:rsidR="006954B4">
              <w:rPr>
                <w:rFonts w:cs="Arial"/>
                <w:i/>
              </w:rPr>
              <w:t>77,671</w:t>
            </w:r>
          </w:p>
        </w:tc>
        <w:tc>
          <w:tcPr>
            <w:tcW w:w="1127" w:type="pct"/>
            <w:shd w:val="clear" w:color="auto" w:fill="auto"/>
            <w:noWrap/>
            <w:vAlign w:val="center"/>
          </w:tcPr>
          <w:p w:rsidRPr="00F81C9F" w:rsidR="009737C7" w:rsidP="00483C43" w:rsidRDefault="009737C7" w14:paraId="26CB21A4" w14:textId="19261FB6">
            <w:pPr>
              <w:keepNext/>
              <w:keepLines/>
              <w:jc w:val="center"/>
              <w:rPr>
                <w:rFonts w:cs="Arial"/>
                <w:i/>
              </w:rPr>
            </w:pPr>
            <w:r w:rsidRPr="00F81C9F">
              <w:rPr>
                <w:rFonts w:cs="Arial"/>
                <w:i/>
              </w:rPr>
              <w:t>$</w:t>
            </w:r>
            <w:r w:rsidR="002306C4">
              <w:rPr>
                <w:rFonts w:cs="Arial"/>
                <w:i/>
              </w:rPr>
              <w:t>116,059</w:t>
            </w:r>
          </w:p>
        </w:tc>
        <w:tc>
          <w:tcPr>
            <w:tcW w:w="1155" w:type="pct"/>
            <w:shd w:val="clear" w:color="auto" w:fill="auto"/>
            <w:noWrap/>
            <w:vAlign w:val="center"/>
          </w:tcPr>
          <w:p w:rsidRPr="00F81C9F" w:rsidR="009737C7" w:rsidP="00483C43" w:rsidRDefault="009737C7" w14:paraId="59D65ECD" w14:textId="6E6D2DFF">
            <w:pPr>
              <w:keepNext/>
              <w:keepLines/>
              <w:jc w:val="center"/>
              <w:rPr>
                <w:rFonts w:cs="Arial"/>
                <w:i/>
              </w:rPr>
            </w:pPr>
            <w:r w:rsidRPr="00F81C9F">
              <w:rPr>
                <w:rFonts w:cs="Arial"/>
                <w:i/>
              </w:rPr>
              <w:t>$</w:t>
            </w:r>
            <w:r w:rsidR="009F56DD">
              <w:rPr>
                <w:rFonts w:cs="Arial"/>
                <w:i/>
              </w:rPr>
              <w:t>113</w:t>
            </w:r>
          </w:p>
        </w:tc>
      </w:tr>
    </w:tbl>
    <w:p w:rsidRPr="003F790B" w:rsidR="00D520BD" w:rsidP="00D520BD" w:rsidRDefault="004626EC" w14:paraId="2F5479A1" w14:textId="1E0FB573">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360" w:hanging="360"/>
        <w:rPr>
          <w:sz w:val="18"/>
        </w:rPr>
      </w:pPr>
      <w:proofErr w:type="spellStart"/>
      <w:proofErr w:type="gramStart"/>
      <w:r w:rsidRPr="003F790B">
        <w:rPr>
          <w:sz w:val="18"/>
          <w:vertAlign w:val="superscript"/>
        </w:rPr>
        <w:t>a</w:t>
      </w:r>
      <w:proofErr w:type="spellEnd"/>
      <w:proofErr w:type="gramEnd"/>
      <w:r w:rsidRPr="003F790B" w:rsidR="00D520BD">
        <w:rPr>
          <w:sz w:val="18"/>
        </w:rPr>
        <w:tab/>
        <w:t>Average cost per site is calculated by dividing the total industrywide cost by the number of sites (</w:t>
      </w:r>
      <w:r w:rsidRPr="003F790B" w:rsidR="009050D4">
        <w:rPr>
          <w:sz w:val="18"/>
        </w:rPr>
        <w:t>59</w:t>
      </w:r>
      <w:r w:rsidRPr="003F790B" w:rsidR="00D520BD">
        <w:rPr>
          <w:sz w:val="18"/>
        </w:rPr>
        <w:t>).</w:t>
      </w:r>
    </w:p>
    <w:p w:rsidRPr="003F790B" w:rsidR="00511D5F" w:rsidP="00D520BD" w:rsidRDefault="004626EC" w14:paraId="2E5F9E10" w14:textId="47CD8F6F">
      <w:pPr>
        <w:tabs>
          <w:tab w:val="left" w:pos="450"/>
        </w:tabs>
        <w:autoSpaceDE/>
        <w:autoSpaceDN/>
        <w:adjustRightInd/>
        <w:ind w:left="360" w:hanging="360"/>
        <w:rPr>
          <w:sz w:val="18"/>
        </w:rPr>
      </w:pPr>
      <w:r w:rsidRPr="000D3B34">
        <w:rPr>
          <w:rFonts w:cs="Arial"/>
          <w:iCs/>
          <w:sz w:val="18"/>
          <w:szCs w:val="18"/>
          <w:vertAlign w:val="superscript"/>
        </w:rPr>
        <w:t>b</w:t>
      </w:r>
      <w:r w:rsidRPr="000D3B34" w:rsidR="00D520BD">
        <w:rPr>
          <w:rFonts w:cs="Arial"/>
          <w:iCs/>
          <w:sz w:val="18"/>
          <w:szCs w:val="18"/>
        </w:rPr>
        <w:tab/>
      </w:r>
      <w:r w:rsidRPr="000D3B34" w:rsidR="00EF7A6B">
        <w:rPr>
          <w:rFonts w:cs="Arial"/>
          <w:iCs/>
          <w:sz w:val="18"/>
          <w:szCs w:val="18"/>
        </w:rPr>
        <w:t xml:space="preserve">The </w:t>
      </w:r>
      <w:r w:rsidR="006A0B87">
        <w:rPr>
          <w:rFonts w:cs="Arial"/>
          <w:iCs/>
          <w:sz w:val="18"/>
          <w:szCs w:val="18"/>
        </w:rPr>
        <w:t>total benefit (cost) for the final rule does not include the</w:t>
      </w:r>
      <w:r w:rsidRPr="003F790B" w:rsidR="006A0B87">
        <w:rPr>
          <w:sz w:val="18"/>
        </w:rPr>
        <w:t xml:space="preserve"> </w:t>
      </w:r>
      <w:r w:rsidRPr="003F790B" w:rsidR="00EF7A6B">
        <w:rPr>
          <w:sz w:val="18"/>
        </w:rPr>
        <w:t>forecasted benefits from the alternative specimen</w:t>
      </w:r>
      <w:r w:rsidRPr="003F790B" w:rsidR="00FE4EA6">
        <w:rPr>
          <w:sz w:val="18"/>
        </w:rPr>
        <w:t xml:space="preserve"> </w:t>
      </w:r>
      <w:r w:rsidRPr="003F790B" w:rsidR="00524F79">
        <w:rPr>
          <w:sz w:val="18"/>
        </w:rPr>
        <w:t xml:space="preserve">drug </w:t>
      </w:r>
      <w:r w:rsidRPr="003F790B" w:rsidR="00FE4EA6">
        <w:rPr>
          <w:sz w:val="18"/>
        </w:rPr>
        <w:t xml:space="preserve">testing </w:t>
      </w:r>
      <w:r w:rsidRPr="003F790B" w:rsidR="00FA121D">
        <w:rPr>
          <w:sz w:val="18"/>
        </w:rPr>
        <w:t>method (i.e., oral fluid versus urin</w:t>
      </w:r>
      <w:r w:rsidRPr="003F790B" w:rsidR="00524F79">
        <w:rPr>
          <w:sz w:val="18"/>
        </w:rPr>
        <w:t>e</w:t>
      </w:r>
      <w:r w:rsidRPr="003F790B" w:rsidR="00FA121D">
        <w:rPr>
          <w:sz w:val="18"/>
        </w:rPr>
        <w:t xml:space="preserve">) </w:t>
      </w:r>
      <w:r w:rsidRPr="003F790B" w:rsidR="00D77A4C">
        <w:rPr>
          <w:sz w:val="18"/>
        </w:rPr>
        <w:t>for</w:t>
      </w:r>
      <w:r w:rsidRPr="003F790B" w:rsidR="00201D88">
        <w:rPr>
          <w:sz w:val="18"/>
        </w:rPr>
        <w:t xml:space="preserve"> </w:t>
      </w:r>
      <w:r w:rsidRPr="003F790B" w:rsidR="0036030D">
        <w:rPr>
          <w:sz w:val="18"/>
        </w:rPr>
        <w:t xml:space="preserve">an </w:t>
      </w:r>
      <w:r w:rsidRPr="003F790B" w:rsidR="00201D88">
        <w:rPr>
          <w:sz w:val="18"/>
        </w:rPr>
        <w:t>observed collection</w:t>
      </w:r>
      <w:r w:rsidRPr="003F790B" w:rsidR="0036030D">
        <w:rPr>
          <w:sz w:val="18"/>
        </w:rPr>
        <w:t xml:space="preserve"> </w:t>
      </w:r>
      <w:r w:rsidRPr="003F790B" w:rsidR="00AA377A">
        <w:rPr>
          <w:sz w:val="18"/>
        </w:rPr>
        <w:t xml:space="preserve">because each licensee </w:t>
      </w:r>
      <w:r w:rsidR="006A0B87">
        <w:rPr>
          <w:rFonts w:cs="Arial"/>
          <w:iCs/>
          <w:sz w:val="18"/>
          <w:szCs w:val="18"/>
        </w:rPr>
        <w:t>can choose</w:t>
      </w:r>
      <w:r w:rsidRPr="003F790B" w:rsidR="007F23AE">
        <w:rPr>
          <w:sz w:val="18"/>
        </w:rPr>
        <w:t xml:space="preserve"> </w:t>
      </w:r>
      <w:r w:rsidRPr="003F790B" w:rsidR="00AA377A">
        <w:rPr>
          <w:sz w:val="18"/>
        </w:rPr>
        <w:t>whether or not to use this alternative</w:t>
      </w:r>
      <w:r w:rsidRPr="003F790B" w:rsidR="000932DC">
        <w:rPr>
          <w:sz w:val="18"/>
        </w:rPr>
        <w:t>.</w:t>
      </w:r>
    </w:p>
    <w:p w:rsidRPr="003F790B" w:rsidR="00D520BD" w:rsidP="00D520BD" w:rsidRDefault="008903EE" w14:paraId="56CAE5BC" w14:textId="606399F8">
      <w:pPr>
        <w:tabs>
          <w:tab w:val="left" w:pos="450"/>
        </w:tabs>
        <w:autoSpaceDE/>
        <w:autoSpaceDN/>
        <w:adjustRightInd/>
        <w:ind w:left="360" w:hanging="360"/>
        <w:rPr>
          <w:sz w:val="18"/>
        </w:rPr>
      </w:pPr>
      <w:r>
        <w:rPr>
          <w:sz w:val="18"/>
        </w:rPr>
        <w:t>Note:  Table r</w:t>
      </w:r>
      <w:r w:rsidRPr="003F790B" w:rsidR="00D520BD">
        <w:rPr>
          <w:sz w:val="18"/>
        </w:rPr>
        <w:t xml:space="preserve">esults </w:t>
      </w:r>
      <w:r>
        <w:rPr>
          <w:sz w:val="18"/>
        </w:rPr>
        <w:t xml:space="preserve">are </w:t>
      </w:r>
      <w:r w:rsidRPr="003F790B" w:rsidR="00D520BD">
        <w:rPr>
          <w:sz w:val="18"/>
        </w:rPr>
        <w:t>stated in 20</w:t>
      </w:r>
      <w:r w:rsidRPr="003F790B" w:rsidR="00A37DB0">
        <w:rPr>
          <w:sz w:val="18"/>
        </w:rPr>
        <w:t>2</w:t>
      </w:r>
      <w:r w:rsidRPr="003F790B" w:rsidR="003D3885">
        <w:rPr>
          <w:sz w:val="18"/>
        </w:rPr>
        <w:t>2</w:t>
      </w:r>
      <w:r w:rsidRPr="003F790B" w:rsidR="00D520BD">
        <w:rPr>
          <w:sz w:val="18"/>
        </w:rPr>
        <w:t xml:space="preserve"> dollars.</w:t>
      </w:r>
    </w:p>
    <w:p w:rsidR="00D520BD" w:rsidP="00D520BD" w:rsidRDefault="00D520BD" w14:paraId="40DC4BBE" w14:textId="66CE0E2A">
      <w:pPr>
        <w:tabs>
          <w:tab w:val="left" w:pos="450"/>
        </w:tabs>
        <w:autoSpaceDE/>
        <w:autoSpaceDN/>
        <w:adjustRightInd/>
        <w:rPr>
          <w:rFonts w:cs="Arial"/>
          <w:sz w:val="22"/>
          <w:szCs w:val="22"/>
        </w:rPr>
      </w:pPr>
    </w:p>
    <w:p w:rsidR="00547E86" w:rsidP="00A60C27" w:rsidRDefault="00494C57" w14:paraId="4047CAD7" w14:textId="70A7F2B5">
      <w:pPr>
        <w:keepNext/>
        <w:keepLines/>
        <w:widowControl w:val="0"/>
        <w:tabs>
          <w:tab w:val="left" w:pos="450"/>
        </w:tabs>
        <w:autoSpaceDE/>
        <w:autoSpaceDN/>
        <w:adjustRightInd/>
        <w:rPr>
          <w:rFonts w:cs="Arial"/>
          <w:sz w:val="22"/>
          <w:szCs w:val="22"/>
        </w:rPr>
      </w:pPr>
      <w:r w:rsidRPr="00494C57">
        <w:rPr>
          <w:rFonts w:cs="Arial"/>
          <w:sz w:val="22"/>
          <w:szCs w:val="22"/>
        </w:rPr>
        <w:lastRenderedPageBreak/>
        <w:fldChar w:fldCharType="begin"/>
      </w:r>
      <w:r w:rsidRPr="00494C57">
        <w:rPr>
          <w:rFonts w:cs="Arial"/>
          <w:sz w:val="22"/>
          <w:szCs w:val="22"/>
        </w:rPr>
        <w:instrText xml:space="preserve"> REF _Ref68793678 \h  \* MERGEFORMAT </w:instrText>
      </w:r>
      <w:r w:rsidRPr="00494C57">
        <w:rPr>
          <w:rFonts w:cs="Arial"/>
          <w:sz w:val="22"/>
          <w:szCs w:val="22"/>
        </w:rPr>
      </w:r>
      <w:r w:rsidRPr="00494C57">
        <w:rPr>
          <w:rFonts w:cs="Arial"/>
          <w:sz w:val="22"/>
          <w:szCs w:val="22"/>
        </w:rPr>
        <w:fldChar w:fldCharType="separate"/>
      </w:r>
      <w:r w:rsidRPr="006155B8" w:rsidR="00A6777F">
        <w:rPr>
          <w:sz w:val="22"/>
          <w:szCs w:val="22"/>
        </w:rPr>
        <w:t>Table 5-4</w:t>
      </w:r>
      <w:r w:rsidRPr="00494C57">
        <w:rPr>
          <w:rFonts w:cs="Arial"/>
          <w:sz w:val="22"/>
          <w:szCs w:val="22"/>
        </w:rPr>
        <w:fldChar w:fldCharType="end"/>
      </w:r>
      <w:r>
        <w:rPr>
          <w:rFonts w:cs="Arial"/>
          <w:sz w:val="22"/>
          <w:szCs w:val="22"/>
        </w:rPr>
        <w:t xml:space="preserve"> </w:t>
      </w:r>
      <w:r w:rsidR="00046600">
        <w:rPr>
          <w:rFonts w:cs="Arial"/>
          <w:sz w:val="22"/>
          <w:szCs w:val="22"/>
        </w:rPr>
        <w:t xml:space="preserve">provides the </w:t>
      </w:r>
      <w:r w:rsidR="00E21052">
        <w:rPr>
          <w:rFonts w:cs="Arial"/>
          <w:sz w:val="22"/>
          <w:szCs w:val="22"/>
        </w:rPr>
        <w:t xml:space="preserve">projected one-time and annual costs </w:t>
      </w:r>
      <w:r w:rsidR="00AC7B01">
        <w:rPr>
          <w:rFonts w:cs="Arial"/>
          <w:sz w:val="22"/>
          <w:szCs w:val="22"/>
        </w:rPr>
        <w:t>to future nuclear facilities based on the projected operations workforce</w:t>
      </w:r>
      <w:r w:rsidR="007A12CF">
        <w:rPr>
          <w:rFonts w:cs="Arial"/>
          <w:sz w:val="22"/>
          <w:szCs w:val="22"/>
        </w:rPr>
        <w:t xml:space="preserve"> </w:t>
      </w:r>
      <w:r w:rsidR="0079547F">
        <w:rPr>
          <w:rFonts w:cs="Arial"/>
          <w:sz w:val="22"/>
          <w:szCs w:val="22"/>
        </w:rPr>
        <w:t xml:space="preserve">detailed </w:t>
      </w:r>
      <w:r w:rsidR="007A12CF">
        <w:rPr>
          <w:rFonts w:cs="Arial"/>
          <w:sz w:val="22"/>
          <w:szCs w:val="22"/>
        </w:rPr>
        <w:t xml:space="preserve">in </w:t>
      </w:r>
      <w:r w:rsidRPr="00FC6B87" w:rsidR="007A12CF">
        <w:rPr>
          <w:rFonts w:cs="Arial"/>
          <w:sz w:val="22"/>
          <w:szCs w:val="22"/>
        </w:rPr>
        <w:fldChar w:fldCharType="begin"/>
      </w:r>
      <w:r w:rsidRPr="00FC6B87" w:rsidR="007A12CF">
        <w:rPr>
          <w:rFonts w:cs="Arial"/>
          <w:sz w:val="22"/>
          <w:szCs w:val="22"/>
        </w:rPr>
        <w:instrText xml:space="preserve"> REF _Ref68791756 \h </w:instrText>
      </w:r>
      <w:r w:rsidRPr="00FC6B87" w:rsidR="00FC6B87">
        <w:rPr>
          <w:rFonts w:cs="Arial"/>
          <w:sz w:val="22"/>
          <w:szCs w:val="22"/>
        </w:rPr>
        <w:instrText xml:space="preserve"> \* MERGEFORMAT </w:instrText>
      </w:r>
      <w:r w:rsidRPr="00FC6B87" w:rsidR="007A12CF">
        <w:rPr>
          <w:rFonts w:cs="Arial"/>
          <w:sz w:val="22"/>
          <w:szCs w:val="22"/>
        </w:rPr>
      </w:r>
      <w:r w:rsidRPr="00FC6B87" w:rsidR="007A12CF">
        <w:rPr>
          <w:rFonts w:cs="Arial"/>
          <w:sz w:val="22"/>
          <w:szCs w:val="22"/>
        </w:rPr>
        <w:fldChar w:fldCharType="separate"/>
      </w:r>
      <w:r w:rsidRPr="006155B8" w:rsidR="00A6777F">
        <w:rPr>
          <w:sz w:val="22"/>
          <w:szCs w:val="22"/>
        </w:rPr>
        <w:t>Table 4-2</w:t>
      </w:r>
      <w:r w:rsidRPr="00FC6B87" w:rsidR="007A12CF">
        <w:rPr>
          <w:rFonts w:cs="Arial"/>
          <w:sz w:val="22"/>
          <w:szCs w:val="22"/>
        </w:rPr>
        <w:fldChar w:fldCharType="end"/>
      </w:r>
      <w:r w:rsidR="00FC6B87">
        <w:rPr>
          <w:rFonts w:cs="Arial"/>
          <w:sz w:val="22"/>
          <w:szCs w:val="22"/>
        </w:rPr>
        <w:t>.</w:t>
      </w:r>
    </w:p>
    <w:p w:rsidR="00547E86" w:rsidP="00A60C27" w:rsidRDefault="00547E86" w14:paraId="7A5F19D9" w14:textId="77777777">
      <w:pPr>
        <w:keepNext/>
        <w:keepLines/>
        <w:widowControl w:val="0"/>
        <w:tabs>
          <w:tab w:val="left" w:pos="450"/>
        </w:tabs>
        <w:autoSpaceDE/>
        <w:autoSpaceDN/>
        <w:adjustRightInd/>
        <w:rPr>
          <w:rFonts w:cs="Arial"/>
          <w:sz w:val="22"/>
          <w:szCs w:val="22"/>
        </w:rPr>
      </w:pPr>
    </w:p>
    <w:p w:rsidR="005E5AF1" w:rsidP="00A6777F" w:rsidRDefault="005E5AF1" w14:paraId="490206EF" w14:textId="76741208">
      <w:pPr>
        <w:pStyle w:val="Caption"/>
        <w:keepLines/>
        <w:widowControl w:val="0"/>
        <w:jc w:val="center"/>
        <w:rPr>
          <w:b/>
          <w:bCs w:val="0"/>
        </w:rPr>
      </w:pPr>
      <w:bookmarkStart w:name="_Ref68793678" w:id="130"/>
      <w:bookmarkStart w:name="_Toc72490566" w:id="131"/>
      <w:bookmarkStart w:name="_Toc105681563" w:id="132"/>
      <w:r w:rsidRPr="00B37562">
        <w:rPr>
          <w:b/>
          <w:bCs w:val="0"/>
        </w:rPr>
        <w:t>Table 5-</w:t>
      </w:r>
      <w:r w:rsidRPr="00B37562">
        <w:rPr>
          <w:b/>
          <w:bCs w:val="0"/>
        </w:rPr>
        <w:fldChar w:fldCharType="begin"/>
      </w:r>
      <w:r w:rsidRPr="00B37562">
        <w:rPr>
          <w:b/>
          <w:bCs w:val="0"/>
        </w:rPr>
        <w:instrText xml:space="preserve"> SEQ Table \* ARABIC </w:instrText>
      </w:r>
      <w:r w:rsidRPr="00B37562">
        <w:rPr>
          <w:b/>
          <w:bCs w:val="0"/>
        </w:rPr>
        <w:fldChar w:fldCharType="separate"/>
      </w:r>
      <w:r w:rsidR="00A6777F">
        <w:rPr>
          <w:b/>
          <w:bCs w:val="0"/>
          <w:noProof/>
        </w:rPr>
        <w:t>4</w:t>
      </w:r>
      <w:r w:rsidRPr="00B37562">
        <w:rPr>
          <w:b/>
          <w:bCs w:val="0"/>
        </w:rPr>
        <w:fldChar w:fldCharType="end"/>
      </w:r>
      <w:bookmarkEnd w:id="130"/>
      <w:r w:rsidRPr="00B37562">
        <w:rPr>
          <w:b/>
          <w:bCs w:val="0"/>
        </w:rPr>
        <w:t xml:space="preserve">  </w:t>
      </w:r>
      <w:r w:rsidR="00541209">
        <w:rPr>
          <w:b/>
          <w:bCs w:val="0"/>
        </w:rPr>
        <w:t>Projected</w:t>
      </w:r>
      <w:r w:rsidRPr="00B37562">
        <w:rPr>
          <w:b/>
          <w:bCs w:val="0"/>
        </w:rPr>
        <w:t xml:space="preserve"> </w:t>
      </w:r>
      <w:r w:rsidR="00046600">
        <w:rPr>
          <w:b/>
          <w:bCs w:val="0"/>
        </w:rPr>
        <w:t xml:space="preserve">One-Time and Annual </w:t>
      </w:r>
      <w:r w:rsidRPr="00B37562">
        <w:rPr>
          <w:b/>
          <w:bCs w:val="0"/>
        </w:rPr>
        <w:t xml:space="preserve">Costs to </w:t>
      </w:r>
      <w:r w:rsidR="00541209">
        <w:rPr>
          <w:b/>
          <w:bCs w:val="0"/>
        </w:rPr>
        <w:t xml:space="preserve">Future </w:t>
      </w:r>
      <w:r w:rsidR="00607603">
        <w:rPr>
          <w:b/>
          <w:bCs w:val="0"/>
        </w:rPr>
        <w:t>Nuclear Facilit</w:t>
      </w:r>
      <w:r w:rsidR="00046600">
        <w:rPr>
          <w:b/>
          <w:bCs w:val="0"/>
        </w:rPr>
        <w:t>ies</w:t>
      </w:r>
      <w:bookmarkEnd w:id="131"/>
      <w:bookmarkEnd w:id="132"/>
    </w:p>
    <w:tbl>
      <w:tblPr>
        <w:tblStyle w:val="TableGrid"/>
        <w:tblW w:w="0" w:type="auto"/>
        <w:tblLook w:val="04A0" w:firstRow="1" w:lastRow="0" w:firstColumn="1" w:lastColumn="0" w:noHBand="0" w:noVBand="1"/>
      </w:tblPr>
      <w:tblGrid>
        <w:gridCol w:w="3116"/>
        <w:gridCol w:w="3117"/>
        <w:gridCol w:w="3117"/>
      </w:tblGrid>
      <w:tr w:rsidR="0012240A" w:rsidTr="00EB1037" w14:paraId="66906736" w14:textId="77777777">
        <w:tc>
          <w:tcPr>
            <w:tcW w:w="3116" w:type="dxa"/>
            <w:vMerge w:val="restart"/>
            <w:vAlign w:val="center"/>
          </w:tcPr>
          <w:p w:rsidRPr="003A0D5E" w:rsidR="0012240A" w:rsidP="00A60C27" w:rsidRDefault="0012240A" w14:paraId="0B030E63" w14:textId="606BFA66">
            <w:pPr>
              <w:keepNext/>
              <w:keepLines/>
              <w:jc w:val="center"/>
              <w:rPr>
                <w:b/>
              </w:rPr>
            </w:pPr>
            <w:r w:rsidRPr="003A0D5E">
              <w:rPr>
                <w:rFonts w:cs="Arial"/>
                <w:b/>
              </w:rPr>
              <w:t>Facility Type</w:t>
            </w:r>
          </w:p>
        </w:tc>
        <w:tc>
          <w:tcPr>
            <w:tcW w:w="6234" w:type="dxa"/>
            <w:gridSpan w:val="2"/>
            <w:vAlign w:val="center"/>
          </w:tcPr>
          <w:p w:rsidR="0012240A" w:rsidP="00A60C27" w:rsidRDefault="0012240A" w14:paraId="65B186E2" w14:textId="3B6B9C95">
            <w:pPr>
              <w:keepNext/>
              <w:keepLines/>
              <w:jc w:val="center"/>
            </w:pPr>
            <w:r w:rsidRPr="00DC6755">
              <w:rPr>
                <w:rFonts w:cs="Arial"/>
                <w:b/>
                <w:bCs/>
              </w:rPr>
              <w:t xml:space="preserve">Projected Benefits and (Costs) by </w:t>
            </w:r>
            <w:r w:rsidR="00D16A9B">
              <w:rPr>
                <w:rFonts w:cs="Arial"/>
                <w:b/>
                <w:bCs/>
              </w:rPr>
              <w:t>Facility</w:t>
            </w:r>
            <w:r w:rsidR="00506022">
              <w:rPr>
                <w:rFonts w:cs="Arial"/>
                <w:b/>
                <w:bCs/>
              </w:rPr>
              <w:t xml:space="preserve"> </w:t>
            </w:r>
            <w:r w:rsidRPr="00DC6755">
              <w:rPr>
                <w:rFonts w:cs="Arial"/>
                <w:b/>
                <w:bCs/>
              </w:rPr>
              <w:t>Type</w:t>
            </w:r>
          </w:p>
        </w:tc>
      </w:tr>
      <w:tr w:rsidR="0012240A" w:rsidTr="00EB1037" w14:paraId="3489CCBA" w14:textId="77777777">
        <w:tc>
          <w:tcPr>
            <w:tcW w:w="3116" w:type="dxa"/>
            <w:vMerge/>
            <w:vAlign w:val="center"/>
          </w:tcPr>
          <w:p w:rsidR="0012240A" w:rsidP="00A60C27" w:rsidRDefault="0012240A" w14:paraId="4CD47E06" w14:textId="77777777">
            <w:pPr>
              <w:keepNext/>
              <w:keepLines/>
              <w:jc w:val="center"/>
            </w:pPr>
          </w:p>
        </w:tc>
        <w:tc>
          <w:tcPr>
            <w:tcW w:w="3117" w:type="dxa"/>
            <w:vAlign w:val="center"/>
          </w:tcPr>
          <w:p w:rsidR="0012240A" w:rsidP="00A60C27" w:rsidRDefault="0012240A" w14:paraId="0EF38C3E" w14:textId="6ED1B10D">
            <w:pPr>
              <w:keepNext/>
              <w:keepLines/>
              <w:jc w:val="center"/>
            </w:pPr>
            <w:r w:rsidRPr="00125D89">
              <w:rPr>
                <w:rFonts w:cs="Arial"/>
              </w:rPr>
              <w:t>One-Time Benefit</w:t>
            </w:r>
            <w:r>
              <w:rPr>
                <w:rFonts w:cs="Arial"/>
              </w:rPr>
              <w:t xml:space="preserve"> </w:t>
            </w:r>
            <w:r w:rsidRPr="00125D89">
              <w:rPr>
                <w:rFonts w:cs="Arial"/>
              </w:rPr>
              <w:t>(Cost)</w:t>
            </w:r>
          </w:p>
        </w:tc>
        <w:tc>
          <w:tcPr>
            <w:tcW w:w="3117" w:type="dxa"/>
            <w:vAlign w:val="center"/>
          </w:tcPr>
          <w:p w:rsidR="0012240A" w:rsidP="00A60C27" w:rsidRDefault="0012240A" w14:paraId="3057D4C1" w14:textId="7AF7C92F">
            <w:pPr>
              <w:keepNext/>
              <w:keepLines/>
              <w:jc w:val="center"/>
            </w:pPr>
            <w:r w:rsidRPr="00125D89">
              <w:rPr>
                <w:rFonts w:cs="Arial"/>
              </w:rPr>
              <w:t>Annual Benefit</w:t>
            </w:r>
            <w:r>
              <w:rPr>
                <w:rFonts w:cs="Arial"/>
              </w:rPr>
              <w:t xml:space="preserve"> </w:t>
            </w:r>
            <w:r w:rsidRPr="00125D89">
              <w:rPr>
                <w:rFonts w:cs="Arial"/>
              </w:rPr>
              <w:t>(Cost)</w:t>
            </w:r>
            <w:r w:rsidRPr="00F06E36" w:rsidR="00F06E36">
              <w:rPr>
                <w:rFonts w:cs="Arial"/>
                <w:vertAlign w:val="superscript"/>
              </w:rPr>
              <w:t>a</w:t>
            </w:r>
          </w:p>
        </w:tc>
      </w:tr>
      <w:tr w:rsidR="00850E69" w:rsidTr="00850E69" w14:paraId="02D27B8F" w14:textId="77777777">
        <w:tc>
          <w:tcPr>
            <w:tcW w:w="3116" w:type="dxa"/>
            <w:vAlign w:val="center"/>
          </w:tcPr>
          <w:p w:rsidR="00850E69" w:rsidP="00A60C27" w:rsidRDefault="00850E69" w14:paraId="257FC288" w14:textId="0EEE0F75">
            <w:pPr>
              <w:keepNext/>
              <w:keepLines/>
            </w:pPr>
            <w:r w:rsidRPr="00125D89">
              <w:t>Microreactor</w:t>
            </w:r>
            <w:r w:rsidRPr="00791166" w:rsidR="00F06E36">
              <w:rPr>
                <w:vertAlign w:val="superscript"/>
              </w:rPr>
              <w:t>b</w:t>
            </w:r>
          </w:p>
        </w:tc>
        <w:tc>
          <w:tcPr>
            <w:tcW w:w="3117" w:type="dxa"/>
            <w:vAlign w:val="center"/>
          </w:tcPr>
          <w:p w:rsidR="00850E69" w:rsidP="00A60C27" w:rsidRDefault="00850E69" w14:paraId="31568F68" w14:textId="3AD1C520">
            <w:pPr>
              <w:keepNext/>
              <w:keepLines/>
              <w:jc w:val="center"/>
            </w:pPr>
            <w:r w:rsidRPr="00125D89">
              <w:rPr>
                <w:rFonts w:cs="Arial"/>
              </w:rPr>
              <w:t>Negligible</w:t>
            </w:r>
          </w:p>
        </w:tc>
        <w:tc>
          <w:tcPr>
            <w:tcW w:w="3117" w:type="dxa"/>
          </w:tcPr>
          <w:p w:rsidR="00850E69" w:rsidP="00A60C27" w:rsidRDefault="00850E69" w14:paraId="60C864DE" w14:textId="25C58246">
            <w:pPr>
              <w:keepNext/>
              <w:keepLines/>
              <w:jc w:val="center"/>
            </w:pPr>
            <w:r w:rsidRPr="00335F8A">
              <w:t>$</w:t>
            </w:r>
            <w:r w:rsidR="00F43682">
              <w:t>13</w:t>
            </w:r>
          </w:p>
        </w:tc>
      </w:tr>
      <w:tr w:rsidR="00850E69" w:rsidTr="00850E69" w14:paraId="05CC55B3" w14:textId="77777777">
        <w:tc>
          <w:tcPr>
            <w:tcW w:w="3116" w:type="dxa"/>
            <w:vAlign w:val="center"/>
          </w:tcPr>
          <w:p w:rsidR="00850E69" w:rsidP="00A60C27" w:rsidRDefault="00850E69" w14:paraId="5FDAC76F" w14:textId="12D88B76">
            <w:pPr>
              <w:keepNext/>
              <w:keepLines/>
            </w:pPr>
            <w:r w:rsidRPr="00125D89">
              <w:t>Small reactor</w:t>
            </w:r>
            <w:r w:rsidRPr="00791166" w:rsidR="00514451">
              <w:rPr>
                <w:vertAlign w:val="superscript"/>
              </w:rPr>
              <w:t>b</w:t>
            </w:r>
          </w:p>
        </w:tc>
        <w:tc>
          <w:tcPr>
            <w:tcW w:w="3117" w:type="dxa"/>
            <w:vAlign w:val="center"/>
          </w:tcPr>
          <w:p w:rsidR="00850E69" w:rsidP="00A60C27" w:rsidRDefault="00850E69" w14:paraId="6721C6CA" w14:textId="1888F521">
            <w:pPr>
              <w:keepNext/>
              <w:keepLines/>
              <w:jc w:val="center"/>
            </w:pPr>
            <w:r w:rsidRPr="00125D89">
              <w:rPr>
                <w:rFonts w:cs="Arial"/>
              </w:rPr>
              <w:t>Negligible</w:t>
            </w:r>
          </w:p>
        </w:tc>
        <w:tc>
          <w:tcPr>
            <w:tcW w:w="3117" w:type="dxa"/>
          </w:tcPr>
          <w:p w:rsidR="00850E69" w:rsidP="00A60C27" w:rsidRDefault="00850E69" w14:paraId="15D41F95" w14:textId="0896A0C1">
            <w:pPr>
              <w:keepNext/>
              <w:keepLines/>
              <w:jc w:val="center"/>
            </w:pPr>
            <w:r w:rsidRPr="00335F8A">
              <w:t>$</w:t>
            </w:r>
            <w:r w:rsidR="00F43682">
              <w:t>72</w:t>
            </w:r>
          </w:p>
        </w:tc>
      </w:tr>
      <w:tr w:rsidR="00850E69" w:rsidTr="00850E69" w14:paraId="0BFE16DB" w14:textId="77777777">
        <w:tc>
          <w:tcPr>
            <w:tcW w:w="3116" w:type="dxa"/>
            <w:vAlign w:val="center"/>
          </w:tcPr>
          <w:p w:rsidR="00850E69" w:rsidP="00A60C27" w:rsidRDefault="00850E69" w14:paraId="0B005AD8" w14:textId="186AF354">
            <w:pPr>
              <w:keepNext/>
              <w:keepLines/>
            </w:pPr>
            <w:r w:rsidRPr="00125D89">
              <w:t>Medium reactor</w:t>
            </w:r>
            <w:r w:rsidRPr="00791166" w:rsidR="00514451">
              <w:rPr>
                <w:vertAlign w:val="superscript"/>
              </w:rPr>
              <w:t>b</w:t>
            </w:r>
          </w:p>
        </w:tc>
        <w:tc>
          <w:tcPr>
            <w:tcW w:w="3117" w:type="dxa"/>
            <w:vAlign w:val="center"/>
          </w:tcPr>
          <w:p w:rsidR="00850E69" w:rsidP="00A60C27" w:rsidRDefault="00850E69" w14:paraId="27A9C765" w14:textId="39C27CAA">
            <w:pPr>
              <w:keepNext/>
              <w:keepLines/>
              <w:jc w:val="center"/>
            </w:pPr>
            <w:r w:rsidRPr="00125D89">
              <w:rPr>
                <w:rFonts w:cs="Arial"/>
              </w:rPr>
              <w:t>Negligible</w:t>
            </w:r>
          </w:p>
        </w:tc>
        <w:tc>
          <w:tcPr>
            <w:tcW w:w="3117" w:type="dxa"/>
          </w:tcPr>
          <w:p w:rsidR="00850E69" w:rsidP="00A60C27" w:rsidRDefault="00850E69" w14:paraId="375326A3" w14:textId="13BAD357">
            <w:pPr>
              <w:keepNext/>
              <w:keepLines/>
              <w:jc w:val="center"/>
            </w:pPr>
            <w:r w:rsidRPr="00335F8A">
              <w:t>$</w:t>
            </w:r>
            <w:r w:rsidR="00F43682">
              <w:t>163</w:t>
            </w:r>
          </w:p>
        </w:tc>
      </w:tr>
      <w:tr w:rsidR="00850E69" w:rsidTr="00772656" w14:paraId="3D1051FC" w14:textId="77777777">
        <w:tc>
          <w:tcPr>
            <w:tcW w:w="3116" w:type="dxa"/>
            <w:vAlign w:val="center"/>
          </w:tcPr>
          <w:p w:rsidR="00850E69" w:rsidP="00A60C27" w:rsidRDefault="00850E69" w14:paraId="2DBF88A8" w14:textId="753549DD">
            <w:pPr>
              <w:keepNext/>
              <w:keepLines/>
            </w:pPr>
            <w:r w:rsidRPr="00125D89">
              <w:t>Large reactor</w:t>
            </w:r>
          </w:p>
        </w:tc>
        <w:tc>
          <w:tcPr>
            <w:tcW w:w="3117" w:type="dxa"/>
            <w:vAlign w:val="center"/>
          </w:tcPr>
          <w:p w:rsidR="00850E69" w:rsidP="00A60C27" w:rsidRDefault="00850E69" w14:paraId="27EA583E" w14:textId="185FA7C3">
            <w:pPr>
              <w:keepNext/>
              <w:keepLines/>
              <w:jc w:val="center"/>
            </w:pPr>
            <w:r w:rsidRPr="00125D89">
              <w:rPr>
                <w:rFonts w:cs="Arial"/>
              </w:rPr>
              <w:t>Negligible</w:t>
            </w:r>
          </w:p>
        </w:tc>
        <w:tc>
          <w:tcPr>
            <w:tcW w:w="3117" w:type="dxa"/>
            <w:shd w:val="clear" w:color="auto" w:fill="auto"/>
          </w:tcPr>
          <w:p w:rsidR="00850E69" w:rsidP="00A60C27" w:rsidRDefault="00850E69" w14:paraId="644819BD" w14:textId="7FA4BD59">
            <w:pPr>
              <w:keepNext/>
              <w:keepLines/>
              <w:jc w:val="center"/>
            </w:pPr>
            <w:r w:rsidRPr="00335F8A">
              <w:t>$</w:t>
            </w:r>
            <w:r w:rsidR="00F43682">
              <w:t>808</w:t>
            </w:r>
          </w:p>
        </w:tc>
      </w:tr>
      <w:tr w:rsidR="00850E69" w:rsidTr="00772656" w14:paraId="272D5D61" w14:textId="77777777">
        <w:tc>
          <w:tcPr>
            <w:tcW w:w="3116" w:type="dxa"/>
            <w:vAlign w:val="center"/>
          </w:tcPr>
          <w:p w:rsidR="00850E69" w:rsidP="00A60C27" w:rsidRDefault="00204F27" w14:paraId="362600B9" w14:textId="5E46E366">
            <w:pPr>
              <w:keepNext/>
              <w:keepLines/>
            </w:pPr>
            <w:r w:rsidRPr="00BD55B5">
              <w:t xml:space="preserve">Category I </w:t>
            </w:r>
            <w:r>
              <w:t>s</w:t>
            </w:r>
            <w:r w:rsidR="004F4B95">
              <w:t>pecial nuclear material licensee</w:t>
            </w:r>
            <w:r w:rsidR="00BC6388">
              <w:t xml:space="preserve"> facility</w:t>
            </w:r>
          </w:p>
        </w:tc>
        <w:tc>
          <w:tcPr>
            <w:tcW w:w="3117" w:type="dxa"/>
            <w:vAlign w:val="center"/>
          </w:tcPr>
          <w:p w:rsidR="00850E69" w:rsidP="00A60C27" w:rsidRDefault="00850E69" w14:paraId="6AF67A51" w14:textId="0D8FC6CA">
            <w:pPr>
              <w:keepNext/>
              <w:keepLines/>
              <w:jc w:val="center"/>
            </w:pPr>
            <w:r w:rsidRPr="00125D89">
              <w:rPr>
                <w:rFonts w:cs="Arial"/>
              </w:rPr>
              <w:t>Negligible</w:t>
            </w:r>
          </w:p>
        </w:tc>
        <w:tc>
          <w:tcPr>
            <w:tcW w:w="3117" w:type="dxa"/>
            <w:shd w:val="clear" w:color="auto" w:fill="auto"/>
          </w:tcPr>
          <w:p w:rsidR="00850E69" w:rsidP="00A60C27" w:rsidRDefault="00850E69" w14:paraId="0CBF6FB6" w14:textId="1515AC2F">
            <w:pPr>
              <w:keepNext/>
              <w:keepLines/>
              <w:jc w:val="center"/>
            </w:pPr>
            <w:r w:rsidRPr="00335F8A">
              <w:t>$</w:t>
            </w:r>
            <w:r w:rsidR="00772656">
              <w:t>808</w:t>
            </w:r>
          </w:p>
        </w:tc>
      </w:tr>
    </w:tbl>
    <w:p w:rsidRPr="00FE08D6" w:rsidR="005E5AF1" w:rsidP="00A60C27" w:rsidRDefault="005E5AF1" w14:paraId="291004FA" w14:textId="5AE49045">
      <w:pPr>
        <w:keepNext/>
        <w:keepLines/>
        <w:autoSpaceDE/>
        <w:autoSpaceDN/>
        <w:adjustRightInd/>
        <w:spacing w:before="60"/>
        <w:ind w:left="360" w:hanging="360"/>
        <w:rPr>
          <w:sz w:val="18"/>
          <w:szCs w:val="18"/>
        </w:rPr>
      </w:pPr>
      <w:proofErr w:type="spellStart"/>
      <w:proofErr w:type="gramStart"/>
      <w:r w:rsidRPr="3703EF74">
        <w:rPr>
          <w:sz w:val="18"/>
          <w:szCs w:val="18"/>
          <w:vertAlign w:val="superscript"/>
        </w:rPr>
        <w:t>a</w:t>
      </w:r>
      <w:proofErr w:type="spellEnd"/>
      <w:proofErr w:type="gramEnd"/>
      <w:r>
        <w:tab/>
      </w:r>
      <w:r w:rsidRPr="3703EF74" w:rsidR="00A15603">
        <w:rPr>
          <w:sz w:val="18"/>
          <w:szCs w:val="18"/>
        </w:rPr>
        <w:t>Annual</w:t>
      </w:r>
      <w:r w:rsidRPr="3703EF74">
        <w:rPr>
          <w:sz w:val="18"/>
          <w:szCs w:val="18"/>
        </w:rPr>
        <w:t xml:space="preserve"> cost per </w:t>
      </w:r>
      <w:r w:rsidRPr="3703EF74" w:rsidR="008A45B2">
        <w:rPr>
          <w:sz w:val="18"/>
          <w:szCs w:val="18"/>
        </w:rPr>
        <w:t>f</w:t>
      </w:r>
      <w:r w:rsidRPr="3703EF74" w:rsidR="00331FD7">
        <w:rPr>
          <w:sz w:val="18"/>
          <w:szCs w:val="18"/>
        </w:rPr>
        <w:t xml:space="preserve">acility type is calculated by dividing the </w:t>
      </w:r>
      <w:r w:rsidRPr="3703EF74" w:rsidR="00D16A9B">
        <w:rPr>
          <w:sz w:val="18"/>
          <w:szCs w:val="18"/>
        </w:rPr>
        <w:t xml:space="preserve">worker </w:t>
      </w:r>
      <w:r w:rsidRPr="3703EF74" w:rsidR="00E82080">
        <w:rPr>
          <w:sz w:val="18"/>
          <w:szCs w:val="18"/>
        </w:rPr>
        <w:t>population</w:t>
      </w:r>
      <w:r w:rsidRPr="3703EF74" w:rsidR="00CE07A4">
        <w:rPr>
          <w:sz w:val="18"/>
          <w:szCs w:val="18"/>
        </w:rPr>
        <w:t xml:space="preserve"> </w:t>
      </w:r>
      <w:r w:rsidRPr="3703EF74" w:rsidR="00494C57">
        <w:rPr>
          <w:sz w:val="18"/>
          <w:szCs w:val="18"/>
        </w:rPr>
        <w:t>per site</w:t>
      </w:r>
      <w:r w:rsidRPr="3703EF74" w:rsidR="006A5D8E">
        <w:rPr>
          <w:sz w:val="18"/>
          <w:szCs w:val="18"/>
        </w:rPr>
        <w:t xml:space="preserve"> </w:t>
      </w:r>
      <w:r w:rsidR="006A5D8E">
        <w:rPr>
          <w:rFonts w:cs="Arial"/>
          <w:iCs/>
          <w:sz w:val="18"/>
          <w:szCs w:val="18"/>
        </w:rPr>
        <w:t>for each type of facility</w:t>
      </w:r>
      <w:r w:rsidRPr="000D3B34" w:rsidR="00494C57">
        <w:rPr>
          <w:rFonts w:cs="Arial"/>
          <w:iCs/>
          <w:sz w:val="18"/>
          <w:szCs w:val="18"/>
        </w:rPr>
        <w:t xml:space="preserve"> </w:t>
      </w:r>
      <w:r w:rsidRPr="3703EF74" w:rsidR="00CE07A4">
        <w:rPr>
          <w:sz w:val="18"/>
          <w:szCs w:val="18"/>
        </w:rPr>
        <w:t xml:space="preserve">by the </w:t>
      </w:r>
      <w:r w:rsidRPr="3703EF74" w:rsidR="009E7810">
        <w:rPr>
          <w:sz w:val="18"/>
          <w:szCs w:val="18"/>
        </w:rPr>
        <w:t xml:space="preserve">average </w:t>
      </w:r>
      <w:r w:rsidRPr="3703EF74" w:rsidR="00CE07A4">
        <w:rPr>
          <w:sz w:val="18"/>
          <w:szCs w:val="18"/>
        </w:rPr>
        <w:t xml:space="preserve">number of </w:t>
      </w:r>
      <w:r w:rsidRPr="3703EF74" w:rsidR="0078125E">
        <w:rPr>
          <w:sz w:val="18"/>
          <w:szCs w:val="18"/>
        </w:rPr>
        <w:t xml:space="preserve">workers subject to </w:t>
      </w:r>
      <w:r w:rsidRPr="3703EF74" w:rsidR="00E82080">
        <w:rPr>
          <w:sz w:val="18"/>
          <w:szCs w:val="18"/>
        </w:rPr>
        <w:t xml:space="preserve">the </w:t>
      </w:r>
      <w:r w:rsidR="006A5D8E">
        <w:rPr>
          <w:rFonts w:cs="Arial"/>
          <w:iCs/>
          <w:sz w:val="18"/>
          <w:szCs w:val="18"/>
        </w:rPr>
        <w:t>10 CFR </w:t>
      </w:r>
      <w:r w:rsidRPr="3703EF74" w:rsidR="00E82080">
        <w:rPr>
          <w:sz w:val="18"/>
          <w:szCs w:val="18"/>
        </w:rPr>
        <w:t>Part 26 FFD program per site</w:t>
      </w:r>
      <w:r w:rsidRPr="3703EF74" w:rsidR="00A063DB">
        <w:rPr>
          <w:sz w:val="18"/>
          <w:szCs w:val="18"/>
        </w:rPr>
        <w:t xml:space="preserve"> </w:t>
      </w:r>
      <w:r w:rsidRPr="3703EF74" w:rsidR="00A66BDB">
        <w:rPr>
          <w:sz w:val="18"/>
          <w:szCs w:val="18"/>
        </w:rPr>
        <w:t xml:space="preserve">and then </w:t>
      </w:r>
      <w:r w:rsidRPr="3703EF74" w:rsidR="0053730A">
        <w:rPr>
          <w:sz w:val="18"/>
          <w:szCs w:val="18"/>
        </w:rPr>
        <w:t>multiplying</w:t>
      </w:r>
      <w:r w:rsidRPr="3703EF74" w:rsidR="00A063DB">
        <w:rPr>
          <w:sz w:val="18"/>
          <w:szCs w:val="18"/>
        </w:rPr>
        <w:t xml:space="preserve"> by the industry </w:t>
      </w:r>
      <w:r w:rsidRPr="3703EF74" w:rsidR="00EE4CD4">
        <w:rPr>
          <w:sz w:val="18"/>
          <w:szCs w:val="18"/>
        </w:rPr>
        <w:t xml:space="preserve">average </w:t>
      </w:r>
      <w:r w:rsidRPr="3703EF74" w:rsidR="00A063DB">
        <w:rPr>
          <w:sz w:val="18"/>
          <w:szCs w:val="18"/>
        </w:rPr>
        <w:t xml:space="preserve">annual site </w:t>
      </w:r>
      <w:r w:rsidRPr="3703EF74" w:rsidR="00EE4CD4">
        <w:rPr>
          <w:sz w:val="18"/>
          <w:szCs w:val="18"/>
        </w:rPr>
        <w:t>cost</w:t>
      </w:r>
      <w:r w:rsidRPr="3703EF74" w:rsidR="041673FA">
        <w:rPr>
          <w:sz w:val="18"/>
          <w:szCs w:val="18"/>
        </w:rPr>
        <w:t xml:space="preserve"> or benefit</w:t>
      </w:r>
      <w:r w:rsidRPr="3703EF74">
        <w:rPr>
          <w:sz w:val="18"/>
          <w:szCs w:val="18"/>
        </w:rPr>
        <w:t>.</w:t>
      </w:r>
    </w:p>
    <w:p w:rsidRPr="00FE08D6" w:rsidR="00832F97" w:rsidP="00A60C27" w:rsidRDefault="005E5AF1" w14:paraId="1ADE1F96" w14:textId="7F85F482">
      <w:pPr>
        <w:keepNext/>
        <w:keepLines/>
        <w:autoSpaceDE/>
        <w:autoSpaceDN/>
        <w:adjustRightInd/>
        <w:ind w:left="360" w:hanging="360"/>
        <w:rPr>
          <w:sz w:val="18"/>
        </w:rPr>
      </w:pPr>
      <w:r w:rsidRPr="00FE08D6">
        <w:rPr>
          <w:sz w:val="18"/>
          <w:vertAlign w:val="superscript"/>
        </w:rPr>
        <w:t>b</w:t>
      </w:r>
      <w:r w:rsidRPr="00FE08D6">
        <w:rPr>
          <w:sz w:val="18"/>
        </w:rPr>
        <w:tab/>
      </w:r>
      <w:r w:rsidRPr="00FE08D6" w:rsidR="00A361A6">
        <w:rPr>
          <w:sz w:val="18"/>
        </w:rPr>
        <w:t>The NRC staff</w:t>
      </w:r>
      <w:r w:rsidRPr="00FE08D6" w:rsidR="00832F97">
        <w:rPr>
          <w:sz w:val="18"/>
        </w:rPr>
        <w:t xml:space="preserve"> assumes </w:t>
      </w:r>
      <w:r w:rsidRPr="00FE08D6" w:rsidR="006D6EEA">
        <w:rPr>
          <w:sz w:val="18"/>
        </w:rPr>
        <w:t xml:space="preserve">that </w:t>
      </w:r>
      <w:r w:rsidRPr="000D3B34" w:rsidR="006D6EEA">
        <w:rPr>
          <w:rFonts w:cs="Arial"/>
          <w:iCs/>
          <w:sz w:val="18"/>
          <w:szCs w:val="18"/>
        </w:rPr>
        <w:t>microreactors</w:t>
      </w:r>
      <w:r w:rsidR="006A7AD5">
        <w:rPr>
          <w:rFonts w:cs="Arial"/>
          <w:iCs/>
          <w:sz w:val="18"/>
          <w:szCs w:val="18"/>
        </w:rPr>
        <w:t xml:space="preserve"> and</w:t>
      </w:r>
      <w:r w:rsidRPr="00FE08D6" w:rsidR="006D6EEA">
        <w:rPr>
          <w:sz w:val="18"/>
        </w:rPr>
        <w:t xml:space="preserve"> small</w:t>
      </w:r>
      <w:r w:rsidR="00D54C06">
        <w:rPr>
          <w:sz w:val="18"/>
        </w:rPr>
        <w:t xml:space="preserve"> and medium</w:t>
      </w:r>
      <w:r w:rsidRPr="00FE08D6" w:rsidR="006D6EEA">
        <w:rPr>
          <w:sz w:val="18"/>
        </w:rPr>
        <w:t xml:space="preserve"> reactors would proportionally benefit from averted training costs as a result of </w:t>
      </w:r>
      <w:r w:rsidR="006D6EEA">
        <w:rPr>
          <w:rFonts w:cs="Arial"/>
          <w:i/>
          <w:sz w:val="18"/>
          <w:szCs w:val="18"/>
        </w:rPr>
        <w:t>pre-access</w:t>
      </w:r>
      <w:r w:rsidRPr="00FE08D6" w:rsidR="006D6EEA">
        <w:rPr>
          <w:sz w:val="18"/>
        </w:rPr>
        <w:t xml:space="preserve"> testing</w:t>
      </w:r>
      <w:r w:rsidRPr="00FE08D6" w:rsidR="005B7A5A">
        <w:rPr>
          <w:sz w:val="18"/>
        </w:rPr>
        <w:t>.</w:t>
      </w:r>
    </w:p>
    <w:p w:rsidRPr="00FE08D6" w:rsidR="005E5AF1" w:rsidP="00A60C27" w:rsidRDefault="00F87359" w14:paraId="669BABB5" w14:textId="4C49BB1E">
      <w:pPr>
        <w:keepNext/>
        <w:keepLines/>
        <w:autoSpaceDE/>
        <w:autoSpaceDN/>
        <w:adjustRightInd/>
        <w:ind w:left="360" w:hanging="360"/>
        <w:rPr>
          <w:sz w:val="18"/>
        </w:rPr>
      </w:pPr>
      <w:r>
        <w:rPr>
          <w:sz w:val="18"/>
        </w:rPr>
        <w:t>Note:  Table r</w:t>
      </w:r>
      <w:r w:rsidRPr="00FE08D6" w:rsidR="005E5AF1">
        <w:rPr>
          <w:sz w:val="18"/>
        </w:rPr>
        <w:t xml:space="preserve">esults </w:t>
      </w:r>
      <w:r>
        <w:rPr>
          <w:sz w:val="18"/>
        </w:rPr>
        <w:t xml:space="preserve">are </w:t>
      </w:r>
      <w:r w:rsidRPr="00FE08D6" w:rsidR="005E5AF1">
        <w:rPr>
          <w:sz w:val="18"/>
        </w:rPr>
        <w:t>stated in 2022 dollars.</w:t>
      </w:r>
    </w:p>
    <w:p w:rsidR="00D520BD" w:rsidP="00A939D9" w:rsidRDefault="00D520BD" w14:paraId="5E5287D2" w14:textId="0D0B5B3B">
      <w:pPr>
        <w:tabs>
          <w:tab w:val="left" w:pos="450"/>
        </w:tabs>
        <w:autoSpaceDE/>
        <w:autoSpaceDN/>
        <w:adjustRightInd/>
        <w:spacing w:before="220"/>
        <w:rPr>
          <w:rFonts w:cs="Arial"/>
          <w:sz w:val="22"/>
          <w:szCs w:val="22"/>
        </w:rPr>
      </w:pPr>
      <w:r>
        <w:rPr>
          <w:rFonts w:cs="Arial"/>
          <w:sz w:val="22"/>
          <w:szCs w:val="22"/>
        </w:rPr>
        <w:t xml:space="preserve">Sections 5.1.1 through 5.1.6 </w:t>
      </w:r>
      <w:r w:rsidRPr="005A5966">
        <w:rPr>
          <w:rFonts w:cs="Arial"/>
          <w:sz w:val="22"/>
          <w:szCs w:val="22"/>
        </w:rPr>
        <w:t xml:space="preserve">discuss the </w:t>
      </w:r>
      <w:r>
        <w:rPr>
          <w:rFonts w:cs="Arial"/>
          <w:sz w:val="22"/>
          <w:szCs w:val="22"/>
        </w:rPr>
        <w:t>quantified one-time costs and annual costs</w:t>
      </w:r>
      <w:r w:rsidRPr="005A5966">
        <w:rPr>
          <w:rFonts w:cs="Arial"/>
          <w:sz w:val="22"/>
          <w:szCs w:val="22"/>
        </w:rPr>
        <w:t xml:space="preserve"> associated with each </w:t>
      </w:r>
      <w:r>
        <w:rPr>
          <w:rFonts w:cs="Arial"/>
          <w:sz w:val="22"/>
          <w:szCs w:val="22"/>
        </w:rPr>
        <w:t xml:space="preserve">of the </w:t>
      </w:r>
      <w:r w:rsidRPr="005A5966">
        <w:rPr>
          <w:rFonts w:cs="Arial"/>
          <w:sz w:val="22"/>
          <w:szCs w:val="22"/>
        </w:rPr>
        <w:t>regulatory initiative</w:t>
      </w:r>
      <w:r>
        <w:rPr>
          <w:rFonts w:cs="Arial"/>
          <w:sz w:val="22"/>
          <w:szCs w:val="22"/>
        </w:rPr>
        <w:t>s</w:t>
      </w:r>
      <w:r w:rsidR="00A3487E">
        <w:rPr>
          <w:rFonts w:cs="Arial"/>
          <w:sz w:val="22"/>
          <w:szCs w:val="22"/>
        </w:rPr>
        <w:t>, which can be quantified</w:t>
      </w:r>
      <w:r w:rsidRPr="005A5966">
        <w:rPr>
          <w:rFonts w:cs="Arial"/>
          <w:sz w:val="22"/>
          <w:szCs w:val="22"/>
        </w:rPr>
        <w:t xml:space="preserve">.  </w:t>
      </w:r>
      <w:r>
        <w:rPr>
          <w:rFonts w:cs="Arial"/>
          <w:sz w:val="22"/>
          <w:szCs w:val="22"/>
        </w:rPr>
        <w:t>Sections 5.1.7 through 5.1.10 present further discussion on qualitatively evaluated elements in the analysis.</w:t>
      </w:r>
      <w:r w:rsidRPr="00A67759">
        <w:rPr>
          <w:rFonts w:cs="Arial"/>
          <w:sz w:val="22"/>
          <w:szCs w:val="22"/>
        </w:rPr>
        <w:t xml:space="preserve"> </w:t>
      </w:r>
      <w:r>
        <w:rPr>
          <w:rFonts w:cs="Arial"/>
          <w:sz w:val="22"/>
          <w:szCs w:val="22"/>
        </w:rPr>
        <w:t xml:space="preserve"> </w:t>
      </w:r>
      <w:r w:rsidRPr="005A5966">
        <w:rPr>
          <w:rFonts w:cs="Arial"/>
          <w:sz w:val="22"/>
          <w:szCs w:val="22"/>
        </w:rPr>
        <w:t>Appendices</w:t>
      </w:r>
      <w:r>
        <w:rPr>
          <w:rFonts w:cs="Arial"/>
          <w:sz w:val="22"/>
          <w:szCs w:val="22"/>
        </w:rPr>
        <w:t> </w:t>
      </w:r>
      <w:r w:rsidRPr="005A5966">
        <w:rPr>
          <w:rFonts w:cs="Arial"/>
          <w:sz w:val="22"/>
          <w:szCs w:val="22"/>
        </w:rPr>
        <w:t>B</w:t>
      </w:r>
      <w:r w:rsidR="00646A79">
        <w:rPr>
          <w:rFonts w:cs="Arial"/>
          <w:sz w:val="22"/>
          <w:szCs w:val="22"/>
        </w:rPr>
        <w:t>,</w:t>
      </w:r>
      <w:r w:rsidRPr="005A5966">
        <w:rPr>
          <w:rFonts w:cs="Arial"/>
          <w:sz w:val="22"/>
          <w:szCs w:val="22"/>
        </w:rPr>
        <w:t xml:space="preserve"> C</w:t>
      </w:r>
      <w:r w:rsidR="00646A79">
        <w:rPr>
          <w:rFonts w:cs="Arial"/>
          <w:sz w:val="22"/>
          <w:szCs w:val="22"/>
        </w:rPr>
        <w:t>,</w:t>
      </w:r>
      <w:r>
        <w:rPr>
          <w:rFonts w:cs="Arial"/>
          <w:sz w:val="22"/>
          <w:szCs w:val="22"/>
        </w:rPr>
        <w:t xml:space="preserve"> and D</w:t>
      </w:r>
      <w:r w:rsidRPr="005A5966">
        <w:rPr>
          <w:rFonts w:cs="Arial"/>
          <w:sz w:val="22"/>
          <w:szCs w:val="22"/>
        </w:rPr>
        <w:t xml:space="preserve"> provide </w:t>
      </w:r>
      <w:r>
        <w:rPr>
          <w:rFonts w:cs="Arial"/>
          <w:sz w:val="22"/>
          <w:szCs w:val="22"/>
        </w:rPr>
        <w:t xml:space="preserve">the specific inputs and calculations </w:t>
      </w:r>
      <w:r w:rsidR="00E41157">
        <w:rPr>
          <w:rFonts w:cs="Arial"/>
          <w:sz w:val="22"/>
          <w:szCs w:val="22"/>
        </w:rPr>
        <w:t xml:space="preserve">used in the development of </w:t>
      </w:r>
      <w:r>
        <w:rPr>
          <w:rFonts w:cs="Arial"/>
          <w:sz w:val="22"/>
          <w:szCs w:val="22"/>
        </w:rPr>
        <w:t>the summary results presented in the tables in this section</w:t>
      </w:r>
      <w:r w:rsidRPr="005A5966">
        <w:rPr>
          <w:rFonts w:cs="Arial"/>
          <w:sz w:val="22"/>
          <w:szCs w:val="22"/>
        </w:rPr>
        <w:t>.</w:t>
      </w:r>
    </w:p>
    <w:p w:rsidRPr="005A5966" w:rsidR="00D520BD" w:rsidP="00D520BD" w:rsidRDefault="00D520BD" w14:paraId="1F316E4A" w14:textId="77777777">
      <w:pPr>
        <w:tabs>
          <w:tab w:val="left" w:pos="450"/>
        </w:tabs>
        <w:autoSpaceDE/>
        <w:autoSpaceDN/>
        <w:adjustRightInd/>
        <w:rPr>
          <w:rFonts w:cs="Arial"/>
          <w:sz w:val="22"/>
          <w:szCs w:val="22"/>
        </w:rPr>
      </w:pPr>
    </w:p>
    <w:p w:rsidRPr="005A5966" w:rsidR="00D520BD" w:rsidP="00D520BD" w:rsidRDefault="00D520BD" w14:paraId="4660CF0B" w14:textId="3B44191B">
      <w:pPr>
        <w:pStyle w:val="Heading3"/>
      </w:pPr>
      <w:bookmarkStart w:name="_Toc460412610" w:id="133"/>
      <w:bookmarkStart w:name="_Toc72840028" w:id="134"/>
      <w:bookmarkStart w:name="_Toc105681501" w:id="135"/>
      <w:bookmarkStart w:name="_Toc199932655" w:id="136"/>
      <w:bookmarkStart w:name="_Toc332032767" w:id="137"/>
      <w:r w:rsidRPr="0001739A">
        <w:t>5.1.1</w:t>
      </w:r>
      <w:r w:rsidRPr="0001739A">
        <w:tab/>
        <w:t>One-Time Policy</w:t>
      </w:r>
      <w:r w:rsidR="00646A79">
        <w:t>,</w:t>
      </w:r>
      <w:r w:rsidRPr="0001739A">
        <w:t xml:space="preserve"> Procedure</w:t>
      </w:r>
      <w:r w:rsidR="00646A79">
        <w:t>,</w:t>
      </w:r>
      <w:r w:rsidRPr="0001739A">
        <w:t xml:space="preserve"> and Training Costs</w:t>
      </w:r>
      <w:bookmarkEnd w:id="133"/>
      <w:bookmarkEnd w:id="134"/>
      <w:bookmarkEnd w:id="135"/>
    </w:p>
    <w:p w:rsidRPr="005A5966" w:rsidR="00D520BD" w:rsidP="00D520BD" w:rsidRDefault="00D520BD" w14:paraId="0AF3C1C0" w14:textId="77777777">
      <w:pPr>
        <w:keepNext/>
        <w:rPr>
          <w:sz w:val="22"/>
          <w:szCs w:val="22"/>
        </w:rPr>
      </w:pPr>
    </w:p>
    <w:p w:rsidRPr="005A5966" w:rsidR="00D520BD" w:rsidP="00D520BD" w:rsidRDefault="00D520BD" w14:paraId="445C93AE" w14:textId="27E7CABB">
      <w:pPr>
        <w:rPr>
          <w:sz w:val="22"/>
          <w:szCs w:val="22"/>
        </w:rPr>
      </w:pPr>
      <w:r w:rsidRPr="00D93CF2">
        <w:rPr>
          <w:sz w:val="22"/>
          <w:szCs w:val="22"/>
        </w:rPr>
        <w:t>The regulatory initiatives</w:t>
      </w:r>
      <w:r w:rsidRPr="005A5966">
        <w:rPr>
          <w:sz w:val="22"/>
          <w:szCs w:val="22"/>
        </w:rPr>
        <w:t xml:space="preserve"> impact FFD program policies</w:t>
      </w:r>
      <w:r w:rsidR="00646A79">
        <w:rPr>
          <w:sz w:val="22"/>
          <w:szCs w:val="22"/>
        </w:rPr>
        <w:t>,</w:t>
      </w:r>
      <w:r w:rsidRPr="005A5966">
        <w:rPr>
          <w:sz w:val="22"/>
          <w:szCs w:val="22"/>
        </w:rPr>
        <w:t xml:space="preserve"> procedures</w:t>
      </w:r>
      <w:r w:rsidR="00646A79">
        <w:rPr>
          <w:sz w:val="22"/>
          <w:szCs w:val="22"/>
        </w:rPr>
        <w:t>,</w:t>
      </w:r>
      <w:r w:rsidRPr="005A5966">
        <w:rPr>
          <w:sz w:val="22"/>
          <w:szCs w:val="22"/>
        </w:rPr>
        <w:t xml:space="preserve"> and training.  Specifically</w:t>
      </w:r>
      <w:r w:rsidR="00646A79">
        <w:rPr>
          <w:sz w:val="22"/>
          <w:szCs w:val="22"/>
        </w:rPr>
        <w:t>,</w:t>
      </w:r>
      <w:r w:rsidRPr="005A5966">
        <w:rPr>
          <w:sz w:val="22"/>
          <w:szCs w:val="22"/>
        </w:rPr>
        <w:t xml:space="preserve"> </w:t>
      </w:r>
      <w:r>
        <w:rPr>
          <w:sz w:val="22"/>
          <w:szCs w:val="22"/>
        </w:rPr>
        <w:t xml:space="preserve">licensees </w:t>
      </w:r>
      <w:r w:rsidRPr="005A5966">
        <w:rPr>
          <w:sz w:val="22"/>
          <w:szCs w:val="22"/>
        </w:rPr>
        <w:t>need to update FFD program policies and procedures to account for the new drug testing protocols and inform individuals who are covered by the FFD</w:t>
      </w:r>
      <w:r>
        <w:rPr>
          <w:sz w:val="22"/>
          <w:szCs w:val="22"/>
        </w:rPr>
        <w:t> </w:t>
      </w:r>
      <w:r w:rsidRPr="005A5966">
        <w:rPr>
          <w:sz w:val="22"/>
          <w:szCs w:val="22"/>
        </w:rPr>
        <w:t>program of the changes in policies and procedures.  In addition</w:t>
      </w:r>
      <w:r w:rsidR="00646A79">
        <w:rPr>
          <w:sz w:val="22"/>
          <w:szCs w:val="22"/>
        </w:rPr>
        <w:t>,</w:t>
      </w:r>
      <w:r w:rsidRPr="005A5966">
        <w:rPr>
          <w:sz w:val="22"/>
          <w:szCs w:val="22"/>
        </w:rPr>
        <w:t xml:space="preserve"> the rule changes require each FFD program to update </w:t>
      </w:r>
      <w:r w:rsidR="00C966AC">
        <w:rPr>
          <w:sz w:val="22"/>
          <w:szCs w:val="22"/>
        </w:rPr>
        <w:t xml:space="preserve">its </w:t>
      </w:r>
      <w:r w:rsidRPr="005A5966">
        <w:rPr>
          <w:sz w:val="22"/>
          <w:szCs w:val="22"/>
        </w:rPr>
        <w:t>contracts</w:t>
      </w:r>
      <w:r>
        <w:rPr>
          <w:sz w:val="22"/>
          <w:szCs w:val="22"/>
        </w:rPr>
        <w:t>—</w:t>
      </w:r>
      <w:r w:rsidR="00CA600C">
        <w:rPr>
          <w:sz w:val="22"/>
          <w:szCs w:val="22"/>
        </w:rPr>
        <w:t xml:space="preserve">up to </w:t>
      </w:r>
      <w:r>
        <w:rPr>
          <w:sz w:val="22"/>
          <w:szCs w:val="22"/>
        </w:rPr>
        <w:t>two</w:t>
      </w:r>
      <w:r w:rsidRPr="005A5966">
        <w:rPr>
          <w:sz w:val="22"/>
          <w:szCs w:val="22"/>
        </w:rPr>
        <w:t xml:space="preserve"> with </w:t>
      </w:r>
      <w:r>
        <w:rPr>
          <w:sz w:val="22"/>
          <w:szCs w:val="22"/>
        </w:rPr>
        <w:t xml:space="preserve">its </w:t>
      </w:r>
      <w:r w:rsidRPr="005A5966">
        <w:rPr>
          <w:sz w:val="22"/>
          <w:szCs w:val="22"/>
        </w:rPr>
        <w:t>HHS-certified laboratories (the primary and secondary lab</w:t>
      </w:r>
      <w:r w:rsidR="00317C0C">
        <w:rPr>
          <w:sz w:val="22"/>
          <w:szCs w:val="22"/>
        </w:rPr>
        <w:t>oratorie</w:t>
      </w:r>
      <w:r w:rsidRPr="005A5966">
        <w:rPr>
          <w:sz w:val="22"/>
          <w:szCs w:val="22"/>
        </w:rPr>
        <w:t>s</w:t>
      </w:r>
      <w:r w:rsidR="00CA600C">
        <w:rPr>
          <w:rStyle w:val="FootnoteReference"/>
          <w:sz w:val="22"/>
          <w:szCs w:val="22"/>
        </w:rPr>
        <w:footnoteReference w:id="25"/>
      </w:r>
      <w:r w:rsidRPr="005A5966">
        <w:rPr>
          <w:sz w:val="22"/>
          <w:szCs w:val="22"/>
        </w:rPr>
        <w:t xml:space="preserve">) and </w:t>
      </w:r>
      <w:r>
        <w:rPr>
          <w:sz w:val="22"/>
          <w:szCs w:val="22"/>
        </w:rPr>
        <w:t xml:space="preserve">one </w:t>
      </w:r>
      <w:r w:rsidRPr="005A5966">
        <w:rPr>
          <w:sz w:val="22"/>
          <w:szCs w:val="22"/>
        </w:rPr>
        <w:t xml:space="preserve">with </w:t>
      </w:r>
      <w:r>
        <w:rPr>
          <w:sz w:val="22"/>
          <w:szCs w:val="22"/>
        </w:rPr>
        <w:t>its</w:t>
      </w:r>
      <w:r w:rsidRPr="005A5966">
        <w:rPr>
          <w:sz w:val="22"/>
          <w:szCs w:val="22"/>
        </w:rPr>
        <w:t xml:space="preserve"> BPTS supplier to reflect the new drug testing criteria.  </w:t>
      </w:r>
      <w:r>
        <w:rPr>
          <w:sz w:val="22"/>
          <w:szCs w:val="22"/>
        </w:rPr>
        <w:t>Additionally</w:t>
      </w:r>
      <w:r w:rsidR="00646A79">
        <w:rPr>
          <w:sz w:val="22"/>
          <w:szCs w:val="22"/>
        </w:rPr>
        <w:t>,</w:t>
      </w:r>
      <w:r w:rsidRPr="005A5966">
        <w:rPr>
          <w:sz w:val="22"/>
          <w:szCs w:val="22"/>
        </w:rPr>
        <w:t xml:space="preserve"> sites using LTFs for initial drug testing need to train </w:t>
      </w:r>
      <w:r w:rsidR="00207E0D">
        <w:rPr>
          <w:sz w:val="22"/>
          <w:szCs w:val="22"/>
        </w:rPr>
        <w:t>L</w:t>
      </w:r>
      <w:r w:rsidRPr="005A5966">
        <w:rPr>
          <w:sz w:val="22"/>
          <w:szCs w:val="22"/>
        </w:rPr>
        <w:t xml:space="preserve">aboratory </w:t>
      </w:r>
      <w:r w:rsidR="00207E0D">
        <w:rPr>
          <w:sz w:val="22"/>
          <w:szCs w:val="22"/>
        </w:rPr>
        <w:t>T</w:t>
      </w:r>
      <w:r w:rsidRPr="005A5966">
        <w:rPr>
          <w:sz w:val="22"/>
          <w:szCs w:val="22"/>
        </w:rPr>
        <w:t>echnicians on the new protocols and validate the immunoassays</w:t>
      </w:r>
      <w:r>
        <w:rPr>
          <w:sz w:val="22"/>
          <w:szCs w:val="22"/>
        </w:rPr>
        <w:t xml:space="preserve"> that change because of lower cutoff levels and the inclusion of additional substances in the testing panel</w:t>
      </w:r>
      <w:r w:rsidRPr="005A5966">
        <w:rPr>
          <w:sz w:val="22"/>
          <w:szCs w:val="22"/>
        </w:rPr>
        <w:t>.</w:t>
      </w:r>
    </w:p>
    <w:p w:rsidRPr="005A5966" w:rsidR="00D520BD" w:rsidP="00D520BD" w:rsidRDefault="00D520BD" w14:paraId="2E9A4524" w14:textId="77777777">
      <w:pPr>
        <w:rPr>
          <w:sz w:val="22"/>
          <w:szCs w:val="22"/>
        </w:rPr>
      </w:pPr>
    </w:p>
    <w:p w:rsidR="00D520BD" w:rsidP="00D520BD" w:rsidRDefault="00D520BD" w14:paraId="6F5B4221" w14:textId="61D04AC8">
      <w:pPr>
        <w:rPr>
          <w:sz w:val="22"/>
          <w:szCs w:val="22"/>
        </w:rPr>
      </w:pPr>
      <w:r w:rsidRPr="005A5966">
        <w:rPr>
          <w:sz w:val="22"/>
          <w:szCs w:val="22"/>
        </w:rPr>
        <w:t xml:space="preserve">The </w:t>
      </w:r>
      <w:r>
        <w:rPr>
          <w:sz w:val="22"/>
          <w:szCs w:val="22"/>
        </w:rPr>
        <w:t>NRC staff</w:t>
      </w:r>
      <w:r w:rsidRPr="005A5966">
        <w:rPr>
          <w:sz w:val="22"/>
          <w:szCs w:val="22"/>
        </w:rPr>
        <w:t xml:space="preserve"> assumes that </w:t>
      </w:r>
      <w:r w:rsidR="00205C16">
        <w:rPr>
          <w:sz w:val="22"/>
          <w:szCs w:val="22"/>
        </w:rPr>
        <w:t xml:space="preserve">each </w:t>
      </w:r>
      <w:r w:rsidRPr="005A5966">
        <w:rPr>
          <w:sz w:val="22"/>
          <w:szCs w:val="22"/>
        </w:rPr>
        <w:t>licensee pursue</w:t>
      </w:r>
      <w:r w:rsidR="009E272B">
        <w:rPr>
          <w:sz w:val="22"/>
          <w:szCs w:val="22"/>
        </w:rPr>
        <w:t>s</w:t>
      </w:r>
      <w:r w:rsidRPr="005A5966">
        <w:rPr>
          <w:sz w:val="22"/>
          <w:szCs w:val="22"/>
        </w:rPr>
        <w:t xml:space="preserve"> the least</w:t>
      </w:r>
      <w:r w:rsidR="00333524">
        <w:rPr>
          <w:sz w:val="22"/>
          <w:szCs w:val="22"/>
        </w:rPr>
        <w:t xml:space="preserve"> </w:t>
      </w:r>
      <w:r w:rsidRPr="005A5966">
        <w:rPr>
          <w:sz w:val="22"/>
          <w:szCs w:val="22"/>
        </w:rPr>
        <w:t>cost approach to implement the rule</w:t>
      </w:r>
      <w:r w:rsidR="007A572D">
        <w:rPr>
          <w:sz w:val="22"/>
          <w:szCs w:val="22"/>
        </w:rPr>
        <w:t xml:space="preserve"> changes</w:t>
      </w:r>
      <w:r w:rsidRPr="005A5966">
        <w:rPr>
          <w:sz w:val="22"/>
          <w:szCs w:val="22"/>
        </w:rPr>
        <w:t xml:space="preserve">.  With respect to informing individuals </w:t>
      </w:r>
      <w:r>
        <w:rPr>
          <w:sz w:val="22"/>
          <w:szCs w:val="22"/>
        </w:rPr>
        <w:t xml:space="preserve">already subject to an FFD program </w:t>
      </w:r>
      <w:r w:rsidR="00545BB9">
        <w:rPr>
          <w:sz w:val="22"/>
          <w:szCs w:val="22"/>
        </w:rPr>
        <w:t>about</w:t>
      </w:r>
      <w:r w:rsidRPr="005A5966">
        <w:rPr>
          <w:sz w:val="22"/>
          <w:szCs w:val="22"/>
        </w:rPr>
        <w:t xml:space="preserve"> the changes in </w:t>
      </w:r>
      <w:r>
        <w:rPr>
          <w:sz w:val="22"/>
          <w:szCs w:val="22"/>
        </w:rPr>
        <w:t xml:space="preserve">the </w:t>
      </w:r>
      <w:r w:rsidRPr="005A5966">
        <w:rPr>
          <w:sz w:val="22"/>
          <w:szCs w:val="22"/>
        </w:rPr>
        <w:t>FFD program policies and procedures</w:t>
      </w:r>
      <w:r w:rsidR="00646A79">
        <w:rPr>
          <w:sz w:val="22"/>
          <w:szCs w:val="22"/>
        </w:rPr>
        <w:t>,</w:t>
      </w:r>
      <w:r w:rsidRPr="005A5966">
        <w:rPr>
          <w:sz w:val="22"/>
          <w:szCs w:val="22"/>
        </w:rPr>
        <w:t xml:space="preserve"> the analys</w:t>
      </w:r>
      <w:r>
        <w:rPr>
          <w:sz w:val="22"/>
          <w:szCs w:val="22"/>
        </w:rPr>
        <w:t>is</w:t>
      </w:r>
      <w:r w:rsidRPr="005A5966">
        <w:rPr>
          <w:sz w:val="22"/>
          <w:szCs w:val="22"/>
        </w:rPr>
        <w:t xml:space="preserve"> estimates that </w:t>
      </w:r>
      <w:r w:rsidR="00426AB0">
        <w:rPr>
          <w:sz w:val="22"/>
          <w:szCs w:val="22"/>
        </w:rPr>
        <w:t>95</w:t>
      </w:r>
      <w:r w:rsidRPr="006D3F2E" w:rsidR="00426AB0">
        <w:rPr>
          <w:sz w:val="22"/>
          <w:szCs w:val="22"/>
        </w:rPr>
        <w:t> </w:t>
      </w:r>
      <w:r w:rsidRPr="006D3F2E">
        <w:rPr>
          <w:sz w:val="22"/>
          <w:szCs w:val="22"/>
        </w:rPr>
        <w:t>percent</w:t>
      </w:r>
      <w:r w:rsidRPr="005A5966">
        <w:rPr>
          <w:sz w:val="22"/>
          <w:szCs w:val="22"/>
        </w:rPr>
        <w:t xml:space="preserve"> of sites incorporate </w:t>
      </w:r>
      <w:r>
        <w:rPr>
          <w:sz w:val="22"/>
          <w:szCs w:val="22"/>
        </w:rPr>
        <w:t>this</w:t>
      </w:r>
      <w:r w:rsidRPr="005A5966">
        <w:rPr>
          <w:sz w:val="22"/>
          <w:szCs w:val="22"/>
        </w:rPr>
        <w:t xml:space="preserve"> information into </w:t>
      </w:r>
      <w:r>
        <w:rPr>
          <w:sz w:val="22"/>
          <w:szCs w:val="22"/>
        </w:rPr>
        <w:t>the annual refresher training required by 10</w:t>
      </w:r>
      <w:r w:rsidR="00900E4F">
        <w:rPr>
          <w:sz w:val="22"/>
          <w:szCs w:val="22"/>
        </w:rPr>
        <w:t> </w:t>
      </w:r>
      <w:r>
        <w:rPr>
          <w:sz w:val="22"/>
          <w:szCs w:val="22"/>
        </w:rPr>
        <w:t>CFR</w:t>
      </w:r>
      <w:r w:rsidR="00900E4F">
        <w:rPr>
          <w:sz w:val="22"/>
          <w:szCs w:val="22"/>
        </w:rPr>
        <w:t> </w:t>
      </w:r>
      <w:r>
        <w:rPr>
          <w:sz w:val="22"/>
          <w:szCs w:val="22"/>
        </w:rPr>
        <w:t>26.29(c)</w:t>
      </w:r>
      <w:r w:rsidR="00882D94">
        <w:rPr>
          <w:sz w:val="22"/>
          <w:szCs w:val="22"/>
        </w:rPr>
        <w:t xml:space="preserve"> </w:t>
      </w:r>
      <w:r w:rsidR="00545BB9">
        <w:rPr>
          <w:sz w:val="22"/>
          <w:szCs w:val="22"/>
        </w:rPr>
        <w:t>and</w:t>
      </w:r>
      <w:r w:rsidR="00882D94">
        <w:rPr>
          <w:sz w:val="22"/>
          <w:szCs w:val="22"/>
        </w:rPr>
        <w:t xml:space="preserve"> post information at the collection sites and on bulletin boards</w:t>
      </w:r>
      <w:r w:rsidRPr="005A5966">
        <w:rPr>
          <w:sz w:val="22"/>
          <w:szCs w:val="22"/>
        </w:rPr>
        <w:t xml:space="preserve">.  This approach </w:t>
      </w:r>
      <w:r w:rsidR="00FB7703">
        <w:rPr>
          <w:sz w:val="22"/>
          <w:szCs w:val="22"/>
        </w:rPr>
        <w:t>does</w:t>
      </w:r>
      <w:r>
        <w:rPr>
          <w:sz w:val="22"/>
          <w:szCs w:val="22"/>
        </w:rPr>
        <w:t xml:space="preserve"> not</w:t>
      </w:r>
      <w:r w:rsidRPr="005A5966">
        <w:rPr>
          <w:sz w:val="22"/>
          <w:szCs w:val="22"/>
        </w:rPr>
        <w:t xml:space="preserve"> result in </w:t>
      </w:r>
      <w:r>
        <w:rPr>
          <w:sz w:val="22"/>
          <w:szCs w:val="22"/>
        </w:rPr>
        <w:t xml:space="preserve">an incremental change in </w:t>
      </w:r>
      <w:r w:rsidRPr="005A5966">
        <w:rPr>
          <w:sz w:val="22"/>
          <w:szCs w:val="22"/>
        </w:rPr>
        <w:t xml:space="preserve">costs </w:t>
      </w:r>
      <w:r>
        <w:rPr>
          <w:sz w:val="22"/>
          <w:szCs w:val="22"/>
        </w:rPr>
        <w:t>of training individuals on the FFD policy changes because the refresher training already includes time to update individuals on changes in the FFD program from the previous training.  However</w:t>
      </w:r>
      <w:r w:rsidR="00646A79">
        <w:rPr>
          <w:sz w:val="22"/>
          <w:szCs w:val="22"/>
        </w:rPr>
        <w:t>,</w:t>
      </w:r>
      <w:r>
        <w:rPr>
          <w:sz w:val="22"/>
          <w:szCs w:val="22"/>
        </w:rPr>
        <w:t xml:space="preserve"> t</w:t>
      </w:r>
      <w:r w:rsidRPr="005A5966">
        <w:rPr>
          <w:sz w:val="22"/>
          <w:szCs w:val="22"/>
        </w:rPr>
        <w:t xml:space="preserve">he </w:t>
      </w:r>
      <w:r>
        <w:rPr>
          <w:sz w:val="22"/>
          <w:szCs w:val="22"/>
        </w:rPr>
        <w:t xml:space="preserve">NRC staff does </w:t>
      </w:r>
      <w:r w:rsidRPr="005A5966">
        <w:rPr>
          <w:sz w:val="22"/>
          <w:szCs w:val="22"/>
        </w:rPr>
        <w:t xml:space="preserve">estimate that the </w:t>
      </w:r>
      <w:r w:rsidRPr="00D63056">
        <w:rPr>
          <w:sz w:val="22"/>
          <w:szCs w:val="22"/>
        </w:rPr>
        <w:t xml:space="preserve">remaining </w:t>
      </w:r>
      <w:r w:rsidRPr="00D63056" w:rsidR="00D63056">
        <w:rPr>
          <w:sz w:val="22"/>
          <w:szCs w:val="22"/>
        </w:rPr>
        <w:t>5 </w:t>
      </w:r>
      <w:r w:rsidRPr="00D63056">
        <w:rPr>
          <w:sz w:val="22"/>
          <w:szCs w:val="22"/>
        </w:rPr>
        <w:t xml:space="preserve">percent of sites </w:t>
      </w:r>
      <w:r w:rsidR="00545BB9">
        <w:rPr>
          <w:sz w:val="22"/>
          <w:szCs w:val="22"/>
        </w:rPr>
        <w:t xml:space="preserve">will </w:t>
      </w:r>
      <w:r w:rsidRPr="00D63056">
        <w:rPr>
          <w:sz w:val="22"/>
          <w:szCs w:val="22"/>
        </w:rPr>
        <w:t>distribute</w:t>
      </w:r>
      <w:r w:rsidRPr="005A5966">
        <w:rPr>
          <w:sz w:val="22"/>
          <w:szCs w:val="22"/>
        </w:rPr>
        <w:t xml:space="preserve"> information on FFD program changes outside </w:t>
      </w:r>
      <w:r>
        <w:rPr>
          <w:sz w:val="22"/>
          <w:szCs w:val="22"/>
        </w:rPr>
        <w:lastRenderedPageBreak/>
        <w:t>the annual refresher</w:t>
      </w:r>
      <w:r w:rsidRPr="005A5966">
        <w:rPr>
          <w:sz w:val="22"/>
          <w:szCs w:val="22"/>
        </w:rPr>
        <w:t xml:space="preserve"> training</w:t>
      </w:r>
      <w:r>
        <w:rPr>
          <w:sz w:val="22"/>
          <w:szCs w:val="22"/>
        </w:rPr>
        <w:t xml:space="preserve"> process and provide each individual </w:t>
      </w:r>
      <w:r w:rsidR="003105FE">
        <w:rPr>
          <w:sz w:val="22"/>
          <w:szCs w:val="22"/>
        </w:rPr>
        <w:t xml:space="preserve">with </w:t>
      </w:r>
      <w:r>
        <w:rPr>
          <w:sz w:val="22"/>
          <w:szCs w:val="22"/>
        </w:rPr>
        <w:t xml:space="preserve">a summary of the FFD policies and procedures </w:t>
      </w:r>
      <w:r w:rsidRPr="005A5966">
        <w:rPr>
          <w:sz w:val="22"/>
          <w:szCs w:val="22"/>
        </w:rPr>
        <w:t xml:space="preserve">to read and </w:t>
      </w:r>
      <w:r>
        <w:rPr>
          <w:sz w:val="22"/>
          <w:szCs w:val="22"/>
        </w:rPr>
        <w:t xml:space="preserve">sign an acknowledgment of </w:t>
      </w:r>
      <w:r w:rsidRPr="005A5966">
        <w:rPr>
          <w:sz w:val="22"/>
          <w:szCs w:val="22"/>
        </w:rPr>
        <w:t xml:space="preserve">receipt of </w:t>
      </w:r>
      <w:r>
        <w:rPr>
          <w:sz w:val="22"/>
          <w:szCs w:val="22"/>
        </w:rPr>
        <w:t>the information</w:t>
      </w:r>
      <w:r w:rsidRPr="005A5966">
        <w:rPr>
          <w:sz w:val="22"/>
          <w:szCs w:val="22"/>
        </w:rPr>
        <w:t>.</w:t>
      </w:r>
      <w:r>
        <w:rPr>
          <w:rStyle w:val="FootnoteReference"/>
          <w:sz w:val="22"/>
          <w:szCs w:val="22"/>
        </w:rPr>
        <w:footnoteReference w:id="26"/>
      </w:r>
    </w:p>
    <w:p w:rsidRPr="00065FB0" w:rsidR="00D520BD" w:rsidP="00D520BD" w:rsidRDefault="00D520BD" w14:paraId="5D427D9F" w14:textId="77777777">
      <w:pPr>
        <w:rPr>
          <w:sz w:val="22"/>
        </w:rPr>
      </w:pPr>
    </w:p>
    <w:p w:rsidRPr="00F52376" w:rsidR="00D520BD" w:rsidP="00D520BD" w:rsidRDefault="00D520BD" w14:paraId="5ADA2270" w14:textId="25F1FF51">
      <w:pPr>
        <w:rPr>
          <w:sz w:val="22"/>
          <w:szCs w:val="22"/>
        </w:rPr>
      </w:pPr>
      <w:r>
        <w:rPr>
          <w:sz w:val="22"/>
          <w:szCs w:val="22"/>
        </w:rPr>
        <w:t>In summary</w:t>
      </w:r>
      <w:r w:rsidR="00646A79">
        <w:rPr>
          <w:sz w:val="22"/>
          <w:szCs w:val="22"/>
        </w:rPr>
        <w:t>,</w:t>
      </w:r>
      <w:r>
        <w:rPr>
          <w:sz w:val="22"/>
          <w:szCs w:val="22"/>
        </w:rPr>
        <w:t xml:space="preserve"> the one-time costs include the following:</w:t>
      </w:r>
    </w:p>
    <w:p w:rsidRPr="00646A79" w:rsidR="00D520BD" w:rsidP="00D520BD" w:rsidRDefault="00D520BD" w14:paraId="7D680F2E" w14:textId="77777777">
      <w:pPr>
        <w:rPr>
          <w:sz w:val="22"/>
          <w:szCs w:val="22"/>
        </w:rPr>
      </w:pPr>
    </w:p>
    <w:p w:rsidRPr="00543734" w:rsidR="00D520BD" w:rsidP="005C6BA3" w:rsidRDefault="00D520BD" w14:paraId="1C1B5884" w14:textId="6DDAA3E8">
      <w:pPr>
        <w:pStyle w:val="ListParagraph"/>
        <w:numPr>
          <w:ilvl w:val="0"/>
          <w:numId w:val="15"/>
        </w:numPr>
        <w:tabs>
          <w:tab w:val="left" w:pos="721"/>
        </w:tabs>
        <w:ind w:hanging="720"/>
        <w:rPr>
          <w:sz w:val="22"/>
          <w:szCs w:val="22"/>
        </w:rPr>
      </w:pPr>
      <w:r w:rsidRPr="00543734">
        <w:rPr>
          <w:sz w:val="22"/>
          <w:szCs w:val="22"/>
        </w:rPr>
        <w:t>one-time cost to industry</w:t>
      </w:r>
      <w:r w:rsidR="004212C8">
        <w:rPr>
          <w:sz w:val="22"/>
          <w:szCs w:val="22"/>
        </w:rPr>
        <w:t xml:space="preserve"> = </w:t>
      </w:r>
      <w:r w:rsidRPr="00543734">
        <w:rPr>
          <w:sz w:val="22"/>
          <w:szCs w:val="22"/>
        </w:rPr>
        <w:t>($</w:t>
      </w:r>
      <w:r w:rsidRPr="00543734" w:rsidR="00DC6A47">
        <w:rPr>
          <w:sz w:val="22"/>
          <w:szCs w:val="22"/>
        </w:rPr>
        <w:t>136,936</w:t>
      </w:r>
      <w:r w:rsidRPr="00543734">
        <w:rPr>
          <w:sz w:val="22"/>
          <w:szCs w:val="22"/>
        </w:rPr>
        <w:t>)</w:t>
      </w:r>
      <w:r w:rsidRPr="00543734">
        <w:rPr>
          <w:rStyle w:val="FootnoteReference"/>
          <w:sz w:val="22"/>
          <w:szCs w:val="22"/>
        </w:rPr>
        <w:footnoteReference w:id="27"/>
      </w:r>
    </w:p>
    <w:p w:rsidRPr="00543734" w:rsidR="00D520BD" w:rsidP="005C6BA3" w:rsidRDefault="00D520BD" w14:paraId="601F7CB8" w14:textId="70149E14">
      <w:pPr>
        <w:pStyle w:val="ListParagraph"/>
        <w:numPr>
          <w:ilvl w:val="0"/>
          <w:numId w:val="15"/>
        </w:numPr>
        <w:tabs>
          <w:tab w:val="left" w:pos="721"/>
        </w:tabs>
        <w:ind w:hanging="720"/>
        <w:rPr>
          <w:sz w:val="22"/>
          <w:szCs w:val="22"/>
        </w:rPr>
      </w:pPr>
      <w:r w:rsidRPr="00543734">
        <w:rPr>
          <w:sz w:val="22"/>
          <w:szCs w:val="22"/>
        </w:rPr>
        <w:t>one-time average cost per site</w:t>
      </w:r>
      <w:r w:rsidR="004212C8">
        <w:rPr>
          <w:sz w:val="22"/>
          <w:szCs w:val="22"/>
        </w:rPr>
        <w:t xml:space="preserve"> = </w:t>
      </w:r>
      <w:r w:rsidRPr="00543734">
        <w:rPr>
          <w:sz w:val="22"/>
          <w:szCs w:val="22"/>
        </w:rPr>
        <w:t>($</w:t>
      </w:r>
      <w:r w:rsidRPr="00543734" w:rsidR="00DC6A47">
        <w:rPr>
          <w:sz w:val="22"/>
          <w:szCs w:val="22"/>
        </w:rPr>
        <w:t>2,321</w:t>
      </w:r>
      <w:r w:rsidRPr="00543734">
        <w:rPr>
          <w:sz w:val="22"/>
          <w:szCs w:val="22"/>
        </w:rPr>
        <w:t>)</w:t>
      </w:r>
    </w:p>
    <w:p w:rsidRPr="00812E9A" w:rsidR="00D520BD" w:rsidP="00812E9A" w:rsidRDefault="00D520BD" w14:paraId="35EBAEAF" w14:textId="77777777">
      <w:pPr>
        <w:rPr>
          <w:sz w:val="22"/>
        </w:rPr>
      </w:pPr>
    </w:p>
    <w:p w:rsidRPr="00210C3B" w:rsidR="00D520BD" w:rsidP="00D520BD" w:rsidRDefault="00D520BD" w14:paraId="2D9945E5" w14:textId="4C14066E">
      <w:pPr>
        <w:tabs>
          <w:tab w:val="left" w:pos="721"/>
        </w:tabs>
        <w:rPr>
          <w:sz w:val="22"/>
          <w:szCs w:val="22"/>
        </w:rPr>
      </w:pPr>
      <w:r>
        <w:rPr>
          <w:sz w:val="22"/>
          <w:szCs w:val="22"/>
        </w:rPr>
        <w:t>Table 5-</w:t>
      </w:r>
      <w:r w:rsidR="00DD62B2">
        <w:rPr>
          <w:sz w:val="22"/>
          <w:szCs w:val="22"/>
        </w:rPr>
        <w:t>5</w:t>
      </w:r>
      <w:r>
        <w:rPr>
          <w:sz w:val="22"/>
          <w:szCs w:val="22"/>
        </w:rPr>
        <w:t xml:space="preserve"> summarizes the one-time costs by implementation activity for industry.</w:t>
      </w:r>
    </w:p>
    <w:p w:rsidRPr="00812E9A" w:rsidR="00D520BD" w:rsidP="00812E9A" w:rsidRDefault="00D520BD" w14:paraId="6C1B1F41" w14:textId="77777777">
      <w:pPr>
        <w:rPr>
          <w:sz w:val="22"/>
        </w:rPr>
      </w:pPr>
    </w:p>
    <w:p w:rsidRPr="00625C7E" w:rsidR="00625C7E" w:rsidP="00625C7E" w:rsidRDefault="00625C7E" w14:paraId="27A399D4" w14:textId="626E10AE">
      <w:pPr>
        <w:pStyle w:val="Caption"/>
        <w:jc w:val="center"/>
        <w:rPr>
          <w:b/>
          <w:bCs w:val="0"/>
        </w:rPr>
      </w:pPr>
      <w:bookmarkStart w:name="_Ref71785638" w:id="138"/>
      <w:bookmarkStart w:name="_Toc72490567" w:id="139"/>
      <w:bookmarkStart w:name="_Toc105681564" w:id="140"/>
      <w:r w:rsidRPr="00625C7E">
        <w:rPr>
          <w:b/>
          <w:bCs w:val="0"/>
        </w:rPr>
        <w:t>Table 5-</w:t>
      </w:r>
      <w:r w:rsidRPr="00625C7E">
        <w:rPr>
          <w:b/>
          <w:bCs w:val="0"/>
        </w:rPr>
        <w:fldChar w:fldCharType="begin"/>
      </w:r>
      <w:r w:rsidRPr="00625C7E">
        <w:rPr>
          <w:b/>
          <w:bCs w:val="0"/>
        </w:rPr>
        <w:instrText xml:space="preserve"> SEQ Table \* ARABIC </w:instrText>
      </w:r>
      <w:r w:rsidRPr="00625C7E">
        <w:rPr>
          <w:b/>
          <w:bCs w:val="0"/>
        </w:rPr>
        <w:fldChar w:fldCharType="separate"/>
      </w:r>
      <w:r w:rsidR="00A6777F">
        <w:rPr>
          <w:b/>
          <w:bCs w:val="0"/>
          <w:noProof/>
        </w:rPr>
        <w:t>5</w:t>
      </w:r>
      <w:r w:rsidRPr="00625C7E">
        <w:rPr>
          <w:b/>
          <w:bCs w:val="0"/>
        </w:rPr>
        <w:fldChar w:fldCharType="end"/>
      </w:r>
      <w:bookmarkEnd w:id="138"/>
      <w:r w:rsidRPr="00625C7E">
        <w:rPr>
          <w:b/>
          <w:bCs w:val="0"/>
        </w:rPr>
        <w:t xml:space="preserve">  One-Time Implementation Costs</w:t>
      </w:r>
      <w:bookmarkEnd w:id="139"/>
      <w:bookmarkEnd w:id="140"/>
    </w:p>
    <w:tbl>
      <w:tblPr>
        <w:tblW w:w="5000" w:type="pct"/>
        <w:tblLook w:val="04A0" w:firstRow="1" w:lastRow="0" w:firstColumn="1" w:lastColumn="0" w:noHBand="0" w:noVBand="1"/>
      </w:tblPr>
      <w:tblGrid>
        <w:gridCol w:w="1165"/>
        <w:gridCol w:w="5849"/>
        <w:gridCol w:w="2336"/>
      </w:tblGrid>
      <w:tr w:rsidRPr="001C29C7" w:rsidR="00D520BD" w:rsidTr="002D2D00" w14:paraId="598BD874" w14:textId="77777777">
        <w:trPr>
          <w:cantSplit/>
          <w:trHeight w:val="773"/>
          <w:tblHeader/>
        </w:trPr>
        <w:tc>
          <w:tcPr>
            <w:tcW w:w="623" w:type="pct"/>
            <w:tcBorders>
              <w:top w:val="single" w:color="auto" w:sz="4" w:space="0"/>
              <w:left w:val="single" w:color="auto" w:sz="4" w:space="0"/>
              <w:bottom w:val="single" w:color="auto" w:sz="4" w:space="0"/>
              <w:right w:val="single" w:color="auto" w:sz="4" w:space="0"/>
            </w:tcBorders>
            <w:vAlign w:val="center"/>
          </w:tcPr>
          <w:p w:rsidRPr="003A0D5E" w:rsidR="00D520BD" w:rsidP="00982BD1" w:rsidRDefault="00D520BD" w14:paraId="21C119A3" w14:textId="77777777">
            <w:pPr>
              <w:autoSpaceDE/>
              <w:autoSpaceDN/>
              <w:adjustRightInd/>
              <w:jc w:val="center"/>
              <w:rPr>
                <w:rFonts w:cs="Arial"/>
                <w:b/>
                <w:color w:val="000000"/>
                <w:sz w:val="22"/>
                <w:szCs w:val="22"/>
              </w:rPr>
            </w:pPr>
            <w:r w:rsidRPr="003A0D5E">
              <w:rPr>
                <w:rFonts w:cs="Arial"/>
                <w:b/>
                <w:color w:val="000000"/>
                <w:sz w:val="22"/>
                <w:szCs w:val="22"/>
              </w:rPr>
              <w:t>Affected Entity</w:t>
            </w:r>
          </w:p>
        </w:tc>
        <w:tc>
          <w:tcPr>
            <w:tcW w:w="312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0D5E" w:rsidR="00D520BD" w:rsidP="00982BD1" w:rsidRDefault="00D520BD" w14:paraId="08014F52" w14:textId="7973CA8B">
            <w:pPr>
              <w:autoSpaceDE/>
              <w:autoSpaceDN/>
              <w:adjustRightInd/>
              <w:jc w:val="center"/>
              <w:rPr>
                <w:rFonts w:cs="Arial"/>
                <w:b/>
                <w:color w:val="000000"/>
                <w:sz w:val="22"/>
                <w:szCs w:val="22"/>
              </w:rPr>
            </w:pPr>
            <w:r w:rsidRPr="003A0D5E">
              <w:rPr>
                <w:rFonts w:cs="Arial"/>
                <w:b/>
                <w:color w:val="000000"/>
                <w:sz w:val="22"/>
                <w:szCs w:val="22"/>
              </w:rPr>
              <w:t>Implementation Activity</w:t>
            </w:r>
          </w:p>
        </w:tc>
        <w:tc>
          <w:tcPr>
            <w:tcW w:w="1249"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3A0D5E" w:rsidR="00D520BD" w:rsidP="00982BD1" w:rsidRDefault="00D520BD" w14:paraId="354CACBF" w14:textId="2B409B3D">
            <w:pPr>
              <w:autoSpaceDE/>
              <w:autoSpaceDN/>
              <w:adjustRightInd/>
              <w:jc w:val="center"/>
              <w:rPr>
                <w:rFonts w:cs="Arial"/>
                <w:b/>
                <w:color w:val="000000"/>
                <w:sz w:val="22"/>
                <w:szCs w:val="22"/>
              </w:rPr>
            </w:pPr>
            <w:r w:rsidRPr="003A0D5E">
              <w:rPr>
                <w:rFonts w:cs="Arial"/>
                <w:b/>
                <w:color w:val="000000"/>
                <w:sz w:val="22"/>
                <w:szCs w:val="22"/>
              </w:rPr>
              <w:t>Base Estimate Cost (Undiscounted</w:t>
            </w:r>
            <w:r w:rsidRPr="003A0D5E" w:rsidR="00646A79">
              <w:rPr>
                <w:rFonts w:cs="Arial"/>
                <w:b/>
                <w:color w:val="000000"/>
                <w:sz w:val="22"/>
                <w:szCs w:val="22"/>
              </w:rPr>
              <w:t>,</w:t>
            </w:r>
            <w:r w:rsidRPr="003A0D5E">
              <w:rPr>
                <w:rFonts w:cs="Arial"/>
                <w:b/>
                <w:color w:val="000000"/>
                <w:sz w:val="22"/>
                <w:szCs w:val="22"/>
              </w:rPr>
              <w:t xml:space="preserve"> 20</w:t>
            </w:r>
            <w:r w:rsidRPr="003A0D5E" w:rsidR="004626EC">
              <w:rPr>
                <w:rFonts w:cs="Arial"/>
                <w:b/>
                <w:color w:val="000000"/>
                <w:sz w:val="22"/>
                <w:szCs w:val="22"/>
              </w:rPr>
              <w:t>22</w:t>
            </w:r>
            <w:r w:rsidRPr="003A0D5E">
              <w:rPr>
                <w:rFonts w:cs="Arial"/>
                <w:b/>
                <w:color w:val="000000"/>
                <w:sz w:val="22"/>
                <w:szCs w:val="22"/>
              </w:rPr>
              <w:t xml:space="preserve"> dollars)</w:t>
            </w:r>
          </w:p>
        </w:tc>
      </w:tr>
      <w:tr w:rsidRPr="001C29C7" w:rsidR="00D520BD" w:rsidTr="002D2D00" w14:paraId="4E3ECB5B" w14:textId="77777777">
        <w:trPr>
          <w:cantSplit/>
          <w:trHeight w:val="300"/>
          <w:tblHeader/>
        </w:trPr>
        <w:tc>
          <w:tcPr>
            <w:tcW w:w="623" w:type="pct"/>
            <w:vMerge w:val="restart"/>
            <w:tcBorders>
              <w:top w:val="single" w:color="auto" w:sz="4" w:space="0"/>
              <w:left w:val="single" w:color="auto" w:sz="4" w:space="0"/>
              <w:bottom w:val="single" w:color="auto" w:sz="4" w:space="0"/>
              <w:right w:val="single" w:color="auto" w:sz="4" w:space="0"/>
            </w:tcBorders>
            <w:vAlign w:val="center"/>
          </w:tcPr>
          <w:p w:rsidRPr="003A0D5E" w:rsidR="00D520BD" w:rsidP="00982BD1" w:rsidRDefault="00D520BD" w14:paraId="64FBB567" w14:textId="77777777">
            <w:pPr>
              <w:autoSpaceDE/>
              <w:autoSpaceDN/>
              <w:adjustRightInd/>
              <w:jc w:val="center"/>
              <w:rPr>
                <w:rFonts w:cs="Arial"/>
                <w:color w:val="000000"/>
                <w:sz w:val="22"/>
                <w:szCs w:val="22"/>
              </w:rPr>
            </w:pPr>
            <w:r w:rsidRPr="003A0D5E">
              <w:rPr>
                <w:rFonts w:cs="Arial"/>
                <w:color w:val="000000"/>
                <w:sz w:val="22"/>
                <w:szCs w:val="22"/>
              </w:rPr>
              <w:t>Industry</w:t>
            </w:r>
          </w:p>
        </w:tc>
        <w:tc>
          <w:tcPr>
            <w:tcW w:w="3128" w:type="pct"/>
            <w:tcBorders>
              <w:top w:val="nil"/>
              <w:left w:val="single" w:color="auto" w:sz="4" w:space="0"/>
              <w:bottom w:val="single" w:color="auto" w:sz="4" w:space="0"/>
              <w:right w:val="single" w:color="auto" w:sz="4" w:space="0"/>
            </w:tcBorders>
            <w:shd w:val="clear" w:color="auto" w:fill="auto"/>
            <w:noWrap/>
            <w:vAlign w:val="center"/>
            <w:hideMark/>
          </w:tcPr>
          <w:p w:rsidRPr="003A0D5E" w:rsidR="00D520BD" w:rsidP="00982BD1" w:rsidRDefault="00D520BD" w14:paraId="276B1366" w14:textId="77777777">
            <w:pPr>
              <w:autoSpaceDE/>
              <w:autoSpaceDN/>
              <w:adjustRightInd/>
              <w:rPr>
                <w:rFonts w:cs="Arial"/>
                <w:color w:val="000000"/>
                <w:sz w:val="22"/>
                <w:szCs w:val="22"/>
              </w:rPr>
            </w:pPr>
            <w:r w:rsidRPr="003A0D5E">
              <w:rPr>
                <w:rFonts w:cs="Arial"/>
                <w:color w:val="000000"/>
                <w:sz w:val="22"/>
                <w:szCs w:val="22"/>
              </w:rPr>
              <w:t>Update policies and procedures</w:t>
            </w:r>
          </w:p>
        </w:tc>
        <w:tc>
          <w:tcPr>
            <w:tcW w:w="1249" w:type="pct"/>
            <w:tcBorders>
              <w:top w:val="nil"/>
              <w:left w:val="nil"/>
              <w:bottom w:val="single" w:color="auto" w:sz="4" w:space="0"/>
              <w:right w:val="single" w:color="auto" w:sz="4" w:space="0"/>
            </w:tcBorders>
            <w:shd w:val="clear" w:color="auto" w:fill="auto"/>
            <w:vAlign w:val="center"/>
            <w:hideMark/>
          </w:tcPr>
          <w:p w:rsidRPr="003A0D5E" w:rsidR="00D520BD" w:rsidP="00982BD1" w:rsidRDefault="00D520BD" w14:paraId="51D407DF" w14:textId="52C5B2A4">
            <w:pPr>
              <w:autoSpaceDE/>
              <w:autoSpaceDN/>
              <w:adjustRightInd/>
              <w:jc w:val="center"/>
              <w:rPr>
                <w:rFonts w:cs="Arial"/>
                <w:color w:val="000000"/>
                <w:sz w:val="22"/>
                <w:szCs w:val="22"/>
              </w:rPr>
            </w:pPr>
            <w:r w:rsidRPr="003A0D5E">
              <w:rPr>
                <w:rFonts w:cs="Arial"/>
                <w:color w:val="000000"/>
                <w:sz w:val="22"/>
                <w:szCs w:val="22"/>
              </w:rPr>
              <w:t>($</w:t>
            </w:r>
            <w:r w:rsidRPr="003A0D5E" w:rsidR="00366CE7">
              <w:rPr>
                <w:rFonts w:cs="Arial"/>
                <w:color w:val="000000"/>
                <w:sz w:val="22"/>
                <w:szCs w:val="22"/>
              </w:rPr>
              <w:t>24,912</w:t>
            </w:r>
            <w:r w:rsidRPr="003A0D5E">
              <w:rPr>
                <w:rFonts w:cs="Arial"/>
                <w:color w:val="000000"/>
                <w:sz w:val="22"/>
                <w:szCs w:val="22"/>
              </w:rPr>
              <w:t>)</w:t>
            </w:r>
          </w:p>
        </w:tc>
      </w:tr>
      <w:tr w:rsidRPr="001C29C7" w:rsidR="00D520BD" w:rsidTr="002D2D00" w14:paraId="11CA3B8A" w14:textId="77777777">
        <w:trPr>
          <w:cantSplit/>
          <w:trHeight w:val="300"/>
          <w:tblHeader/>
        </w:trPr>
        <w:tc>
          <w:tcPr>
            <w:tcW w:w="623" w:type="pct"/>
            <w:vMerge/>
            <w:tcBorders>
              <w:left w:val="single" w:color="auto" w:sz="4" w:space="0"/>
              <w:bottom w:val="single" w:color="auto" w:sz="4" w:space="0"/>
              <w:right w:val="single" w:color="auto" w:sz="4" w:space="0"/>
            </w:tcBorders>
            <w:vAlign w:val="center"/>
          </w:tcPr>
          <w:p w:rsidRPr="003A0D5E" w:rsidR="00D520BD" w:rsidP="00982BD1" w:rsidRDefault="00D520BD" w14:paraId="5A0C37A0" w14:textId="77777777">
            <w:pPr>
              <w:autoSpaceDE/>
              <w:autoSpaceDN/>
              <w:adjustRightInd/>
              <w:jc w:val="center"/>
              <w:rPr>
                <w:rFonts w:cs="Arial"/>
                <w:color w:val="000000"/>
                <w:sz w:val="22"/>
                <w:szCs w:val="22"/>
              </w:rPr>
            </w:pPr>
          </w:p>
        </w:tc>
        <w:tc>
          <w:tcPr>
            <w:tcW w:w="3128" w:type="pct"/>
            <w:tcBorders>
              <w:top w:val="nil"/>
              <w:left w:val="single" w:color="auto" w:sz="4" w:space="0"/>
              <w:bottom w:val="single" w:color="auto" w:sz="4" w:space="0"/>
              <w:right w:val="single" w:color="auto" w:sz="4" w:space="0"/>
            </w:tcBorders>
            <w:shd w:val="clear" w:color="auto" w:fill="auto"/>
            <w:noWrap/>
            <w:vAlign w:val="center"/>
            <w:hideMark/>
          </w:tcPr>
          <w:p w:rsidRPr="003A0D5E" w:rsidR="00D520BD" w:rsidP="00982BD1" w:rsidRDefault="00D520BD" w14:paraId="21BEDF9A" w14:textId="77777777">
            <w:pPr>
              <w:autoSpaceDE/>
              <w:autoSpaceDN/>
              <w:adjustRightInd/>
              <w:rPr>
                <w:rFonts w:cs="Arial"/>
                <w:color w:val="000000"/>
                <w:sz w:val="22"/>
                <w:szCs w:val="22"/>
              </w:rPr>
            </w:pPr>
            <w:r w:rsidRPr="003A0D5E">
              <w:rPr>
                <w:rFonts w:cs="Arial"/>
                <w:color w:val="000000"/>
                <w:sz w:val="22"/>
                <w:szCs w:val="22"/>
              </w:rPr>
              <w:t>Inform employees of policy change</w:t>
            </w:r>
          </w:p>
        </w:tc>
        <w:tc>
          <w:tcPr>
            <w:tcW w:w="1249" w:type="pct"/>
            <w:tcBorders>
              <w:top w:val="nil"/>
              <w:left w:val="nil"/>
              <w:bottom w:val="single" w:color="auto" w:sz="4" w:space="0"/>
              <w:right w:val="single" w:color="auto" w:sz="4" w:space="0"/>
            </w:tcBorders>
            <w:shd w:val="clear" w:color="auto" w:fill="auto"/>
            <w:vAlign w:val="center"/>
            <w:hideMark/>
          </w:tcPr>
          <w:p w:rsidRPr="003A0D5E" w:rsidR="00D520BD" w:rsidP="00982BD1" w:rsidRDefault="00D520BD" w14:paraId="3294CEB1" w14:textId="6A22D43B">
            <w:pPr>
              <w:autoSpaceDE/>
              <w:autoSpaceDN/>
              <w:adjustRightInd/>
              <w:jc w:val="center"/>
              <w:rPr>
                <w:rFonts w:cs="Arial"/>
                <w:color w:val="000000"/>
                <w:sz w:val="22"/>
                <w:szCs w:val="22"/>
              </w:rPr>
            </w:pPr>
            <w:r w:rsidRPr="003A0D5E">
              <w:rPr>
                <w:rFonts w:cs="Arial"/>
                <w:color w:val="000000"/>
                <w:sz w:val="22"/>
                <w:szCs w:val="22"/>
              </w:rPr>
              <w:t>($</w:t>
            </w:r>
            <w:r w:rsidRPr="003A0D5E" w:rsidR="00366CE7">
              <w:rPr>
                <w:rFonts w:cs="Arial"/>
                <w:color w:val="000000"/>
                <w:sz w:val="22"/>
                <w:szCs w:val="22"/>
              </w:rPr>
              <w:t>72,873</w:t>
            </w:r>
            <w:r w:rsidRPr="003A0D5E">
              <w:rPr>
                <w:rFonts w:cs="Arial"/>
                <w:color w:val="000000"/>
                <w:sz w:val="22"/>
                <w:szCs w:val="22"/>
              </w:rPr>
              <w:t>)</w:t>
            </w:r>
          </w:p>
        </w:tc>
      </w:tr>
      <w:tr w:rsidRPr="001C29C7" w:rsidR="00D520BD" w:rsidTr="002D2D00" w14:paraId="15EF90A9" w14:textId="77777777">
        <w:trPr>
          <w:cantSplit/>
          <w:trHeight w:val="300"/>
          <w:tblHeader/>
        </w:trPr>
        <w:tc>
          <w:tcPr>
            <w:tcW w:w="623" w:type="pct"/>
            <w:vMerge/>
            <w:tcBorders>
              <w:left w:val="single" w:color="auto" w:sz="4" w:space="0"/>
              <w:bottom w:val="single" w:color="auto" w:sz="4" w:space="0"/>
              <w:right w:val="single" w:color="auto" w:sz="4" w:space="0"/>
            </w:tcBorders>
            <w:vAlign w:val="center"/>
          </w:tcPr>
          <w:p w:rsidRPr="003A0D5E" w:rsidR="00D520BD" w:rsidP="00982BD1" w:rsidRDefault="00D520BD" w14:paraId="165ACB71" w14:textId="77777777">
            <w:pPr>
              <w:autoSpaceDE/>
              <w:autoSpaceDN/>
              <w:adjustRightInd/>
              <w:jc w:val="center"/>
              <w:rPr>
                <w:rFonts w:cs="Arial"/>
                <w:color w:val="000000"/>
                <w:sz w:val="22"/>
                <w:szCs w:val="22"/>
              </w:rPr>
            </w:pPr>
          </w:p>
        </w:tc>
        <w:tc>
          <w:tcPr>
            <w:tcW w:w="3128" w:type="pct"/>
            <w:tcBorders>
              <w:top w:val="nil"/>
              <w:left w:val="single" w:color="auto" w:sz="4" w:space="0"/>
              <w:bottom w:val="single" w:color="auto" w:sz="4" w:space="0"/>
              <w:right w:val="single" w:color="auto" w:sz="4" w:space="0"/>
            </w:tcBorders>
            <w:shd w:val="clear" w:color="auto" w:fill="auto"/>
            <w:noWrap/>
            <w:vAlign w:val="center"/>
            <w:hideMark/>
          </w:tcPr>
          <w:p w:rsidRPr="003A0D5E" w:rsidR="00D520BD" w:rsidP="00982BD1" w:rsidRDefault="00D520BD" w14:paraId="343B6B45" w14:textId="77777777">
            <w:pPr>
              <w:autoSpaceDE/>
              <w:autoSpaceDN/>
              <w:adjustRightInd/>
              <w:rPr>
                <w:rFonts w:cs="Arial"/>
                <w:color w:val="000000"/>
                <w:sz w:val="22"/>
                <w:szCs w:val="22"/>
              </w:rPr>
            </w:pPr>
            <w:r w:rsidRPr="003A0D5E">
              <w:rPr>
                <w:rFonts w:cs="Arial"/>
                <w:color w:val="000000"/>
                <w:sz w:val="22"/>
                <w:szCs w:val="22"/>
              </w:rPr>
              <w:t>Revise contract with the primary HHS-certified laboratory</w:t>
            </w:r>
          </w:p>
        </w:tc>
        <w:tc>
          <w:tcPr>
            <w:tcW w:w="1249" w:type="pct"/>
            <w:tcBorders>
              <w:top w:val="nil"/>
              <w:left w:val="nil"/>
              <w:bottom w:val="single" w:color="auto" w:sz="4" w:space="0"/>
              <w:right w:val="single" w:color="auto" w:sz="4" w:space="0"/>
            </w:tcBorders>
            <w:shd w:val="clear" w:color="auto" w:fill="auto"/>
            <w:vAlign w:val="center"/>
            <w:hideMark/>
          </w:tcPr>
          <w:p w:rsidRPr="003A0D5E" w:rsidR="00D520BD" w:rsidP="00982BD1" w:rsidRDefault="00D520BD" w14:paraId="668EF8E7" w14:textId="01B68B46">
            <w:pPr>
              <w:autoSpaceDE/>
              <w:autoSpaceDN/>
              <w:adjustRightInd/>
              <w:jc w:val="center"/>
              <w:rPr>
                <w:rFonts w:cs="Arial"/>
                <w:color w:val="000000"/>
                <w:sz w:val="22"/>
                <w:szCs w:val="22"/>
              </w:rPr>
            </w:pPr>
            <w:r w:rsidRPr="003A0D5E">
              <w:rPr>
                <w:rFonts w:cs="Arial"/>
                <w:color w:val="000000"/>
                <w:sz w:val="22"/>
                <w:szCs w:val="22"/>
              </w:rPr>
              <w:t>($</w:t>
            </w:r>
            <w:r w:rsidRPr="003A0D5E" w:rsidR="00366CE7">
              <w:rPr>
                <w:rFonts w:cs="Arial"/>
                <w:color w:val="000000"/>
                <w:sz w:val="22"/>
                <w:szCs w:val="22"/>
              </w:rPr>
              <w:t>12,336</w:t>
            </w:r>
            <w:r w:rsidRPr="003A0D5E">
              <w:rPr>
                <w:rFonts w:cs="Arial"/>
                <w:color w:val="000000"/>
                <w:sz w:val="22"/>
                <w:szCs w:val="22"/>
              </w:rPr>
              <w:t>)</w:t>
            </w:r>
          </w:p>
        </w:tc>
      </w:tr>
      <w:tr w:rsidRPr="001C29C7" w:rsidR="00D520BD" w:rsidTr="002D2D00" w14:paraId="4489D282" w14:textId="77777777">
        <w:trPr>
          <w:cantSplit/>
          <w:trHeight w:val="300"/>
          <w:tblHeader/>
        </w:trPr>
        <w:tc>
          <w:tcPr>
            <w:tcW w:w="623" w:type="pct"/>
            <w:vMerge/>
            <w:tcBorders>
              <w:left w:val="single" w:color="auto" w:sz="4" w:space="0"/>
              <w:bottom w:val="single" w:color="auto" w:sz="4" w:space="0"/>
              <w:right w:val="single" w:color="auto" w:sz="4" w:space="0"/>
            </w:tcBorders>
            <w:vAlign w:val="center"/>
          </w:tcPr>
          <w:p w:rsidRPr="003A0D5E" w:rsidR="00D520BD" w:rsidP="00982BD1" w:rsidRDefault="00D520BD" w14:paraId="228D5599" w14:textId="77777777">
            <w:pPr>
              <w:autoSpaceDE/>
              <w:autoSpaceDN/>
              <w:adjustRightInd/>
              <w:jc w:val="center"/>
              <w:rPr>
                <w:rFonts w:cs="Arial"/>
                <w:color w:val="000000"/>
                <w:sz w:val="22"/>
                <w:szCs w:val="22"/>
              </w:rPr>
            </w:pPr>
          </w:p>
        </w:tc>
        <w:tc>
          <w:tcPr>
            <w:tcW w:w="3128" w:type="pct"/>
            <w:tcBorders>
              <w:top w:val="nil"/>
              <w:left w:val="single" w:color="auto" w:sz="4" w:space="0"/>
              <w:bottom w:val="single" w:color="auto" w:sz="4" w:space="0"/>
              <w:right w:val="single" w:color="auto" w:sz="4" w:space="0"/>
            </w:tcBorders>
            <w:shd w:val="clear" w:color="auto" w:fill="auto"/>
            <w:noWrap/>
            <w:vAlign w:val="center"/>
            <w:hideMark/>
          </w:tcPr>
          <w:p w:rsidRPr="003A0D5E" w:rsidR="00D520BD" w:rsidP="00982BD1" w:rsidRDefault="00D520BD" w14:paraId="23199CE2" w14:textId="77777777">
            <w:pPr>
              <w:autoSpaceDE/>
              <w:autoSpaceDN/>
              <w:adjustRightInd/>
              <w:rPr>
                <w:rFonts w:cs="Arial"/>
                <w:color w:val="000000"/>
                <w:sz w:val="22"/>
                <w:szCs w:val="22"/>
              </w:rPr>
            </w:pPr>
            <w:r w:rsidRPr="003A0D5E">
              <w:rPr>
                <w:rFonts w:cs="Arial"/>
                <w:color w:val="000000"/>
                <w:sz w:val="22"/>
                <w:szCs w:val="22"/>
              </w:rPr>
              <w:t>Revise contract with the backup HHS-certified laboratory</w:t>
            </w:r>
          </w:p>
        </w:tc>
        <w:tc>
          <w:tcPr>
            <w:tcW w:w="1249" w:type="pct"/>
            <w:tcBorders>
              <w:top w:val="nil"/>
              <w:left w:val="nil"/>
              <w:bottom w:val="single" w:color="auto" w:sz="4" w:space="0"/>
              <w:right w:val="single" w:color="auto" w:sz="4" w:space="0"/>
            </w:tcBorders>
            <w:shd w:val="clear" w:color="auto" w:fill="auto"/>
            <w:vAlign w:val="center"/>
            <w:hideMark/>
          </w:tcPr>
          <w:p w:rsidRPr="003A0D5E" w:rsidR="00D520BD" w:rsidP="00982BD1" w:rsidRDefault="00D520BD" w14:paraId="28A45CD3" w14:textId="63F483CB">
            <w:pPr>
              <w:autoSpaceDE/>
              <w:autoSpaceDN/>
              <w:adjustRightInd/>
              <w:jc w:val="center"/>
              <w:rPr>
                <w:rFonts w:cs="Arial"/>
                <w:color w:val="000000"/>
                <w:sz w:val="22"/>
                <w:szCs w:val="22"/>
              </w:rPr>
            </w:pPr>
            <w:r w:rsidRPr="003A0D5E">
              <w:rPr>
                <w:rFonts w:cs="Arial"/>
                <w:color w:val="000000"/>
                <w:sz w:val="22"/>
                <w:szCs w:val="22"/>
              </w:rPr>
              <w:t>($</w:t>
            </w:r>
            <w:r w:rsidRPr="003A0D5E" w:rsidR="00D118EE">
              <w:rPr>
                <w:rFonts w:cs="Arial"/>
                <w:color w:val="000000"/>
                <w:sz w:val="22"/>
                <w:szCs w:val="22"/>
              </w:rPr>
              <w:t>12,336</w:t>
            </w:r>
            <w:r w:rsidRPr="003A0D5E">
              <w:rPr>
                <w:rFonts w:cs="Arial"/>
                <w:color w:val="000000"/>
                <w:sz w:val="22"/>
                <w:szCs w:val="22"/>
              </w:rPr>
              <w:t>)</w:t>
            </w:r>
          </w:p>
        </w:tc>
      </w:tr>
      <w:tr w:rsidRPr="001C29C7" w:rsidR="00D520BD" w:rsidTr="002D2D00" w14:paraId="77CF82E0" w14:textId="77777777">
        <w:trPr>
          <w:cantSplit/>
          <w:trHeight w:val="300"/>
          <w:tblHeader/>
        </w:trPr>
        <w:tc>
          <w:tcPr>
            <w:tcW w:w="623" w:type="pct"/>
            <w:vMerge/>
            <w:tcBorders>
              <w:left w:val="single" w:color="auto" w:sz="4" w:space="0"/>
              <w:bottom w:val="single" w:color="auto" w:sz="4" w:space="0"/>
              <w:right w:val="single" w:color="auto" w:sz="4" w:space="0"/>
            </w:tcBorders>
            <w:vAlign w:val="center"/>
          </w:tcPr>
          <w:p w:rsidRPr="003A0D5E" w:rsidR="00D520BD" w:rsidP="00982BD1" w:rsidRDefault="00D520BD" w14:paraId="765DA67B" w14:textId="77777777">
            <w:pPr>
              <w:autoSpaceDE/>
              <w:autoSpaceDN/>
              <w:adjustRightInd/>
              <w:jc w:val="center"/>
              <w:rPr>
                <w:rFonts w:cs="Arial"/>
                <w:color w:val="000000"/>
                <w:sz w:val="22"/>
                <w:szCs w:val="22"/>
              </w:rPr>
            </w:pPr>
          </w:p>
        </w:tc>
        <w:tc>
          <w:tcPr>
            <w:tcW w:w="3128" w:type="pct"/>
            <w:tcBorders>
              <w:top w:val="nil"/>
              <w:left w:val="single" w:color="auto" w:sz="4" w:space="0"/>
              <w:bottom w:val="single" w:color="auto" w:sz="4" w:space="0"/>
              <w:right w:val="single" w:color="auto" w:sz="4" w:space="0"/>
            </w:tcBorders>
            <w:shd w:val="clear" w:color="auto" w:fill="auto"/>
            <w:noWrap/>
            <w:vAlign w:val="center"/>
            <w:hideMark/>
          </w:tcPr>
          <w:p w:rsidRPr="003A0D5E" w:rsidR="00D520BD" w:rsidP="00982BD1" w:rsidRDefault="00D520BD" w14:paraId="01C8B40C" w14:textId="77777777">
            <w:pPr>
              <w:autoSpaceDE/>
              <w:autoSpaceDN/>
              <w:adjustRightInd/>
              <w:rPr>
                <w:rFonts w:cs="Arial"/>
                <w:color w:val="000000"/>
                <w:sz w:val="22"/>
                <w:szCs w:val="22"/>
              </w:rPr>
            </w:pPr>
            <w:r w:rsidRPr="003A0D5E">
              <w:rPr>
                <w:rFonts w:cs="Arial"/>
                <w:color w:val="000000"/>
                <w:sz w:val="22"/>
                <w:szCs w:val="22"/>
              </w:rPr>
              <w:t>Revise contract with BPTS supplier</w:t>
            </w:r>
          </w:p>
        </w:tc>
        <w:tc>
          <w:tcPr>
            <w:tcW w:w="1249" w:type="pct"/>
            <w:tcBorders>
              <w:top w:val="nil"/>
              <w:left w:val="nil"/>
              <w:bottom w:val="single" w:color="auto" w:sz="4" w:space="0"/>
              <w:right w:val="single" w:color="auto" w:sz="4" w:space="0"/>
            </w:tcBorders>
            <w:shd w:val="clear" w:color="auto" w:fill="auto"/>
            <w:vAlign w:val="center"/>
            <w:hideMark/>
          </w:tcPr>
          <w:p w:rsidRPr="003A0D5E" w:rsidR="00D520BD" w:rsidP="00982BD1" w:rsidRDefault="00D520BD" w14:paraId="0BAFF17A" w14:textId="367101FA">
            <w:pPr>
              <w:autoSpaceDE/>
              <w:autoSpaceDN/>
              <w:adjustRightInd/>
              <w:jc w:val="center"/>
              <w:rPr>
                <w:rFonts w:cs="Arial"/>
                <w:color w:val="000000"/>
                <w:sz w:val="22"/>
                <w:szCs w:val="22"/>
              </w:rPr>
            </w:pPr>
            <w:r w:rsidRPr="003A0D5E">
              <w:rPr>
                <w:rFonts w:cs="Arial"/>
                <w:color w:val="000000"/>
                <w:sz w:val="22"/>
                <w:szCs w:val="22"/>
              </w:rPr>
              <w:t>($6</w:t>
            </w:r>
            <w:r w:rsidRPr="003A0D5E" w:rsidR="00646A79">
              <w:rPr>
                <w:rFonts w:cs="Arial"/>
                <w:color w:val="000000"/>
                <w:sz w:val="22"/>
                <w:szCs w:val="22"/>
              </w:rPr>
              <w:t>,</w:t>
            </w:r>
            <w:r w:rsidRPr="003A0D5E">
              <w:rPr>
                <w:rFonts w:cs="Arial"/>
                <w:color w:val="000000"/>
                <w:sz w:val="22"/>
                <w:szCs w:val="22"/>
              </w:rPr>
              <w:t>1</w:t>
            </w:r>
            <w:r w:rsidRPr="003A0D5E" w:rsidR="00D118EE">
              <w:rPr>
                <w:rFonts w:cs="Arial"/>
                <w:color w:val="000000"/>
                <w:sz w:val="22"/>
                <w:szCs w:val="22"/>
              </w:rPr>
              <w:t>68</w:t>
            </w:r>
            <w:r w:rsidRPr="003A0D5E">
              <w:rPr>
                <w:rFonts w:cs="Arial"/>
                <w:color w:val="000000"/>
                <w:sz w:val="22"/>
                <w:szCs w:val="22"/>
              </w:rPr>
              <w:t>)</w:t>
            </w:r>
          </w:p>
        </w:tc>
      </w:tr>
      <w:tr w:rsidRPr="001C29C7" w:rsidR="00D520BD" w:rsidTr="002D2D00" w14:paraId="5BFA8B42" w14:textId="77777777">
        <w:trPr>
          <w:cantSplit/>
          <w:trHeight w:val="300"/>
          <w:tblHeader/>
        </w:trPr>
        <w:tc>
          <w:tcPr>
            <w:tcW w:w="623" w:type="pct"/>
            <w:vMerge/>
            <w:tcBorders>
              <w:left w:val="single" w:color="auto" w:sz="4" w:space="0"/>
              <w:bottom w:val="single" w:color="auto" w:sz="4" w:space="0"/>
              <w:right w:val="single" w:color="auto" w:sz="4" w:space="0"/>
            </w:tcBorders>
            <w:vAlign w:val="center"/>
          </w:tcPr>
          <w:p w:rsidRPr="003A0D5E" w:rsidR="00D520BD" w:rsidP="00982BD1" w:rsidRDefault="00D520BD" w14:paraId="6EDCCCFD" w14:textId="77777777">
            <w:pPr>
              <w:autoSpaceDE/>
              <w:autoSpaceDN/>
              <w:adjustRightInd/>
              <w:jc w:val="center"/>
              <w:rPr>
                <w:rFonts w:cs="Arial"/>
                <w:color w:val="000000"/>
                <w:sz w:val="22"/>
                <w:szCs w:val="22"/>
              </w:rPr>
            </w:pPr>
          </w:p>
        </w:tc>
        <w:tc>
          <w:tcPr>
            <w:tcW w:w="3128" w:type="pct"/>
            <w:tcBorders>
              <w:top w:val="nil"/>
              <w:left w:val="single" w:color="auto" w:sz="4" w:space="0"/>
              <w:bottom w:val="single" w:color="auto" w:sz="4" w:space="0"/>
              <w:right w:val="single" w:color="auto" w:sz="4" w:space="0"/>
            </w:tcBorders>
            <w:shd w:val="clear" w:color="auto" w:fill="auto"/>
            <w:noWrap/>
            <w:vAlign w:val="center"/>
            <w:hideMark/>
          </w:tcPr>
          <w:p w:rsidRPr="003A0D5E" w:rsidR="00D520BD" w:rsidP="00982BD1" w:rsidRDefault="00D520BD" w14:paraId="27B1001F" w14:textId="77777777">
            <w:pPr>
              <w:autoSpaceDE/>
              <w:autoSpaceDN/>
              <w:adjustRightInd/>
              <w:rPr>
                <w:rFonts w:cs="Arial"/>
                <w:color w:val="000000"/>
                <w:sz w:val="22"/>
                <w:szCs w:val="22"/>
              </w:rPr>
            </w:pPr>
            <w:r w:rsidRPr="003A0D5E">
              <w:rPr>
                <w:rFonts w:cs="Arial"/>
                <w:color w:val="000000"/>
                <w:sz w:val="22"/>
                <w:szCs w:val="22"/>
              </w:rPr>
              <w:t>Train LTF technicians</w:t>
            </w:r>
          </w:p>
        </w:tc>
        <w:tc>
          <w:tcPr>
            <w:tcW w:w="1249" w:type="pct"/>
            <w:tcBorders>
              <w:top w:val="nil"/>
              <w:left w:val="nil"/>
              <w:bottom w:val="single" w:color="auto" w:sz="4" w:space="0"/>
              <w:right w:val="single" w:color="auto" w:sz="4" w:space="0"/>
            </w:tcBorders>
            <w:shd w:val="clear" w:color="auto" w:fill="auto"/>
            <w:vAlign w:val="center"/>
            <w:hideMark/>
          </w:tcPr>
          <w:p w:rsidRPr="003A0D5E" w:rsidR="00D520BD" w:rsidP="00982BD1" w:rsidRDefault="00D520BD" w14:paraId="4C5E62A1" w14:textId="58190FB6">
            <w:pPr>
              <w:autoSpaceDE/>
              <w:autoSpaceDN/>
              <w:adjustRightInd/>
              <w:jc w:val="center"/>
              <w:rPr>
                <w:rFonts w:cs="Arial"/>
                <w:color w:val="000000"/>
                <w:sz w:val="22"/>
                <w:szCs w:val="22"/>
              </w:rPr>
            </w:pPr>
            <w:r w:rsidRPr="003A0D5E">
              <w:rPr>
                <w:rFonts w:cs="Arial"/>
                <w:color w:val="000000"/>
                <w:sz w:val="22"/>
                <w:szCs w:val="22"/>
              </w:rPr>
              <w:t>($</w:t>
            </w:r>
            <w:r w:rsidRPr="003A0D5E" w:rsidR="000853E7">
              <w:rPr>
                <w:rFonts w:cs="Arial"/>
                <w:color w:val="000000"/>
                <w:sz w:val="22"/>
                <w:szCs w:val="22"/>
              </w:rPr>
              <w:t>2,131</w:t>
            </w:r>
            <w:r w:rsidRPr="003A0D5E">
              <w:rPr>
                <w:rFonts w:cs="Arial"/>
                <w:color w:val="000000"/>
                <w:sz w:val="22"/>
                <w:szCs w:val="22"/>
              </w:rPr>
              <w:t>)</w:t>
            </w:r>
          </w:p>
        </w:tc>
      </w:tr>
      <w:tr w:rsidRPr="001C29C7" w:rsidR="00D520BD" w:rsidTr="002D2D00" w14:paraId="7C0F67A0" w14:textId="77777777">
        <w:trPr>
          <w:cantSplit/>
          <w:trHeight w:val="300"/>
          <w:tblHeader/>
        </w:trPr>
        <w:tc>
          <w:tcPr>
            <w:tcW w:w="623" w:type="pct"/>
            <w:vMerge/>
            <w:tcBorders>
              <w:left w:val="single" w:color="auto" w:sz="4" w:space="0"/>
              <w:bottom w:val="single" w:color="auto" w:sz="4" w:space="0"/>
              <w:right w:val="single" w:color="auto" w:sz="4" w:space="0"/>
            </w:tcBorders>
            <w:vAlign w:val="center"/>
          </w:tcPr>
          <w:p w:rsidRPr="003A0D5E" w:rsidR="00D520BD" w:rsidP="00982BD1" w:rsidRDefault="00D520BD" w14:paraId="35BD5BD6" w14:textId="77777777">
            <w:pPr>
              <w:autoSpaceDE/>
              <w:autoSpaceDN/>
              <w:adjustRightInd/>
              <w:jc w:val="center"/>
              <w:rPr>
                <w:rFonts w:cs="Arial"/>
                <w:color w:val="000000"/>
                <w:sz w:val="22"/>
                <w:szCs w:val="22"/>
              </w:rPr>
            </w:pPr>
          </w:p>
        </w:tc>
        <w:tc>
          <w:tcPr>
            <w:tcW w:w="3128" w:type="pct"/>
            <w:tcBorders>
              <w:top w:val="nil"/>
              <w:left w:val="single" w:color="auto" w:sz="4" w:space="0"/>
              <w:bottom w:val="single" w:color="auto" w:sz="4" w:space="0"/>
              <w:right w:val="single" w:color="auto" w:sz="4" w:space="0"/>
            </w:tcBorders>
            <w:shd w:val="clear" w:color="auto" w:fill="auto"/>
            <w:noWrap/>
            <w:vAlign w:val="center"/>
            <w:hideMark/>
          </w:tcPr>
          <w:p w:rsidRPr="003A0D5E" w:rsidR="00D520BD" w:rsidP="00982BD1" w:rsidRDefault="00D520BD" w14:paraId="3C78FA0F" w14:textId="77777777">
            <w:pPr>
              <w:autoSpaceDE/>
              <w:autoSpaceDN/>
              <w:adjustRightInd/>
              <w:rPr>
                <w:rFonts w:cs="Arial"/>
                <w:color w:val="000000"/>
                <w:sz w:val="22"/>
                <w:szCs w:val="22"/>
              </w:rPr>
            </w:pPr>
            <w:r w:rsidRPr="003A0D5E">
              <w:rPr>
                <w:rFonts w:cs="Arial"/>
                <w:color w:val="000000"/>
                <w:sz w:val="22"/>
                <w:szCs w:val="22"/>
              </w:rPr>
              <w:t>Validate drug testing assays at LTF</w:t>
            </w:r>
          </w:p>
        </w:tc>
        <w:tc>
          <w:tcPr>
            <w:tcW w:w="1249" w:type="pct"/>
            <w:tcBorders>
              <w:top w:val="nil"/>
              <w:left w:val="nil"/>
              <w:bottom w:val="single" w:color="auto" w:sz="4" w:space="0"/>
              <w:right w:val="single" w:color="auto" w:sz="4" w:space="0"/>
            </w:tcBorders>
            <w:shd w:val="clear" w:color="auto" w:fill="auto"/>
            <w:vAlign w:val="center"/>
            <w:hideMark/>
          </w:tcPr>
          <w:p w:rsidRPr="003A0D5E" w:rsidR="00D520BD" w:rsidP="00982BD1" w:rsidRDefault="00D520BD" w14:paraId="081DD8B6" w14:textId="3B72FFF8">
            <w:pPr>
              <w:autoSpaceDE/>
              <w:autoSpaceDN/>
              <w:adjustRightInd/>
              <w:jc w:val="center"/>
              <w:rPr>
                <w:rFonts w:cs="Arial"/>
                <w:color w:val="000000"/>
                <w:sz w:val="22"/>
                <w:szCs w:val="22"/>
              </w:rPr>
            </w:pPr>
            <w:r w:rsidRPr="003A0D5E">
              <w:rPr>
                <w:rFonts w:cs="Arial"/>
                <w:color w:val="000000"/>
                <w:sz w:val="22"/>
                <w:szCs w:val="22"/>
              </w:rPr>
              <w:t>($</w:t>
            </w:r>
            <w:r w:rsidRPr="003A0D5E" w:rsidR="000853E7">
              <w:rPr>
                <w:rFonts w:cs="Arial"/>
                <w:color w:val="000000"/>
                <w:sz w:val="22"/>
                <w:szCs w:val="22"/>
              </w:rPr>
              <w:t>6,180</w:t>
            </w:r>
            <w:r w:rsidRPr="003A0D5E">
              <w:rPr>
                <w:rFonts w:cs="Arial"/>
                <w:color w:val="000000"/>
                <w:sz w:val="22"/>
                <w:szCs w:val="22"/>
              </w:rPr>
              <w:t>)</w:t>
            </w:r>
          </w:p>
        </w:tc>
      </w:tr>
      <w:tr w:rsidRPr="001C29C7" w:rsidR="00D520BD" w:rsidTr="002D2D00" w14:paraId="5B5D997A" w14:textId="77777777">
        <w:trPr>
          <w:cantSplit/>
          <w:trHeight w:val="300"/>
          <w:tblHeader/>
        </w:trPr>
        <w:tc>
          <w:tcPr>
            <w:tcW w:w="623" w:type="pct"/>
            <w:vMerge/>
            <w:tcBorders>
              <w:left w:val="single" w:color="auto" w:sz="4" w:space="0"/>
              <w:bottom w:val="single" w:color="auto" w:sz="4" w:space="0"/>
              <w:right w:val="single" w:color="auto" w:sz="4" w:space="0"/>
            </w:tcBorders>
            <w:vAlign w:val="center"/>
          </w:tcPr>
          <w:p w:rsidRPr="003A0D5E" w:rsidR="00D520BD" w:rsidP="00982BD1" w:rsidRDefault="00D520BD" w14:paraId="76075717" w14:textId="77777777">
            <w:pPr>
              <w:autoSpaceDE/>
              <w:autoSpaceDN/>
              <w:adjustRightInd/>
              <w:ind w:firstLine="440" w:firstLineChars="200"/>
              <w:jc w:val="center"/>
              <w:rPr>
                <w:color w:val="000000"/>
                <w:sz w:val="22"/>
                <w:szCs w:val="22"/>
              </w:rPr>
            </w:pPr>
          </w:p>
        </w:tc>
        <w:tc>
          <w:tcPr>
            <w:tcW w:w="3128" w:type="pct"/>
            <w:tcBorders>
              <w:top w:val="single" w:color="auto" w:sz="4" w:space="0"/>
              <w:left w:val="single" w:color="auto" w:sz="4" w:space="0"/>
              <w:bottom w:val="single" w:color="auto" w:sz="4" w:space="0"/>
              <w:right w:val="nil"/>
            </w:tcBorders>
            <w:shd w:val="clear" w:color="auto" w:fill="auto"/>
            <w:noWrap/>
            <w:vAlign w:val="center"/>
            <w:hideMark/>
          </w:tcPr>
          <w:p w:rsidRPr="003A0D5E" w:rsidR="00D520BD" w:rsidP="00982BD1" w:rsidRDefault="00D520BD" w14:paraId="12A4F1D6" w14:textId="77777777">
            <w:pPr>
              <w:autoSpaceDE/>
              <w:autoSpaceDN/>
              <w:adjustRightInd/>
              <w:ind w:firstLine="442" w:firstLineChars="200"/>
              <w:jc w:val="right"/>
              <w:rPr>
                <w:rFonts w:cs="Arial"/>
                <w:b/>
                <w:color w:val="000000"/>
                <w:sz w:val="22"/>
                <w:szCs w:val="22"/>
              </w:rPr>
            </w:pPr>
            <w:r w:rsidRPr="003A0D5E">
              <w:rPr>
                <w:rFonts w:cs="Arial"/>
                <w:b/>
                <w:color w:val="000000"/>
                <w:sz w:val="22"/>
                <w:szCs w:val="22"/>
              </w:rPr>
              <w:t>Total for all sites</w:t>
            </w:r>
          </w:p>
        </w:tc>
        <w:tc>
          <w:tcPr>
            <w:tcW w:w="1249"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3A0D5E" w:rsidR="00D520BD" w:rsidP="00982BD1" w:rsidRDefault="00D520BD" w14:paraId="5CDE688C" w14:textId="53C90FCC">
            <w:pPr>
              <w:autoSpaceDE/>
              <w:autoSpaceDN/>
              <w:adjustRightInd/>
              <w:jc w:val="center"/>
              <w:rPr>
                <w:rFonts w:cs="Arial"/>
                <w:b/>
                <w:color w:val="000000"/>
                <w:sz w:val="22"/>
                <w:szCs w:val="22"/>
              </w:rPr>
            </w:pPr>
            <w:r w:rsidRPr="003A0D5E">
              <w:rPr>
                <w:rFonts w:cs="Arial"/>
                <w:b/>
                <w:color w:val="000000"/>
                <w:sz w:val="22"/>
                <w:szCs w:val="22"/>
              </w:rPr>
              <w:t>($</w:t>
            </w:r>
            <w:r w:rsidRPr="003A0D5E" w:rsidR="00C41C04">
              <w:rPr>
                <w:rFonts w:cs="Arial"/>
                <w:b/>
                <w:color w:val="000000"/>
                <w:sz w:val="22"/>
                <w:szCs w:val="22"/>
              </w:rPr>
              <w:t>136,936</w:t>
            </w:r>
            <w:r w:rsidRPr="003A0D5E">
              <w:rPr>
                <w:rFonts w:cs="Arial"/>
                <w:b/>
                <w:color w:val="000000"/>
                <w:sz w:val="22"/>
                <w:szCs w:val="22"/>
              </w:rPr>
              <w:t>)</w:t>
            </w:r>
          </w:p>
        </w:tc>
      </w:tr>
      <w:tr w:rsidRPr="001C29C7" w:rsidR="00D520BD" w:rsidTr="002D2D00" w14:paraId="7CA914F7" w14:textId="77777777">
        <w:trPr>
          <w:cantSplit/>
          <w:trHeight w:val="300"/>
          <w:tblHeader/>
        </w:trPr>
        <w:tc>
          <w:tcPr>
            <w:tcW w:w="623" w:type="pct"/>
            <w:vMerge/>
            <w:tcBorders>
              <w:left w:val="single" w:color="auto" w:sz="4" w:space="0"/>
              <w:bottom w:val="single" w:color="auto" w:sz="4" w:space="0"/>
              <w:right w:val="single" w:color="auto" w:sz="4" w:space="0"/>
            </w:tcBorders>
            <w:vAlign w:val="center"/>
          </w:tcPr>
          <w:p w:rsidRPr="003A0D5E" w:rsidR="00D520BD" w:rsidP="00982BD1" w:rsidRDefault="00D520BD" w14:paraId="30D5B643" w14:textId="77777777">
            <w:pPr>
              <w:autoSpaceDE/>
              <w:autoSpaceDN/>
              <w:adjustRightInd/>
              <w:ind w:firstLine="440" w:firstLineChars="200"/>
              <w:jc w:val="center"/>
              <w:rPr>
                <w:color w:val="000000"/>
                <w:sz w:val="22"/>
                <w:szCs w:val="22"/>
              </w:rPr>
            </w:pPr>
          </w:p>
        </w:tc>
        <w:tc>
          <w:tcPr>
            <w:tcW w:w="3128" w:type="pct"/>
            <w:tcBorders>
              <w:top w:val="single" w:color="auto" w:sz="4" w:space="0"/>
              <w:left w:val="single" w:color="auto" w:sz="4" w:space="0"/>
              <w:bottom w:val="single" w:color="auto" w:sz="4" w:space="0"/>
              <w:right w:val="nil"/>
            </w:tcBorders>
            <w:shd w:val="clear" w:color="auto" w:fill="auto"/>
            <w:noWrap/>
            <w:vAlign w:val="center"/>
          </w:tcPr>
          <w:p w:rsidRPr="003A0D5E" w:rsidR="00D520BD" w:rsidP="00982BD1" w:rsidRDefault="00D520BD" w14:paraId="11BDF31F" w14:textId="77777777">
            <w:pPr>
              <w:autoSpaceDE/>
              <w:autoSpaceDN/>
              <w:adjustRightInd/>
              <w:ind w:firstLine="442" w:firstLineChars="200"/>
              <w:jc w:val="right"/>
              <w:rPr>
                <w:rFonts w:cs="Arial"/>
                <w:b/>
                <w:color w:val="000000"/>
                <w:sz w:val="22"/>
                <w:szCs w:val="22"/>
              </w:rPr>
            </w:pPr>
            <w:r w:rsidRPr="003A0D5E">
              <w:rPr>
                <w:rFonts w:cs="Arial"/>
                <w:b/>
                <w:color w:val="000000"/>
                <w:sz w:val="22"/>
                <w:szCs w:val="22"/>
              </w:rPr>
              <w:t>Average cost per site</w:t>
            </w:r>
          </w:p>
        </w:tc>
        <w:tc>
          <w:tcPr>
            <w:tcW w:w="1249"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3A0D5E" w:rsidR="00D520BD" w:rsidP="00982BD1" w:rsidRDefault="00D520BD" w14:paraId="3F24AA61" w14:textId="74E59B67">
            <w:pPr>
              <w:autoSpaceDE/>
              <w:autoSpaceDN/>
              <w:adjustRightInd/>
              <w:jc w:val="center"/>
              <w:rPr>
                <w:rFonts w:cs="Arial"/>
                <w:b/>
                <w:color w:val="000000"/>
                <w:sz w:val="22"/>
                <w:szCs w:val="22"/>
              </w:rPr>
            </w:pPr>
            <w:r w:rsidRPr="003A0D5E">
              <w:rPr>
                <w:rFonts w:cs="Arial"/>
                <w:b/>
                <w:color w:val="000000"/>
                <w:sz w:val="22"/>
                <w:szCs w:val="22"/>
              </w:rPr>
              <w:t>($</w:t>
            </w:r>
            <w:r w:rsidRPr="003A0D5E" w:rsidR="00832E7D">
              <w:rPr>
                <w:rFonts w:cs="Arial"/>
                <w:b/>
                <w:color w:val="000000"/>
                <w:sz w:val="22"/>
                <w:szCs w:val="22"/>
              </w:rPr>
              <w:t>2,321</w:t>
            </w:r>
            <w:r w:rsidRPr="003A0D5E">
              <w:rPr>
                <w:rFonts w:cs="Arial"/>
                <w:b/>
                <w:color w:val="000000"/>
                <w:sz w:val="22"/>
                <w:szCs w:val="22"/>
              </w:rPr>
              <w:t>)</w:t>
            </w:r>
          </w:p>
        </w:tc>
      </w:tr>
    </w:tbl>
    <w:p w:rsidR="00D520BD" w:rsidP="00625C7E" w:rsidRDefault="00D520BD" w14:paraId="687681BA" w14:textId="485C11A6">
      <w:pPr>
        <w:tabs>
          <w:tab w:val="left" w:pos="721"/>
        </w:tabs>
        <w:rPr>
          <w:sz w:val="22"/>
          <w:szCs w:val="22"/>
        </w:rPr>
      </w:pPr>
    </w:p>
    <w:p w:rsidRPr="007506E3" w:rsidR="005F3921" w:rsidP="00625C7E" w:rsidRDefault="005F3921" w14:paraId="7758E6E9" w14:textId="7616F9FE">
      <w:pPr>
        <w:tabs>
          <w:tab w:val="left" w:pos="721"/>
        </w:tabs>
        <w:rPr>
          <w:sz w:val="22"/>
          <w:szCs w:val="22"/>
        </w:rPr>
      </w:pPr>
      <w:r w:rsidRPr="005F3921">
        <w:rPr>
          <w:b/>
          <w:bCs/>
          <w:i/>
          <w:iCs/>
          <w:sz w:val="22"/>
          <w:szCs w:val="22"/>
        </w:rPr>
        <w:t>Future Nuclear Facilities</w:t>
      </w:r>
      <w:r w:rsidRPr="00F96D91">
        <w:rPr>
          <w:b/>
          <w:sz w:val="22"/>
        </w:rPr>
        <w:t>:</w:t>
      </w:r>
      <w:r>
        <w:rPr>
          <w:sz w:val="22"/>
          <w:szCs w:val="22"/>
        </w:rPr>
        <w:t xml:space="preserve">  </w:t>
      </w:r>
      <w:r w:rsidRPr="003A7001">
        <w:rPr>
          <w:sz w:val="22"/>
          <w:szCs w:val="22"/>
        </w:rPr>
        <w:t xml:space="preserve">The NRC staff estimates </w:t>
      </w:r>
      <w:r w:rsidRPr="007506E3">
        <w:rPr>
          <w:sz w:val="22"/>
          <w:szCs w:val="22"/>
        </w:rPr>
        <w:t>negligible incremental rule implementation costs for nuclear facilities constructed and operated after the rule effective date because each activit</w:t>
      </w:r>
      <w:r w:rsidR="00C112BB">
        <w:rPr>
          <w:sz w:val="22"/>
          <w:szCs w:val="22"/>
        </w:rPr>
        <w:t>y</w:t>
      </w:r>
      <w:r w:rsidRPr="007506E3">
        <w:rPr>
          <w:sz w:val="22"/>
          <w:szCs w:val="22"/>
        </w:rPr>
        <w:t xml:space="preserve"> listed in </w:t>
      </w:r>
      <w:r w:rsidRPr="003A7001" w:rsidR="004C75A5">
        <w:rPr>
          <w:sz w:val="22"/>
          <w:szCs w:val="22"/>
        </w:rPr>
        <w:fldChar w:fldCharType="begin"/>
      </w:r>
      <w:r w:rsidRPr="007506E3" w:rsidR="004C75A5">
        <w:rPr>
          <w:sz w:val="22"/>
          <w:szCs w:val="22"/>
        </w:rPr>
        <w:instrText xml:space="preserve"> REF _Ref71785638 \h  \* MERGEFORMAT </w:instrText>
      </w:r>
      <w:r w:rsidRPr="003A7001" w:rsidR="004C75A5">
        <w:rPr>
          <w:sz w:val="22"/>
          <w:szCs w:val="22"/>
        </w:rPr>
      </w:r>
      <w:r w:rsidRPr="003A7001" w:rsidR="004C75A5">
        <w:rPr>
          <w:sz w:val="22"/>
          <w:szCs w:val="22"/>
        </w:rPr>
        <w:fldChar w:fldCharType="separate"/>
      </w:r>
      <w:r w:rsidRPr="006155B8" w:rsidR="00A6777F">
        <w:rPr>
          <w:sz w:val="22"/>
          <w:szCs w:val="22"/>
        </w:rPr>
        <w:t>Table 5-5</w:t>
      </w:r>
      <w:r w:rsidRPr="003A7001" w:rsidR="004C75A5">
        <w:rPr>
          <w:sz w:val="22"/>
          <w:szCs w:val="22"/>
        </w:rPr>
        <w:fldChar w:fldCharType="end"/>
      </w:r>
      <w:r w:rsidRPr="003A7001" w:rsidR="004C75A5">
        <w:rPr>
          <w:sz w:val="22"/>
          <w:szCs w:val="22"/>
        </w:rPr>
        <w:t xml:space="preserve"> </w:t>
      </w:r>
      <w:r w:rsidR="00C112BB">
        <w:rPr>
          <w:sz w:val="22"/>
          <w:szCs w:val="22"/>
        </w:rPr>
        <w:t>is</w:t>
      </w:r>
      <w:r w:rsidRPr="003A7001">
        <w:rPr>
          <w:sz w:val="22"/>
          <w:szCs w:val="22"/>
        </w:rPr>
        <w:t xml:space="preserve"> included in the initial </w:t>
      </w:r>
      <w:r w:rsidRPr="007506E3" w:rsidR="003D5D63">
        <w:rPr>
          <w:sz w:val="22"/>
          <w:szCs w:val="22"/>
        </w:rPr>
        <w:t xml:space="preserve">development of </w:t>
      </w:r>
      <w:r w:rsidRPr="007506E3" w:rsidR="001B6659">
        <w:rPr>
          <w:sz w:val="22"/>
          <w:szCs w:val="22"/>
        </w:rPr>
        <w:t xml:space="preserve">FFD program </w:t>
      </w:r>
      <w:r w:rsidRPr="007506E3">
        <w:rPr>
          <w:sz w:val="22"/>
          <w:szCs w:val="22"/>
        </w:rPr>
        <w:t>policies</w:t>
      </w:r>
      <w:r w:rsidRPr="007506E3" w:rsidR="0011520D">
        <w:rPr>
          <w:sz w:val="22"/>
          <w:szCs w:val="22"/>
        </w:rPr>
        <w:t xml:space="preserve"> and</w:t>
      </w:r>
      <w:r w:rsidRPr="007506E3">
        <w:rPr>
          <w:sz w:val="22"/>
          <w:szCs w:val="22"/>
        </w:rPr>
        <w:t xml:space="preserve"> procedures and </w:t>
      </w:r>
      <w:r w:rsidR="001A572D">
        <w:rPr>
          <w:sz w:val="22"/>
          <w:szCs w:val="22"/>
        </w:rPr>
        <w:t xml:space="preserve">the </w:t>
      </w:r>
      <w:r w:rsidRPr="007506E3" w:rsidR="001B6659">
        <w:rPr>
          <w:sz w:val="22"/>
          <w:szCs w:val="22"/>
        </w:rPr>
        <w:t xml:space="preserve">delivery of </w:t>
      </w:r>
      <w:r w:rsidRPr="007506E3" w:rsidR="00C219E4">
        <w:rPr>
          <w:sz w:val="22"/>
          <w:szCs w:val="22"/>
        </w:rPr>
        <w:t xml:space="preserve">staff </w:t>
      </w:r>
      <w:r w:rsidRPr="007506E3">
        <w:rPr>
          <w:sz w:val="22"/>
          <w:szCs w:val="22"/>
        </w:rPr>
        <w:t>training.  Furthermore, the initial contract with the primary and backup HHS-certified laborator</w:t>
      </w:r>
      <w:r w:rsidR="00F96CF5">
        <w:rPr>
          <w:sz w:val="22"/>
          <w:szCs w:val="22"/>
        </w:rPr>
        <w:t>ies</w:t>
      </w:r>
      <w:r w:rsidRPr="007506E3">
        <w:rPr>
          <w:sz w:val="22"/>
          <w:szCs w:val="22"/>
        </w:rPr>
        <w:t xml:space="preserve"> would include the </w:t>
      </w:r>
      <w:r w:rsidR="00454539">
        <w:rPr>
          <w:sz w:val="22"/>
          <w:szCs w:val="22"/>
        </w:rPr>
        <w:t>updates to the drug testing</w:t>
      </w:r>
      <w:r w:rsidRPr="007506E3">
        <w:rPr>
          <w:sz w:val="22"/>
          <w:szCs w:val="22"/>
        </w:rPr>
        <w:t xml:space="preserve"> panel amended by the rule.</w:t>
      </w:r>
    </w:p>
    <w:p w:rsidR="00E93860" w:rsidP="00625C7E" w:rsidRDefault="00E93860" w14:paraId="0F1DF9E1" w14:textId="2B481D4A">
      <w:pPr>
        <w:tabs>
          <w:tab w:val="left" w:pos="721"/>
        </w:tabs>
        <w:rPr>
          <w:sz w:val="22"/>
          <w:szCs w:val="22"/>
        </w:rPr>
      </w:pPr>
    </w:p>
    <w:p w:rsidRPr="0075527B" w:rsidR="00D520BD" w:rsidP="00D520BD" w:rsidRDefault="00D520BD" w14:paraId="255BAD90" w14:textId="16A8105D">
      <w:pPr>
        <w:pStyle w:val="Heading3"/>
      </w:pPr>
      <w:bookmarkStart w:name="_Toc460412611" w:id="141"/>
      <w:bookmarkStart w:name="_Toc72840029" w:id="142"/>
      <w:bookmarkStart w:name="_Toc105681502" w:id="143"/>
      <w:r w:rsidRPr="00FE3368">
        <w:t>5.1.2</w:t>
      </w:r>
      <w:r w:rsidRPr="00FE3368">
        <w:tab/>
      </w:r>
      <w:bookmarkEnd w:id="136"/>
      <w:r w:rsidRPr="00FE3368">
        <w:t xml:space="preserve">Lowered Initial and Confirmatory </w:t>
      </w:r>
      <w:r>
        <w:t xml:space="preserve">Drug </w:t>
      </w:r>
      <w:r w:rsidRPr="00FE3368">
        <w:t>Testing Cutoff Levels for Amphetamines and Cocaine Metabolites</w:t>
      </w:r>
      <w:bookmarkEnd w:id="137"/>
      <w:bookmarkEnd w:id="141"/>
      <w:bookmarkEnd w:id="142"/>
      <w:bookmarkEnd w:id="143"/>
    </w:p>
    <w:p w:rsidRPr="005A5966" w:rsidR="00D520BD" w:rsidP="00D520BD" w:rsidRDefault="00D520BD" w14:paraId="491E43DB" w14:textId="77777777">
      <w:pPr>
        <w:keepNext/>
        <w:tabs>
          <w:tab w:val="left" w:pos="720"/>
        </w:tabs>
        <w:rPr>
          <w:sz w:val="22"/>
          <w:szCs w:val="22"/>
        </w:rPr>
      </w:pPr>
    </w:p>
    <w:p w:rsidRPr="005A5966" w:rsidR="00D520BD" w:rsidP="00D520BD" w:rsidRDefault="00D520BD" w14:paraId="291DFA88" w14:textId="6E693ED0">
      <w:pPr>
        <w:tabs>
          <w:tab w:val="left" w:pos="721"/>
        </w:tabs>
        <w:rPr>
          <w:rFonts w:cs="Arial"/>
          <w:bCs/>
          <w:sz w:val="22"/>
          <w:szCs w:val="22"/>
        </w:rPr>
      </w:pPr>
      <w:r w:rsidRPr="005A5966">
        <w:rPr>
          <w:rFonts w:cs="Arial"/>
          <w:bCs/>
          <w:sz w:val="22"/>
          <w:szCs w:val="22"/>
        </w:rPr>
        <w:t>Lowering the testing cutoff levels for amphetamines and cocaine metabolites increase</w:t>
      </w:r>
      <w:r w:rsidR="00C219E4">
        <w:rPr>
          <w:rFonts w:cs="Arial"/>
          <w:bCs/>
          <w:sz w:val="22"/>
          <w:szCs w:val="22"/>
        </w:rPr>
        <w:t>s</w:t>
      </w:r>
      <w:r w:rsidRPr="005A5966">
        <w:rPr>
          <w:rFonts w:cs="Arial"/>
          <w:bCs/>
          <w:sz w:val="22"/>
          <w:szCs w:val="22"/>
        </w:rPr>
        <w:t xml:space="preserve"> the timeframe (i.e.</w:t>
      </w:r>
      <w:r w:rsidR="00646A79">
        <w:rPr>
          <w:rFonts w:cs="Arial"/>
          <w:bCs/>
          <w:sz w:val="22"/>
          <w:szCs w:val="22"/>
        </w:rPr>
        <w:t>,</w:t>
      </w:r>
      <w:r>
        <w:rPr>
          <w:rFonts w:cs="Arial"/>
          <w:bCs/>
          <w:sz w:val="22"/>
          <w:szCs w:val="22"/>
        </w:rPr>
        <w:t> </w:t>
      </w:r>
      <w:r w:rsidRPr="005A5966">
        <w:rPr>
          <w:rFonts w:cs="Arial"/>
          <w:bCs/>
          <w:sz w:val="22"/>
          <w:szCs w:val="22"/>
        </w:rPr>
        <w:t>the window of detection) in which these drugs can be detected in an individual’s</w:t>
      </w:r>
      <w:r>
        <w:rPr>
          <w:rFonts w:cs="Arial"/>
          <w:bCs/>
          <w:sz w:val="22"/>
          <w:szCs w:val="22"/>
        </w:rPr>
        <w:t xml:space="preserve"> urine specimen </w:t>
      </w:r>
      <w:r w:rsidRPr="005A5966">
        <w:rPr>
          <w:rFonts w:cs="Arial"/>
          <w:bCs/>
          <w:sz w:val="22"/>
          <w:szCs w:val="22"/>
        </w:rPr>
        <w:t>after use.  As a result</w:t>
      </w:r>
      <w:r w:rsidR="00646A79">
        <w:rPr>
          <w:rFonts w:cs="Arial"/>
          <w:bCs/>
          <w:sz w:val="22"/>
          <w:szCs w:val="22"/>
        </w:rPr>
        <w:t>,</w:t>
      </w:r>
      <w:r w:rsidRPr="005A5966">
        <w:rPr>
          <w:rFonts w:cs="Arial"/>
          <w:bCs/>
          <w:sz w:val="22"/>
          <w:szCs w:val="22"/>
        </w:rPr>
        <w:t xml:space="preserve"> the NRC </w:t>
      </w:r>
      <w:r>
        <w:rPr>
          <w:rFonts w:cs="Arial"/>
          <w:bCs/>
          <w:sz w:val="22"/>
          <w:szCs w:val="22"/>
        </w:rPr>
        <w:t xml:space="preserve">staff </w:t>
      </w:r>
      <w:r w:rsidRPr="005A5966">
        <w:rPr>
          <w:rFonts w:cs="Arial"/>
          <w:bCs/>
          <w:sz w:val="22"/>
          <w:szCs w:val="22"/>
        </w:rPr>
        <w:t xml:space="preserve">anticipates that </w:t>
      </w:r>
      <w:r>
        <w:rPr>
          <w:rFonts w:cs="Arial"/>
          <w:bCs/>
          <w:sz w:val="22"/>
          <w:szCs w:val="22"/>
        </w:rPr>
        <w:t xml:space="preserve">the </w:t>
      </w:r>
      <w:r w:rsidRPr="005A5966">
        <w:rPr>
          <w:rFonts w:cs="Arial"/>
          <w:bCs/>
          <w:sz w:val="22"/>
          <w:szCs w:val="22"/>
        </w:rPr>
        <w:t xml:space="preserve">use of lower testing cutoffs will increase the number of </w:t>
      </w:r>
      <w:r>
        <w:rPr>
          <w:rFonts w:cs="Arial"/>
          <w:bCs/>
          <w:sz w:val="22"/>
          <w:szCs w:val="22"/>
        </w:rPr>
        <w:t xml:space="preserve">individuals who test positive for </w:t>
      </w:r>
      <w:r w:rsidRPr="005A5966">
        <w:rPr>
          <w:rFonts w:cs="Arial"/>
          <w:bCs/>
          <w:sz w:val="22"/>
          <w:szCs w:val="22"/>
        </w:rPr>
        <w:t xml:space="preserve">amphetamines and cocaine metabolites.  </w:t>
      </w:r>
      <w:r>
        <w:rPr>
          <w:rFonts w:cs="Arial"/>
          <w:bCs/>
          <w:sz w:val="22"/>
          <w:szCs w:val="22"/>
        </w:rPr>
        <w:t xml:space="preserve">Licensees will incur the costs </w:t>
      </w:r>
      <w:r w:rsidRPr="005A5966">
        <w:rPr>
          <w:rFonts w:cs="Arial"/>
          <w:bCs/>
          <w:sz w:val="22"/>
          <w:szCs w:val="22"/>
        </w:rPr>
        <w:t xml:space="preserve">associated with confirmatory testing and subsequent actions </w:t>
      </w:r>
      <w:r>
        <w:rPr>
          <w:rFonts w:cs="Arial"/>
          <w:bCs/>
          <w:sz w:val="22"/>
          <w:szCs w:val="22"/>
        </w:rPr>
        <w:t xml:space="preserve">taken when an individual tests positive </w:t>
      </w:r>
      <w:r w:rsidRPr="005A5966">
        <w:rPr>
          <w:rFonts w:cs="Arial"/>
          <w:bCs/>
          <w:sz w:val="22"/>
          <w:szCs w:val="22"/>
        </w:rPr>
        <w:t>(i.e.</w:t>
      </w:r>
      <w:r w:rsidR="00646A79">
        <w:rPr>
          <w:rFonts w:cs="Arial"/>
          <w:bCs/>
          <w:sz w:val="22"/>
          <w:szCs w:val="22"/>
        </w:rPr>
        <w:t>,</w:t>
      </w:r>
      <w:r>
        <w:rPr>
          <w:rFonts w:cs="Arial"/>
          <w:bCs/>
          <w:sz w:val="22"/>
          <w:szCs w:val="22"/>
        </w:rPr>
        <w:t> </w:t>
      </w:r>
      <w:r w:rsidRPr="005A5966">
        <w:rPr>
          <w:rFonts w:cs="Arial"/>
          <w:bCs/>
          <w:sz w:val="22"/>
          <w:szCs w:val="22"/>
        </w:rPr>
        <w:t>on the part of the FFD program staff</w:t>
      </w:r>
      <w:r w:rsidR="00646A79">
        <w:rPr>
          <w:rFonts w:cs="Arial"/>
          <w:bCs/>
          <w:sz w:val="22"/>
          <w:szCs w:val="22"/>
        </w:rPr>
        <w:t>,</w:t>
      </w:r>
      <w:r w:rsidRPr="005A5966">
        <w:rPr>
          <w:rFonts w:cs="Arial"/>
          <w:bCs/>
          <w:sz w:val="22"/>
          <w:szCs w:val="22"/>
        </w:rPr>
        <w:t xml:space="preserve"> the MRO</w:t>
      </w:r>
      <w:r w:rsidR="00646A79">
        <w:rPr>
          <w:rFonts w:cs="Arial"/>
          <w:bCs/>
          <w:sz w:val="22"/>
          <w:szCs w:val="22"/>
        </w:rPr>
        <w:t>,</w:t>
      </w:r>
      <w:r w:rsidRPr="005A5966">
        <w:rPr>
          <w:rFonts w:cs="Arial"/>
          <w:bCs/>
          <w:sz w:val="22"/>
          <w:szCs w:val="22"/>
        </w:rPr>
        <w:t xml:space="preserve"> and the donor).  These incremental costs are estimated as follows:</w:t>
      </w:r>
    </w:p>
    <w:p w:rsidRPr="007506E3" w:rsidR="00D520BD" w:rsidP="005C6BA3" w:rsidRDefault="00D520BD" w14:paraId="53624E70" w14:textId="620156DB">
      <w:pPr>
        <w:pStyle w:val="ListParagraph"/>
        <w:numPr>
          <w:ilvl w:val="0"/>
          <w:numId w:val="15"/>
        </w:numPr>
        <w:tabs>
          <w:tab w:val="left" w:pos="721"/>
        </w:tabs>
        <w:ind w:hanging="720"/>
        <w:rPr>
          <w:sz w:val="22"/>
          <w:szCs w:val="22"/>
        </w:rPr>
      </w:pPr>
      <w:r w:rsidRPr="007506E3">
        <w:rPr>
          <w:sz w:val="22"/>
          <w:szCs w:val="22"/>
        </w:rPr>
        <w:lastRenderedPageBreak/>
        <w:t>total annual cost to industry</w:t>
      </w:r>
      <w:r w:rsidR="004212C8">
        <w:rPr>
          <w:sz w:val="22"/>
          <w:szCs w:val="22"/>
        </w:rPr>
        <w:t xml:space="preserve"> = </w:t>
      </w:r>
      <w:r w:rsidRPr="007506E3">
        <w:rPr>
          <w:sz w:val="22"/>
          <w:szCs w:val="22"/>
        </w:rPr>
        <w:t>($</w:t>
      </w:r>
      <w:r w:rsidRPr="007506E3" w:rsidR="007506E3">
        <w:rPr>
          <w:sz w:val="22"/>
          <w:szCs w:val="22"/>
        </w:rPr>
        <w:t>15,952</w:t>
      </w:r>
      <w:r w:rsidRPr="007506E3">
        <w:rPr>
          <w:sz w:val="22"/>
          <w:szCs w:val="22"/>
        </w:rPr>
        <w:t>)</w:t>
      </w:r>
    </w:p>
    <w:p w:rsidRPr="007506E3" w:rsidR="00D520BD" w:rsidP="005C6BA3" w:rsidRDefault="00D520BD" w14:paraId="7D68124C" w14:textId="686DF77B">
      <w:pPr>
        <w:pStyle w:val="ListParagraph"/>
        <w:numPr>
          <w:ilvl w:val="0"/>
          <w:numId w:val="15"/>
        </w:numPr>
        <w:tabs>
          <w:tab w:val="left" w:pos="721"/>
        </w:tabs>
        <w:ind w:hanging="720"/>
        <w:rPr>
          <w:sz w:val="22"/>
          <w:szCs w:val="22"/>
        </w:rPr>
      </w:pPr>
      <w:r w:rsidRPr="007506E3">
        <w:rPr>
          <w:sz w:val="22"/>
          <w:szCs w:val="22"/>
        </w:rPr>
        <w:t>average annual cost per site</w:t>
      </w:r>
      <w:r w:rsidR="004212C8">
        <w:rPr>
          <w:sz w:val="22"/>
          <w:szCs w:val="22"/>
        </w:rPr>
        <w:t xml:space="preserve"> = </w:t>
      </w:r>
      <w:r w:rsidRPr="007506E3">
        <w:rPr>
          <w:sz w:val="22"/>
          <w:szCs w:val="22"/>
        </w:rPr>
        <w:t>($</w:t>
      </w:r>
      <w:r w:rsidRPr="007506E3" w:rsidR="007506E3">
        <w:rPr>
          <w:sz w:val="22"/>
          <w:szCs w:val="22"/>
        </w:rPr>
        <w:t>270</w:t>
      </w:r>
      <w:r w:rsidRPr="007506E3">
        <w:rPr>
          <w:sz w:val="22"/>
          <w:szCs w:val="22"/>
        </w:rPr>
        <w:t>)</w:t>
      </w:r>
    </w:p>
    <w:p w:rsidRPr="005A5966" w:rsidR="00D520BD" w:rsidP="00D520BD" w:rsidRDefault="00D520BD" w14:paraId="1C92F83B" w14:textId="77777777">
      <w:pPr>
        <w:rPr>
          <w:sz w:val="22"/>
          <w:szCs w:val="22"/>
        </w:rPr>
      </w:pPr>
    </w:p>
    <w:p w:rsidRPr="005A5966" w:rsidR="00D520BD" w:rsidP="00D520BD" w:rsidRDefault="00D520BD" w14:paraId="4D49A468" w14:textId="24523A5B">
      <w:pPr>
        <w:tabs>
          <w:tab w:val="left" w:pos="720"/>
        </w:tabs>
        <w:rPr>
          <w:sz w:val="22"/>
          <w:szCs w:val="22"/>
        </w:rPr>
      </w:pPr>
      <w:r>
        <w:rPr>
          <w:sz w:val="22"/>
          <w:szCs w:val="22"/>
        </w:rPr>
        <w:t>In making these changes to maintain reasonable assurance of a drug-free workplace</w:t>
      </w:r>
      <w:r w:rsidR="00646A79">
        <w:rPr>
          <w:sz w:val="22"/>
          <w:szCs w:val="22"/>
        </w:rPr>
        <w:t>,</w:t>
      </w:r>
      <w:r w:rsidRPr="005A5966">
        <w:rPr>
          <w:sz w:val="22"/>
          <w:szCs w:val="22"/>
        </w:rPr>
        <w:t xml:space="preserve"> the NRC </w:t>
      </w:r>
      <w:r>
        <w:rPr>
          <w:sz w:val="22"/>
          <w:szCs w:val="22"/>
        </w:rPr>
        <w:t>staff estimates</w:t>
      </w:r>
      <w:r w:rsidRPr="005A5966">
        <w:rPr>
          <w:sz w:val="22"/>
          <w:szCs w:val="22"/>
        </w:rPr>
        <w:t xml:space="preserve"> that this regulatory initiative result</w:t>
      </w:r>
      <w:r w:rsidR="00462C3B">
        <w:rPr>
          <w:sz w:val="22"/>
          <w:szCs w:val="22"/>
        </w:rPr>
        <w:t>s</w:t>
      </w:r>
      <w:r w:rsidRPr="005A5966">
        <w:rPr>
          <w:sz w:val="22"/>
          <w:szCs w:val="22"/>
        </w:rPr>
        <w:t xml:space="preserve"> in </w:t>
      </w:r>
      <w:r w:rsidRPr="00AC0A63">
        <w:rPr>
          <w:sz w:val="22"/>
          <w:szCs w:val="22"/>
        </w:rPr>
        <w:t>4</w:t>
      </w:r>
      <w:r w:rsidRPr="00AC0A63" w:rsidR="00AC0A63">
        <w:rPr>
          <w:sz w:val="22"/>
          <w:szCs w:val="22"/>
        </w:rPr>
        <w:t>5</w:t>
      </w:r>
      <w:r w:rsidRPr="00AC0A63">
        <w:rPr>
          <w:sz w:val="22"/>
          <w:szCs w:val="22"/>
        </w:rPr>
        <w:t> additional confirmed positive</w:t>
      </w:r>
      <w:r w:rsidRPr="005A5966">
        <w:rPr>
          <w:sz w:val="22"/>
          <w:szCs w:val="22"/>
        </w:rPr>
        <w:t xml:space="preserve"> test results</w:t>
      </w:r>
      <w:r w:rsidR="00646A79">
        <w:rPr>
          <w:sz w:val="22"/>
          <w:szCs w:val="22"/>
        </w:rPr>
        <w:t>,</w:t>
      </w:r>
      <w:r w:rsidRPr="005A5966">
        <w:rPr>
          <w:sz w:val="22"/>
          <w:szCs w:val="22"/>
        </w:rPr>
        <w:t xml:space="preserve"> a</w:t>
      </w:r>
      <w:r>
        <w:rPr>
          <w:sz w:val="22"/>
          <w:szCs w:val="22"/>
        </w:rPr>
        <w:t>s presented in Table 5</w:t>
      </w:r>
      <w:r w:rsidRPr="005A5966">
        <w:rPr>
          <w:sz w:val="22"/>
          <w:szCs w:val="22"/>
        </w:rPr>
        <w:t>-</w:t>
      </w:r>
      <w:r w:rsidR="00DD62B2">
        <w:rPr>
          <w:sz w:val="22"/>
          <w:szCs w:val="22"/>
        </w:rPr>
        <w:t>6</w:t>
      </w:r>
      <w:r w:rsidRPr="005A5966">
        <w:rPr>
          <w:sz w:val="22"/>
          <w:szCs w:val="22"/>
        </w:rPr>
        <w:t xml:space="preserve">. </w:t>
      </w:r>
      <w:r>
        <w:rPr>
          <w:sz w:val="22"/>
          <w:szCs w:val="22"/>
        </w:rPr>
        <w:t xml:space="preserve"> </w:t>
      </w:r>
      <w:r>
        <w:rPr>
          <w:rFonts w:cs="Arial"/>
          <w:bCs/>
          <w:sz w:val="22"/>
          <w:szCs w:val="22"/>
        </w:rPr>
        <w:t>Therefore</w:t>
      </w:r>
      <w:r w:rsidR="00646A79">
        <w:rPr>
          <w:rFonts w:cs="Arial"/>
          <w:bCs/>
          <w:sz w:val="22"/>
          <w:szCs w:val="22"/>
        </w:rPr>
        <w:t>,</w:t>
      </w:r>
      <w:r>
        <w:rPr>
          <w:rFonts w:cs="Arial"/>
          <w:bCs/>
          <w:sz w:val="22"/>
          <w:szCs w:val="22"/>
        </w:rPr>
        <w:t xml:space="preserve"> lowering the testing cutoff levels for amphetamines and cocaine metabolites provide</w:t>
      </w:r>
      <w:r w:rsidR="00462C3B">
        <w:rPr>
          <w:rFonts w:cs="Arial"/>
          <w:bCs/>
          <w:sz w:val="22"/>
          <w:szCs w:val="22"/>
        </w:rPr>
        <w:t>s</w:t>
      </w:r>
      <w:r>
        <w:rPr>
          <w:rFonts w:cs="Arial"/>
          <w:bCs/>
          <w:sz w:val="22"/>
          <w:szCs w:val="22"/>
        </w:rPr>
        <w:t xml:space="preserve"> </w:t>
      </w:r>
      <w:r w:rsidRPr="005A5966">
        <w:rPr>
          <w:rFonts w:cs="Arial"/>
          <w:bCs/>
          <w:sz w:val="22"/>
          <w:szCs w:val="22"/>
        </w:rPr>
        <w:t>a</w:t>
      </w:r>
      <w:r>
        <w:rPr>
          <w:rFonts w:cs="Arial"/>
          <w:bCs/>
          <w:sz w:val="22"/>
          <w:szCs w:val="22"/>
        </w:rPr>
        <w:t>dditional</w:t>
      </w:r>
      <w:r w:rsidRPr="005A5966">
        <w:rPr>
          <w:rFonts w:cs="Arial"/>
          <w:bCs/>
          <w:sz w:val="22"/>
          <w:szCs w:val="22"/>
        </w:rPr>
        <w:t xml:space="preserve"> assurance that persons who are using illegal drugs</w:t>
      </w:r>
      <w:r>
        <w:rPr>
          <w:rFonts w:cs="Arial"/>
          <w:bCs/>
          <w:sz w:val="22"/>
          <w:szCs w:val="22"/>
        </w:rPr>
        <w:t xml:space="preserve"> or misusing legal drugs</w:t>
      </w:r>
      <w:r w:rsidRPr="005A5966">
        <w:rPr>
          <w:rFonts w:cs="Arial"/>
          <w:bCs/>
          <w:sz w:val="22"/>
          <w:szCs w:val="22"/>
        </w:rPr>
        <w:t xml:space="preserve"> </w:t>
      </w:r>
      <w:r w:rsidR="00462C3B">
        <w:rPr>
          <w:rFonts w:cs="Arial"/>
          <w:bCs/>
          <w:sz w:val="22"/>
          <w:szCs w:val="22"/>
        </w:rPr>
        <w:t xml:space="preserve">will </w:t>
      </w:r>
      <w:r>
        <w:rPr>
          <w:rFonts w:cs="Arial"/>
          <w:bCs/>
          <w:sz w:val="22"/>
          <w:szCs w:val="22"/>
        </w:rPr>
        <w:t>be identified and denied unescorted access authorization</w:t>
      </w:r>
      <w:r w:rsidR="007E125E">
        <w:rPr>
          <w:rFonts w:cs="Arial"/>
          <w:bCs/>
          <w:sz w:val="22"/>
          <w:szCs w:val="22"/>
        </w:rPr>
        <w:t xml:space="preserve"> than under the current 10 CFR P</w:t>
      </w:r>
      <w:r>
        <w:rPr>
          <w:rFonts w:cs="Arial"/>
          <w:bCs/>
          <w:sz w:val="22"/>
          <w:szCs w:val="22"/>
        </w:rPr>
        <w:t>art 26 framework</w:t>
      </w:r>
      <w:r w:rsidRPr="00870273">
        <w:rPr>
          <w:rFonts w:cs="Arial"/>
          <w:bCs/>
          <w:sz w:val="22"/>
          <w:szCs w:val="22"/>
        </w:rPr>
        <w:t>.</w:t>
      </w:r>
      <w:r w:rsidRPr="00790E60">
        <w:rPr>
          <w:rFonts w:cs="Arial"/>
          <w:sz w:val="18"/>
          <w:szCs w:val="18"/>
        </w:rPr>
        <w:t xml:space="preserve"> </w:t>
      </w:r>
      <w:r w:rsidR="00EE2981">
        <w:rPr>
          <w:rFonts w:cs="Arial"/>
          <w:sz w:val="18"/>
          <w:szCs w:val="18"/>
        </w:rPr>
        <w:t xml:space="preserve"> </w:t>
      </w:r>
      <w:r w:rsidRPr="00B10C2E">
        <w:rPr>
          <w:rFonts w:cs="Arial"/>
          <w:sz w:val="22"/>
          <w:szCs w:val="22"/>
        </w:rPr>
        <w:t>Appendices B and C provide additional information on the estimated increase in positive test results.</w:t>
      </w:r>
    </w:p>
    <w:p w:rsidRPr="00CB2166" w:rsidR="00D520BD" w:rsidP="00D520BD" w:rsidRDefault="00D520BD" w14:paraId="1D3513BB" w14:textId="77777777">
      <w:pPr>
        <w:jc w:val="both"/>
        <w:rPr>
          <w:color w:val="000000"/>
          <w:sz w:val="22"/>
        </w:rPr>
      </w:pPr>
    </w:p>
    <w:p w:rsidRPr="00625C7E" w:rsidR="00625C7E" w:rsidP="00625C7E" w:rsidRDefault="00625C7E" w14:paraId="5ACD0772" w14:textId="22717770">
      <w:pPr>
        <w:pStyle w:val="Caption"/>
        <w:jc w:val="center"/>
        <w:rPr>
          <w:b/>
          <w:bCs w:val="0"/>
        </w:rPr>
      </w:pPr>
      <w:bookmarkStart w:name="_Toc72490568" w:id="144"/>
      <w:bookmarkStart w:name="_Toc105681565" w:id="145"/>
      <w:r w:rsidRPr="00625C7E">
        <w:rPr>
          <w:b/>
          <w:bCs w:val="0"/>
        </w:rPr>
        <w:t>Table 5-</w:t>
      </w:r>
      <w:r w:rsidRPr="00625C7E">
        <w:rPr>
          <w:b/>
          <w:bCs w:val="0"/>
        </w:rPr>
        <w:fldChar w:fldCharType="begin"/>
      </w:r>
      <w:r w:rsidRPr="00625C7E">
        <w:rPr>
          <w:b/>
          <w:bCs w:val="0"/>
        </w:rPr>
        <w:instrText xml:space="preserve"> SEQ Table \* ARABIC </w:instrText>
      </w:r>
      <w:r w:rsidRPr="00625C7E">
        <w:rPr>
          <w:b/>
          <w:bCs w:val="0"/>
        </w:rPr>
        <w:fldChar w:fldCharType="separate"/>
      </w:r>
      <w:r w:rsidR="00A6777F">
        <w:rPr>
          <w:b/>
          <w:bCs w:val="0"/>
          <w:noProof/>
        </w:rPr>
        <w:t>6</w:t>
      </w:r>
      <w:r w:rsidRPr="00625C7E">
        <w:rPr>
          <w:b/>
          <w:bCs w:val="0"/>
        </w:rPr>
        <w:fldChar w:fldCharType="end"/>
      </w:r>
      <w:r w:rsidRPr="00625C7E">
        <w:rPr>
          <w:b/>
          <w:bCs w:val="0"/>
        </w:rPr>
        <w:t xml:space="preserve">  </w:t>
      </w:r>
      <w:r w:rsidRPr="00625C7E">
        <w:rPr>
          <w:rStyle w:val="TableChar"/>
        </w:rPr>
        <w:t>Additional Amphetamines and Cocaine Positives from Lower Testing Cutoff Levels</w:t>
      </w:r>
      <w:r w:rsidRPr="00C94E28">
        <w:t xml:space="preserve"> </w:t>
      </w:r>
      <w:r w:rsidRPr="00C94E28">
        <w:rPr>
          <w:b/>
          <w:bCs w:val="0"/>
        </w:rPr>
        <w:t>(Estimated Total for All Sites)</w:t>
      </w:r>
      <w:bookmarkEnd w:id="144"/>
      <w:bookmarkEnd w:id="145"/>
    </w:p>
    <w:tbl>
      <w:tblPr>
        <w:tblW w:w="5000" w:type="pct"/>
        <w:jc w:val="center"/>
        <w:tblLook w:val="04A0" w:firstRow="1" w:lastRow="0" w:firstColumn="1" w:lastColumn="0" w:noHBand="0" w:noVBand="1"/>
      </w:tblPr>
      <w:tblGrid>
        <w:gridCol w:w="3145"/>
        <w:gridCol w:w="6205"/>
      </w:tblGrid>
      <w:tr w:rsidRPr="005A5966" w:rsidR="00D520BD" w:rsidTr="002323C7" w14:paraId="0CF9F3FC" w14:textId="77777777">
        <w:trPr>
          <w:trHeight w:val="548"/>
          <w:jc w:val="center"/>
        </w:trPr>
        <w:tc>
          <w:tcPr>
            <w:tcW w:w="1682"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hideMark/>
          </w:tcPr>
          <w:p w:rsidRPr="003A0D5E" w:rsidR="00D520BD" w:rsidP="00625C7E" w:rsidRDefault="00D520BD" w14:paraId="09861CD8" w14:textId="77777777">
            <w:pPr>
              <w:jc w:val="center"/>
              <w:rPr>
                <w:rFonts w:cs="Arial"/>
                <w:b/>
                <w:sz w:val="22"/>
                <w:szCs w:val="22"/>
              </w:rPr>
            </w:pPr>
            <w:r w:rsidRPr="005A5966">
              <w:rPr>
                <w:rFonts w:cs="Arial"/>
                <w:b/>
                <w:bCs/>
                <w:sz w:val="22"/>
                <w:szCs w:val="22"/>
              </w:rPr>
              <w:t>Substance</w:t>
            </w:r>
          </w:p>
        </w:tc>
        <w:tc>
          <w:tcPr>
            <w:tcW w:w="3318"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hideMark/>
          </w:tcPr>
          <w:p w:rsidRPr="003A0D5E" w:rsidR="00D520BD" w:rsidP="00625C7E" w:rsidRDefault="009E2D5D" w14:paraId="790D4416" w14:textId="7677902B">
            <w:pPr>
              <w:jc w:val="center"/>
              <w:rPr>
                <w:rFonts w:cs="Arial"/>
                <w:b/>
                <w:sz w:val="22"/>
                <w:szCs w:val="22"/>
              </w:rPr>
            </w:pPr>
            <w:r>
              <w:rPr>
                <w:rFonts w:cs="Arial"/>
                <w:b/>
                <w:bCs/>
                <w:sz w:val="22"/>
                <w:szCs w:val="22"/>
              </w:rPr>
              <w:t xml:space="preserve">Projected </w:t>
            </w:r>
            <w:r w:rsidR="00D520BD">
              <w:rPr>
                <w:rFonts w:cs="Arial"/>
                <w:b/>
                <w:bCs/>
                <w:sz w:val="22"/>
                <w:szCs w:val="22"/>
              </w:rPr>
              <w:t>N</w:t>
            </w:r>
            <w:r w:rsidRPr="005A5966" w:rsidR="00D520BD">
              <w:rPr>
                <w:rFonts w:cs="Arial"/>
                <w:b/>
                <w:bCs/>
                <w:sz w:val="22"/>
                <w:szCs w:val="22"/>
              </w:rPr>
              <w:t xml:space="preserve">umber of </w:t>
            </w:r>
            <w:r w:rsidR="00D520BD">
              <w:rPr>
                <w:rFonts w:cs="Arial"/>
                <w:b/>
                <w:bCs/>
                <w:sz w:val="22"/>
                <w:szCs w:val="22"/>
              </w:rPr>
              <w:t>A</w:t>
            </w:r>
            <w:r w:rsidRPr="005A5966" w:rsidR="00D520BD">
              <w:rPr>
                <w:rFonts w:cs="Arial"/>
                <w:b/>
                <w:bCs/>
                <w:sz w:val="22"/>
                <w:szCs w:val="22"/>
              </w:rPr>
              <w:t xml:space="preserve">dditional </w:t>
            </w:r>
            <w:r w:rsidR="00D520BD">
              <w:rPr>
                <w:rFonts w:cs="Arial"/>
                <w:b/>
                <w:bCs/>
                <w:sz w:val="22"/>
                <w:szCs w:val="22"/>
              </w:rPr>
              <w:t>C</w:t>
            </w:r>
            <w:r w:rsidRPr="005A5966" w:rsidR="00D520BD">
              <w:rPr>
                <w:rFonts w:cs="Arial"/>
                <w:b/>
                <w:bCs/>
                <w:sz w:val="22"/>
                <w:szCs w:val="22"/>
              </w:rPr>
              <w:t xml:space="preserve">onfirmed </w:t>
            </w:r>
            <w:r w:rsidR="00D520BD">
              <w:rPr>
                <w:rFonts w:cs="Arial"/>
                <w:b/>
                <w:bCs/>
                <w:sz w:val="22"/>
                <w:szCs w:val="22"/>
              </w:rPr>
              <w:t>P</w:t>
            </w:r>
            <w:r w:rsidRPr="005A5966" w:rsidR="00D520BD">
              <w:rPr>
                <w:rFonts w:cs="Arial"/>
                <w:b/>
                <w:bCs/>
                <w:sz w:val="22"/>
                <w:szCs w:val="22"/>
              </w:rPr>
              <w:t xml:space="preserve">ositive </w:t>
            </w:r>
            <w:r w:rsidR="00D520BD">
              <w:rPr>
                <w:rFonts w:cs="Arial"/>
                <w:b/>
                <w:bCs/>
                <w:sz w:val="22"/>
                <w:szCs w:val="22"/>
              </w:rPr>
              <w:t>T</w:t>
            </w:r>
            <w:r w:rsidRPr="005A5966" w:rsidR="00D520BD">
              <w:rPr>
                <w:rFonts w:cs="Arial"/>
                <w:b/>
                <w:bCs/>
                <w:sz w:val="22"/>
                <w:szCs w:val="22"/>
              </w:rPr>
              <w:t xml:space="preserve">est </w:t>
            </w:r>
            <w:r w:rsidR="00D520BD">
              <w:rPr>
                <w:rFonts w:cs="Arial"/>
                <w:b/>
                <w:bCs/>
                <w:sz w:val="22"/>
                <w:szCs w:val="22"/>
              </w:rPr>
              <w:t>R</w:t>
            </w:r>
            <w:r w:rsidRPr="005A5966" w:rsidR="00D520BD">
              <w:rPr>
                <w:rFonts w:cs="Arial"/>
                <w:b/>
                <w:bCs/>
                <w:sz w:val="22"/>
                <w:szCs w:val="22"/>
              </w:rPr>
              <w:t xml:space="preserve">esults per </w:t>
            </w:r>
            <w:r w:rsidR="00D520BD">
              <w:rPr>
                <w:rFonts w:cs="Arial"/>
                <w:b/>
                <w:bCs/>
                <w:sz w:val="22"/>
                <w:szCs w:val="22"/>
              </w:rPr>
              <w:t>Y</w:t>
            </w:r>
            <w:r w:rsidRPr="005A5966" w:rsidR="00D520BD">
              <w:rPr>
                <w:rFonts w:cs="Arial"/>
                <w:b/>
                <w:bCs/>
                <w:sz w:val="22"/>
                <w:szCs w:val="22"/>
              </w:rPr>
              <w:t>ear</w:t>
            </w:r>
          </w:p>
        </w:tc>
      </w:tr>
      <w:tr w:rsidRPr="005A5966" w:rsidR="00D520BD" w:rsidTr="002323C7" w14:paraId="4ED53BAD" w14:textId="77777777">
        <w:trPr>
          <w:trHeight w:val="260"/>
          <w:jc w:val="center"/>
        </w:trPr>
        <w:tc>
          <w:tcPr>
            <w:tcW w:w="1682"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3A0D5E" w:rsidR="00D520BD" w:rsidP="00625C7E" w:rsidRDefault="00D520BD" w14:paraId="6C11C4EA" w14:textId="77777777">
            <w:pPr>
              <w:jc w:val="center"/>
              <w:rPr>
                <w:rFonts w:cs="Arial"/>
                <w:sz w:val="22"/>
                <w:szCs w:val="22"/>
              </w:rPr>
            </w:pPr>
            <w:r w:rsidRPr="003A0D5E">
              <w:rPr>
                <w:rFonts w:cs="Arial"/>
                <w:sz w:val="22"/>
                <w:szCs w:val="22"/>
              </w:rPr>
              <w:t>Amphetamines</w:t>
            </w:r>
          </w:p>
        </w:tc>
        <w:tc>
          <w:tcPr>
            <w:tcW w:w="3318"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3A0D5E" w:rsidR="00D520BD" w:rsidP="00625C7E" w:rsidRDefault="00196779" w14:paraId="00BC31F5" w14:textId="3A028A2F">
            <w:pPr>
              <w:jc w:val="center"/>
              <w:rPr>
                <w:rFonts w:cs="Arial"/>
                <w:sz w:val="22"/>
                <w:szCs w:val="22"/>
                <w:highlight w:val="yellow"/>
              </w:rPr>
            </w:pPr>
            <w:r w:rsidRPr="003A0D5E">
              <w:rPr>
                <w:rFonts w:cs="Arial"/>
                <w:sz w:val="22"/>
                <w:szCs w:val="22"/>
              </w:rPr>
              <w:t>23</w:t>
            </w:r>
          </w:p>
        </w:tc>
      </w:tr>
      <w:tr w:rsidRPr="005A5966" w:rsidR="00D520BD" w:rsidTr="002323C7" w14:paraId="2C79C092" w14:textId="77777777">
        <w:trPr>
          <w:trHeight w:val="260"/>
          <w:jc w:val="center"/>
        </w:trPr>
        <w:tc>
          <w:tcPr>
            <w:tcW w:w="1682" w:type="pct"/>
            <w:tcBorders>
              <w:top w:val="single" w:color="auto" w:sz="4" w:space="0"/>
              <w:left w:val="single" w:color="auto" w:sz="4" w:space="0"/>
              <w:bottom w:val="single" w:color="auto" w:sz="4" w:space="0"/>
              <w:right w:val="single" w:color="auto" w:sz="4" w:space="0"/>
            </w:tcBorders>
            <w:shd w:val="clear" w:color="000000" w:fill="FFFFFF"/>
            <w:vAlign w:val="center"/>
          </w:tcPr>
          <w:p w:rsidRPr="003A0D5E" w:rsidR="00D520BD" w:rsidP="00625C7E" w:rsidRDefault="00D520BD" w14:paraId="655F341D" w14:textId="77777777">
            <w:pPr>
              <w:jc w:val="center"/>
              <w:rPr>
                <w:rFonts w:cs="Arial"/>
                <w:sz w:val="22"/>
                <w:szCs w:val="22"/>
              </w:rPr>
            </w:pPr>
            <w:r w:rsidRPr="003A0D5E">
              <w:rPr>
                <w:rFonts w:cs="Arial"/>
                <w:sz w:val="22"/>
                <w:szCs w:val="22"/>
              </w:rPr>
              <w:t>Cocaine</w:t>
            </w:r>
          </w:p>
        </w:tc>
        <w:tc>
          <w:tcPr>
            <w:tcW w:w="3318" w:type="pct"/>
            <w:tcBorders>
              <w:top w:val="single" w:color="auto" w:sz="4" w:space="0"/>
              <w:left w:val="single" w:color="auto" w:sz="4" w:space="0"/>
              <w:bottom w:val="single" w:color="auto" w:sz="4" w:space="0"/>
              <w:right w:val="single" w:color="auto" w:sz="4" w:space="0"/>
            </w:tcBorders>
            <w:shd w:val="clear" w:color="auto" w:fill="auto"/>
            <w:vAlign w:val="center"/>
          </w:tcPr>
          <w:p w:rsidRPr="003A0D5E" w:rsidR="00D520BD" w:rsidP="00625C7E" w:rsidRDefault="00D520BD" w14:paraId="105F20CB" w14:textId="456A4477">
            <w:pPr>
              <w:jc w:val="center"/>
              <w:rPr>
                <w:rFonts w:cs="Arial"/>
                <w:sz w:val="22"/>
                <w:szCs w:val="22"/>
              </w:rPr>
            </w:pPr>
            <w:r w:rsidRPr="003A0D5E">
              <w:rPr>
                <w:rFonts w:cs="Arial"/>
                <w:sz w:val="22"/>
                <w:szCs w:val="22"/>
              </w:rPr>
              <w:t>2</w:t>
            </w:r>
            <w:r w:rsidRPr="003A0D5E" w:rsidR="00196779">
              <w:rPr>
                <w:rFonts w:cs="Arial"/>
                <w:sz w:val="22"/>
                <w:szCs w:val="22"/>
              </w:rPr>
              <w:t>2</w:t>
            </w:r>
          </w:p>
        </w:tc>
      </w:tr>
    </w:tbl>
    <w:p w:rsidR="00625C7E" w:rsidP="00982BD1" w:rsidRDefault="00625C7E" w14:paraId="3114A8F5" w14:textId="47C1A01B">
      <w:pPr>
        <w:spacing w:before="60"/>
        <w:rPr>
          <w:rFonts w:cs="Arial"/>
          <w:sz w:val="22"/>
          <w:szCs w:val="22"/>
        </w:rPr>
      </w:pPr>
    </w:p>
    <w:p w:rsidRPr="00A2487F" w:rsidR="005F3921" w:rsidP="005F3921" w:rsidRDefault="005F3921" w14:paraId="24300587" w14:textId="7367CDD8">
      <w:pPr>
        <w:tabs>
          <w:tab w:val="left" w:pos="721"/>
        </w:tabs>
        <w:rPr>
          <w:sz w:val="22"/>
          <w:szCs w:val="22"/>
        </w:rPr>
      </w:pPr>
      <w:r w:rsidRPr="005F3921">
        <w:rPr>
          <w:b/>
          <w:bCs/>
          <w:i/>
          <w:iCs/>
          <w:sz w:val="22"/>
          <w:szCs w:val="22"/>
        </w:rPr>
        <w:t>Future Nuclear Facilities</w:t>
      </w:r>
      <w:r>
        <w:rPr>
          <w:sz w:val="22"/>
          <w:szCs w:val="22"/>
        </w:rPr>
        <w:t xml:space="preserve">:  The NRC staff estimates the </w:t>
      </w:r>
      <w:r w:rsidR="00216620">
        <w:rPr>
          <w:sz w:val="22"/>
          <w:szCs w:val="22"/>
        </w:rPr>
        <w:t xml:space="preserve">projected number of additional confirmed positives </w:t>
      </w:r>
      <w:r>
        <w:rPr>
          <w:sz w:val="22"/>
          <w:szCs w:val="22"/>
        </w:rPr>
        <w:t xml:space="preserve">for each future nuclear facility site testing </w:t>
      </w:r>
      <w:r w:rsidR="0006362C">
        <w:rPr>
          <w:sz w:val="22"/>
          <w:szCs w:val="22"/>
        </w:rPr>
        <w:t xml:space="preserve">for </w:t>
      </w:r>
      <w:r>
        <w:rPr>
          <w:sz w:val="22"/>
          <w:szCs w:val="22"/>
        </w:rPr>
        <w:t xml:space="preserve">amphetamines and cocaine </w:t>
      </w:r>
      <w:r w:rsidR="0006362C">
        <w:rPr>
          <w:sz w:val="22"/>
          <w:szCs w:val="22"/>
        </w:rPr>
        <w:t>at</w:t>
      </w:r>
      <w:r>
        <w:rPr>
          <w:sz w:val="22"/>
          <w:szCs w:val="22"/>
        </w:rPr>
        <w:t xml:space="preserve"> lower testing cutoff levels by </w:t>
      </w:r>
      <w:r w:rsidR="007670D0">
        <w:rPr>
          <w:sz w:val="22"/>
          <w:szCs w:val="22"/>
        </w:rPr>
        <w:t>multiplying</w:t>
      </w:r>
      <w:r>
        <w:rPr>
          <w:sz w:val="22"/>
          <w:szCs w:val="22"/>
        </w:rPr>
        <w:t xml:space="preserve"> the expected </w:t>
      </w:r>
      <w:r w:rsidR="00B52184">
        <w:rPr>
          <w:sz w:val="22"/>
          <w:szCs w:val="22"/>
        </w:rPr>
        <w:t>number</w:t>
      </w:r>
      <w:r>
        <w:rPr>
          <w:sz w:val="22"/>
          <w:szCs w:val="22"/>
        </w:rPr>
        <w:t xml:space="preserve"> of tests performed by these facilities </w:t>
      </w:r>
      <w:r w:rsidR="00A2487F">
        <w:rPr>
          <w:sz w:val="22"/>
          <w:szCs w:val="22"/>
        </w:rPr>
        <w:t>by</w:t>
      </w:r>
      <w:r>
        <w:rPr>
          <w:sz w:val="22"/>
          <w:szCs w:val="22"/>
        </w:rPr>
        <w:t xml:space="preserve"> </w:t>
      </w:r>
      <w:r w:rsidR="00070C07">
        <w:rPr>
          <w:sz w:val="22"/>
          <w:szCs w:val="22"/>
        </w:rPr>
        <w:t xml:space="preserve">the </w:t>
      </w:r>
      <w:r w:rsidR="00795548">
        <w:rPr>
          <w:sz w:val="22"/>
          <w:szCs w:val="22"/>
        </w:rPr>
        <w:t xml:space="preserve">average </w:t>
      </w:r>
      <w:r w:rsidR="00470235">
        <w:rPr>
          <w:sz w:val="22"/>
          <w:szCs w:val="22"/>
        </w:rPr>
        <w:t xml:space="preserve">positive test </w:t>
      </w:r>
      <w:r w:rsidR="002479F6">
        <w:rPr>
          <w:sz w:val="22"/>
          <w:szCs w:val="22"/>
        </w:rPr>
        <w:t xml:space="preserve">rate </w:t>
      </w:r>
      <w:r w:rsidR="00795548">
        <w:rPr>
          <w:sz w:val="22"/>
          <w:szCs w:val="22"/>
        </w:rPr>
        <w:t>for the subject drug</w:t>
      </w:r>
      <w:r w:rsidR="00517FB3">
        <w:rPr>
          <w:sz w:val="22"/>
          <w:szCs w:val="22"/>
        </w:rPr>
        <w:t xml:space="preserve"> at </w:t>
      </w:r>
      <w:r>
        <w:rPr>
          <w:sz w:val="22"/>
          <w:szCs w:val="22"/>
        </w:rPr>
        <w:t>existing facilit</w:t>
      </w:r>
      <w:r w:rsidR="00C2097C">
        <w:rPr>
          <w:sz w:val="22"/>
          <w:szCs w:val="22"/>
        </w:rPr>
        <w:t>ies</w:t>
      </w:r>
      <w:r>
        <w:rPr>
          <w:sz w:val="22"/>
          <w:szCs w:val="22"/>
        </w:rPr>
        <w:t>.</w:t>
      </w:r>
      <w:r w:rsidR="00C2097C">
        <w:rPr>
          <w:sz w:val="22"/>
          <w:szCs w:val="22"/>
        </w:rPr>
        <w:t xml:space="preserve">  </w:t>
      </w:r>
      <w:r w:rsidRPr="00A2487F" w:rsidR="003C0E8A">
        <w:rPr>
          <w:sz w:val="22"/>
          <w:szCs w:val="22"/>
        </w:rPr>
        <w:fldChar w:fldCharType="begin"/>
      </w:r>
      <w:r w:rsidRPr="00A2487F" w:rsidR="003C0E8A">
        <w:rPr>
          <w:sz w:val="22"/>
          <w:szCs w:val="22"/>
        </w:rPr>
        <w:instrText xml:space="preserve"> REF _Ref69397766 \h  \* MERGEFORMAT </w:instrText>
      </w:r>
      <w:r w:rsidRPr="00A2487F" w:rsidR="003C0E8A">
        <w:rPr>
          <w:sz w:val="22"/>
          <w:szCs w:val="22"/>
        </w:rPr>
      </w:r>
      <w:r w:rsidRPr="00A2487F" w:rsidR="003C0E8A">
        <w:rPr>
          <w:sz w:val="22"/>
          <w:szCs w:val="22"/>
        </w:rPr>
        <w:fldChar w:fldCharType="separate"/>
      </w:r>
      <w:r w:rsidRPr="006155B8" w:rsidR="00A6777F">
        <w:rPr>
          <w:sz w:val="22"/>
          <w:szCs w:val="22"/>
        </w:rPr>
        <w:t>Table 5-7</w:t>
      </w:r>
      <w:r w:rsidRPr="00A2487F" w:rsidR="003C0E8A">
        <w:rPr>
          <w:sz w:val="22"/>
          <w:szCs w:val="22"/>
        </w:rPr>
        <w:fldChar w:fldCharType="end"/>
      </w:r>
      <w:r w:rsidR="00F8667A">
        <w:rPr>
          <w:sz w:val="22"/>
          <w:szCs w:val="22"/>
        </w:rPr>
        <w:t xml:space="preserve"> presents the</w:t>
      </w:r>
      <w:r w:rsidRPr="00A2487F" w:rsidR="00C2097C">
        <w:rPr>
          <w:sz w:val="22"/>
          <w:szCs w:val="22"/>
        </w:rPr>
        <w:t xml:space="preserve"> projected number </w:t>
      </w:r>
      <w:r w:rsidRPr="00A2487F" w:rsidR="00C15628">
        <w:rPr>
          <w:sz w:val="22"/>
          <w:szCs w:val="22"/>
        </w:rPr>
        <w:t xml:space="preserve">of confirmed positive test results </w:t>
      </w:r>
      <w:r w:rsidRPr="00A2487F" w:rsidR="00C2097C">
        <w:rPr>
          <w:sz w:val="22"/>
          <w:szCs w:val="22"/>
        </w:rPr>
        <w:t>by facility type</w:t>
      </w:r>
      <w:r w:rsidR="00F8667A">
        <w:rPr>
          <w:sz w:val="22"/>
          <w:szCs w:val="22"/>
        </w:rPr>
        <w:t>.</w:t>
      </w:r>
    </w:p>
    <w:p w:rsidR="005F3921" w:rsidP="005F3921" w:rsidRDefault="005F3921" w14:paraId="58EB6F3B" w14:textId="64E81E80">
      <w:pPr>
        <w:rPr>
          <w:rFonts w:cs="Arial"/>
          <w:sz w:val="22"/>
          <w:szCs w:val="22"/>
        </w:rPr>
      </w:pPr>
    </w:p>
    <w:p w:rsidRPr="00153AFA" w:rsidR="00153AFA" w:rsidP="00153AFA" w:rsidRDefault="00153AFA" w14:paraId="0773498F" w14:textId="77CBC07D">
      <w:pPr>
        <w:pStyle w:val="Caption"/>
        <w:jc w:val="center"/>
        <w:rPr>
          <w:b/>
          <w:bCs w:val="0"/>
        </w:rPr>
      </w:pPr>
      <w:bookmarkStart w:name="_Ref69397766" w:id="146"/>
      <w:bookmarkStart w:name="_Toc72490569" w:id="147"/>
      <w:bookmarkStart w:name="_Toc105681566" w:id="148"/>
      <w:r w:rsidRPr="00153AFA">
        <w:rPr>
          <w:b/>
          <w:bCs w:val="0"/>
        </w:rPr>
        <w:t>Table 5-</w:t>
      </w:r>
      <w:r w:rsidRPr="00153AFA">
        <w:rPr>
          <w:b/>
          <w:bCs w:val="0"/>
        </w:rPr>
        <w:fldChar w:fldCharType="begin"/>
      </w:r>
      <w:r w:rsidRPr="00153AFA">
        <w:rPr>
          <w:b/>
          <w:bCs w:val="0"/>
        </w:rPr>
        <w:instrText xml:space="preserve"> SEQ Table \* ARABIC </w:instrText>
      </w:r>
      <w:r w:rsidRPr="00153AFA">
        <w:rPr>
          <w:b/>
          <w:bCs w:val="0"/>
        </w:rPr>
        <w:fldChar w:fldCharType="separate"/>
      </w:r>
      <w:r w:rsidR="00A6777F">
        <w:rPr>
          <w:b/>
          <w:bCs w:val="0"/>
          <w:noProof/>
        </w:rPr>
        <w:t>7</w:t>
      </w:r>
      <w:r w:rsidRPr="00153AFA">
        <w:rPr>
          <w:b/>
          <w:bCs w:val="0"/>
        </w:rPr>
        <w:fldChar w:fldCharType="end"/>
      </w:r>
      <w:bookmarkEnd w:id="146"/>
      <w:r w:rsidRPr="00153AFA">
        <w:rPr>
          <w:b/>
          <w:bCs w:val="0"/>
        </w:rPr>
        <w:t xml:space="preserve">  </w:t>
      </w:r>
      <w:bookmarkStart w:name="_Hlk70410789" w:id="149"/>
      <w:r w:rsidRPr="00153AFA">
        <w:rPr>
          <w:b/>
          <w:bCs w:val="0"/>
        </w:rPr>
        <w:t>Additional Amphetamines and Cocaine Positives from Lower Testing Cutoff Levels by Future Nuclear Facilities</w:t>
      </w:r>
      <w:bookmarkEnd w:id="147"/>
      <w:bookmarkEnd w:id="149"/>
      <w:bookmarkEnd w:id="148"/>
    </w:p>
    <w:tbl>
      <w:tblPr>
        <w:tblW w:w="5000" w:type="pct"/>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4A0" w:firstRow="1" w:lastRow="0" w:firstColumn="1" w:lastColumn="0" w:noHBand="0" w:noVBand="1"/>
      </w:tblPr>
      <w:tblGrid>
        <w:gridCol w:w="3154"/>
        <w:gridCol w:w="3046"/>
        <w:gridCol w:w="3154"/>
      </w:tblGrid>
      <w:tr w:rsidRPr="00843A6E" w:rsidR="00843A6E" w:rsidTr="002323C7" w14:paraId="72790679" w14:textId="77777777">
        <w:trPr>
          <w:trHeight w:val="552"/>
        </w:trPr>
        <w:tc>
          <w:tcPr>
            <w:tcW w:w="1686" w:type="pct"/>
            <w:vMerge w:val="restart"/>
            <w:shd w:val="clear" w:color="auto" w:fill="auto"/>
            <w:vAlign w:val="center"/>
            <w:hideMark/>
          </w:tcPr>
          <w:p w:rsidRPr="003A0D5E" w:rsidR="00843A6E" w:rsidP="00843A6E" w:rsidRDefault="00843A6E" w14:paraId="16A575F0" w14:textId="77777777">
            <w:pPr>
              <w:autoSpaceDE/>
              <w:autoSpaceDN/>
              <w:adjustRightInd/>
              <w:jc w:val="center"/>
              <w:rPr>
                <w:rFonts w:cs="Arial"/>
                <w:b/>
                <w:sz w:val="22"/>
                <w:szCs w:val="22"/>
              </w:rPr>
            </w:pPr>
            <w:r w:rsidRPr="003A0D5E">
              <w:rPr>
                <w:rFonts w:cs="Arial"/>
                <w:b/>
                <w:sz w:val="22"/>
                <w:szCs w:val="22"/>
              </w:rPr>
              <w:t>Facility Type</w:t>
            </w:r>
          </w:p>
        </w:tc>
        <w:tc>
          <w:tcPr>
            <w:tcW w:w="3314" w:type="pct"/>
            <w:gridSpan w:val="2"/>
            <w:shd w:val="clear" w:color="auto" w:fill="auto"/>
            <w:vAlign w:val="center"/>
            <w:hideMark/>
          </w:tcPr>
          <w:p w:rsidRPr="003A0D5E" w:rsidR="00843A6E" w:rsidP="00843A6E" w:rsidRDefault="00843A6E" w14:paraId="64AA407E" w14:textId="2BEC601A">
            <w:pPr>
              <w:autoSpaceDE/>
              <w:autoSpaceDN/>
              <w:adjustRightInd/>
              <w:jc w:val="center"/>
              <w:rPr>
                <w:rFonts w:cs="Arial"/>
                <w:b/>
                <w:sz w:val="22"/>
                <w:szCs w:val="22"/>
              </w:rPr>
            </w:pPr>
            <w:r w:rsidRPr="003A0D5E">
              <w:rPr>
                <w:rFonts w:cs="Arial"/>
                <w:b/>
                <w:sz w:val="22"/>
                <w:szCs w:val="22"/>
              </w:rPr>
              <w:t xml:space="preserve">Projected Number of Additional Confirmed Positive Test Results </w:t>
            </w:r>
            <w:r w:rsidR="000343D8">
              <w:rPr>
                <w:rFonts w:cs="Arial"/>
                <w:b/>
                <w:sz w:val="22"/>
                <w:szCs w:val="22"/>
              </w:rPr>
              <w:t xml:space="preserve">Annually </w:t>
            </w:r>
            <w:r w:rsidRPr="003A0D5E">
              <w:rPr>
                <w:rFonts w:cs="Arial"/>
                <w:b/>
                <w:sz w:val="22"/>
                <w:szCs w:val="22"/>
              </w:rPr>
              <w:t>by Nuclear Facility Type per Site</w:t>
            </w:r>
          </w:p>
        </w:tc>
      </w:tr>
      <w:tr w:rsidRPr="00843A6E" w:rsidR="00843A6E" w:rsidTr="002323C7" w14:paraId="6BD64B44" w14:textId="77777777">
        <w:trPr>
          <w:trHeight w:val="276"/>
        </w:trPr>
        <w:tc>
          <w:tcPr>
            <w:tcW w:w="1686" w:type="pct"/>
            <w:vMerge/>
            <w:vAlign w:val="center"/>
            <w:hideMark/>
          </w:tcPr>
          <w:p w:rsidRPr="003A0D5E" w:rsidR="00843A6E" w:rsidP="00843A6E" w:rsidRDefault="00843A6E" w14:paraId="27FA54F5" w14:textId="77777777">
            <w:pPr>
              <w:autoSpaceDE/>
              <w:autoSpaceDN/>
              <w:adjustRightInd/>
              <w:rPr>
                <w:rFonts w:cs="Arial"/>
                <w:sz w:val="22"/>
                <w:szCs w:val="22"/>
              </w:rPr>
            </w:pPr>
          </w:p>
        </w:tc>
        <w:tc>
          <w:tcPr>
            <w:tcW w:w="1628" w:type="pct"/>
            <w:shd w:val="clear" w:color="auto" w:fill="auto"/>
            <w:vAlign w:val="center"/>
            <w:hideMark/>
          </w:tcPr>
          <w:p w:rsidRPr="003A0D5E" w:rsidR="00843A6E" w:rsidP="00843A6E" w:rsidRDefault="00843A6E" w14:paraId="4999FE5D" w14:textId="77777777">
            <w:pPr>
              <w:autoSpaceDE/>
              <w:autoSpaceDN/>
              <w:adjustRightInd/>
              <w:jc w:val="center"/>
              <w:rPr>
                <w:rFonts w:cs="Arial"/>
                <w:sz w:val="22"/>
                <w:szCs w:val="22"/>
              </w:rPr>
            </w:pPr>
            <w:r w:rsidRPr="003A0D5E">
              <w:rPr>
                <w:rFonts w:cs="Arial"/>
                <w:sz w:val="22"/>
                <w:szCs w:val="22"/>
              </w:rPr>
              <w:t>Amphetamines</w:t>
            </w:r>
          </w:p>
        </w:tc>
        <w:tc>
          <w:tcPr>
            <w:tcW w:w="1686" w:type="pct"/>
            <w:shd w:val="clear" w:color="auto" w:fill="auto"/>
            <w:vAlign w:val="center"/>
            <w:hideMark/>
          </w:tcPr>
          <w:p w:rsidRPr="003A0D5E" w:rsidR="00843A6E" w:rsidP="00843A6E" w:rsidRDefault="00843A6E" w14:paraId="33C01AF0" w14:textId="77777777">
            <w:pPr>
              <w:autoSpaceDE/>
              <w:autoSpaceDN/>
              <w:adjustRightInd/>
              <w:jc w:val="center"/>
              <w:rPr>
                <w:rFonts w:cs="Arial"/>
                <w:sz w:val="22"/>
                <w:szCs w:val="22"/>
              </w:rPr>
            </w:pPr>
            <w:r w:rsidRPr="003A0D5E">
              <w:rPr>
                <w:rFonts w:cs="Arial"/>
                <w:sz w:val="22"/>
                <w:szCs w:val="22"/>
              </w:rPr>
              <w:t>Cocaine</w:t>
            </w:r>
          </w:p>
        </w:tc>
      </w:tr>
      <w:tr w:rsidRPr="00843A6E" w:rsidR="00843A6E" w:rsidTr="002323C7" w14:paraId="44B56301" w14:textId="77777777">
        <w:trPr>
          <w:trHeight w:val="276"/>
        </w:trPr>
        <w:tc>
          <w:tcPr>
            <w:tcW w:w="1686" w:type="pct"/>
            <w:shd w:val="clear" w:color="auto" w:fill="auto"/>
            <w:vAlign w:val="center"/>
            <w:hideMark/>
          </w:tcPr>
          <w:p w:rsidRPr="003A0D5E" w:rsidR="00843A6E" w:rsidP="00A90AF5" w:rsidRDefault="00843A6E" w14:paraId="171266FE" w14:textId="02592E4C">
            <w:pPr>
              <w:autoSpaceDE/>
              <w:autoSpaceDN/>
              <w:adjustRightInd/>
              <w:rPr>
                <w:rFonts w:cs="Arial"/>
                <w:sz w:val="22"/>
                <w:szCs w:val="22"/>
              </w:rPr>
            </w:pPr>
            <w:r w:rsidRPr="003A0D5E">
              <w:rPr>
                <w:rFonts w:cs="Arial"/>
                <w:sz w:val="22"/>
                <w:szCs w:val="22"/>
              </w:rPr>
              <w:t>Microreactor</w:t>
            </w:r>
          </w:p>
        </w:tc>
        <w:tc>
          <w:tcPr>
            <w:tcW w:w="1628" w:type="pct"/>
            <w:shd w:val="clear" w:color="auto" w:fill="auto"/>
            <w:vAlign w:val="center"/>
            <w:hideMark/>
          </w:tcPr>
          <w:p w:rsidRPr="003A0D5E" w:rsidR="00843A6E" w:rsidP="00843A6E" w:rsidRDefault="00843A6E" w14:paraId="3805D858" w14:textId="2563AB2B">
            <w:pPr>
              <w:autoSpaceDE/>
              <w:autoSpaceDN/>
              <w:adjustRightInd/>
              <w:jc w:val="center"/>
              <w:rPr>
                <w:rFonts w:cs="Arial"/>
                <w:sz w:val="22"/>
                <w:szCs w:val="22"/>
              </w:rPr>
            </w:pPr>
            <w:r w:rsidRPr="003A0D5E">
              <w:rPr>
                <w:rFonts w:cs="Arial"/>
                <w:sz w:val="22"/>
                <w:szCs w:val="22"/>
              </w:rPr>
              <w:t>0.01</w:t>
            </w:r>
          </w:p>
        </w:tc>
        <w:tc>
          <w:tcPr>
            <w:tcW w:w="1686" w:type="pct"/>
            <w:shd w:val="clear" w:color="auto" w:fill="auto"/>
            <w:vAlign w:val="center"/>
            <w:hideMark/>
          </w:tcPr>
          <w:p w:rsidRPr="003A0D5E" w:rsidR="00843A6E" w:rsidP="00843A6E" w:rsidRDefault="00843A6E" w14:paraId="5349790A" w14:textId="2854EF9B">
            <w:pPr>
              <w:autoSpaceDE/>
              <w:autoSpaceDN/>
              <w:adjustRightInd/>
              <w:jc w:val="center"/>
              <w:rPr>
                <w:rFonts w:cs="Arial"/>
                <w:sz w:val="22"/>
                <w:szCs w:val="22"/>
              </w:rPr>
            </w:pPr>
            <w:r w:rsidRPr="003A0D5E">
              <w:rPr>
                <w:rFonts w:cs="Arial"/>
                <w:sz w:val="22"/>
                <w:szCs w:val="22"/>
              </w:rPr>
              <w:t>0.01</w:t>
            </w:r>
          </w:p>
        </w:tc>
      </w:tr>
      <w:tr w:rsidRPr="00843A6E" w:rsidR="00843A6E" w:rsidTr="002323C7" w14:paraId="26B57176" w14:textId="77777777">
        <w:trPr>
          <w:trHeight w:val="276"/>
        </w:trPr>
        <w:tc>
          <w:tcPr>
            <w:tcW w:w="1686" w:type="pct"/>
            <w:shd w:val="clear" w:color="auto" w:fill="auto"/>
            <w:vAlign w:val="center"/>
            <w:hideMark/>
          </w:tcPr>
          <w:p w:rsidRPr="003A0D5E" w:rsidR="00843A6E" w:rsidP="00A90AF5" w:rsidRDefault="00843A6E" w14:paraId="7DA3E631" w14:textId="77777777">
            <w:pPr>
              <w:autoSpaceDE/>
              <w:autoSpaceDN/>
              <w:adjustRightInd/>
              <w:rPr>
                <w:rFonts w:cs="Arial"/>
                <w:sz w:val="22"/>
                <w:szCs w:val="22"/>
              </w:rPr>
            </w:pPr>
            <w:r w:rsidRPr="003A0D5E">
              <w:rPr>
                <w:rFonts w:cs="Arial"/>
                <w:sz w:val="22"/>
                <w:szCs w:val="22"/>
              </w:rPr>
              <w:t>Small reactor</w:t>
            </w:r>
          </w:p>
        </w:tc>
        <w:tc>
          <w:tcPr>
            <w:tcW w:w="1628" w:type="pct"/>
            <w:shd w:val="clear" w:color="auto" w:fill="auto"/>
            <w:vAlign w:val="center"/>
            <w:hideMark/>
          </w:tcPr>
          <w:p w:rsidRPr="003A0D5E" w:rsidR="00843A6E" w:rsidP="00843A6E" w:rsidRDefault="00843A6E" w14:paraId="13C2D4EC" w14:textId="7BAA6417">
            <w:pPr>
              <w:autoSpaceDE/>
              <w:autoSpaceDN/>
              <w:adjustRightInd/>
              <w:jc w:val="center"/>
              <w:rPr>
                <w:rFonts w:cs="Arial"/>
                <w:sz w:val="22"/>
                <w:szCs w:val="22"/>
              </w:rPr>
            </w:pPr>
            <w:r w:rsidRPr="003A0D5E">
              <w:rPr>
                <w:rFonts w:cs="Arial"/>
                <w:sz w:val="22"/>
                <w:szCs w:val="22"/>
              </w:rPr>
              <w:t>0.03</w:t>
            </w:r>
          </w:p>
        </w:tc>
        <w:tc>
          <w:tcPr>
            <w:tcW w:w="1686" w:type="pct"/>
            <w:shd w:val="clear" w:color="auto" w:fill="auto"/>
            <w:vAlign w:val="center"/>
            <w:hideMark/>
          </w:tcPr>
          <w:p w:rsidRPr="003A0D5E" w:rsidR="00843A6E" w:rsidP="00843A6E" w:rsidRDefault="00843A6E" w14:paraId="346F2399" w14:textId="5D78DB02">
            <w:pPr>
              <w:autoSpaceDE/>
              <w:autoSpaceDN/>
              <w:adjustRightInd/>
              <w:jc w:val="center"/>
              <w:rPr>
                <w:rFonts w:cs="Arial"/>
                <w:sz w:val="22"/>
                <w:szCs w:val="22"/>
              </w:rPr>
            </w:pPr>
            <w:r w:rsidRPr="003A0D5E">
              <w:rPr>
                <w:rFonts w:cs="Arial"/>
                <w:sz w:val="22"/>
                <w:szCs w:val="22"/>
              </w:rPr>
              <w:t>0.03</w:t>
            </w:r>
          </w:p>
        </w:tc>
      </w:tr>
      <w:tr w:rsidRPr="00843A6E" w:rsidR="00843A6E" w:rsidTr="002323C7" w14:paraId="692C6E08" w14:textId="77777777">
        <w:trPr>
          <w:trHeight w:val="276"/>
        </w:trPr>
        <w:tc>
          <w:tcPr>
            <w:tcW w:w="1686" w:type="pct"/>
            <w:shd w:val="clear" w:color="auto" w:fill="auto"/>
            <w:vAlign w:val="center"/>
            <w:hideMark/>
          </w:tcPr>
          <w:p w:rsidRPr="003A0D5E" w:rsidR="00843A6E" w:rsidP="00A90AF5" w:rsidRDefault="00843A6E" w14:paraId="19CE7D48" w14:textId="77777777">
            <w:pPr>
              <w:autoSpaceDE/>
              <w:autoSpaceDN/>
              <w:adjustRightInd/>
              <w:rPr>
                <w:rFonts w:cs="Arial"/>
                <w:sz w:val="22"/>
                <w:szCs w:val="22"/>
              </w:rPr>
            </w:pPr>
            <w:r w:rsidRPr="003A0D5E">
              <w:rPr>
                <w:rFonts w:cs="Arial"/>
                <w:sz w:val="22"/>
                <w:szCs w:val="22"/>
              </w:rPr>
              <w:t>Medium reactor</w:t>
            </w:r>
          </w:p>
        </w:tc>
        <w:tc>
          <w:tcPr>
            <w:tcW w:w="1628" w:type="pct"/>
            <w:shd w:val="clear" w:color="auto" w:fill="auto"/>
            <w:vAlign w:val="center"/>
            <w:hideMark/>
          </w:tcPr>
          <w:p w:rsidRPr="003A0D5E" w:rsidR="00843A6E" w:rsidP="00843A6E" w:rsidRDefault="00843A6E" w14:paraId="21A8FC97" w14:textId="52CEAD88">
            <w:pPr>
              <w:autoSpaceDE/>
              <w:autoSpaceDN/>
              <w:adjustRightInd/>
              <w:jc w:val="center"/>
              <w:rPr>
                <w:rFonts w:cs="Arial"/>
                <w:sz w:val="22"/>
                <w:szCs w:val="22"/>
              </w:rPr>
            </w:pPr>
            <w:r w:rsidRPr="003A0D5E">
              <w:rPr>
                <w:rFonts w:cs="Arial"/>
                <w:sz w:val="22"/>
                <w:szCs w:val="22"/>
              </w:rPr>
              <w:t>0.08</w:t>
            </w:r>
          </w:p>
        </w:tc>
        <w:tc>
          <w:tcPr>
            <w:tcW w:w="1686" w:type="pct"/>
            <w:shd w:val="clear" w:color="auto" w:fill="auto"/>
            <w:vAlign w:val="center"/>
            <w:hideMark/>
          </w:tcPr>
          <w:p w:rsidRPr="003A0D5E" w:rsidR="00843A6E" w:rsidP="00843A6E" w:rsidRDefault="00843A6E" w14:paraId="6AEEE0A1" w14:textId="0076C36E">
            <w:pPr>
              <w:autoSpaceDE/>
              <w:autoSpaceDN/>
              <w:adjustRightInd/>
              <w:jc w:val="center"/>
              <w:rPr>
                <w:rFonts w:cs="Arial"/>
                <w:sz w:val="22"/>
                <w:szCs w:val="22"/>
              </w:rPr>
            </w:pPr>
            <w:r w:rsidRPr="003A0D5E">
              <w:rPr>
                <w:rFonts w:cs="Arial"/>
                <w:sz w:val="22"/>
                <w:szCs w:val="22"/>
              </w:rPr>
              <w:t>0.07</w:t>
            </w:r>
          </w:p>
        </w:tc>
      </w:tr>
      <w:tr w:rsidRPr="00843A6E" w:rsidR="00843A6E" w:rsidTr="002323C7" w14:paraId="0037BBCE" w14:textId="77777777">
        <w:trPr>
          <w:trHeight w:val="276"/>
        </w:trPr>
        <w:tc>
          <w:tcPr>
            <w:tcW w:w="1686" w:type="pct"/>
            <w:shd w:val="clear" w:color="auto" w:fill="auto"/>
            <w:vAlign w:val="center"/>
            <w:hideMark/>
          </w:tcPr>
          <w:p w:rsidRPr="003A0D5E" w:rsidR="00843A6E" w:rsidP="00A90AF5" w:rsidRDefault="00843A6E" w14:paraId="68861853" w14:textId="77777777">
            <w:pPr>
              <w:autoSpaceDE/>
              <w:autoSpaceDN/>
              <w:adjustRightInd/>
              <w:rPr>
                <w:rFonts w:cs="Arial"/>
                <w:sz w:val="22"/>
                <w:szCs w:val="22"/>
              </w:rPr>
            </w:pPr>
            <w:r w:rsidRPr="003A0D5E">
              <w:rPr>
                <w:rFonts w:cs="Arial"/>
                <w:sz w:val="22"/>
                <w:szCs w:val="22"/>
              </w:rPr>
              <w:t>Large reactor</w:t>
            </w:r>
          </w:p>
        </w:tc>
        <w:tc>
          <w:tcPr>
            <w:tcW w:w="1628" w:type="pct"/>
            <w:shd w:val="clear" w:color="auto" w:fill="auto"/>
            <w:vAlign w:val="center"/>
            <w:hideMark/>
          </w:tcPr>
          <w:p w:rsidRPr="003A0D5E" w:rsidR="00843A6E" w:rsidP="00843A6E" w:rsidRDefault="00843A6E" w14:paraId="7B6005CF" w14:textId="5DE418E4">
            <w:pPr>
              <w:autoSpaceDE/>
              <w:autoSpaceDN/>
              <w:adjustRightInd/>
              <w:jc w:val="center"/>
              <w:rPr>
                <w:rFonts w:cs="Arial"/>
                <w:sz w:val="22"/>
                <w:szCs w:val="22"/>
              </w:rPr>
            </w:pPr>
            <w:r w:rsidRPr="003A0D5E">
              <w:rPr>
                <w:rFonts w:cs="Arial"/>
                <w:sz w:val="22"/>
                <w:szCs w:val="22"/>
              </w:rPr>
              <w:t>0.39</w:t>
            </w:r>
          </w:p>
        </w:tc>
        <w:tc>
          <w:tcPr>
            <w:tcW w:w="1686" w:type="pct"/>
            <w:shd w:val="clear" w:color="auto" w:fill="auto"/>
            <w:vAlign w:val="center"/>
            <w:hideMark/>
          </w:tcPr>
          <w:p w:rsidRPr="003A0D5E" w:rsidR="00843A6E" w:rsidP="00843A6E" w:rsidRDefault="00843A6E" w14:paraId="2DCBD85A" w14:textId="6734156C">
            <w:pPr>
              <w:autoSpaceDE/>
              <w:autoSpaceDN/>
              <w:adjustRightInd/>
              <w:jc w:val="center"/>
              <w:rPr>
                <w:rFonts w:cs="Arial"/>
                <w:sz w:val="22"/>
                <w:szCs w:val="22"/>
              </w:rPr>
            </w:pPr>
            <w:r w:rsidRPr="003A0D5E">
              <w:rPr>
                <w:rFonts w:cs="Arial"/>
                <w:sz w:val="22"/>
                <w:szCs w:val="22"/>
              </w:rPr>
              <w:t>0.37</w:t>
            </w:r>
          </w:p>
        </w:tc>
      </w:tr>
      <w:tr w:rsidRPr="00843A6E" w:rsidR="00843A6E" w:rsidTr="002323C7" w14:paraId="38B58056" w14:textId="77777777">
        <w:trPr>
          <w:trHeight w:val="276"/>
        </w:trPr>
        <w:tc>
          <w:tcPr>
            <w:tcW w:w="1686" w:type="pct"/>
            <w:shd w:val="clear" w:color="auto" w:fill="auto"/>
            <w:vAlign w:val="center"/>
            <w:hideMark/>
          </w:tcPr>
          <w:p w:rsidRPr="003A0D5E" w:rsidR="00843A6E" w:rsidP="00A90AF5" w:rsidRDefault="00C109C4" w14:paraId="752C8FC5" w14:textId="0D9A5821">
            <w:pPr>
              <w:autoSpaceDE/>
              <w:autoSpaceDN/>
              <w:adjustRightInd/>
              <w:rPr>
                <w:rFonts w:cs="Arial"/>
                <w:sz w:val="22"/>
                <w:szCs w:val="22"/>
              </w:rPr>
            </w:pPr>
            <w:r w:rsidRPr="000F42EC">
              <w:rPr>
                <w:rFonts w:cs="Arial"/>
                <w:sz w:val="22"/>
                <w:szCs w:val="22"/>
              </w:rPr>
              <w:t>Category I s</w:t>
            </w:r>
            <w:r w:rsidR="004F4B95">
              <w:rPr>
                <w:rFonts w:cs="Arial"/>
                <w:sz w:val="22"/>
                <w:szCs w:val="22"/>
              </w:rPr>
              <w:t>pecial nuclear material licensee</w:t>
            </w:r>
            <w:r w:rsidR="00BC6388">
              <w:rPr>
                <w:rFonts w:cs="Arial"/>
                <w:sz w:val="22"/>
                <w:szCs w:val="22"/>
              </w:rPr>
              <w:t xml:space="preserve"> facility</w:t>
            </w:r>
          </w:p>
        </w:tc>
        <w:tc>
          <w:tcPr>
            <w:tcW w:w="1628" w:type="pct"/>
            <w:shd w:val="clear" w:color="auto" w:fill="auto"/>
            <w:vAlign w:val="center"/>
            <w:hideMark/>
          </w:tcPr>
          <w:p w:rsidRPr="003A0D5E" w:rsidR="00843A6E" w:rsidP="00843A6E" w:rsidRDefault="00843A6E" w14:paraId="499472C7" w14:textId="129BBE8B">
            <w:pPr>
              <w:autoSpaceDE/>
              <w:autoSpaceDN/>
              <w:adjustRightInd/>
              <w:jc w:val="center"/>
              <w:rPr>
                <w:rFonts w:cs="Arial"/>
                <w:sz w:val="22"/>
                <w:szCs w:val="22"/>
              </w:rPr>
            </w:pPr>
            <w:r w:rsidRPr="003A0D5E">
              <w:rPr>
                <w:rFonts w:cs="Arial"/>
                <w:sz w:val="22"/>
                <w:szCs w:val="22"/>
              </w:rPr>
              <w:t>0.39</w:t>
            </w:r>
          </w:p>
        </w:tc>
        <w:tc>
          <w:tcPr>
            <w:tcW w:w="1686" w:type="pct"/>
            <w:shd w:val="clear" w:color="auto" w:fill="auto"/>
            <w:vAlign w:val="center"/>
            <w:hideMark/>
          </w:tcPr>
          <w:p w:rsidRPr="003A0D5E" w:rsidR="00843A6E" w:rsidP="00843A6E" w:rsidRDefault="00843A6E" w14:paraId="5F04080B" w14:textId="5426AE7F">
            <w:pPr>
              <w:autoSpaceDE/>
              <w:autoSpaceDN/>
              <w:adjustRightInd/>
              <w:jc w:val="center"/>
              <w:rPr>
                <w:rFonts w:cs="Arial"/>
                <w:sz w:val="22"/>
                <w:szCs w:val="22"/>
              </w:rPr>
            </w:pPr>
            <w:r w:rsidRPr="003A0D5E">
              <w:rPr>
                <w:rFonts w:cs="Arial"/>
                <w:sz w:val="22"/>
                <w:szCs w:val="22"/>
              </w:rPr>
              <w:t>0.37</w:t>
            </w:r>
          </w:p>
        </w:tc>
      </w:tr>
    </w:tbl>
    <w:p w:rsidR="005F3921" w:rsidP="005F3921" w:rsidRDefault="005F3921" w14:paraId="37E6F95B" w14:textId="77777777">
      <w:pPr>
        <w:rPr>
          <w:rFonts w:cs="Arial"/>
          <w:sz w:val="22"/>
          <w:szCs w:val="22"/>
        </w:rPr>
      </w:pPr>
    </w:p>
    <w:p w:rsidRPr="005A5966" w:rsidR="00D520BD" w:rsidP="00D520BD" w:rsidRDefault="00D520BD" w14:paraId="554B235D" w14:textId="4922E16C">
      <w:pPr>
        <w:pStyle w:val="Heading3"/>
      </w:pPr>
      <w:bookmarkStart w:name="_Toc332032768" w:id="150"/>
      <w:bookmarkStart w:name="_Toc460412612" w:id="151"/>
      <w:bookmarkStart w:name="_Toc72840030" w:id="152"/>
      <w:bookmarkStart w:name="_Toc105681503" w:id="153"/>
      <w:r>
        <w:t>5</w:t>
      </w:r>
      <w:r w:rsidRPr="005A5966">
        <w:t>.1.3</w:t>
      </w:r>
      <w:r w:rsidRPr="005A5966">
        <w:tab/>
        <w:t>Expanded Initial Drug Testing Panel to Include 6-AM and Revised</w:t>
      </w:r>
      <w:r w:rsidR="00831092">
        <w:t> </w:t>
      </w:r>
      <w:r w:rsidRPr="005A5966">
        <w:t>Confirmatory Testing Cutoff Level for 6-AM</w:t>
      </w:r>
      <w:bookmarkEnd w:id="150"/>
      <w:bookmarkEnd w:id="151"/>
      <w:bookmarkEnd w:id="152"/>
      <w:bookmarkEnd w:id="153"/>
    </w:p>
    <w:p w:rsidR="00D520BD" w:rsidP="00A37DB0" w:rsidRDefault="00D520BD" w14:paraId="3E987FE0" w14:textId="77777777">
      <w:pPr>
        <w:keepNext/>
        <w:tabs>
          <w:tab w:val="left" w:pos="721"/>
        </w:tabs>
        <w:rPr>
          <w:rFonts w:cs="Arial"/>
          <w:bCs/>
          <w:sz w:val="22"/>
          <w:szCs w:val="22"/>
        </w:rPr>
      </w:pPr>
    </w:p>
    <w:p w:rsidRPr="005A5966" w:rsidR="00D520BD" w:rsidP="00D520BD" w:rsidRDefault="00D520BD" w14:paraId="7B6E8D16" w14:textId="4E4FEAEF">
      <w:pPr>
        <w:tabs>
          <w:tab w:val="left" w:pos="721"/>
        </w:tabs>
        <w:rPr>
          <w:rFonts w:cs="Arial"/>
          <w:bCs/>
          <w:sz w:val="22"/>
          <w:szCs w:val="22"/>
        </w:rPr>
      </w:pPr>
      <w:r w:rsidRPr="005A5966">
        <w:rPr>
          <w:rFonts w:cs="Arial"/>
          <w:bCs/>
          <w:sz w:val="22"/>
          <w:szCs w:val="22"/>
        </w:rPr>
        <w:t xml:space="preserve">Licensees incur costs to conduct initial testing </w:t>
      </w:r>
      <w:r>
        <w:rPr>
          <w:rFonts w:cs="Arial"/>
          <w:bCs/>
          <w:sz w:val="22"/>
          <w:szCs w:val="22"/>
        </w:rPr>
        <w:t xml:space="preserve">of each urine specimen </w:t>
      </w:r>
      <w:r w:rsidRPr="005A5966">
        <w:rPr>
          <w:rFonts w:cs="Arial"/>
          <w:bCs/>
          <w:sz w:val="22"/>
          <w:szCs w:val="22"/>
        </w:rPr>
        <w:t>for 6-AM</w:t>
      </w:r>
      <w:r>
        <w:rPr>
          <w:rFonts w:cs="Arial"/>
          <w:bCs/>
          <w:sz w:val="22"/>
          <w:szCs w:val="22"/>
        </w:rPr>
        <w:t xml:space="preserve"> (the metabolite of the illegal drug heroin)</w:t>
      </w:r>
      <w:r w:rsidR="00646A79">
        <w:rPr>
          <w:rFonts w:cs="Arial"/>
          <w:bCs/>
          <w:sz w:val="22"/>
          <w:szCs w:val="22"/>
        </w:rPr>
        <w:t>,</w:t>
      </w:r>
      <w:r w:rsidRPr="005A5966">
        <w:rPr>
          <w:rFonts w:cs="Arial"/>
          <w:bCs/>
          <w:sz w:val="22"/>
          <w:szCs w:val="22"/>
        </w:rPr>
        <w:t xml:space="preserve"> which increase</w:t>
      </w:r>
      <w:r w:rsidR="005C4B27">
        <w:rPr>
          <w:rFonts w:cs="Arial"/>
          <w:bCs/>
          <w:sz w:val="22"/>
          <w:szCs w:val="22"/>
        </w:rPr>
        <w:t>s</w:t>
      </w:r>
      <w:r w:rsidRPr="005A5966">
        <w:rPr>
          <w:rFonts w:cs="Arial"/>
          <w:bCs/>
          <w:sz w:val="22"/>
          <w:szCs w:val="22"/>
        </w:rPr>
        <w:t xml:space="preserve"> the number of urine specimens identified as containing 6-AM.  </w:t>
      </w:r>
      <w:r>
        <w:rPr>
          <w:rFonts w:cs="Arial"/>
          <w:bCs/>
          <w:sz w:val="22"/>
          <w:szCs w:val="22"/>
        </w:rPr>
        <w:t xml:space="preserve">Licensees also </w:t>
      </w:r>
      <w:r w:rsidR="002479F6">
        <w:rPr>
          <w:rFonts w:cs="Arial"/>
          <w:bCs/>
          <w:sz w:val="22"/>
          <w:szCs w:val="22"/>
        </w:rPr>
        <w:t>will</w:t>
      </w:r>
      <w:r>
        <w:rPr>
          <w:rFonts w:cs="Arial"/>
          <w:bCs/>
          <w:sz w:val="22"/>
          <w:szCs w:val="22"/>
        </w:rPr>
        <w:t xml:space="preserve"> incur </w:t>
      </w:r>
      <w:r w:rsidRPr="00FB794C">
        <w:rPr>
          <w:rFonts w:cs="Arial"/>
          <w:bCs/>
          <w:sz w:val="22"/>
          <w:szCs w:val="22"/>
        </w:rPr>
        <w:t xml:space="preserve">costs associated with </w:t>
      </w:r>
      <w:r>
        <w:rPr>
          <w:rFonts w:cs="Arial"/>
          <w:bCs/>
          <w:sz w:val="22"/>
          <w:szCs w:val="22"/>
        </w:rPr>
        <w:t xml:space="preserve">any specimens that test positive on </w:t>
      </w:r>
      <w:r w:rsidRPr="00FB794C">
        <w:rPr>
          <w:rFonts w:cs="Arial"/>
          <w:bCs/>
          <w:sz w:val="22"/>
          <w:szCs w:val="22"/>
        </w:rPr>
        <w:t>confirmatory testing</w:t>
      </w:r>
      <w:r>
        <w:rPr>
          <w:rFonts w:cs="Arial"/>
          <w:bCs/>
          <w:sz w:val="22"/>
          <w:szCs w:val="22"/>
        </w:rPr>
        <w:t xml:space="preserve"> and the </w:t>
      </w:r>
      <w:r w:rsidRPr="00FB794C">
        <w:rPr>
          <w:rFonts w:cs="Arial"/>
          <w:bCs/>
          <w:sz w:val="22"/>
          <w:szCs w:val="22"/>
        </w:rPr>
        <w:t>subsequent actions</w:t>
      </w:r>
      <w:r>
        <w:rPr>
          <w:rFonts w:cs="Arial"/>
          <w:bCs/>
          <w:sz w:val="22"/>
          <w:szCs w:val="22"/>
        </w:rPr>
        <w:t xml:space="preserve"> taken when an individual tests positive</w:t>
      </w:r>
      <w:r w:rsidRPr="00FB794C">
        <w:rPr>
          <w:rFonts w:cs="Arial"/>
          <w:bCs/>
          <w:sz w:val="22"/>
          <w:szCs w:val="22"/>
        </w:rPr>
        <w:t xml:space="preserve"> </w:t>
      </w:r>
      <w:r w:rsidRPr="005A5966">
        <w:rPr>
          <w:rFonts w:cs="Arial"/>
          <w:bCs/>
          <w:sz w:val="22"/>
          <w:szCs w:val="22"/>
        </w:rPr>
        <w:t>(i.e.</w:t>
      </w:r>
      <w:r w:rsidR="00646A79">
        <w:rPr>
          <w:rFonts w:cs="Arial"/>
          <w:bCs/>
          <w:sz w:val="22"/>
          <w:szCs w:val="22"/>
        </w:rPr>
        <w:t>,</w:t>
      </w:r>
      <w:r>
        <w:rPr>
          <w:rFonts w:cs="Arial"/>
          <w:bCs/>
          <w:sz w:val="22"/>
          <w:szCs w:val="22"/>
        </w:rPr>
        <w:t> </w:t>
      </w:r>
      <w:r w:rsidRPr="005A5966">
        <w:rPr>
          <w:rFonts w:cs="Arial"/>
          <w:bCs/>
          <w:sz w:val="22"/>
          <w:szCs w:val="22"/>
        </w:rPr>
        <w:t>on the part of the FFD program staff</w:t>
      </w:r>
      <w:r w:rsidR="00646A79">
        <w:rPr>
          <w:rFonts w:cs="Arial"/>
          <w:bCs/>
          <w:sz w:val="22"/>
          <w:szCs w:val="22"/>
        </w:rPr>
        <w:t>,</w:t>
      </w:r>
      <w:r w:rsidRPr="005A5966">
        <w:rPr>
          <w:rFonts w:cs="Arial"/>
          <w:bCs/>
          <w:sz w:val="22"/>
          <w:szCs w:val="22"/>
        </w:rPr>
        <w:t xml:space="preserve"> the MRO</w:t>
      </w:r>
      <w:r w:rsidR="00646A79">
        <w:rPr>
          <w:rFonts w:cs="Arial"/>
          <w:bCs/>
          <w:sz w:val="22"/>
          <w:szCs w:val="22"/>
        </w:rPr>
        <w:t>,</w:t>
      </w:r>
      <w:r w:rsidRPr="005A5966">
        <w:rPr>
          <w:rFonts w:cs="Arial"/>
          <w:bCs/>
          <w:sz w:val="22"/>
          <w:szCs w:val="22"/>
        </w:rPr>
        <w:t xml:space="preserve"> and the donor).  These incremental costs are estimated as follows:</w:t>
      </w:r>
    </w:p>
    <w:p w:rsidRPr="005A5966" w:rsidR="00D520BD" w:rsidP="00D520BD" w:rsidRDefault="00D520BD" w14:paraId="5B278797" w14:textId="77777777">
      <w:pPr>
        <w:rPr>
          <w:rFonts w:cs="Arial"/>
          <w:bCs/>
          <w:sz w:val="22"/>
          <w:szCs w:val="22"/>
        </w:rPr>
      </w:pPr>
    </w:p>
    <w:p w:rsidRPr="00BB14AD" w:rsidR="00D520BD" w:rsidP="00A60C27" w:rsidRDefault="00D520BD" w14:paraId="16899CC6" w14:textId="5DBC2769">
      <w:pPr>
        <w:pStyle w:val="ListParagraph"/>
        <w:keepNext/>
        <w:keepLines/>
        <w:numPr>
          <w:ilvl w:val="0"/>
          <w:numId w:val="15"/>
        </w:numPr>
        <w:tabs>
          <w:tab w:val="left" w:pos="3960"/>
          <w:tab w:val="left" w:pos="4320"/>
        </w:tabs>
        <w:ind w:hanging="720"/>
        <w:rPr>
          <w:sz w:val="22"/>
          <w:szCs w:val="22"/>
        </w:rPr>
      </w:pPr>
      <w:r w:rsidRPr="00BB14AD">
        <w:rPr>
          <w:sz w:val="22"/>
          <w:szCs w:val="22"/>
        </w:rPr>
        <w:lastRenderedPageBreak/>
        <w:t>total annual cost to industry</w:t>
      </w:r>
      <w:r w:rsidR="004212C8">
        <w:rPr>
          <w:sz w:val="22"/>
          <w:szCs w:val="22"/>
        </w:rPr>
        <w:t xml:space="preserve"> = </w:t>
      </w:r>
      <w:r w:rsidRPr="00BB14AD">
        <w:rPr>
          <w:sz w:val="22"/>
          <w:szCs w:val="22"/>
        </w:rPr>
        <w:t>($</w:t>
      </w:r>
      <w:r w:rsidR="003666C7">
        <w:rPr>
          <w:sz w:val="22"/>
          <w:szCs w:val="22"/>
        </w:rPr>
        <w:t>80,265</w:t>
      </w:r>
      <w:r w:rsidRPr="00BB14AD">
        <w:rPr>
          <w:sz w:val="22"/>
          <w:szCs w:val="22"/>
        </w:rPr>
        <w:t>)</w:t>
      </w:r>
    </w:p>
    <w:p w:rsidRPr="00BB14AD" w:rsidR="00D520BD" w:rsidP="00A60C27" w:rsidRDefault="00D520BD" w14:paraId="38502781" w14:textId="1640DF68">
      <w:pPr>
        <w:pStyle w:val="ListParagraph"/>
        <w:keepNext/>
        <w:keepLines/>
        <w:numPr>
          <w:ilvl w:val="0"/>
          <w:numId w:val="15"/>
        </w:numPr>
        <w:tabs>
          <w:tab w:val="left" w:pos="3960"/>
          <w:tab w:val="left" w:pos="4320"/>
        </w:tabs>
        <w:ind w:hanging="720"/>
        <w:rPr>
          <w:sz w:val="22"/>
          <w:szCs w:val="22"/>
        </w:rPr>
      </w:pPr>
      <w:r w:rsidRPr="00BB14AD">
        <w:rPr>
          <w:sz w:val="22"/>
          <w:szCs w:val="22"/>
        </w:rPr>
        <w:t>average annual cost per site</w:t>
      </w:r>
      <w:r w:rsidR="004212C8">
        <w:rPr>
          <w:sz w:val="22"/>
          <w:szCs w:val="22"/>
        </w:rPr>
        <w:t xml:space="preserve"> = </w:t>
      </w:r>
      <w:r w:rsidRPr="00BB14AD">
        <w:rPr>
          <w:sz w:val="22"/>
          <w:szCs w:val="22"/>
        </w:rPr>
        <w:t>($</w:t>
      </w:r>
      <w:r w:rsidR="003666C7">
        <w:rPr>
          <w:sz w:val="22"/>
          <w:szCs w:val="22"/>
        </w:rPr>
        <w:t>1,360</w:t>
      </w:r>
      <w:r w:rsidRPr="00BB14AD">
        <w:rPr>
          <w:sz w:val="22"/>
          <w:szCs w:val="22"/>
        </w:rPr>
        <w:t>)</w:t>
      </w:r>
    </w:p>
    <w:p w:rsidRPr="005A5966" w:rsidR="00D520BD" w:rsidP="00530101" w:rsidRDefault="00D520BD" w14:paraId="760855F4" w14:textId="77777777">
      <w:pPr>
        <w:tabs>
          <w:tab w:val="left" w:pos="4320"/>
        </w:tabs>
        <w:rPr>
          <w:sz w:val="22"/>
          <w:szCs w:val="22"/>
        </w:rPr>
      </w:pPr>
    </w:p>
    <w:p w:rsidR="00D520BD" w:rsidP="00D520BD" w:rsidRDefault="00D520BD" w14:paraId="38D66688" w14:textId="7D1635F1">
      <w:pPr>
        <w:tabs>
          <w:tab w:val="left" w:pos="720"/>
        </w:tabs>
        <w:rPr>
          <w:rFonts w:cs="Arial"/>
          <w:sz w:val="22"/>
          <w:szCs w:val="22"/>
        </w:rPr>
      </w:pPr>
      <w:r>
        <w:rPr>
          <w:sz w:val="22"/>
          <w:szCs w:val="22"/>
        </w:rPr>
        <w:t>In making these changes to maintain reasonable assurance of a drug-free workplace</w:t>
      </w:r>
      <w:r w:rsidR="00646A79">
        <w:rPr>
          <w:sz w:val="22"/>
          <w:szCs w:val="22"/>
        </w:rPr>
        <w:t>,</w:t>
      </w:r>
      <w:r>
        <w:rPr>
          <w:sz w:val="22"/>
          <w:szCs w:val="22"/>
        </w:rPr>
        <w:t xml:space="preserve"> t</w:t>
      </w:r>
      <w:r w:rsidRPr="005A5966">
        <w:rPr>
          <w:sz w:val="22"/>
          <w:szCs w:val="22"/>
        </w:rPr>
        <w:t xml:space="preserve">he NRC </w:t>
      </w:r>
      <w:r>
        <w:rPr>
          <w:sz w:val="22"/>
          <w:szCs w:val="22"/>
        </w:rPr>
        <w:t xml:space="preserve">staff </w:t>
      </w:r>
      <w:r w:rsidRPr="005A5966">
        <w:rPr>
          <w:sz w:val="22"/>
          <w:szCs w:val="22"/>
        </w:rPr>
        <w:t xml:space="preserve">estimates that </w:t>
      </w:r>
      <w:r>
        <w:rPr>
          <w:sz w:val="22"/>
          <w:szCs w:val="22"/>
        </w:rPr>
        <w:t xml:space="preserve">this regulatory initiative </w:t>
      </w:r>
      <w:r w:rsidR="00AE1565">
        <w:rPr>
          <w:sz w:val="22"/>
          <w:szCs w:val="22"/>
        </w:rPr>
        <w:t xml:space="preserve">will </w:t>
      </w:r>
      <w:r>
        <w:rPr>
          <w:sz w:val="22"/>
          <w:szCs w:val="22"/>
        </w:rPr>
        <w:t xml:space="preserve">result in </w:t>
      </w:r>
      <w:r w:rsidRPr="00BB14AD">
        <w:rPr>
          <w:sz w:val="22"/>
          <w:szCs w:val="22"/>
        </w:rPr>
        <w:t>an additional 2</w:t>
      </w:r>
      <w:r w:rsidRPr="00BB14AD" w:rsidR="00BB14AD">
        <w:rPr>
          <w:sz w:val="22"/>
          <w:szCs w:val="22"/>
        </w:rPr>
        <w:t>2</w:t>
      </w:r>
      <w:r w:rsidRPr="00BB14AD">
        <w:rPr>
          <w:sz w:val="22"/>
          <w:szCs w:val="22"/>
        </w:rPr>
        <w:t> confirmed</w:t>
      </w:r>
      <w:r w:rsidRPr="005A5966">
        <w:rPr>
          <w:sz w:val="22"/>
          <w:szCs w:val="22"/>
        </w:rPr>
        <w:t xml:space="preserve"> positive test results</w:t>
      </w:r>
      <w:r>
        <w:rPr>
          <w:sz w:val="22"/>
          <w:szCs w:val="22"/>
        </w:rPr>
        <w:t xml:space="preserve"> per year</w:t>
      </w:r>
      <w:r w:rsidR="00646A79">
        <w:rPr>
          <w:sz w:val="22"/>
          <w:szCs w:val="22"/>
        </w:rPr>
        <w:t>,</w:t>
      </w:r>
      <w:r w:rsidRPr="005A5966">
        <w:rPr>
          <w:sz w:val="22"/>
          <w:szCs w:val="22"/>
        </w:rPr>
        <w:t xml:space="preserve"> as presented in </w:t>
      </w:r>
      <w:r>
        <w:rPr>
          <w:sz w:val="22"/>
          <w:szCs w:val="22"/>
        </w:rPr>
        <w:t>Table 5</w:t>
      </w:r>
      <w:r>
        <w:rPr>
          <w:sz w:val="22"/>
          <w:szCs w:val="22"/>
        </w:rPr>
        <w:noBreakHyphen/>
      </w:r>
      <w:r w:rsidR="00530101">
        <w:rPr>
          <w:sz w:val="22"/>
          <w:szCs w:val="22"/>
        </w:rPr>
        <w:t>8</w:t>
      </w:r>
      <w:r w:rsidRPr="005A5966">
        <w:rPr>
          <w:sz w:val="22"/>
          <w:szCs w:val="22"/>
        </w:rPr>
        <w:t>.  Therefore</w:t>
      </w:r>
      <w:r w:rsidR="00646A79">
        <w:rPr>
          <w:sz w:val="22"/>
          <w:szCs w:val="22"/>
        </w:rPr>
        <w:t>,</w:t>
      </w:r>
      <w:r w:rsidRPr="005A5966">
        <w:rPr>
          <w:sz w:val="22"/>
          <w:szCs w:val="22"/>
        </w:rPr>
        <w:t xml:space="preserve"> </w:t>
      </w:r>
      <w:r w:rsidRPr="005A5966">
        <w:rPr>
          <w:rFonts w:cs="Arial"/>
          <w:bCs/>
          <w:sz w:val="22"/>
          <w:szCs w:val="22"/>
        </w:rPr>
        <w:t>expanding the initial drug testing panel to include 6-AM and revising the confirmatory testing cutoff level for 6-AM provide</w:t>
      </w:r>
      <w:r w:rsidR="00673C5A">
        <w:rPr>
          <w:rFonts w:cs="Arial"/>
          <w:bCs/>
          <w:sz w:val="22"/>
          <w:szCs w:val="22"/>
        </w:rPr>
        <w:t>s</w:t>
      </w:r>
      <w:r w:rsidRPr="005A5966">
        <w:rPr>
          <w:rFonts w:cs="Arial"/>
          <w:bCs/>
          <w:sz w:val="22"/>
          <w:szCs w:val="22"/>
        </w:rPr>
        <w:t xml:space="preserve"> a</w:t>
      </w:r>
      <w:r>
        <w:rPr>
          <w:rFonts w:cs="Arial"/>
          <w:bCs/>
          <w:sz w:val="22"/>
          <w:szCs w:val="22"/>
        </w:rPr>
        <w:t xml:space="preserve">dditional </w:t>
      </w:r>
      <w:r w:rsidRPr="005A5966">
        <w:rPr>
          <w:rFonts w:cs="Arial"/>
          <w:bCs/>
          <w:sz w:val="22"/>
          <w:szCs w:val="22"/>
        </w:rPr>
        <w:t xml:space="preserve">assurance that persons who are using </w:t>
      </w:r>
      <w:r>
        <w:rPr>
          <w:rFonts w:cs="Arial"/>
          <w:bCs/>
          <w:sz w:val="22"/>
          <w:szCs w:val="22"/>
        </w:rPr>
        <w:t xml:space="preserve">the </w:t>
      </w:r>
      <w:r w:rsidRPr="005A5966">
        <w:rPr>
          <w:rFonts w:cs="Arial"/>
          <w:bCs/>
          <w:sz w:val="22"/>
          <w:szCs w:val="22"/>
        </w:rPr>
        <w:t>illegal drug</w:t>
      </w:r>
      <w:r>
        <w:rPr>
          <w:rFonts w:cs="Arial"/>
          <w:bCs/>
          <w:sz w:val="22"/>
          <w:szCs w:val="22"/>
        </w:rPr>
        <w:t xml:space="preserve"> heroin </w:t>
      </w:r>
      <w:r w:rsidR="00673C5A">
        <w:rPr>
          <w:rFonts w:cs="Arial"/>
          <w:bCs/>
          <w:sz w:val="22"/>
          <w:szCs w:val="22"/>
        </w:rPr>
        <w:t>will</w:t>
      </w:r>
      <w:r>
        <w:rPr>
          <w:rFonts w:cs="Arial"/>
          <w:bCs/>
          <w:sz w:val="22"/>
          <w:szCs w:val="22"/>
        </w:rPr>
        <w:t xml:space="preserve"> be identified and denied unescorted access authorization than under the current </w:t>
      </w:r>
      <w:r w:rsidR="007E125E">
        <w:rPr>
          <w:rFonts w:cs="Arial"/>
          <w:bCs/>
          <w:sz w:val="22"/>
          <w:szCs w:val="22"/>
        </w:rPr>
        <w:t>10 CFR P</w:t>
      </w:r>
      <w:r>
        <w:rPr>
          <w:rFonts w:cs="Arial"/>
          <w:bCs/>
          <w:sz w:val="22"/>
          <w:szCs w:val="22"/>
        </w:rPr>
        <w:t>art 26 framework.</w:t>
      </w:r>
      <w:r w:rsidRPr="00125F2A">
        <w:rPr>
          <w:rFonts w:cs="Arial"/>
          <w:sz w:val="18"/>
          <w:szCs w:val="18"/>
        </w:rPr>
        <w:t xml:space="preserve"> </w:t>
      </w:r>
      <w:r w:rsidR="00BA53E2">
        <w:rPr>
          <w:rFonts w:cs="Arial"/>
          <w:sz w:val="18"/>
          <w:szCs w:val="18"/>
        </w:rPr>
        <w:t xml:space="preserve"> </w:t>
      </w:r>
      <w:r w:rsidRPr="00125F2A">
        <w:rPr>
          <w:rFonts w:cs="Arial"/>
          <w:sz w:val="22"/>
          <w:szCs w:val="22"/>
        </w:rPr>
        <w:t>Appendices </w:t>
      </w:r>
      <w:r w:rsidRPr="00B10C2E">
        <w:rPr>
          <w:rFonts w:cs="Arial"/>
          <w:sz w:val="22"/>
          <w:szCs w:val="22"/>
        </w:rPr>
        <w:t xml:space="preserve">B and C </w:t>
      </w:r>
      <w:r>
        <w:rPr>
          <w:rFonts w:cs="Arial"/>
          <w:sz w:val="22"/>
          <w:szCs w:val="22"/>
        </w:rPr>
        <w:t>provide</w:t>
      </w:r>
      <w:r w:rsidRPr="00B10C2E">
        <w:rPr>
          <w:rFonts w:cs="Arial"/>
          <w:sz w:val="22"/>
          <w:szCs w:val="22"/>
        </w:rPr>
        <w:t xml:space="preserve"> additional information on the estimated increase in positive test results.</w:t>
      </w:r>
    </w:p>
    <w:p w:rsidR="00D520BD" w:rsidP="00D520BD" w:rsidRDefault="00D520BD" w14:paraId="142830AC" w14:textId="77777777">
      <w:pPr>
        <w:tabs>
          <w:tab w:val="left" w:pos="720"/>
        </w:tabs>
        <w:rPr>
          <w:rFonts w:cs="Arial"/>
          <w:bCs/>
          <w:sz w:val="22"/>
          <w:szCs w:val="22"/>
        </w:rPr>
      </w:pPr>
    </w:p>
    <w:p w:rsidR="00625C7E" w:rsidP="00625C7E" w:rsidRDefault="00625C7E" w14:paraId="40A7A313" w14:textId="2B4E6C38">
      <w:pPr>
        <w:pStyle w:val="Caption"/>
        <w:jc w:val="center"/>
      </w:pPr>
      <w:bookmarkStart w:name="_Toc72490570" w:id="154"/>
      <w:bookmarkStart w:name="_Toc105681567" w:id="155"/>
      <w:r w:rsidRPr="00625C7E">
        <w:rPr>
          <w:b/>
          <w:bCs w:val="0"/>
        </w:rPr>
        <w:t xml:space="preserve">Table </w:t>
      </w:r>
      <w:r>
        <w:rPr>
          <w:b/>
          <w:bCs w:val="0"/>
        </w:rPr>
        <w:t>5-</w:t>
      </w:r>
      <w:r w:rsidRPr="00625C7E">
        <w:rPr>
          <w:b/>
          <w:bCs w:val="0"/>
        </w:rPr>
        <w:fldChar w:fldCharType="begin"/>
      </w:r>
      <w:r w:rsidRPr="00625C7E">
        <w:rPr>
          <w:b/>
          <w:bCs w:val="0"/>
        </w:rPr>
        <w:instrText xml:space="preserve"> SEQ Table \* ARABIC </w:instrText>
      </w:r>
      <w:r w:rsidRPr="00625C7E">
        <w:rPr>
          <w:b/>
          <w:bCs w:val="0"/>
        </w:rPr>
        <w:fldChar w:fldCharType="separate"/>
      </w:r>
      <w:r w:rsidR="00A6777F">
        <w:rPr>
          <w:b/>
          <w:bCs w:val="0"/>
          <w:noProof/>
        </w:rPr>
        <w:t>8</w:t>
      </w:r>
      <w:r w:rsidRPr="00625C7E">
        <w:rPr>
          <w:b/>
          <w:bCs w:val="0"/>
        </w:rPr>
        <w:fldChar w:fldCharType="end"/>
      </w:r>
      <w:r w:rsidRPr="00625C7E">
        <w:rPr>
          <w:b/>
          <w:bCs w:val="0"/>
        </w:rPr>
        <w:t xml:space="preserve">  </w:t>
      </w:r>
      <w:r w:rsidRPr="00625C7E">
        <w:rPr>
          <w:rStyle w:val="TableChar"/>
        </w:rPr>
        <w:t>Additional 6-AM Positive Results from Drug Testing Panel</w:t>
      </w:r>
      <w:r w:rsidRPr="00625C7E">
        <w:rPr>
          <w:b/>
          <w:bCs w:val="0"/>
        </w:rPr>
        <w:t xml:space="preserve"> </w:t>
      </w:r>
      <w:r w:rsidR="008A3AEE">
        <w:rPr>
          <w:b/>
          <w:bCs w:val="0"/>
        </w:rPr>
        <w:t xml:space="preserve">Changes </w:t>
      </w:r>
      <w:r w:rsidR="008A3AEE">
        <w:rPr>
          <w:b/>
          <w:bCs w:val="0"/>
        </w:rPr>
        <w:br/>
      </w:r>
      <w:r w:rsidRPr="00625C7E">
        <w:rPr>
          <w:b/>
          <w:bCs w:val="0"/>
        </w:rPr>
        <w:t>(Estimated Total for All Sites)</w:t>
      </w:r>
      <w:bookmarkEnd w:id="154"/>
      <w:bookmarkEnd w:id="155"/>
    </w:p>
    <w:tbl>
      <w:tblPr>
        <w:tblW w:w="5000" w:type="pct"/>
        <w:jc w:val="center"/>
        <w:tblLook w:val="04A0" w:firstRow="1" w:lastRow="0" w:firstColumn="1" w:lastColumn="0" w:noHBand="0" w:noVBand="1"/>
      </w:tblPr>
      <w:tblGrid>
        <w:gridCol w:w="2889"/>
        <w:gridCol w:w="6461"/>
      </w:tblGrid>
      <w:tr w:rsidRPr="005A5966" w:rsidR="00D520BD" w:rsidTr="006E7B56" w14:paraId="213E4F05" w14:textId="77777777">
        <w:trPr>
          <w:trHeight w:val="674"/>
          <w:jc w:val="center"/>
        </w:trPr>
        <w:tc>
          <w:tcPr>
            <w:tcW w:w="154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hideMark/>
          </w:tcPr>
          <w:p w:rsidRPr="005A5966" w:rsidR="00D520BD" w:rsidP="00625C7E" w:rsidRDefault="00D520BD" w14:paraId="4D561F53" w14:textId="77777777">
            <w:pPr>
              <w:jc w:val="center"/>
              <w:rPr>
                <w:rFonts w:cs="Arial"/>
                <w:b/>
                <w:bCs/>
              </w:rPr>
            </w:pPr>
            <w:r w:rsidRPr="005A5966">
              <w:rPr>
                <w:rFonts w:cs="Arial"/>
                <w:b/>
                <w:bCs/>
                <w:sz w:val="22"/>
                <w:szCs w:val="22"/>
              </w:rPr>
              <w:t>Substance</w:t>
            </w:r>
          </w:p>
        </w:tc>
        <w:tc>
          <w:tcPr>
            <w:tcW w:w="3455"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hideMark/>
          </w:tcPr>
          <w:p w:rsidRPr="002F574C" w:rsidR="00D520BD" w:rsidP="00625C7E" w:rsidRDefault="00B30EAD" w14:paraId="7BFC8319" w14:textId="02400D48">
            <w:pPr>
              <w:jc w:val="center"/>
              <w:rPr>
                <w:rFonts w:cs="Arial"/>
                <w:b/>
                <w:bCs/>
                <w:sz w:val="22"/>
                <w:szCs w:val="22"/>
              </w:rPr>
            </w:pPr>
            <w:r>
              <w:rPr>
                <w:rFonts w:cs="Arial"/>
                <w:b/>
                <w:bCs/>
                <w:sz w:val="22"/>
                <w:szCs w:val="22"/>
              </w:rPr>
              <w:t xml:space="preserve">Projected </w:t>
            </w:r>
            <w:r w:rsidRPr="005A5966" w:rsidR="00D520BD">
              <w:rPr>
                <w:rFonts w:cs="Arial"/>
                <w:b/>
                <w:bCs/>
                <w:sz w:val="22"/>
                <w:szCs w:val="22"/>
              </w:rPr>
              <w:t xml:space="preserve">Number of </w:t>
            </w:r>
            <w:r w:rsidR="00D520BD">
              <w:rPr>
                <w:rFonts w:cs="Arial"/>
                <w:b/>
                <w:bCs/>
                <w:sz w:val="22"/>
                <w:szCs w:val="22"/>
              </w:rPr>
              <w:t>A</w:t>
            </w:r>
            <w:r w:rsidRPr="005A5966" w:rsidR="00D520BD">
              <w:rPr>
                <w:rFonts w:cs="Arial"/>
                <w:b/>
                <w:bCs/>
                <w:sz w:val="22"/>
                <w:szCs w:val="22"/>
              </w:rPr>
              <w:t xml:space="preserve">dditional </w:t>
            </w:r>
            <w:r w:rsidR="00D520BD">
              <w:rPr>
                <w:rFonts w:cs="Arial"/>
                <w:b/>
                <w:bCs/>
                <w:sz w:val="22"/>
                <w:szCs w:val="22"/>
              </w:rPr>
              <w:t>C</w:t>
            </w:r>
            <w:r w:rsidRPr="005A5966" w:rsidR="00D520BD">
              <w:rPr>
                <w:rFonts w:cs="Arial"/>
                <w:b/>
                <w:bCs/>
                <w:sz w:val="22"/>
                <w:szCs w:val="22"/>
              </w:rPr>
              <w:t xml:space="preserve">onfirmed </w:t>
            </w:r>
            <w:r w:rsidR="00D520BD">
              <w:rPr>
                <w:rFonts w:cs="Arial"/>
                <w:b/>
                <w:bCs/>
                <w:sz w:val="22"/>
                <w:szCs w:val="22"/>
              </w:rPr>
              <w:t>P</w:t>
            </w:r>
            <w:r w:rsidRPr="005A5966" w:rsidR="00D520BD">
              <w:rPr>
                <w:rFonts w:cs="Arial"/>
                <w:b/>
                <w:bCs/>
                <w:sz w:val="22"/>
                <w:szCs w:val="22"/>
              </w:rPr>
              <w:t xml:space="preserve">ositive </w:t>
            </w:r>
            <w:r w:rsidR="00D520BD">
              <w:rPr>
                <w:rFonts w:cs="Arial"/>
                <w:b/>
                <w:bCs/>
                <w:sz w:val="22"/>
                <w:szCs w:val="22"/>
              </w:rPr>
              <w:t>T</w:t>
            </w:r>
            <w:r w:rsidRPr="005A5966" w:rsidR="00D520BD">
              <w:rPr>
                <w:rFonts w:cs="Arial"/>
                <w:b/>
                <w:bCs/>
                <w:sz w:val="22"/>
                <w:szCs w:val="22"/>
              </w:rPr>
              <w:t xml:space="preserve">est </w:t>
            </w:r>
            <w:r w:rsidR="00D520BD">
              <w:rPr>
                <w:rFonts w:cs="Arial"/>
                <w:b/>
                <w:bCs/>
                <w:sz w:val="22"/>
                <w:szCs w:val="22"/>
              </w:rPr>
              <w:t>R</w:t>
            </w:r>
            <w:r w:rsidRPr="005A5966" w:rsidR="00D520BD">
              <w:rPr>
                <w:rFonts w:cs="Arial"/>
                <w:b/>
                <w:bCs/>
                <w:sz w:val="22"/>
                <w:szCs w:val="22"/>
              </w:rPr>
              <w:t xml:space="preserve">esults per </w:t>
            </w:r>
            <w:r w:rsidR="00D520BD">
              <w:rPr>
                <w:rFonts w:cs="Arial"/>
                <w:b/>
                <w:bCs/>
                <w:sz w:val="22"/>
                <w:szCs w:val="22"/>
              </w:rPr>
              <w:t>Y</w:t>
            </w:r>
            <w:r w:rsidRPr="005A5966" w:rsidR="00D520BD">
              <w:rPr>
                <w:rFonts w:cs="Arial"/>
                <w:b/>
                <w:bCs/>
                <w:sz w:val="22"/>
                <w:szCs w:val="22"/>
              </w:rPr>
              <w:t>ear</w:t>
            </w:r>
          </w:p>
        </w:tc>
      </w:tr>
      <w:tr w:rsidRPr="005A5966" w:rsidR="00D520BD" w:rsidTr="006E7B56" w14:paraId="569B634A" w14:textId="77777777">
        <w:trPr>
          <w:trHeight w:val="405"/>
          <w:jc w:val="center"/>
        </w:trPr>
        <w:tc>
          <w:tcPr>
            <w:tcW w:w="154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5A5966" w:rsidR="00D520BD" w:rsidP="00982BD1" w:rsidRDefault="00D520BD" w14:paraId="6E6A2CE2" w14:textId="77777777">
            <w:pPr>
              <w:jc w:val="center"/>
              <w:rPr>
                <w:rFonts w:cs="Arial"/>
              </w:rPr>
            </w:pPr>
            <w:r w:rsidRPr="005A5966">
              <w:rPr>
                <w:rFonts w:cs="Arial"/>
                <w:sz w:val="22"/>
                <w:szCs w:val="22"/>
              </w:rPr>
              <w:t>6-AM</w:t>
            </w:r>
          </w:p>
        </w:tc>
        <w:tc>
          <w:tcPr>
            <w:tcW w:w="3455"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600D79" w:rsidR="00D520BD" w:rsidP="00982BD1" w:rsidRDefault="00555D9F" w14:paraId="7A48D189" w14:textId="53F876BA">
            <w:pPr>
              <w:jc w:val="center"/>
              <w:rPr>
                <w:highlight w:val="cyan"/>
              </w:rPr>
            </w:pPr>
            <w:r w:rsidRPr="00555D9F">
              <w:t>22</w:t>
            </w:r>
          </w:p>
        </w:tc>
      </w:tr>
    </w:tbl>
    <w:p w:rsidR="00D520BD" w:rsidP="00F0587E" w:rsidRDefault="00D520BD" w14:paraId="73C08680" w14:textId="57BD21EB">
      <w:pPr>
        <w:rPr>
          <w:sz w:val="22"/>
          <w:szCs w:val="22"/>
        </w:rPr>
      </w:pPr>
      <w:bookmarkStart w:name="_Toc332032769" w:id="156"/>
      <w:bookmarkStart w:name="_Toc460412613" w:id="157"/>
    </w:p>
    <w:p w:rsidRPr="00CC4875" w:rsidR="00F8667A" w:rsidP="00F8667A" w:rsidRDefault="00E31CC2" w14:paraId="498E8013" w14:textId="7050DB6A">
      <w:pPr>
        <w:tabs>
          <w:tab w:val="left" w:pos="721"/>
        </w:tabs>
        <w:rPr>
          <w:sz w:val="22"/>
          <w:szCs w:val="22"/>
        </w:rPr>
      </w:pPr>
      <w:r w:rsidRPr="005F3921">
        <w:rPr>
          <w:b/>
          <w:bCs/>
          <w:i/>
          <w:iCs/>
          <w:sz w:val="22"/>
          <w:szCs w:val="22"/>
        </w:rPr>
        <w:t>Future Nuclear Facilities</w:t>
      </w:r>
      <w:r>
        <w:rPr>
          <w:sz w:val="22"/>
          <w:szCs w:val="22"/>
        </w:rPr>
        <w:t xml:space="preserve">:  The NRC staff estimates the </w:t>
      </w:r>
      <w:r w:rsidR="00A2487F">
        <w:rPr>
          <w:sz w:val="22"/>
          <w:szCs w:val="22"/>
        </w:rPr>
        <w:t>number of additional confirmed</w:t>
      </w:r>
      <w:r w:rsidR="00C904D1">
        <w:rPr>
          <w:sz w:val="22"/>
          <w:szCs w:val="22"/>
        </w:rPr>
        <w:t xml:space="preserve"> 6-AM positive results </w:t>
      </w:r>
      <w:r>
        <w:rPr>
          <w:sz w:val="22"/>
          <w:szCs w:val="22"/>
        </w:rPr>
        <w:t xml:space="preserve">for each future nuclear facility site testing </w:t>
      </w:r>
      <w:r w:rsidR="008E6F15">
        <w:rPr>
          <w:sz w:val="22"/>
          <w:szCs w:val="22"/>
        </w:rPr>
        <w:t xml:space="preserve">for 6-AM </w:t>
      </w:r>
      <w:r>
        <w:rPr>
          <w:sz w:val="22"/>
          <w:szCs w:val="22"/>
        </w:rPr>
        <w:t xml:space="preserve">by multiplying the expected number of tests performed by these facilities </w:t>
      </w:r>
      <w:r w:rsidR="00FC3E36">
        <w:rPr>
          <w:sz w:val="22"/>
          <w:szCs w:val="22"/>
        </w:rPr>
        <w:t xml:space="preserve">by </w:t>
      </w:r>
      <w:r>
        <w:rPr>
          <w:sz w:val="22"/>
          <w:szCs w:val="22"/>
        </w:rPr>
        <w:t xml:space="preserve">the average positive test </w:t>
      </w:r>
      <w:r w:rsidR="005F2329">
        <w:rPr>
          <w:sz w:val="22"/>
          <w:szCs w:val="22"/>
        </w:rPr>
        <w:t>rate</w:t>
      </w:r>
      <w:r w:rsidR="001A5CF6">
        <w:rPr>
          <w:sz w:val="22"/>
          <w:szCs w:val="22"/>
        </w:rPr>
        <w:t xml:space="preserve"> </w:t>
      </w:r>
      <w:r>
        <w:rPr>
          <w:sz w:val="22"/>
          <w:szCs w:val="22"/>
        </w:rPr>
        <w:t xml:space="preserve">for </w:t>
      </w:r>
      <w:r w:rsidR="00753DE6">
        <w:rPr>
          <w:sz w:val="22"/>
          <w:szCs w:val="22"/>
        </w:rPr>
        <w:t>6-AM</w:t>
      </w:r>
      <w:r>
        <w:rPr>
          <w:sz w:val="22"/>
          <w:szCs w:val="22"/>
        </w:rPr>
        <w:t xml:space="preserve"> at existing facilities.  </w:t>
      </w:r>
      <w:r w:rsidRPr="00EE7D4E" w:rsidR="00B10DC0">
        <w:rPr>
          <w:sz w:val="22"/>
          <w:szCs w:val="22"/>
        </w:rPr>
        <w:fldChar w:fldCharType="begin"/>
      </w:r>
      <w:r w:rsidRPr="00EE7D4E" w:rsidR="00B10DC0">
        <w:rPr>
          <w:sz w:val="22"/>
          <w:szCs w:val="22"/>
        </w:rPr>
        <w:instrText xml:space="preserve"> REF _Ref70410916 \h </w:instrText>
      </w:r>
      <w:r w:rsidR="00EE7D4E">
        <w:rPr>
          <w:sz w:val="22"/>
          <w:szCs w:val="22"/>
        </w:rPr>
        <w:instrText xml:space="preserve"> \* MERGEFORMAT </w:instrText>
      </w:r>
      <w:r w:rsidRPr="00EE7D4E" w:rsidR="00B10DC0">
        <w:rPr>
          <w:sz w:val="22"/>
          <w:szCs w:val="22"/>
        </w:rPr>
      </w:r>
      <w:r w:rsidRPr="00EE7D4E" w:rsidR="00B10DC0">
        <w:rPr>
          <w:sz w:val="22"/>
          <w:szCs w:val="22"/>
        </w:rPr>
        <w:fldChar w:fldCharType="separate"/>
      </w:r>
      <w:r w:rsidRPr="006155B8" w:rsidR="00A6777F">
        <w:rPr>
          <w:sz w:val="22"/>
          <w:szCs w:val="22"/>
        </w:rPr>
        <w:t>Table 5-9</w:t>
      </w:r>
      <w:r w:rsidRPr="00EE7D4E" w:rsidR="00B10DC0">
        <w:rPr>
          <w:sz w:val="22"/>
          <w:szCs w:val="22"/>
        </w:rPr>
        <w:fldChar w:fldCharType="end"/>
      </w:r>
      <w:r w:rsidR="00F8667A">
        <w:rPr>
          <w:sz w:val="22"/>
          <w:szCs w:val="22"/>
        </w:rPr>
        <w:t xml:space="preserve"> presents the</w:t>
      </w:r>
      <w:r w:rsidRPr="00F8667A" w:rsidR="00F8667A">
        <w:rPr>
          <w:sz w:val="22"/>
          <w:szCs w:val="22"/>
        </w:rPr>
        <w:t xml:space="preserve"> </w:t>
      </w:r>
      <w:r w:rsidR="00F8667A">
        <w:rPr>
          <w:sz w:val="22"/>
          <w:szCs w:val="22"/>
        </w:rPr>
        <w:t xml:space="preserve">projected number of </w:t>
      </w:r>
      <w:r w:rsidRPr="003C0E8A" w:rsidR="00F8667A">
        <w:rPr>
          <w:sz w:val="22"/>
          <w:szCs w:val="22"/>
        </w:rPr>
        <w:t>confirmed positive test results by facility type</w:t>
      </w:r>
      <w:r w:rsidR="00F8667A">
        <w:rPr>
          <w:sz w:val="22"/>
          <w:szCs w:val="22"/>
        </w:rPr>
        <w:t>.</w:t>
      </w:r>
    </w:p>
    <w:p w:rsidR="00E31CC2" w:rsidP="00F8667A" w:rsidRDefault="00E31CC2" w14:paraId="564BD129" w14:textId="77777777">
      <w:pPr>
        <w:tabs>
          <w:tab w:val="left" w:pos="721"/>
        </w:tabs>
        <w:rPr>
          <w:rFonts w:cs="Arial"/>
          <w:sz w:val="22"/>
          <w:szCs w:val="22"/>
        </w:rPr>
      </w:pPr>
    </w:p>
    <w:p w:rsidRPr="00355446" w:rsidR="00355446" w:rsidP="00355446" w:rsidRDefault="00355446" w14:paraId="38D1BA1D" w14:textId="6E942894">
      <w:pPr>
        <w:pStyle w:val="Caption"/>
        <w:jc w:val="center"/>
        <w:rPr>
          <w:b/>
          <w:bCs w:val="0"/>
        </w:rPr>
      </w:pPr>
      <w:bookmarkStart w:name="_Ref70410916" w:id="158"/>
      <w:bookmarkStart w:name="_Toc72490571" w:id="159"/>
      <w:bookmarkStart w:name="_Toc105681568" w:id="160"/>
      <w:r w:rsidRPr="00355446">
        <w:rPr>
          <w:b/>
          <w:bCs w:val="0"/>
        </w:rPr>
        <w:t>Table 5-</w:t>
      </w:r>
      <w:r w:rsidRPr="00355446">
        <w:rPr>
          <w:b/>
          <w:bCs w:val="0"/>
        </w:rPr>
        <w:fldChar w:fldCharType="begin"/>
      </w:r>
      <w:r w:rsidRPr="00355446">
        <w:rPr>
          <w:b/>
          <w:bCs w:val="0"/>
        </w:rPr>
        <w:instrText xml:space="preserve"> SEQ Table \* ARABIC </w:instrText>
      </w:r>
      <w:r w:rsidRPr="00355446">
        <w:rPr>
          <w:b/>
          <w:bCs w:val="0"/>
        </w:rPr>
        <w:fldChar w:fldCharType="separate"/>
      </w:r>
      <w:r w:rsidR="00A6777F">
        <w:rPr>
          <w:b/>
          <w:bCs w:val="0"/>
          <w:noProof/>
        </w:rPr>
        <w:t>9</w:t>
      </w:r>
      <w:r w:rsidRPr="00355446">
        <w:rPr>
          <w:b/>
          <w:bCs w:val="0"/>
        </w:rPr>
        <w:fldChar w:fldCharType="end"/>
      </w:r>
      <w:bookmarkEnd w:id="158"/>
      <w:r w:rsidRPr="00355446">
        <w:rPr>
          <w:b/>
          <w:bCs w:val="0"/>
        </w:rPr>
        <w:t xml:space="preserve">  Additional 6-AM Positive</w:t>
      </w:r>
      <w:r w:rsidR="008A3AEE">
        <w:rPr>
          <w:b/>
          <w:bCs w:val="0"/>
        </w:rPr>
        <w:t xml:space="preserve"> Result</w:t>
      </w:r>
      <w:r w:rsidRPr="00355446">
        <w:rPr>
          <w:b/>
          <w:bCs w:val="0"/>
        </w:rPr>
        <w:t xml:space="preserve">s from </w:t>
      </w:r>
      <w:r w:rsidR="004F42D6">
        <w:rPr>
          <w:b/>
          <w:bCs w:val="0"/>
        </w:rPr>
        <w:t xml:space="preserve">Drug </w:t>
      </w:r>
      <w:r w:rsidRPr="00355446">
        <w:rPr>
          <w:b/>
          <w:bCs w:val="0"/>
        </w:rPr>
        <w:t xml:space="preserve">Testing </w:t>
      </w:r>
      <w:r w:rsidR="004F42D6">
        <w:rPr>
          <w:b/>
          <w:bCs w:val="0"/>
        </w:rPr>
        <w:t xml:space="preserve">Panel Changes </w:t>
      </w:r>
      <w:r w:rsidR="00E0083F">
        <w:rPr>
          <w:b/>
          <w:bCs w:val="0"/>
        </w:rPr>
        <w:br/>
      </w:r>
      <w:r w:rsidRPr="00355446">
        <w:rPr>
          <w:b/>
          <w:bCs w:val="0"/>
        </w:rPr>
        <w:t>by Future Nuclear Facilities</w:t>
      </w:r>
      <w:bookmarkEnd w:id="159"/>
      <w:bookmarkEnd w:id="160"/>
    </w:p>
    <w:tbl>
      <w:tblPr>
        <w:tblStyle w:val="TableGrid"/>
        <w:tblW w:w="5000" w:type="pct"/>
        <w:tblLook w:val="04A0" w:firstRow="1" w:lastRow="0" w:firstColumn="1" w:lastColumn="0" w:noHBand="0" w:noVBand="1"/>
      </w:tblPr>
      <w:tblGrid>
        <w:gridCol w:w="2827"/>
        <w:gridCol w:w="6523"/>
      </w:tblGrid>
      <w:tr w:rsidR="00BB7375" w:rsidTr="002323C7" w14:paraId="0C98E15C" w14:textId="77777777">
        <w:trPr>
          <w:trHeight w:val="548"/>
        </w:trPr>
        <w:tc>
          <w:tcPr>
            <w:tcW w:w="1512" w:type="pct"/>
            <w:vAlign w:val="center"/>
          </w:tcPr>
          <w:p w:rsidRPr="0021153F" w:rsidR="00BB7375" w:rsidP="00BB7375" w:rsidRDefault="00BB7375" w14:paraId="26001333" w14:textId="7AC0BB2C">
            <w:pPr>
              <w:rPr>
                <w:rFonts w:cs="Arial"/>
                <w:sz w:val="22"/>
                <w:szCs w:val="22"/>
              </w:rPr>
            </w:pPr>
            <w:bookmarkStart w:name="_Hlk70411740" w:id="161"/>
            <w:r w:rsidRPr="0021153F">
              <w:rPr>
                <w:rFonts w:cs="Arial"/>
                <w:b/>
                <w:bCs/>
                <w:sz w:val="22"/>
                <w:szCs w:val="22"/>
              </w:rPr>
              <w:t>Facility Type</w:t>
            </w:r>
          </w:p>
        </w:tc>
        <w:tc>
          <w:tcPr>
            <w:tcW w:w="3488" w:type="pct"/>
          </w:tcPr>
          <w:p w:rsidRPr="0021153F" w:rsidR="00BB7375" w:rsidP="0021153F" w:rsidRDefault="00BB7375" w14:paraId="6BED606B" w14:textId="262F8836">
            <w:pPr>
              <w:jc w:val="center"/>
              <w:rPr>
                <w:rFonts w:cs="Arial"/>
                <w:sz w:val="22"/>
                <w:szCs w:val="22"/>
              </w:rPr>
            </w:pPr>
            <w:r w:rsidRPr="0021153F">
              <w:rPr>
                <w:rFonts w:cs="Arial"/>
                <w:b/>
                <w:bCs/>
                <w:sz w:val="22"/>
                <w:szCs w:val="22"/>
              </w:rPr>
              <w:t xml:space="preserve">Projected Number of Additional </w:t>
            </w:r>
            <w:r w:rsidRPr="0021153F" w:rsidR="00287754">
              <w:rPr>
                <w:rFonts w:cs="Arial"/>
                <w:b/>
                <w:bCs/>
                <w:sz w:val="22"/>
                <w:szCs w:val="22"/>
              </w:rPr>
              <w:t xml:space="preserve">6-AM </w:t>
            </w:r>
            <w:r w:rsidRPr="0021153F">
              <w:rPr>
                <w:rFonts w:cs="Arial"/>
                <w:b/>
                <w:bCs/>
                <w:sz w:val="22"/>
                <w:szCs w:val="22"/>
              </w:rPr>
              <w:t>Confirmed Positive Test Results Annually by Nuclear Facility Type per Site</w:t>
            </w:r>
          </w:p>
        </w:tc>
      </w:tr>
      <w:tr w:rsidR="003349EB" w:rsidTr="002323C7" w14:paraId="59A6EB31" w14:textId="77777777">
        <w:tc>
          <w:tcPr>
            <w:tcW w:w="1512" w:type="pct"/>
            <w:vAlign w:val="center"/>
          </w:tcPr>
          <w:p w:rsidRPr="0021153F" w:rsidR="003349EB" w:rsidP="003349EB" w:rsidRDefault="003349EB" w14:paraId="381A9534" w14:textId="3251BC3A">
            <w:pPr>
              <w:rPr>
                <w:rFonts w:cs="Arial"/>
                <w:sz w:val="22"/>
                <w:szCs w:val="22"/>
              </w:rPr>
            </w:pPr>
            <w:r w:rsidRPr="0021153F">
              <w:rPr>
                <w:rFonts w:cs="Arial"/>
                <w:sz w:val="22"/>
                <w:szCs w:val="22"/>
              </w:rPr>
              <w:t>Microreactor</w:t>
            </w:r>
          </w:p>
        </w:tc>
        <w:tc>
          <w:tcPr>
            <w:tcW w:w="3488" w:type="pct"/>
            <w:vAlign w:val="center"/>
          </w:tcPr>
          <w:p w:rsidRPr="0021153F" w:rsidR="003349EB" w:rsidP="003349EB" w:rsidRDefault="003349EB" w14:paraId="6EDAC43B" w14:textId="266D78D6">
            <w:pPr>
              <w:jc w:val="center"/>
              <w:rPr>
                <w:rFonts w:cs="Arial"/>
                <w:sz w:val="22"/>
                <w:szCs w:val="22"/>
              </w:rPr>
            </w:pPr>
            <w:r w:rsidRPr="0021153F">
              <w:rPr>
                <w:rFonts w:cs="Arial"/>
                <w:sz w:val="22"/>
                <w:szCs w:val="22"/>
              </w:rPr>
              <w:t>0.01</w:t>
            </w:r>
          </w:p>
        </w:tc>
      </w:tr>
      <w:tr w:rsidR="003349EB" w:rsidTr="002323C7" w14:paraId="1B59F9EB" w14:textId="77777777">
        <w:tc>
          <w:tcPr>
            <w:tcW w:w="1512" w:type="pct"/>
            <w:vAlign w:val="center"/>
          </w:tcPr>
          <w:p w:rsidRPr="0021153F" w:rsidR="003349EB" w:rsidP="003349EB" w:rsidRDefault="003349EB" w14:paraId="73999608" w14:textId="08BCBE6E">
            <w:pPr>
              <w:rPr>
                <w:rFonts w:cs="Arial"/>
                <w:sz w:val="22"/>
                <w:szCs w:val="22"/>
              </w:rPr>
            </w:pPr>
            <w:r w:rsidRPr="0021153F">
              <w:rPr>
                <w:rFonts w:cs="Arial"/>
                <w:sz w:val="22"/>
                <w:szCs w:val="22"/>
              </w:rPr>
              <w:t>Small reactor</w:t>
            </w:r>
          </w:p>
        </w:tc>
        <w:tc>
          <w:tcPr>
            <w:tcW w:w="3488" w:type="pct"/>
            <w:vAlign w:val="center"/>
          </w:tcPr>
          <w:p w:rsidRPr="0021153F" w:rsidR="003349EB" w:rsidP="003349EB" w:rsidRDefault="003349EB" w14:paraId="661DABF0" w14:textId="50C15F9D">
            <w:pPr>
              <w:jc w:val="center"/>
              <w:rPr>
                <w:rFonts w:cs="Arial"/>
                <w:sz w:val="22"/>
                <w:szCs w:val="22"/>
              </w:rPr>
            </w:pPr>
            <w:r w:rsidRPr="0021153F">
              <w:rPr>
                <w:rFonts w:cs="Arial"/>
                <w:sz w:val="22"/>
                <w:szCs w:val="22"/>
              </w:rPr>
              <w:t>0.03</w:t>
            </w:r>
          </w:p>
        </w:tc>
      </w:tr>
      <w:tr w:rsidR="003349EB" w:rsidTr="002323C7" w14:paraId="7F92BE80" w14:textId="77777777">
        <w:tc>
          <w:tcPr>
            <w:tcW w:w="1512" w:type="pct"/>
            <w:vAlign w:val="center"/>
          </w:tcPr>
          <w:p w:rsidRPr="0021153F" w:rsidR="003349EB" w:rsidP="003349EB" w:rsidRDefault="003349EB" w14:paraId="65D57D24" w14:textId="4BE22CF8">
            <w:pPr>
              <w:rPr>
                <w:rFonts w:cs="Arial"/>
                <w:sz w:val="22"/>
                <w:szCs w:val="22"/>
              </w:rPr>
            </w:pPr>
            <w:r w:rsidRPr="0021153F">
              <w:rPr>
                <w:rFonts w:cs="Arial"/>
                <w:sz w:val="22"/>
                <w:szCs w:val="22"/>
              </w:rPr>
              <w:t>Medium reactor</w:t>
            </w:r>
          </w:p>
        </w:tc>
        <w:tc>
          <w:tcPr>
            <w:tcW w:w="3488" w:type="pct"/>
            <w:vAlign w:val="center"/>
          </w:tcPr>
          <w:p w:rsidRPr="0021153F" w:rsidR="003349EB" w:rsidP="003349EB" w:rsidRDefault="003349EB" w14:paraId="4A2EC6F0" w14:textId="257DFAE1">
            <w:pPr>
              <w:jc w:val="center"/>
              <w:rPr>
                <w:rFonts w:cs="Arial"/>
                <w:sz w:val="22"/>
                <w:szCs w:val="22"/>
              </w:rPr>
            </w:pPr>
            <w:r w:rsidRPr="0021153F">
              <w:rPr>
                <w:rFonts w:cs="Arial"/>
                <w:sz w:val="22"/>
                <w:szCs w:val="22"/>
              </w:rPr>
              <w:t>0.07</w:t>
            </w:r>
          </w:p>
        </w:tc>
      </w:tr>
      <w:tr w:rsidR="003349EB" w:rsidTr="002323C7" w14:paraId="28FA1D31" w14:textId="77777777">
        <w:tc>
          <w:tcPr>
            <w:tcW w:w="1512" w:type="pct"/>
            <w:vAlign w:val="center"/>
          </w:tcPr>
          <w:p w:rsidRPr="0021153F" w:rsidR="003349EB" w:rsidP="003349EB" w:rsidRDefault="003349EB" w14:paraId="3BA3221F" w14:textId="3EE409F9">
            <w:pPr>
              <w:rPr>
                <w:rFonts w:cs="Arial"/>
                <w:sz w:val="22"/>
                <w:szCs w:val="22"/>
              </w:rPr>
            </w:pPr>
            <w:r w:rsidRPr="0021153F">
              <w:rPr>
                <w:rFonts w:cs="Arial"/>
                <w:sz w:val="22"/>
                <w:szCs w:val="22"/>
              </w:rPr>
              <w:t>Large reactor</w:t>
            </w:r>
          </w:p>
        </w:tc>
        <w:tc>
          <w:tcPr>
            <w:tcW w:w="3488" w:type="pct"/>
            <w:vAlign w:val="center"/>
          </w:tcPr>
          <w:p w:rsidRPr="0021153F" w:rsidR="003349EB" w:rsidP="003349EB" w:rsidRDefault="003349EB" w14:paraId="7C60CF35" w14:textId="0B17B381">
            <w:pPr>
              <w:jc w:val="center"/>
              <w:rPr>
                <w:rFonts w:cs="Arial"/>
                <w:sz w:val="22"/>
                <w:szCs w:val="22"/>
              </w:rPr>
            </w:pPr>
            <w:r w:rsidRPr="0021153F">
              <w:rPr>
                <w:rFonts w:cs="Arial"/>
                <w:sz w:val="22"/>
                <w:szCs w:val="22"/>
              </w:rPr>
              <w:t>0.3</w:t>
            </w:r>
            <w:r w:rsidRPr="0021153F" w:rsidR="00DC48E0">
              <w:rPr>
                <w:rFonts w:cs="Arial"/>
                <w:sz w:val="22"/>
                <w:szCs w:val="22"/>
              </w:rPr>
              <w:t>7</w:t>
            </w:r>
          </w:p>
        </w:tc>
      </w:tr>
      <w:tr w:rsidR="003349EB" w:rsidTr="002323C7" w14:paraId="69EAD1C5" w14:textId="77777777">
        <w:tc>
          <w:tcPr>
            <w:tcW w:w="1512" w:type="pct"/>
            <w:shd w:val="clear" w:color="auto" w:fill="auto"/>
            <w:vAlign w:val="center"/>
          </w:tcPr>
          <w:p w:rsidRPr="0021153F" w:rsidR="003349EB" w:rsidP="003349EB" w:rsidRDefault="00C109C4" w14:paraId="18E6767F" w14:textId="24CEBF2F">
            <w:pPr>
              <w:rPr>
                <w:rFonts w:cs="Arial"/>
                <w:sz w:val="22"/>
                <w:szCs w:val="22"/>
              </w:rPr>
            </w:pPr>
            <w:r w:rsidRPr="000F42EC">
              <w:rPr>
                <w:rFonts w:cs="Arial"/>
                <w:sz w:val="22"/>
                <w:szCs w:val="22"/>
              </w:rPr>
              <w:t>Category I</w:t>
            </w:r>
            <w:r w:rsidRPr="000F42EC" w:rsidR="005901E9">
              <w:rPr>
                <w:rFonts w:cs="Arial"/>
                <w:sz w:val="22"/>
                <w:szCs w:val="22"/>
              </w:rPr>
              <w:t xml:space="preserve"> s</w:t>
            </w:r>
            <w:r w:rsidRPr="000F42EC" w:rsidR="004F4B95">
              <w:rPr>
                <w:rFonts w:cs="Arial"/>
                <w:sz w:val="22"/>
                <w:szCs w:val="22"/>
              </w:rPr>
              <w:t>pecial nuclear material licensee</w:t>
            </w:r>
            <w:r w:rsidRPr="000F42EC" w:rsidR="00BC6388">
              <w:rPr>
                <w:rFonts w:cs="Arial"/>
                <w:sz w:val="22"/>
                <w:szCs w:val="22"/>
              </w:rPr>
              <w:t xml:space="preserve"> facility</w:t>
            </w:r>
          </w:p>
        </w:tc>
        <w:tc>
          <w:tcPr>
            <w:tcW w:w="3488" w:type="pct"/>
            <w:vAlign w:val="center"/>
          </w:tcPr>
          <w:p w:rsidRPr="0021153F" w:rsidR="003349EB" w:rsidP="003349EB" w:rsidRDefault="003349EB" w14:paraId="5C5CA9CC" w14:textId="274E07C6">
            <w:pPr>
              <w:jc w:val="center"/>
              <w:rPr>
                <w:rFonts w:cs="Arial"/>
                <w:sz w:val="22"/>
                <w:szCs w:val="22"/>
              </w:rPr>
            </w:pPr>
            <w:r w:rsidRPr="0021153F">
              <w:rPr>
                <w:rFonts w:cs="Arial"/>
                <w:sz w:val="22"/>
                <w:szCs w:val="22"/>
              </w:rPr>
              <w:t>0.3</w:t>
            </w:r>
            <w:r w:rsidRPr="0021153F" w:rsidR="00DC48E0">
              <w:rPr>
                <w:rFonts w:cs="Arial"/>
                <w:sz w:val="22"/>
                <w:szCs w:val="22"/>
              </w:rPr>
              <w:t>7</w:t>
            </w:r>
          </w:p>
        </w:tc>
      </w:tr>
      <w:bookmarkEnd w:id="161"/>
    </w:tbl>
    <w:p w:rsidRPr="00646A79" w:rsidR="00D078D3" w:rsidP="00F0587E" w:rsidRDefault="00D078D3" w14:paraId="0DCB2897" w14:textId="0ADC59BA">
      <w:pPr>
        <w:rPr>
          <w:sz w:val="22"/>
          <w:szCs w:val="22"/>
        </w:rPr>
      </w:pPr>
    </w:p>
    <w:p w:rsidRPr="005A5966" w:rsidR="00D520BD" w:rsidP="00D520BD" w:rsidRDefault="00D520BD" w14:paraId="3BF4C21A" w14:textId="09A0FC17">
      <w:pPr>
        <w:pStyle w:val="Heading3"/>
      </w:pPr>
      <w:bookmarkStart w:name="_Toc72840031" w:id="162"/>
      <w:bookmarkStart w:name="_Toc105681504" w:id="163"/>
      <w:r>
        <w:t>5</w:t>
      </w:r>
      <w:r w:rsidRPr="005A5966">
        <w:t>.1.4</w:t>
      </w:r>
      <w:r w:rsidRPr="005A5966">
        <w:tab/>
        <w:t xml:space="preserve">Expanded Initial and Confirmatory Drug Testing Panels to Include </w:t>
      </w:r>
      <w:bookmarkEnd w:id="156"/>
      <w:r w:rsidRPr="00194892">
        <w:t>Ecstasy</w:t>
      </w:r>
      <w:bookmarkEnd w:id="157"/>
      <w:bookmarkEnd w:id="162"/>
      <w:bookmarkEnd w:id="163"/>
    </w:p>
    <w:p w:rsidRPr="00CC6C57" w:rsidR="00D520BD" w:rsidP="00D520BD" w:rsidRDefault="00D520BD" w14:paraId="37C744F9" w14:textId="77777777">
      <w:pPr>
        <w:keepNext/>
        <w:keepLines/>
        <w:rPr>
          <w:sz w:val="22"/>
        </w:rPr>
      </w:pPr>
    </w:p>
    <w:p w:rsidRPr="00FB794C" w:rsidR="00D520BD" w:rsidP="00D520BD" w:rsidRDefault="00D520BD" w14:paraId="72ADE304" w14:textId="50E767F6">
      <w:pPr>
        <w:spacing w:after="220"/>
        <w:rPr>
          <w:sz w:val="22"/>
          <w:szCs w:val="22"/>
        </w:rPr>
      </w:pPr>
      <w:r w:rsidRPr="00FB794C">
        <w:rPr>
          <w:rFonts w:cs="Arial"/>
          <w:bCs/>
          <w:sz w:val="22"/>
          <w:szCs w:val="22"/>
        </w:rPr>
        <w:t xml:space="preserve">Licensees </w:t>
      </w:r>
      <w:r w:rsidR="004F1440">
        <w:rPr>
          <w:rFonts w:cs="Arial"/>
          <w:bCs/>
          <w:sz w:val="22"/>
          <w:szCs w:val="22"/>
        </w:rPr>
        <w:t>will</w:t>
      </w:r>
      <w:r>
        <w:rPr>
          <w:rFonts w:cs="Arial"/>
          <w:bCs/>
          <w:sz w:val="22"/>
          <w:szCs w:val="22"/>
        </w:rPr>
        <w:t xml:space="preserve"> </w:t>
      </w:r>
      <w:r w:rsidRPr="00FB794C">
        <w:rPr>
          <w:rFonts w:cs="Arial"/>
          <w:bCs/>
          <w:sz w:val="22"/>
          <w:szCs w:val="22"/>
        </w:rPr>
        <w:t xml:space="preserve">incur costs to </w:t>
      </w:r>
      <w:bookmarkStart w:name="_Hlk72143230" w:id="164"/>
      <w:r w:rsidRPr="00FB794C">
        <w:rPr>
          <w:rFonts w:cs="Arial"/>
          <w:bCs/>
          <w:sz w:val="22"/>
          <w:szCs w:val="22"/>
        </w:rPr>
        <w:t xml:space="preserve">conduct initial testing </w:t>
      </w:r>
      <w:r>
        <w:rPr>
          <w:rFonts w:cs="Arial"/>
          <w:bCs/>
          <w:sz w:val="22"/>
          <w:szCs w:val="22"/>
        </w:rPr>
        <w:t xml:space="preserve">of each urine specimen </w:t>
      </w:r>
      <w:r w:rsidRPr="00FB794C">
        <w:rPr>
          <w:rFonts w:cs="Arial"/>
          <w:bCs/>
          <w:sz w:val="22"/>
          <w:szCs w:val="22"/>
        </w:rPr>
        <w:t xml:space="preserve">for </w:t>
      </w:r>
      <w:r w:rsidR="002D1DA4">
        <w:rPr>
          <w:rFonts w:cs="Arial"/>
          <w:bCs/>
          <w:sz w:val="22"/>
          <w:szCs w:val="22"/>
        </w:rPr>
        <w:t xml:space="preserve">Ecstasy-type drugs </w:t>
      </w:r>
      <w:r w:rsidRPr="00FB794C">
        <w:rPr>
          <w:rFonts w:cs="Arial"/>
          <w:bCs/>
          <w:sz w:val="22"/>
          <w:szCs w:val="22"/>
        </w:rPr>
        <w:t>MDMA</w:t>
      </w:r>
      <w:r w:rsidR="00CE756A">
        <w:rPr>
          <w:rFonts w:cs="Arial"/>
          <w:bCs/>
          <w:sz w:val="22"/>
          <w:szCs w:val="22"/>
        </w:rPr>
        <w:t xml:space="preserve"> and MDA</w:t>
      </w:r>
      <w:r w:rsidRPr="00FB794C">
        <w:rPr>
          <w:rFonts w:cs="Arial"/>
          <w:bCs/>
          <w:sz w:val="22"/>
          <w:szCs w:val="22"/>
        </w:rPr>
        <w:t xml:space="preserve">.  </w:t>
      </w:r>
      <w:r>
        <w:rPr>
          <w:rFonts w:cs="Arial"/>
          <w:bCs/>
          <w:sz w:val="22"/>
          <w:szCs w:val="22"/>
        </w:rPr>
        <w:t xml:space="preserve">Licensees also </w:t>
      </w:r>
      <w:r w:rsidR="002479F6">
        <w:rPr>
          <w:rFonts w:cs="Arial"/>
          <w:bCs/>
          <w:sz w:val="22"/>
          <w:szCs w:val="22"/>
        </w:rPr>
        <w:t>will</w:t>
      </w:r>
      <w:r>
        <w:rPr>
          <w:rFonts w:cs="Arial"/>
          <w:bCs/>
          <w:sz w:val="22"/>
          <w:szCs w:val="22"/>
        </w:rPr>
        <w:t xml:space="preserve"> incur </w:t>
      </w:r>
      <w:r w:rsidRPr="00FB794C">
        <w:rPr>
          <w:rFonts w:cs="Arial"/>
          <w:bCs/>
          <w:sz w:val="22"/>
          <w:szCs w:val="22"/>
        </w:rPr>
        <w:t xml:space="preserve">costs associated with </w:t>
      </w:r>
      <w:r>
        <w:rPr>
          <w:rFonts w:cs="Arial"/>
          <w:bCs/>
          <w:sz w:val="22"/>
          <w:szCs w:val="22"/>
        </w:rPr>
        <w:t xml:space="preserve">any specimens that test positive on </w:t>
      </w:r>
      <w:r w:rsidRPr="00FB794C">
        <w:rPr>
          <w:rFonts w:cs="Arial"/>
          <w:bCs/>
          <w:sz w:val="22"/>
          <w:szCs w:val="22"/>
        </w:rPr>
        <w:t>confirmatory testing</w:t>
      </w:r>
      <w:r>
        <w:rPr>
          <w:rFonts w:cs="Arial"/>
          <w:bCs/>
          <w:sz w:val="22"/>
          <w:szCs w:val="22"/>
        </w:rPr>
        <w:t xml:space="preserve"> and the </w:t>
      </w:r>
      <w:r w:rsidRPr="00FB794C">
        <w:rPr>
          <w:rFonts w:cs="Arial"/>
          <w:bCs/>
          <w:sz w:val="22"/>
          <w:szCs w:val="22"/>
        </w:rPr>
        <w:t>subsequent actions</w:t>
      </w:r>
      <w:r>
        <w:rPr>
          <w:rFonts w:cs="Arial"/>
          <w:bCs/>
          <w:sz w:val="22"/>
          <w:szCs w:val="22"/>
        </w:rPr>
        <w:t xml:space="preserve"> taken when an individual tests positive</w:t>
      </w:r>
      <w:r w:rsidRPr="00FB794C">
        <w:rPr>
          <w:rFonts w:cs="Arial"/>
          <w:bCs/>
          <w:sz w:val="22"/>
          <w:szCs w:val="22"/>
        </w:rPr>
        <w:t xml:space="preserve"> (i.e.</w:t>
      </w:r>
      <w:r w:rsidR="00646A79">
        <w:rPr>
          <w:rFonts w:cs="Arial"/>
          <w:bCs/>
          <w:sz w:val="22"/>
          <w:szCs w:val="22"/>
        </w:rPr>
        <w:t>,</w:t>
      </w:r>
      <w:r>
        <w:rPr>
          <w:rFonts w:cs="Arial"/>
          <w:bCs/>
          <w:sz w:val="22"/>
          <w:szCs w:val="22"/>
        </w:rPr>
        <w:t> </w:t>
      </w:r>
      <w:r w:rsidRPr="00FB794C">
        <w:rPr>
          <w:rFonts w:cs="Arial"/>
          <w:bCs/>
          <w:sz w:val="22"/>
          <w:szCs w:val="22"/>
        </w:rPr>
        <w:t>on the part of the FFD program staff</w:t>
      </w:r>
      <w:r w:rsidR="00646A79">
        <w:rPr>
          <w:rFonts w:cs="Arial"/>
          <w:bCs/>
          <w:sz w:val="22"/>
          <w:szCs w:val="22"/>
        </w:rPr>
        <w:t>,</w:t>
      </w:r>
      <w:r w:rsidRPr="00FB794C">
        <w:rPr>
          <w:rFonts w:cs="Arial"/>
          <w:bCs/>
          <w:sz w:val="22"/>
          <w:szCs w:val="22"/>
        </w:rPr>
        <w:t xml:space="preserve"> the MRO</w:t>
      </w:r>
      <w:r w:rsidR="00646A79">
        <w:rPr>
          <w:rFonts w:cs="Arial"/>
          <w:bCs/>
          <w:sz w:val="22"/>
          <w:szCs w:val="22"/>
        </w:rPr>
        <w:t>,</w:t>
      </w:r>
      <w:r w:rsidRPr="00FB794C">
        <w:rPr>
          <w:rFonts w:cs="Arial"/>
          <w:bCs/>
          <w:sz w:val="22"/>
          <w:szCs w:val="22"/>
        </w:rPr>
        <w:t xml:space="preserve"> and the donor).  These incremental costs are estimated as follows:</w:t>
      </w:r>
    </w:p>
    <w:p w:rsidRPr="00F92E26" w:rsidR="00D520BD" w:rsidP="005C6BA3" w:rsidRDefault="00D520BD" w14:paraId="13EAF323" w14:textId="51C760B6">
      <w:pPr>
        <w:pStyle w:val="ListParagraph"/>
        <w:numPr>
          <w:ilvl w:val="0"/>
          <w:numId w:val="15"/>
        </w:numPr>
        <w:tabs>
          <w:tab w:val="left" w:pos="721"/>
        </w:tabs>
        <w:ind w:hanging="720"/>
        <w:rPr>
          <w:rFonts w:cs="Arial"/>
          <w:sz w:val="22"/>
          <w:szCs w:val="22"/>
        </w:rPr>
      </w:pPr>
      <w:r w:rsidRPr="00F92E26">
        <w:rPr>
          <w:sz w:val="22"/>
          <w:szCs w:val="22"/>
        </w:rPr>
        <w:t>total annual cost to industry</w:t>
      </w:r>
      <w:r w:rsidR="004212C8">
        <w:rPr>
          <w:sz w:val="22"/>
          <w:szCs w:val="22"/>
        </w:rPr>
        <w:t xml:space="preserve"> = </w:t>
      </w:r>
      <w:r w:rsidRPr="00F92E26">
        <w:rPr>
          <w:sz w:val="22"/>
          <w:szCs w:val="22"/>
        </w:rPr>
        <w:t>($</w:t>
      </w:r>
      <w:r w:rsidRPr="00F92E26" w:rsidR="00F92E26">
        <w:rPr>
          <w:sz w:val="22"/>
          <w:szCs w:val="22"/>
        </w:rPr>
        <w:t>60,323</w:t>
      </w:r>
      <w:r w:rsidRPr="00F92E26">
        <w:rPr>
          <w:sz w:val="22"/>
          <w:szCs w:val="22"/>
        </w:rPr>
        <w:t>)</w:t>
      </w:r>
    </w:p>
    <w:p w:rsidRPr="00F92E26" w:rsidR="00D520BD" w:rsidP="005C6BA3" w:rsidRDefault="00D520BD" w14:paraId="377E41BC" w14:textId="68D60E57">
      <w:pPr>
        <w:pStyle w:val="ListParagraph"/>
        <w:numPr>
          <w:ilvl w:val="0"/>
          <w:numId w:val="15"/>
        </w:numPr>
        <w:tabs>
          <w:tab w:val="left" w:pos="721"/>
        </w:tabs>
        <w:ind w:hanging="720"/>
        <w:rPr>
          <w:sz w:val="22"/>
          <w:szCs w:val="22"/>
        </w:rPr>
      </w:pPr>
      <w:r w:rsidRPr="00F92E26">
        <w:rPr>
          <w:sz w:val="22"/>
          <w:szCs w:val="22"/>
        </w:rPr>
        <w:t>average annual cost per site</w:t>
      </w:r>
      <w:r w:rsidR="004212C8">
        <w:rPr>
          <w:sz w:val="22"/>
          <w:szCs w:val="22"/>
        </w:rPr>
        <w:t xml:space="preserve"> = </w:t>
      </w:r>
      <w:r w:rsidRPr="00F92E26">
        <w:rPr>
          <w:sz w:val="22"/>
          <w:szCs w:val="22"/>
        </w:rPr>
        <w:t>($1</w:t>
      </w:r>
      <w:r w:rsidRPr="00F92E26" w:rsidR="00646A79">
        <w:rPr>
          <w:sz w:val="22"/>
          <w:szCs w:val="22"/>
        </w:rPr>
        <w:t>,</w:t>
      </w:r>
      <w:r w:rsidRPr="00F92E26" w:rsidR="00F92E26">
        <w:rPr>
          <w:sz w:val="22"/>
          <w:szCs w:val="22"/>
        </w:rPr>
        <w:t>022</w:t>
      </w:r>
      <w:r w:rsidRPr="00F92E26">
        <w:rPr>
          <w:sz w:val="22"/>
          <w:szCs w:val="22"/>
        </w:rPr>
        <w:t>)</w:t>
      </w:r>
    </w:p>
    <w:p w:rsidRPr="00271BF3" w:rsidR="00D520BD" w:rsidP="00D520BD" w:rsidRDefault="00D520BD" w14:paraId="01AC8FBC" w14:textId="77777777">
      <w:pPr>
        <w:tabs>
          <w:tab w:val="left" w:pos="720"/>
        </w:tabs>
        <w:rPr>
          <w:sz w:val="22"/>
          <w:szCs w:val="22"/>
        </w:rPr>
      </w:pPr>
    </w:p>
    <w:p w:rsidRPr="00B10C2E" w:rsidR="00D520BD" w:rsidP="00D520BD" w:rsidRDefault="00D520BD" w14:paraId="5412C8E2" w14:textId="587E3724">
      <w:pPr>
        <w:rPr>
          <w:rFonts w:cs="Arial"/>
          <w:sz w:val="22"/>
          <w:szCs w:val="22"/>
        </w:rPr>
      </w:pPr>
      <w:r>
        <w:rPr>
          <w:sz w:val="22"/>
          <w:szCs w:val="22"/>
        </w:rPr>
        <w:lastRenderedPageBreak/>
        <w:t>In making these changes to maintain reasonable assurance of a drug-free workplace</w:t>
      </w:r>
      <w:r w:rsidR="00646A79">
        <w:rPr>
          <w:sz w:val="22"/>
          <w:szCs w:val="22"/>
        </w:rPr>
        <w:t>,</w:t>
      </w:r>
      <w:r w:rsidRPr="005A5966">
        <w:rPr>
          <w:sz w:val="22"/>
          <w:szCs w:val="22"/>
        </w:rPr>
        <w:t xml:space="preserve"> the NRC </w:t>
      </w:r>
      <w:r>
        <w:rPr>
          <w:sz w:val="22"/>
          <w:szCs w:val="22"/>
        </w:rPr>
        <w:t xml:space="preserve">staff </w:t>
      </w:r>
      <w:r w:rsidRPr="005A5966">
        <w:rPr>
          <w:sz w:val="22"/>
          <w:szCs w:val="22"/>
        </w:rPr>
        <w:t>estimates that this regulatory initiative result</w:t>
      </w:r>
      <w:r w:rsidR="005C4B27">
        <w:rPr>
          <w:sz w:val="22"/>
          <w:szCs w:val="22"/>
        </w:rPr>
        <w:t>s</w:t>
      </w:r>
      <w:r w:rsidRPr="005A5966">
        <w:rPr>
          <w:sz w:val="22"/>
          <w:szCs w:val="22"/>
        </w:rPr>
        <w:t xml:space="preserve"> in an additional </w:t>
      </w:r>
      <w:r w:rsidRPr="00982747">
        <w:rPr>
          <w:sz w:val="22"/>
          <w:szCs w:val="22"/>
        </w:rPr>
        <w:t>seven</w:t>
      </w:r>
      <w:r w:rsidRPr="005A5966">
        <w:rPr>
          <w:sz w:val="22"/>
          <w:szCs w:val="22"/>
        </w:rPr>
        <w:t xml:space="preserve"> confirmed positive test results</w:t>
      </w:r>
      <w:r>
        <w:rPr>
          <w:sz w:val="22"/>
          <w:szCs w:val="22"/>
        </w:rPr>
        <w:t xml:space="preserve"> per year</w:t>
      </w:r>
      <w:r w:rsidR="00646A79">
        <w:rPr>
          <w:sz w:val="22"/>
          <w:szCs w:val="22"/>
        </w:rPr>
        <w:t>,</w:t>
      </w:r>
      <w:r w:rsidRPr="005A5966">
        <w:rPr>
          <w:sz w:val="22"/>
          <w:szCs w:val="22"/>
        </w:rPr>
        <w:t xml:space="preserve"> as presented in Table</w:t>
      </w:r>
      <w:r>
        <w:rPr>
          <w:sz w:val="22"/>
          <w:szCs w:val="22"/>
        </w:rPr>
        <w:t> 5</w:t>
      </w:r>
      <w:r w:rsidRPr="005A5966">
        <w:rPr>
          <w:sz w:val="22"/>
          <w:szCs w:val="22"/>
        </w:rPr>
        <w:t>-</w:t>
      </w:r>
      <w:r w:rsidR="00501931">
        <w:rPr>
          <w:sz w:val="22"/>
          <w:szCs w:val="22"/>
        </w:rPr>
        <w:t>10</w:t>
      </w:r>
      <w:r w:rsidRPr="005A5966">
        <w:rPr>
          <w:sz w:val="22"/>
          <w:szCs w:val="22"/>
        </w:rPr>
        <w:t xml:space="preserve">.  </w:t>
      </w:r>
      <w:r w:rsidRPr="005A5966">
        <w:rPr>
          <w:rFonts w:cs="Arial"/>
          <w:bCs/>
          <w:sz w:val="22"/>
          <w:szCs w:val="22"/>
        </w:rPr>
        <w:t>As a result</w:t>
      </w:r>
      <w:r w:rsidR="00646A79">
        <w:rPr>
          <w:rFonts w:cs="Arial"/>
          <w:bCs/>
          <w:sz w:val="22"/>
          <w:szCs w:val="22"/>
        </w:rPr>
        <w:t>,</w:t>
      </w:r>
      <w:r w:rsidRPr="005A5966">
        <w:rPr>
          <w:rFonts w:cs="Arial"/>
          <w:bCs/>
          <w:sz w:val="22"/>
          <w:szCs w:val="22"/>
        </w:rPr>
        <w:t xml:space="preserve"> this change provide</w:t>
      </w:r>
      <w:r w:rsidR="005C4B27">
        <w:rPr>
          <w:rFonts w:cs="Arial"/>
          <w:bCs/>
          <w:sz w:val="22"/>
          <w:szCs w:val="22"/>
        </w:rPr>
        <w:t>s</w:t>
      </w:r>
      <w:r w:rsidRPr="005A5966">
        <w:rPr>
          <w:rFonts w:cs="Arial"/>
          <w:bCs/>
          <w:sz w:val="22"/>
          <w:szCs w:val="22"/>
        </w:rPr>
        <w:t xml:space="preserve"> a</w:t>
      </w:r>
      <w:r>
        <w:rPr>
          <w:rFonts w:cs="Arial"/>
          <w:bCs/>
          <w:sz w:val="22"/>
          <w:szCs w:val="22"/>
        </w:rPr>
        <w:t>dditional</w:t>
      </w:r>
      <w:r w:rsidRPr="005A5966">
        <w:rPr>
          <w:rFonts w:cs="Arial"/>
          <w:bCs/>
          <w:sz w:val="22"/>
          <w:szCs w:val="22"/>
        </w:rPr>
        <w:t xml:space="preserve"> assurance that persons who are using illegal drugs </w:t>
      </w:r>
      <w:r w:rsidR="005C4B27">
        <w:rPr>
          <w:rFonts w:cs="Arial"/>
          <w:bCs/>
          <w:sz w:val="22"/>
          <w:szCs w:val="22"/>
        </w:rPr>
        <w:t>are</w:t>
      </w:r>
      <w:r>
        <w:rPr>
          <w:rFonts w:cs="Arial"/>
          <w:bCs/>
          <w:sz w:val="22"/>
          <w:szCs w:val="22"/>
        </w:rPr>
        <w:t xml:space="preserve"> identified and denied unescorted access authorization than under the current </w:t>
      </w:r>
      <w:r w:rsidRPr="00646A79" w:rsidR="00C02B1C">
        <w:rPr>
          <w:sz w:val="22"/>
          <w:szCs w:val="22"/>
        </w:rPr>
        <w:t>10 CFR P</w:t>
      </w:r>
      <w:r w:rsidRPr="00646A79">
        <w:rPr>
          <w:sz w:val="22"/>
          <w:szCs w:val="22"/>
        </w:rPr>
        <w:t>art</w:t>
      </w:r>
      <w:r>
        <w:rPr>
          <w:rFonts w:cs="Arial"/>
          <w:bCs/>
          <w:sz w:val="22"/>
          <w:szCs w:val="22"/>
        </w:rPr>
        <w:t xml:space="preserve"> 26 framework</w:t>
      </w:r>
      <w:r w:rsidRPr="00220D3B">
        <w:rPr>
          <w:rFonts w:cs="Arial"/>
          <w:bCs/>
          <w:sz w:val="22"/>
          <w:szCs w:val="22"/>
        </w:rPr>
        <w:t>.</w:t>
      </w:r>
      <w:r w:rsidRPr="004B3991">
        <w:rPr>
          <w:rFonts w:cs="Arial"/>
          <w:sz w:val="18"/>
          <w:szCs w:val="18"/>
        </w:rPr>
        <w:t xml:space="preserve"> </w:t>
      </w:r>
      <w:r w:rsidR="00BA53E2">
        <w:rPr>
          <w:rFonts w:cs="Arial"/>
          <w:sz w:val="18"/>
          <w:szCs w:val="18"/>
        </w:rPr>
        <w:t xml:space="preserve"> </w:t>
      </w:r>
      <w:r w:rsidRPr="00B10C2E">
        <w:rPr>
          <w:rFonts w:cs="Arial"/>
          <w:sz w:val="22"/>
          <w:szCs w:val="22"/>
        </w:rPr>
        <w:t>Appendices</w:t>
      </w:r>
      <w:r>
        <w:rPr>
          <w:rFonts w:cs="Arial"/>
          <w:sz w:val="22"/>
          <w:szCs w:val="22"/>
        </w:rPr>
        <w:t> </w:t>
      </w:r>
      <w:r w:rsidRPr="00B10C2E">
        <w:rPr>
          <w:rFonts w:cs="Arial"/>
          <w:sz w:val="22"/>
          <w:szCs w:val="22"/>
        </w:rPr>
        <w:t xml:space="preserve">B and C </w:t>
      </w:r>
      <w:r>
        <w:rPr>
          <w:rFonts w:cs="Arial"/>
          <w:sz w:val="22"/>
          <w:szCs w:val="22"/>
        </w:rPr>
        <w:t>provide</w:t>
      </w:r>
      <w:r w:rsidRPr="00B10C2E">
        <w:rPr>
          <w:rFonts w:cs="Arial"/>
          <w:sz w:val="22"/>
          <w:szCs w:val="22"/>
        </w:rPr>
        <w:t xml:space="preserve"> additional information on the estimated increase in positive test results.</w:t>
      </w:r>
    </w:p>
    <w:bookmarkEnd w:id="164"/>
    <w:p w:rsidR="00D520BD" w:rsidP="00D520BD" w:rsidRDefault="00D520BD" w14:paraId="6FB158AC" w14:textId="77777777">
      <w:pPr>
        <w:tabs>
          <w:tab w:val="left" w:pos="720"/>
        </w:tabs>
        <w:rPr>
          <w:rFonts w:cs="Arial"/>
          <w:bCs/>
          <w:sz w:val="22"/>
          <w:szCs w:val="22"/>
        </w:rPr>
      </w:pPr>
    </w:p>
    <w:p w:rsidRPr="00625C7E" w:rsidR="00625C7E" w:rsidP="00625C7E" w:rsidRDefault="00625C7E" w14:paraId="7925CB73" w14:textId="24C75C40">
      <w:pPr>
        <w:pStyle w:val="Caption"/>
        <w:jc w:val="center"/>
        <w:rPr>
          <w:b/>
          <w:bCs w:val="0"/>
        </w:rPr>
      </w:pPr>
      <w:bookmarkStart w:name="_Toc72490572" w:id="165"/>
      <w:bookmarkStart w:name="_Toc105681569" w:id="166"/>
      <w:r w:rsidRPr="00625C7E">
        <w:rPr>
          <w:b/>
          <w:bCs w:val="0"/>
        </w:rPr>
        <w:t>Table 5-</w:t>
      </w:r>
      <w:r w:rsidRPr="00625C7E">
        <w:rPr>
          <w:b/>
          <w:bCs w:val="0"/>
        </w:rPr>
        <w:fldChar w:fldCharType="begin"/>
      </w:r>
      <w:r w:rsidRPr="00625C7E">
        <w:rPr>
          <w:b/>
          <w:bCs w:val="0"/>
        </w:rPr>
        <w:instrText xml:space="preserve"> SEQ Table \* ARABIC </w:instrText>
      </w:r>
      <w:r w:rsidRPr="00625C7E">
        <w:rPr>
          <w:b/>
          <w:bCs w:val="0"/>
        </w:rPr>
        <w:fldChar w:fldCharType="separate"/>
      </w:r>
      <w:r w:rsidR="00A6777F">
        <w:rPr>
          <w:b/>
          <w:bCs w:val="0"/>
          <w:noProof/>
        </w:rPr>
        <w:t>10</w:t>
      </w:r>
      <w:r w:rsidRPr="00625C7E">
        <w:rPr>
          <w:b/>
          <w:bCs w:val="0"/>
        </w:rPr>
        <w:fldChar w:fldCharType="end"/>
      </w:r>
      <w:r>
        <w:rPr>
          <w:b/>
          <w:bCs w:val="0"/>
        </w:rPr>
        <w:t xml:space="preserve">  </w:t>
      </w:r>
      <w:r w:rsidR="00C50691">
        <w:rPr>
          <w:b/>
          <w:bCs w:val="0"/>
        </w:rPr>
        <w:t xml:space="preserve">Projected </w:t>
      </w:r>
      <w:r>
        <w:rPr>
          <w:b/>
          <w:bCs w:val="0"/>
        </w:rPr>
        <w:t>Ecstasy Positive Results from Expanded Drug Testing Panel (Estimated Total for All Sites)</w:t>
      </w:r>
      <w:bookmarkEnd w:id="165"/>
      <w:bookmarkEnd w:id="166"/>
    </w:p>
    <w:tbl>
      <w:tblPr>
        <w:tblW w:w="5000" w:type="pct"/>
        <w:jc w:val="center"/>
        <w:tblLook w:val="04A0" w:firstRow="1" w:lastRow="0" w:firstColumn="1" w:lastColumn="0" w:noHBand="0" w:noVBand="1"/>
      </w:tblPr>
      <w:tblGrid>
        <w:gridCol w:w="4129"/>
        <w:gridCol w:w="5221"/>
      </w:tblGrid>
      <w:tr w:rsidRPr="005A5966" w:rsidR="00B101DA" w:rsidTr="00926A06" w14:paraId="73B0D4A8" w14:textId="77777777">
        <w:trPr>
          <w:trHeight w:val="557"/>
          <w:jc w:val="center"/>
        </w:trPr>
        <w:tc>
          <w:tcPr>
            <w:tcW w:w="2208"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hideMark/>
          </w:tcPr>
          <w:p w:rsidRPr="005A5966" w:rsidR="00D520BD" w:rsidP="00EE7D4E" w:rsidRDefault="00D520BD" w14:paraId="75C1FC12" w14:textId="77777777">
            <w:pPr>
              <w:keepNext/>
              <w:jc w:val="center"/>
              <w:rPr>
                <w:rFonts w:cs="Arial"/>
                <w:b/>
                <w:bCs/>
              </w:rPr>
            </w:pPr>
            <w:r w:rsidRPr="005A5966">
              <w:rPr>
                <w:rFonts w:cs="Arial"/>
                <w:b/>
                <w:bCs/>
                <w:sz w:val="22"/>
                <w:szCs w:val="22"/>
              </w:rPr>
              <w:t>Substance</w:t>
            </w:r>
          </w:p>
        </w:tc>
        <w:tc>
          <w:tcPr>
            <w:tcW w:w="2792"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hideMark/>
          </w:tcPr>
          <w:p w:rsidRPr="005A5966" w:rsidR="00D520BD" w:rsidP="00EE7D4E" w:rsidRDefault="00DB4D57" w14:paraId="2DF03869" w14:textId="1266A2B2">
            <w:pPr>
              <w:keepNext/>
              <w:jc w:val="center"/>
              <w:rPr>
                <w:rFonts w:cs="Arial"/>
                <w:b/>
                <w:bCs/>
              </w:rPr>
            </w:pPr>
            <w:r>
              <w:rPr>
                <w:rFonts w:cs="Arial"/>
                <w:b/>
                <w:bCs/>
                <w:sz w:val="22"/>
                <w:szCs w:val="22"/>
              </w:rPr>
              <w:t xml:space="preserve">Projected </w:t>
            </w:r>
            <w:r w:rsidR="00D520BD">
              <w:rPr>
                <w:rFonts w:cs="Arial"/>
                <w:b/>
                <w:bCs/>
                <w:sz w:val="22"/>
                <w:szCs w:val="22"/>
              </w:rPr>
              <w:t>N</w:t>
            </w:r>
            <w:r w:rsidRPr="005A5966" w:rsidR="00D520BD">
              <w:rPr>
                <w:rFonts w:cs="Arial"/>
                <w:b/>
                <w:bCs/>
                <w:sz w:val="22"/>
                <w:szCs w:val="22"/>
              </w:rPr>
              <w:t xml:space="preserve">umber of </w:t>
            </w:r>
            <w:r w:rsidR="00D520BD">
              <w:rPr>
                <w:rFonts w:cs="Arial"/>
                <w:b/>
                <w:bCs/>
                <w:sz w:val="22"/>
                <w:szCs w:val="22"/>
              </w:rPr>
              <w:t>C</w:t>
            </w:r>
            <w:r w:rsidRPr="005A5966" w:rsidR="00D520BD">
              <w:rPr>
                <w:rFonts w:cs="Arial"/>
                <w:b/>
                <w:bCs/>
                <w:sz w:val="22"/>
                <w:szCs w:val="22"/>
              </w:rPr>
              <w:t>onfirmed</w:t>
            </w:r>
            <w:r>
              <w:rPr>
                <w:rFonts w:cs="Arial"/>
                <w:b/>
                <w:bCs/>
                <w:sz w:val="22"/>
                <w:szCs w:val="22"/>
              </w:rPr>
              <w:t xml:space="preserve"> </w:t>
            </w:r>
            <w:r w:rsidR="00D520BD">
              <w:rPr>
                <w:rFonts w:cs="Arial"/>
                <w:b/>
                <w:bCs/>
                <w:sz w:val="22"/>
                <w:szCs w:val="22"/>
              </w:rPr>
              <w:t>P</w:t>
            </w:r>
            <w:r w:rsidRPr="005A5966" w:rsidR="00D520BD">
              <w:rPr>
                <w:rFonts w:cs="Arial"/>
                <w:b/>
                <w:bCs/>
                <w:sz w:val="22"/>
                <w:szCs w:val="22"/>
              </w:rPr>
              <w:t xml:space="preserve">ositive </w:t>
            </w:r>
            <w:r w:rsidR="00D520BD">
              <w:rPr>
                <w:rFonts w:cs="Arial"/>
                <w:b/>
                <w:bCs/>
                <w:sz w:val="22"/>
                <w:szCs w:val="22"/>
              </w:rPr>
              <w:t>T</w:t>
            </w:r>
            <w:r w:rsidRPr="005A5966" w:rsidR="00D520BD">
              <w:rPr>
                <w:rFonts w:cs="Arial"/>
                <w:b/>
                <w:bCs/>
                <w:sz w:val="22"/>
                <w:szCs w:val="22"/>
              </w:rPr>
              <w:t xml:space="preserve">est </w:t>
            </w:r>
            <w:r w:rsidR="00D520BD">
              <w:rPr>
                <w:rFonts w:cs="Arial"/>
                <w:b/>
                <w:bCs/>
                <w:sz w:val="22"/>
                <w:szCs w:val="22"/>
              </w:rPr>
              <w:t>R</w:t>
            </w:r>
            <w:r w:rsidRPr="005A5966" w:rsidR="00D520BD">
              <w:rPr>
                <w:rFonts w:cs="Arial"/>
                <w:b/>
                <w:bCs/>
                <w:sz w:val="22"/>
                <w:szCs w:val="22"/>
              </w:rPr>
              <w:t xml:space="preserve">esults per </w:t>
            </w:r>
            <w:r w:rsidR="00D520BD">
              <w:rPr>
                <w:rFonts w:cs="Arial"/>
                <w:b/>
                <w:bCs/>
                <w:sz w:val="22"/>
                <w:szCs w:val="22"/>
              </w:rPr>
              <w:t>Y</w:t>
            </w:r>
            <w:r w:rsidRPr="005A5966" w:rsidR="00D520BD">
              <w:rPr>
                <w:rFonts w:cs="Arial"/>
                <w:b/>
                <w:bCs/>
                <w:sz w:val="22"/>
                <w:szCs w:val="22"/>
              </w:rPr>
              <w:t>ear</w:t>
            </w:r>
          </w:p>
        </w:tc>
      </w:tr>
      <w:tr w:rsidRPr="005A5966" w:rsidR="00B101DA" w:rsidTr="00926A06" w14:paraId="6E80DCFC" w14:textId="77777777">
        <w:trPr>
          <w:trHeight w:val="377"/>
          <w:jc w:val="center"/>
        </w:trPr>
        <w:tc>
          <w:tcPr>
            <w:tcW w:w="2208" w:type="pct"/>
            <w:tcBorders>
              <w:top w:val="single" w:color="auto" w:sz="4" w:space="0"/>
              <w:left w:val="single" w:color="auto" w:sz="4" w:space="0"/>
              <w:bottom w:val="single" w:color="auto" w:sz="4" w:space="0"/>
              <w:right w:val="single" w:color="auto" w:sz="4" w:space="0"/>
            </w:tcBorders>
            <w:shd w:val="clear" w:color="000000" w:fill="FFFFFF"/>
            <w:vAlign w:val="center"/>
            <w:hideMark/>
          </w:tcPr>
          <w:p w:rsidRPr="00194892" w:rsidR="00D520BD" w:rsidP="00EE7D4E" w:rsidRDefault="00D520BD" w14:paraId="61DB19EE" w14:textId="77777777">
            <w:pPr>
              <w:keepNext/>
              <w:jc w:val="center"/>
            </w:pPr>
            <w:r w:rsidRPr="00194892">
              <w:rPr>
                <w:sz w:val="22"/>
              </w:rPr>
              <w:t>Ecstasy</w:t>
            </w:r>
          </w:p>
        </w:tc>
        <w:tc>
          <w:tcPr>
            <w:tcW w:w="2792" w:type="pct"/>
            <w:tcBorders>
              <w:top w:val="single" w:color="auto" w:sz="4" w:space="0"/>
              <w:left w:val="nil"/>
              <w:bottom w:val="single" w:color="auto" w:sz="4" w:space="0"/>
              <w:right w:val="single" w:color="auto" w:sz="4" w:space="0"/>
            </w:tcBorders>
            <w:shd w:val="clear" w:color="auto" w:fill="auto"/>
            <w:vAlign w:val="center"/>
            <w:hideMark/>
          </w:tcPr>
          <w:p w:rsidRPr="00A37DB0" w:rsidR="00D520BD" w:rsidP="00EE7D4E" w:rsidRDefault="00FD608F" w14:paraId="2D7EA4B1" w14:textId="0FCB4D5F">
            <w:pPr>
              <w:keepNext/>
              <w:jc w:val="center"/>
              <w:rPr>
                <w:highlight w:val="yellow"/>
              </w:rPr>
            </w:pPr>
            <w:r w:rsidRPr="00FD608F">
              <w:t>5</w:t>
            </w:r>
          </w:p>
        </w:tc>
      </w:tr>
    </w:tbl>
    <w:p w:rsidR="00D520BD" w:rsidP="00D520BD" w:rsidRDefault="00D520BD" w14:paraId="60AAA2B6" w14:textId="3415F3A3">
      <w:pPr>
        <w:tabs>
          <w:tab w:val="left" w:pos="720"/>
        </w:tabs>
        <w:rPr>
          <w:sz w:val="22"/>
          <w:szCs w:val="22"/>
        </w:rPr>
      </w:pPr>
      <w:bookmarkStart w:name="_Toc332032770" w:id="167"/>
    </w:p>
    <w:p w:rsidRPr="00CC4875" w:rsidR="00F8667A" w:rsidP="00F8667A" w:rsidRDefault="00501931" w14:paraId="71764634" w14:textId="68FE6CC3">
      <w:pPr>
        <w:tabs>
          <w:tab w:val="left" w:pos="721"/>
        </w:tabs>
        <w:rPr>
          <w:sz w:val="22"/>
          <w:szCs w:val="22"/>
        </w:rPr>
      </w:pPr>
      <w:r w:rsidRPr="005F3921">
        <w:rPr>
          <w:b/>
          <w:bCs/>
          <w:i/>
          <w:iCs/>
          <w:sz w:val="22"/>
          <w:szCs w:val="22"/>
        </w:rPr>
        <w:t>Future Nuclear Facilities</w:t>
      </w:r>
      <w:r>
        <w:rPr>
          <w:sz w:val="22"/>
          <w:szCs w:val="22"/>
        </w:rPr>
        <w:t xml:space="preserve">:  The NRC staff estimates the number of additional confirmed </w:t>
      </w:r>
      <w:r w:rsidR="002D39B4">
        <w:rPr>
          <w:sz w:val="22"/>
          <w:szCs w:val="22"/>
        </w:rPr>
        <w:t>Ecstasy</w:t>
      </w:r>
      <w:r>
        <w:rPr>
          <w:sz w:val="22"/>
          <w:szCs w:val="22"/>
        </w:rPr>
        <w:t xml:space="preserve"> positive results for each future nuclear facility site testing </w:t>
      </w:r>
      <w:r w:rsidR="00C633AE">
        <w:rPr>
          <w:sz w:val="22"/>
          <w:szCs w:val="22"/>
        </w:rPr>
        <w:t xml:space="preserve">for Ecstasy </w:t>
      </w:r>
      <w:r>
        <w:rPr>
          <w:sz w:val="22"/>
          <w:szCs w:val="22"/>
        </w:rPr>
        <w:t xml:space="preserve">by multiplying the expected number of tests performed by these facilities </w:t>
      </w:r>
      <w:r w:rsidR="00A13BE3">
        <w:rPr>
          <w:sz w:val="22"/>
          <w:szCs w:val="22"/>
        </w:rPr>
        <w:t xml:space="preserve">by </w:t>
      </w:r>
      <w:r>
        <w:rPr>
          <w:sz w:val="22"/>
          <w:szCs w:val="22"/>
        </w:rPr>
        <w:t xml:space="preserve">the </w:t>
      </w:r>
      <w:r w:rsidRPr="005A7A95">
        <w:rPr>
          <w:sz w:val="22"/>
          <w:szCs w:val="22"/>
        </w:rPr>
        <w:t xml:space="preserve">average positive test </w:t>
      </w:r>
      <w:r w:rsidRPr="005A7A95" w:rsidR="003A6146">
        <w:rPr>
          <w:sz w:val="22"/>
          <w:szCs w:val="22"/>
        </w:rPr>
        <w:t xml:space="preserve">rate </w:t>
      </w:r>
      <w:r>
        <w:rPr>
          <w:sz w:val="22"/>
          <w:szCs w:val="22"/>
        </w:rPr>
        <w:t xml:space="preserve">for </w:t>
      </w:r>
      <w:r w:rsidR="002D39B4">
        <w:rPr>
          <w:sz w:val="22"/>
          <w:szCs w:val="22"/>
        </w:rPr>
        <w:t xml:space="preserve">Ecstasy </w:t>
      </w:r>
      <w:r>
        <w:rPr>
          <w:sz w:val="22"/>
          <w:szCs w:val="22"/>
        </w:rPr>
        <w:t xml:space="preserve">at existing facilities.  </w:t>
      </w:r>
      <w:r w:rsidRPr="002F6AD2" w:rsidR="00E00F87">
        <w:rPr>
          <w:sz w:val="22"/>
          <w:szCs w:val="22"/>
        </w:rPr>
        <w:fldChar w:fldCharType="begin"/>
      </w:r>
      <w:r w:rsidRPr="002F6AD2" w:rsidR="00E00F87">
        <w:rPr>
          <w:sz w:val="22"/>
          <w:szCs w:val="22"/>
        </w:rPr>
        <w:instrText xml:space="preserve"> REF _Ref70412219 \h </w:instrText>
      </w:r>
      <w:r w:rsidRPr="008A2603" w:rsidR="0033795C">
        <w:rPr>
          <w:sz w:val="22"/>
          <w:szCs w:val="22"/>
        </w:rPr>
        <w:instrText xml:space="preserve"> \* MERGEFORMAT </w:instrText>
      </w:r>
      <w:r w:rsidRPr="002F6AD2" w:rsidR="00E00F87">
        <w:rPr>
          <w:sz w:val="22"/>
          <w:szCs w:val="22"/>
        </w:rPr>
      </w:r>
      <w:r w:rsidRPr="002F6AD2" w:rsidR="00E00F87">
        <w:rPr>
          <w:sz w:val="22"/>
          <w:szCs w:val="22"/>
        </w:rPr>
        <w:fldChar w:fldCharType="separate"/>
      </w:r>
      <w:r w:rsidRPr="006155B8" w:rsidR="00A6777F">
        <w:rPr>
          <w:sz w:val="22"/>
          <w:szCs w:val="22"/>
        </w:rPr>
        <w:t>Table 5-11</w:t>
      </w:r>
      <w:r w:rsidRPr="002F6AD2" w:rsidR="00E00F87">
        <w:rPr>
          <w:sz w:val="22"/>
          <w:szCs w:val="22"/>
        </w:rPr>
        <w:fldChar w:fldCharType="end"/>
      </w:r>
      <w:r w:rsidR="00F8667A">
        <w:rPr>
          <w:sz w:val="22"/>
          <w:szCs w:val="22"/>
        </w:rPr>
        <w:t xml:space="preserve"> presents the</w:t>
      </w:r>
      <w:r w:rsidRPr="00F8667A" w:rsidR="00F8667A">
        <w:rPr>
          <w:sz w:val="22"/>
          <w:szCs w:val="22"/>
        </w:rPr>
        <w:t xml:space="preserve"> </w:t>
      </w:r>
      <w:r w:rsidR="00F8667A">
        <w:rPr>
          <w:sz w:val="22"/>
          <w:szCs w:val="22"/>
        </w:rPr>
        <w:t xml:space="preserve">projected number of </w:t>
      </w:r>
      <w:r w:rsidRPr="003C0E8A" w:rsidR="00F8667A">
        <w:rPr>
          <w:sz w:val="22"/>
          <w:szCs w:val="22"/>
        </w:rPr>
        <w:t>confirmed positive test results by facility type</w:t>
      </w:r>
      <w:r w:rsidR="00F8667A">
        <w:rPr>
          <w:sz w:val="22"/>
          <w:szCs w:val="22"/>
        </w:rPr>
        <w:t>.</w:t>
      </w:r>
    </w:p>
    <w:p w:rsidR="001D2117" w:rsidP="00D520BD" w:rsidRDefault="001D2117" w14:paraId="49309386" w14:textId="6BEEE1B3">
      <w:pPr>
        <w:tabs>
          <w:tab w:val="left" w:pos="720"/>
        </w:tabs>
        <w:rPr>
          <w:sz w:val="22"/>
          <w:szCs w:val="22"/>
        </w:rPr>
      </w:pPr>
    </w:p>
    <w:p w:rsidRPr="00810B53" w:rsidR="00C468CE" w:rsidP="00C468CE" w:rsidRDefault="00C468CE" w14:paraId="2A2544EE" w14:textId="3C79B7DB">
      <w:pPr>
        <w:pStyle w:val="Caption"/>
        <w:jc w:val="center"/>
        <w:rPr>
          <w:b/>
          <w:bCs w:val="0"/>
        </w:rPr>
      </w:pPr>
      <w:bookmarkStart w:name="_Ref70412219" w:id="168"/>
      <w:bookmarkStart w:name="_Toc72490573" w:id="169"/>
      <w:bookmarkStart w:name="_Toc105681570" w:id="170"/>
      <w:r w:rsidRPr="00C468CE">
        <w:rPr>
          <w:b/>
          <w:bCs w:val="0"/>
        </w:rPr>
        <w:t>Table 5-</w:t>
      </w:r>
      <w:r w:rsidRPr="00C468CE">
        <w:rPr>
          <w:b/>
          <w:bCs w:val="0"/>
        </w:rPr>
        <w:fldChar w:fldCharType="begin"/>
      </w:r>
      <w:r w:rsidRPr="00C468CE">
        <w:rPr>
          <w:b/>
          <w:bCs w:val="0"/>
        </w:rPr>
        <w:instrText xml:space="preserve"> SEQ Table \* ARABIC </w:instrText>
      </w:r>
      <w:r w:rsidRPr="00C468CE">
        <w:rPr>
          <w:b/>
          <w:bCs w:val="0"/>
        </w:rPr>
        <w:fldChar w:fldCharType="separate"/>
      </w:r>
      <w:r w:rsidR="00A6777F">
        <w:rPr>
          <w:b/>
          <w:bCs w:val="0"/>
          <w:noProof/>
        </w:rPr>
        <w:t>11</w:t>
      </w:r>
      <w:r w:rsidRPr="00C468CE">
        <w:rPr>
          <w:b/>
          <w:bCs w:val="0"/>
        </w:rPr>
        <w:fldChar w:fldCharType="end"/>
      </w:r>
      <w:bookmarkEnd w:id="168"/>
      <w:r w:rsidRPr="00C468CE">
        <w:rPr>
          <w:b/>
          <w:bCs w:val="0"/>
        </w:rPr>
        <w:t xml:space="preserve">  </w:t>
      </w:r>
      <w:r w:rsidR="00C50691">
        <w:rPr>
          <w:b/>
          <w:bCs w:val="0"/>
        </w:rPr>
        <w:t xml:space="preserve">Projected </w:t>
      </w:r>
      <w:r w:rsidR="00087ACD">
        <w:rPr>
          <w:b/>
          <w:bCs w:val="0"/>
        </w:rPr>
        <w:t>Ecstasy</w:t>
      </w:r>
      <w:r w:rsidRPr="00C468CE">
        <w:rPr>
          <w:b/>
          <w:bCs w:val="0"/>
        </w:rPr>
        <w:t xml:space="preserve"> Positive </w:t>
      </w:r>
      <w:r w:rsidR="00440438">
        <w:rPr>
          <w:b/>
          <w:bCs w:val="0"/>
        </w:rPr>
        <w:t xml:space="preserve">Results </w:t>
      </w:r>
      <w:r w:rsidRPr="00C468CE">
        <w:rPr>
          <w:b/>
          <w:bCs w:val="0"/>
        </w:rPr>
        <w:t xml:space="preserve">from </w:t>
      </w:r>
      <w:r w:rsidR="00090DE5">
        <w:rPr>
          <w:b/>
          <w:bCs w:val="0"/>
        </w:rPr>
        <w:t xml:space="preserve">Expanded Drug </w:t>
      </w:r>
      <w:r w:rsidRPr="00C468CE">
        <w:rPr>
          <w:b/>
          <w:bCs w:val="0"/>
        </w:rPr>
        <w:t xml:space="preserve">Testing </w:t>
      </w:r>
      <w:r w:rsidR="00194F05">
        <w:rPr>
          <w:b/>
          <w:bCs w:val="0"/>
        </w:rPr>
        <w:t>Panel</w:t>
      </w:r>
      <w:r w:rsidR="00194F05">
        <w:rPr>
          <w:b/>
          <w:bCs w:val="0"/>
        </w:rPr>
        <w:br/>
        <w:t xml:space="preserve">by </w:t>
      </w:r>
      <w:r w:rsidRPr="00C468CE">
        <w:rPr>
          <w:b/>
          <w:bCs w:val="0"/>
        </w:rPr>
        <w:t>Future</w:t>
      </w:r>
      <w:r w:rsidRPr="00355446">
        <w:rPr>
          <w:b/>
          <w:bCs w:val="0"/>
        </w:rPr>
        <w:t xml:space="preserve"> Nuclear Facilities</w:t>
      </w:r>
      <w:bookmarkEnd w:id="169"/>
      <w:bookmarkEnd w:id="170"/>
    </w:p>
    <w:tbl>
      <w:tblPr>
        <w:tblStyle w:val="TableGrid"/>
        <w:tblW w:w="5000" w:type="pct"/>
        <w:tblLook w:val="04A0" w:firstRow="1" w:lastRow="0" w:firstColumn="1" w:lastColumn="0" w:noHBand="0" w:noVBand="1"/>
      </w:tblPr>
      <w:tblGrid>
        <w:gridCol w:w="4189"/>
        <w:gridCol w:w="5161"/>
      </w:tblGrid>
      <w:tr w:rsidR="00B42EA2" w:rsidTr="00926A06" w14:paraId="1293269D" w14:textId="77777777">
        <w:trPr>
          <w:trHeight w:val="548"/>
        </w:trPr>
        <w:tc>
          <w:tcPr>
            <w:tcW w:w="2240" w:type="pct"/>
            <w:vAlign w:val="center"/>
          </w:tcPr>
          <w:p w:rsidRPr="001E278D" w:rsidR="00B42EA2" w:rsidP="006D5562" w:rsidRDefault="00B42EA2" w14:paraId="03AE8BEC" w14:textId="77777777">
            <w:pPr>
              <w:rPr>
                <w:rFonts w:cs="Arial"/>
                <w:sz w:val="22"/>
                <w:szCs w:val="22"/>
              </w:rPr>
            </w:pPr>
            <w:r w:rsidRPr="001E278D">
              <w:rPr>
                <w:rFonts w:cs="Arial"/>
                <w:b/>
                <w:bCs/>
                <w:sz w:val="22"/>
                <w:szCs w:val="22"/>
              </w:rPr>
              <w:t>Facility Type</w:t>
            </w:r>
          </w:p>
        </w:tc>
        <w:tc>
          <w:tcPr>
            <w:tcW w:w="2760" w:type="pct"/>
          </w:tcPr>
          <w:p w:rsidRPr="001E278D" w:rsidR="00B42EA2" w:rsidP="001E278D" w:rsidRDefault="00B42EA2" w14:paraId="5A3A887E" w14:textId="168F45B7">
            <w:pPr>
              <w:jc w:val="center"/>
              <w:rPr>
                <w:rFonts w:cs="Arial"/>
                <w:sz w:val="22"/>
                <w:szCs w:val="22"/>
              </w:rPr>
            </w:pPr>
            <w:r w:rsidRPr="001E278D">
              <w:rPr>
                <w:rFonts w:cs="Arial"/>
                <w:b/>
                <w:bCs/>
                <w:sz w:val="22"/>
                <w:szCs w:val="22"/>
              </w:rPr>
              <w:t xml:space="preserve">Projected Number of </w:t>
            </w:r>
            <w:r w:rsidRPr="001E278D" w:rsidR="00C468CE">
              <w:rPr>
                <w:rFonts w:cs="Arial"/>
                <w:b/>
                <w:bCs/>
                <w:sz w:val="22"/>
                <w:szCs w:val="22"/>
              </w:rPr>
              <w:t xml:space="preserve">Ecstasy </w:t>
            </w:r>
            <w:r w:rsidRPr="001E278D">
              <w:rPr>
                <w:rFonts w:cs="Arial"/>
                <w:b/>
                <w:bCs/>
                <w:sz w:val="22"/>
                <w:szCs w:val="22"/>
              </w:rPr>
              <w:t>Confirmed Positive Test Results Annually by Nuclear Facility Type per Site</w:t>
            </w:r>
          </w:p>
        </w:tc>
      </w:tr>
      <w:tr w:rsidR="00245255" w:rsidTr="00926A06" w14:paraId="61331DC7" w14:textId="77777777">
        <w:tc>
          <w:tcPr>
            <w:tcW w:w="2240" w:type="pct"/>
            <w:vAlign w:val="center"/>
          </w:tcPr>
          <w:p w:rsidRPr="001E278D" w:rsidR="00245255" w:rsidP="00245255" w:rsidRDefault="00245255" w14:paraId="323D0A89" w14:textId="11366273">
            <w:pPr>
              <w:rPr>
                <w:rFonts w:cs="Arial"/>
                <w:sz w:val="22"/>
                <w:szCs w:val="22"/>
              </w:rPr>
            </w:pPr>
            <w:r w:rsidRPr="001E278D">
              <w:rPr>
                <w:rFonts w:cs="Arial"/>
                <w:sz w:val="22"/>
                <w:szCs w:val="22"/>
              </w:rPr>
              <w:t>Microreactor</w:t>
            </w:r>
          </w:p>
        </w:tc>
        <w:tc>
          <w:tcPr>
            <w:tcW w:w="2760" w:type="pct"/>
            <w:vAlign w:val="center"/>
          </w:tcPr>
          <w:p w:rsidRPr="001E278D" w:rsidR="00245255" w:rsidP="00245255" w:rsidRDefault="00245255" w14:paraId="6AC9F7C5" w14:textId="3B2E1E93">
            <w:pPr>
              <w:jc w:val="center"/>
              <w:rPr>
                <w:rFonts w:cs="Arial"/>
                <w:sz w:val="22"/>
                <w:szCs w:val="22"/>
              </w:rPr>
            </w:pPr>
            <w:r w:rsidRPr="001E278D">
              <w:rPr>
                <w:rFonts w:cs="Arial"/>
                <w:sz w:val="22"/>
                <w:szCs w:val="22"/>
              </w:rPr>
              <w:t>0.00</w:t>
            </w:r>
            <w:r w:rsidRPr="001E278D" w:rsidR="00A163AD">
              <w:rPr>
                <w:rFonts w:cs="Arial"/>
                <w:sz w:val="22"/>
                <w:szCs w:val="22"/>
              </w:rPr>
              <w:t>1</w:t>
            </w:r>
          </w:p>
        </w:tc>
      </w:tr>
      <w:tr w:rsidR="00245255" w:rsidTr="00926A06" w14:paraId="60F018C1" w14:textId="77777777">
        <w:tc>
          <w:tcPr>
            <w:tcW w:w="2240" w:type="pct"/>
            <w:vAlign w:val="center"/>
          </w:tcPr>
          <w:p w:rsidRPr="001E278D" w:rsidR="00245255" w:rsidP="00245255" w:rsidRDefault="00245255" w14:paraId="010A33A3" w14:textId="77777777">
            <w:pPr>
              <w:rPr>
                <w:rFonts w:cs="Arial"/>
                <w:sz w:val="22"/>
                <w:szCs w:val="22"/>
              </w:rPr>
            </w:pPr>
            <w:r w:rsidRPr="001E278D">
              <w:rPr>
                <w:rFonts w:cs="Arial"/>
                <w:sz w:val="22"/>
                <w:szCs w:val="22"/>
              </w:rPr>
              <w:t>Small reactor</w:t>
            </w:r>
          </w:p>
        </w:tc>
        <w:tc>
          <w:tcPr>
            <w:tcW w:w="2760" w:type="pct"/>
            <w:vAlign w:val="center"/>
          </w:tcPr>
          <w:p w:rsidRPr="001E278D" w:rsidR="00245255" w:rsidP="00245255" w:rsidRDefault="00245255" w14:paraId="7F6BAD9B" w14:textId="2C6DC56D">
            <w:pPr>
              <w:jc w:val="center"/>
              <w:rPr>
                <w:rFonts w:cs="Arial"/>
                <w:sz w:val="22"/>
                <w:szCs w:val="22"/>
              </w:rPr>
            </w:pPr>
            <w:r w:rsidRPr="001E278D">
              <w:rPr>
                <w:rFonts w:cs="Arial"/>
                <w:sz w:val="22"/>
                <w:szCs w:val="22"/>
              </w:rPr>
              <w:t>0.01</w:t>
            </w:r>
          </w:p>
        </w:tc>
      </w:tr>
      <w:tr w:rsidR="00245255" w:rsidTr="00926A06" w14:paraId="2E95008E" w14:textId="77777777">
        <w:tc>
          <w:tcPr>
            <w:tcW w:w="2240" w:type="pct"/>
            <w:vAlign w:val="center"/>
          </w:tcPr>
          <w:p w:rsidRPr="001E278D" w:rsidR="00245255" w:rsidP="00245255" w:rsidRDefault="00245255" w14:paraId="75F29CD2" w14:textId="77777777">
            <w:pPr>
              <w:rPr>
                <w:rFonts w:cs="Arial"/>
                <w:sz w:val="22"/>
                <w:szCs w:val="22"/>
              </w:rPr>
            </w:pPr>
            <w:r w:rsidRPr="001E278D">
              <w:rPr>
                <w:rFonts w:cs="Arial"/>
                <w:sz w:val="22"/>
                <w:szCs w:val="22"/>
              </w:rPr>
              <w:t>Medium reactor</w:t>
            </w:r>
          </w:p>
        </w:tc>
        <w:tc>
          <w:tcPr>
            <w:tcW w:w="2760" w:type="pct"/>
            <w:vAlign w:val="center"/>
          </w:tcPr>
          <w:p w:rsidRPr="001E278D" w:rsidR="00245255" w:rsidP="00245255" w:rsidRDefault="00245255" w14:paraId="77771607" w14:textId="0A3BAEC2">
            <w:pPr>
              <w:jc w:val="center"/>
              <w:rPr>
                <w:rFonts w:cs="Arial"/>
                <w:sz w:val="22"/>
                <w:szCs w:val="22"/>
              </w:rPr>
            </w:pPr>
            <w:r w:rsidRPr="001E278D">
              <w:rPr>
                <w:rFonts w:cs="Arial"/>
                <w:sz w:val="22"/>
                <w:szCs w:val="22"/>
              </w:rPr>
              <w:t>0.02</w:t>
            </w:r>
          </w:p>
        </w:tc>
      </w:tr>
      <w:tr w:rsidR="00245255" w:rsidTr="00926A06" w14:paraId="2CA477A6" w14:textId="77777777">
        <w:tc>
          <w:tcPr>
            <w:tcW w:w="2240" w:type="pct"/>
            <w:vAlign w:val="center"/>
          </w:tcPr>
          <w:p w:rsidRPr="001E278D" w:rsidR="00245255" w:rsidP="00245255" w:rsidRDefault="00245255" w14:paraId="254324B9" w14:textId="77777777">
            <w:pPr>
              <w:rPr>
                <w:rFonts w:cs="Arial"/>
                <w:sz w:val="22"/>
                <w:szCs w:val="22"/>
              </w:rPr>
            </w:pPr>
            <w:r w:rsidRPr="001E278D">
              <w:rPr>
                <w:rFonts w:cs="Arial"/>
                <w:sz w:val="22"/>
                <w:szCs w:val="22"/>
              </w:rPr>
              <w:t>Large reactor</w:t>
            </w:r>
          </w:p>
        </w:tc>
        <w:tc>
          <w:tcPr>
            <w:tcW w:w="2760" w:type="pct"/>
            <w:vAlign w:val="center"/>
          </w:tcPr>
          <w:p w:rsidRPr="001E278D" w:rsidR="00245255" w:rsidP="00245255" w:rsidRDefault="00245255" w14:paraId="1BE49E95" w14:textId="7357C55E">
            <w:pPr>
              <w:jc w:val="center"/>
              <w:rPr>
                <w:rFonts w:cs="Arial"/>
                <w:sz w:val="22"/>
                <w:szCs w:val="22"/>
              </w:rPr>
            </w:pPr>
            <w:r w:rsidRPr="001E278D">
              <w:rPr>
                <w:rFonts w:cs="Arial"/>
                <w:sz w:val="22"/>
                <w:szCs w:val="22"/>
              </w:rPr>
              <w:t>0.</w:t>
            </w:r>
            <w:r w:rsidRPr="001E278D" w:rsidR="00A163AD">
              <w:rPr>
                <w:rFonts w:cs="Arial"/>
                <w:sz w:val="22"/>
                <w:szCs w:val="22"/>
              </w:rPr>
              <w:t>09</w:t>
            </w:r>
          </w:p>
        </w:tc>
      </w:tr>
      <w:tr w:rsidR="00245255" w:rsidTr="00926A06" w14:paraId="7FB772CB" w14:textId="77777777">
        <w:tc>
          <w:tcPr>
            <w:tcW w:w="2240" w:type="pct"/>
            <w:shd w:val="clear" w:color="auto" w:fill="auto"/>
            <w:vAlign w:val="center"/>
          </w:tcPr>
          <w:p w:rsidRPr="000F42EC" w:rsidR="00245255" w:rsidP="00245255" w:rsidRDefault="001462EE" w14:paraId="3C8ED3A7" w14:textId="1CE7F112">
            <w:pPr>
              <w:rPr>
                <w:rFonts w:cs="Arial"/>
                <w:sz w:val="22"/>
                <w:szCs w:val="22"/>
              </w:rPr>
            </w:pPr>
            <w:r w:rsidRPr="000F42EC">
              <w:rPr>
                <w:rFonts w:cs="Arial"/>
                <w:sz w:val="22"/>
                <w:szCs w:val="22"/>
              </w:rPr>
              <w:t>Category I s</w:t>
            </w:r>
            <w:r w:rsidRPr="000F42EC" w:rsidR="004F4B95">
              <w:rPr>
                <w:rFonts w:cs="Arial"/>
                <w:sz w:val="22"/>
                <w:szCs w:val="22"/>
              </w:rPr>
              <w:t>pecial nuclear material licensee</w:t>
            </w:r>
            <w:r w:rsidRPr="000F42EC" w:rsidR="00BC6388">
              <w:rPr>
                <w:rFonts w:cs="Arial"/>
                <w:sz w:val="22"/>
                <w:szCs w:val="22"/>
              </w:rPr>
              <w:t xml:space="preserve"> facility</w:t>
            </w:r>
          </w:p>
        </w:tc>
        <w:tc>
          <w:tcPr>
            <w:tcW w:w="2760" w:type="pct"/>
            <w:vAlign w:val="center"/>
          </w:tcPr>
          <w:p w:rsidRPr="001E278D" w:rsidR="00245255" w:rsidP="00245255" w:rsidRDefault="00245255" w14:paraId="4E5A77EC" w14:textId="093B8A6F">
            <w:pPr>
              <w:jc w:val="center"/>
              <w:rPr>
                <w:rFonts w:cs="Arial"/>
                <w:sz w:val="22"/>
                <w:szCs w:val="22"/>
              </w:rPr>
            </w:pPr>
            <w:r w:rsidRPr="001E278D">
              <w:rPr>
                <w:rFonts w:cs="Arial"/>
                <w:sz w:val="22"/>
                <w:szCs w:val="22"/>
              </w:rPr>
              <w:t>0.</w:t>
            </w:r>
            <w:r w:rsidRPr="001E278D" w:rsidR="00A163AD">
              <w:rPr>
                <w:rFonts w:cs="Arial"/>
                <w:sz w:val="22"/>
                <w:szCs w:val="22"/>
              </w:rPr>
              <w:t>09</w:t>
            </w:r>
          </w:p>
        </w:tc>
      </w:tr>
    </w:tbl>
    <w:p w:rsidRPr="0037712A" w:rsidR="00501931" w:rsidP="00D520BD" w:rsidRDefault="00501931" w14:paraId="24AAB898" w14:textId="18790B85">
      <w:pPr>
        <w:tabs>
          <w:tab w:val="left" w:pos="720"/>
        </w:tabs>
        <w:rPr>
          <w:sz w:val="22"/>
          <w:szCs w:val="22"/>
        </w:rPr>
      </w:pPr>
    </w:p>
    <w:p w:rsidR="00C66EF8" w:rsidP="00D520BD" w:rsidRDefault="00D520BD" w14:paraId="0988A820" w14:textId="3AB4369B">
      <w:pPr>
        <w:pStyle w:val="Heading3"/>
      </w:pPr>
      <w:bookmarkStart w:name="_Toc72840032" w:id="171"/>
      <w:bookmarkStart w:name="_Toc105681505" w:id="172"/>
      <w:bookmarkStart w:name="_Toc460412614" w:id="173"/>
      <w:r>
        <w:t>5</w:t>
      </w:r>
      <w:r w:rsidRPr="005A5966">
        <w:t>.1.5</w:t>
      </w:r>
      <w:r w:rsidR="003314EE">
        <w:tab/>
      </w:r>
      <w:r w:rsidR="00F02D52">
        <w:t>Expand the Initial and Confirmatory Drug Testin</w:t>
      </w:r>
      <w:r w:rsidR="00B81114">
        <w:t>g</w:t>
      </w:r>
      <w:r w:rsidR="00F02D52">
        <w:t xml:space="preserve"> Pane</w:t>
      </w:r>
      <w:r w:rsidR="004748D0">
        <w:t xml:space="preserve">ls to Include </w:t>
      </w:r>
      <w:r w:rsidR="0012665F">
        <w:t>Four</w:t>
      </w:r>
      <w:r w:rsidR="004748D0">
        <w:t xml:space="preserve"> Opio</w:t>
      </w:r>
      <w:r w:rsidR="00B705FF">
        <w:t>i</w:t>
      </w:r>
      <w:r w:rsidR="004748D0">
        <w:t>ds</w:t>
      </w:r>
      <w:bookmarkEnd w:id="171"/>
      <w:bookmarkEnd w:id="172"/>
    </w:p>
    <w:p w:rsidRPr="00C512AD" w:rsidR="00C66EF8" w:rsidP="00C512AD" w:rsidRDefault="00C66EF8" w14:paraId="41F5BDFB" w14:textId="77777777">
      <w:pPr>
        <w:keepNext/>
        <w:keepLines/>
        <w:rPr>
          <w:sz w:val="22"/>
        </w:rPr>
      </w:pPr>
    </w:p>
    <w:p w:rsidR="00C560D5" w:rsidP="00C560D5" w:rsidRDefault="00B705FF" w14:paraId="73A7BB00" w14:textId="2800C126">
      <w:pPr>
        <w:rPr>
          <w:sz w:val="22"/>
          <w:szCs w:val="22"/>
        </w:rPr>
      </w:pPr>
      <w:r>
        <w:rPr>
          <w:sz w:val="22"/>
          <w:szCs w:val="22"/>
        </w:rPr>
        <w:t>Licensees will incur cost</w:t>
      </w:r>
      <w:r w:rsidR="00C633AE">
        <w:rPr>
          <w:sz w:val="22"/>
          <w:szCs w:val="22"/>
        </w:rPr>
        <w:t>s</w:t>
      </w:r>
      <w:r w:rsidR="00C560D5">
        <w:rPr>
          <w:sz w:val="22"/>
          <w:szCs w:val="22"/>
        </w:rPr>
        <w:t xml:space="preserve"> to </w:t>
      </w:r>
      <w:r w:rsidRPr="00C560D5" w:rsidR="00C560D5">
        <w:rPr>
          <w:sz w:val="22"/>
          <w:szCs w:val="22"/>
        </w:rPr>
        <w:t xml:space="preserve">conduct initial </w:t>
      </w:r>
      <w:r w:rsidR="00C66EBA">
        <w:rPr>
          <w:sz w:val="22"/>
          <w:szCs w:val="22"/>
        </w:rPr>
        <w:t xml:space="preserve">and confirmatory </w:t>
      </w:r>
      <w:r w:rsidRPr="00C560D5" w:rsidR="00C560D5">
        <w:rPr>
          <w:sz w:val="22"/>
          <w:szCs w:val="22"/>
        </w:rPr>
        <w:t xml:space="preserve">testing of each urine specimen for </w:t>
      </w:r>
      <w:r w:rsidR="002763DC">
        <w:rPr>
          <w:sz w:val="22"/>
          <w:szCs w:val="22"/>
        </w:rPr>
        <w:t>four opioid pain</w:t>
      </w:r>
      <w:r w:rsidR="00EC436B">
        <w:rPr>
          <w:sz w:val="22"/>
          <w:szCs w:val="22"/>
        </w:rPr>
        <w:t xml:space="preserve"> relievers</w:t>
      </w:r>
      <w:r w:rsidR="000F1598">
        <w:rPr>
          <w:rFonts w:cs="Arial"/>
          <w:sz w:val="22"/>
          <w:szCs w:val="22"/>
        </w:rPr>
        <w:t>—</w:t>
      </w:r>
      <w:r w:rsidR="00A17E76">
        <w:rPr>
          <w:sz w:val="22"/>
          <w:szCs w:val="22"/>
        </w:rPr>
        <w:t>hydrocodone, hydromorphone, oxycodone, and oxymorphone</w:t>
      </w:r>
      <w:r w:rsidR="000F1598">
        <w:rPr>
          <w:rFonts w:cs="Arial"/>
          <w:sz w:val="22"/>
          <w:szCs w:val="22"/>
        </w:rPr>
        <w:t>—</w:t>
      </w:r>
      <w:r w:rsidRPr="00C560D5" w:rsidR="00C560D5">
        <w:rPr>
          <w:sz w:val="22"/>
          <w:szCs w:val="22"/>
        </w:rPr>
        <w:t>and the subsequent actions taken when an individual tests positive (i.e., on the part of the FFD program staff, the MRO, and the donor).  These incremental costs are estimated as follows:</w:t>
      </w:r>
    </w:p>
    <w:p w:rsidRPr="00C560D5" w:rsidR="00C66EBA" w:rsidP="00C560D5" w:rsidRDefault="00C66EBA" w14:paraId="76355B57" w14:textId="77777777">
      <w:pPr>
        <w:rPr>
          <w:sz w:val="22"/>
          <w:szCs w:val="22"/>
        </w:rPr>
      </w:pPr>
    </w:p>
    <w:p w:rsidRPr="00C560D5" w:rsidR="00C560D5" w:rsidP="00AB4FC0" w:rsidRDefault="00C560D5" w14:paraId="04BDE52A" w14:textId="76F112D8">
      <w:pPr>
        <w:pStyle w:val="ListParagraph"/>
        <w:numPr>
          <w:ilvl w:val="0"/>
          <w:numId w:val="15"/>
        </w:numPr>
        <w:tabs>
          <w:tab w:val="left" w:pos="721"/>
        </w:tabs>
        <w:ind w:hanging="720"/>
        <w:rPr>
          <w:sz w:val="22"/>
          <w:szCs w:val="22"/>
        </w:rPr>
      </w:pPr>
      <w:r w:rsidRPr="00C560D5">
        <w:rPr>
          <w:sz w:val="22"/>
          <w:szCs w:val="22"/>
        </w:rPr>
        <w:t>total annual cost to industry</w:t>
      </w:r>
      <w:r w:rsidR="004212C8">
        <w:rPr>
          <w:sz w:val="22"/>
          <w:szCs w:val="22"/>
        </w:rPr>
        <w:t xml:space="preserve"> = </w:t>
      </w:r>
      <w:r w:rsidRPr="00C560D5">
        <w:rPr>
          <w:sz w:val="22"/>
          <w:szCs w:val="22"/>
        </w:rPr>
        <w:t>($</w:t>
      </w:r>
      <w:r w:rsidR="00C2574F">
        <w:rPr>
          <w:sz w:val="22"/>
          <w:szCs w:val="22"/>
        </w:rPr>
        <w:t>156,968</w:t>
      </w:r>
      <w:r w:rsidRPr="00C560D5">
        <w:rPr>
          <w:sz w:val="22"/>
          <w:szCs w:val="22"/>
        </w:rPr>
        <w:t>)</w:t>
      </w:r>
    </w:p>
    <w:p w:rsidRPr="00C560D5" w:rsidR="00C560D5" w:rsidP="00AB4FC0" w:rsidRDefault="00C560D5" w14:paraId="040D40F9" w14:textId="196CD03F">
      <w:pPr>
        <w:pStyle w:val="ListParagraph"/>
        <w:numPr>
          <w:ilvl w:val="0"/>
          <w:numId w:val="15"/>
        </w:numPr>
        <w:tabs>
          <w:tab w:val="left" w:pos="721"/>
        </w:tabs>
        <w:ind w:hanging="720"/>
        <w:rPr>
          <w:sz w:val="22"/>
          <w:szCs w:val="22"/>
        </w:rPr>
      </w:pPr>
      <w:r w:rsidRPr="00C560D5">
        <w:rPr>
          <w:sz w:val="22"/>
          <w:szCs w:val="22"/>
        </w:rPr>
        <w:t>average annual cost per site</w:t>
      </w:r>
      <w:r w:rsidR="004212C8">
        <w:rPr>
          <w:sz w:val="22"/>
          <w:szCs w:val="22"/>
        </w:rPr>
        <w:t xml:space="preserve"> = </w:t>
      </w:r>
      <w:r w:rsidRPr="00C560D5">
        <w:rPr>
          <w:sz w:val="22"/>
          <w:szCs w:val="22"/>
        </w:rPr>
        <w:t>($</w:t>
      </w:r>
      <w:r w:rsidR="00153B59">
        <w:rPr>
          <w:sz w:val="22"/>
          <w:szCs w:val="22"/>
        </w:rPr>
        <w:t>2,</w:t>
      </w:r>
      <w:r w:rsidR="00EB36E3">
        <w:rPr>
          <w:sz w:val="22"/>
          <w:szCs w:val="22"/>
        </w:rPr>
        <w:t>660</w:t>
      </w:r>
      <w:r w:rsidRPr="00C560D5">
        <w:rPr>
          <w:sz w:val="22"/>
          <w:szCs w:val="22"/>
        </w:rPr>
        <w:t>)</w:t>
      </w:r>
    </w:p>
    <w:p w:rsidRPr="00C560D5" w:rsidR="00C560D5" w:rsidP="00C560D5" w:rsidRDefault="00C560D5" w14:paraId="0B82333A" w14:textId="77777777">
      <w:pPr>
        <w:rPr>
          <w:sz w:val="22"/>
          <w:szCs w:val="22"/>
        </w:rPr>
      </w:pPr>
    </w:p>
    <w:p w:rsidR="00B81114" w:rsidP="00C560D5" w:rsidRDefault="00C560D5" w14:paraId="7C421147" w14:textId="039F6D67">
      <w:pPr>
        <w:rPr>
          <w:sz w:val="22"/>
          <w:szCs w:val="22"/>
        </w:rPr>
      </w:pPr>
      <w:r w:rsidRPr="00C560D5">
        <w:rPr>
          <w:sz w:val="22"/>
          <w:szCs w:val="22"/>
        </w:rPr>
        <w:t xml:space="preserve">In making these changes to maintain reasonable assurance of a drug-free workplace, the NRC staff estimates that this regulatory initiative results in an additional </w:t>
      </w:r>
      <w:r w:rsidR="00607F31">
        <w:rPr>
          <w:sz w:val="22"/>
          <w:szCs w:val="22"/>
        </w:rPr>
        <w:t>89</w:t>
      </w:r>
      <w:r w:rsidRPr="00C560D5">
        <w:rPr>
          <w:sz w:val="22"/>
          <w:szCs w:val="22"/>
        </w:rPr>
        <w:t xml:space="preserve"> confirmed positive test </w:t>
      </w:r>
      <w:r w:rsidRPr="00342FFF">
        <w:rPr>
          <w:sz w:val="22"/>
          <w:szCs w:val="22"/>
        </w:rPr>
        <w:t>results per year, as presented in</w:t>
      </w:r>
      <w:r w:rsidRPr="00342FFF" w:rsidR="00342FFF">
        <w:rPr>
          <w:sz w:val="22"/>
          <w:szCs w:val="22"/>
        </w:rPr>
        <w:t xml:space="preserve"> </w:t>
      </w:r>
      <w:r w:rsidRPr="00342FFF" w:rsidR="00342FFF">
        <w:rPr>
          <w:sz w:val="22"/>
          <w:szCs w:val="22"/>
        </w:rPr>
        <w:fldChar w:fldCharType="begin"/>
      </w:r>
      <w:r w:rsidRPr="00342FFF" w:rsidR="00342FFF">
        <w:rPr>
          <w:sz w:val="22"/>
          <w:szCs w:val="22"/>
        </w:rPr>
        <w:instrText xml:space="preserve"> REF _Ref72143482 \h  \* MERGEFORMAT </w:instrText>
      </w:r>
      <w:r w:rsidRPr="00342FFF" w:rsidR="00342FFF">
        <w:rPr>
          <w:sz w:val="22"/>
          <w:szCs w:val="22"/>
        </w:rPr>
      </w:r>
      <w:r w:rsidRPr="00342FFF" w:rsidR="00342FFF">
        <w:rPr>
          <w:sz w:val="22"/>
          <w:szCs w:val="22"/>
        </w:rPr>
        <w:fldChar w:fldCharType="separate"/>
      </w:r>
      <w:r w:rsidRPr="006155B8" w:rsidR="00A6777F">
        <w:rPr>
          <w:sz w:val="22"/>
          <w:szCs w:val="22"/>
        </w:rPr>
        <w:t>Table 5-12</w:t>
      </w:r>
      <w:r w:rsidRPr="00342FFF" w:rsidR="00342FFF">
        <w:rPr>
          <w:sz w:val="22"/>
          <w:szCs w:val="22"/>
        </w:rPr>
        <w:fldChar w:fldCharType="end"/>
      </w:r>
      <w:r w:rsidRPr="00342FFF">
        <w:rPr>
          <w:sz w:val="22"/>
          <w:szCs w:val="22"/>
        </w:rPr>
        <w:t>.  As a result, this change provides additional</w:t>
      </w:r>
      <w:r w:rsidRPr="00C560D5">
        <w:rPr>
          <w:sz w:val="22"/>
          <w:szCs w:val="22"/>
        </w:rPr>
        <w:t xml:space="preserve"> assurance that persons who are using illegal drugs are identified and denied unescorted access authorization than under the current 10 CFR Part 26 framework. </w:t>
      </w:r>
      <w:r w:rsidR="00DF2D81">
        <w:rPr>
          <w:sz w:val="22"/>
          <w:szCs w:val="22"/>
        </w:rPr>
        <w:t xml:space="preserve"> </w:t>
      </w:r>
      <w:r w:rsidRPr="00C560D5">
        <w:rPr>
          <w:sz w:val="22"/>
          <w:szCs w:val="22"/>
        </w:rPr>
        <w:t>Appendices B and C provide additional information on the estimated increase in positive test results.</w:t>
      </w:r>
    </w:p>
    <w:p w:rsidRPr="00625C7E" w:rsidR="00342FFF" w:rsidP="00342FFF" w:rsidRDefault="00342FFF" w14:paraId="168F555B" w14:textId="05A14DE3">
      <w:pPr>
        <w:pStyle w:val="Caption"/>
        <w:jc w:val="center"/>
        <w:rPr>
          <w:b/>
          <w:bCs w:val="0"/>
        </w:rPr>
      </w:pPr>
      <w:bookmarkStart w:name="_Ref72143482" w:id="174"/>
      <w:bookmarkStart w:name="_Toc72490574" w:id="175"/>
      <w:bookmarkStart w:name="_Toc105681571" w:id="176"/>
      <w:r w:rsidRPr="00625C7E">
        <w:rPr>
          <w:b/>
          <w:bCs w:val="0"/>
        </w:rPr>
        <w:lastRenderedPageBreak/>
        <w:t>Table 5-</w:t>
      </w:r>
      <w:r w:rsidRPr="00625C7E">
        <w:rPr>
          <w:b/>
          <w:bCs w:val="0"/>
        </w:rPr>
        <w:fldChar w:fldCharType="begin"/>
      </w:r>
      <w:r w:rsidRPr="00625C7E">
        <w:rPr>
          <w:b/>
          <w:bCs w:val="0"/>
        </w:rPr>
        <w:instrText xml:space="preserve"> SEQ Table \* ARABIC </w:instrText>
      </w:r>
      <w:r w:rsidRPr="00625C7E">
        <w:rPr>
          <w:b/>
          <w:bCs w:val="0"/>
        </w:rPr>
        <w:fldChar w:fldCharType="separate"/>
      </w:r>
      <w:r w:rsidR="00A6777F">
        <w:rPr>
          <w:b/>
          <w:bCs w:val="0"/>
          <w:noProof/>
        </w:rPr>
        <w:t>12</w:t>
      </w:r>
      <w:r w:rsidRPr="00625C7E">
        <w:rPr>
          <w:b/>
          <w:bCs w:val="0"/>
        </w:rPr>
        <w:fldChar w:fldCharType="end"/>
      </w:r>
      <w:bookmarkEnd w:id="174"/>
      <w:r>
        <w:rPr>
          <w:b/>
          <w:bCs w:val="0"/>
        </w:rPr>
        <w:t xml:space="preserve">  </w:t>
      </w:r>
      <w:r w:rsidR="00E50FB3">
        <w:rPr>
          <w:b/>
          <w:bCs w:val="0"/>
        </w:rPr>
        <w:t>Projected</w:t>
      </w:r>
      <w:r>
        <w:rPr>
          <w:b/>
          <w:bCs w:val="0"/>
        </w:rPr>
        <w:t xml:space="preserve"> Positive Results from Expanded </w:t>
      </w:r>
      <w:r w:rsidR="006838B4">
        <w:rPr>
          <w:b/>
          <w:bCs w:val="0"/>
        </w:rPr>
        <w:t xml:space="preserve">Opioid </w:t>
      </w:r>
      <w:r>
        <w:rPr>
          <w:b/>
          <w:bCs w:val="0"/>
        </w:rPr>
        <w:t>Drug Testing Panel (Estimated Total for All Sites)</w:t>
      </w:r>
      <w:bookmarkEnd w:id="175"/>
      <w:bookmarkEnd w:id="176"/>
    </w:p>
    <w:tbl>
      <w:tblPr>
        <w:tblW w:w="9360" w:type="dxa"/>
        <w:jc w:val="center"/>
        <w:tblLook w:val="04A0" w:firstRow="1" w:lastRow="0" w:firstColumn="1" w:lastColumn="0" w:noHBand="0" w:noVBand="1"/>
      </w:tblPr>
      <w:tblGrid>
        <w:gridCol w:w="4675"/>
        <w:gridCol w:w="4685"/>
      </w:tblGrid>
      <w:tr w:rsidRPr="005A5966" w:rsidR="00342FFF" w:rsidTr="00B101DA" w14:paraId="15916F5A" w14:textId="77777777">
        <w:trPr>
          <w:trHeight w:val="557"/>
          <w:jc w:val="center"/>
        </w:trPr>
        <w:tc>
          <w:tcPr>
            <w:tcW w:w="4675"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hideMark/>
          </w:tcPr>
          <w:p w:rsidRPr="001E278D" w:rsidR="00342FFF" w:rsidP="002513D0" w:rsidRDefault="00342FFF" w14:paraId="13CA3849" w14:textId="77777777">
            <w:pPr>
              <w:keepNext/>
              <w:jc w:val="center"/>
              <w:rPr>
                <w:rFonts w:cs="Arial"/>
                <w:b/>
                <w:bCs/>
                <w:sz w:val="22"/>
                <w:szCs w:val="22"/>
              </w:rPr>
            </w:pPr>
            <w:r w:rsidRPr="001E278D">
              <w:rPr>
                <w:rFonts w:cs="Arial"/>
                <w:b/>
                <w:bCs/>
                <w:sz w:val="22"/>
                <w:szCs w:val="22"/>
              </w:rPr>
              <w:t>Substance</w:t>
            </w:r>
          </w:p>
        </w:tc>
        <w:tc>
          <w:tcPr>
            <w:tcW w:w="4685" w:type="dxa"/>
            <w:tcBorders>
              <w:top w:val="single" w:color="auto" w:sz="4" w:space="0"/>
              <w:left w:val="single" w:color="auto" w:sz="4" w:space="0"/>
              <w:bottom w:val="single" w:color="auto" w:sz="4" w:space="0"/>
              <w:right w:val="single" w:color="auto" w:sz="4" w:space="0"/>
            </w:tcBorders>
            <w:shd w:val="clear" w:color="000000" w:fill="FFFFFF" w:themeFill="background1"/>
            <w:vAlign w:val="center"/>
            <w:hideMark/>
          </w:tcPr>
          <w:p w:rsidRPr="001E278D" w:rsidR="00342FFF" w:rsidP="002513D0" w:rsidRDefault="00DB4D57" w14:paraId="4FDE1326" w14:textId="6521CDE3">
            <w:pPr>
              <w:keepNext/>
              <w:jc w:val="center"/>
              <w:rPr>
                <w:rFonts w:cs="Arial"/>
                <w:b/>
                <w:bCs/>
                <w:sz w:val="22"/>
                <w:szCs w:val="22"/>
              </w:rPr>
            </w:pPr>
            <w:r>
              <w:rPr>
                <w:rFonts w:cs="Arial"/>
                <w:b/>
                <w:bCs/>
                <w:sz w:val="22"/>
                <w:szCs w:val="22"/>
              </w:rPr>
              <w:t xml:space="preserve">Projected </w:t>
            </w:r>
            <w:r w:rsidRPr="001E278D" w:rsidR="00342FFF">
              <w:rPr>
                <w:rFonts w:cs="Arial"/>
                <w:b/>
                <w:bCs/>
                <w:sz w:val="22"/>
                <w:szCs w:val="22"/>
              </w:rPr>
              <w:t>Number of Confirmed Positive Test Results per Year</w:t>
            </w:r>
          </w:p>
        </w:tc>
      </w:tr>
      <w:tr w:rsidRPr="005A5966" w:rsidR="00342FFF" w:rsidTr="00B101DA" w14:paraId="0C7697E8" w14:textId="77777777">
        <w:trPr>
          <w:trHeight w:val="377"/>
          <w:jc w:val="center"/>
        </w:trPr>
        <w:tc>
          <w:tcPr>
            <w:tcW w:w="4675" w:type="dxa"/>
            <w:tcBorders>
              <w:top w:val="single" w:color="auto" w:sz="4" w:space="0"/>
              <w:left w:val="single" w:color="auto" w:sz="4" w:space="0"/>
              <w:bottom w:val="single" w:color="auto" w:sz="4" w:space="0"/>
              <w:right w:val="single" w:color="auto" w:sz="4" w:space="0"/>
            </w:tcBorders>
            <w:shd w:val="clear" w:color="000000" w:fill="FFFFFF"/>
            <w:vAlign w:val="center"/>
            <w:hideMark/>
          </w:tcPr>
          <w:p w:rsidRPr="001E278D" w:rsidR="00342FFF" w:rsidP="009E2CA3" w:rsidRDefault="009E2CA3" w14:paraId="07697B4F" w14:textId="385068C4">
            <w:pPr>
              <w:keepNext/>
              <w:rPr>
                <w:sz w:val="22"/>
                <w:szCs w:val="22"/>
              </w:rPr>
            </w:pPr>
            <w:r w:rsidRPr="001E278D">
              <w:rPr>
                <w:sz w:val="22"/>
                <w:szCs w:val="22"/>
              </w:rPr>
              <w:t>Opioid</w:t>
            </w:r>
            <w:r w:rsidR="00E30E4B">
              <w:rPr>
                <w:sz w:val="22"/>
                <w:szCs w:val="22"/>
              </w:rPr>
              <w:t xml:space="preserve"> drugs (</w:t>
            </w:r>
            <w:r w:rsidR="00DF2D81">
              <w:rPr>
                <w:sz w:val="22"/>
                <w:szCs w:val="22"/>
              </w:rPr>
              <w:t>h</w:t>
            </w:r>
            <w:r w:rsidRPr="001E278D">
              <w:rPr>
                <w:sz w:val="22"/>
                <w:szCs w:val="22"/>
              </w:rPr>
              <w:t>ydrocodone</w:t>
            </w:r>
            <w:r w:rsidR="00E30E4B">
              <w:rPr>
                <w:sz w:val="22"/>
                <w:szCs w:val="22"/>
              </w:rPr>
              <w:t>,</w:t>
            </w:r>
            <w:r w:rsidRPr="001E278D">
              <w:rPr>
                <w:sz w:val="22"/>
                <w:szCs w:val="22"/>
              </w:rPr>
              <w:t xml:space="preserve"> </w:t>
            </w:r>
            <w:r w:rsidR="00DF2D81">
              <w:rPr>
                <w:sz w:val="22"/>
                <w:szCs w:val="22"/>
              </w:rPr>
              <w:t>h</w:t>
            </w:r>
            <w:r w:rsidRPr="001E278D">
              <w:rPr>
                <w:sz w:val="22"/>
                <w:szCs w:val="22"/>
              </w:rPr>
              <w:t>ydromorphone</w:t>
            </w:r>
            <w:r w:rsidR="00E30E4B">
              <w:rPr>
                <w:sz w:val="22"/>
                <w:szCs w:val="22"/>
              </w:rPr>
              <w:t>,</w:t>
            </w:r>
            <w:r w:rsidRPr="001E278D">
              <w:rPr>
                <w:sz w:val="22"/>
                <w:szCs w:val="22"/>
              </w:rPr>
              <w:t xml:space="preserve"> </w:t>
            </w:r>
            <w:r w:rsidR="00DF2D81">
              <w:rPr>
                <w:sz w:val="22"/>
                <w:szCs w:val="22"/>
              </w:rPr>
              <w:t>o</w:t>
            </w:r>
            <w:r w:rsidRPr="001E278D">
              <w:rPr>
                <w:sz w:val="22"/>
                <w:szCs w:val="22"/>
              </w:rPr>
              <w:t>xycodone</w:t>
            </w:r>
            <w:r w:rsidR="00E30E4B">
              <w:rPr>
                <w:sz w:val="22"/>
                <w:szCs w:val="22"/>
              </w:rPr>
              <w:t>,</w:t>
            </w:r>
            <w:r w:rsidRPr="001E278D">
              <w:rPr>
                <w:sz w:val="22"/>
                <w:szCs w:val="22"/>
              </w:rPr>
              <w:t xml:space="preserve"> </w:t>
            </w:r>
            <w:r w:rsidR="00DF2D81">
              <w:rPr>
                <w:sz w:val="22"/>
                <w:szCs w:val="22"/>
              </w:rPr>
              <w:t>o</w:t>
            </w:r>
            <w:r w:rsidRPr="001E278D">
              <w:rPr>
                <w:sz w:val="22"/>
                <w:szCs w:val="22"/>
              </w:rPr>
              <w:t>xymorphone</w:t>
            </w:r>
            <w:r w:rsidR="00E30E4B">
              <w:rPr>
                <w:sz w:val="22"/>
                <w:szCs w:val="22"/>
              </w:rPr>
              <w:t>)</w:t>
            </w:r>
          </w:p>
        </w:tc>
        <w:tc>
          <w:tcPr>
            <w:tcW w:w="4685" w:type="dxa"/>
            <w:tcBorders>
              <w:top w:val="single" w:color="auto" w:sz="4" w:space="0"/>
              <w:left w:val="nil"/>
              <w:bottom w:val="single" w:color="auto" w:sz="4" w:space="0"/>
              <w:right w:val="single" w:color="auto" w:sz="4" w:space="0"/>
            </w:tcBorders>
            <w:shd w:val="clear" w:color="auto" w:fill="auto"/>
            <w:vAlign w:val="center"/>
            <w:hideMark/>
          </w:tcPr>
          <w:p w:rsidRPr="001E278D" w:rsidR="00342FFF" w:rsidP="002513D0" w:rsidRDefault="00123937" w14:paraId="74AC2E3C" w14:textId="659214AC">
            <w:pPr>
              <w:keepNext/>
              <w:jc w:val="center"/>
              <w:rPr>
                <w:sz w:val="22"/>
                <w:szCs w:val="22"/>
                <w:highlight w:val="yellow"/>
              </w:rPr>
            </w:pPr>
            <w:r w:rsidRPr="001E278D">
              <w:rPr>
                <w:sz w:val="22"/>
                <w:szCs w:val="22"/>
              </w:rPr>
              <w:t>89</w:t>
            </w:r>
          </w:p>
        </w:tc>
      </w:tr>
    </w:tbl>
    <w:p w:rsidR="00342FFF" w:rsidP="00342FFF" w:rsidRDefault="00342FFF" w14:paraId="3CAE462B" w14:textId="77777777">
      <w:pPr>
        <w:tabs>
          <w:tab w:val="left" w:pos="720"/>
        </w:tabs>
        <w:rPr>
          <w:sz w:val="22"/>
          <w:szCs w:val="22"/>
        </w:rPr>
      </w:pPr>
    </w:p>
    <w:p w:rsidRPr="00CC4875" w:rsidR="00342FFF" w:rsidP="00342FFF" w:rsidRDefault="00342FFF" w14:paraId="04C6C3E1" w14:textId="27642822">
      <w:pPr>
        <w:tabs>
          <w:tab w:val="left" w:pos="721"/>
        </w:tabs>
        <w:rPr>
          <w:sz w:val="22"/>
          <w:szCs w:val="22"/>
        </w:rPr>
      </w:pPr>
      <w:r w:rsidRPr="005F3921">
        <w:rPr>
          <w:b/>
          <w:bCs/>
          <w:i/>
          <w:iCs/>
          <w:sz w:val="22"/>
          <w:szCs w:val="22"/>
        </w:rPr>
        <w:t>Future Nuclear Facilities</w:t>
      </w:r>
      <w:r>
        <w:rPr>
          <w:sz w:val="22"/>
          <w:szCs w:val="22"/>
        </w:rPr>
        <w:t xml:space="preserve">:  The NRC staff estimates the number of additional confirmed </w:t>
      </w:r>
      <w:r w:rsidR="00C564D1">
        <w:rPr>
          <w:sz w:val="22"/>
          <w:szCs w:val="22"/>
        </w:rPr>
        <w:t>opioid</w:t>
      </w:r>
      <w:r>
        <w:rPr>
          <w:sz w:val="22"/>
          <w:szCs w:val="22"/>
        </w:rPr>
        <w:t xml:space="preserve"> positive results for each future nuclear facility site testing by multiplying the expected number of tests performed by these facilities </w:t>
      </w:r>
      <w:r w:rsidR="00B76B73">
        <w:rPr>
          <w:sz w:val="22"/>
          <w:szCs w:val="22"/>
        </w:rPr>
        <w:t xml:space="preserve">by </w:t>
      </w:r>
      <w:r>
        <w:rPr>
          <w:sz w:val="22"/>
          <w:szCs w:val="22"/>
        </w:rPr>
        <w:t xml:space="preserve">the </w:t>
      </w:r>
      <w:r w:rsidRPr="005A7A95">
        <w:rPr>
          <w:sz w:val="22"/>
          <w:szCs w:val="22"/>
        </w:rPr>
        <w:t xml:space="preserve">average positive test rate </w:t>
      </w:r>
      <w:r>
        <w:rPr>
          <w:sz w:val="22"/>
          <w:szCs w:val="22"/>
        </w:rPr>
        <w:t xml:space="preserve">for </w:t>
      </w:r>
      <w:r w:rsidR="00B6682A">
        <w:rPr>
          <w:sz w:val="22"/>
          <w:szCs w:val="22"/>
        </w:rPr>
        <w:t>opioids</w:t>
      </w:r>
      <w:r>
        <w:rPr>
          <w:sz w:val="22"/>
          <w:szCs w:val="22"/>
        </w:rPr>
        <w:t xml:space="preserve"> at existing facilities.  </w:t>
      </w:r>
      <w:r w:rsidRPr="00CC4875" w:rsidR="00CC4875">
        <w:rPr>
          <w:sz w:val="22"/>
          <w:szCs w:val="22"/>
        </w:rPr>
        <w:fldChar w:fldCharType="begin"/>
      </w:r>
      <w:r w:rsidRPr="00CC4875" w:rsidR="00CC4875">
        <w:rPr>
          <w:sz w:val="22"/>
          <w:szCs w:val="22"/>
        </w:rPr>
        <w:instrText xml:space="preserve"> REF _Ref72143653 \h  \* MERGEFORMAT </w:instrText>
      </w:r>
      <w:r w:rsidRPr="00CC4875" w:rsidR="00CC4875">
        <w:rPr>
          <w:sz w:val="22"/>
          <w:szCs w:val="22"/>
        </w:rPr>
      </w:r>
      <w:r w:rsidRPr="00CC4875" w:rsidR="00CC4875">
        <w:rPr>
          <w:sz w:val="22"/>
          <w:szCs w:val="22"/>
        </w:rPr>
        <w:fldChar w:fldCharType="separate"/>
      </w:r>
      <w:r w:rsidRPr="006155B8" w:rsidR="00A6777F">
        <w:rPr>
          <w:sz w:val="22"/>
          <w:szCs w:val="22"/>
        </w:rPr>
        <w:t>Table 5-13</w:t>
      </w:r>
      <w:r w:rsidRPr="00CC4875" w:rsidR="00CC4875">
        <w:rPr>
          <w:sz w:val="22"/>
          <w:szCs w:val="22"/>
        </w:rPr>
        <w:fldChar w:fldCharType="end"/>
      </w:r>
      <w:r w:rsidR="00F8667A">
        <w:rPr>
          <w:sz w:val="22"/>
          <w:szCs w:val="22"/>
        </w:rPr>
        <w:t xml:space="preserve"> presents the</w:t>
      </w:r>
      <w:r>
        <w:rPr>
          <w:sz w:val="22"/>
          <w:szCs w:val="22"/>
        </w:rPr>
        <w:t xml:space="preserve"> projected number of </w:t>
      </w:r>
      <w:r w:rsidRPr="003C0E8A">
        <w:rPr>
          <w:sz w:val="22"/>
          <w:szCs w:val="22"/>
        </w:rPr>
        <w:t>confirmed positive test results by facility type</w:t>
      </w:r>
      <w:r w:rsidR="00F8667A">
        <w:rPr>
          <w:sz w:val="22"/>
          <w:szCs w:val="22"/>
        </w:rPr>
        <w:t>.</w:t>
      </w:r>
    </w:p>
    <w:p w:rsidR="00342FFF" w:rsidP="00342FFF" w:rsidRDefault="00342FFF" w14:paraId="58554390" w14:textId="77777777">
      <w:pPr>
        <w:tabs>
          <w:tab w:val="left" w:pos="720"/>
        </w:tabs>
        <w:rPr>
          <w:sz w:val="22"/>
          <w:szCs w:val="22"/>
        </w:rPr>
      </w:pPr>
    </w:p>
    <w:p w:rsidR="00342FFF" w:rsidP="00342FFF" w:rsidRDefault="00342FFF" w14:paraId="5A0DC753" w14:textId="637BFFC6">
      <w:pPr>
        <w:pStyle w:val="Caption"/>
        <w:jc w:val="center"/>
      </w:pPr>
      <w:bookmarkStart w:name="_Ref72143653" w:id="177"/>
      <w:bookmarkStart w:name="_Toc72490575" w:id="178"/>
      <w:bookmarkStart w:name="_Toc105681572" w:id="179"/>
      <w:r w:rsidRPr="00C468CE">
        <w:rPr>
          <w:b/>
          <w:bCs w:val="0"/>
        </w:rPr>
        <w:t>Table 5-</w:t>
      </w:r>
      <w:r w:rsidRPr="00C468CE">
        <w:rPr>
          <w:b/>
          <w:bCs w:val="0"/>
        </w:rPr>
        <w:fldChar w:fldCharType="begin"/>
      </w:r>
      <w:r w:rsidRPr="00C468CE">
        <w:rPr>
          <w:b/>
          <w:bCs w:val="0"/>
        </w:rPr>
        <w:instrText xml:space="preserve"> SEQ Table \* ARABIC </w:instrText>
      </w:r>
      <w:r w:rsidRPr="00C468CE">
        <w:rPr>
          <w:b/>
          <w:bCs w:val="0"/>
        </w:rPr>
        <w:fldChar w:fldCharType="separate"/>
      </w:r>
      <w:r w:rsidR="00A6777F">
        <w:rPr>
          <w:b/>
          <w:bCs w:val="0"/>
          <w:noProof/>
        </w:rPr>
        <w:t>13</w:t>
      </w:r>
      <w:r w:rsidRPr="00C468CE">
        <w:rPr>
          <w:b/>
          <w:bCs w:val="0"/>
        </w:rPr>
        <w:fldChar w:fldCharType="end"/>
      </w:r>
      <w:bookmarkEnd w:id="177"/>
      <w:r w:rsidRPr="00C468CE">
        <w:rPr>
          <w:b/>
          <w:bCs w:val="0"/>
        </w:rPr>
        <w:t xml:space="preserve">  </w:t>
      </w:r>
      <w:r w:rsidR="00CC4875">
        <w:rPr>
          <w:b/>
          <w:bCs w:val="0"/>
        </w:rPr>
        <w:t xml:space="preserve">Projected Positive Results from Expanded Opioid Drug Testing Panel </w:t>
      </w:r>
      <w:r w:rsidR="00BC44A5">
        <w:rPr>
          <w:b/>
          <w:bCs w:val="0"/>
        </w:rPr>
        <w:br/>
      </w:r>
      <w:r w:rsidRPr="00C468CE">
        <w:rPr>
          <w:b/>
          <w:bCs w:val="0"/>
        </w:rPr>
        <w:t>by Future</w:t>
      </w:r>
      <w:r w:rsidRPr="00355446">
        <w:rPr>
          <w:b/>
          <w:bCs w:val="0"/>
        </w:rPr>
        <w:t xml:space="preserve"> Nuclear Facilities</w:t>
      </w:r>
      <w:bookmarkEnd w:id="178"/>
      <w:bookmarkEnd w:id="179"/>
    </w:p>
    <w:tbl>
      <w:tblPr>
        <w:tblStyle w:val="TableGrid"/>
        <w:tblW w:w="0" w:type="auto"/>
        <w:tblLook w:val="04A0" w:firstRow="1" w:lastRow="0" w:firstColumn="1" w:lastColumn="0" w:noHBand="0" w:noVBand="1"/>
      </w:tblPr>
      <w:tblGrid>
        <w:gridCol w:w="3865"/>
        <w:gridCol w:w="5485"/>
      </w:tblGrid>
      <w:tr w:rsidR="00342FFF" w:rsidTr="006210F9" w14:paraId="0D42A33F" w14:textId="77777777">
        <w:trPr>
          <w:trHeight w:val="548"/>
        </w:trPr>
        <w:tc>
          <w:tcPr>
            <w:tcW w:w="3865" w:type="dxa"/>
            <w:vAlign w:val="center"/>
          </w:tcPr>
          <w:p w:rsidRPr="001155FB" w:rsidR="00342FFF" w:rsidP="002513D0" w:rsidRDefault="00342FFF" w14:paraId="5DA49716" w14:textId="77777777">
            <w:pPr>
              <w:rPr>
                <w:rFonts w:cs="Arial"/>
                <w:sz w:val="22"/>
                <w:szCs w:val="22"/>
              </w:rPr>
            </w:pPr>
            <w:r w:rsidRPr="001155FB">
              <w:rPr>
                <w:rFonts w:cs="Arial"/>
                <w:b/>
                <w:bCs/>
                <w:sz w:val="22"/>
                <w:szCs w:val="22"/>
              </w:rPr>
              <w:t>Facility Type</w:t>
            </w:r>
          </w:p>
        </w:tc>
        <w:tc>
          <w:tcPr>
            <w:tcW w:w="5485" w:type="dxa"/>
          </w:tcPr>
          <w:p w:rsidRPr="001155FB" w:rsidR="00342FFF" w:rsidP="001155FB" w:rsidRDefault="00342FFF" w14:paraId="0E452254" w14:textId="24162E51">
            <w:pPr>
              <w:jc w:val="center"/>
              <w:rPr>
                <w:rFonts w:cs="Arial"/>
                <w:sz w:val="22"/>
                <w:szCs w:val="22"/>
              </w:rPr>
            </w:pPr>
            <w:r w:rsidRPr="001155FB">
              <w:rPr>
                <w:rFonts w:cs="Arial"/>
                <w:b/>
                <w:bCs/>
                <w:sz w:val="22"/>
                <w:szCs w:val="22"/>
              </w:rPr>
              <w:t xml:space="preserve">Projected Number of Additional </w:t>
            </w:r>
            <w:r w:rsidR="00C564D1">
              <w:rPr>
                <w:rFonts w:cs="Arial"/>
                <w:b/>
                <w:bCs/>
                <w:sz w:val="22"/>
                <w:szCs w:val="22"/>
              </w:rPr>
              <w:t>Opioid</w:t>
            </w:r>
            <w:r w:rsidRPr="001155FB">
              <w:rPr>
                <w:rFonts w:cs="Arial"/>
                <w:b/>
                <w:bCs/>
                <w:sz w:val="22"/>
                <w:szCs w:val="22"/>
              </w:rPr>
              <w:t xml:space="preserve"> Confirmed Positive Test Results Annually </w:t>
            </w:r>
            <w:r w:rsidR="006210F9">
              <w:rPr>
                <w:rFonts w:cs="Arial"/>
                <w:b/>
                <w:bCs/>
                <w:sz w:val="22"/>
                <w:szCs w:val="22"/>
              </w:rPr>
              <w:br/>
            </w:r>
            <w:r w:rsidRPr="001155FB">
              <w:rPr>
                <w:rFonts w:cs="Arial"/>
                <w:b/>
                <w:bCs/>
                <w:sz w:val="22"/>
                <w:szCs w:val="22"/>
              </w:rPr>
              <w:t>by Nuclear Facility Type per Site</w:t>
            </w:r>
          </w:p>
        </w:tc>
      </w:tr>
      <w:tr w:rsidR="00342FFF" w:rsidTr="006210F9" w14:paraId="19F7BD89" w14:textId="77777777">
        <w:tc>
          <w:tcPr>
            <w:tcW w:w="3865" w:type="dxa"/>
            <w:vAlign w:val="center"/>
          </w:tcPr>
          <w:p w:rsidRPr="001155FB" w:rsidR="00342FFF" w:rsidP="002513D0" w:rsidRDefault="00342FFF" w14:paraId="507D5A3D" w14:textId="2F6349F1">
            <w:pPr>
              <w:rPr>
                <w:rFonts w:cs="Arial"/>
                <w:sz w:val="22"/>
                <w:szCs w:val="22"/>
              </w:rPr>
            </w:pPr>
            <w:r w:rsidRPr="001155FB">
              <w:rPr>
                <w:rFonts w:cs="Arial"/>
                <w:sz w:val="22"/>
                <w:szCs w:val="22"/>
              </w:rPr>
              <w:t>Microreactor</w:t>
            </w:r>
          </w:p>
        </w:tc>
        <w:tc>
          <w:tcPr>
            <w:tcW w:w="5485" w:type="dxa"/>
            <w:vAlign w:val="center"/>
          </w:tcPr>
          <w:p w:rsidRPr="00B6682A" w:rsidR="00342FFF" w:rsidP="002513D0" w:rsidRDefault="00342FFF" w14:paraId="73FBB265" w14:textId="3D4E7669">
            <w:pPr>
              <w:jc w:val="center"/>
              <w:rPr>
                <w:rFonts w:cs="Arial"/>
                <w:sz w:val="22"/>
                <w:szCs w:val="22"/>
              </w:rPr>
            </w:pPr>
            <w:r w:rsidRPr="00B6682A">
              <w:rPr>
                <w:rFonts w:cs="Arial"/>
                <w:sz w:val="22"/>
                <w:szCs w:val="22"/>
              </w:rPr>
              <w:t>0.</w:t>
            </w:r>
            <w:r w:rsidRPr="00D749C0" w:rsidR="008B6F40">
              <w:rPr>
                <w:sz w:val="22"/>
              </w:rPr>
              <w:t>02</w:t>
            </w:r>
          </w:p>
        </w:tc>
      </w:tr>
      <w:tr w:rsidR="00342FFF" w:rsidTr="006210F9" w14:paraId="4546BE49" w14:textId="77777777">
        <w:tc>
          <w:tcPr>
            <w:tcW w:w="3865" w:type="dxa"/>
            <w:vAlign w:val="center"/>
          </w:tcPr>
          <w:p w:rsidRPr="001155FB" w:rsidR="00342FFF" w:rsidP="002513D0" w:rsidRDefault="00342FFF" w14:paraId="502EF986" w14:textId="77777777">
            <w:pPr>
              <w:rPr>
                <w:rFonts w:cs="Arial"/>
                <w:sz w:val="22"/>
                <w:szCs w:val="22"/>
              </w:rPr>
            </w:pPr>
            <w:r w:rsidRPr="001155FB">
              <w:rPr>
                <w:rFonts w:cs="Arial"/>
                <w:sz w:val="22"/>
                <w:szCs w:val="22"/>
              </w:rPr>
              <w:t>Small reactor</w:t>
            </w:r>
          </w:p>
        </w:tc>
        <w:tc>
          <w:tcPr>
            <w:tcW w:w="5485" w:type="dxa"/>
            <w:vAlign w:val="center"/>
          </w:tcPr>
          <w:p w:rsidRPr="00B6682A" w:rsidR="00342FFF" w:rsidP="002513D0" w:rsidRDefault="00342FFF" w14:paraId="352771D5" w14:textId="6F3E57A7">
            <w:pPr>
              <w:jc w:val="center"/>
              <w:rPr>
                <w:rFonts w:cs="Arial"/>
                <w:sz w:val="22"/>
                <w:szCs w:val="22"/>
              </w:rPr>
            </w:pPr>
            <w:r w:rsidRPr="00B6682A">
              <w:rPr>
                <w:rFonts w:cs="Arial"/>
                <w:sz w:val="22"/>
                <w:szCs w:val="22"/>
              </w:rPr>
              <w:t>0.</w:t>
            </w:r>
            <w:r w:rsidRPr="00351674" w:rsidR="00623BC4">
              <w:rPr>
                <w:sz w:val="22"/>
              </w:rPr>
              <w:t>13</w:t>
            </w:r>
          </w:p>
        </w:tc>
      </w:tr>
      <w:tr w:rsidR="00342FFF" w:rsidTr="006210F9" w14:paraId="7BA7C0C1" w14:textId="77777777">
        <w:tc>
          <w:tcPr>
            <w:tcW w:w="3865" w:type="dxa"/>
            <w:vAlign w:val="center"/>
          </w:tcPr>
          <w:p w:rsidRPr="001155FB" w:rsidR="00342FFF" w:rsidP="002513D0" w:rsidRDefault="00342FFF" w14:paraId="45FEE26B" w14:textId="77777777">
            <w:pPr>
              <w:rPr>
                <w:rFonts w:cs="Arial"/>
                <w:sz w:val="22"/>
                <w:szCs w:val="22"/>
              </w:rPr>
            </w:pPr>
            <w:r w:rsidRPr="001155FB">
              <w:rPr>
                <w:rFonts w:cs="Arial"/>
                <w:sz w:val="22"/>
                <w:szCs w:val="22"/>
              </w:rPr>
              <w:t>Medium reactor</w:t>
            </w:r>
          </w:p>
        </w:tc>
        <w:tc>
          <w:tcPr>
            <w:tcW w:w="5485" w:type="dxa"/>
            <w:vAlign w:val="center"/>
          </w:tcPr>
          <w:p w:rsidRPr="00B6682A" w:rsidR="00342FFF" w:rsidP="002513D0" w:rsidRDefault="00342FFF" w14:paraId="5E40EBED" w14:textId="45B5816D">
            <w:pPr>
              <w:jc w:val="center"/>
              <w:rPr>
                <w:rFonts w:cs="Arial"/>
                <w:sz w:val="22"/>
                <w:szCs w:val="22"/>
              </w:rPr>
            </w:pPr>
            <w:r w:rsidRPr="00B6682A">
              <w:rPr>
                <w:rFonts w:cs="Arial"/>
                <w:sz w:val="22"/>
                <w:szCs w:val="22"/>
              </w:rPr>
              <w:t>0.</w:t>
            </w:r>
            <w:r w:rsidRPr="00351674" w:rsidR="00623BC4">
              <w:rPr>
                <w:sz w:val="22"/>
              </w:rPr>
              <w:t>30</w:t>
            </w:r>
          </w:p>
        </w:tc>
      </w:tr>
      <w:tr w:rsidR="00342FFF" w:rsidTr="006210F9" w14:paraId="6E164692" w14:textId="77777777">
        <w:tc>
          <w:tcPr>
            <w:tcW w:w="3865" w:type="dxa"/>
            <w:vAlign w:val="center"/>
          </w:tcPr>
          <w:p w:rsidRPr="001155FB" w:rsidR="00342FFF" w:rsidP="002513D0" w:rsidRDefault="00342FFF" w14:paraId="6D9AAE43" w14:textId="77777777">
            <w:pPr>
              <w:rPr>
                <w:rFonts w:cs="Arial"/>
                <w:sz w:val="22"/>
                <w:szCs w:val="22"/>
              </w:rPr>
            </w:pPr>
            <w:r w:rsidRPr="001155FB">
              <w:rPr>
                <w:rFonts w:cs="Arial"/>
                <w:sz w:val="22"/>
                <w:szCs w:val="22"/>
              </w:rPr>
              <w:t>Large reactor</w:t>
            </w:r>
          </w:p>
        </w:tc>
        <w:tc>
          <w:tcPr>
            <w:tcW w:w="5485" w:type="dxa"/>
            <w:vAlign w:val="center"/>
          </w:tcPr>
          <w:p w:rsidRPr="00B6682A" w:rsidR="00342FFF" w:rsidP="002513D0" w:rsidRDefault="00623BC4" w14:paraId="621C2DCF" w14:textId="5F3311D4">
            <w:pPr>
              <w:jc w:val="center"/>
              <w:rPr>
                <w:rFonts w:cs="Arial"/>
                <w:sz w:val="22"/>
                <w:szCs w:val="22"/>
              </w:rPr>
            </w:pPr>
            <w:r w:rsidRPr="00351674">
              <w:rPr>
                <w:sz w:val="22"/>
              </w:rPr>
              <w:t>1.51</w:t>
            </w:r>
          </w:p>
        </w:tc>
      </w:tr>
      <w:tr w:rsidR="00342FFF" w:rsidTr="006210F9" w14:paraId="0076EB23" w14:textId="77777777">
        <w:tc>
          <w:tcPr>
            <w:tcW w:w="3865" w:type="dxa"/>
            <w:vAlign w:val="center"/>
          </w:tcPr>
          <w:p w:rsidRPr="001155FB" w:rsidR="00342FFF" w:rsidP="002513D0" w:rsidRDefault="001462EE" w14:paraId="679E5037" w14:textId="475FB1C9">
            <w:pPr>
              <w:rPr>
                <w:rFonts w:cs="Arial"/>
                <w:sz w:val="22"/>
                <w:szCs w:val="22"/>
              </w:rPr>
            </w:pPr>
            <w:r w:rsidRPr="000F42EC">
              <w:rPr>
                <w:rFonts w:cs="Arial"/>
                <w:sz w:val="22"/>
                <w:szCs w:val="22"/>
              </w:rPr>
              <w:t>Category I s</w:t>
            </w:r>
            <w:r w:rsidRPr="000F42EC" w:rsidR="004F4B95">
              <w:rPr>
                <w:rFonts w:cs="Arial"/>
                <w:sz w:val="22"/>
                <w:szCs w:val="22"/>
              </w:rPr>
              <w:t xml:space="preserve">pecial </w:t>
            </w:r>
            <w:r w:rsidR="004F4B95">
              <w:rPr>
                <w:rFonts w:cs="Arial"/>
                <w:sz w:val="22"/>
                <w:szCs w:val="22"/>
              </w:rPr>
              <w:t>nuclear material licensee</w:t>
            </w:r>
            <w:r w:rsidR="00D84A29">
              <w:rPr>
                <w:rFonts w:cs="Arial"/>
                <w:sz w:val="22"/>
                <w:szCs w:val="22"/>
              </w:rPr>
              <w:t xml:space="preserve"> facility</w:t>
            </w:r>
          </w:p>
        </w:tc>
        <w:tc>
          <w:tcPr>
            <w:tcW w:w="5485" w:type="dxa"/>
            <w:vAlign w:val="center"/>
          </w:tcPr>
          <w:p w:rsidRPr="00B6682A" w:rsidR="00342FFF" w:rsidP="002513D0" w:rsidRDefault="00623BC4" w14:paraId="3F782D84" w14:textId="453FED0C">
            <w:pPr>
              <w:jc w:val="center"/>
              <w:rPr>
                <w:rFonts w:cs="Arial"/>
                <w:sz w:val="22"/>
                <w:szCs w:val="22"/>
              </w:rPr>
            </w:pPr>
            <w:r w:rsidRPr="00351674">
              <w:rPr>
                <w:sz w:val="22"/>
              </w:rPr>
              <w:t>1.51</w:t>
            </w:r>
          </w:p>
        </w:tc>
      </w:tr>
    </w:tbl>
    <w:p w:rsidRPr="00B81114" w:rsidR="00B81114" w:rsidP="00B81114" w:rsidRDefault="00B81114" w14:paraId="440FEC18" w14:textId="77777777">
      <w:pPr>
        <w:rPr>
          <w:sz w:val="22"/>
          <w:szCs w:val="22"/>
        </w:rPr>
      </w:pPr>
    </w:p>
    <w:p w:rsidRPr="00D20192" w:rsidR="00D520BD" w:rsidP="00D520BD" w:rsidRDefault="00AB6704" w14:paraId="0D310101" w14:textId="5A93849C">
      <w:pPr>
        <w:pStyle w:val="Heading3"/>
      </w:pPr>
      <w:bookmarkStart w:name="_Toc72840033" w:id="180"/>
      <w:bookmarkStart w:name="_Toc105681506" w:id="181"/>
      <w:r>
        <w:t>5.1.6</w:t>
      </w:r>
      <w:r w:rsidRPr="005A5966" w:rsidR="00D520BD">
        <w:tab/>
        <w:t xml:space="preserve">Required Special Analyses Testing </w:t>
      </w:r>
      <w:r w:rsidR="00D520BD">
        <w:t>of</w:t>
      </w:r>
      <w:r w:rsidRPr="005A5966" w:rsidR="00D520BD">
        <w:t xml:space="preserve"> Dilute Specimens and Specimens Collected during Suspected Subversion Attempts</w:t>
      </w:r>
      <w:bookmarkEnd w:id="167"/>
      <w:bookmarkEnd w:id="173"/>
      <w:bookmarkEnd w:id="180"/>
      <w:bookmarkEnd w:id="181"/>
    </w:p>
    <w:p w:rsidRPr="00447449" w:rsidR="00D520BD" w:rsidP="00D520BD" w:rsidRDefault="00D520BD" w14:paraId="2C003185" w14:textId="77777777">
      <w:pPr>
        <w:keepNext/>
        <w:keepLines/>
        <w:rPr>
          <w:sz w:val="22"/>
        </w:rPr>
      </w:pPr>
    </w:p>
    <w:p w:rsidRPr="005A5966" w:rsidR="00D520BD" w:rsidP="00D520BD" w:rsidRDefault="00D520BD" w14:paraId="1E7890F6" w14:textId="686621D9">
      <w:pPr>
        <w:rPr>
          <w:sz w:val="22"/>
          <w:szCs w:val="22"/>
        </w:rPr>
      </w:pPr>
      <w:r>
        <w:rPr>
          <w:rFonts w:cs="Arial"/>
          <w:bCs/>
          <w:sz w:val="22"/>
          <w:szCs w:val="22"/>
        </w:rPr>
        <w:t xml:space="preserve">Licensees </w:t>
      </w:r>
      <w:r w:rsidR="00156EDF">
        <w:rPr>
          <w:rFonts w:cs="Arial"/>
          <w:bCs/>
          <w:sz w:val="22"/>
          <w:szCs w:val="22"/>
        </w:rPr>
        <w:t>will</w:t>
      </w:r>
      <w:r>
        <w:rPr>
          <w:rFonts w:cs="Arial"/>
          <w:bCs/>
          <w:sz w:val="22"/>
          <w:szCs w:val="22"/>
        </w:rPr>
        <w:t xml:space="preserve"> incur costs to conduct mandatory special analyses testing of dilute specimens (presently </w:t>
      </w:r>
      <w:r>
        <w:rPr>
          <w:rFonts w:cs="Arial"/>
          <w:sz w:val="22"/>
          <w:szCs w:val="22"/>
        </w:rPr>
        <w:t>10 CFR </w:t>
      </w:r>
      <w:r>
        <w:rPr>
          <w:rFonts w:cs="Arial"/>
          <w:bCs/>
          <w:sz w:val="22"/>
          <w:szCs w:val="22"/>
        </w:rPr>
        <w:t>26.163(a)(2) provides licensees with the option to conduct this testing</w:t>
      </w:r>
      <w:r w:rsidR="00646A79">
        <w:rPr>
          <w:rFonts w:cs="Arial"/>
          <w:bCs/>
          <w:sz w:val="22"/>
          <w:szCs w:val="22"/>
        </w:rPr>
        <w:t>,</w:t>
      </w:r>
      <w:r>
        <w:rPr>
          <w:rFonts w:cs="Arial"/>
          <w:bCs/>
          <w:sz w:val="22"/>
          <w:szCs w:val="22"/>
        </w:rPr>
        <w:t xml:space="preserve"> and </w:t>
      </w:r>
      <w:r w:rsidRPr="00510A70" w:rsidR="008A0769">
        <w:rPr>
          <w:rFonts w:cs="Arial"/>
          <w:bCs/>
          <w:sz w:val="22"/>
          <w:szCs w:val="22"/>
        </w:rPr>
        <w:t>all</w:t>
      </w:r>
      <w:r w:rsidRPr="00510A70">
        <w:rPr>
          <w:rFonts w:cs="Arial"/>
          <w:bCs/>
          <w:sz w:val="22"/>
          <w:szCs w:val="22"/>
        </w:rPr>
        <w:t xml:space="preserve"> licensees</w:t>
      </w:r>
      <w:r w:rsidRPr="008A0769">
        <w:rPr>
          <w:rFonts w:cs="Arial"/>
          <w:bCs/>
          <w:sz w:val="22"/>
          <w:szCs w:val="22"/>
        </w:rPr>
        <w:t xml:space="preserve"> instituted this testing policy as of </w:t>
      </w:r>
      <w:r w:rsidRPr="008A0769">
        <w:rPr>
          <w:sz w:val="22"/>
          <w:szCs w:val="22"/>
        </w:rPr>
        <w:t>CY </w:t>
      </w:r>
      <w:r w:rsidRPr="00AC2A03">
        <w:rPr>
          <w:rFonts w:cs="Arial"/>
          <w:bCs/>
          <w:sz w:val="22"/>
          <w:szCs w:val="22"/>
        </w:rPr>
        <w:t xml:space="preserve">2014).  Licensees also </w:t>
      </w:r>
      <w:r w:rsidRPr="00AC2A03" w:rsidR="00156EDF">
        <w:rPr>
          <w:rFonts w:cs="Arial"/>
          <w:bCs/>
          <w:sz w:val="22"/>
          <w:szCs w:val="22"/>
        </w:rPr>
        <w:t>will</w:t>
      </w:r>
      <w:r w:rsidRPr="00AC2A03">
        <w:rPr>
          <w:rFonts w:cs="Arial"/>
          <w:bCs/>
          <w:sz w:val="22"/>
          <w:szCs w:val="22"/>
        </w:rPr>
        <w:t xml:space="preserve"> incur</w:t>
      </w:r>
      <w:r>
        <w:rPr>
          <w:rFonts w:cs="Arial"/>
          <w:bCs/>
          <w:sz w:val="22"/>
          <w:szCs w:val="22"/>
        </w:rPr>
        <w:t xml:space="preserve"> incremental costs to conduct </w:t>
      </w:r>
      <w:r w:rsidRPr="005A5966">
        <w:rPr>
          <w:rFonts w:cs="Arial"/>
          <w:bCs/>
          <w:sz w:val="22"/>
          <w:szCs w:val="22"/>
        </w:rPr>
        <w:t xml:space="preserve">special analyses </w:t>
      </w:r>
      <w:r>
        <w:rPr>
          <w:rFonts w:cs="Arial"/>
          <w:bCs/>
          <w:sz w:val="22"/>
          <w:szCs w:val="22"/>
        </w:rPr>
        <w:t>testing of specimens collected under direct observation (i.e.</w:t>
      </w:r>
      <w:r w:rsidR="00646A79">
        <w:rPr>
          <w:rFonts w:cs="Arial"/>
          <w:bCs/>
          <w:sz w:val="22"/>
          <w:szCs w:val="22"/>
        </w:rPr>
        <w:t>,</w:t>
      </w:r>
      <w:r>
        <w:rPr>
          <w:rFonts w:cs="Arial"/>
          <w:bCs/>
          <w:sz w:val="22"/>
          <w:szCs w:val="22"/>
        </w:rPr>
        <w:t xml:space="preserve"> specimens collected during suspected subversion attempts).  These special analyses </w:t>
      </w:r>
      <w:r w:rsidRPr="005A5966">
        <w:rPr>
          <w:rFonts w:cs="Arial"/>
          <w:bCs/>
          <w:sz w:val="22"/>
          <w:szCs w:val="22"/>
        </w:rPr>
        <w:t xml:space="preserve">requirements result in incremental </w:t>
      </w:r>
      <w:r>
        <w:rPr>
          <w:rFonts w:cs="Arial"/>
          <w:bCs/>
          <w:sz w:val="22"/>
          <w:szCs w:val="22"/>
        </w:rPr>
        <w:t>improvement</w:t>
      </w:r>
      <w:r w:rsidR="008A0394">
        <w:rPr>
          <w:rFonts w:cs="Arial"/>
          <w:bCs/>
          <w:sz w:val="22"/>
          <w:szCs w:val="22"/>
        </w:rPr>
        <w:t>,</w:t>
      </w:r>
      <w:r>
        <w:rPr>
          <w:rFonts w:cs="Arial"/>
          <w:bCs/>
          <w:sz w:val="22"/>
          <w:szCs w:val="22"/>
        </w:rPr>
        <w:t xml:space="preserve"> with additional </w:t>
      </w:r>
      <w:r w:rsidRPr="005A5966">
        <w:rPr>
          <w:rFonts w:cs="Arial"/>
          <w:bCs/>
          <w:sz w:val="22"/>
          <w:szCs w:val="22"/>
        </w:rPr>
        <w:t>costs associated with the newly required confirmatory testing and subsequent actions associated with additional positive test results (i.e.</w:t>
      </w:r>
      <w:r w:rsidR="00646A79">
        <w:rPr>
          <w:rFonts w:cs="Arial"/>
          <w:bCs/>
          <w:sz w:val="22"/>
          <w:szCs w:val="22"/>
        </w:rPr>
        <w:t>,</w:t>
      </w:r>
      <w:r>
        <w:rPr>
          <w:rFonts w:cs="Arial"/>
          <w:bCs/>
          <w:sz w:val="22"/>
          <w:szCs w:val="22"/>
        </w:rPr>
        <w:t> </w:t>
      </w:r>
      <w:r w:rsidRPr="005A5966">
        <w:rPr>
          <w:rFonts w:cs="Arial"/>
          <w:bCs/>
          <w:sz w:val="22"/>
          <w:szCs w:val="22"/>
        </w:rPr>
        <w:t>on the part of the FFD program staff</w:t>
      </w:r>
      <w:r w:rsidR="00646A79">
        <w:rPr>
          <w:rFonts w:cs="Arial"/>
          <w:bCs/>
          <w:sz w:val="22"/>
          <w:szCs w:val="22"/>
        </w:rPr>
        <w:t>,</w:t>
      </w:r>
      <w:r w:rsidRPr="005A5966">
        <w:rPr>
          <w:rFonts w:cs="Arial"/>
          <w:bCs/>
          <w:sz w:val="22"/>
          <w:szCs w:val="22"/>
        </w:rPr>
        <w:t xml:space="preserve"> the MRO</w:t>
      </w:r>
      <w:r w:rsidR="00646A79">
        <w:rPr>
          <w:rFonts w:cs="Arial"/>
          <w:bCs/>
          <w:sz w:val="22"/>
          <w:szCs w:val="22"/>
        </w:rPr>
        <w:t>,</w:t>
      </w:r>
      <w:r w:rsidRPr="005A5966">
        <w:rPr>
          <w:rFonts w:cs="Arial"/>
          <w:bCs/>
          <w:sz w:val="22"/>
          <w:szCs w:val="22"/>
        </w:rPr>
        <w:t xml:space="preserve"> and the donor).  These incremental costs are estimated as follows:</w:t>
      </w:r>
    </w:p>
    <w:p w:rsidRPr="005A5966" w:rsidR="00D520BD" w:rsidP="00D520BD" w:rsidRDefault="00D520BD" w14:paraId="125DF873" w14:textId="77777777">
      <w:pPr>
        <w:rPr>
          <w:sz w:val="22"/>
          <w:szCs w:val="22"/>
        </w:rPr>
      </w:pPr>
    </w:p>
    <w:p w:rsidRPr="00510A70" w:rsidR="00D520BD" w:rsidP="005C6BA3" w:rsidRDefault="00D520BD" w14:paraId="3A110767" w14:textId="005672BA">
      <w:pPr>
        <w:pStyle w:val="ListParagraph"/>
        <w:numPr>
          <w:ilvl w:val="0"/>
          <w:numId w:val="15"/>
        </w:numPr>
        <w:tabs>
          <w:tab w:val="left" w:pos="4320"/>
        </w:tabs>
        <w:ind w:hanging="720"/>
        <w:rPr>
          <w:sz w:val="22"/>
          <w:szCs w:val="22"/>
        </w:rPr>
      </w:pPr>
      <w:r w:rsidRPr="00510A70">
        <w:rPr>
          <w:sz w:val="22"/>
          <w:szCs w:val="22"/>
        </w:rPr>
        <w:t>total annual cost to industry</w:t>
      </w:r>
      <w:r w:rsidR="004212C8">
        <w:rPr>
          <w:sz w:val="22"/>
          <w:szCs w:val="22"/>
        </w:rPr>
        <w:t xml:space="preserve"> = </w:t>
      </w:r>
      <w:r w:rsidRPr="00510A70">
        <w:rPr>
          <w:sz w:val="22"/>
          <w:szCs w:val="22"/>
        </w:rPr>
        <w:t>($</w:t>
      </w:r>
      <w:r w:rsidRPr="00510A70" w:rsidR="00AC2A03">
        <w:rPr>
          <w:sz w:val="22"/>
          <w:szCs w:val="22"/>
        </w:rPr>
        <w:t>9,381</w:t>
      </w:r>
      <w:r w:rsidRPr="00510A70">
        <w:rPr>
          <w:sz w:val="22"/>
          <w:szCs w:val="22"/>
        </w:rPr>
        <w:t>)</w:t>
      </w:r>
    </w:p>
    <w:p w:rsidRPr="00510A70" w:rsidR="00D520BD" w:rsidP="005C6BA3" w:rsidRDefault="00D520BD" w14:paraId="3A55DA07" w14:textId="0F7BFD6D">
      <w:pPr>
        <w:pStyle w:val="ListParagraph"/>
        <w:numPr>
          <w:ilvl w:val="0"/>
          <w:numId w:val="15"/>
        </w:numPr>
        <w:tabs>
          <w:tab w:val="left" w:pos="4320"/>
        </w:tabs>
        <w:ind w:hanging="720"/>
        <w:rPr>
          <w:sz w:val="22"/>
          <w:szCs w:val="22"/>
        </w:rPr>
      </w:pPr>
      <w:r w:rsidRPr="00510A70">
        <w:rPr>
          <w:sz w:val="22"/>
          <w:szCs w:val="22"/>
        </w:rPr>
        <w:t xml:space="preserve">average </w:t>
      </w:r>
      <w:r w:rsidR="00BC4D31">
        <w:rPr>
          <w:sz w:val="22"/>
          <w:szCs w:val="22"/>
        </w:rPr>
        <w:t xml:space="preserve">annual </w:t>
      </w:r>
      <w:r w:rsidRPr="00510A70">
        <w:rPr>
          <w:sz w:val="22"/>
          <w:szCs w:val="22"/>
        </w:rPr>
        <w:t>cost per site</w:t>
      </w:r>
      <w:r w:rsidR="004212C8">
        <w:rPr>
          <w:sz w:val="22"/>
          <w:szCs w:val="22"/>
        </w:rPr>
        <w:t xml:space="preserve"> = </w:t>
      </w:r>
      <w:r w:rsidRPr="00510A70">
        <w:rPr>
          <w:sz w:val="22"/>
          <w:szCs w:val="22"/>
        </w:rPr>
        <w:t>($</w:t>
      </w:r>
      <w:r w:rsidRPr="00510A70" w:rsidR="00124E62">
        <w:rPr>
          <w:sz w:val="22"/>
          <w:szCs w:val="22"/>
        </w:rPr>
        <w:t>159</w:t>
      </w:r>
      <w:r w:rsidRPr="00510A70">
        <w:rPr>
          <w:sz w:val="22"/>
          <w:szCs w:val="22"/>
        </w:rPr>
        <w:t>)</w:t>
      </w:r>
    </w:p>
    <w:p w:rsidRPr="005A5966" w:rsidR="00D520BD" w:rsidP="00D520BD" w:rsidRDefault="00D520BD" w14:paraId="0A9A0FB2" w14:textId="77777777">
      <w:pPr>
        <w:rPr>
          <w:sz w:val="22"/>
          <w:szCs w:val="22"/>
        </w:rPr>
      </w:pPr>
    </w:p>
    <w:p w:rsidRPr="005A5966" w:rsidR="00D520BD" w:rsidP="00D520BD" w:rsidRDefault="00D520BD" w14:paraId="5358C846" w14:textId="48647A0B">
      <w:pPr>
        <w:rPr>
          <w:sz w:val="22"/>
          <w:szCs w:val="22"/>
        </w:rPr>
      </w:pPr>
      <w:r>
        <w:rPr>
          <w:sz w:val="22"/>
          <w:szCs w:val="22"/>
        </w:rPr>
        <w:t>In making these changes to maintain reasonable assurance of a drug-free workplace</w:t>
      </w:r>
      <w:r w:rsidR="00646A79">
        <w:rPr>
          <w:sz w:val="22"/>
          <w:szCs w:val="22"/>
        </w:rPr>
        <w:t>,</w:t>
      </w:r>
      <w:r w:rsidRPr="005A5966">
        <w:rPr>
          <w:sz w:val="22"/>
          <w:szCs w:val="22"/>
        </w:rPr>
        <w:t xml:space="preserve"> the NRC</w:t>
      </w:r>
      <w:r>
        <w:rPr>
          <w:sz w:val="22"/>
          <w:szCs w:val="22"/>
        </w:rPr>
        <w:t xml:space="preserve"> staff</w:t>
      </w:r>
      <w:r w:rsidRPr="005A5966">
        <w:rPr>
          <w:sz w:val="22"/>
          <w:szCs w:val="22"/>
        </w:rPr>
        <w:t xml:space="preserve"> estimates that this regulatory initiative </w:t>
      </w:r>
      <w:r w:rsidR="000F039C">
        <w:rPr>
          <w:sz w:val="22"/>
          <w:szCs w:val="22"/>
        </w:rPr>
        <w:t xml:space="preserve">will </w:t>
      </w:r>
      <w:r w:rsidRPr="005A5966">
        <w:rPr>
          <w:sz w:val="22"/>
          <w:szCs w:val="22"/>
        </w:rPr>
        <w:t xml:space="preserve">result in an additional </w:t>
      </w:r>
      <w:r w:rsidR="00510A70">
        <w:rPr>
          <w:sz w:val="22"/>
          <w:szCs w:val="22"/>
        </w:rPr>
        <w:t>16 confirmed</w:t>
      </w:r>
      <w:r w:rsidRPr="00210C3B">
        <w:rPr>
          <w:sz w:val="22"/>
          <w:szCs w:val="22"/>
        </w:rPr>
        <w:t xml:space="preserve"> positive test results</w:t>
      </w:r>
      <w:r w:rsidR="00646A79">
        <w:rPr>
          <w:sz w:val="22"/>
          <w:szCs w:val="22"/>
        </w:rPr>
        <w:t>,</w:t>
      </w:r>
      <w:r>
        <w:rPr>
          <w:sz w:val="22"/>
          <w:szCs w:val="22"/>
        </w:rPr>
        <w:t xml:space="preserve"> as </w:t>
      </w:r>
      <w:r w:rsidRPr="00AB403F">
        <w:rPr>
          <w:sz w:val="22"/>
          <w:szCs w:val="22"/>
        </w:rPr>
        <w:t xml:space="preserve">presented in </w:t>
      </w:r>
      <w:r w:rsidRPr="006B47AA" w:rsidR="009B7066">
        <w:rPr>
          <w:sz w:val="22"/>
          <w:szCs w:val="22"/>
        </w:rPr>
        <w:fldChar w:fldCharType="begin"/>
      </w:r>
      <w:r w:rsidRPr="00AB403F" w:rsidR="009B7066">
        <w:rPr>
          <w:sz w:val="22"/>
          <w:szCs w:val="22"/>
        </w:rPr>
        <w:instrText xml:space="preserve"> REF _Ref72144802 \h  \* MERGEFORMAT </w:instrText>
      </w:r>
      <w:r w:rsidRPr="006B47AA" w:rsidR="009B7066">
        <w:rPr>
          <w:sz w:val="22"/>
          <w:szCs w:val="22"/>
        </w:rPr>
      </w:r>
      <w:r w:rsidRPr="006B47AA" w:rsidR="009B7066">
        <w:rPr>
          <w:sz w:val="22"/>
          <w:szCs w:val="22"/>
        </w:rPr>
        <w:fldChar w:fldCharType="separate"/>
      </w:r>
      <w:r w:rsidRPr="006155B8" w:rsidR="00A6777F">
        <w:rPr>
          <w:sz w:val="22"/>
        </w:rPr>
        <w:t>Table 5-14</w:t>
      </w:r>
      <w:r w:rsidRPr="006B47AA" w:rsidR="009B7066">
        <w:rPr>
          <w:sz w:val="22"/>
          <w:szCs w:val="22"/>
        </w:rPr>
        <w:fldChar w:fldCharType="end"/>
      </w:r>
      <w:r w:rsidRPr="00AB403F">
        <w:rPr>
          <w:sz w:val="22"/>
          <w:szCs w:val="22"/>
        </w:rPr>
        <w:t>.</w:t>
      </w:r>
      <w:r w:rsidRPr="00AB403F">
        <w:rPr>
          <w:rStyle w:val="FootnoteReference"/>
          <w:sz w:val="22"/>
          <w:szCs w:val="22"/>
        </w:rPr>
        <w:footnoteReference w:id="28"/>
      </w:r>
      <w:r w:rsidRPr="005A5966">
        <w:rPr>
          <w:sz w:val="22"/>
          <w:szCs w:val="22"/>
        </w:rPr>
        <w:t xml:space="preserve">  Therefore</w:t>
      </w:r>
      <w:r w:rsidR="00646A79">
        <w:rPr>
          <w:sz w:val="22"/>
          <w:szCs w:val="22"/>
        </w:rPr>
        <w:t>,</w:t>
      </w:r>
      <w:r w:rsidRPr="005A5966">
        <w:rPr>
          <w:sz w:val="22"/>
          <w:szCs w:val="22"/>
        </w:rPr>
        <w:t xml:space="preserve"> </w:t>
      </w:r>
      <w:r w:rsidRPr="005A5966">
        <w:rPr>
          <w:rFonts w:cs="Arial"/>
          <w:bCs/>
          <w:sz w:val="22"/>
          <w:szCs w:val="22"/>
        </w:rPr>
        <w:t>this change provide</w:t>
      </w:r>
      <w:r w:rsidR="00156EDF">
        <w:rPr>
          <w:rFonts w:cs="Arial"/>
          <w:bCs/>
          <w:sz w:val="22"/>
          <w:szCs w:val="22"/>
        </w:rPr>
        <w:t>s</w:t>
      </w:r>
      <w:r w:rsidRPr="005A5966">
        <w:rPr>
          <w:rFonts w:cs="Arial"/>
          <w:bCs/>
          <w:sz w:val="22"/>
          <w:szCs w:val="22"/>
        </w:rPr>
        <w:t xml:space="preserve"> a</w:t>
      </w:r>
      <w:r>
        <w:rPr>
          <w:rFonts w:cs="Arial"/>
          <w:bCs/>
          <w:sz w:val="22"/>
          <w:szCs w:val="22"/>
        </w:rPr>
        <w:t>dditional</w:t>
      </w:r>
      <w:r w:rsidRPr="005A5966">
        <w:rPr>
          <w:rFonts w:cs="Arial"/>
          <w:bCs/>
          <w:sz w:val="22"/>
          <w:szCs w:val="22"/>
        </w:rPr>
        <w:t xml:space="preserve"> assurance that </w:t>
      </w:r>
      <w:r w:rsidRPr="005A5966">
        <w:rPr>
          <w:rFonts w:cs="Arial"/>
          <w:bCs/>
          <w:sz w:val="22"/>
          <w:szCs w:val="22"/>
        </w:rPr>
        <w:lastRenderedPageBreak/>
        <w:t>persons who are using illegal drugs</w:t>
      </w:r>
      <w:r w:rsidR="00646A79">
        <w:rPr>
          <w:rFonts w:cs="Arial"/>
          <w:bCs/>
          <w:sz w:val="22"/>
          <w:szCs w:val="22"/>
        </w:rPr>
        <w:t>,</w:t>
      </w:r>
      <w:r>
        <w:rPr>
          <w:rFonts w:cs="Arial"/>
          <w:bCs/>
          <w:sz w:val="22"/>
          <w:szCs w:val="22"/>
        </w:rPr>
        <w:t xml:space="preserve"> misusing legal drugs</w:t>
      </w:r>
      <w:r w:rsidR="00646A79">
        <w:rPr>
          <w:rFonts w:cs="Arial"/>
          <w:bCs/>
          <w:sz w:val="22"/>
          <w:szCs w:val="22"/>
        </w:rPr>
        <w:t>,</w:t>
      </w:r>
      <w:r>
        <w:rPr>
          <w:rFonts w:cs="Arial"/>
          <w:bCs/>
          <w:sz w:val="22"/>
          <w:szCs w:val="22"/>
        </w:rPr>
        <w:t xml:space="preserve"> or attempting to subvert the drug testing process </w:t>
      </w:r>
      <w:r w:rsidR="00156EDF">
        <w:rPr>
          <w:rFonts w:cs="Arial"/>
          <w:bCs/>
          <w:sz w:val="22"/>
          <w:szCs w:val="22"/>
        </w:rPr>
        <w:t xml:space="preserve">will </w:t>
      </w:r>
      <w:r>
        <w:rPr>
          <w:rFonts w:cs="Arial"/>
          <w:bCs/>
          <w:sz w:val="22"/>
          <w:szCs w:val="22"/>
        </w:rPr>
        <w:t>be identified and denied unescorted access authorizat</w:t>
      </w:r>
      <w:r w:rsidR="00000A72">
        <w:rPr>
          <w:rFonts w:cs="Arial"/>
          <w:bCs/>
          <w:sz w:val="22"/>
          <w:szCs w:val="22"/>
        </w:rPr>
        <w:t>ion than under the current 10 CFR Part </w:t>
      </w:r>
      <w:r>
        <w:rPr>
          <w:rFonts w:cs="Arial"/>
          <w:bCs/>
          <w:sz w:val="22"/>
          <w:szCs w:val="22"/>
        </w:rPr>
        <w:t>26 framework</w:t>
      </w:r>
      <w:r w:rsidRPr="00634AA2">
        <w:rPr>
          <w:rFonts w:cs="Arial"/>
          <w:bCs/>
          <w:sz w:val="22"/>
          <w:szCs w:val="22"/>
        </w:rPr>
        <w:t>.</w:t>
      </w:r>
      <w:r w:rsidRPr="00582C28">
        <w:rPr>
          <w:rFonts w:cs="Arial"/>
          <w:sz w:val="18"/>
          <w:szCs w:val="18"/>
        </w:rPr>
        <w:t xml:space="preserve"> </w:t>
      </w:r>
      <w:r w:rsidRPr="00B10C2E">
        <w:rPr>
          <w:rFonts w:cs="Arial"/>
          <w:sz w:val="22"/>
          <w:szCs w:val="22"/>
        </w:rPr>
        <w:t xml:space="preserve"> Appendices</w:t>
      </w:r>
      <w:r>
        <w:rPr>
          <w:rFonts w:cs="Arial"/>
          <w:sz w:val="22"/>
          <w:szCs w:val="22"/>
        </w:rPr>
        <w:t> </w:t>
      </w:r>
      <w:r w:rsidRPr="00B10C2E">
        <w:rPr>
          <w:rFonts w:cs="Arial"/>
          <w:sz w:val="22"/>
          <w:szCs w:val="22"/>
        </w:rPr>
        <w:t xml:space="preserve">B and C </w:t>
      </w:r>
      <w:r>
        <w:rPr>
          <w:rFonts w:cs="Arial"/>
          <w:sz w:val="22"/>
          <w:szCs w:val="22"/>
        </w:rPr>
        <w:t>provide</w:t>
      </w:r>
      <w:r w:rsidRPr="00B10C2E">
        <w:rPr>
          <w:rFonts w:cs="Arial"/>
          <w:sz w:val="22"/>
          <w:szCs w:val="22"/>
        </w:rPr>
        <w:t xml:space="preserve"> additional information on the estimated increase in positive test results.</w:t>
      </w:r>
    </w:p>
    <w:p w:rsidRPr="00475BBA" w:rsidR="00D520BD" w:rsidP="00D520BD" w:rsidRDefault="00D520BD" w14:paraId="10081081" w14:textId="576C2596">
      <w:pPr>
        <w:rPr>
          <w:sz w:val="22"/>
          <w:szCs w:val="22"/>
        </w:rPr>
      </w:pPr>
    </w:p>
    <w:p w:rsidRPr="00625C7E" w:rsidR="00625C7E" w:rsidP="00625C7E" w:rsidRDefault="00625C7E" w14:paraId="2D7731FD" w14:textId="44B666AD">
      <w:pPr>
        <w:pStyle w:val="Caption"/>
        <w:jc w:val="center"/>
        <w:rPr>
          <w:b/>
          <w:bCs w:val="0"/>
        </w:rPr>
      </w:pPr>
      <w:bookmarkStart w:name="_Ref72144802" w:id="182"/>
      <w:bookmarkStart w:name="_Toc72490576" w:id="183"/>
      <w:bookmarkStart w:name="_Toc105681573" w:id="184"/>
      <w:r w:rsidRPr="00625C7E">
        <w:rPr>
          <w:b/>
          <w:bCs w:val="0"/>
        </w:rPr>
        <w:t xml:space="preserve">Table </w:t>
      </w:r>
      <w:r>
        <w:rPr>
          <w:b/>
          <w:bCs w:val="0"/>
        </w:rPr>
        <w:t>5-</w:t>
      </w:r>
      <w:r w:rsidRPr="00625C7E">
        <w:rPr>
          <w:b/>
          <w:bCs w:val="0"/>
        </w:rPr>
        <w:fldChar w:fldCharType="begin"/>
      </w:r>
      <w:r w:rsidRPr="00625C7E">
        <w:rPr>
          <w:b/>
          <w:bCs w:val="0"/>
        </w:rPr>
        <w:instrText xml:space="preserve"> SEQ Table \* ARABIC </w:instrText>
      </w:r>
      <w:r w:rsidRPr="00625C7E">
        <w:rPr>
          <w:b/>
          <w:bCs w:val="0"/>
        </w:rPr>
        <w:fldChar w:fldCharType="separate"/>
      </w:r>
      <w:r w:rsidR="00A6777F">
        <w:rPr>
          <w:b/>
          <w:bCs w:val="0"/>
          <w:noProof/>
        </w:rPr>
        <w:t>14</w:t>
      </w:r>
      <w:r w:rsidRPr="00625C7E">
        <w:rPr>
          <w:b/>
          <w:bCs w:val="0"/>
        </w:rPr>
        <w:fldChar w:fldCharType="end"/>
      </w:r>
      <w:bookmarkEnd w:id="182"/>
      <w:r>
        <w:rPr>
          <w:b/>
          <w:bCs w:val="0"/>
        </w:rPr>
        <w:t xml:space="preserve">  Additional Positive Results from Special Analyses Testing of Dilute </w:t>
      </w:r>
      <w:r w:rsidR="00943705">
        <w:rPr>
          <w:b/>
          <w:bCs w:val="0"/>
        </w:rPr>
        <w:br/>
      </w:r>
      <w:r>
        <w:rPr>
          <w:b/>
          <w:bCs w:val="0"/>
        </w:rPr>
        <w:t>and Subversion Specimens</w:t>
      </w:r>
      <w:r w:rsidR="00943705">
        <w:rPr>
          <w:b/>
          <w:bCs w:val="0"/>
        </w:rPr>
        <w:t xml:space="preserve"> </w:t>
      </w:r>
      <w:r>
        <w:rPr>
          <w:b/>
          <w:bCs w:val="0"/>
        </w:rPr>
        <w:t>(Estimated Total for All Sites)</w:t>
      </w:r>
      <w:bookmarkEnd w:id="183"/>
      <w:bookmarkEnd w:id="184"/>
    </w:p>
    <w:tbl>
      <w:tblPr>
        <w:tblW w:w="5000" w:type="pct"/>
        <w:jc w:val="center"/>
        <w:tblLook w:val="04A0" w:firstRow="1" w:lastRow="0" w:firstColumn="1" w:lastColumn="0" w:noHBand="0" w:noVBand="1"/>
      </w:tblPr>
      <w:tblGrid>
        <w:gridCol w:w="3970"/>
        <w:gridCol w:w="5380"/>
      </w:tblGrid>
      <w:tr w:rsidRPr="005A5966" w:rsidR="00D520BD" w:rsidTr="00BC44A5" w14:paraId="303A2F46" w14:textId="77777777">
        <w:trPr>
          <w:trHeight w:val="629"/>
          <w:jc w:val="center"/>
        </w:trPr>
        <w:tc>
          <w:tcPr>
            <w:tcW w:w="2123"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hideMark/>
          </w:tcPr>
          <w:p w:rsidRPr="005A5966" w:rsidR="00D520BD" w:rsidP="00625C7E" w:rsidRDefault="00D520BD" w14:paraId="26001071" w14:textId="77777777">
            <w:pPr>
              <w:jc w:val="center"/>
              <w:rPr>
                <w:rFonts w:cs="Arial"/>
                <w:b/>
                <w:bCs/>
              </w:rPr>
            </w:pPr>
            <w:r w:rsidRPr="005A5966">
              <w:rPr>
                <w:rFonts w:cs="Arial"/>
                <w:b/>
                <w:bCs/>
                <w:sz w:val="22"/>
                <w:szCs w:val="22"/>
              </w:rPr>
              <w:t>Specimen Type</w:t>
            </w:r>
          </w:p>
        </w:tc>
        <w:tc>
          <w:tcPr>
            <w:tcW w:w="2877" w:type="pct"/>
            <w:tcBorders>
              <w:top w:val="single" w:color="auto" w:sz="4" w:space="0"/>
              <w:left w:val="single" w:color="auto" w:sz="4" w:space="0"/>
              <w:bottom w:val="single" w:color="auto" w:sz="4" w:space="0"/>
              <w:right w:val="single" w:color="auto" w:sz="4" w:space="0"/>
            </w:tcBorders>
            <w:shd w:val="clear" w:color="000000" w:fill="FFFFFF" w:themeFill="background1"/>
            <w:vAlign w:val="center"/>
            <w:hideMark/>
          </w:tcPr>
          <w:p w:rsidRPr="005A5966" w:rsidR="00D520BD" w:rsidP="00625C7E" w:rsidRDefault="00BA785E" w14:paraId="6B838961" w14:textId="5CDFE2C0">
            <w:pPr>
              <w:jc w:val="center"/>
              <w:rPr>
                <w:rFonts w:cs="Arial"/>
                <w:b/>
                <w:bCs/>
              </w:rPr>
            </w:pPr>
            <w:r>
              <w:rPr>
                <w:rFonts w:cs="Arial"/>
                <w:b/>
                <w:bCs/>
                <w:sz w:val="22"/>
                <w:szCs w:val="22"/>
              </w:rPr>
              <w:t xml:space="preserve">Projected </w:t>
            </w:r>
            <w:r w:rsidRPr="005A5966" w:rsidR="00D520BD">
              <w:rPr>
                <w:rFonts w:cs="Arial"/>
                <w:b/>
                <w:bCs/>
                <w:sz w:val="22"/>
                <w:szCs w:val="22"/>
              </w:rPr>
              <w:t xml:space="preserve">Number of </w:t>
            </w:r>
            <w:r w:rsidR="00D520BD">
              <w:rPr>
                <w:rFonts w:cs="Arial"/>
                <w:b/>
                <w:bCs/>
                <w:sz w:val="22"/>
                <w:szCs w:val="22"/>
              </w:rPr>
              <w:t>A</w:t>
            </w:r>
            <w:r w:rsidRPr="005A5966" w:rsidR="00D520BD">
              <w:rPr>
                <w:rFonts w:cs="Arial"/>
                <w:b/>
                <w:bCs/>
                <w:sz w:val="22"/>
                <w:szCs w:val="22"/>
              </w:rPr>
              <w:t xml:space="preserve">dditional </w:t>
            </w:r>
            <w:r w:rsidR="00D520BD">
              <w:rPr>
                <w:rFonts w:cs="Arial"/>
                <w:b/>
                <w:bCs/>
                <w:sz w:val="22"/>
                <w:szCs w:val="22"/>
              </w:rPr>
              <w:t>C</w:t>
            </w:r>
            <w:r w:rsidRPr="005A5966" w:rsidR="00D520BD">
              <w:rPr>
                <w:rFonts w:cs="Arial"/>
                <w:b/>
                <w:bCs/>
                <w:sz w:val="22"/>
                <w:szCs w:val="22"/>
              </w:rPr>
              <w:t xml:space="preserve">onfirmed </w:t>
            </w:r>
            <w:r w:rsidR="00D520BD">
              <w:rPr>
                <w:rFonts w:cs="Arial"/>
                <w:b/>
                <w:bCs/>
                <w:sz w:val="22"/>
                <w:szCs w:val="22"/>
              </w:rPr>
              <w:t>P</w:t>
            </w:r>
            <w:r w:rsidRPr="005A5966" w:rsidR="00D520BD">
              <w:rPr>
                <w:rFonts w:cs="Arial"/>
                <w:b/>
                <w:bCs/>
                <w:sz w:val="22"/>
                <w:szCs w:val="22"/>
              </w:rPr>
              <w:t xml:space="preserve">ositive </w:t>
            </w:r>
            <w:r w:rsidR="00D520BD">
              <w:rPr>
                <w:rFonts w:cs="Arial"/>
                <w:b/>
                <w:bCs/>
                <w:sz w:val="22"/>
                <w:szCs w:val="22"/>
              </w:rPr>
              <w:t>T</w:t>
            </w:r>
            <w:r w:rsidRPr="005A5966" w:rsidR="00D520BD">
              <w:rPr>
                <w:rFonts w:cs="Arial"/>
                <w:b/>
                <w:bCs/>
                <w:sz w:val="22"/>
                <w:szCs w:val="22"/>
              </w:rPr>
              <w:t xml:space="preserve">est </w:t>
            </w:r>
            <w:r w:rsidR="00D520BD">
              <w:rPr>
                <w:rFonts w:cs="Arial"/>
                <w:b/>
                <w:bCs/>
                <w:sz w:val="22"/>
                <w:szCs w:val="22"/>
              </w:rPr>
              <w:t>R</w:t>
            </w:r>
            <w:r w:rsidRPr="005A5966" w:rsidR="00D520BD">
              <w:rPr>
                <w:rFonts w:cs="Arial"/>
                <w:b/>
                <w:bCs/>
                <w:sz w:val="22"/>
                <w:szCs w:val="22"/>
              </w:rPr>
              <w:t xml:space="preserve">esults per </w:t>
            </w:r>
            <w:r w:rsidR="00D520BD">
              <w:rPr>
                <w:rFonts w:cs="Arial"/>
                <w:b/>
                <w:bCs/>
                <w:sz w:val="22"/>
                <w:szCs w:val="22"/>
              </w:rPr>
              <w:t>Y</w:t>
            </w:r>
            <w:r w:rsidRPr="005A5966" w:rsidR="00D520BD">
              <w:rPr>
                <w:rFonts w:cs="Arial"/>
                <w:b/>
                <w:bCs/>
                <w:sz w:val="22"/>
                <w:szCs w:val="22"/>
              </w:rPr>
              <w:t>ear</w:t>
            </w:r>
          </w:p>
        </w:tc>
      </w:tr>
      <w:tr w:rsidRPr="00BA5347" w:rsidR="00FE1DB6" w:rsidTr="00BC44A5" w14:paraId="5A002159" w14:textId="77777777">
        <w:trPr>
          <w:trHeight w:val="413"/>
          <w:jc w:val="center"/>
        </w:trPr>
        <w:tc>
          <w:tcPr>
            <w:tcW w:w="2123"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D10DD7" w:rsidR="00FE1DB6" w:rsidP="00FE1DB6" w:rsidRDefault="00FE1DB6" w14:paraId="43344C99" w14:textId="0675D761">
            <w:pPr>
              <w:jc w:val="center"/>
              <w:rPr>
                <w:rFonts w:cs="Arial"/>
                <w:sz w:val="22"/>
                <w:szCs w:val="22"/>
                <w:highlight w:val="yellow"/>
              </w:rPr>
            </w:pPr>
            <w:r w:rsidRPr="00D10DD7">
              <w:rPr>
                <w:sz w:val="22"/>
                <w:szCs w:val="22"/>
              </w:rPr>
              <w:t>Dilute</w:t>
            </w:r>
          </w:p>
        </w:tc>
        <w:tc>
          <w:tcPr>
            <w:tcW w:w="2877" w:type="pct"/>
            <w:tcBorders>
              <w:top w:val="single" w:color="auto" w:sz="4" w:space="0"/>
              <w:left w:val="nil"/>
              <w:bottom w:val="single" w:color="auto" w:sz="4" w:space="0"/>
              <w:right w:val="single" w:color="auto" w:sz="4" w:space="0"/>
            </w:tcBorders>
            <w:shd w:val="clear" w:color="auto" w:fill="auto"/>
            <w:vAlign w:val="center"/>
            <w:hideMark/>
          </w:tcPr>
          <w:p w:rsidRPr="00D10DD7" w:rsidR="00FE1DB6" w:rsidP="00FE1DB6" w:rsidRDefault="00FE1DB6" w14:paraId="486B5DF3" w14:textId="49632288">
            <w:pPr>
              <w:jc w:val="center"/>
              <w:rPr>
                <w:rFonts w:cs="Arial"/>
                <w:sz w:val="22"/>
                <w:szCs w:val="22"/>
                <w:highlight w:val="yellow"/>
              </w:rPr>
            </w:pPr>
            <w:r w:rsidRPr="00D10DD7">
              <w:rPr>
                <w:sz w:val="22"/>
                <w:szCs w:val="22"/>
              </w:rPr>
              <w:t>8</w:t>
            </w:r>
          </w:p>
        </w:tc>
      </w:tr>
      <w:tr w:rsidRPr="005A5966" w:rsidR="00FE1DB6" w:rsidTr="00BC44A5" w14:paraId="54A383EF" w14:textId="77777777">
        <w:trPr>
          <w:trHeight w:val="440"/>
          <w:jc w:val="center"/>
        </w:trPr>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rsidRPr="00D10DD7" w:rsidR="00FE1DB6" w:rsidP="00FE1DB6" w:rsidRDefault="00FE1DB6" w14:paraId="520C26A7" w14:textId="7B30A74D">
            <w:pPr>
              <w:jc w:val="center"/>
              <w:rPr>
                <w:rFonts w:cs="Arial"/>
                <w:sz w:val="22"/>
                <w:szCs w:val="22"/>
                <w:highlight w:val="yellow"/>
              </w:rPr>
            </w:pPr>
            <w:r w:rsidRPr="00D10DD7">
              <w:rPr>
                <w:sz w:val="22"/>
                <w:szCs w:val="22"/>
              </w:rPr>
              <w:t>Subversion Specimens</w:t>
            </w:r>
          </w:p>
        </w:tc>
        <w:tc>
          <w:tcPr>
            <w:tcW w:w="2877" w:type="pct"/>
            <w:tcBorders>
              <w:top w:val="single" w:color="auto" w:sz="4" w:space="0"/>
              <w:left w:val="nil"/>
              <w:bottom w:val="single" w:color="auto" w:sz="4" w:space="0"/>
              <w:right w:val="single" w:color="auto" w:sz="4" w:space="0"/>
            </w:tcBorders>
            <w:shd w:val="clear" w:color="auto" w:fill="auto"/>
            <w:vAlign w:val="center"/>
          </w:tcPr>
          <w:p w:rsidRPr="00D10DD7" w:rsidR="00FE1DB6" w:rsidP="00FE1DB6" w:rsidRDefault="00FE1DB6" w14:paraId="3733ADE9" w14:textId="148F2465">
            <w:pPr>
              <w:jc w:val="center"/>
              <w:rPr>
                <w:rFonts w:cs="Arial"/>
                <w:sz w:val="22"/>
                <w:szCs w:val="22"/>
              </w:rPr>
            </w:pPr>
            <w:r w:rsidRPr="00D10DD7">
              <w:rPr>
                <w:sz w:val="22"/>
                <w:szCs w:val="22"/>
              </w:rPr>
              <w:t>8</w:t>
            </w:r>
          </w:p>
        </w:tc>
      </w:tr>
    </w:tbl>
    <w:p w:rsidR="00625C7E" w:rsidP="00982BD1" w:rsidRDefault="00625C7E" w14:paraId="3592CB8D" w14:textId="30AAFDA8">
      <w:pPr>
        <w:widowControl w:val="0"/>
        <w:spacing w:before="60"/>
        <w:rPr>
          <w:rFonts w:cs="Arial"/>
          <w:sz w:val="22"/>
          <w:szCs w:val="22"/>
        </w:rPr>
      </w:pPr>
    </w:p>
    <w:p w:rsidRPr="003C0E8A" w:rsidR="006158E1" w:rsidP="006158E1" w:rsidRDefault="006158E1" w14:paraId="6B1D6AC2" w14:textId="32463A45">
      <w:pPr>
        <w:tabs>
          <w:tab w:val="left" w:pos="721"/>
        </w:tabs>
        <w:rPr>
          <w:sz w:val="22"/>
          <w:szCs w:val="22"/>
        </w:rPr>
      </w:pPr>
      <w:r w:rsidRPr="005F3921">
        <w:rPr>
          <w:b/>
          <w:bCs/>
          <w:i/>
          <w:iCs/>
          <w:sz w:val="22"/>
          <w:szCs w:val="22"/>
        </w:rPr>
        <w:t>Future Nuclear Facilities</w:t>
      </w:r>
      <w:r>
        <w:rPr>
          <w:sz w:val="22"/>
          <w:szCs w:val="22"/>
        </w:rPr>
        <w:t xml:space="preserve">:  The NRC staff estimates the number of additional positive results from special analyses testing of dilute and subversion specimens for each future nuclear facility site </w:t>
      </w:r>
      <w:r w:rsidR="00E30AE0">
        <w:rPr>
          <w:sz w:val="22"/>
          <w:szCs w:val="22"/>
        </w:rPr>
        <w:t xml:space="preserve">performing such </w:t>
      </w:r>
      <w:r>
        <w:rPr>
          <w:sz w:val="22"/>
          <w:szCs w:val="22"/>
        </w:rPr>
        <w:t xml:space="preserve">testing by multiplying the expected number of tests performed by these facilities </w:t>
      </w:r>
      <w:r w:rsidR="007E4943">
        <w:rPr>
          <w:sz w:val="22"/>
          <w:szCs w:val="22"/>
        </w:rPr>
        <w:t>by</w:t>
      </w:r>
      <w:r>
        <w:rPr>
          <w:sz w:val="22"/>
          <w:szCs w:val="22"/>
        </w:rPr>
        <w:t xml:space="preserve"> the average positive test </w:t>
      </w:r>
      <w:r w:rsidR="00156EDF">
        <w:rPr>
          <w:sz w:val="22"/>
          <w:szCs w:val="22"/>
        </w:rPr>
        <w:t>rate</w:t>
      </w:r>
      <w:r>
        <w:rPr>
          <w:sz w:val="22"/>
          <w:szCs w:val="22"/>
        </w:rPr>
        <w:t xml:space="preserve"> for special analyses testing at existing facilities. </w:t>
      </w:r>
      <w:r w:rsidR="002D4326">
        <w:rPr>
          <w:sz w:val="22"/>
          <w:szCs w:val="22"/>
        </w:rPr>
        <w:t xml:space="preserve">  </w:t>
      </w:r>
      <w:r>
        <w:rPr>
          <w:sz w:val="22"/>
          <w:szCs w:val="22"/>
        </w:rPr>
        <w:t xml:space="preserve"> </w:t>
      </w:r>
      <w:r w:rsidRPr="00EE7D4E" w:rsidR="00D77F33">
        <w:rPr>
          <w:sz w:val="22"/>
          <w:szCs w:val="22"/>
        </w:rPr>
        <w:fldChar w:fldCharType="begin"/>
      </w:r>
      <w:r w:rsidRPr="00EE7D4E" w:rsidR="00D77F33">
        <w:rPr>
          <w:sz w:val="22"/>
          <w:szCs w:val="22"/>
        </w:rPr>
        <w:instrText xml:space="preserve"> REF _Ref70415490 \h </w:instrText>
      </w:r>
      <w:r w:rsidR="00EE7D4E">
        <w:rPr>
          <w:sz w:val="22"/>
          <w:szCs w:val="22"/>
        </w:rPr>
        <w:instrText xml:space="preserve"> \* MERGEFORMAT </w:instrText>
      </w:r>
      <w:r w:rsidRPr="00EE7D4E" w:rsidR="00D77F33">
        <w:rPr>
          <w:sz w:val="22"/>
          <w:szCs w:val="22"/>
        </w:rPr>
      </w:r>
      <w:r w:rsidRPr="00EE7D4E" w:rsidR="00D77F33">
        <w:rPr>
          <w:sz w:val="22"/>
          <w:szCs w:val="22"/>
        </w:rPr>
        <w:fldChar w:fldCharType="separate"/>
      </w:r>
      <w:r w:rsidRPr="006155B8" w:rsidR="00A6777F">
        <w:rPr>
          <w:sz w:val="22"/>
          <w:szCs w:val="22"/>
        </w:rPr>
        <w:t>Table 5-15</w:t>
      </w:r>
      <w:r w:rsidRPr="00EE7D4E" w:rsidR="00D77F33">
        <w:rPr>
          <w:sz w:val="22"/>
          <w:szCs w:val="22"/>
        </w:rPr>
        <w:fldChar w:fldCharType="end"/>
      </w:r>
      <w:r w:rsidR="00EF3AAB">
        <w:rPr>
          <w:sz w:val="22"/>
          <w:szCs w:val="22"/>
        </w:rPr>
        <w:t xml:space="preserve"> presents the</w:t>
      </w:r>
      <w:r>
        <w:rPr>
          <w:sz w:val="22"/>
          <w:szCs w:val="22"/>
        </w:rPr>
        <w:t xml:space="preserve"> projected number of </w:t>
      </w:r>
      <w:r w:rsidRPr="003C0E8A" w:rsidR="00EF3AAB">
        <w:rPr>
          <w:sz w:val="22"/>
          <w:szCs w:val="22"/>
        </w:rPr>
        <w:t>confirmed</w:t>
      </w:r>
      <w:r w:rsidRPr="003C0E8A">
        <w:rPr>
          <w:sz w:val="22"/>
          <w:szCs w:val="22"/>
        </w:rPr>
        <w:t xml:space="preserve"> positive test results by facility type</w:t>
      </w:r>
      <w:r w:rsidR="00EF3AAB">
        <w:rPr>
          <w:sz w:val="22"/>
          <w:szCs w:val="22"/>
        </w:rPr>
        <w:t>.</w:t>
      </w:r>
    </w:p>
    <w:p w:rsidR="008656BF" w:rsidP="00982BD1" w:rsidRDefault="008656BF" w14:paraId="2AD1ED19" w14:textId="763CD0DE">
      <w:pPr>
        <w:widowControl w:val="0"/>
        <w:spacing w:before="60"/>
        <w:rPr>
          <w:rFonts w:cs="Arial"/>
          <w:sz w:val="22"/>
          <w:szCs w:val="22"/>
        </w:rPr>
      </w:pPr>
    </w:p>
    <w:p w:rsidRPr="00203EED" w:rsidR="00325609" w:rsidP="00EF3AAB" w:rsidRDefault="00325609" w14:paraId="42FE7E3E" w14:textId="178ADC32">
      <w:pPr>
        <w:pStyle w:val="Caption"/>
        <w:jc w:val="center"/>
        <w:rPr>
          <w:b/>
        </w:rPr>
      </w:pPr>
      <w:bookmarkStart w:name="_Ref70415490" w:id="185"/>
      <w:bookmarkStart w:name="_Toc72490577" w:id="186"/>
      <w:bookmarkStart w:name="_Toc105681574" w:id="187"/>
      <w:r w:rsidRPr="00203EED">
        <w:rPr>
          <w:b/>
        </w:rPr>
        <w:t>Table 5-</w:t>
      </w:r>
      <w:r w:rsidRPr="009C47E8" w:rsidR="002513D0">
        <w:rPr>
          <w:b/>
          <w:bCs w:val="0"/>
        </w:rPr>
        <w:fldChar w:fldCharType="begin"/>
      </w:r>
      <w:r w:rsidRPr="00CE69AC" w:rsidR="002513D0">
        <w:rPr>
          <w:b/>
        </w:rPr>
        <w:instrText xml:space="preserve"> SEQ Table \* ARABIC </w:instrText>
      </w:r>
      <w:r w:rsidRPr="009C47E8" w:rsidR="002513D0">
        <w:rPr>
          <w:b/>
        </w:rPr>
        <w:fldChar w:fldCharType="separate"/>
      </w:r>
      <w:r w:rsidR="00A6777F">
        <w:rPr>
          <w:b/>
          <w:noProof/>
        </w:rPr>
        <w:t>15</w:t>
      </w:r>
      <w:r w:rsidRPr="009C47E8" w:rsidR="002513D0">
        <w:rPr>
          <w:b/>
          <w:bCs w:val="0"/>
        </w:rPr>
        <w:fldChar w:fldCharType="end"/>
      </w:r>
      <w:bookmarkEnd w:id="185"/>
      <w:r w:rsidRPr="00203EED">
        <w:rPr>
          <w:b/>
        </w:rPr>
        <w:t xml:space="preserve">  </w:t>
      </w:r>
      <w:r w:rsidRPr="00203EED" w:rsidR="002B2536">
        <w:rPr>
          <w:b/>
        </w:rPr>
        <w:t xml:space="preserve">Additional Positive Results from Special Analyses Testing of Dilute </w:t>
      </w:r>
      <w:r w:rsidR="00EF3AAB">
        <w:rPr>
          <w:b/>
        </w:rPr>
        <w:br/>
      </w:r>
      <w:r w:rsidRPr="00203EED" w:rsidR="002B2536">
        <w:rPr>
          <w:b/>
        </w:rPr>
        <w:t>and Subversion Specimens by Future Nuclear Facilities</w:t>
      </w:r>
      <w:bookmarkEnd w:id="186"/>
      <w:bookmarkEnd w:id="187"/>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6"/>
        <w:gridCol w:w="2865"/>
        <w:gridCol w:w="3519"/>
      </w:tblGrid>
      <w:tr w:rsidRPr="00D55C2C" w:rsidR="00D55C2C" w:rsidTr="00BC44A5" w14:paraId="021987EA" w14:textId="77777777">
        <w:trPr>
          <w:trHeight w:val="780"/>
          <w:jc w:val="center"/>
        </w:trPr>
        <w:tc>
          <w:tcPr>
            <w:tcW w:w="1586" w:type="pct"/>
            <w:vMerge w:val="restart"/>
            <w:shd w:val="clear" w:color="auto" w:fill="auto"/>
            <w:vAlign w:val="center"/>
            <w:hideMark/>
          </w:tcPr>
          <w:p w:rsidRPr="009C5500" w:rsidR="00D55C2C" w:rsidP="00D55C2C" w:rsidRDefault="00D55C2C" w14:paraId="47E1A4D5" w14:textId="77777777">
            <w:pPr>
              <w:autoSpaceDE/>
              <w:autoSpaceDN/>
              <w:adjustRightInd/>
              <w:jc w:val="center"/>
              <w:rPr>
                <w:rFonts w:cs="Arial"/>
                <w:b/>
                <w:sz w:val="22"/>
                <w:szCs w:val="22"/>
              </w:rPr>
            </w:pPr>
            <w:r w:rsidRPr="009C5500">
              <w:rPr>
                <w:rFonts w:cs="Arial"/>
                <w:b/>
                <w:sz w:val="22"/>
                <w:szCs w:val="22"/>
              </w:rPr>
              <w:t>Facility Type</w:t>
            </w:r>
          </w:p>
        </w:tc>
        <w:tc>
          <w:tcPr>
            <w:tcW w:w="3414" w:type="pct"/>
            <w:gridSpan w:val="2"/>
            <w:shd w:val="clear" w:color="auto" w:fill="auto"/>
            <w:vAlign w:val="center"/>
            <w:hideMark/>
          </w:tcPr>
          <w:p w:rsidRPr="009C5500" w:rsidR="00D55C2C" w:rsidP="00D55C2C" w:rsidRDefault="00BA785E" w14:paraId="367D5B04" w14:textId="7C14CD8C">
            <w:pPr>
              <w:autoSpaceDE/>
              <w:autoSpaceDN/>
              <w:adjustRightInd/>
              <w:jc w:val="center"/>
              <w:rPr>
                <w:rFonts w:cs="Arial"/>
                <w:b/>
                <w:sz w:val="22"/>
                <w:szCs w:val="22"/>
              </w:rPr>
            </w:pPr>
            <w:r>
              <w:rPr>
                <w:rFonts w:cs="Arial"/>
                <w:b/>
                <w:sz w:val="22"/>
                <w:szCs w:val="22"/>
              </w:rPr>
              <w:t xml:space="preserve">Projected </w:t>
            </w:r>
            <w:r w:rsidRPr="009C5500" w:rsidR="00D55C2C">
              <w:rPr>
                <w:rFonts w:cs="Arial"/>
                <w:b/>
                <w:sz w:val="22"/>
                <w:szCs w:val="22"/>
              </w:rPr>
              <w:t xml:space="preserve">Number of Additional Confirmed Positive Test Results Annually from Special Analyses Testing </w:t>
            </w:r>
            <w:r w:rsidR="00BC44A5">
              <w:rPr>
                <w:rFonts w:cs="Arial"/>
                <w:b/>
                <w:sz w:val="22"/>
                <w:szCs w:val="22"/>
              </w:rPr>
              <w:br/>
            </w:r>
            <w:r w:rsidRPr="009C5500" w:rsidR="00D55C2C">
              <w:rPr>
                <w:rFonts w:cs="Arial"/>
                <w:b/>
                <w:sz w:val="22"/>
                <w:szCs w:val="22"/>
              </w:rPr>
              <w:t>by Nuclear Facility Type per Site</w:t>
            </w:r>
          </w:p>
        </w:tc>
      </w:tr>
      <w:tr w:rsidRPr="00D55C2C" w:rsidR="00D55C2C" w:rsidTr="00BC44A5" w14:paraId="06056BE7" w14:textId="77777777">
        <w:trPr>
          <w:trHeight w:val="267"/>
          <w:jc w:val="center"/>
        </w:trPr>
        <w:tc>
          <w:tcPr>
            <w:tcW w:w="1586" w:type="pct"/>
            <w:vMerge/>
            <w:vAlign w:val="center"/>
            <w:hideMark/>
          </w:tcPr>
          <w:p w:rsidRPr="009C5500" w:rsidR="00D55C2C" w:rsidP="00D55C2C" w:rsidRDefault="00D55C2C" w14:paraId="287FDF38" w14:textId="77777777">
            <w:pPr>
              <w:autoSpaceDE/>
              <w:autoSpaceDN/>
              <w:adjustRightInd/>
              <w:rPr>
                <w:rFonts w:cs="Arial"/>
                <w:sz w:val="22"/>
                <w:szCs w:val="22"/>
              </w:rPr>
            </w:pPr>
          </w:p>
        </w:tc>
        <w:tc>
          <w:tcPr>
            <w:tcW w:w="1532" w:type="pct"/>
            <w:shd w:val="clear" w:color="auto" w:fill="auto"/>
            <w:vAlign w:val="center"/>
            <w:hideMark/>
          </w:tcPr>
          <w:p w:rsidRPr="00BC44A5" w:rsidR="00D55C2C" w:rsidP="00D55C2C" w:rsidRDefault="00D55C2C" w14:paraId="4CA33E90" w14:textId="77777777">
            <w:pPr>
              <w:autoSpaceDE/>
              <w:autoSpaceDN/>
              <w:adjustRightInd/>
              <w:jc w:val="center"/>
              <w:rPr>
                <w:rFonts w:cs="Arial"/>
                <w:bCs/>
                <w:sz w:val="22"/>
                <w:szCs w:val="22"/>
              </w:rPr>
            </w:pPr>
            <w:r w:rsidRPr="00BC44A5">
              <w:rPr>
                <w:rFonts w:cs="Arial"/>
                <w:bCs/>
                <w:sz w:val="22"/>
                <w:szCs w:val="22"/>
              </w:rPr>
              <w:t>Dilute Specimens</w:t>
            </w:r>
          </w:p>
        </w:tc>
        <w:tc>
          <w:tcPr>
            <w:tcW w:w="1883" w:type="pct"/>
            <w:shd w:val="clear" w:color="auto" w:fill="auto"/>
            <w:vAlign w:val="center"/>
            <w:hideMark/>
          </w:tcPr>
          <w:p w:rsidRPr="00BC44A5" w:rsidR="00D55C2C" w:rsidP="00D55C2C" w:rsidRDefault="00D55C2C" w14:paraId="2DA3F547" w14:textId="77777777">
            <w:pPr>
              <w:autoSpaceDE/>
              <w:autoSpaceDN/>
              <w:adjustRightInd/>
              <w:jc w:val="center"/>
              <w:rPr>
                <w:rFonts w:cs="Arial"/>
                <w:bCs/>
                <w:sz w:val="22"/>
                <w:szCs w:val="22"/>
              </w:rPr>
            </w:pPr>
            <w:r w:rsidRPr="00BC44A5">
              <w:rPr>
                <w:rFonts w:cs="Arial"/>
                <w:bCs/>
                <w:sz w:val="22"/>
                <w:szCs w:val="22"/>
              </w:rPr>
              <w:t>Suspect Specimens</w:t>
            </w:r>
          </w:p>
        </w:tc>
      </w:tr>
      <w:tr w:rsidRPr="00D55C2C" w:rsidR="00D55C2C" w:rsidTr="00BC44A5" w14:paraId="1CF18CB6" w14:textId="77777777">
        <w:trPr>
          <w:trHeight w:val="288"/>
          <w:jc w:val="center"/>
        </w:trPr>
        <w:tc>
          <w:tcPr>
            <w:tcW w:w="1586" w:type="pct"/>
            <w:shd w:val="clear" w:color="auto" w:fill="auto"/>
            <w:vAlign w:val="center"/>
            <w:hideMark/>
          </w:tcPr>
          <w:p w:rsidRPr="009C5500" w:rsidR="00D55C2C" w:rsidP="00011C55" w:rsidRDefault="00D55C2C" w14:paraId="19093EDC" w14:textId="0F186551">
            <w:pPr>
              <w:autoSpaceDE/>
              <w:autoSpaceDN/>
              <w:adjustRightInd/>
              <w:rPr>
                <w:rFonts w:cs="Arial"/>
                <w:sz w:val="22"/>
                <w:szCs w:val="22"/>
              </w:rPr>
            </w:pPr>
            <w:r w:rsidRPr="009C5500">
              <w:rPr>
                <w:rFonts w:cs="Arial"/>
                <w:sz w:val="22"/>
                <w:szCs w:val="22"/>
              </w:rPr>
              <w:t>Microreactor</w:t>
            </w:r>
          </w:p>
        </w:tc>
        <w:tc>
          <w:tcPr>
            <w:tcW w:w="1532" w:type="pct"/>
            <w:shd w:val="clear" w:color="auto" w:fill="auto"/>
            <w:vAlign w:val="center"/>
            <w:hideMark/>
          </w:tcPr>
          <w:p w:rsidRPr="009C5500" w:rsidR="00D55C2C" w:rsidP="00D55C2C" w:rsidRDefault="00D55C2C" w14:paraId="12BD2B68" w14:textId="1504520E">
            <w:pPr>
              <w:autoSpaceDE/>
              <w:autoSpaceDN/>
              <w:adjustRightInd/>
              <w:jc w:val="center"/>
              <w:rPr>
                <w:rFonts w:cs="Arial"/>
                <w:sz w:val="22"/>
                <w:szCs w:val="22"/>
              </w:rPr>
            </w:pPr>
            <w:r w:rsidRPr="009C5500">
              <w:rPr>
                <w:rFonts w:cs="Arial"/>
                <w:sz w:val="22"/>
                <w:szCs w:val="22"/>
              </w:rPr>
              <w:t>0.002</w:t>
            </w:r>
          </w:p>
        </w:tc>
        <w:tc>
          <w:tcPr>
            <w:tcW w:w="1883" w:type="pct"/>
            <w:shd w:val="clear" w:color="auto" w:fill="auto"/>
            <w:vAlign w:val="center"/>
            <w:hideMark/>
          </w:tcPr>
          <w:p w:rsidRPr="009C5500" w:rsidR="00D55C2C" w:rsidP="00D55C2C" w:rsidRDefault="00D55C2C" w14:paraId="7E36F212" w14:textId="74469BD5">
            <w:pPr>
              <w:autoSpaceDE/>
              <w:autoSpaceDN/>
              <w:adjustRightInd/>
              <w:jc w:val="center"/>
              <w:rPr>
                <w:rFonts w:cs="Arial"/>
                <w:sz w:val="22"/>
                <w:szCs w:val="22"/>
              </w:rPr>
            </w:pPr>
            <w:r w:rsidRPr="009C5500">
              <w:rPr>
                <w:rFonts w:cs="Arial"/>
                <w:sz w:val="22"/>
                <w:szCs w:val="22"/>
              </w:rPr>
              <w:t>0.002</w:t>
            </w:r>
          </w:p>
        </w:tc>
      </w:tr>
      <w:tr w:rsidRPr="00D55C2C" w:rsidR="00D55C2C" w:rsidTr="00BC44A5" w14:paraId="373DFF0E" w14:textId="77777777">
        <w:trPr>
          <w:trHeight w:val="276"/>
          <w:jc w:val="center"/>
        </w:trPr>
        <w:tc>
          <w:tcPr>
            <w:tcW w:w="1586" w:type="pct"/>
            <w:shd w:val="clear" w:color="auto" w:fill="auto"/>
            <w:vAlign w:val="center"/>
            <w:hideMark/>
          </w:tcPr>
          <w:p w:rsidRPr="009C5500" w:rsidR="00D55C2C" w:rsidP="00011C55" w:rsidRDefault="00D55C2C" w14:paraId="79AFD271" w14:textId="77777777">
            <w:pPr>
              <w:autoSpaceDE/>
              <w:autoSpaceDN/>
              <w:adjustRightInd/>
              <w:rPr>
                <w:rFonts w:cs="Arial"/>
                <w:sz w:val="22"/>
                <w:szCs w:val="22"/>
              </w:rPr>
            </w:pPr>
            <w:r w:rsidRPr="009C5500">
              <w:rPr>
                <w:rFonts w:cs="Arial"/>
                <w:sz w:val="22"/>
                <w:szCs w:val="22"/>
              </w:rPr>
              <w:t>Small reactor</w:t>
            </w:r>
          </w:p>
        </w:tc>
        <w:tc>
          <w:tcPr>
            <w:tcW w:w="1532" w:type="pct"/>
            <w:shd w:val="clear" w:color="auto" w:fill="auto"/>
            <w:vAlign w:val="center"/>
            <w:hideMark/>
          </w:tcPr>
          <w:p w:rsidRPr="009C5500" w:rsidR="00D55C2C" w:rsidP="00D55C2C" w:rsidRDefault="00D55C2C" w14:paraId="69293F52" w14:textId="61CC9A88">
            <w:pPr>
              <w:autoSpaceDE/>
              <w:autoSpaceDN/>
              <w:adjustRightInd/>
              <w:jc w:val="center"/>
              <w:rPr>
                <w:rFonts w:cs="Arial"/>
                <w:sz w:val="22"/>
                <w:szCs w:val="22"/>
              </w:rPr>
            </w:pPr>
            <w:r w:rsidRPr="009C5500">
              <w:rPr>
                <w:rFonts w:cs="Arial"/>
                <w:sz w:val="22"/>
                <w:szCs w:val="22"/>
              </w:rPr>
              <w:t>0.01</w:t>
            </w:r>
          </w:p>
        </w:tc>
        <w:tc>
          <w:tcPr>
            <w:tcW w:w="1883" w:type="pct"/>
            <w:shd w:val="clear" w:color="auto" w:fill="auto"/>
            <w:vAlign w:val="center"/>
            <w:hideMark/>
          </w:tcPr>
          <w:p w:rsidRPr="009C5500" w:rsidR="00D55C2C" w:rsidP="00D55C2C" w:rsidRDefault="00D55C2C" w14:paraId="6E6F19CF" w14:textId="37E8AD21">
            <w:pPr>
              <w:autoSpaceDE/>
              <w:autoSpaceDN/>
              <w:adjustRightInd/>
              <w:jc w:val="center"/>
              <w:rPr>
                <w:rFonts w:cs="Arial"/>
                <w:sz w:val="22"/>
                <w:szCs w:val="22"/>
              </w:rPr>
            </w:pPr>
            <w:r w:rsidRPr="009C5500">
              <w:rPr>
                <w:rFonts w:cs="Arial"/>
                <w:sz w:val="22"/>
                <w:szCs w:val="22"/>
              </w:rPr>
              <w:t>0.01</w:t>
            </w:r>
          </w:p>
        </w:tc>
      </w:tr>
      <w:tr w:rsidRPr="00D55C2C" w:rsidR="00D55C2C" w:rsidTr="00BC44A5" w14:paraId="724CDC82" w14:textId="77777777">
        <w:trPr>
          <w:trHeight w:val="276"/>
          <w:jc w:val="center"/>
        </w:trPr>
        <w:tc>
          <w:tcPr>
            <w:tcW w:w="1586" w:type="pct"/>
            <w:shd w:val="clear" w:color="auto" w:fill="auto"/>
            <w:vAlign w:val="center"/>
            <w:hideMark/>
          </w:tcPr>
          <w:p w:rsidRPr="009C5500" w:rsidR="00D55C2C" w:rsidP="00011C55" w:rsidRDefault="00D55C2C" w14:paraId="606E8271" w14:textId="77777777">
            <w:pPr>
              <w:autoSpaceDE/>
              <w:autoSpaceDN/>
              <w:adjustRightInd/>
              <w:rPr>
                <w:rFonts w:cs="Arial"/>
                <w:sz w:val="22"/>
                <w:szCs w:val="22"/>
              </w:rPr>
            </w:pPr>
            <w:r w:rsidRPr="009C5500">
              <w:rPr>
                <w:rFonts w:cs="Arial"/>
                <w:sz w:val="22"/>
                <w:szCs w:val="22"/>
              </w:rPr>
              <w:t>Medium reactor</w:t>
            </w:r>
          </w:p>
        </w:tc>
        <w:tc>
          <w:tcPr>
            <w:tcW w:w="1532" w:type="pct"/>
            <w:shd w:val="clear" w:color="auto" w:fill="auto"/>
            <w:vAlign w:val="center"/>
            <w:hideMark/>
          </w:tcPr>
          <w:p w:rsidRPr="009C5500" w:rsidR="00D55C2C" w:rsidP="00D55C2C" w:rsidRDefault="00D55C2C" w14:paraId="0A8F1866" w14:textId="0B1A2E83">
            <w:pPr>
              <w:autoSpaceDE/>
              <w:autoSpaceDN/>
              <w:adjustRightInd/>
              <w:jc w:val="center"/>
              <w:rPr>
                <w:rFonts w:cs="Arial"/>
                <w:sz w:val="22"/>
                <w:szCs w:val="22"/>
              </w:rPr>
            </w:pPr>
            <w:r w:rsidRPr="009C5500">
              <w:rPr>
                <w:rFonts w:cs="Arial"/>
                <w:sz w:val="22"/>
                <w:szCs w:val="22"/>
              </w:rPr>
              <w:t>0.03</w:t>
            </w:r>
          </w:p>
        </w:tc>
        <w:tc>
          <w:tcPr>
            <w:tcW w:w="1883" w:type="pct"/>
            <w:shd w:val="clear" w:color="auto" w:fill="auto"/>
            <w:vAlign w:val="center"/>
            <w:hideMark/>
          </w:tcPr>
          <w:p w:rsidRPr="009C5500" w:rsidR="00D55C2C" w:rsidP="00D55C2C" w:rsidRDefault="00D55C2C" w14:paraId="2EA7B163" w14:textId="6FDACC9E">
            <w:pPr>
              <w:autoSpaceDE/>
              <w:autoSpaceDN/>
              <w:adjustRightInd/>
              <w:jc w:val="center"/>
              <w:rPr>
                <w:rFonts w:cs="Arial"/>
                <w:sz w:val="22"/>
                <w:szCs w:val="22"/>
              </w:rPr>
            </w:pPr>
            <w:r w:rsidRPr="009C5500">
              <w:rPr>
                <w:rFonts w:cs="Arial"/>
                <w:sz w:val="22"/>
                <w:szCs w:val="22"/>
              </w:rPr>
              <w:t>0.03</w:t>
            </w:r>
          </w:p>
        </w:tc>
      </w:tr>
      <w:tr w:rsidRPr="00D55C2C" w:rsidR="00D55C2C" w:rsidTr="00BC44A5" w14:paraId="012166BC" w14:textId="77777777">
        <w:trPr>
          <w:trHeight w:val="276"/>
          <w:jc w:val="center"/>
        </w:trPr>
        <w:tc>
          <w:tcPr>
            <w:tcW w:w="1586" w:type="pct"/>
            <w:shd w:val="clear" w:color="auto" w:fill="auto"/>
            <w:vAlign w:val="center"/>
            <w:hideMark/>
          </w:tcPr>
          <w:p w:rsidRPr="009C5500" w:rsidR="00D55C2C" w:rsidP="00011C55" w:rsidRDefault="00D55C2C" w14:paraId="09B45440" w14:textId="77777777">
            <w:pPr>
              <w:autoSpaceDE/>
              <w:autoSpaceDN/>
              <w:adjustRightInd/>
              <w:rPr>
                <w:rFonts w:cs="Arial"/>
                <w:sz w:val="22"/>
                <w:szCs w:val="22"/>
              </w:rPr>
            </w:pPr>
            <w:r w:rsidRPr="009C5500">
              <w:rPr>
                <w:rFonts w:cs="Arial"/>
                <w:sz w:val="22"/>
                <w:szCs w:val="22"/>
              </w:rPr>
              <w:t>Large reactor</w:t>
            </w:r>
          </w:p>
        </w:tc>
        <w:tc>
          <w:tcPr>
            <w:tcW w:w="1532" w:type="pct"/>
            <w:shd w:val="clear" w:color="auto" w:fill="auto"/>
            <w:vAlign w:val="center"/>
            <w:hideMark/>
          </w:tcPr>
          <w:p w:rsidRPr="009C5500" w:rsidR="00D55C2C" w:rsidP="00D55C2C" w:rsidRDefault="00D55C2C" w14:paraId="6610D9D0" w14:textId="067702C1">
            <w:pPr>
              <w:autoSpaceDE/>
              <w:autoSpaceDN/>
              <w:adjustRightInd/>
              <w:jc w:val="center"/>
              <w:rPr>
                <w:rFonts w:cs="Arial"/>
                <w:sz w:val="22"/>
                <w:szCs w:val="22"/>
              </w:rPr>
            </w:pPr>
            <w:r w:rsidRPr="009C5500">
              <w:rPr>
                <w:rFonts w:cs="Arial"/>
                <w:sz w:val="22"/>
                <w:szCs w:val="22"/>
              </w:rPr>
              <w:t>0.14</w:t>
            </w:r>
          </w:p>
        </w:tc>
        <w:tc>
          <w:tcPr>
            <w:tcW w:w="1883" w:type="pct"/>
            <w:shd w:val="clear" w:color="auto" w:fill="auto"/>
            <w:vAlign w:val="center"/>
            <w:hideMark/>
          </w:tcPr>
          <w:p w:rsidRPr="009C5500" w:rsidR="00D55C2C" w:rsidP="00D55C2C" w:rsidRDefault="00D55C2C" w14:paraId="2F80F41A" w14:textId="7411F46C">
            <w:pPr>
              <w:autoSpaceDE/>
              <w:autoSpaceDN/>
              <w:adjustRightInd/>
              <w:jc w:val="center"/>
              <w:rPr>
                <w:rFonts w:cs="Arial"/>
                <w:sz w:val="22"/>
                <w:szCs w:val="22"/>
              </w:rPr>
            </w:pPr>
            <w:r w:rsidRPr="009C5500">
              <w:rPr>
                <w:rFonts w:cs="Arial"/>
                <w:sz w:val="22"/>
                <w:szCs w:val="22"/>
              </w:rPr>
              <w:t>0.14</w:t>
            </w:r>
          </w:p>
        </w:tc>
      </w:tr>
      <w:tr w:rsidRPr="00D55C2C" w:rsidR="00D55C2C" w:rsidTr="00BC44A5" w14:paraId="13CCFB3A" w14:textId="77777777">
        <w:trPr>
          <w:trHeight w:val="276"/>
          <w:jc w:val="center"/>
        </w:trPr>
        <w:tc>
          <w:tcPr>
            <w:tcW w:w="1586" w:type="pct"/>
            <w:shd w:val="clear" w:color="auto" w:fill="auto"/>
            <w:vAlign w:val="center"/>
            <w:hideMark/>
          </w:tcPr>
          <w:p w:rsidRPr="009C5500" w:rsidR="00D55C2C" w:rsidP="00011C55" w:rsidRDefault="001462EE" w14:paraId="796EF33D" w14:textId="2208D1A7">
            <w:pPr>
              <w:autoSpaceDE/>
              <w:autoSpaceDN/>
              <w:adjustRightInd/>
              <w:rPr>
                <w:rFonts w:cs="Arial"/>
                <w:sz w:val="22"/>
                <w:szCs w:val="22"/>
              </w:rPr>
            </w:pPr>
            <w:r w:rsidRPr="00FE3156">
              <w:rPr>
                <w:rFonts w:cs="Arial"/>
                <w:sz w:val="22"/>
                <w:szCs w:val="22"/>
              </w:rPr>
              <w:t>Category I s</w:t>
            </w:r>
            <w:r w:rsidRPr="005174F5" w:rsidR="004F4B95">
              <w:rPr>
                <w:rFonts w:cs="Arial"/>
                <w:sz w:val="22"/>
                <w:szCs w:val="22"/>
              </w:rPr>
              <w:t>pecial nuclear material licensee</w:t>
            </w:r>
            <w:r w:rsidRPr="000F42EC" w:rsidR="00D84A29">
              <w:rPr>
                <w:rFonts w:cs="Arial"/>
                <w:sz w:val="22"/>
                <w:szCs w:val="22"/>
              </w:rPr>
              <w:t xml:space="preserve"> facility</w:t>
            </w:r>
          </w:p>
        </w:tc>
        <w:tc>
          <w:tcPr>
            <w:tcW w:w="1532" w:type="pct"/>
            <w:shd w:val="clear" w:color="auto" w:fill="auto"/>
            <w:vAlign w:val="center"/>
            <w:hideMark/>
          </w:tcPr>
          <w:p w:rsidRPr="009C5500" w:rsidR="00D55C2C" w:rsidP="00D55C2C" w:rsidRDefault="00D55C2C" w14:paraId="30766D2A" w14:textId="1EB14B35">
            <w:pPr>
              <w:autoSpaceDE/>
              <w:autoSpaceDN/>
              <w:adjustRightInd/>
              <w:jc w:val="center"/>
              <w:rPr>
                <w:rFonts w:cs="Arial"/>
                <w:sz w:val="22"/>
                <w:szCs w:val="22"/>
              </w:rPr>
            </w:pPr>
            <w:r w:rsidRPr="009C5500">
              <w:rPr>
                <w:rFonts w:cs="Arial"/>
                <w:sz w:val="22"/>
                <w:szCs w:val="22"/>
              </w:rPr>
              <w:t>0.14</w:t>
            </w:r>
          </w:p>
        </w:tc>
        <w:tc>
          <w:tcPr>
            <w:tcW w:w="1883" w:type="pct"/>
            <w:shd w:val="clear" w:color="auto" w:fill="auto"/>
            <w:vAlign w:val="center"/>
            <w:hideMark/>
          </w:tcPr>
          <w:p w:rsidRPr="009C5500" w:rsidR="00D55C2C" w:rsidP="00D55C2C" w:rsidRDefault="00D55C2C" w14:paraId="4A46A8F7" w14:textId="129EE05C">
            <w:pPr>
              <w:autoSpaceDE/>
              <w:autoSpaceDN/>
              <w:adjustRightInd/>
              <w:jc w:val="center"/>
              <w:rPr>
                <w:rFonts w:cs="Arial"/>
                <w:sz w:val="22"/>
                <w:szCs w:val="22"/>
              </w:rPr>
            </w:pPr>
            <w:r w:rsidRPr="009C5500">
              <w:rPr>
                <w:rFonts w:cs="Arial"/>
                <w:sz w:val="22"/>
                <w:szCs w:val="22"/>
              </w:rPr>
              <w:t>0.14</w:t>
            </w:r>
          </w:p>
        </w:tc>
      </w:tr>
    </w:tbl>
    <w:p w:rsidRPr="008656BF" w:rsidR="0033795C" w:rsidP="00982BD1" w:rsidRDefault="0033795C" w14:paraId="5C56AA57" w14:textId="77777777">
      <w:pPr>
        <w:widowControl w:val="0"/>
        <w:spacing w:before="60"/>
        <w:rPr>
          <w:rFonts w:cs="Arial"/>
          <w:sz w:val="22"/>
          <w:szCs w:val="22"/>
        </w:rPr>
      </w:pPr>
    </w:p>
    <w:p w:rsidR="00D520BD" w:rsidP="00D520BD" w:rsidRDefault="00D520BD" w14:paraId="08F559E2" w14:textId="7510DE9E">
      <w:pPr>
        <w:pStyle w:val="Heading3"/>
      </w:pPr>
      <w:bookmarkStart w:name="_Toc460412615" w:id="188"/>
      <w:bookmarkStart w:name="_Toc72840034" w:id="189"/>
      <w:bookmarkStart w:name="_Toc105681507" w:id="190"/>
      <w:r>
        <w:t>5.1.</w:t>
      </w:r>
      <w:r w:rsidR="00F32F61">
        <w:t>7</w:t>
      </w:r>
      <w:r>
        <w:tab/>
      </w:r>
      <w:r w:rsidRPr="00CE4BE4">
        <w:t>Averted Costs</w:t>
      </w:r>
      <w:bookmarkEnd w:id="188"/>
      <w:bookmarkEnd w:id="189"/>
      <w:bookmarkEnd w:id="190"/>
    </w:p>
    <w:p w:rsidRPr="00447449" w:rsidR="00D520BD" w:rsidP="00D520BD" w:rsidRDefault="00D520BD" w14:paraId="4785E41B" w14:textId="77777777">
      <w:pPr>
        <w:keepNext/>
        <w:rPr>
          <w:sz w:val="22"/>
        </w:rPr>
      </w:pPr>
    </w:p>
    <w:p w:rsidR="00D520BD" w:rsidP="00D520BD" w:rsidRDefault="00D520BD" w14:paraId="768CB1B4" w14:textId="48535A9C">
      <w:pPr>
        <w:rPr>
          <w:sz w:val="22"/>
          <w:szCs w:val="22"/>
        </w:rPr>
      </w:pPr>
      <w:r>
        <w:rPr>
          <w:sz w:val="22"/>
          <w:szCs w:val="22"/>
        </w:rPr>
        <w:t xml:space="preserve">The NRC estimates that the rule </w:t>
      </w:r>
      <w:r w:rsidR="00791DED">
        <w:rPr>
          <w:sz w:val="22"/>
          <w:szCs w:val="22"/>
        </w:rPr>
        <w:t xml:space="preserve">will </w:t>
      </w:r>
      <w:r>
        <w:rPr>
          <w:sz w:val="22"/>
          <w:szCs w:val="22"/>
        </w:rPr>
        <w:t xml:space="preserve">result in savings </w:t>
      </w:r>
      <w:r w:rsidR="00CA5269">
        <w:rPr>
          <w:sz w:val="22"/>
          <w:szCs w:val="22"/>
        </w:rPr>
        <w:t xml:space="preserve">(i.e., averted costs) </w:t>
      </w:r>
      <w:r>
        <w:rPr>
          <w:sz w:val="22"/>
          <w:szCs w:val="22"/>
        </w:rPr>
        <w:t>to licensees and other entities associated with training</w:t>
      </w:r>
      <w:r w:rsidRPr="0052394C">
        <w:rPr>
          <w:sz w:val="22"/>
          <w:szCs w:val="22"/>
        </w:rPr>
        <w:t xml:space="preserve"> during the in-pr</w:t>
      </w:r>
      <w:r>
        <w:rPr>
          <w:sz w:val="22"/>
          <w:szCs w:val="22"/>
        </w:rPr>
        <w:t>ocessing of licensee employees and</w:t>
      </w:r>
      <w:r w:rsidRPr="0052394C">
        <w:rPr>
          <w:sz w:val="22"/>
          <w:szCs w:val="22"/>
        </w:rPr>
        <w:t xml:space="preserve"> C</w:t>
      </w:r>
      <w:r>
        <w:rPr>
          <w:sz w:val="22"/>
          <w:szCs w:val="22"/>
        </w:rPr>
        <w:t>/</w:t>
      </w:r>
      <w:r w:rsidRPr="0052394C">
        <w:rPr>
          <w:sz w:val="22"/>
          <w:szCs w:val="22"/>
        </w:rPr>
        <w:t>Vs</w:t>
      </w:r>
      <w:r>
        <w:rPr>
          <w:sz w:val="22"/>
          <w:szCs w:val="22"/>
        </w:rPr>
        <w:t xml:space="preserve">. </w:t>
      </w:r>
      <w:r w:rsidR="00267972">
        <w:rPr>
          <w:sz w:val="22"/>
          <w:szCs w:val="22"/>
        </w:rPr>
        <w:t xml:space="preserve"> </w:t>
      </w:r>
      <w:r w:rsidR="00124746">
        <w:rPr>
          <w:sz w:val="22"/>
          <w:szCs w:val="22"/>
        </w:rPr>
        <w:t xml:space="preserve">Pre-access testing </w:t>
      </w:r>
      <w:r w:rsidR="00651CF4">
        <w:rPr>
          <w:sz w:val="22"/>
          <w:szCs w:val="22"/>
        </w:rPr>
        <w:t xml:space="preserve">accounts for </w:t>
      </w:r>
      <w:r w:rsidR="00124746">
        <w:rPr>
          <w:sz w:val="22"/>
          <w:szCs w:val="22"/>
        </w:rPr>
        <w:t>a</w:t>
      </w:r>
      <w:r w:rsidRPr="0052394C">
        <w:rPr>
          <w:sz w:val="22"/>
          <w:szCs w:val="22"/>
        </w:rPr>
        <w:t xml:space="preserve">pproximately </w:t>
      </w:r>
      <w:r w:rsidRPr="00721493">
        <w:rPr>
          <w:sz w:val="22"/>
          <w:szCs w:val="22"/>
        </w:rPr>
        <w:t>6</w:t>
      </w:r>
      <w:r w:rsidRPr="00721493" w:rsidR="00721493">
        <w:rPr>
          <w:sz w:val="22"/>
          <w:szCs w:val="22"/>
        </w:rPr>
        <w:t>7</w:t>
      </w:r>
      <w:r w:rsidRPr="00721493">
        <w:rPr>
          <w:sz w:val="22"/>
          <w:szCs w:val="22"/>
        </w:rPr>
        <w:t> percent of positive test results</w:t>
      </w:r>
      <w:r w:rsidRPr="0052394C">
        <w:rPr>
          <w:sz w:val="22"/>
          <w:szCs w:val="22"/>
        </w:rPr>
        <w:t xml:space="preserve"> each year.  </w:t>
      </w:r>
      <w:r>
        <w:rPr>
          <w:sz w:val="22"/>
          <w:szCs w:val="22"/>
        </w:rPr>
        <w:t>As a result</w:t>
      </w:r>
      <w:r w:rsidR="00646A79">
        <w:rPr>
          <w:sz w:val="22"/>
          <w:szCs w:val="22"/>
        </w:rPr>
        <w:t>,</w:t>
      </w:r>
      <w:r>
        <w:rPr>
          <w:sz w:val="22"/>
          <w:szCs w:val="22"/>
        </w:rPr>
        <w:t xml:space="preserve"> if an individual tests positive for a drug during pre-access testing</w:t>
      </w:r>
      <w:r w:rsidR="00646A79">
        <w:rPr>
          <w:sz w:val="22"/>
          <w:szCs w:val="22"/>
        </w:rPr>
        <w:t>,</w:t>
      </w:r>
      <w:r>
        <w:rPr>
          <w:sz w:val="22"/>
          <w:szCs w:val="22"/>
        </w:rPr>
        <w:t xml:space="preserve"> </w:t>
      </w:r>
      <w:r w:rsidRPr="0052394C">
        <w:rPr>
          <w:sz w:val="22"/>
          <w:szCs w:val="22"/>
        </w:rPr>
        <w:t xml:space="preserve">any remaining training </w:t>
      </w:r>
      <w:r>
        <w:rPr>
          <w:sz w:val="22"/>
          <w:szCs w:val="22"/>
        </w:rPr>
        <w:t xml:space="preserve">not </w:t>
      </w:r>
      <w:r w:rsidRPr="0052394C">
        <w:rPr>
          <w:sz w:val="22"/>
          <w:szCs w:val="22"/>
        </w:rPr>
        <w:t xml:space="preserve">completed </w:t>
      </w:r>
      <w:r>
        <w:rPr>
          <w:sz w:val="22"/>
          <w:szCs w:val="22"/>
        </w:rPr>
        <w:t xml:space="preserve">by that individual </w:t>
      </w:r>
      <w:r w:rsidRPr="0052394C">
        <w:rPr>
          <w:sz w:val="22"/>
          <w:szCs w:val="22"/>
        </w:rPr>
        <w:t xml:space="preserve">at the time </w:t>
      </w:r>
      <w:r>
        <w:rPr>
          <w:sz w:val="22"/>
          <w:szCs w:val="22"/>
        </w:rPr>
        <w:t xml:space="preserve">the </w:t>
      </w:r>
      <w:r w:rsidRPr="00660216">
        <w:rPr>
          <w:sz w:val="22"/>
          <w:szCs w:val="22"/>
        </w:rPr>
        <w:t xml:space="preserve">confirmed positive test </w:t>
      </w:r>
      <w:r w:rsidRPr="00660216" w:rsidR="00660216">
        <w:rPr>
          <w:sz w:val="22"/>
          <w:szCs w:val="22"/>
        </w:rPr>
        <w:t>result</w:t>
      </w:r>
      <w:r w:rsidRPr="00660216">
        <w:rPr>
          <w:sz w:val="22"/>
          <w:szCs w:val="22"/>
        </w:rPr>
        <w:t xml:space="preserve"> </w:t>
      </w:r>
      <w:r w:rsidR="002A2884">
        <w:rPr>
          <w:sz w:val="22"/>
          <w:szCs w:val="22"/>
        </w:rPr>
        <w:t xml:space="preserve">is received </w:t>
      </w:r>
      <w:r w:rsidRPr="00660216">
        <w:rPr>
          <w:sz w:val="22"/>
          <w:szCs w:val="22"/>
        </w:rPr>
        <w:t>result</w:t>
      </w:r>
      <w:r w:rsidRPr="00660216" w:rsidR="00124746">
        <w:rPr>
          <w:sz w:val="22"/>
          <w:szCs w:val="22"/>
        </w:rPr>
        <w:t>s</w:t>
      </w:r>
      <w:r w:rsidRPr="00660216">
        <w:rPr>
          <w:sz w:val="22"/>
          <w:szCs w:val="22"/>
        </w:rPr>
        <w:t xml:space="preserve"> in </w:t>
      </w:r>
      <w:r w:rsidRPr="00660216" w:rsidR="00124746">
        <w:rPr>
          <w:sz w:val="22"/>
          <w:szCs w:val="22"/>
        </w:rPr>
        <w:t>a</w:t>
      </w:r>
      <w:r w:rsidRPr="00660216">
        <w:rPr>
          <w:sz w:val="22"/>
          <w:szCs w:val="22"/>
        </w:rPr>
        <w:t xml:space="preserve"> savings</w:t>
      </w:r>
      <w:r w:rsidRPr="0052394C">
        <w:rPr>
          <w:sz w:val="22"/>
          <w:szCs w:val="22"/>
        </w:rPr>
        <w:t xml:space="preserve"> </w:t>
      </w:r>
      <w:r>
        <w:rPr>
          <w:sz w:val="22"/>
          <w:szCs w:val="22"/>
        </w:rPr>
        <w:t xml:space="preserve">to the licensee or other entity because the individual would immediately be denied unescorted access authorization </w:t>
      </w:r>
      <w:r w:rsidRPr="00594A98">
        <w:rPr>
          <w:sz w:val="22"/>
          <w:szCs w:val="22"/>
        </w:rPr>
        <w:t xml:space="preserve">for failing the required </w:t>
      </w:r>
      <w:r>
        <w:rPr>
          <w:sz w:val="22"/>
          <w:szCs w:val="22"/>
        </w:rPr>
        <w:t>FFD</w:t>
      </w:r>
      <w:r w:rsidRPr="00594A98">
        <w:rPr>
          <w:sz w:val="22"/>
          <w:szCs w:val="22"/>
        </w:rPr>
        <w:t xml:space="preserve"> drug test.  Appendi</w:t>
      </w:r>
      <w:r w:rsidR="00561451">
        <w:rPr>
          <w:sz w:val="22"/>
          <w:szCs w:val="22"/>
        </w:rPr>
        <w:t>ces D an</w:t>
      </w:r>
      <w:r w:rsidR="001A4DBC">
        <w:rPr>
          <w:sz w:val="22"/>
          <w:szCs w:val="22"/>
        </w:rPr>
        <w:t>d</w:t>
      </w:r>
      <w:r>
        <w:rPr>
          <w:sz w:val="22"/>
          <w:szCs w:val="22"/>
        </w:rPr>
        <w:t> E provide</w:t>
      </w:r>
      <w:r w:rsidRPr="00594A98">
        <w:rPr>
          <w:sz w:val="22"/>
          <w:szCs w:val="22"/>
        </w:rPr>
        <w:t xml:space="preserve"> additional</w:t>
      </w:r>
      <w:r>
        <w:rPr>
          <w:sz w:val="22"/>
          <w:szCs w:val="22"/>
        </w:rPr>
        <w:t xml:space="preserve"> information.</w:t>
      </w:r>
    </w:p>
    <w:p w:rsidR="00D520BD" w:rsidP="00D520BD" w:rsidRDefault="00D520BD" w14:paraId="0E8A34B0" w14:textId="77777777">
      <w:pPr>
        <w:rPr>
          <w:sz w:val="22"/>
          <w:szCs w:val="22"/>
        </w:rPr>
      </w:pPr>
    </w:p>
    <w:p w:rsidR="00D520BD" w:rsidP="00D520BD" w:rsidRDefault="00D520BD" w14:paraId="671405CC" w14:textId="73C08416">
      <w:pPr>
        <w:rPr>
          <w:sz w:val="22"/>
          <w:szCs w:val="22"/>
        </w:rPr>
      </w:pPr>
      <w:r w:rsidRPr="0052394C">
        <w:rPr>
          <w:sz w:val="22"/>
          <w:szCs w:val="22"/>
        </w:rPr>
        <w:t>The</w:t>
      </w:r>
      <w:r>
        <w:rPr>
          <w:sz w:val="22"/>
          <w:szCs w:val="22"/>
        </w:rPr>
        <w:t xml:space="preserve">se </w:t>
      </w:r>
      <w:r w:rsidRPr="0052394C">
        <w:rPr>
          <w:sz w:val="22"/>
          <w:szCs w:val="22"/>
        </w:rPr>
        <w:t xml:space="preserve">incremental </w:t>
      </w:r>
      <w:r>
        <w:rPr>
          <w:sz w:val="22"/>
          <w:szCs w:val="22"/>
        </w:rPr>
        <w:t xml:space="preserve">savings (averted costs) </w:t>
      </w:r>
      <w:r w:rsidRPr="0052394C">
        <w:rPr>
          <w:sz w:val="22"/>
          <w:szCs w:val="22"/>
        </w:rPr>
        <w:t xml:space="preserve">are </w:t>
      </w:r>
      <w:r>
        <w:rPr>
          <w:sz w:val="22"/>
          <w:szCs w:val="22"/>
        </w:rPr>
        <w:t xml:space="preserve">estimated </w:t>
      </w:r>
      <w:r w:rsidRPr="0052394C">
        <w:rPr>
          <w:sz w:val="22"/>
          <w:szCs w:val="22"/>
        </w:rPr>
        <w:t>as follows:</w:t>
      </w:r>
    </w:p>
    <w:p w:rsidRPr="0052394C" w:rsidR="00D520BD" w:rsidP="00D520BD" w:rsidRDefault="00D520BD" w14:paraId="062F565A" w14:textId="77777777">
      <w:pPr>
        <w:rPr>
          <w:sz w:val="22"/>
          <w:szCs w:val="22"/>
        </w:rPr>
      </w:pPr>
    </w:p>
    <w:p w:rsidRPr="00FD6DF6" w:rsidR="00D520BD" w:rsidP="00DB54E9" w:rsidRDefault="00D520BD" w14:paraId="61107C1B" w14:textId="22B5E663">
      <w:pPr>
        <w:pStyle w:val="ListParagraph"/>
        <w:keepNext/>
        <w:keepLines/>
        <w:numPr>
          <w:ilvl w:val="0"/>
          <w:numId w:val="15"/>
        </w:numPr>
        <w:tabs>
          <w:tab w:val="left" w:pos="721"/>
        </w:tabs>
        <w:ind w:hanging="720"/>
        <w:rPr>
          <w:sz w:val="22"/>
          <w:szCs w:val="22"/>
        </w:rPr>
      </w:pPr>
      <w:r w:rsidRPr="00FD6DF6">
        <w:rPr>
          <w:sz w:val="22"/>
          <w:szCs w:val="22"/>
        </w:rPr>
        <w:lastRenderedPageBreak/>
        <w:t>total annual savings to industry</w:t>
      </w:r>
      <w:r w:rsidR="004212C8">
        <w:rPr>
          <w:sz w:val="22"/>
          <w:szCs w:val="22"/>
        </w:rPr>
        <w:t xml:space="preserve"> = </w:t>
      </w:r>
      <w:r w:rsidRPr="00FD6DF6">
        <w:rPr>
          <w:sz w:val="22"/>
          <w:szCs w:val="22"/>
        </w:rPr>
        <w:t>$</w:t>
      </w:r>
      <w:r w:rsidR="00C32923">
        <w:rPr>
          <w:sz w:val="22"/>
          <w:szCs w:val="22"/>
        </w:rPr>
        <w:t>370,539</w:t>
      </w:r>
    </w:p>
    <w:p w:rsidRPr="00FD6DF6" w:rsidR="00D520BD" w:rsidP="00DB54E9" w:rsidRDefault="00D520BD" w14:paraId="5076079A" w14:textId="3754371E">
      <w:pPr>
        <w:pStyle w:val="ListParagraph"/>
        <w:keepNext/>
        <w:keepLines/>
        <w:numPr>
          <w:ilvl w:val="0"/>
          <w:numId w:val="15"/>
        </w:numPr>
        <w:tabs>
          <w:tab w:val="left" w:pos="721"/>
        </w:tabs>
        <w:ind w:hanging="720"/>
        <w:rPr>
          <w:sz w:val="22"/>
          <w:szCs w:val="22"/>
        </w:rPr>
      </w:pPr>
      <w:r w:rsidRPr="00FD6DF6">
        <w:rPr>
          <w:sz w:val="22"/>
          <w:szCs w:val="22"/>
        </w:rPr>
        <w:t xml:space="preserve">average </w:t>
      </w:r>
      <w:r w:rsidR="00FE3288">
        <w:rPr>
          <w:sz w:val="22"/>
          <w:szCs w:val="22"/>
        </w:rPr>
        <w:t xml:space="preserve">annual </w:t>
      </w:r>
      <w:r w:rsidRPr="00FD6DF6">
        <w:rPr>
          <w:sz w:val="22"/>
          <w:szCs w:val="22"/>
        </w:rPr>
        <w:t>savings per site</w:t>
      </w:r>
      <w:r w:rsidR="004212C8">
        <w:rPr>
          <w:sz w:val="22"/>
          <w:szCs w:val="22"/>
        </w:rPr>
        <w:t xml:space="preserve"> = </w:t>
      </w:r>
      <w:r w:rsidRPr="00FD6DF6">
        <w:rPr>
          <w:sz w:val="22"/>
          <w:szCs w:val="22"/>
        </w:rPr>
        <w:t>$</w:t>
      </w:r>
      <w:r w:rsidR="003A0670">
        <w:rPr>
          <w:sz w:val="22"/>
          <w:szCs w:val="22"/>
        </w:rPr>
        <w:t>6,280</w:t>
      </w:r>
    </w:p>
    <w:p w:rsidRPr="00646A79" w:rsidR="00D520BD" w:rsidP="00D520BD" w:rsidRDefault="00D520BD" w14:paraId="5B0E7915" w14:textId="77777777">
      <w:pPr>
        <w:pStyle w:val="ListParagraph"/>
        <w:tabs>
          <w:tab w:val="left" w:pos="721"/>
        </w:tabs>
        <w:rPr>
          <w:sz w:val="22"/>
          <w:szCs w:val="22"/>
        </w:rPr>
      </w:pPr>
    </w:p>
    <w:p w:rsidR="00D520BD" w:rsidP="00D520BD" w:rsidRDefault="00D520BD" w14:paraId="5548082C" w14:textId="26BA8DFF">
      <w:pPr>
        <w:tabs>
          <w:tab w:val="left" w:pos="721"/>
        </w:tabs>
        <w:rPr>
          <w:sz w:val="22"/>
          <w:szCs w:val="22"/>
        </w:rPr>
      </w:pPr>
      <w:r>
        <w:rPr>
          <w:sz w:val="22"/>
          <w:szCs w:val="22"/>
        </w:rPr>
        <w:t xml:space="preserve">The projected </w:t>
      </w:r>
      <w:r w:rsidRPr="00A05D06">
        <w:rPr>
          <w:sz w:val="22"/>
          <w:szCs w:val="22"/>
        </w:rPr>
        <w:t xml:space="preserve">savings associated with </w:t>
      </w:r>
      <w:r>
        <w:rPr>
          <w:sz w:val="22"/>
          <w:szCs w:val="22"/>
        </w:rPr>
        <w:t xml:space="preserve">the </w:t>
      </w:r>
      <w:r w:rsidR="00C82438">
        <w:rPr>
          <w:sz w:val="22"/>
          <w:szCs w:val="22"/>
        </w:rPr>
        <w:t>final</w:t>
      </w:r>
      <w:r>
        <w:rPr>
          <w:sz w:val="22"/>
          <w:szCs w:val="22"/>
        </w:rPr>
        <w:t xml:space="preserve"> rule are based on the estimated increase in the </w:t>
      </w:r>
      <w:r w:rsidRPr="00A05D06">
        <w:rPr>
          <w:sz w:val="22"/>
          <w:szCs w:val="22"/>
        </w:rPr>
        <w:t xml:space="preserve">number of </w:t>
      </w:r>
      <w:r>
        <w:rPr>
          <w:sz w:val="22"/>
          <w:szCs w:val="22"/>
        </w:rPr>
        <w:t xml:space="preserve">individuals testing </w:t>
      </w:r>
      <w:r w:rsidRPr="00A05D06">
        <w:rPr>
          <w:sz w:val="22"/>
          <w:szCs w:val="22"/>
        </w:rPr>
        <w:t xml:space="preserve">positive </w:t>
      </w:r>
      <w:r>
        <w:rPr>
          <w:sz w:val="22"/>
          <w:szCs w:val="22"/>
        </w:rPr>
        <w:t>each year</w:t>
      </w:r>
      <w:r w:rsidR="003E4EB7">
        <w:rPr>
          <w:sz w:val="22"/>
          <w:szCs w:val="22"/>
        </w:rPr>
        <w:t>,</w:t>
      </w:r>
      <w:r>
        <w:rPr>
          <w:sz w:val="22"/>
          <w:szCs w:val="22"/>
        </w:rPr>
        <w:t xml:space="preserve"> </w:t>
      </w:r>
      <w:r w:rsidR="003E4EB7">
        <w:rPr>
          <w:sz w:val="22"/>
          <w:szCs w:val="22"/>
        </w:rPr>
        <w:t>as</w:t>
      </w:r>
      <w:r>
        <w:rPr>
          <w:sz w:val="22"/>
          <w:szCs w:val="22"/>
        </w:rPr>
        <w:t xml:space="preserve"> </w:t>
      </w:r>
      <w:r w:rsidR="005F19AE">
        <w:rPr>
          <w:sz w:val="22"/>
          <w:szCs w:val="22"/>
        </w:rPr>
        <w:t xml:space="preserve">accounted for by </w:t>
      </w:r>
      <w:r>
        <w:rPr>
          <w:sz w:val="22"/>
          <w:szCs w:val="22"/>
        </w:rPr>
        <w:t>the projected number of additional confirmed positives detected</w:t>
      </w:r>
      <w:r w:rsidR="003E4EB7">
        <w:rPr>
          <w:sz w:val="22"/>
          <w:szCs w:val="22"/>
        </w:rPr>
        <w:t>, and the subsequent averted training costs</w:t>
      </w:r>
      <w:r>
        <w:rPr>
          <w:sz w:val="22"/>
          <w:szCs w:val="22"/>
        </w:rPr>
        <w:t>.</w:t>
      </w:r>
      <w:r w:rsidR="00C12EFC">
        <w:rPr>
          <w:sz w:val="22"/>
          <w:szCs w:val="22"/>
        </w:rPr>
        <w:t xml:space="preserve">  Appendix</w:t>
      </w:r>
      <w:r w:rsidR="003E4EB7">
        <w:rPr>
          <w:sz w:val="22"/>
          <w:szCs w:val="22"/>
        </w:rPr>
        <w:t> </w:t>
      </w:r>
      <w:r w:rsidR="00C12EFC">
        <w:rPr>
          <w:sz w:val="22"/>
          <w:szCs w:val="22"/>
        </w:rPr>
        <w:t>F provides additional information.</w:t>
      </w:r>
    </w:p>
    <w:p w:rsidR="00D520BD" w:rsidP="00D520BD" w:rsidRDefault="00D520BD" w14:paraId="642A6759" w14:textId="77777777">
      <w:pPr>
        <w:tabs>
          <w:tab w:val="left" w:pos="721"/>
        </w:tabs>
        <w:rPr>
          <w:sz w:val="22"/>
          <w:szCs w:val="22"/>
        </w:rPr>
      </w:pPr>
    </w:p>
    <w:p w:rsidRPr="007B2B63" w:rsidR="004E2626" w:rsidP="004E2626" w:rsidRDefault="00D520BD" w14:paraId="313B312B" w14:textId="4A45CB81">
      <w:pPr>
        <w:pStyle w:val="Heading3"/>
      </w:pPr>
      <w:bookmarkStart w:name="_Toc72840035" w:id="191"/>
      <w:bookmarkStart w:name="_Toc105681508" w:id="192"/>
      <w:bookmarkStart w:name="_Toc460412616" w:id="193"/>
      <w:r w:rsidRPr="00D67705">
        <w:t>5.1.</w:t>
      </w:r>
      <w:r w:rsidRPr="00D67705" w:rsidR="004E2626">
        <w:t>8</w:t>
      </w:r>
      <w:r w:rsidRPr="00D67705" w:rsidR="004E2626">
        <w:tab/>
      </w:r>
      <w:r w:rsidRPr="005C7807" w:rsidR="001D5E86">
        <w:t>Alternative</w:t>
      </w:r>
      <w:r w:rsidRPr="005C7807" w:rsidR="003F6E4B">
        <w:t xml:space="preserve"> Specimen </w:t>
      </w:r>
      <w:r w:rsidRPr="005C7807" w:rsidR="00BC4128">
        <w:t xml:space="preserve">(Oral Fluid) </w:t>
      </w:r>
      <w:r w:rsidRPr="00F208D9" w:rsidR="003F6E4B">
        <w:t>Drug Testing</w:t>
      </w:r>
      <w:bookmarkEnd w:id="191"/>
      <w:bookmarkEnd w:id="192"/>
    </w:p>
    <w:p w:rsidRPr="005C7807" w:rsidR="004E2626" w:rsidP="004E2626" w:rsidRDefault="004E2626" w14:paraId="6A7D8477" w14:textId="77777777">
      <w:pPr>
        <w:keepNext/>
        <w:rPr>
          <w:sz w:val="22"/>
          <w:szCs w:val="22"/>
          <w:u w:val="single"/>
        </w:rPr>
      </w:pPr>
    </w:p>
    <w:p w:rsidRPr="00530F3B" w:rsidR="00530F3B" w:rsidP="00D94D8F" w:rsidRDefault="003E4EB7" w14:paraId="44695A73" w14:textId="1FAA12AE">
      <w:pPr>
        <w:rPr>
          <w:rFonts w:cs="Arial"/>
          <w:sz w:val="22"/>
          <w:szCs w:val="22"/>
        </w:rPr>
      </w:pPr>
      <w:r w:rsidRPr="005C7807">
        <w:rPr>
          <w:rFonts w:cs="Arial"/>
          <w:sz w:val="22"/>
          <w:szCs w:val="22"/>
        </w:rPr>
        <w:t>In the final rule</w:t>
      </w:r>
      <w:r>
        <w:rPr>
          <w:rFonts w:cs="Arial"/>
          <w:sz w:val="22"/>
          <w:szCs w:val="22"/>
        </w:rPr>
        <w:t>, 10 CFR</w:t>
      </w:r>
      <w:r w:rsidRPr="00314922" w:rsidR="00314922">
        <w:rPr>
          <w:rFonts w:cs="Arial"/>
          <w:sz w:val="22"/>
          <w:szCs w:val="22"/>
        </w:rPr>
        <w:t xml:space="preserve"> 26.83(b) provides licensees and other entities with the option to collect and test an oral fluid specimen instead of a urine specimen for any of the observed specimen collection conditions under 10 CFR 26.115(a)(1) through (a)(3) and (a)(5). </w:t>
      </w:r>
      <w:r w:rsidR="00276435">
        <w:rPr>
          <w:rFonts w:cs="Arial"/>
          <w:sz w:val="22"/>
          <w:szCs w:val="22"/>
        </w:rPr>
        <w:t xml:space="preserve"> </w:t>
      </w:r>
      <w:r w:rsidRPr="00314922" w:rsidR="00314922">
        <w:rPr>
          <w:rFonts w:cs="Arial"/>
          <w:sz w:val="22"/>
          <w:szCs w:val="22"/>
        </w:rPr>
        <w:t>Testing of an oral fluid specimen must be performed at an HHS-certified laboratory.</w:t>
      </w:r>
    </w:p>
    <w:p w:rsidRPr="00530F3B" w:rsidR="00530F3B" w:rsidP="00530F3B" w:rsidRDefault="00530F3B" w14:paraId="18BFBE7A" w14:textId="77777777">
      <w:pPr>
        <w:ind w:left="72"/>
        <w:rPr>
          <w:rFonts w:cs="Arial"/>
          <w:sz w:val="22"/>
          <w:szCs w:val="22"/>
        </w:rPr>
      </w:pPr>
    </w:p>
    <w:p w:rsidR="00EE634D" w:rsidP="00530F3B" w:rsidRDefault="00530F3B" w14:paraId="5276866F" w14:textId="5A9B546F">
      <w:pPr>
        <w:tabs>
          <w:tab w:val="left" w:pos="721"/>
        </w:tabs>
        <w:rPr>
          <w:rFonts w:cs="Arial"/>
          <w:sz w:val="22"/>
          <w:szCs w:val="22"/>
        </w:rPr>
      </w:pPr>
      <w:r w:rsidRPr="00530F3B">
        <w:rPr>
          <w:rFonts w:cs="Arial"/>
          <w:sz w:val="22"/>
          <w:szCs w:val="22"/>
        </w:rPr>
        <w:t xml:space="preserve">The </w:t>
      </w:r>
      <w:r w:rsidR="00D97DA4">
        <w:rPr>
          <w:rFonts w:cs="Arial"/>
          <w:sz w:val="22"/>
          <w:szCs w:val="22"/>
        </w:rPr>
        <w:t>NRC</w:t>
      </w:r>
      <w:r w:rsidRPr="00530F3B">
        <w:rPr>
          <w:rFonts w:cs="Arial"/>
          <w:sz w:val="22"/>
          <w:szCs w:val="22"/>
        </w:rPr>
        <w:t xml:space="preserve"> staff estimated the net benefits (costs) of </w:t>
      </w:r>
      <w:r w:rsidR="00D97DA4">
        <w:rPr>
          <w:rFonts w:cs="Arial"/>
          <w:sz w:val="22"/>
          <w:szCs w:val="22"/>
        </w:rPr>
        <w:t>the oral fluid specimen option</w:t>
      </w:r>
      <w:r w:rsidRPr="00530F3B">
        <w:rPr>
          <w:rFonts w:cs="Arial"/>
          <w:sz w:val="22"/>
          <w:szCs w:val="22"/>
        </w:rPr>
        <w:t xml:space="preserve"> by calculating the costs of the alternative evaluation process and subtracting </w:t>
      </w:r>
      <w:r w:rsidR="006130EE">
        <w:rPr>
          <w:rFonts w:cs="Arial"/>
          <w:sz w:val="22"/>
          <w:szCs w:val="22"/>
        </w:rPr>
        <w:t>those</w:t>
      </w:r>
      <w:r w:rsidRPr="00530F3B">
        <w:rPr>
          <w:rFonts w:cs="Arial"/>
          <w:sz w:val="22"/>
          <w:szCs w:val="22"/>
        </w:rPr>
        <w:t xml:space="preserve"> costs </w:t>
      </w:r>
      <w:r w:rsidR="006130EE">
        <w:rPr>
          <w:rFonts w:cs="Arial"/>
          <w:sz w:val="22"/>
          <w:szCs w:val="22"/>
        </w:rPr>
        <w:t xml:space="preserve">from </w:t>
      </w:r>
      <w:r w:rsidRPr="00530F3B">
        <w:rPr>
          <w:rFonts w:cs="Arial"/>
          <w:sz w:val="22"/>
          <w:szCs w:val="22"/>
        </w:rPr>
        <w:t xml:space="preserve">the costs </w:t>
      </w:r>
      <w:r w:rsidR="00D3044E">
        <w:rPr>
          <w:rFonts w:cs="Arial"/>
          <w:sz w:val="22"/>
          <w:szCs w:val="22"/>
        </w:rPr>
        <w:t>to collect and test urine specimens under the same conditions</w:t>
      </w:r>
      <w:r w:rsidR="00964D5C">
        <w:rPr>
          <w:rFonts w:cs="Arial"/>
          <w:sz w:val="22"/>
          <w:szCs w:val="22"/>
        </w:rPr>
        <w:t>.</w:t>
      </w:r>
      <w:r w:rsidR="00523561">
        <w:rPr>
          <w:rFonts w:cs="Arial"/>
          <w:sz w:val="22"/>
          <w:szCs w:val="22"/>
        </w:rPr>
        <w:t xml:space="preserve">  </w:t>
      </w:r>
      <w:r w:rsidRPr="0055239B" w:rsidR="0055239B">
        <w:rPr>
          <w:rFonts w:cs="Arial"/>
          <w:sz w:val="22"/>
          <w:szCs w:val="22"/>
        </w:rPr>
        <w:t xml:space="preserve">The majority of observed collections performed each year pertain to </w:t>
      </w:r>
      <w:r w:rsidR="00446960">
        <w:rPr>
          <w:rFonts w:cs="Arial"/>
          <w:sz w:val="22"/>
          <w:szCs w:val="22"/>
        </w:rPr>
        <w:t>two types</w:t>
      </w:r>
      <w:r w:rsidR="001A30A1">
        <w:rPr>
          <w:rFonts w:cs="Arial"/>
          <w:sz w:val="22"/>
          <w:szCs w:val="22"/>
        </w:rPr>
        <w:t xml:space="preserve"> of </w:t>
      </w:r>
      <w:r w:rsidR="00D14508">
        <w:rPr>
          <w:rFonts w:cs="Arial"/>
          <w:sz w:val="22"/>
          <w:szCs w:val="22"/>
        </w:rPr>
        <w:t xml:space="preserve">potential </w:t>
      </w:r>
      <w:r w:rsidR="00E128A8">
        <w:rPr>
          <w:rFonts w:cs="Arial"/>
          <w:sz w:val="22"/>
          <w:szCs w:val="22"/>
        </w:rPr>
        <w:t>subversion</w:t>
      </w:r>
      <w:r w:rsidR="001A30A1">
        <w:rPr>
          <w:rFonts w:cs="Arial"/>
          <w:sz w:val="22"/>
          <w:szCs w:val="22"/>
        </w:rPr>
        <w:t xml:space="preserve"> attempts identified during the specimen collection process:  </w:t>
      </w:r>
      <w:r w:rsidRPr="0055239B" w:rsidR="0055239B">
        <w:rPr>
          <w:rFonts w:cs="Arial"/>
          <w:sz w:val="22"/>
          <w:szCs w:val="22"/>
        </w:rPr>
        <w:t xml:space="preserve">the donor’s urine specimen is outside the </w:t>
      </w:r>
      <w:r w:rsidR="00907268">
        <w:rPr>
          <w:rFonts w:cs="Arial"/>
          <w:sz w:val="22"/>
          <w:szCs w:val="22"/>
        </w:rPr>
        <w:t>acce</w:t>
      </w:r>
      <w:r w:rsidR="00450AB4">
        <w:rPr>
          <w:rFonts w:cs="Arial"/>
          <w:sz w:val="22"/>
          <w:szCs w:val="22"/>
        </w:rPr>
        <w:t xml:space="preserve">ptable </w:t>
      </w:r>
      <w:r w:rsidRPr="0055239B" w:rsidR="0055239B">
        <w:rPr>
          <w:rFonts w:cs="Arial"/>
          <w:sz w:val="22"/>
          <w:szCs w:val="22"/>
        </w:rPr>
        <w:t xml:space="preserve"> temperature range</w:t>
      </w:r>
      <w:r w:rsidR="00F325E1">
        <w:rPr>
          <w:rFonts w:cs="Arial"/>
          <w:sz w:val="22"/>
          <w:szCs w:val="22"/>
        </w:rPr>
        <w:t xml:space="preserve"> (10 CFR 26.115(a)(2))</w:t>
      </w:r>
      <w:r w:rsidRPr="0055239B" w:rsidR="0055239B">
        <w:rPr>
          <w:rFonts w:cs="Arial"/>
          <w:sz w:val="22"/>
          <w:szCs w:val="22"/>
        </w:rPr>
        <w:t xml:space="preserve">, </w:t>
      </w:r>
      <w:r w:rsidR="005F075E">
        <w:rPr>
          <w:rFonts w:cs="Arial"/>
          <w:sz w:val="22"/>
          <w:szCs w:val="22"/>
        </w:rPr>
        <w:t xml:space="preserve">and </w:t>
      </w:r>
      <w:r w:rsidRPr="0055239B" w:rsidR="0055239B">
        <w:rPr>
          <w:rFonts w:cs="Arial"/>
          <w:sz w:val="22"/>
          <w:szCs w:val="22"/>
        </w:rPr>
        <w:t>donor conduct is observed indicating an attempt to subvert the testing process</w:t>
      </w:r>
      <w:r w:rsidR="006D7D82">
        <w:rPr>
          <w:rFonts w:cs="Arial"/>
          <w:sz w:val="22"/>
          <w:szCs w:val="22"/>
        </w:rPr>
        <w:t xml:space="preserve"> (10 CFR 26.115(a)(3))</w:t>
      </w:r>
      <w:r w:rsidRPr="0055239B" w:rsidR="0055239B">
        <w:rPr>
          <w:rFonts w:cs="Arial"/>
          <w:sz w:val="22"/>
          <w:szCs w:val="22"/>
        </w:rPr>
        <w:t xml:space="preserve">. </w:t>
      </w:r>
      <w:r w:rsidR="00B77697">
        <w:rPr>
          <w:rFonts w:cs="Arial"/>
          <w:sz w:val="22"/>
          <w:szCs w:val="22"/>
        </w:rPr>
        <w:t xml:space="preserve"> </w:t>
      </w:r>
      <w:r w:rsidRPr="0055239B" w:rsidR="0055239B">
        <w:rPr>
          <w:rFonts w:cs="Arial"/>
          <w:sz w:val="22"/>
          <w:szCs w:val="22"/>
        </w:rPr>
        <w:t>The annual FFD program performance reports include event</w:t>
      </w:r>
      <w:r w:rsidR="00572835">
        <w:rPr>
          <w:rFonts w:cs="Arial"/>
          <w:sz w:val="22"/>
          <w:szCs w:val="22"/>
        </w:rPr>
        <w:t>-</w:t>
      </w:r>
      <w:r w:rsidRPr="0055239B" w:rsidR="0055239B">
        <w:rPr>
          <w:rFonts w:cs="Arial"/>
          <w:sz w:val="22"/>
          <w:szCs w:val="22"/>
        </w:rPr>
        <w:t>specific data on these testing events.</w:t>
      </w:r>
    </w:p>
    <w:p w:rsidR="00EE634D" w:rsidP="00530F3B" w:rsidRDefault="00EE634D" w14:paraId="111CC8B0" w14:textId="77777777">
      <w:pPr>
        <w:tabs>
          <w:tab w:val="left" w:pos="721"/>
        </w:tabs>
        <w:rPr>
          <w:rFonts w:cs="Arial"/>
          <w:sz w:val="22"/>
          <w:szCs w:val="22"/>
        </w:rPr>
      </w:pPr>
    </w:p>
    <w:p w:rsidRPr="00530F3B" w:rsidR="004E2626" w:rsidP="00530F3B" w:rsidRDefault="00523561" w14:paraId="0948E5AE" w14:textId="2810370D">
      <w:pPr>
        <w:tabs>
          <w:tab w:val="left" w:pos="721"/>
        </w:tabs>
        <w:rPr>
          <w:sz w:val="22"/>
          <w:szCs w:val="22"/>
        </w:rPr>
      </w:pPr>
      <w:r>
        <w:rPr>
          <w:rFonts w:cs="Arial"/>
          <w:sz w:val="22"/>
          <w:szCs w:val="22"/>
        </w:rPr>
        <w:t xml:space="preserve">The analysis assumes that all licensees and other entities use </w:t>
      </w:r>
      <w:r w:rsidR="00014453">
        <w:rPr>
          <w:rFonts w:cs="Arial"/>
          <w:sz w:val="22"/>
          <w:szCs w:val="22"/>
        </w:rPr>
        <w:t xml:space="preserve">the alternative evaluation process to </w:t>
      </w:r>
      <w:r w:rsidR="00A2394A">
        <w:rPr>
          <w:rFonts w:cs="Arial"/>
          <w:sz w:val="22"/>
          <w:szCs w:val="22"/>
        </w:rPr>
        <w:t>avoid</w:t>
      </w:r>
      <w:r w:rsidR="00014453">
        <w:rPr>
          <w:rFonts w:cs="Arial"/>
          <w:sz w:val="22"/>
          <w:szCs w:val="22"/>
        </w:rPr>
        <w:t xml:space="preserve"> observed urine collection and to </w:t>
      </w:r>
      <w:r w:rsidR="00156324">
        <w:rPr>
          <w:rFonts w:cs="Arial"/>
          <w:sz w:val="22"/>
          <w:szCs w:val="22"/>
        </w:rPr>
        <w:t>benefit from the lower costs for this collection method.</w:t>
      </w:r>
      <w:r w:rsidR="001A4DBC">
        <w:rPr>
          <w:rFonts w:cs="Arial"/>
          <w:sz w:val="22"/>
          <w:szCs w:val="22"/>
        </w:rPr>
        <w:t xml:space="preserve">  Appendix F provides additional information.</w:t>
      </w:r>
    </w:p>
    <w:p w:rsidR="00CB5929" w:rsidP="00CB5929" w:rsidRDefault="00CB5929" w14:paraId="41D9173E" w14:textId="77777777">
      <w:pPr>
        <w:tabs>
          <w:tab w:val="left" w:pos="721"/>
        </w:tabs>
        <w:rPr>
          <w:sz w:val="22"/>
          <w:szCs w:val="22"/>
        </w:rPr>
      </w:pPr>
    </w:p>
    <w:p w:rsidR="00CB5929" w:rsidP="00CB5929" w:rsidRDefault="00CB5929" w14:paraId="65E6E0ED" w14:textId="6008F003">
      <w:pPr>
        <w:tabs>
          <w:tab w:val="left" w:pos="721"/>
        </w:tabs>
        <w:rPr>
          <w:sz w:val="22"/>
          <w:szCs w:val="22"/>
        </w:rPr>
      </w:pPr>
      <w:r>
        <w:rPr>
          <w:sz w:val="22"/>
          <w:szCs w:val="22"/>
        </w:rPr>
        <w:t>The increment</w:t>
      </w:r>
      <w:r w:rsidR="008D7ABB">
        <w:rPr>
          <w:sz w:val="22"/>
          <w:szCs w:val="22"/>
        </w:rPr>
        <w:t>al</w:t>
      </w:r>
      <w:r>
        <w:rPr>
          <w:sz w:val="22"/>
          <w:szCs w:val="22"/>
        </w:rPr>
        <w:t xml:space="preserve"> savings (averted costs) from using this option are estimated as follows:</w:t>
      </w:r>
    </w:p>
    <w:p w:rsidR="00CB5929" w:rsidP="00CB5929" w:rsidRDefault="00CB5929" w14:paraId="654FC20E" w14:textId="77777777">
      <w:pPr>
        <w:tabs>
          <w:tab w:val="left" w:pos="721"/>
        </w:tabs>
        <w:rPr>
          <w:sz w:val="22"/>
          <w:szCs w:val="22"/>
        </w:rPr>
      </w:pPr>
    </w:p>
    <w:p w:rsidRPr="00FD6DF6" w:rsidR="00CB5929" w:rsidP="00CB5929" w:rsidRDefault="00CB5929" w14:paraId="3FD48ABF" w14:textId="34D34D12">
      <w:pPr>
        <w:pStyle w:val="ListParagraph"/>
        <w:numPr>
          <w:ilvl w:val="0"/>
          <w:numId w:val="15"/>
        </w:numPr>
        <w:tabs>
          <w:tab w:val="left" w:pos="721"/>
        </w:tabs>
        <w:ind w:hanging="720"/>
        <w:rPr>
          <w:sz w:val="22"/>
          <w:szCs w:val="22"/>
        </w:rPr>
      </w:pPr>
      <w:r w:rsidRPr="00FD6DF6">
        <w:rPr>
          <w:sz w:val="22"/>
          <w:szCs w:val="22"/>
        </w:rPr>
        <w:t>total annual savings to industry</w:t>
      </w:r>
      <w:r w:rsidR="004212C8">
        <w:rPr>
          <w:sz w:val="22"/>
          <w:szCs w:val="22"/>
        </w:rPr>
        <w:t xml:space="preserve"> = </w:t>
      </w:r>
      <w:r w:rsidRPr="00FD6DF6">
        <w:rPr>
          <w:sz w:val="22"/>
          <w:szCs w:val="22"/>
        </w:rPr>
        <w:t>$</w:t>
      </w:r>
      <w:r>
        <w:rPr>
          <w:sz w:val="22"/>
          <w:szCs w:val="22"/>
        </w:rPr>
        <w:t>6,665</w:t>
      </w:r>
    </w:p>
    <w:p w:rsidR="00CB5929" w:rsidP="00CB5929" w:rsidRDefault="00CB5929" w14:paraId="57DB9E4C" w14:textId="294076D8">
      <w:pPr>
        <w:pStyle w:val="ListParagraph"/>
        <w:numPr>
          <w:ilvl w:val="0"/>
          <w:numId w:val="15"/>
        </w:numPr>
        <w:tabs>
          <w:tab w:val="left" w:pos="721"/>
        </w:tabs>
        <w:ind w:hanging="720"/>
        <w:rPr>
          <w:sz w:val="22"/>
          <w:szCs w:val="22"/>
        </w:rPr>
      </w:pPr>
      <w:r w:rsidRPr="00FD6DF6">
        <w:rPr>
          <w:sz w:val="22"/>
          <w:szCs w:val="22"/>
        </w:rPr>
        <w:t xml:space="preserve">average </w:t>
      </w:r>
      <w:r w:rsidR="00FE3288">
        <w:rPr>
          <w:sz w:val="22"/>
          <w:szCs w:val="22"/>
        </w:rPr>
        <w:t xml:space="preserve">annual </w:t>
      </w:r>
      <w:r w:rsidRPr="00FD6DF6">
        <w:rPr>
          <w:sz w:val="22"/>
          <w:szCs w:val="22"/>
        </w:rPr>
        <w:t>savings per site</w:t>
      </w:r>
      <w:r w:rsidR="004212C8">
        <w:rPr>
          <w:sz w:val="22"/>
          <w:szCs w:val="22"/>
        </w:rPr>
        <w:t xml:space="preserve"> = </w:t>
      </w:r>
      <w:r w:rsidRPr="00FD6DF6">
        <w:rPr>
          <w:sz w:val="22"/>
          <w:szCs w:val="22"/>
        </w:rPr>
        <w:t>$</w:t>
      </w:r>
      <w:r>
        <w:rPr>
          <w:sz w:val="22"/>
          <w:szCs w:val="22"/>
        </w:rPr>
        <w:t>113</w:t>
      </w:r>
    </w:p>
    <w:p w:rsidRPr="00FD6DF6" w:rsidR="00CB5929" w:rsidP="00CB5929" w:rsidRDefault="00CB5929" w14:paraId="1F54AC71" w14:textId="291C0500">
      <w:pPr>
        <w:pStyle w:val="ListParagraph"/>
        <w:numPr>
          <w:ilvl w:val="0"/>
          <w:numId w:val="15"/>
        </w:numPr>
        <w:tabs>
          <w:tab w:val="left" w:pos="721"/>
        </w:tabs>
        <w:ind w:hanging="720"/>
        <w:rPr>
          <w:sz w:val="22"/>
          <w:szCs w:val="22"/>
        </w:rPr>
      </w:pPr>
      <w:r>
        <w:rPr>
          <w:sz w:val="22"/>
          <w:szCs w:val="22"/>
        </w:rPr>
        <w:t>average savings per test</w:t>
      </w:r>
      <w:r w:rsidR="004212C8">
        <w:rPr>
          <w:sz w:val="22"/>
          <w:szCs w:val="22"/>
        </w:rPr>
        <w:t xml:space="preserve"> = </w:t>
      </w:r>
      <w:r>
        <w:rPr>
          <w:sz w:val="22"/>
          <w:szCs w:val="22"/>
        </w:rPr>
        <w:t>$30</w:t>
      </w:r>
    </w:p>
    <w:p w:rsidR="00CB5929" w:rsidP="00CB5929" w:rsidRDefault="00CB5929" w14:paraId="0E6834EF" w14:textId="77777777">
      <w:pPr>
        <w:tabs>
          <w:tab w:val="left" w:pos="721"/>
        </w:tabs>
        <w:rPr>
          <w:sz w:val="22"/>
          <w:szCs w:val="22"/>
        </w:rPr>
      </w:pPr>
    </w:p>
    <w:p w:rsidR="00CB5929" w:rsidP="00CB5929" w:rsidRDefault="004044B6" w14:paraId="3A14DD2E" w14:textId="40E72417">
      <w:pPr>
        <w:tabs>
          <w:tab w:val="left" w:pos="721"/>
        </w:tabs>
        <w:rPr>
          <w:sz w:val="22"/>
          <w:szCs w:val="22"/>
        </w:rPr>
      </w:pPr>
      <w:r>
        <w:rPr>
          <w:sz w:val="22"/>
          <w:szCs w:val="22"/>
        </w:rPr>
        <w:t xml:space="preserve">Use of this voluntary alternative evaluation process </w:t>
      </w:r>
      <w:r w:rsidR="00701BCD">
        <w:rPr>
          <w:sz w:val="22"/>
          <w:szCs w:val="22"/>
        </w:rPr>
        <w:t>has no effect on the number of confirmed positive test results</w:t>
      </w:r>
      <w:r w:rsidR="00C33584">
        <w:rPr>
          <w:sz w:val="22"/>
          <w:szCs w:val="22"/>
        </w:rPr>
        <w:t>.</w:t>
      </w:r>
    </w:p>
    <w:p w:rsidR="00C33584" w:rsidP="00CB5929" w:rsidRDefault="00C33584" w14:paraId="545F786D" w14:textId="77777777">
      <w:pPr>
        <w:tabs>
          <w:tab w:val="left" w:pos="721"/>
        </w:tabs>
        <w:rPr>
          <w:sz w:val="22"/>
          <w:szCs w:val="22"/>
        </w:rPr>
      </w:pPr>
    </w:p>
    <w:p w:rsidRPr="005C7807" w:rsidR="00D520BD" w:rsidP="00D520BD" w:rsidRDefault="00D520BD" w14:paraId="72AEE056" w14:textId="1FF426BB">
      <w:pPr>
        <w:pStyle w:val="Heading3"/>
      </w:pPr>
      <w:bookmarkStart w:name="_Toc72840036" w:id="194"/>
      <w:bookmarkStart w:name="_Toc105681509" w:id="195"/>
      <w:r w:rsidRPr="00BA23EF">
        <w:t>5.1.</w:t>
      </w:r>
      <w:r w:rsidR="000C0A3D">
        <w:t>9</w:t>
      </w:r>
      <w:r w:rsidRPr="00BA23EF">
        <w:tab/>
      </w:r>
      <w:r>
        <w:t>Workplace</w:t>
      </w:r>
      <w:r w:rsidRPr="00BA23EF">
        <w:t xml:space="preserve"> Free of Drugs and the </w:t>
      </w:r>
      <w:r w:rsidRPr="005C7807">
        <w:t>Effects of Such Substances</w:t>
      </w:r>
      <w:bookmarkEnd w:id="193"/>
      <w:bookmarkEnd w:id="194"/>
      <w:bookmarkEnd w:id="195"/>
    </w:p>
    <w:p w:rsidRPr="005C7807" w:rsidR="00D520BD" w:rsidP="00D520BD" w:rsidRDefault="00D520BD" w14:paraId="39E12746" w14:textId="77777777">
      <w:pPr>
        <w:keepNext/>
        <w:rPr>
          <w:sz w:val="22"/>
          <w:szCs w:val="22"/>
          <w:u w:val="single"/>
        </w:rPr>
      </w:pPr>
    </w:p>
    <w:p w:rsidRPr="00646A79" w:rsidR="00D520BD" w:rsidP="00D520BD" w:rsidRDefault="00D520BD" w14:paraId="0DAC6ECA" w14:textId="1862C62A">
      <w:pPr>
        <w:autoSpaceDE/>
        <w:autoSpaceDN/>
        <w:adjustRightInd/>
        <w:rPr>
          <w:rFonts w:cs="Arial"/>
          <w:sz w:val="22"/>
          <w:szCs w:val="22"/>
        </w:rPr>
      </w:pPr>
      <w:r w:rsidRPr="005C7807">
        <w:rPr>
          <w:sz w:val="22"/>
          <w:szCs w:val="22"/>
        </w:rPr>
        <w:t xml:space="preserve">The rule </w:t>
      </w:r>
      <w:r w:rsidRPr="005C7807" w:rsidR="00C479D7">
        <w:rPr>
          <w:sz w:val="22"/>
          <w:szCs w:val="22"/>
        </w:rPr>
        <w:t xml:space="preserve">will </w:t>
      </w:r>
      <w:r w:rsidRPr="005C7807">
        <w:rPr>
          <w:sz w:val="22"/>
          <w:szCs w:val="22"/>
        </w:rPr>
        <w:t xml:space="preserve">maintain the </w:t>
      </w:r>
      <w:r w:rsidRPr="005C7807" w:rsidR="00D47584">
        <w:rPr>
          <w:sz w:val="22"/>
          <w:szCs w:val="22"/>
        </w:rPr>
        <w:t xml:space="preserve">FFD program </w:t>
      </w:r>
      <w:r w:rsidRPr="00F208D9">
        <w:rPr>
          <w:sz w:val="22"/>
          <w:szCs w:val="22"/>
        </w:rPr>
        <w:t>performance objective</w:t>
      </w:r>
      <w:r w:rsidRPr="007B2B63" w:rsidR="0016178C">
        <w:rPr>
          <w:sz w:val="22"/>
          <w:szCs w:val="22"/>
        </w:rPr>
        <w:t>s</w:t>
      </w:r>
      <w:r>
        <w:rPr>
          <w:sz w:val="22"/>
          <w:szCs w:val="22"/>
        </w:rPr>
        <w:t xml:space="preserve"> in </w:t>
      </w:r>
      <w:r w:rsidRPr="00F2660E">
        <w:rPr>
          <w:sz w:val="22"/>
          <w:szCs w:val="22"/>
        </w:rPr>
        <w:t>10</w:t>
      </w:r>
      <w:r>
        <w:rPr>
          <w:sz w:val="22"/>
          <w:szCs w:val="22"/>
        </w:rPr>
        <w:t> </w:t>
      </w:r>
      <w:r w:rsidRPr="00F2660E">
        <w:rPr>
          <w:sz w:val="22"/>
          <w:szCs w:val="22"/>
        </w:rPr>
        <w:t>CFR</w:t>
      </w:r>
      <w:r>
        <w:rPr>
          <w:sz w:val="22"/>
          <w:szCs w:val="22"/>
        </w:rPr>
        <w:t> </w:t>
      </w:r>
      <w:r w:rsidRPr="00F2660E">
        <w:rPr>
          <w:sz w:val="22"/>
          <w:szCs w:val="22"/>
        </w:rPr>
        <w:t>26.23(</w:t>
      </w:r>
      <w:r w:rsidR="0016178C">
        <w:rPr>
          <w:sz w:val="22"/>
          <w:szCs w:val="22"/>
        </w:rPr>
        <w:t>c)</w:t>
      </w:r>
      <w:r w:rsidR="004C724D">
        <w:rPr>
          <w:sz w:val="22"/>
          <w:szCs w:val="22"/>
        </w:rPr>
        <w:t>,</w:t>
      </w:r>
      <w:r w:rsidRPr="00F2660E">
        <w:rPr>
          <w:sz w:val="22"/>
          <w:szCs w:val="22"/>
        </w:rPr>
        <w:t xml:space="preserve"> </w:t>
      </w:r>
      <w:r>
        <w:rPr>
          <w:sz w:val="22"/>
          <w:szCs w:val="22"/>
        </w:rPr>
        <w:t xml:space="preserve">to </w:t>
      </w:r>
      <w:r w:rsidR="00646A79">
        <w:rPr>
          <w:sz w:val="22"/>
          <w:szCs w:val="22"/>
        </w:rPr>
        <w:t>“</w:t>
      </w:r>
      <w:r w:rsidRPr="00F2660E">
        <w:rPr>
          <w:sz w:val="22"/>
          <w:szCs w:val="22"/>
        </w:rPr>
        <w:t xml:space="preserve">provide reasonable </w:t>
      </w:r>
      <w:r w:rsidR="0016178C">
        <w:rPr>
          <w:sz w:val="22"/>
          <w:szCs w:val="22"/>
        </w:rPr>
        <w:t>measures for the early detection of individuals who are not fit to perform the duties that require them to be subject to the FFD program</w:t>
      </w:r>
      <w:r w:rsidR="004C724D">
        <w:rPr>
          <w:sz w:val="22"/>
          <w:szCs w:val="22"/>
        </w:rPr>
        <w:t>,</w:t>
      </w:r>
      <w:r w:rsidR="0016178C">
        <w:rPr>
          <w:sz w:val="22"/>
          <w:szCs w:val="22"/>
        </w:rPr>
        <w:t>”</w:t>
      </w:r>
      <w:r w:rsidR="007D6864">
        <w:rPr>
          <w:sz w:val="22"/>
          <w:szCs w:val="22"/>
        </w:rPr>
        <w:t xml:space="preserve"> and</w:t>
      </w:r>
      <w:r>
        <w:rPr>
          <w:sz w:val="22"/>
          <w:szCs w:val="22"/>
        </w:rPr>
        <w:t xml:space="preserve"> in </w:t>
      </w:r>
      <w:r w:rsidRPr="00F2660E">
        <w:rPr>
          <w:sz w:val="22"/>
          <w:szCs w:val="22"/>
        </w:rPr>
        <w:t>10</w:t>
      </w:r>
      <w:r>
        <w:rPr>
          <w:sz w:val="22"/>
          <w:szCs w:val="22"/>
        </w:rPr>
        <w:t> </w:t>
      </w:r>
      <w:r w:rsidRPr="00F2660E">
        <w:rPr>
          <w:sz w:val="22"/>
          <w:szCs w:val="22"/>
        </w:rPr>
        <w:t>CFR</w:t>
      </w:r>
      <w:r>
        <w:rPr>
          <w:sz w:val="22"/>
          <w:szCs w:val="22"/>
        </w:rPr>
        <w:t> </w:t>
      </w:r>
      <w:r w:rsidRPr="00F2660E">
        <w:rPr>
          <w:sz w:val="22"/>
          <w:szCs w:val="22"/>
        </w:rPr>
        <w:t>26.23(d)</w:t>
      </w:r>
      <w:r w:rsidR="004C724D">
        <w:rPr>
          <w:sz w:val="22"/>
          <w:szCs w:val="22"/>
        </w:rPr>
        <w:t>,</w:t>
      </w:r>
      <w:r>
        <w:rPr>
          <w:sz w:val="22"/>
          <w:szCs w:val="22"/>
        </w:rPr>
        <w:t xml:space="preserve"> to </w:t>
      </w:r>
      <w:r w:rsidR="00646A79">
        <w:rPr>
          <w:sz w:val="22"/>
          <w:szCs w:val="22"/>
        </w:rPr>
        <w:t>“</w:t>
      </w:r>
      <w:r w:rsidRPr="00F2660E">
        <w:rPr>
          <w:sz w:val="22"/>
          <w:szCs w:val="22"/>
        </w:rPr>
        <w:t>provide reasonable assurance that the workplaces subject to this part are free from the presence and effects of illegal drugs</w:t>
      </w:r>
      <w:r w:rsidRPr="00102C8B">
        <w:rPr>
          <w:sz w:val="22"/>
          <w:szCs w:val="22"/>
        </w:rPr>
        <w:t>.</w:t>
      </w:r>
      <w:r w:rsidR="00646A79">
        <w:rPr>
          <w:sz w:val="22"/>
          <w:szCs w:val="22"/>
        </w:rPr>
        <w:t>”</w:t>
      </w:r>
      <w:r w:rsidRPr="00102C8B">
        <w:rPr>
          <w:sz w:val="22"/>
          <w:szCs w:val="22"/>
        </w:rPr>
        <w:t xml:space="preserve">  Based on the </w:t>
      </w:r>
      <w:r>
        <w:rPr>
          <w:sz w:val="22"/>
          <w:szCs w:val="22"/>
        </w:rPr>
        <w:t xml:space="preserve">analysis </w:t>
      </w:r>
      <w:r w:rsidRPr="00102C8B">
        <w:rPr>
          <w:sz w:val="22"/>
          <w:szCs w:val="22"/>
        </w:rPr>
        <w:t>of annual FFD program performance data submitted to the NRC by license</w:t>
      </w:r>
      <w:r>
        <w:rPr>
          <w:sz w:val="22"/>
          <w:szCs w:val="22"/>
        </w:rPr>
        <w:t>e</w:t>
      </w:r>
      <w:r w:rsidRPr="00102C8B">
        <w:rPr>
          <w:sz w:val="22"/>
          <w:szCs w:val="22"/>
        </w:rPr>
        <w:t>s and other entitie</w:t>
      </w:r>
      <w:r>
        <w:rPr>
          <w:sz w:val="22"/>
          <w:szCs w:val="22"/>
        </w:rPr>
        <w:t>s</w:t>
      </w:r>
      <w:r w:rsidR="00646A79">
        <w:rPr>
          <w:sz w:val="22"/>
          <w:szCs w:val="22"/>
        </w:rPr>
        <w:t>,</w:t>
      </w:r>
      <w:r>
        <w:rPr>
          <w:sz w:val="22"/>
          <w:szCs w:val="22"/>
        </w:rPr>
        <w:t xml:space="preserve"> the workplaces subject to 10 CFR Part 26</w:t>
      </w:r>
      <w:r w:rsidRPr="00102C8B">
        <w:rPr>
          <w:sz w:val="22"/>
          <w:szCs w:val="22"/>
        </w:rPr>
        <w:t xml:space="preserve"> t</w:t>
      </w:r>
      <w:r>
        <w:rPr>
          <w:sz w:val="22"/>
          <w:szCs w:val="22"/>
        </w:rPr>
        <w:t>e</w:t>
      </w:r>
      <w:r w:rsidRPr="00102C8B">
        <w:rPr>
          <w:sz w:val="22"/>
          <w:szCs w:val="22"/>
        </w:rPr>
        <w:t>sting are not free from the presen</w:t>
      </w:r>
      <w:r>
        <w:rPr>
          <w:sz w:val="22"/>
          <w:szCs w:val="22"/>
        </w:rPr>
        <w:t>ce</w:t>
      </w:r>
      <w:r w:rsidRPr="00102C8B">
        <w:rPr>
          <w:sz w:val="22"/>
          <w:szCs w:val="22"/>
        </w:rPr>
        <w:t xml:space="preserve"> and effects of illegal drugs.</w:t>
      </w:r>
    </w:p>
    <w:p w:rsidRPr="00646A79" w:rsidR="00D520BD" w:rsidP="00D520BD" w:rsidRDefault="00D520BD" w14:paraId="2B23045D" w14:textId="77777777">
      <w:pPr>
        <w:autoSpaceDE/>
        <w:autoSpaceDN/>
        <w:adjustRightInd/>
        <w:rPr>
          <w:sz w:val="22"/>
          <w:szCs w:val="22"/>
        </w:rPr>
      </w:pPr>
    </w:p>
    <w:p w:rsidR="00D520BD" w:rsidP="00D520BD" w:rsidRDefault="00D520BD" w14:paraId="796B3A79" w14:textId="205902D7">
      <w:pPr>
        <w:rPr>
          <w:sz w:val="22"/>
          <w:szCs w:val="22"/>
        </w:rPr>
      </w:pPr>
      <w:r>
        <w:rPr>
          <w:sz w:val="22"/>
          <w:szCs w:val="22"/>
        </w:rPr>
        <w:t>The effectiveness of a d</w:t>
      </w:r>
      <w:r w:rsidRPr="00102C8B">
        <w:rPr>
          <w:sz w:val="22"/>
          <w:szCs w:val="22"/>
        </w:rPr>
        <w:t>rug testing program</w:t>
      </w:r>
      <w:r w:rsidRPr="004F1340">
        <w:rPr>
          <w:sz w:val="22"/>
          <w:szCs w:val="22"/>
        </w:rPr>
        <w:t xml:space="preserve"> may erode over time if </w:t>
      </w:r>
      <w:r>
        <w:rPr>
          <w:sz w:val="22"/>
          <w:szCs w:val="22"/>
        </w:rPr>
        <w:t xml:space="preserve">the workforce uses </w:t>
      </w:r>
      <w:r w:rsidRPr="004F1340">
        <w:rPr>
          <w:sz w:val="22"/>
          <w:szCs w:val="22"/>
        </w:rPr>
        <w:t>impairing substances not in the testing panel</w:t>
      </w:r>
      <w:r w:rsidR="00646A79">
        <w:rPr>
          <w:sz w:val="22"/>
          <w:szCs w:val="22"/>
        </w:rPr>
        <w:t>,</w:t>
      </w:r>
      <w:r w:rsidRPr="004F1340">
        <w:rPr>
          <w:sz w:val="22"/>
          <w:szCs w:val="22"/>
        </w:rPr>
        <w:t xml:space="preserve"> if </w:t>
      </w:r>
      <w:r>
        <w:rPr>
          <w:sz w:val="22"/>
          <w:szCs w:val="22"/>
        </w:rPr>
        <w:t xml:space="preserve">individuals use </w:t>
      </w:r>
      <w:r w:rsidRPr="004F1340">
        <w:rPr>
          <w:sz w:val="22"/>
          <w:szCs w:val="22"/>
        </w:rPr>
        <w:t>products and techniques to successfully subvert the drug testing process</w:t>
      </w:r>
      <w:r w:rsidR="00646A79">
        <w:rPr>
          <w:sz w:val="22"/>
          <w:szCs w:val="22"/>
        </w:rPr>
        <w:t>,</w:t>
      </w:r>
      <w:r w:rsidRPr="004F1340">
        <w:rPr>
          <w:sz w:val="22"/>
          <w:szCs w:val="22"/>
        </w:rPr>
        <w:t xml:space="preserve"> and if </w:t>
      </w:r>
      <w:r>
        <w:rPr>
          <w:sz w:val="22"/>
          <w:szCs w:val="22"/>
        </w:rPr>
        <w:t xml:space="preserve">testing programs do not use </w:t>
      </w:r>
      <w:r w:rsidRPr="004F1340">
        <w:rPr>
          <w:sz w:val="22"/>
          <w:szCs w:val="22"/>
        </w:rPr>
        <w:t xml:space="preserve">technological </w:t>
      </w:r>
      <w:r w:rsidRPr="004F1340">
        <w:rPr>
          <w:sz w:val="22"/>
          <w:szCs w:val="22"/>
        </w:rPr>
        <w:lastRenderedPageBreak/>
        <w:t>advancements that enhance drug te</w:t>
      </w:r>
      <w:r>
        <w:rPr>
          <w:sz w:val="22"/>
          <w:szCs w:val="22"/>
        </w:rPr>
        <w:t>sting sensitivity</w:t>
      </w:r>
      <w:r w:rsidRPr="004F1340">
        <w:rPr>
          <w:sz w:val="22"/>
          <w:szCs w:val="22"/>
        </w:rPr>
        <w:t>.  The</w:t>
      </w:r>
      <w:r>
        <w:rPr>
          <w:sz w:val="22"/>
          <w:szCs w:val="22"/>
        </w:rPr>
        <w:t>refore</w:t>
      </w:r>
      <w:r w:rsidR="00646A79">
        <w:rPr>
          <w:sz w:val="22"/>
          <w:szCs w:val="22"/>
        </w:rPr>
        <w:t>,</w:t>
      </w:r>
      <w:r w:rsidRPr="004F1340">
        <w:rPr>
          <w:sz w:val="22"/>
          <w:szCs w:val="22"/>
        </w:rPr>
        <w:t xml:space="preserve"> </w:t>
      </w:r>
      <w:r>
        <w:rPr>
          <w:sz w:val="22"/>
          <w:szCs w:val="22"/>
        </w:rPr>
        <w:t>the</w:t>
      </w:r>
      <w:r w:rsidRPr="004F1340">
        <w:rPr>
          <w:sz w:val="22"/>
          <w:szCs w:val="22"/>
        </w:rPr>
        <w:t xml:space="preserve"> drug testing provisions in </w:t>
      </w:r>
      <w:r>
        <w:rPr>
          <w:sz w:val="22"/>
          <w:szCs w:val="22"/>
        </w:rPr>
        <w:t>10 CFR Part 26</w:t>
      </w:r>
      <w:r w:rsidRPr="004F1340">
        <w:rPr>
          <w:sz w:val="22"/>
          <w:szCs w:val="22"/>
        </w:rPr>
        <w:t xml:space="preserve"> should remain at least as effective as the national drug testing standard </w:t>
      </w:r>
      <w:r w:rsidR="005C54C3">
        <w:rPr>
          <w:sz w:val="22"/>
          <w:szCs w:val="22"/>
        </w:rPr>
        <w:t>(i.e., </w:t>
      </w:r>
      <w:r w:rsidRPr="004F1340">
        <w:rPr>
          <w:sz w:val="22"/>
          <w:szCs w:val="22"/>
        </w:rPr>
        <w:t xml:space="preserve">the </w:t>
      </w:r>
      <w:r>
        <w:rPr>
          <w:sz w:val="22"/>
          <w:szCs w:val="22"/>
        </w:rPr>
        <w:t>20</w:t>
      </w:r>
      <w:r w:rsidR="00BA5347">
        <w:rPr>
          <w:sz w:val="22"/>
          <w:szCs w:val="22"/>
        </w:rPr>
        <w:t>17</w:t>
      </w:r>
      <w:r>
        <w:rPr>
          <w:sz w:val="22"/>
          <w:szCs w:val="22"/>
        </w:rPr>
        <w:t xml:space="preserve"> </w:t>
      </w:r>
      <w:r w:rsidRPr="004F1340">
        <w:rPr>
          <w:sz w:val="22"/>
          <w:szCs w:val="22"/>
        </w:rPr>
        <w:t>HHS</w:t>
      </w:r>
      <w:r>
        <w:rPr>
          <w:sz w:val="22"/>
          <w:szCs w:val="22"/>
        </w:rPr>
        <w:t xml:space="preserve"> Guidelines</w:t>
      </w:r>
      <w:r w:rsidR="005C54C3">
        <w:rPr>
          <w:sz w:val="22"/>
          <w:szCs w:val="22"/>
        </w:rPr>
        <w:t>)</w:t>
      </w:r>
      <w:r w:rsidRPr="004F1340">
        <w:rPr>
          <w:sz w:val="22"/>
          <w:szCs w:val="22"/>
        </w:rPr>
        <w:t xml:space="preserve"> and </w:t>
      </w:r>
      <w:r w:rsidR="007A5C7A">
        <w:rPr>
          <w:sz w:val="22"/>
          <w:szCs w:val="22"/>
        </w:rPr>
        <w:t>should apply</w:t>
      </w:r>
      <w:r w:rsidRPr="004F1340">
        <w:rPr>
          <w:sz w:val="22"/>
          <w:szCs w:val="22"/>
        </w:rPr>
        <w:t xml:space="preserve"> defense-in-depth requirements (e.g.</w:t>
      </w:r>
      <w:r w:rsidR="00646A79">
        <w:rPr>
          <w:sz w:val="22"/>
          <w:szCs w:val="22"/>
        </w:rPr>
        <w:t>,</w:t>
      </w:r>
      <w:r>
        <w:rPr>
          <w:sz w:val="22"/>
          <w:szCs w:val="22"/>
        </w:rPr>
        <w:t> </w:t>
      </w:r>
      <w:r w:rsidRPr="004F1340">
        <w:rPr>
          <w:sz w:val="22"/>
          <w:szCs w:val="22"/>
        </w:rPr>
        <w:t>behavioral observation</w:t>
      </w:r>
      <w:r w:rsidR="00646A79">
        <w:rPr>
          <w:sz w:val="22"/>
          <w:szCs w:val="22"/>
        </w:rPr>
        <w:t>,</w:t>
      </w:r>
      <w:r w:rsidRPr="004F1340">
        <w:rPr>
          <w:sz w:val="22"/>
          <w:szCs w:val="22"/>
        </w:rPr>
        <w:t xml:space="preserve"> background checks</w:t>
      </w:r>
      <w:r w:rsidR="00646A79">
        <w:rPr>
          <w:sz w:val="22"/>
          <w:szCs w:val="22"/>
        </w:rPr>
        <w:t>,</w:t>
      </w:r>
      <w:r w:rsidRPr="004F1340">
        <w:rPr>
          <w:sz w:val="22"/>
          <w:szCs w:val="22"/>
        </w:rPr>
        <w:t xml:space="preserve"> collection site security</w:t>
      </w:r>
      <w:r w:rsidR="00646A79">
        <w:rPr>
          <w:sz w:val="22"/>
          <w:szCs w:val="22"/>
        </w:rPr>
        <w:t>,</w:t>
      </w:r>
      <w:r w:rsidRPr="004F1340">
        <w:rPr>
          <w:sz w:val="22"/>
          <w:szCs w:val="22"/>
        </w:rPr>
        <w:t xml:space="preserve"> and specimen collections) to maintain reasonable assurance of</w:t>
      </w:r>
      <w:r>
        <w:rPr>
          <w:sz w:val="22"/>
          <w:szCs w:val="22"/>
        </w:rPr>
        <w:t xml:space="preserve"> a drug-free workplace.</w:t>
      </w:r>
    </w:p>
    <w:p w:rsidR="00D520BD" w:rsidP="00D520BD" w:rsidRDefault="00D520BD" w14:paraId="21AF3A3B" w14:textId="77777777">
      <w:pPr>
        <w:rPr>
          <w:sz w:val="22"/>
          <w:szCs w:val="22"/>
        </w:rPr>
      </w:pPr>
    </w:p>
    <w:p w:rsidR="00D520BD" w:rsidP="00D520BD" w:rsidRDefault="00D520BD" w14:paraId="5A59B017" w14:textId="41D53E3B">
      <w:pPr>
        <w:autoSpaceDE/>
        <w:autoSpaceDN/>
        <w:adjustRightInd/>
        <w:rPr>
          <w:rFonts w:cs="Arial"/>
          <w:sz w:val="22"/>
          <w:szCs w:val="22"/>
        </w:rPr>
      </w:pPr>
      <w:r w:rsidRPr="00102C8B">
        <w:rPr>
          <w:sz w:val="22"/>
          <w:szCs w:val="22"/>
        </w:rPr>
        <w:t>The 20</w:t>
      </w:r>
      <w:r w:rsidR="00BA5347">
        <w:rPr>
          <w:sz w:val="22"/>
          <w:szCs w:val="22"/>
        </w:rPr>
        <w:t>17</w:t>
      </w:r>
      <w:r w:rsidRPr="00102C8B">
        <w:rPr>
          <w:sz w:val="22"/>
          <w:szCs w:val="22"/>
        </w:rPr>
        <w:t xml:space="preserve"> HHS Guidelines are</w:t>
      </w:r>
      <w:r>
        <w:rPr>
          <w:sz w:val="22"/>
          <w:szCs w:val="22"/>
        </w:rPr>
        <w:t xml:space="preserve"> a national drug testing standard</w:t>
      </w:r>
      <w:r w:rsidRPr="00102C8B">
        <w:rPr>
          <w:sz w:val="22"/>
          <w:szCs w:val="22"/>
        </w:rPr>
        <w:t xml:space="preserve"> use</w:t>
      </w:r>
      <w:r>
        <w:rPr>
          <w:sz w:val="22"/>
          <w:szCs w:val="22"/>
        </w:rPr>
        <w:t>d</w:t>
      </w:r>
      <w:r w:rsidRPr="00102C8B">
        <w:rPr>
          <w:sz w:val="22"/>
          <w:szCs w:val="22"/>
        </w:rPr>
        <w:t xml:space="preserve"> by all Federal employee workplace drug testing programs (over 100</w:t>
      </w:r>
      <w:r>
        <w:rPr>
          <w:sz w:val="22"/>
          <w:szCs w:val="22"/>
        </w:rPr>
        <w:t> </w:t>
      </w:r>
      <w:r w:rsidRPr="00102C8B">
        <w:rPr>
          <w:sz w:val="22"/>
          <w:szCs w:val="22"/>
        </w:rPr>
        <w:t>Federal agencies</w:t>
      </w:r>
      <w:r w:rsidRPr="00102C8B">
        <w:rPr>
          <w:rStyle w:val="FootnoteReference"/>
          <w:sz w:val="22"/>
          <w:szCs w:val="22"/>
        </w:rPr>
        <w:footnoteReference w:id="29"/>
      </w:r>
      <w:r w:rsidRPr="00102C8B">
        <w:rPr>
          <w:sz w:val="22"/>
          <w:szCs w:val="22"/>
        </w:rPr>
        <w:t>) and comparable Federal agency drug testing programs that test civilians</w:t>
      </w:r>
      <w:r w:rsidR="00646A79">
        <w:rPr>
          <w:sz w:val="22"/>
          <w:szCs w:val="22"/>
        </w:rPr>
        <w:t>,</w:t>
      </w:r>
      <w:r w:rsidRPr="00102C8B">
        <w:rPr>
          <w:sz w:val="22"/>
          <w:szCs w:val="22"/>
        </w:rPr>
        <w:t xml:space="preserve"> such as those</w:t>
      </w:r>
      <w:r>
        <w:rPr>
          <w:sz w:val="22"/>
          <w:szCs w:val="22"/>
        </w:rPr>
        <w:t xml:space="preserve"> programs</w:t>
      </w:r>
      <w:r w:rsidRPr="00102C8B">
        <w:rPr>
          <w:sz w:val="22"/>
          <w:szCs w:val="22"/>
        </w:rPr>
        <w:t xml:space="preserve"> implemented by the </w:t>
      </w:r>
      <w:r w:rsidR="00354309">
        <w:rPr>
          <w:sz w:val="22"/>
          <w:szCs w:val="22"/>
        </w:rPr>
        <w:t xml:space="preserve">DOT, </w:t>
      </w:r>
      <w:r w:rsidRPr="00102C8B">
        <w:rPr>
          <w:sz w:val="22"/>
          <w:szCs w:val="22"/>
        </w:rPr>
        <w:t>U.S.</w:t>
      </w:r>
      <w:r>
        <w:rPr>
          <w:sz w:val="22"/>
          <w:szCs w:val="22"/>
        </w:rPr>
        <w:t> Department of Defense</w:t>
      </w:r>
      <w:r w:rsidR="00646A79">
        <w:rPr>
          <w:sz w:val="22"/>
          <w:szCs w:val="22"/>
        </w:rPr>
        <w:t>,</w:t>
      </w:r>
      <w:r w:rsidRPr="00102C8B">
        <w:rPr>
          <w:sz w:val="22"/>
          <w:szCs w:val="22"/>
        </w:rPr>
        <w:t xml:space="preserve"> </w:t>
      </w:r>
      <w:r>
        <w:rPr>
          <w:sz w:val="22"/>
          <w:szCs w:val="22"/>
        </w:rPr>
        <w:t>U.S. Department of Energy</w:t>
      </w:r>
      <w:r w:rsidR="00646A79">
        <w:rPr>
          <w:sz w:val="22"/>
          <w:szCs w:val="22"/>
        </w:rPr>
        <w:t>,</w:t>
      </w:r>
      <w:r w:rsidRPr="00102C8B">
        <w:rPr>
          <w:sz w:val="22"/>
          <w:szCs w:val="22"/>
        </w:rPr>
        <w:t xml:space="preserve"> </w:t>
      </w:r>
      <w:r w:rsidR="00354309">
        <w:rPr>
          <w:sz w:val="22"/>
          <w:szCs w:val="22"/>
        </w:rPr>
        <w:t xml:space="preserve">and </w:t>
      </w:r>
      <w:r>
        <w:rPr>
          <w:sz w:val="22"/>
          <w:szCs w:val="22"/>
        </w:rPr>
        <w:t>U.S. Department of Homeland Security</w:t>
      </w:r>
      <w:r w:rsidRPr="00102C8B">
        <w:rPr>
          <w:sz w:val="22"/>
          <w:szCs w:val="22"/>
        </w:rPr>
        <w:t xml:space="preserve">.  </w:t>
      </w:r>
      <w:r w:rsidR="00354309">
        <w:rPr>
          <w:sz w:val="22"/>
          <w:szCs w:val="22"/>
        </w:rPr>
        <w:t xml:space="preserve">The </w:t>
      </w:r>
      <w:r w:rsidRPr="00102C8B">
        <w:rPr>
          <w:sz w:val="22"/>
          <w:szCs w:val="22"/>
        </w:rPr>
        <w:t>HHS is r</w:t>
      </w:r>
      <w:r w:rsidRPr="00102C8B">
        <w:rPr>
          <w:rFonts w:cs="Arial"/>
          <w:sz w:val="22"/>
          <w:szCs w:val="22"/>
        </w:rPr>
        <w:t>esponsible by law</w:t>
      </w:r>
      <w:r w:rsidRPr="00102C8B">
        <w:rPr>
          <w:rStyle w:val="FootnoteReference"/>
          <w:rFonts w:cs="Arial"/>
          <w:sz w:val="22"/>
          <w:szCs w:val="22"/>
        </w:rPr>
        <w:footnoteReference w:id="30"/>
      </w:r>
      <w:r w:rsidRPr="00102C8B">
        <w:rPr>
          <w:rFonts w:cs="Arial"/>
          <w:sz w:val="22"/>
          <w:szCs w:val="22"/>
        </w:rPr>
        <w:t xml:space="preserve"> to maintain </w:t>
      </w:r>
      <w:r w:rsidRPr="00102C8B">
        <w:rPr>
          <w:sz w:val="22"/>
          <w:szCs w:val="22"/>
        </w:rPr>
        <w:t xml:space="preserve">its </w:t>
      </w:r>
      <w:r>
        <w:rPr>
          <w:sz w:val="22"/>
          <w:szCs w:val="22"/>
        </w:rPr>
        <w:t>g</w:t>
      </w:r>
      <w:r w:rsidRPr="00102C8B">
        <w:rPr>
          <w:sz w:val="22"/>
          <w:szCs w:val="22"/>
        </w:rPr>
        <w:t xml:space="preserve">uidelines </w:t>
      </w:r>
      <w:r w:rsidRPr="00102C8B">
        <w:rPr>
          <w:rFonts w:cs="Arial"/>
          <w:sz w:val="22"/>
          <w:szCs w:val="22"/>
        </w:rPr>
        <w:t>based on the most recent research and lessons learned from Federal employee workplace drug testing programs and from implementation of the HHS Guidelines by HHS</w:t>
      </w:r>
      <w:r>
        <w:rPr>
          <w:rFonts w:cs="Arial"/>
          <w:sz w:val="22"/>
          <w:szCs w:val="22"/>
        </w:rPr>
        <w:noBreakHyphen/>
      </w:r>
      <w:r w:rsidRPr="00102C8B">
        <w:rPr>
          <w:rFonts w:cs="Arial"/>
          <w:sz w:val="22"/>
          <w:szCs w:val="22"/>
        </w:rPr>
        <w:t>certified laboratories</w:t>
      </w:r>
      <w:r>
        <w:rPr>
          <w:rFonts w:cs="Arial"/>
          <w:sz w:val="22"/>
          <w:szCs w:val="22"/>
        </w:rPr>
        <w:t xml:space="preserve"> and private entities</w:t>
      </w:r>
      <w:r w:rsidRPr="00102C8B">
        <w:rPr>
          <w:rFonts w:cs="Arial"/>
          <w:sz w:val="22"/>
          <w:szCs w:val="22"/>
        </w:rPr>
        <w:t xml:space="preserve">.  </w:t>
      </w:r>
      <w:r w:rsidR="00354309">
        <w:rPr>
          <w:rFonts w:cs="Arial"/>
          <w:sz w:val="22"/>
          <w:szCs w:val="22"/>
        </w:rPr>
        <w:t xml:space="preserve">The </w:t>
      </w:r>
      <w:r w:rsidRPr="00102C8B">
        <w:rPr>
          <w:rFonts w:cs="Arial"/>
          <w:sz w:val="22"/>
          <w:szCs w:val="22"/>
        </w:rPr>
        <w:t xml:space="preserve">HHS </w:t>
      </w:r>
      <w:r>
        <w:rPr>
          <w:rFonts w:cs="Arial"/>
          <w:sz w:val="22"/>
          <w:szCs w:val="22"/>
        </w:rPr>
        <w:t>also revises its g</w:t>
      </w:r>
      <w:r w:rsidRPr="00102C8B">
        <w:rPr>
          <w:rFonts w:cs="Arial"/>
          <w:sz w:val="22"/>
          <w:szCs w:val="22"/>
        </w:rPr>
        <w:t>uidelines to address findings and observations from the NLCP</w:t>
      </w:r>
      <w:r>
        <w:rPr>
          <w:rFonts w:cs="Arial"/>
          <w:sz w:val="22"/>
          <w:szCs w:val="22"/>
        </w:rPr>
        <w:t xml:space="preserve"> and in response to expert and public review.</w:t>
      </w:r>
    </w:p>
    <w:p w:rsidR="00D520BD" w:rsidP="00D520BD" w:rsidRDefault="00D520BD" w14:paraId="3DC54736" w14:textId="77777777">
      <w:pPr>
        <w:autoSpaceDE/>
        <w:autoSpaceDN/>
        <w:adjustRightInd/>
        <w:rPr>
          <w:rFonts w:cs="Arial"/>
          <w:sz w:val="22"/>
          <w:szCs w:val="22"/>
        </w:rPr>
      </w:pPr>
    </w:p>
    <w:p w:rsidR="00D520BD" w:rsidP="00D520BD" w:rsidRDefault="00D520BD" w14:paraId="5449A8D3" w14:textId="6A8C90DB">
      <w:pPr>
        <w:autoSpaceDE/>
        <w:autoSpaceDN/>
        <w:adjustRightInd/>
        <w:rPr>
          <w:sz w:val="22"/>
          <w:szCs w:val="22"/>
        </w:rPr>
      </w:pPr>
      <w:r w:rsidRPr="00102C8B">
        <w:rPr>
          <w:rFonts w:cs="Arial"/>
          <w:sz w:val="22"/>
          <w:szCs w:val="22"/>
        </w:rPr>
        <w:t>The NRC historically has incorporated appropriate provision</w:t>
      </w:r>
      <w:r>
        <w:rPr>
          <w:rFonts w:cs="Arial"/>
          <w:sz w:val="22"/>
          <w:szCs w:val="22"/>
        </w:rPr>
        <w:t>s of the HHS Guidelines into 10 CFR Part 26</w:t>
      </w:r>
      <w:r w:rsidRPr="00102C8B">
        <w:rPr>
          <w:rFonts w:cs="Arial"/>
          <w:sz w:val="22"/>
          <w:szCs w:val="22"/>
        </w:rPr>
        <w:t xml:space="preserve"> </w:t>
      </w:r>
      <w:r w:rsidR="005C20B1">
        <w:rPr>
          <w:rFonts w:cs="Arial"/>
          <w:sz w:val="22"/>
          <w:szCs w:val="22"/>
        </w:rPr>
        <w:t xml:space="preserve">in order to </w:t>
      </w:r>
      <w:r w:rsidR="007A5C7A">
        <w:rPr>
          <w:rFonts w:cs="Arial"/>
          <w:sz w:val="22"/>
          <w:szCs w:val="22"/>
        </w:rPr>
        <w:t>apply</w:t>
      </w:r>
      <w:r w:rsidRPr="00102C8B">
        <w:rPr>
          <w:rFonts w:cs="Arial"/>
          <w:sz w:val="22"/>
          <w:szCs w:val="22"/>
        </w:rPr>
        <w:t xml:space="preserve"> advancements in drug testing technology and detection methods</w:t>
      </w:r>
      <w:r w:rsidR="005C20B1">
        <w:rPr>
          <w:rFonts w:cs="Arial"/>
          <w:sz w:val="22"/>
          <w:szCs w:val="22"/>
        </w:rPr>
        <w:t>,</w:t>
      </w:r>
      <w:r w:rsidRPr="00102C8B">
        <w:rPr>
          <w:rFonts w:cs="Arial"/>
          <w:sz w:val="22"/>
          <w:szCs w:val="22"/>
        </w:rPr>
        <w:t xml:space="preserve"> address societal changes in drug use</w:t>
      </w:r>
      <w:r w:rsidR="00646A79">
        <w:rPr>
          <w:rFonts w:cs="Arial"/>
          <w:sz w:val="22"/>
          <w:szCs w:val="22"/>
        </w:rPr>
        <w:t>,</w:t>
      </w:r>
      <w:r w:rsidR="007A5C7A">
        <w:rPr>
          <w:rFonts w:cs="Arial"/>
          <w:sz w:val="22"/>
          <w:szCs w:val="22"/>
        </w:rPr>
        <w:t xml:space="preserve"> </w:t>
      </w:r>
      <w:r w:rsidR="005C20B1">
        <w:rPr>
          <w:rFonts w:cs="Arial"/>
          <w:sz w:val="22"/>
          <w:szCs w:val="22"/>
        </w:rPr>
        <w:t>and</w:t>
      </w:r>
      <w:r w:rsidR="007A5C7A">
        <w:rPr>
          <w:rFonts w:cs="Arial"/>
          <w:sz w:val="22"/>
          <w:szCs w:val="22"/>
        </w:rPr>
        <w:t xml:space="preserve"> align</w:t>
      </w:r>
      <w:r>
        <w:rPr>
          <w:rFonts w:cs="Arial"/>
          <w:sz w:val="22"/>
          <w:szCs w:val="22"/>
        </w:rPr>
        <w:t xml:space="preserve"> the </w:t>
      </w:r>
      <w:r w:rsidRPr="00102C8B">
        <w:rPr>
          <w:rFonts w:cs="Arial"/>
          <w:sz w:val="22"/>
          <w:szCs w:val="22"/>
        </w:rPr>
        <w:t>methods and techniques used to</w:t>
      </w:r>
      <w:r w:rsidR="00AE4C5D">
        <w:rPr>
          <w:rFonts w:cs="Arial"/>
          <w:sz w:val="22"/>
          <w:szCs w:val="22"/>
        </w:rPr>
        <w:t xml:space="preserve"> identify</w:t>
      </w:r>
      <w:r w:rsidRPr="00102C8B">
        <w:rPr>
          <w:rFonts w:cs="Arial"/>
          <w:sz w:val="22"/>
          <w:szCs w:val="22"/>
        </w:rPr>
        <w:t xml:space="preserve"> subver</w:t>
      </w:r>
      <w:r w:rsidR="00AB24CC">
        <w:rPr>
          <w:rFonts w:cs="Arial"/>
          <w:sz w:val="22"/>
          <w:szCs w:val="22"/>
        </w:rPr>
        <w:t>sion of</w:t>
      </w:r>
      <w:r w:rsidRPr="00102C8B">
        <w:rPr>
          <w:rFonts w:cs="Arial"/>
          <w:sz w:val="22"/>
          <w:szCs w:val="22"/>
        </w:rPr>
        <w:t xml:space="preserve"> the drug testing process with a standard u</w:t>
      </w:r>
      <w:r>
        <w:rPr>
          <w:rFonts w:cs="Arial"/>
          <w:sz w:val="22"/>
          <w:szCs w:val="22"/>
        </w:rPr>
        <w:t>se</w:t>
      </w:r>
      <w:r w:rsidRPr="00102C8B">
        <w:rPr>
          <w:rFonts w:cs="Arial"/>
          <w:sz w:val="22"/>
          <w:szCs w:val="22"/>
        </w:rPr>
        <w:t xml:space="preserve">d </w:t>
      </w:r>
      <w:r>
        <w:rPr>
          <w:rFonts w:cs="Arial"/>
          <w:sz w:val="22"/>
          <w:szCs w:val="22"/>
        </w:rPr>
        <w:t>for</w:t>
      </w:r>
      <w:r w:rsidRPr="00102C8B">
        <w:rPr>
          <w:rFonts w:cs="Arial"/>
          <w:sz w:val="22"/>
          <w:szCs w:val="22"/>
        </w:rPr>
        <w:t xml:space="preserve"> test</w:t>
      </w:r>
      <w:r>
        <w:rPr>
          <w:rFonts w:cs="Arial"/>
          <w:sz w:val="22"/>
          <w:szCs w:val="22"/>
        </w:rPr>
        <w:t>ing</w:t>
      </w:r>
      <w:r w:rsidRPr="00102C8B">
        <w:rPr>
          <w:rFonts w:cs="Arial"/>
          <w:sz w:val="22"/>
          <w:szCs w:val="22"/>
        </w:rPr>
        <w:t xml:space="preserve"> Federal employees and the majority of civilians tested by Federal agencies.</w:t>
      </w:r>
      <w:r>
        <w:rPr>
          <w:rFonts w:cs="Arial"/>
          <w:sz w:val="22"/>
          <w:szCs w:val="22"/>
        </w:rPr>
        <w:t xml:space="preserve">  </w:t>
      </w:r>
      <w:r w:rsidRPr="00102C8B">
        <w:rPr>
          <w:sz w:val="22"/>
          <w:szCs w:val="22"/>
        </w:rPr>
        <w:t xml:space="preserve">The drug testing panel and cutoff levels specified in </w:t>
      </w:r>
      <w:r>
        <w:rPr>
          <w:sz w:val="22"/>
          <w:szCs w:val="22"/>
        </w:rPr>
        <w:t>10 CFR Part 26</w:t>
      </w:r>
      <w:r w:rsidRPr="00102C8B">
        <w:rPr>
          <w:sz w:val="22"/>
          <w:szCs w:val="22"/>
        </w:rPr>
        <w:t xml:space="preserve"> are</w:t>
      </w:r>
      <w:r>
        <w:rPr>
          <w:sz w:val="22"/>
          <w:szCs w:val="22"/>
        </w:rPr>
        <w:t xml:space="preserve"> currently</w:t>
      </w:r>
      <w:r w:rsidRPr="00102C8B">
        <w:rPr>
          <w:sz w:val="22"/>
          <w:szCs w:val="22"/>
        </w:rPr>
        <w:t xml:space="preserve"> not in alignment with the </w:t>
      </w:r>
      <w:r w:rsidR="008D554D">
        <w:rPr>
          <w:sz w:val="22"/>
          <w:szCs w:val="22"/>
        </w:rPr>
        <w:t xml:space="preserve">2008 or </w:t>
      </w:r>
      <w:r w:rsidRPr="00102C8B">
        <w:rPr>
          <w:sz w:val="22"/>
          <w:szCs w:val="22"/>
        </w:rPr>
        <w:t>20</w:t>
      </w:r>
      <w:r w:rsidR="00BA5347">
        <w:rPr>
          <w:sz w:val="22"/>
          <w:szCs w:val="22"/>
        </w:rPr>
        <w:t>17</w:t>
      </w:r>
      <w:r w:rsidRPr="00102C8B">
        <w:rPr>
          <w:sz w:val="22"/>
          <w:szCs w:val="22"/>
        </w:rPr>
        <w:t xml:space="preserve"> HHS Guidelines</w:t>
      </w:r>
      <w:r>
        <w:rPr>
          <w:sz w:val="22"/>
          <w:szCs w:val="22"/>
        </w:rPr>
        <w:t>.</w:t>
      </w:r>
    </w:p>
    <w:p w:rsidR="00D520BD" w:rsidP="00D520BD" w:rsidRDefault="00D520BD" w14:paraId="28DE8810" w14:textId="77777777">
      <w:pPr>
        <w:rPr>
          <w:sz w:val="22"/>
          <w:szCs w:val="22"/>
        </w:rPr>
      </w:pPr>
    </w:p>
    <w:p w:rsidRPr="007C30EB" w:rsidR="00D520BD" w:rsidP="00D520BD" w:rsidRDefault="00D520BD" w14:paraId="7C168661" w14:textId="77777777">
      <w:pPr>
        <w:pStyle w:val="Heading3"/>
      </w:pPr>
      <w:bookmarkStart w:name="_Toc460412617" w:id="196"/>
      <w:bookmarkStart w:name="_Toc72840037" w:id="197"/>
      <w:bookmarkStart w:name="_Toc105681510" w:id="198"/>
      <w:r w:rsidRPr="007C30EB">
        <w:t>5.1.8</w:t>
      </w:r>
      <w:r w:rsidRPr="007C30EB">
        <w:tab/>
        <w:t>Safety Vulnerability</w:t>
      </w:r>
      <w:bookmarkEnd w:id="196"/>
      <w:bookmarkEnd w:id="197"/>
      <w:bookmarkEnd w:id="198"/>
    </w:p>
    <w:p w:rsidRPr="005C7807" w:rsidR="00D520BD" w:rsidP="00D520BD" w:rsidRDefault="00D520BD" w14:paraId="072E3CC4" w14:textId="77777777">
      <w:pPr>
        <w:keepNext/>
        <w:rPr>
          <w:sz w:val="22"/>
          <w:szCs w:val="22"/>
        </w:rPr>
      </w:pPr>
    </w:p>
    <w:p w:rsidRPr="004F1340" w:rsidR="00D520BD" w:rsidP="00D520BD" w:rsidRDefault="00D520BD" w14:paraId="13DDD2B2" w14:textId="192B3E21">
      <w:pPr>
        <w:rPr>
          <w:sz w:val="22"/>
          <w:szCs w:val="22"/>
        </w:rPr>
      </w:pPr>
      <w:r w:rsidRPr="005C7807">
        <w:rPr>
          <w:sz w:val="22"/>
          <w:szCs w:val="22"/>
        </w:rPr>
        <w:t xml:space="preserve">The </w:t>
      </w:r>
      <w:r w:rsidRPr="005C7807" w:rsidR="00C85CD6">
        <w:rPr>
          <w:sz w:val="22"/>
          <w:szCs w:val="22"/>
        </w:rPr>
        <w:t xml:space="preserve">final </w:t>
      </w:r>
      <w:r w:rsidRPr="005C7807">
        <w:rPr>
          <w:sz w:val="22"/>
          <w:szCs w:val="22"/>
        </w:rPr>
        <w:t xml:space="preserve">rule </w:t>
      </w:r>
      <w:r w:rsidRPr="005C7807" w:rsidR="00027D4A">
        <w:rPr>
          <w:sz w:val="22"/>
          <w:szCs w:val="22"/>
        </w:rPr>
        <w:t>will</w:t>
      </w:r>
      <w:r w:rsidRPr="005C7807">
        <w:rPr>
          <w:sz w:val="22"/>
          <w:szCs w:val="22"/>
        </w:rPr>
        <w:t xml:space="preserve"> enhance the identification</w:t>
      </w:r>
      <w:r w:rsidRPr="00A0737E">
        <w:rPr>
          <w:sz w:val="22"/>
          <w:szCs w:val="22"/>
        </w:rPr>
        <w:t xml:space="preserve"> of additional ind</w:t>
      </w:r>
      <w:r>
        <w:rPr>
          <w:sz w:val="22"/>
          <w:szCs w:val="22"/>
        </w:rPr>
        <w:t>ividuals subject to 10 CFR Part 26</w:t>
      </w:r>
      <w:r w:rsidRPr="00A0737E">
        <w:rPr>
          <w:sz w:val="22"/>
          <w:szCs w:val="22"/>
        </w:rPr>
        <w:t xml:space="preserve"> </w:t>
      </w:r>
      <w:r>
        <w:rPr>
          <w:sz w:val="22"/>
          <w:szCs w:val="22"/>
        </w:rPr>
        <w:t>who</w:t>
      </w:r>
      <w:r w:rsidRPr="00A0737E">
        <w:rPr>
          <w:sz w:val="22"/>
          <w:szCs w:val="22"/>
        </w:rPr>
        <w:t xml:space="preserve"> are using illegal drugs</w:t>
      </w:r>
      <w:r w:rsidR="00646A79">
        <w:rPr>
          <w:sz w:val="22"/>
          <w:szCs w:val="22"/>
        </w:rPr>
        <w:t>,</w:t>
      </w:r>
      <w:r w:rsidRPr="00A0737E">
        <w:rPr>
          <w:sz w:val="22"/>
          <w:szCs w:val="22"/>
        </w:rPr>
        <w:t xml:space="preserve"> misusing legal drugs</w:t>
      </w:r>
      <w:r w:rsidR="00646A79">
        <w:rPr>
          <w:sz w:val="22"/>
          <w:szCs w:val="22"/>
        </w:rPr>
        <w:t>,</w:t>
      </w:r>
      <w:r w:rsidRPr="00A0737E">
        <w:rPr>
          <w:sz w:val="22"/>
          <w:szCs w:val="22"/>
        </w:rPr>
        <w:t xml:space="preserve"> or attempting to subvert the testing process and who are determined not to be fit for duty or not to be trustworthy and reliable</w:t>
      </w:r>
      <w:r w:rsidR="00646A79">
        <w:rPr>
          <w:sz w:val="22"/>
          <w:szCs w:val="22"/>
        </w:rPr>
        <w:t>,</w:t>
      </w:r>
      <w:r>
        <w:rPr>
          <w:sz w:val="22"/>
          <w:szCs w:val="22"/>
        </w:rPr>
        <w:t xml:space="preserve"> or both</w:t>
      </w:r>
      <w:r w:rsidRPr="00A0737E">
        <w:rPr>
          <w:sz w:val="22"/>
          <w:szCs w:val="22"/>
        </w:rPr>
        <w:t>.  Such a determination result</w:t>
      </w:r>
      <w:r w:rsidR="003D0B4C">
        <w:rPr>
          <w:sz w:val="22"/>
          <w:szCs w:val="22"/>
        </w:rPr>
        <w:t>s</w:t>
      </w:r>
      <w:r w:rsidRPr="00A0737E">
        <w:rPr>
          <w:sz w:val="22"/>
          <w:szCs w:val="22"/>
        </w:rPr>
        <w:t xml:space="preserve"> in a denial of unescorted access to the protected areas of NRC</w:t>
      </w:r>
      <w:r w:rsidRPr="00A0737E">
        <w:rPr>
          <w:sz w:val="22"/>
          <w:szCs w:val="22"/>
        </w:rPr>
        <w:noBreakHyphen/>
        <w:t>licensed facilities and other locations</w:t>
      </w:r>
      <w:r>
        <w:rPr>
          <w:sz w:val="22"/>
          <w:szCs w:val="22"/>
        </w:rPr>
        <w:t xml:space="preserve"> and</w:t>
      </w:r>
      <w:r w:rsidRPr="00A0737E">
        <w:rPr>
          <w:sz w:val="22"/>
          <w:szCs w:val="22"/>
        </w:rPr>
        <w:t xml:space="preserve"> </w:t>
      </w:r>
      <w:r>
        <w:rPr>
          <w:sz w:val="22"/>
          <w:szCs w:val="22"/>
        </w:rPr>
        <w:t xml:space="preserve">a denial </w:t>
      </w:r>
      <w:r w:rsidR="00D60A36">
        <w:rPr>
          <w:sz w:val="22"/>
          <w:szCs w:val="22"/>
        </w:rPr>
        <w:t>of</w:t>
      </w:r>
      <w:r w:rsidRPr="00A0737E">
        <w:rPr>
          <w:sz w:val="22"/>
          <w:szCs w:val="22"/>
        </w:rPr>
        <w:t xml:space="preserve"> access to SSNM or sensitive information.  Of the approximately </w:t>
      </w:r>
      <w:r w:rsidRPr="00B978DE" w:rsidR="00B978DE">
        <w:rPr>
          <w:sz w:val="22"/>
          <w:szCs w:val="22"/>
        </w:rPr>
        <w:t>176</w:t>
      </w:r>
      <w:r w:rsidRPr="00B978DE">
        <w:rPr>
          <w:sz w:val="22"/>
          <w:szCs w:val="22"/>
        </w:rPr>
        <w:t> additional individuals</w:t>
      </w:r>
      <w:r>
        <w:rPr>
          <w:sz w:val="22"/>
          <w:szCs w:val="22"/>
        </w:rPr>
        <w:t xml:space="preserve"> determined to be using drugs</w:t>
      </w:r>
      <w:r w:rsidR="00AE44CF">
        <w:rPr>
          <w:sz w:val="22"/>
          <w:szCs w:val="22"/>
        </w:rPr>
        <w:t xml:space="preserve"> </w:t>
      </w:r>
      <w:r w:rsidR="00F95F2B">
        <w:rPr>
          <w:sz w:val="22"/>
          <w:szCs w:val="22"/>
        </w:rPr>
        <w:t>as a result of</w:t>
      </w:r>
      <w:r w:rsidR="00AE44CF">
        <w:rPr>
          <w:sz w:val="22"/>
          <w:szCs w:val="22"/>
        </w:rPr>
        <w:t xml:space="preserve"> this final rule</w:t>
      </w:r>
      <w:r w:rsidR="00646A79">
        <w:rPr>
          <w:sz w:val="22"/>
          <w:szCs w:val="22"/>
        </w:rPr>
        <w:t>,</w:t>
      </w:r>
      <w:r w:rsidRPr="00A0737E">
        <w:rPr>
          <w:sz w:val="22"/>
          <w:szCs w:val="22"/>
        </w:rPr>
        <w:t xml:space="preserve"> </w:t>
      </w:r>
      <w:r w:rsidR="008205A7">
        <w:rPr>
          <w:sz w:val="22"/>
          <w:szCs w:val="22"/>
        </w:rPr>
        <w:t>118</w:t>
      </w:r>
      <w:r w:rsidR="00231437">
        <w:rPr>
          <w:sz w:val="22"/>
          <w:szCs w:val="22"/>
        </w:rPr>
        <w:t> </w:t>
      </w:r>
      <w:r w:rsidR="0021031F">
        <w:rPr>
          <w:sz w:val="22"/>
          <w:szCs w:val="22"/>
        </w:rPr>
        <w:t xml:space="preserve">individuals </w:t>
      </w:r>
      <w:r w:rsidR="00442E06">
        <w:rPr>
          <w:sz w:val="22"/>
          <w:szCs w:val="22"/>
        </w:rPr>
        <w:t>will be</w:t>
      </w:r>
      <w:r w:rsidR="003D0B4C">
        <w:rPr>
          <w:sz w:val="22"/>
          <w:szCs w:val="22"/>
        </w:rPr>
        <w:t xml:space="preserve"> </w:t>
      </w:r>
      <w:r w:rsidRPr="00A0737E">
        <w:rPr>
          <w:sz w:val="22"/>
          <w:szCs w:val="22"/>
        </w:rPr>
        <w:t xml:space="preserve">identified </w:t>
      </w:r>
      <w:r w:rsidR="0030358D">
        <w:rPr>
          <w:sz w:val="22"/>
          <w:szCs w:val="22"/>
        </w:rPr>
        <w:t>by</w:t>
      </w:r>
      <w:r w:rsidRPr="00A0737E">
        <w:rPr>
          <w:sz w:val="22"/>
          <w:szCs w:val="22"/>
        </w:rPr>
        <w:t xml:space="preserve"> p</w:t>
      </w:r>
      <w:r>
        <w:rPr>
          <w:sz w:val="22"/>
          <w:szCs w:val="22"/>
        </w:rPr>
        <w:t>re-</w:t>
      </w:r>
      <w:r w:rsidRPr="00A0737E">
        <w:rPr>
          <w:sz w:val="22"/>
          <w:szCs w:val="22"/>
        </w:rPr>
        <w:t>access testing</w:t>
      </w:r>
      <w:r w:rsidR="00646A79">
        <w:rPr>
          <w:sz w:val="22"/>
          <w:szCs w:val="22"/>
        </w:rPr>
        <w:t>,</w:t>
      </w:r>
      <w:r w:rsidRPr="00A0737E">
        <w:rPr>
          <w:sz w:val="22"/>
          <w:szCs w:val="22"/>
        </w:rPr>
        <w:t xml:space="preserve"> preventing each from entering an NRC-licensed facility or accessing information and potentially challenging safety.</w:t>
      </w:r>
      <w:r w:rsidRPr="004F1340">
        <w:rPr>
          <w:rStyle w:val="FootnoteReference"/>
          <w:sz w:val="22"/>
          <w:szCs w:val="22"/>
        </w:rPr>
        <w:footnoteReference w:id="31"/>
      </w:r>
      <w:r w:rsidRPr="004F1340">
        <w:rPr>
          <w:sz w:val="22"/>
          <w:szCs w:val="22"/>
        </w:rPr>
        <w:t xml:space="preserve">  The remaining </w:t>
      </w:r>
      <w:r w:rsidR="005615ED">
        <w:rPr>
          <w:sz w:val="22"/>
          <w:szCs w:val="22"/>
        </w:rPr>
        <w:t xml:space="preserve">58 </w:t>
      </w:r>
      <w:r>
        <w:rPr>
          <w:sz w:val="22"/>
          <w:szCs w:val="22"/>
        </w:rPr>
        <w:t>individuals</w:t>
      </w:r>
      <w:r w:rsidRPr="004F1340">
        <w:rPr>
          <w:sz w:val="22"/>
          <w:szCs w:val="22"/>
        </w:rPr>
        <w:t xml:space="preserve"> </w:t>
      </w:r>
      <w:r w:rsidR="003D3750">
        <w:rPr>
          <w:sz w:val="22"/>
          <w:szCs w:val="22"/>
        </w:rPr>
        <w:t>will</w:t>
      </w:r>
      <w:r w:rsidRPr="004F1340">
        <w:rPr>
          <w:sz w:val="22"/>
          <w:szCs w:val="22"/>
        </w:rPr>
        <w:t xml:space="preserve"> be identified </w:t>
      </w:r>
      <w:r>
        <w:rPr>
          <w:sz w:val="22"/>
          <w:szCs w:val="22"/>
        </w:rPr>
        <w:t>after</w:t>
      </w:r>
      <w:r w:rsidRPr="004F1340">
        <w:rPr>
          <w:sz w:val="22"/>
          <w:szCs w:val="22"/>
        </w:rPr>
        <w:t xml:space="preserve"> being granted authorization (i.e.</w:t>
      </w:r>
      <w:r w:rsidR="00646A79">
        <w:rPr>
          <w:sz w:val="22"/>
          <w:szCs w:val="22"/>
        </w:rPr>
        <w:t>,</w:t>
      </w:r>
      <w:r>
        <w:rPr>
          <w:sz w:val="22"/>
          <w:szCs w:val="22"/>
        </w:rPr>
        <w:t> </w:t>
      </w:r>
      <w:r w:rsidRPr="004F1340">
        <w:rPr>
          <w:sz w:val="22"/>
          <w:szCs w:val="22"/>
        </w:rPr>
        <w:t>identified during random</w:t>
      </w:r>
      <w:r w:rsidR="00646A79">
        <w:rPr>
          <w:sz w:val="22"/>
          <w:szCs w:val="22"/>
        </w:rPr>
        <w:t>,</w:t>
      </w:r>
      <w:r w:rsidRPr="004F1340">
        <w:rPr>
          <w:sz w:val="22"/>
          <w:szCs w:val="22"/>
        </w:rPr>
        <w:t xml:space="preserve"> for-cause</w:t>
      </w:r>
      <w:r w:rsidR="00646A79">
        <w:rPr>
          <w:sz w:val="22"/>
          <w:szCs w:val="22"/>
        </w:rPr>
        <w:t>,</w:t>
      </w:r>
      <w:r w:rsidRPr="004F1340">
        <w:rPr>
          <w:sz w:val="22"/>
          <w:szCs w:val="22"/>
        </w:rPr>
        <w:t xml:space="preserve"> </w:t>
      </w:r>
      <w:r w:rsidRPr="0080282A">
        <w:rPr>
          <w:sz w:val="22"/>
          <w:szCs w:val="22"/>
        </w:rPr>
        <w:t>followup</w:t>
      </w:r>
      <w:r w:rsidR="00646A79">
        <w:rPr>
          <w:sz w:val="22"/>
          <w:szCs w:val="22"/>
        </w:rPr>
        <w:t>,</w:t>
      </w:r>
      <w:r w:rsidRPr="0080282A">
        <w:rPr>
          <w:sz w:val="22"/>
          <w:szCs w:val="22"/>
        </w:rPr>
        <w:t xml:space="preserve"> or</w:t>
      </w:r>
      <w:r w:rsidRPr="004F1340">
        <w:rPr>
          <w:sz w:val="22"/>
          <w:szCs w:val="22"/>
        </w:rPr>
        <w:t xml:space="preserve"> post-event testing)</w:t>
      </w:r>
      <w:r w:rsidR="00646A79">
        <w:rPr>
          <w:sz w:val="22"/>
          <w:szCs w:val="22"/>
        </w:rPr>
        <w:t>,</w:t>
      </w:r>
      <w:r>
        <w:rPr>
          <w:sz w:val="22"/>
          <w:szCs w:val="22"/>
        </w:rPr>
        <w:t xml:space="preserve"> during the </w:t>
      </w:r>
      <w:r w:rsidRPr="004F1340">
        <w:rPr>
          <w:sz w:val="22"/>
          <w:szCs w:val="22"/>
        </w:rPr>
        <w:t>performance of safety-</w:t>
      </w:r>
      <w:r>
        <w:rPr>
          <w:sz w:val="22"/>
          <w:szCs w:val="22"/>
        </w:rPr>
        <w:t xml:space="preserve"> </w:t>
      </w:r>
      <w:r w:rsidRPr="004F1340">
        <w:rPr>
          <w:sz w:val="22"/>
          <w:szCs w:val="22"/>
        </w:rPr>
        <w:t>and security-sensitive duties as descri</w:t>
      </w:r>
      <w:r>
        <w:rPr>
          <w:sz w:val="22"/>
          <w:szCs w:val="22"/>
        </w:rPr>
        <w:t>bed in 10 CFR </w:t>
      </w:r>
      <w:r w:rsidRPr="004F1340">
        <w:rPr>
          <w:sz w:val="22"/>
          <w:szCs w:val="22"/>
        </w:rPr>
        <w:t>26.4.</w:t>
      </w:r>
    </w:p>
    <w:p w:rsidRPr="004F1340" w:rsidR="00D520BD" w:rsidP="00D520BD" w:rsidRDefault="00D520BD" w14:paraId="3FE89F93" w14:textId="77777777">
      <w:pPr>
        <w:rPr>
          <w:sz w:val="22"/>
          <w:szCs w:val="22"/>
        </w:rPr>
      </w:pPr>
    </w:p>
    <w:p w:rsidRPr="004F1340" w:rsidR="00D520BD" w:rsidP="00D520BD" w:rsidRDefault="00D520BD" w14:paraId="5A3EAAFC" w14:textId="60B5D088">
      <w:pPr>
        <w:spacing w:after="220"/>
        <w:rPr>
          <w:sz w:val="22"/>
          <w:szCs w:val="22"/>
        </w:rPr>
      </w:pPr>
      <w:r w:rsidRPr="004F1340">
        <w:rPr>
          <w:sz w:val="22"/>
          <w:szCs w:val="22"/>
        </w:rPr>
        <w:lastRenderedPageBreak/>
        <w:t xml:space="preserve">The identification of these </w:t>
      </w:r>
      <w:r w:rsidR="005615ED">
        <w:rPr>
          <w:sz w:val="22"/>
          <w:szCs w:val="22"/>
        </w:rPr>
        <w:t xml:space="preserve">58 </w:t>
      </w:r>
      <w:r>
        <w:rPr>
          <w:sz w:val="22"/>
          <w:szCs w:val="22"/>
        </w:rPr>
        <w:t>individuals</w:t>
      </w:r>
      <w:r w:rsidRPr="004F1340">
        <w:rPr>
          <w:sz w:val="22"/>
          <w:szCs w:val="22"/>
        </w:rPr>
        <w:t xml:space="preserve"> performing safety-</w:t>
      </w:r>
      <w:r>
        <w:rPr>
          <w:sz w:val="22"/>
          <w:szCs w:val="22"/>
        </w:rPr>
        <w:t xml:space="preserve"> </w:t>
      </w:r>
      <w:r w:rsidRPr="004F1340">
        <w:rPr>
          <w:sz w:val="22"/>
          <w:szCs w:val="22"/>
        </w:rPr>
        <w:t>and security-sensitive duties enhances the existing regulatory framework to prevent drug-induced impairment (both acute intoxication</w:t>
      </w:r>
      <w:r w:rsidR="00BF5E58">
        <w:rPr>
          <w:sz w:val="22"/>
          <w:szCs w:val="22"/>
        </w:rPr>
        <w:t xml:space="preserve"> and</w:t>
      </w:r>
      <w:r w:rsidRPr="004F1340">
        <w:rPr>
          <w:sz w:val="22"/>
          <w:szCs w:val="22"/>
        </w:rPr>
        <w:t xml:space="preserve"> the consequences of recent drug use</w:t>
      </w:r>
      <w:r w:rsidR="00BF5E58">
        <w:rPr>
          <w:sz w:val="22"/>
          <w:szCs w:val="22"/>
        </w:rPr>
        <w:t>,</w:t>
      </w:r>
      <w:r w:rsidRPr="004F1340">
        <w:rPr>
          <w:sz w:val="22"/>
          <w:szCs w:val="22"/>
        </w:rPr>
        <w:t xml:space="preserve"> such as withdrawal effects) from </w:t>
      </w:r>
      <w:r>
        <w:rPr>
          <w:sz w:val="22"/>
          <w:szCs w:val="22"/>
        </w:rPr>
        <w:t>causing</w:t>
      </w:r>
      <w:r w:rsidRPr="004F1340">
        <w:rPr>
          <w:sz w:val="22"/>
          <w:szCs w:val="22"/>
        </w:rPr>
        <w:t xml:space="preserve"> or contributing to human performance errors that may result in consequences to the safe operation of a licensed facility.  For example</w:t>
      </w:r>
      <w:r w:rsidR="00646A79">
        <w:rPr>
          <w:sz w:val="22"/>
          <w:szCs w:val="22"/>
        </w:rPr>
        <w:t>,</w:t>
      </w:r>
      <w:r w:rsidRPr="004F1340">
        <w:rPr>
          <w:sz w:val="22"/>
          <w:szCs w:val="22"/>
        </w:rPr>
        <w:t xml:space="preserve"> an impaired individual could introduce or fail to identify latent failures during maintenance</w:t>
      </w:r>
      <w:r w:rsidR="00646A79">
        <w:rPr>
          <w:sz w:val="22"/>
          <w:szCs w:val="22"/>
        </w:rPr>
        <w:t>,</w:t>
      </w:r>
      <w:r w:rsidRPr="004F1340">
        <w:rPr>
          <w:sz w:val="22"/>
          <w:szCs w:val="22"/>
        </w:rPr>
        <w:t xml:space="preserve"> surveillance</w:t>
      </w:r>
      <w:r w:rsidR="00646A79">
        <w:rPr>
          <w:sz w:val="22"/>
          <w:szCs w:val="22"/>
        </w:rPr>
        <w:t>,</w:t>
      </w:r>
      <w:r w:rsidRPr="004F1340">
        <w:rPr>
          <w:sz w:val="22"/>
          <w:szCs w:val="22"/>
        </w:rPr>
        <w:t xml:space="preserve"> modification</w:t>
      </w:r>
      <w:r w:rsidR="00646A79">
        <w:rPr>
          <w:sz w:val="22"/>
          <w:szCs w:val="22"/>
        </w:rPr>
        <w:t>,</w:t>
      </w:r>
      <w:r w:rsidRPr="004F1340">
        <w:rPr>
          <w:sz w:val="22"/>
          <w:szCs w:val="22"/>
        </w:rPr>
        <w:t xml:space="preserve"> or operation of safety-</w:t>
      </w:r>
      <w:r>
        <w:rPr>
          <w:sz w:val="22"/>
          <w:szCs w:val="22"/>
        </w:rPr>
        <w:t xml:space="preserve"> </w:t>
      </w:r>
      <w:r w:rsidRPr="004F1340">
        <w:rPr>
          <w:sz w:val="22"/>
          <w:szCs w:val="22"/>
        </w:rPr>
        <w:t>and security-related SSCs</w:t>
      </w:r>
      <w:r w:rsidR="00646A79">
        <w:rPr>
          <w:sz w:val="22"/>
          <w:szCs w:val="22"/>
        </w:rPr>
        <w:t>,</w:t>
      </w:r>
      <w:r w:rsidRPr="004F1340">
        <w:rPr>
          <w:sz w:val="22"/>
          <w:szCs w:val="22"/>
        </w:rPr>
        <w:t xml:space="preserve"> and these failures could contribute to an</w:t>
      </w:r>
      <w:r w:rsidRPr="00646A79">
        <w:rPr>
          <w:sz w:val="22"/>
          <w:szCs w:val="22"/>
        </w:rPr>
        <w:t xml:space="preserve"> </w:t>
      </w:r>
      <w:r w:rsidRPr="004F1340">
        <w:rPr>
          <w:sz w:val="22"/>
          <w:szCs w:val="22"/>
        </w:rPr>
        <w:t>unplanned occupational exposure</w:t>
      </w:r>
      <w:r w:rsidR="00646A79">
        <w:rPr>
          <w:sz w:val="22"/>
          <w:szCs w:val="22"/>
        </w:rPr>
        <w:t>,</w:t>
      </w:r>
      <w:r w:rsidRPr="004F1340">
        <w:rPr>
          <w:sz w:val="22"/>
          <w:szCs w:val="22"/>
        </w:rPr>
        <w:t xml:space="preserve"> personal safety issues</w:t>
      </w:r>
      <w:r w:rsidR="00646A79">
        <w:rPr>
          <w:sz w:val="22"/>
          <w:szCs w:val="22"/>
        </w:rPr>
        <w:t>,</w:t>
      </w:r>
      <w:r w:rsidRPr="004F1340">
        <w:rPr>
          <w:sz w:val="22"/>
          <w:szCs w:val="22"/>
        </w:rPr>
        <w:t xml:space="preserve"> unplanned radiological releases</w:t>
      </w:r>
      <w:r w:rsidR="00646A79">
        <w:rPr>
          <w:sz w:val="22"/>
          <w:szCs w:val="22"/>
        </w:rPr>
        <w:t>,</w:t>
      </w:r>
      <w:r w:rsidRPr="004F1340">
        <w:rPr>
          <w:sz w:val="22"/>
          <w:szCs w:val="22"/>
        </w:rPr>
        <w:t xml:space="preserve"> an accident</w:t>
      </w:r>
      <w:r w:rsidR="00646A79">
        <w:rPr>
          <w:sz w:val="22"/>
          <w:szCs w:val="22"/>
        </w:rPr>
        <w:t>,</w:t>
      </w:r>
      <w:r w:rsidRPr="004F1340">
        <w:rPr>
          <w:sz w:val="22"/>
          <w:szCs w:val="22"/>
        </w:rPr>
        <w:t xml:space="preserve"> or a transient.</w:t>
      </w:r>
    </w:p>
    <w:p w:rsidRPr="004F1340" w:rsidR="00D520BD" w:rsidP="00D520BD" w:rsidRDefault="00D520BD" w14:paraId="3132648F" w14:textId="196A97B6">
      <w:pPr>
        <w:rPr>
          <w:sz w:val="22"/>
          <w:szCs w:val="22"/>
        </w:rPr>
      </w:pPr>
      <w:r w:rsidRPr="004F1340">
        <w:rPr>
          <w:sz w:val="22"/>
          <w:szCs w:val="22"/>
        </w:rPr>
        <w:t>Si</w:t>
      </w:r>
      <w:r>
        <w:rPr>
          <w:sz w:val="22"/>
          <w:szCs w:val="22"/>
        </w:rPr>
        <w:t>milarly</w:t>
      </w:r>
      <w:r w:rsidR="00646A79">
        <w:rPr>
          <w:sz w:val="22"/>
          <w:szCs w:val="22"/>
        </w:rPr>
        <w:t>,</w:t>
      </w:r>
      <w:r>
        <w:rPr>
          <w:sz w:val="22"/>
          <w:szCs w:val="22"/>
        </w:rPr>
        <w:t xml:space="preserve"> the labor categories of individuals</w:t>
      </w:r>
      <w:r w:rsidRPr="004F1340">
        <w:rPr>
          <w:sz w:val="22"/>
          <w:szCs w:val="22"/>
        </w:rPr>
        <w:t xml:space="preserve"> identified as testing positive for drugs include licensed operators</w:t>
      </w:r>
      <w:r w:rsidR="00646A79">
        <w:rPr>
          <w:sz w:val="22"/>
          <w:szCs w:val="22"/>
        </w:rPr>
        <w:t>,</w:t>
      </w:r>
      <w:r w:rsidRPr="004F1340">
        <w:rPr>
          <w:sz w:val="22"/>
          <w:szCs w:val="22"/>
        </w:rPr>
        <w:t xml:space="preserve"> supervisors</w:t>
      </w:r>
      <w:r w:rsidR="00646A79">
        <w:rPr>
          <w:sz w:val="22"/>
          <w:szCs w:val="22"/>
        </w:rPr>
        <w:t>,</w:t>
      </w:r>
      <w:r w:rsidRPr="004F1340">
        <w:rPr>
          <w:sz w:val="22"/>
          <w:szCs w:val="22"/>
        </w:rPr>
        <w:t xml:space="preserve"> and managers whose job performance includes facility operations</w:t>
      </w:r>
      <w:r>
        <w:rPr>
          <w:sz w:val="22"/>
          <w:szCs w:val="22"/>
        </w:rPr>
        <w:t>;</w:t>
      </w:r>
      <w:r w:rsidRPr="004F1340">
        <w:rPr>
          <w:sz w:val="22"/>
          <w:szCs w:val="22"/>
        </w:rPr>
        <w:t xml:space="preserve"> responding to accidents</w:t>
      </w:r>
      <w:r w:rsidR="00646A79">
        <w:rPr>
          <w:sz w:val="22"/>
          <w:szCs w:val="22"/>
        </w:rPr>
        <w:t>,</w:t>
      </w:r>
      <w:r w:rsidRPr="004F1340">
        <w:rPr>
          <w:sz w:val="22"/>
          <w:szCs w:val="22"/>
        </w:rPr>
        <w:t xml:space="preserve"> transients</w:t>
      </w:r>
      <w:r w:rsidR="00646A79">
        <w:rPr>
          <w:sz w:val="22"/>
          <w:szCs w:val="22"/>
        </w:rPr>
        <w:t>,</w:t>
      </w:r>
      <w:r w:rsidRPr="004F1340">
        <w:rPr>
          <w:sz w:val="22"/>
          <w:szCs w:val="22"/>
        </w:rPr>
        <w:t xml:space="preserve"> and fires</w:t>
      </w:r>
      <w:r>
        <w:rPr>
          <w:sz w:val="22"/>
          <w:szCs w:val="22"/>
        </w:rPr>
        <w:t>;</w:t>
      </w:r>
      <w:r w:rsidRPr="004F1340">
        <w:rPr>
          <w:sz w:val="22"/>
          <w:szCs w:val="22"/>
        </w:rPr>
        <w:t xml:space="preserve"> directing the workforce</w:t>
      </w:r>
      <w:r>
        <w:rPr>
          <w:sz w:val="22"/>
          <w:szCs w:val="22"/>
        </w:rPr>
        <w:t>;</w:t>
      </w:r>
      <w:r w:rsidRPr="004F1340">
        <w:rPr>
          <w:sz w:val="22"/>
          <w:szCs w:val="22"/>
        </w:rPr>
        <w:t xml:space="preserve"> and staffing the Emergency Operations Facility and Technical Support Center upon execution of the site </w:t>
      </w:r>
      <w:r>
        <w:rPr>
          <w:sz w:val="22"/>
          <w:szCs w:val="22"/>
        </w:rPr>
        <w:t>e</w:t>
      </w:r>
      <w:r w:rsidRPr="004F1340">
        <w:rPr>
          <w:sz w:val="22"/>
          <w:szCs w:val="22"/>
        </w:rPr>
        <w:t xml:space="preserve">mergency </w:t>
      </w:r>
      <w:r>
        <w:rPr>
          <w:sz w:val="22"/>
          <w:szCs w:val="22"/>
        </w:rPr>
        <w:t>p</w:t>
      </w:r>
      <w:r w:rsidRPr="004F1340">
        <w:rPr>
          <w:sz w:val="22"/>
          <w:szCs w:val="22"/>
        </w:rPr>
        <w:t>lan.  Consequently</w:t>
      </w:r>
      <w:r w:rsidR="00646A79">
        <w:rPr>
          <w:sz w:val="22"/>
          <w:szCs w:val="22"/>
        </w:rPr>
        <w:t>,</w:t>
      </w:r>
      <w:r w:rsidRPr="004F1340">
        <w:rPr>
          <w:sz w:val="22"/>
          <w:szCs w:val="22"/>
        </w:rPr>
        <w:t xml:space="preserve"> any programmatic assurance that helps ensure that the workforce is fit for duty reduces </w:t>
      </w:r>
      <w:r>
        <w:rPr>
          <w:sz w:val="22"/>
          <w:szCs w:val="22"/>
        </w:rPr>
        <w:t xml:space="preserve">the </w:t>
      </w:r>
      <w:r w:rsidRPr="004F1340">
        <w:rPr>
          <w:sz w:val="22"/>
          <w:szCs w:val="22"/>
        </w:rPr>
        <w:t>safety vulnerability.</w:t>
      </w:r>
    </w:p>
    <w:p w:rsidRPr="004F1340" w:rsidR="00D520BD" w:rsidP="00D520BD" w:rsidRDefault="00D520BD" w14:paraId="754881B6" w14:textId="77777777">
      <w:pPr>
        <w:rPr>
          <w:sz w:val="22"/>
          <w:szCs w:val="22"/>
        </w:rPr>
      </w:pPr>
    </w:p>
    <w:p w:rsidRPr="005C7807" w:rsidR="00D520BD" w:rsidP="00D520BD" w:rsidRDefault="00D520BD" w14:paraId="79A5130F" w14:textId="529F297A">
      <w:pPr>
        <w:rPr>
          <w:sz w:val="22"/>
          <w:szCs w:val="22"/>
        </w:rPr>
      </w:pPr>
      <w:r w:rsidRPr="004F1340">
        <w:rPr>
          <w:sz w:val="22"/>
          <w:szCs w:val="22"/>
        </w:rPr>
        <w:t xml:space="preserve">This safety outcome is consistent with the original </w:t>
      </w:r>
      <w:r>
        <w:rPr>
          <w:sz w:val="22"/>
          <w:szCs w:val="22"/>
        </w:rPr>
        <w:t>10 CFR Part 26</w:t>
      </w:r>
      <w:r w:rsidRPr="004F1340">
        <w:rPr>
          <w:sz w:val="22"/>
          <w:szCs w:val="22"/>
        </w:rPr>
        <w:t xml:space="preserve"> rule (</w:t>
      </w:r>
      <w:r w:rsidR="003760ED">
        <w:rPr>
          <w:sz w:val="22"/>
          <w:szCs w:val="22"/>
        </w:rPr>
        <w:t>54 FR 24468; June 7</w:t>
      </w:r>
      <w:r w:rsidR="00646A79">
        <w:rPr>
          <w:sz w:val="22"/>
          <w:szCs w:val="22"/>
        </w:rPr>
        <w:t>,</w:t>
      </w:r>
      <w:r w:rsidR="009B72F4">
        <w:rPr>
          <w:sz w:val="22"/>
          <w:szCs w:val="22"/>
        </w:rPr>
        <w:t> </w:t>
      </w:r>
      <w:r w:rsidR="003760ED">
        <w:rPr>
          <w:sz w:val="22"/>
          <w:szCs w:val="22"/>
        </w:rPr>
        <w:t>1989</w:t>
      </w:r>
      <w:r w:rsidRPr="004F1340">
        <w:rPr>
          <w:sz w:val="22"/>
          <w:szCs w:val="22"/>
        </w:rPr>
        <w:t>)</w:t>
      </w:r>
      <w:r w:rsidR="00646A79">
        <w:rPr>
          <w:sz w:val="22"/>
          <w:szCs w:val="22"/>
        </w:rPr>
        <w:t>,</w:t>
      </w:r>
      <w:r w:rsidRPr="004F1340">
        <w:rPr>
          <w:sz w:val="22"/>
          <w:szCs w:val="22"/>
        </w:rPr>
        <w:t xml:space="preserve"> which stated </w:t>
      </w:r>
      <w:r w:rsidR="00646A79">
        <w:rPr>
          <w:sz w:val="22"/>
          <w:szCs w:val="22"/>
        </w:rPr>
        <w:t>“</w:t>
      </w:r>
      <w:r w:rsidRPr="004F1340">
        <w:rPr>
          <w:sz w:val="22"/>
          <w:szCs w:val="22"/>
        </w:rPr>
        <w:t>[t]he NRC cannot be confident of the individual’s ability to limit the use of addictive substances to situations that do not adversely affect plant safety</w:t>
      </w:r>
      <w:r w:rsidR="00646A79">
        <w:rPr>
          <w:sz w:val="22"/>
          <w:szCs w:val="22"/>
        </w:rPr>
        <w:t>”</w:t>
      </w:r>
      <w:r>
        <w:rPr>
          <w:sz w:val="22"/>
          <w:szCs w:val="22"/>
        </w:rPr>
        <w:t xml:space="preserve"> (54 FR 24470)</w:t>
      </w:r>
      <w:r w:rsidR="00DA7A70">
        <w:rPr>
          <w:sz w:val="22"/>
          <w:szCs w:val="22"/>
        </w:rPr>
        <w:t>,</w:t>
      </w:r>
      <w:r w:rsidRPr="004F1340">
        <w:rPr>
          <w:sz w:val="22"/>
          <w:szCs w:val="22"/>
        </w:rPr>
        <w:t xml:space="preserve"> </w:t>
      </w:r>
      <w:r>
        <w:rPr>
          <w:sz w:val="22"/>
          <w:szCs w:val="22"/>
        </w:rPr>
        <w:t>a</w:t>
      </w:r>
      <w:r w:rsidRPr="004F1340">
        <w:rPr>
          <w:sz w:val="22"/>
          <w:szCs w:val="22"/>
        </w:rPr>
        <w:t xml:space="preserve">nd that </w:t>
      </w:r>
      <w:r w:rsidR="00646A79">
        <w:rPr>
          <w:sz w:val="22"/>
          <w:szCs w:val="22"/>
        </w:rPr>
        <w:t>“</w:t>
      </w:r>
      <w:r w:rsidRPr="004F1340">
        <w:rPr>
          <w:sz w:val="22"/>
          <w:szCs w:val="22"/>
        </w:rPr>
        <w:t>there is an underlying assumption that workers will abide by the licensee’s policies and procedures</w:t>
      </w:r>
      <w:r w:rsidR="00646A79">
        <w:rPr>
          <w:sz w:val="22"/>
          <w:szCs w:val="22"/>
        </w:rPr>
        <w:t>,</w:t>
      </w:r>
      <w:r w:rsidRPr="004F1340">
        <w:rPr>
          <w:sz w:val="22"/>
          <w:szCs w:val="22"/>
        </w:rPr>
        <w:t xml:space="preserve"> [therefore] any involvement with illegal drugs </w:t>
      </w:r>
      <w:r w:rsidRPr="004F1340">
        <w:rPr>
          <w:rFonts w:cs="Arial"/>
          <w:sz w:val="22"/>
          <w:szCs w:val="22"/>
        </w:rPr>
        <w:t>shows that the worker cannot be relied upon to obey laws of a health and safety nature</w:t>
      </w:r>
      <w:r w:rsidR="00646A79">
        <w:rPr>
          <w:rFonts w:cs="Arial"/>
          <w:sz w:val="22"/>
          <w:szCs w:val="22"/>
        </w:rPr>
        <w:t>,</w:t>
      </w:r>
      <w:r w:rsidRPr="004F1340">
        <w:rPr>
          <w:rFonts w:cs="Arial"/>
          <w:sz w:val="22"/>
          <w:szCs w:val="22"/>
        </w:rPr>
        <w:t xml:space="preserve"> indicating that the individual may not scrupulously follow rigorous procedural requirements with the integrity required in the nuclear power industry to assure public </w:t>
      </w:r>
      <w:r w:rsidRPr="005C7807">
        <w:rPr>
          <w:rFonts w:cs="Arial"/>
          <w:sz w:val="22"/>
          <w:szCs w:val="22"/>
        </w:rPr>
        <w:t>health and safety</w:t>
      </w:r>
      <w:r w:rsidRPr="005C7807" w:rsidR="00646A79">
        <w:rPr>
          <w:sz w:val="22"/>
          <w:szCs w:val="22"/>
        </w:rPr>
        <w:t>”</w:t>
      </w:r>
      <w:r w:rsidRPr="005C7807">
        <w:rPr>
          <w:sz w:val="22"/>
          <w:szCs w:val="22"/>
        </w:rPr>
        <w:t xml:space="preserve"> (54 FR 24468).</w:t>
      </w:r>
    </w:p>
    <w:p w:rsidRPr="005C7807" w:rsidR="00D520BD" w:rsidP="00D520BD" w:rsidRDefault="00D520BD" w14:paraId="4CD90EAD" w14:textId="77777777">
      <w:pPr>
        <w:rPr>
          <w:sz w:val="22"/>
          <w:szCs w:val="22"/>
        </w:rPr>
      </w:pPr>
    </w:p>
    <w:p w:rsidRPr="007C30EB" w:rsidR="00D520BD" w:rsidP="00D520BD" w:rsidRDefault="00D520BD" w14:paraId="3E14CFCD" w14:textId="77777777">
      <w:pPr>
        <w:pStyle w:val="Heading3"/>
      </w:pPr>
      <w:bookmarkStart w:name="_Toc460412618" w:id="199"/>
      <w:bookmarkStart w:name="_Toc72840038" w:id="200"/>
      <w:bookmarkStart w:name="_Toc105681511" w:id="201"/>
      <w:r w:rsidRPr="005C7807">
        <w:t>5.1.9</w:t>
      </w:r>
      <w:r w:rsidRPr="005C7807">
        <w:tab/>
        <w:t>Security Vulnerability</w:t>
      </w:r>
      <w:bookmarkEnd w:id="199"/>
      <w:bookmarkEnd w:id="200"/>
      <w:bookmarkEnd w:id="201"/>
    </w:p>
    <w:p w:rsidRPr="005C7807" w:rsidR="00D520BD" w:rsidP="00D520BD" w:rsidRDefault="00D520BD" w14:paraId="3F74B3DB" w14:textId="77777777">
      <w:pPr>
        <w:keepNext/>
        <w:keepLines/>
        <w:rPr>
          <w:sz w:val="22"/>
          <w:szCs w:val="22"/>
        </w:rPr>
      </w:pPr>
    </w:p>
    <w:p w:rsidRPr="00A0737E" w:rsidR="00D520BD" w:rsidP="00D520BD" w:rsidRDefault="00D520BD" w14:paraId="7B249DDD" w14:textId="40C7F427">
      <w:pPr>
        <w:rPr>
          <w:sz w:val="22"/>
          <w:szCs w:val="22"/>
        </w:rPr>
      </w:pPr>
      <w:r w:rsidRPr="005C7807">
        <w:rPr>
          <w:sz w:val="22"/>
          <w:szCs w:val="22"/>
        </w:rPr>
        <w:t xml:space="preserve">The </w:t>
      </w:r>
      <w:r w:rsidRPr="005C7807" w:rsidR="00FD0501">
        <w:rPr>
          <w:sz w:val="22"/>
          <w:szCs w:val="22"/>
        </w:rPr>
        <w:t xml:space="preserve">final </w:t>
      </w:r>
      <w:r w:rsidRPr="005C7807">
        <w:rPr>
          <w:sz w:val="22"/>
          <w:szCs w:val="22"/>
        </w:rPr>
        <w:t xml:space="preserve">rule </w:t>
      </w:r>
      <w:r w:rsidRPr="005C7807" w:rsidR="001A361D">
        <w:rPr>
          <w:sz w:val="22"/>
          <w:szCs w:val="22"/>
        </w:rPr>
        <w:t>will</w:t>
      </w:r>
      <w:r w:rsidRPr="005C7807">
        <w:rPr>
          <w:sz w:val="22"/>
          <w:szCs w:val="22"/>
        </w:rPr>
        <w:t xml:space="preserve"> </w:t>
      </w:r>
      <w:r w:rsidRPr="00F208D9">
        <w:rPr>
          <w:sz w:val="22"/>
          <w:szCs w:val="22"/>
        </w:rPr>
        <w:t>lead to the identification of additional individuals determined not to be fit for duty or not to be trustworthy and reliable</w:t>
      </w:r>
      <w:r w:rsidRPr="005C7807" w:rsidR="00646A79">
        <w:rPr>
          <w:sz w:val="22"/>
          <w:szCs w:val="22"/>
        </w:rPr>
        <w:t>,</w:t>
      </w:r>
      <w:r w:rsidRPr="005C7807">
        <w:rPr>
          <w:sz w:val="22"/>
          <w:szCs w:val="22"/>
        </w:rPr>
        <w:t xml:space="preserve"> or both</w:t>
      </w:r>
      <w:r w:rsidRPr="005C7807" w:rsidR="00646A79">
        <w:rPr>
          <w:sz w:val="22"/>
          <w:szCs w:val="22"/>
        </w:rPr>
        <w:t>,</w:t>
      </w:r>
      <w:r w:rsidRPr="005C7807">
        <w:rPr>
          <w:sz w:val="22"/>
          <w:szCs w:val="22"/>
        </w:rPr>
        <w:t xml:space="preserve"> because of their</w:t>
      </w:r>
      <w:r w:rsidRPr="00A0737E">
        <w:rPr>
          <w:sz w:val="22"/>
          <w:szCs w:val="22"/>
        </w:rPr>
        <w:t xml:space="preserve"> use of illegal drugs</w:t>
      </w:r>
      <w:r w:rsidR="00646A79">
        <w:rPr>
          <w:sz w:val="22"/>
          <w:szCs w:val="22"/>
        </w:rPr>
        <w:t>,</w:t>
      </w:r>
      <w:r w:rsidRPr="00A0737E">
        <w:rPr>
          <w:sz w:val="22"/>
          <w:szCs w:val="22"/>
        </w:rPr>
        <w:t xml:space="preserve"> misuse of legal drugs</w:t>
      </w:r>
      <w:r w:rsidR="00646A79">
        <w:rPr>
          <w:sz w:val="22"/>
          <w:szCs w:val="22"/>
        </w:rPr>
        <w:t>,</w:t>
      </w:r>
      <w:r w:rsidRPr="00A0737E">
        <w:rPr>
          <w:sz w:val="22"/>
          <w:szCs w:val="22"/>
        </w:rPr>
        <w:t xml:space="preserve"> or attempts to subvert the drug testing process.  </w:t>
      </w:r>
      <w:r w:rsidRPr="00A0737E">
        <w:rPr>
          <w:rFonts w:cs="Arial"/>
          <w:sz w:val="22"/>
          <w:szCs w:val="22"/>
        </w:rPr>
        <w:t xml:space="preserve">This </w:t>
      </w:r>
      <w:r w:rsidR="00C85CD6">
        <w:rPr>
          <w:rFonts w:cs="Arial"/>
          <w:sz w:val="22"/>
          <w:szCs w:val="22"/>
        </w:rPr>
        <w:t xml:space="preserve">will </w:t>
      </w:r>
      <w:r w:rsidRPr="00A0737E">
        <w:rPr>
          <w:rFonts w:cs="Arial"/>
          <w:sz w:val="22"/>
          <w:szCs w:val="22"/>
        </w:rPr>
        <w:t>strengthen the defense</w:t>
      </w:r>
      <w:r>
        <w:rPr>
          <w:rFonts w:cs="Arial"/>
          <w:sz w:val="22"/>
          <w:szCs w:val="22"/>
        </w:rPr>
        <w:noBreakHyphen/>
      </w:r>
      <w:r w:rsidRPr="00A0737E">
        <w:rPr>
          <w:rFonts w:cs="Arial"/>
          <w:sz w:val="22"/>
          <w:szCs w:val="22"/>
        </w:rPr>
        <w:t>in</w:t>
      </w:r>
      <w:r>
        <w:rPr>
          <w:rFonts w:cs="Arial"/>
          <w:sz w:val="22"/>
          <w:szCs w:val="22"/>
        </w:rPr>
        <w:noBreakHyphen/>
      </w:r>
      <w:r w:rsidRPr="00A0737E">
        <w:rPr>
          <w:rFonts w:cs="Arial"/>
          <w:sz w:val="22"/>
          <w:szCs w:val="22"/>
        </w:rPr>
        <w:t xml:space="preserve">depth regulatory framework provided by the authorization requirements in </w:t>
      </w:r>
      <w:r>
        <w:rPr>
          <w:rFonts w:cs="Arial"/>
          <w:sz w:val="22"/>
          <w:szCs w:val="22"/>
        </w:rPr>
        <w:t>10 CFR Part 26</w:t>
      </w:r>
      <w:r w:rsidR="00646A79">
        <w:rPr>
          <w:rFonts w:cs="Arial"/>
          <w:sz w:val="22"/>
          <w:szCs w:val="22"/>
        </w:rPr>
        <w:t>,</w:t>
      </w:r>
      <w:r>
        <w:rPr>
          <w:rFonts w:cs="Arial"/>
          <w:sz w:val="22"/>
          <w:szCs w:val="22"/>
        </w:rPr>
        <w:t xml:space="preserve"> Subpart </w:t>
      </w:r>
      <w:r w:rsidRPr="00A0737E">
        <w:rPr>
          <w:rFonts w:cs="Arial"/>
          <w:sz w:val="22"/>
          <w:szCs w:val="22"/>
        </w:rPr>
        <w:t>C</w:t>
      </w:r>
      <w:r w:rsidR="00646A79">
        <w:rPr>
          <w:rFonts w:cs="Arial"/>
          <w:sz w:val="22"/>
          <w:szCs w:val="22"/>
        </w:rPr>
        <w:t>,</w:t>
      </w:r>
      <w:r w:rsidRPr="00A0737E">
        <w:rPr>
          <w:rFonts w:cs="Arial"/>
          <w:sz w:val="22"/>
          <w:szCs w:val="22"/>
        </w:rPr>
        <w:t xml:space="preserve"> </w:t>
      </w:r>
      <w:r w:rsidR="00646A79">
        <w:rPr>
          <w:rFonts w:cs="Arial"/>
          <w:sz w:val="22"/>
          <w:szCs w:val="22"/>
        </w:rPr>
        <w:t>“</w:t>
      </w:r>
      <w:r w:rsidRPr="00A0737E">
        <w:rPr>
          <w:rFonts w:cs="Arial"/>
          <w:sz w:val="22"/>
          <w:szCs w:val="22"/>
        </w:rPr>
        <w:t>Granting and Mai</w:t>
      </w:r>
      <w:r>
        <w:rPr>
          <w:rFonts w:cs="Arial"/>
          <w:sz w:val="22"/>
          <w:szCs w:val="22"/>
        </w:rPr>
        <w:t>ntaining Authorization</w:t>
      </w:r>
      <w:r w:rsidR="00646A79">
        <w:rPr>
          <w:rFonts w:cs="Arial"/>
          <w:sz w:val="22"/>
          <w:szCs w:val="22"/>
        </w:rPr>
        <w:t>,”</w:t>
      </w:r>
      <w:r>
        <w:rPr>
          <w:rFonts w:cs="Arial"/>
          <w:sz w:val="22"/>
          <w:szCs w:val="22"/>
        </w:rPr>
        <w:t xml:space="preserve"> and 10 CFR Part </w:t>
      </w:r>
      <w:r w:rsidRPr="00A0737E">
        <w:rPr>
          <w:rFonts w:cs="Arial"/>
          <w:sz w:val="22"/>
          <w:szCs w:val="22"/>
        </w:rPr>
        <w:t>73</w:t>
      </w:r>
      <w:r>
        <w:rPr>
          <w:rFonts w:cs="Arial"/>
          <w:sz w:val="22"/>
          <w:szCs w:val="22"/>
        </w:rPr>
        <w:t xml:space="preserve"> </w:t>
      </w:r>
      <w:r w:rsidRPr="00A0737E">
        <w:rPr>
          <w:rFonts w:cs="Arial"/>
          <w:sz w:val="22"/>
          <w:szCs w:val="22"/>
        </w:rPr>
        <w:t>for both commercial power reactors and Category</w:t>
      </w:r>
      <w:r>
        <w:rPr>
          <w:rFonts w:cs="Arial"/>
          <w:sz w:val="22"/>
          <w:szCs w:val="22"/>
        </w:rPr>
        <w:t> </w:t>
      </w:r>
      <w:r w:rsidRPr="00A0737E">
        <w:rPr>
          <w:rFonts w:cs="Arial"/>
          <w:sz w:val="22"/>
          <w:szCs w:val="22"/>
        </w:rPr>
        <w:t xml:space="preserve">I </w:t>
      </w:r>
      <w:r w:rsidR="0088161E">
        <w:rPr>
          <w:rFonts w:cs="Arial"/>
          <w:sz w:val="22"/>
          <w:szCs w:val="22"/>
        </w:rPr>
        <w:t>special nuclear material licensees</w:t>
      </w:r>
      <w:r w:rsidRPr="00A0737E">
        <w:rPr>
          <w:rFonts w:cs="Arial"/>
          <w:sz w:val="22"/>
          <w:szCs w:val="22"/>
        </w:rPr>
        <w:t>.</w:t>
      </w:r>
    </w:p>
    <w:p w:rsidRPr="00A0737E" w:rsidR="00D520BD" w:rsidP="00D520BD" w:rsidRDefault="00D520BD" w14:paraId="46C92829" w14:textId="77777777">
      <w:pPr>
        <w:widowControl w:val="0"/>
        <w:rPr>
          <w:sz w:val="22"/>
          <w:szCs w:val="22"/>
        </w:rPr>
      </w:pPr>
    </w:p>
    <w:p w:rsidR="00D520BD" w:rsidP="00D520BD" w:rsidRDefault="00D520BD" w14:paraId="2E1696EB" w14:textId="74261B26">
      <w:pPr>
        <w:widowControl w:val="0"/>
        <w:spacing w:after="220"/>
        <w:rPr>
          <w:sz w:val="22"/>
          <w:szCs w:val="22"/>
        </w:rPr>
      </w:pPr>
      <w:r w:rsidRPr="00A0737E">
        <w:rPr>
          <w:sz w:val="22"/>
          <w:szCs w:val="22"/>
        </w:rPr>
        <w:t xml:space="preserve">This security </w:t>
      </w:r>
      <w:r>
        <w:rPr>
          <w:sz w:val="22"/>
          <w:szCs w:val="22"/>
        </w:rPr>
        <w:t xml:space="preserve">vulnerability </w:t>
      </w:r>
      <w:r w:rsidR="001A361D">
        <w:rPr>
          <w:sz w:val="22"/>
          <w:szCs w:val="22"/>
        </w:rPr>
        <w:t>is</w:t>
      </w:r>
      <w:r>
        <w:rPr>
          <w:sz w:val="22"/>
          <w:szCs w:val="22"/>
        </w:rPr>
        <w:t xml:space="preserve"> </w:t>
      </w:r>
      <w:r w:rsidRPr="00A0737E">
        <w:rPr>
          <w:sz w:val="22"/>
          <w:szCs w:val="22"/>
        </w:rPr>
        <w:t>reduced</w:t>
      </w:r>
      <w:r w:rsidR="00646A79">
        <w:rPr>
          <w:sz w:val="22"/>
          <w:szCs w:val="22"/>
        </w:rPr>
        <w:t>,</w:t>
      </w:r>
      <w:r w:rsidRPr="00A0737E">
        <w:rPr>
          <w:sz w:val="22"/>
          <w:szCs w:val="22"/>
        </w:rPr>
        <w:t xml:space="preserve"> in part</w:t>
      </w:r>
      <w:r w:rsidR="00646A79">
        <w:rPr>
          <w:sz w:val="22"/>
          <w:szCs w:val="22"/>
        </w:rPr>
        <w:t>,</w:t>
      </w:r>
      <w:r w:rsidRPr="00A0737E">
        <w:rPr>
          <w:sz w:val="22"/>
          <w:szCs w:val="22"/>
        </w:rPr>
        <w:t xml:space="preserve"> because once unescorted access authorization is denied</w:t>
      </w:r>
      <w:r w:rsidR="00646A79">
        <w:rPr>
          <w:sz w:val="22"/>
          <w:szCs w:val="22"/>
        </w:rPr>
        <w:t>,</w:t>
      </w:r>
      <w:r w:rsidRPr="00A0737E">
        <w:rPr>
          <w:sz w:val="22"/>
          <w:szCs w:val="22"/>
        </w:rPr>
        <w:t xml:space="preserve"> the individual cannot act as an insider threat</w:t>
      </w:r>
      <w:r>
        <w:rPr>
          <w:sz w:val="22"/>
          <w:szCs w:val="22"/>
        </w:rPr>
        <w:t>—</w:t>
      </w:r>
      <w:r w:rsidRPr="00A0737E">
        <w:rPr>
          <w:sz w:val="22"/>
          <w:szCs w:val="22"/>
        </w:rPr>
        <w:t>an important security determination linked to the conduct of d</w:t>
      </w:r>
      <w:r>
        <w:rPr>
          <w:sz w:val="22"/>
          <w:szCs w:val="22"/>
        </w:rPr>
        <w:t xml:space="preserve">rug testing.  </w:t>
      </w:r>
      <w:r w:rsidRPr="00A0737E">
        <w:rPr>
          <w:sz w:val="22"/>
          <w:szCs w:val="22"/>
        </w:rPr>
        <w:t>To help identify an insider threat</w:t>
      </w:r>
      <w:r w:rsidR="00646A79">
        <w:rPr>
          <w:sz w:val="22"/>
          <w:szCs w:val="22"/>
        </w:rPr>
        <w:t>,</w:t>
      </w:r>
      <w:r w:rsidRPr="00A0737E">
        <w:rPr>
          <w:sz w:val="22"/>
          <w:szCs w:val="22"/>
        </w:rPr>
        <w:t xml:space="preserve"> as required by 10</w:t>
      </w:r>
      <w:r>
        <w:rPr>
          <w:sz w:val="22"/>
          <w:szCs w:val="22"/>
        </w:rPr>
        <w:t> </w:t>
      </w:r>
      <w:r w:rsidRPr="00A0737E">
        <w:rPr>
          <w:sz w:val="22"/>
          <w:szCs w:val="22"/>
        </w:rPr>
        <w:t>CFR</w:t>
      </w:r>
      <w:r>
        <w:rPr>
          <w:sz w:val="22"/>
          <w:szCs w:val="22"/>
        </w:rPr>
        <w:t> </w:t>
      </w:r>
      <w:r w:rsidRPr="00A0737E">
        <w:rPr>
          <w:sz w:val="22"/>
          <w:szCs w:val="22"/>
        </w:rPr>
        <w:t>73.55(b)(1)</w:t>
      </w:r>
      <w:r w:rsidR="00646A79">
        <w:rPr>
          <w:sz w:val="22"/>
          <w:szCs w:val="22"/>
        </w:rPr>
        <w:t>,</w:t>
      </w:r>
      <w:r w:rsidRPr="00A0737E">
        <w:rPr>
          <w:sz w:val="22"/>
          <w:szCs w:val="22"/>
        </w:rPr>
        <w:t xml:space="preserve"> commercial power reactor</w:t>
      </w:r>
      <w:r>
        <w:rPr>
          <w:sz w:val="22"/>
          <w:szCs w:val="22"/>
        </w:rPr>
        <w:t xml:space="preserve"> licensee</w:t>
      </w:r>
      <w:r w:rsidRPr="00A0737E">
        <w:rPr>
          <w:sz w:val="22"/>
          <w:szCs w:val="22"/>
        </w:rPr>
        <w:t xml:space="preserve">s </w:t>
      </w:r>
      <w:r w:rsidR="00646A79">
        <w:rPr>
          <w:sz w:val="22"/>
          <w:szCs w:val="22"/>
        </w:rPr>
        <w:t>“</w:t>
      </w:r>
      <w:r w:rsidRPr="00A0737E">
        <w:rPr>
          <w:sz w:val="22"/>
          <w:szCs w:val="22"/>
        </w:rPr>
        <w:t>shall establish and maintain a physical protection program...which will have its objective to provide high assurance that activities involving special nuclear material are not inimical to the common defense and security and do not constitute an unreasonable risk to the public health and safety.</w:t>
      </w:r>
      <w:r w:rsidR="00646A79">
        <w:rPr>
          <w:sz w:val="22"/>
          <w:szCs w:val="22"/>
        </w:rPr>
        <w:t>”</w:t>
      </w:r>
      <w:r w:rsidRPr="00A0737E">
        <w:rPr>
          <w:sz w:val="22"/>
          <w:szCs w:val="22"/>
        </w:rPr>
        <w:t xml:space="preserve">  One requirement that helps achieve this general performance objective is the provision </w:t>
      </w:r>
      <w:r>
        <w:rPr>
          <w:sz w:val="22"/>
          <w:szCs w:val="22"/>
        </w:rPr>
        <w:t>in 10 CFR </w:t>
      </w:r>
      <w:r w:rsidRPr="00A0737E">
        <w:rPr>
          <w:sz w:val="22"/>
          <w:szCs w:val="22"/>
        </w:rPr>
        <w:t>73.55(b)(9)</w:t>
      </w:r>
      <w:r>
        <w:rPr>
          <w:sz w:val="22"/>
          <w:szCs w:val="22"/>
        </w:rPr>
        <w:t xml:space="preserve"> </w:t>
      </w:r>
      <w:r w:rsidRPr="00A0737E">
        <w:rPr>
          <w:sz w:val="22"/>
          <w:szCs w:val="22"/>
        </w:rPr>
        <w:t xml:space="preserve">that licensees shall </w:t>
      </w:r>
      <w:r>
        <w:rPr>
          <w:sz w:val="22"/>
          <w:szCs w:val="22"/>
        </w:rPr>
        <w:t>establish</w:t>
      </w:r>
      <w:r w:rsidR="00646A79">
        <w:rPr>
          <w:sz w:val="22"/>
          <w:szCs w:val="22"/>
        </w:rPr>
        <w:t>,</w:t>
      </w:r>
      <w:r>
        <w:rPr>
          <w:sz w:val="22"/>
          <w:szCs w:val="22"/>
        </w:rPr>
        <w:t xml:space="preserve"> maintain</w:t>
      </w:r>
      <w:r w:rsidR="00646A79">
        <w:rPr>
          <w:sz w:val="22"/>
          <w:szCs w:val="22"/>
        </w:rPr>
        <w:t>,</w:t>
      </w:r>
      <w:r>
        <w:rPr>
          <w:sz w:val="22"/>
          <w:szCs w:val="22"/>
        </w:rPr>
        <w:t xml:space="preserve"> and </w:t>
      </w:r>
      <w:r w:rsidRPr="00A0737E">
        <w:rPr>
          <w:sz w:val="22"/>
          <w:szCs w:val="22"/>
        </w:rPr>
        <w:t>implement an insider mitigation program</w:t>
      </w:r>
      <w:r>
        <w:rPr>
          <w:sz w:val="22"/>
          <w:szCs w:val="22"/>
        </w:rPr>
        <w:t xml:space="preserve"> (</w:t>
      </w:r>
      <w:r w:rsidR="0024617D">
        <w:rPr>
          <w:sz w:val="22"/>
          <w:szCs w:val="22"/>
        </w:rPr>
        <w:t>R</w:t>
      </w:r>
      <w:r w:rsidR="00C947F9">
        <w:rPr>
          <w:sz w:val="22"/>
          <w:szCs w:val="22"/>
        </w:rPr>
        <w:t xml:space="preserve">egulatory </w:t>
      </w:r>
      <w:r w:rsidR="0024617D">
        <w:rPr>
          <w:sz w:val="22"/>
          <w:szCs w:val="22"/>
        </w:rPr>
        <w:t>G</w:t>
      </w:r>
      <w:r w:rsidR="00C947F9">
        <w:rPr>
          <w:sz w:val="22"/>
          <w:szCs w:val="22"/>
        </w:rPr>
        <w:t>uide</w:t>
      </w:r>
      <w:r w:rsidR="0024617D">
        <w:rPr>
          <w:sz w:val="22"/>
          <w:szCs w:val="22"/>
        </w:rPr>
        <w:t> 5.77</w:t>
      </w:r>
      <w:r w:rsidR="00C947F9">
        <w:rPr>
          <w:sz w:val="22"/>
          <w:szCs w:val="22"/>
        </w:rPr>
        <w:t xml:space="preserve">, </w:t>
      </w:r>
      <w:r w:rsidR="0006421C">
        <w:rPr>
          <w:sz w:val="22"/>
          <w:szCs w:val="22"/>
        </w:rPr>
        <w:t>“Insider Mitigation Program” (</w:t>
      </w:r>
      <w:r w:rsidRPr="00D76D72" w:rsidR="00D76D72">
        <w:rPr>
          <w:sz w:val="22"/>
          <w:szCs w:val="22"/>
        </w:rPr>
        <w:t>NRC, 2009b</w:t>
      </w:r>
      <w:r>
        <w:rPr>
          <w:sz w:val="22"/>
          <w:szCs w:val="22"/>
        </w:rPr>
        <w:t>)</w:t>
      </w:r>
      <w:r w:rsidRPr="00A0737E">
        <w:rPr>
          <w:sz w:val="22"/>
          <w:szCs w:val="22"/>
        </w:rPr>
        <w:t>.  This program</w:t>
      </w:r>
      <w:r w:rsidR="00646A79">
        <w:rPr>
          <w:sz w:val="22"/>
          <w:szCs w:val="22"/>
        </w:rPr>
        <w:t>,</w:t>
      </w:r>
      <w:r>
        <w:rPr>
          <w:sz w:val="22"/>
          <w:szCs w:val="22"/>
        </w:rPr>
        <w:t xml:space="preserve"> as described in 10</w:t>
      </w:r>
      <w:r w:rsidR="00F03827">
        <w:rPr>
          <w:sz w:val="22"/>
          <w:szCs w:val="22"/>
        </w:rPr>
        <w:t> </w:t>
      </w:r>
      <w:r>
        <w:rPr>
          <w:sz w:val="22"/>
          <w:szCs w:val="22"/>
        </w:rPr>
        <w:t>CFR</w:t>
      </w:r>
      <w:r w:rsidR="00F03827">
        <w:rPr>
          <w:sz w:val="22"/>
          <w:szCs w:val="22"/>
        </w:rPr>
        <w:t> </w:t>
      </w:r>
      <w:r>
        <w:rPr>
          <w:sz w:val="22"/>
          <w:szCs w:val="22"/>
        </w:rPr>
        <w:t>73.55(b)(9)(i)</w:t>
      </w:r>
      <w:r w:rsidR="00646A79">
        <w:rPr>
          <w:sz w:val="22"/>
          <w:szCs w:val="22"/>
        </w:rPr>
        <w:t>,</w:t>
      </w:r>
      <w:r w:rsidRPr="00A0737E">
        <w:rPr>
          <w:sz w:val="22"/>
          <w:szCs w:val="22"/>
        </w:rPr>
        <w:t xml:space="preserve"> </w:t>
      </w:r>
      <w:r w:rsidR="00646A79">
        <w:rPr>
          <w:sz w:val="22"/>
          <w:szCs w:val="22"/>
        </w:rPr>
        <w:t>“</w:t>
      </w:r>
      <w:r w:rsidRPr="00A0737E">
        <w:rPr>
          <w:sz w:val="22"/>
          <w:szCs w:val="22"/>
        </w:rPr>
        <w:t>must monitor the initial and continuing trustworthiness and reliability of individuals granted or retaining unescorted access authorization to a protected or vital area</w:t>
      </w:r>
      <w:r w:rsidR="00646A79">
        <w:rPr>
          <w:sz w:val="22"/>
          <w:szCs w:val="22"/>
        </w:rPr>
        <w:t>,</w:t>
      </w:r>
      <w:r w:rsidRPr="00A0737E">
        <w:rPr>
          <w:sz w:val="22"/>
          <w:szCs w:val="22"/>
        </w:rPr>
        <w:t xml:space="preserve"> and implement defense-in-depth methodologies to minimize the potential for an insider to adversely affect</w:t>
      </w:r>
      <w:r w:rsidR="00646A79">
        <w:rPr>
          <w:sz w:val="22"/>
          <w:szCs w:val="22"/>
        </w:rPr>
        <w:t>,</w:t>
      </w:r>
      <w:r w:rsidRPr="00A0737E">
        <w:rPr>
          <w:sz w:val="22"/>
          <w:szCs w:val="22"/>
        </w:rPr>
        <w:t xml:space="preserve"> either directly or indirectly</w:t>
      </w:r>
      <w:r w:rsidR="00646A79">
        <w:rPr>
          <w:sz w:val="22"/>
          <w:szCs w:val="22"/>
        </w:rPr>
        <w:t>,</w:t>
      </w:r>
      <w:r w:rsidRPr="00A0737E">
        <w:rPr>
          <w:sz w:val="22"/>
          <w:szCs w:val="22"/>
        </w:rPr>
        <w:t xml:space="preserve"> the licensee’s capability to prevent significant core damage and spent fuel sabotage.</w:t>
      </w:r>
      <w:r w:rsidR="00646A79">
        <w:rPr>
          <w:sz w:val="22"/>
          <w:szCs w:val="22"/>
        </w:rPr>
        <w:t>”</w:t>
      </w:r>
      <w:r w:rsidRPr="00A0737E">
        <w:rPr>
          <w:sz w:val="22"/>
          <w:szCs w:val="22"/>
        </w:rPr>
        <w:t xml:space="preserve">  </w:t>
      </w:r>
      <w:r>
        <w:rPr>
          <w:sz w:val="22"/>
          <w:szCs w:val="22"/>
        </w:rPr>
        <w:t>T</w:t>
      </w:r>
      <w:r w:rsidRPr="00A0737E">
        <w:rPr>
          <w:sz w:val="22"/>
          <w:szCs w:val="22"/>
        </w:rPr>
        <w:t>he insider mitigation program shall</w:t>
      </w:r>
      <w:r>
        <w:rPr>
          <w:sz w:val="22"/>
          <w:szCs w:val="22"/>
        </w:rPr>
        <w:t xml:space="preserve"> also</w:t>
      </w:r>
      <w:r w:rsidRPr="00A0737E">
        <w:rPr>
          <w:sz w:val="22"/>
          <w:szCs w:val="22"/>
        </w:rPr>
        <w:t xml:space="preserve"> include</w:t>
      </w:r>
      <w:r w:rsidR="00646A79">
        <w:rPr>
          <w:sz w:val="22"/>
          <w:szCs w:val="22"/>
        </w:rPr>
        <w:t>,</w:t>
      </w:r>
      <w:r w:rsidRPr="00A0737E">
        <w:rPr>
          <w:sz w:val="22"/>
          <w:szCs w:val="22"/>
        </w:rPr>
        <w:t xml:space="preserve"> in part</w:t>
      </w:r>
      <w:r w:rsidR="00646A79">
        <w:rPr>
          <w:sz w:val="22"/>
          <w:szCs w:val="22"/>
        </w:rPr>
        <w:t>,</w:t>
      </w:r>
      <w:r w:rsidRPr="00A0737E">
        <w:rPr>
          <w:sz w:val="22"/>
          <w:szCs w:val="22"/>
        </w:rPr>
        <w:t xml:space="preserve"> elements from the FFD program described in </w:t>
      </w:r>
      <w:r>
        <w:rPr>
          <w:sz w:val="22"/>
          <w:szCs w:val="22"/>
        </w:rPr>
        <w:t>10 CFR Part 26</w:t>
      </w:r>
      <w:r w:rsidRPr="00A0737E">
        <w:rPr>
          <w:sz w:val="22"/>
          <w:szCs w:val="22"/>
        </w:rPr>
        <w:t>.  Consequently</w:t>
      </w:r>
      <w:r w:rsidR="00646A79">
        <w:rPr>
          <w:sz w:val="22"/>
          <w:szCs w:val="22"/>
        </w:rPr>
        <w:t>,</w:t>
      </w:r>
      <w:r w:rsidRPr="00A0737E">
        <w:rPr>
          <w:sz w:val="22"/>
          <w:szCs w:val="22"/>
        </w:rPr>
        <w:t xml:space="preserve"> the regulatory framework establishes a strong link between the FFD-related authorization provisions in </w:t>
      </w:r>
      <w:r>
        <w:rPr>
          <w:sz w:val="22"/>
          <w:szCs w:val="22"/>
        </w:rPr>
        <w:t>10 CFR Part 26</w:t>
      </w:r>
      <w:r w:rsidRPr="00A0737E">
        <w:rPr>
          <w:sz w:val="22"/>
          <w:szCs w:val="22"/>
        </w:rPr>
        <w:t xml:space="preserve"> </w:t>
      </w:r>
      <w:r w:rsidRPr="00A0737E">
        <w:rPr>
          <w:sz w:val="22"/>
          <w:szCs w:val="22"/>
        </w:rPr>
        <w:lastRenderedPageBreak/>
        <w:t>and the physical protection access authorization requirements described in 10</w:t>
      </w:r>
      <w:r>
        <w:rPr>
          <w:sz w:val="22"/>
          <w:szCs w:val="22"/>
        </w:rPr>
        <w:t> </w:t>
      </w:r>
      <w:r w:rsidRPr="00A0737E">
        <w:rPr>
          <w:sz w:val="22"/>
          <w:szCs w:val="22"/>
        </w:rPr>
        <w:t>CFR</w:t>
      </w:r>
      <w:r>
        <w:rPr>
          <w:sz w:val="22"/>
          <w:szCs w:val="22"/>
        </w:rPr>
        <w:t> </w:t>
      </w:r>
      <w:r w:rsidRPr="00A0737E">
        <w:rPr>
          <w:sz w:val="22"/>
          <w:szCs w:val="22"/>
        </w:rPr>
        <w:t>Part</w:t>
      </w:r>
      <w:r>
        <w:rPr>
          <w:sz w:val="22"/>
          <w:szCs w:val="22"/>
        </w:rPr>
        <w:t> 73.</w:t>
      </w:r>
    </w:p>
    <w:p w:rsidRPr="00A0737E" w:rsidR="00D520BD" w:rsidP="00D520BD" w:rsidRDefault="00D520BD" w14:paraId="33A89009" w14:textId="04181F26">
      <w:pPr>
        <w:rPr>
          <w:sz w:val="22"/>
          <w:szCs w:val="22"/>
        </w:rPr>
      </w:pPr>
      <w:r w:rsidRPr="00A0737E">
        <w:rPr>
          <w:sz w:val="22"/>
          <w:szCs w:val="22"/>
        </w:rPr>
        <w:t xml:space="preserve">An insider threat is an individual </w:t>
      </w:r>
      <w:r>
        <w:rPr>
          <w:sz w:val="22"/>
          <w:szCs w:val="22"/>
        </w:rPr>
        <w:t>who</w:t>
      </w:r>
      <w:r w:rsidRPr="00A0737E">
        <w:rPr>
          <w:sz w:val="22"/>
          <w:szCs w:val="22"/>
        </w:rPr>
        <w:t xml:space="preserve"> cannot be trusted or relied upon to follow licensee policies and procedures or Federal regulations designed</w:t>
      </w:r>
      <w:r w:rsidR="00646A79">
        <w:rPr>
          <w:sz w:val="22"/>
          <w:szCs w:val="22"/>
        </w:rPr>
        <w:t>,</w:t>
      </w:r>
      <w:r w:rsidRPr="00A0737E">
        <w:rPr>
          <w:sz w:val="22"/>
          <w:szCs w:val="22"/>
        </w:rPr>
        <w:t xml:space="preserve"> implemented</w:t>
      </w:r>
      <w:r w:rsidR="00646A79">
        <w:rPr>
          <w:sz w:val="22"/>
          <w:szCs w:val="22"/>
        </w:rPr>
        <w:t>,</w:t>
      </w:r>
      <w:r w:rsidRPr="00A0737E">
        <w:rPr>
          <w:sz w:val="22"/>
          <w:szCs w:val="22"/>
        </w:rPr>
        <w:t xml:space="preserve"> and maintained to protect public health and safety</w:t>
      </w:r>
      <w:r w:rsidR="00646A79">
        <w:rPr>
          <w:sz w:val="22"/>
          <w:szCs w:val="22"/>
        </w:rPr>
        <w:t>,</w:t>
      </w:r>
      <w:r w:rsidRPr="00A0737E">
        <w:rPr>
          <w:sz w:val="22"/>
          <w:szCs w:val="22"/>
        </w:rPr>
        <w:t xml:space="preserve"> promote the common defense and security</w:t>
      </w:r>
      <w:r w:rsidR="00646A79">
        <w:rPr>
          <w:sz w:val="22"/>
          <w:szCs w:val="22"/>
        </w:rPr>
        <w:t>,</w:t>
      </w:r>
      <w:r w:rsidRPr="00A0737E">
        <w:rPr>
          <w:sz w:val="22"/>
          <w:szCs w:val="22"/>
        </w:rPr>
        <w:t xml:space="preserve"> and protect the environment. </w:t>
      </w:r>
      <w:r>
        <w:rPr>
          <w:sz w:val="22"/>
          <w:szCs w:val="22"/>
        </w:rPr>
        <w:t xml:space="preserve"> </w:t>
      </w:r>
      <w:r w:rsidRPr="00A0737E">
        <w:rPr>
          <w:sz w:val="22"/>
          <w:szCs w:val="22"/>
        </w:rPr>
        <w:t>An insider threat could physically or remotely (through electronic means) cause inoperable safety- or security-related SSC</w:t>
      </w:r>
      <w:r>
        <w:rPr>
          <w:sz w:val="22"/>
          <w:szCs w:val="22"/>
        </w:rPr>
        <w:t>s</w:t>
      </w:r>
      <w:r w:rsidR="00646A79">
        <w:rPr>
          <w:sz w:val="22"/>
          <w:szCs w:val="22"/>
        </w:rPr>
        <w:t>,</w:t>
      </w:r>
      <w:r w:rsidRPr="00A0737E">
        <w:rPr>
          <w:sz w:val="22"/>
          <w:szCs w:val="22"/>
        </w:rPr>
        <w:t xml:space="preserve"> a loss of facility control</w:t>
      </w:r>
      <w:r w:rsidR="00646A79">
        <w:rPr>
          <w:sz w:val="22"/>
          <w:szCs w:val="22"/>
        </w:rPr>
        <w:t>,</w:t>
      </w:r>
      <w:r w:rsidRPr="00A0737E">
        <w:rPr>
          <w:sz w:val="22"/>
          <w:szCs w:val="22"/>
        </w:rPr>
        <w:t xml:space="preserve"> radiological sabotage at a commercial power reactor</w:t>
      </w:r>
      <w:r w:rsidR="00646A79">
        <w:rPr>
          <w:sz w:val="22"/>
          <w:szCs w:val="22"/>
        </w:rPr>
        <w:t>,</w:t>
      </w:r>
      <w:r w:rsidRPr="00A0737E">
        <w:rPr>
          <w:sz w:val="22"/>
          <w:szCs w:val="22"/>
        </w:rPr>
        <w:t xml:space="preserve"> or the theft or diversion of formula quan</w:t>
      </w:r>
      <w:r>
        <w:rPr>
          <w:sz w:val="22"/>
          <w:szCs w:val="22"/>
        </w:rPr>
        <w:t>tities of SSNM from a Category I</w:t>
      </w:r>
      <w:r w:rsidRPr="00A0737E">
        <w:rPr>
          <w:sz w:val="22"/>
          <w:szCs w:val="22"/>
        </w:rPr>
        <w:t xml:space="preserve"> </w:t>
      </w:r>
      <w:r w:rsidR="004F4B95">
        <w:rPr>
          <w:sz w:val="22"/>
          <w:szCs w:val="22"/>
        </w:rPr>
        <w:t>special nuclear material licensee</w:t>
      </w:r>
      <w:r w:rsidRPr="00A0737E">
        <w:rPr>
          <w:sz w:val="22"/>
          <w:szCs w:val="22"/>
        </w:rPr>
        <w:t>.</w:t>
      </w:r>
      <w:r>
        <w:rPr>
          <w:sz w:val="22"/>
          <w:szCs w:val="22"/>
        </w:rPr>
        <w:t xml:space="preserve">  Additionally</w:t>
      </w:r>
      <w:r w:rsidR="00646A79">
        <w:rPr>
          <w:sz w:val="22"/>
          <w:szCs w:val="22"/>
        </w:rPr>
        <w:t>,</w:t>
      </w:r>
      <w:r>
        <w:rPr>
          <w:sz w:val="22"/>
          <w:szCs w:val="22"/>
        </w:rPr>
        <w:t xml:space="preserve"> individuals who use illegal drugs may be co-opted or subverted by adversaries.</w:t>
      </w:r>
    </w:p>
    <w:p w:rsidRPr="00A0737E" w:rsidR="00D520BD" w:rsidP="00D520BD" w:rsidRDefault="00D520BD" w14:paraId="64AA7ADD" w14:textId="77777777">
      <w:pPr>
        <w:widowControl w:val="0"/>
        <w:rPr>
          <w:sz w:val="22"/>
          <w:szCs w:val="22"/>
        </w:rPr>
      </w:pPr>
    </w:p>
    <w:p w:rsidRPr="00A0737E" w:rsidR="00D520BD" w:rsidP="00D520BD" w:rsidRDefault="00D520BD" w14:paraId="7B386911" w14:textId="26111574">
      <w:pPr>
        <w:widowControl w:val="0"/>
        <w:spacing w:after="220"/>
        <w:rPr>
          <w:sz w:val="22"/>
          <w:szCs w:val="22"/>
        </w:rPr>
      </w:pPr>
      <w:r>
        <w:rPr>
          <w:sz w:val="22"/>
          <w:szCs w:val="22"/>
        </w:rPr>
        <w:t>T</w:t>
      </w:r>
      <w:r w:rsidRPr="00A0737E">
        <w:rPr>
          <w:sz w:val="22"/>
          <w:szCs w:val="22"/>
        </w:rPr>
        <w:t xml:space="preserve">he original </w:t>
      </w:r>
      <w:r>
        <w:rPr>
          <w:sz w:val="22"/>
          <w:szCs w:val="22"/>
        </w:rPr>
        <w:t>10 CFR Part 26</w:t>
      </w:r>
      <w:r w:rsidRPr="00A0737E">
        <w:rPr>
          <w:sz w:val="22"/>
          <w:szCs w:val="22"/>
        </w:rPr>
        <w:t xml:space="preserve"> rule (54</w:t>
      </w:r>
      <w:r>
        <w:rPr>
          <w:sz w:val="22"/>
          <w:szCs w:val="22"/>
        </w:rPr>
        <w:t> </w:t>
      </w:r>
      <w:r w:rsidRPr="00A0737E">
        <w:rPr>
          <w:sz w:val="22"/>
          <w:szCs w:val="22"/>
        </w:rPr>
        <w:t>FR</w:t>
      </w:r>
      <w:r>
        <w:rPr>
          <w:sz w:val="22"/>
          <w:szCs w:val="22"/>
        </w:rPr>
        <w:t> </w:t>
      </w:r>
      <w:r w:rsidRPr="00A0737E">
        <w:rPr>
          <w:sz w:val="22"/>
          <w:szCs w:val="22"/>
        </w:rPr>
        <w:t xml:space="preserve">24470; </w:t>
      </w:r>
      <w:r w:rsidR="003760ED">
        <w:rPr>
          <w:rFonts w:cs="Arial"/>
          <w:sz w:val="22"/>
          <w:szCs w:val="22"/>
        </w:rPr>
        <w:t>June 7</w:t>
      </w:r>
      <w:r w:rsidR="00646A79">
        <w:rPr>
          <w:rFonts w:cs="Arial"/>
          <w:sz w:val="22"/>
          <w:szCs w:val="22"/>
        </w:rPr>
        <w:t>,</w:t>
      </w:r>
      <w:r w:rsidR="003760ED">
        <w:rPr>
          <w:rFonts w:cs="Arial"/>
          <w:sz w:val="22"/>
          <w:szCs w:val="22"/>
        </w:rPr>
        <w:t> 1989</w:t>
      </w:r>
      <w:r w:rsidRPr="00A0737E">
        <w:rPr>
          <w:sz w:val="22"/>
          <w:szCs w:val="22"/>
        </w:rPr>
        <w:t>) states</w:t>
      </w:r>
      <w:r>
        <w:rPr>
          <w:sz w:val="22"/>
          <w:szCs w:val="22"/>
        </w:rPr>
        <w:t xml:space="preserve"> the following</w:t>
      </w:r>
      <w:r w:rsidRPr="00A0737E">
        <w:rPr>
          <w:sz w:val="22"/>
          <w:szCs w:val="22"/>
        </w:rPr>
        <w:t>:</w:t>
      </w:r>
    </w:p>
    <w:p w:rsidRPr="00A0737E" w:rsidR="00D520BD" w:rsidP="00D520BD" w:rsidRDefault="00D520BD" w14:paraId="3E23A9E3" w14:textId="56456459">
      <w:pPr>
        <w:widowControl w:val="0"/>
        <w:ind w:left="720" w:right="720"/>
        <w:rPr>
          <w:sz w:val="22"/>
          <w:szCs w:val="22"/>
        </w:rPr>
      </w:pPr>
      <w:r w:rsidRPr="00A0737E">
        <w:rPr>
          <w:sz w:val="22"/>
          <w:szCs w:val="22"/>
        </w:rPr>
        <w:t>The NRC believes that the reliability</w:t>
      </w:r>
      <w:r w:rsidR="00646A79">
        <w:rPr>
          <w:sz w:val="22"/>
          <w:szCs w:val="22"/>
        </w:rPr>
        <w:t>,</w:t>
      </w:r>
      <w:r w:rsidRPr="00A0737E">
        <w:rPr>
          <w:sz w:val="22"/>
          <w:szCs w:val="22"/>
        </w:rPr>
        <w:t xml:space="preserve"> integrity</w:t>
      </w:r>
      <w:r w:rsidR="00646A79">
        <w:rPr>
          <w:sz w:val="22"/>
          <w:szCs w:val="22"/>
        </w:rPr>
        <w:t>,</w:t>
      </w:r>
      <w:r w:rsidRPr="00A0737E">
        <w:rPr>
          <w:sz w:val="22"/>
          <w:szCs w:val="22"/>
        </w:rPr>
        <w:t xml:space="preserve"> and trustworthiness of persons working within nuclear power plants is important to assure public health and safety.  The granting of a license is based on the assumption that workers will abide by the licensees’ policies and procedures in all areas.  Indications of lack or reliability</w:t>
      </w:r>
      <w:r w:rsidR="00646A79">
        <w:rPr>
          <w:sz w:val="22"/>
          <w:szCs w:val="22"/>
        </w:rPr>
        <w:t>,</w:t>
      </w:r>
      <w:r w:rsidRPr="00A0737E">
        <w:rPr>
          <w:sz w:val="22"/>
          <w:szCs w:val="22"/>
        </w:rPr>
        <w:t xml:space="preserve"> integrity or trustworthiness</w:t>
      </w:r>
      <w:r w:rsidR="00646A79">
        <w:rPr>
          <w:sz w:val="22"/>
          <w:szCs w:val="22"/>
        </w:rPr>
        <w:t>,</w:t>
      </w:r>
      <w:r w:rsidRPr="00A0737E">
        <w:rPr>
          <w:sz w:val="22"/>
          <w:szCs w:val="22"/>
        </w:rPr>
        <w:t xml:space="preserve"> therefore</w:t>
      </w:r>
      <w:r w:rsidR="00646A79">
        <w:rPr>
          <w:sz w:val="22"/>
          <w:szCs w:val="22"/>
        </w:rPr>
        <w:t>,</w:t>
      </w:r>
      <w:r w:rsidRPr="00A0737E">
        <w:rPr>
          <w:sz w:val="22"/>
          <w:szCs w:val="22"/>
        </w:rPr>
        <w:t xml:space="preserve"> even so far as they pertain to off-site behaviors</w:t>
      </w:r>
      <w:r w:rsidR="00646A79">
        <w:rPr>
          <w:sz w:val="22"/>
          <w:szCs w:val="22"/>
        </w:rPr>
        <w:t>,</w:t>
      </w:r>
      <w:r w:rsidRPr="00A0737E">
        <w:rPr>
          <w:sz w:val="22"/>
          <w:szCs w:val="22"/>
        </w:rPr>
        <w:t xml:space="preserve"> are relevant to the NRC’s need to assure that nuclear power plants are operated safely.</w:t>
      </w:r>
    </w:p>
    <w:p w:rsidRPr="0021031F" w:rsidR="00D520BD" w:rsidP="00D520BD" w:rsidRDefault="00D520BD" w14:paraId="793934EA" w14:textId="6F85B814">
      <w:pPr>
        <w:widowControl w:val="0"/>
        <w:rPr>
          <w:sz w:val="22"/>
          <w:szCs w:val="22"/>
        </w:rPr>
      </w:pPr>
    </w:p>
    <w:p w:rsidRPr="00A0737E" w:rsidR="00D520BD" w:rsidP="00D520BD" w:rsidRDefault="00D520BD" w14:paraId="22AFF1D7" w14:textId="690F28C7">
      <w:pPr>
        <w:spacing w:after="220"/>
        <w:rPr>
          <w:sz w:val="22"/>
          <w:szCs w:val="22"/>
        </w:rPr>
      </w:pPr>
      <w:r>
        <w:rPr>
          <w:sz w:val="22"/>
          <w:szCs w:val="22"/>
        </w:rPr>
        <w:t>The NRC further discussed t</w:t>
      </w:r>
      <w:r w:rsidRPr="00A0737E">
        <w:rPr>
          <w:sz w:val="22"/>
          <w:szCs w:val="22"/>
        </w:rPr>
        <w:t xml:space="preserve">hese positions in the 2008 FFD </w:t>
      </w:r>
      <w:r>
        <w:rPr>
          <w:sz w:val="22"/>
          <w:szCs w:val="22"/>
        </w:rPr>
        <w:t>final rule (73 FR 16971;</w:t>
      </w:r>
      <w:r w:rsidRPr="001841EA" w:rsidR="001841EA">
        <w:rPr>
          <w:rFonts w:cs="Arial"/>
          <w:sz w:val="22"/>
          <w:szCs w:val="22"/>
        </w:rPr>
        <w:t xml:space="preserve"> </w:t>
      </w:r>
      <w:r w:rsidR="001841EA">
        <w:rPr>
          <w:rFonts w:cs="Arial"/>
          <w:sz w:val="22"/>
          <w:szCs w:val="22"/>
        </w:rPr>
        <w:t>March</w:t>
      </w:r>
      <w:r w:rsidR="009B72F4">
        <w:rPr>
          <w:rFonts w:cs="Arial"/>
          <w:sz w:val="22"/>
          <w:szCs w:val="22"/>
        </w:rPr>
        <w:t> </w:t>
      </w:r>
      <w:r w:rsidR="001841EA">
        <w:rPr>
          <w:rFonts w:cs="Arial"/>
          <w:sz w:val="22"/>
          <w:szCs w:val="22"/>
        </w:rPr>
        <w:t>31</w:t>
      </w:r>
      <w:r w:rsidR="00646A79">
        <w:rPr>
          <w:rFonts w:cs="Arial"/>
          <w:sz w:val="22"/>
          <w:szCs w:val="22"/>
        </w:rPr>
        <w:t>,</w:t>
      </w:r>
      <w:r w:rsidR="009B72F4">
        <w:rPr>
          <w:rFonts w:cs="Arial"/>
          <w:sz w:val="22"/>
          <w:szCs w:val="22"/>
        </w:rPr>
        <w:t> </w:t>
      </w:r>
      <w:r w:rsidR="001841EA">
        <w:rPr>
          <w:rFonts w:cs="Arial"/>
          <w:sz w:val="22"/>
          <w:szCs w:val="22"/>
        </w:rPr>
        <w:t>2008</w:t>
      </w:r>
      <w:r w:rsidRPr="00A0737E">
        <w:rPr>
          <w:sz w:val="22"/>
          <w:szCs w:val="22"/>
        </w:rPr>
        <w:t>):</w:t>
      </w:r>
    </w:p>
    <w:p w:rsidR="00D520BD" w:rsidP="00D520BD" w:rsidRDefault="00D520BD" w14:paraId="52DD9042" w14:textId="77777777">
      <w:pPr>
        <w:ind w:left="720" w:right="720"/>
        <w:rPr>
          <w:sz w:val="22"/>
          <w:szCs w:val="22"/>
        </w:rPr>
      </w:pPr>
      <w:r w:rsidRPr="00A0737E">
        <w:rPr>
          <w:sz w:val="22"/>
          <w:szCs w:val="22"/>
        </w:rPr>
        <w:t xml:space="preserve">Part 26 and the access authorization requirements [of </w:t>
      </w:r>
      <w:r>
        <w:rPr>
          <w:sz w:val="22"/>
          <w:szCs w:val="22"/>
        </w:rPr>
        <w:t>10 CFR </w:t>
      </w:r>
      <w:r w:rsidRPr="00A0737E">
        <w:rPr>
          <w:sz w:val="22"/>
          <w:szCs w:val="22"/>
        </w:rPr>
        <w:t>Part</w:t>
      </w:r>
      <w:r>
        <w:rPr>
          <w:sz w:val="22"/>
          <w:szCs w:val="22"/>
        </w:rPr>
        <w:t> </w:t>
      </w:r>
      <w:r w:rsidRPr="00A0737E">
        <w:rPr>
          <w:sz w:val="22"/>
          <w:szCs w:val="22"/>
        </w:rPr>
        <w:t>73] each contain provisions that require establishing the trustworthiness and reliability of personnel before granting unescorted access authorization to the protected area of nuclear power plants.</w:t>
      </w:r>
    </w:p>
    <w:p w:rsidRPr="00A0737E" w:rsidR="00D520BD" w:rsidP="00D520BD" w:rsidRDefault="00D520BD" w14:paraId="18F414F0" w14:textId="77777777">
      <w:pPr>
        <w:widowControl w:val="0"/>
        <w:ind w:right="1080"/>
        <w:jc w:val="both"/>
        <w:rPr>
          <w:sz w:val="22"/>
          <w:szCs w:val="22"/>
        </w:rPr>
      </w:pPr>
    </w:p>
    <w:p w:rsidRPr="00A0737E" w:rsidR="00D520BD" w:rsidP="00D520BD" w:rsidRDefault="00D520BD" w14:paraId="66D3F04F" w14:textId="058CF3C9">
      <w:pPr>
        <w:widowControl w:val="0"/>
        <w:rPr>
          <w:sz w:val="22"/>
          <w:szCs w:val="22"/>
        </w:rPr>
      </w:pPr>
      <w:r w:rsidRPr="00A0737E">
        <w:rPr>
          <w:sz w:val="22"/>
          <w:szCs w:val="22"/>
        </w:rPr>
        <w:t>Consequently</w:t>
      </w:r>
      <w:r w:rsidR="00646A79">
        <w:rPr>
          <w:sz w:val="22"/>
          <w:szCs w:val="22"/>
        </w:rPr>
        <w:t>,</w:t>
      </w:r>
      <w:r w:rsidRPr="00A0737E">
        <w:rPr>
          <w:sz w:val="22"/>
          <w:szCs w:val="22"/>
        </w:rPr>
        <w:t xml:space="preserve"> </w:t>
      </w:r>
      <w:r w:rsidRPr="00A0737E">
        <w:rPr>
          <w:rFonts w:cs="Arial"/>
          <w:sz w:val="22"/>
          <w:szCs w:val="22"/>
        </w:rPr>
        <w:t xml:space="preserve">the FFD program objective </w:t>
      </w:r>
      <w:r>
        <w:rPr>
          <w:rFonts w:cs="Arial"/>
          <w:sz w:val="22"/>
          <w:szCs w:val="22"/>
        </w:rPr>
        <w:t>to</w:t>
      </w:r>
      <w:r w:rsidRPr="00A0737E">
        <w:rPr>
          <w:rFonts w:cs="Arial"/>
          <w:sz w:val="22"/>
          <w:szCs w:val="22"/>
        </w:rPr>
        <w:t xml:space="preserve"> identify individuals</w:t>
      </w:r>
      <w:r>
        <w:rPr>
          <w:rFonts w:cs="Arial"/>
          <w:sz w:val="22"/>
          <w:szCs w:val="22"/>
        </w:rPr>
        <w:t xml:space="preserve"> using illegal drugs reduces</w:t>
      </w:r>
      <w:r w:rsidRPr="00A0737E">
        <w:rPr>
          <w:rFonts w:cs="Arial"/>
          <w:sz w:val="22"/>
          <w:szCs w:val="22"/>
        </w:rPr>
        <w:t xml:space="preserve"> a potential security vulnerability.</w:t>
      </w:r>
      <w:r>
        <w:rPr>
          <w:sz w:val="22"/>
          <w:szCs w:val="22"/>
        </w:rPr>
        <w:t xml:space="preserve">  The f</w:t>
      </w:r>
      <w:r w:rsidRPr="00A0737E">
        <w:rPr>
          <w:sz w:val="22"/>
          <w:szCs w:val="22"/>
        </w:rPr>
        <w:t xml:space="preserve">ailure to identify security personnel who </w:t>
      </w:r>
      <w:r>
        <w:rPr>
          <w:sz w:val="22"/>
          <w:szCs w:val="22"/>
        </w:rPr>
        <w:t>use</w:t>
      </w:r>
      <w:r w:rsidRPr="00A0737E">
        <w:rPr>
          <w:sz w:val="22"/>
          <w:szCs w:val="22"/>
        </w:rPr>
        <w:t xml:space="preserve"> illegal drugs or misus</w:t>
      </w:r>
      <w:r>
        <w:rPr>
          <w:sz w:val="22"/>
          <w:szCs w:val="22"/>
        </w:rPr>
        <w:t>e</w:t>
      </w:r>
      <w:r w:rsidRPr="00A0737E">
        <w:rPr>
          <w:sz w:val="22"/>
          <w:szCs w:val="22"/>
        </w:rPr>
        <w:t xml:space="preserve"> legal drugs could significantly challenge the effectiveness of the site insider mitigation program (10 CFR 73.55(b)(9))</w:t>
      </w:r>
      <w:r>
        <w:rPr>
          <w:sz w:val="22"/>
          <w:szCs w:val="22"/>
        </w:rPr>
        <w:t>;</w:t>
      </w:r>
      <w:r w:rsidRPr="00A0737E">
        <w:rPr>
          <w:sz w:val="22"/>
          <w:szCs w:val="22"/>
        </w:rPr>
        <w:t xml:space="preserve"> security plan (10</w:t>
      </w:r>
      <w:r>
        <w:rPr>
          <w:sz w:val="22"/>
          <w:szCs w:val="22"/>
        </w:rPr>
        <w:t> </w:t>
      </w:r>
      <w:r w:rsidRPr="00A0737E">
        <w:rPr>
          <w:sz w:val="22"/>
          <w:szCs w:val="22"/>
        </w:rPr>
        <w:t>CFR</w:t>
      </w:r>
      <w:r>
        <w:rPr>
          <w:sz w:val="22"/>
          <w:szCs w:val="22"/>
        </w:rPr>
        <w:t> </w:t>
      </w:r>
      <w:r w:rsidRPr="00A0737E">
        <w:rPr>
          <w:sz w:val="22"/>
          <w:szCs w:val="22"/>
        </w:rPr>
        <w:t>73.55(c)</w:t>
      </w:r>
      <w:r>
        <w:rPr>
          <w:sz w:val="22"/>
          <w:szCs w:val="22"/>
        </w:rPr>
        <w:t>);</w:t>
      </w:r>
      <w:r w:rsidRPr="00A0737E">
        <w:rPr>
          <w:sz w:val="22"/>
          <w:szCs w:val="22"/>
        </w:rPr>
        <w:t xml:space="preserve"> security search program (10 CFR 73.55(h))</w:t>
      </w:r>
      <w:r>
        <w:rPr>
          <w:sz w:val="22"/>
          <w:szCs w:val="22"/>
        </w:rPr>
        <w:t>;</w:t>
      </w:r>
      <w:r w:rsidRPr="00A0737E">
        <w:rPr>
          <w:sz w:val="22"/>
          <w:szCs w:val="22"/>
        </w:rPr>
        <w:t xml:space="preserve"> and the detection and </w:t>
      </w:r>
      <w:r>
        <w:rPr>
          <w:sz w:val="22"/>
          <w:szCs w:val="22"/>
        </w:rPr>
        <w:t>assessment systems that include</w:t>
      </w:r>
      <w:r w:rsidRPr="00A0737E">
        <w:rPr>
          <w:sz w:val="22"/>
          <w:szCs w:val="22"/>
        </w:rPr>
        <w:t xml:space="preserve"> requirements to conduct surveillance</w:t>
      </w:r>
      <w:r w:rsidR="00646A79">
        <w:rPr>
          <w:sz w:val="22"/>
          <w:szCs w:val="22"/>
        </w:rPr>
        <w:t>,</w:t>
      </w:r>
      <w:r w:rsidRPr="00A0737E">
        <w:rPr>
          <w:sz w:val="22"/>
          <w:szCs w:val="22"/>
        </w:rPr>
        <w:t xml:space="preserve"> observation</w:t>
      </w:r>
      <w:r w:rsidR="00646A79">
        <w:rPr>
          <w:sz w:val="22"/>
          <w:szCs w:val="22"/>
        </w:rPr>
        <w:t>,</w:t>
      </w:r>
      <w:r w:rsidRPr="00A0737E">
        <w:rPr>
          <w:sz w:val="22"/>
          <w:szCs w:val="22"/>
        </w:rPr>
        <w:t xml:space="preserve"> and monitoring to identify tampering and to detect and deter intruders (10 CFR 73.55(i)).  These requirements cannot be implemented </w:t>
      </w:r>
      <w:r w:rsidRPr="00A0737E" w:rsidR="0008686D">
        <w:rPr>
          <w:sz w:val="22"/>
          <w:szCs w:val="22"/>
        </w:rPr>
        <w:t xml:space="preserve">effectively </w:t>
      </w:r>
      <w:r w:rsidRPr="00A0737E">
        <w:rPr>
          <w:sz w:val="22"/>
          <w:szCs w:val="22"/>
        </w:rPr>
        <w:t>if site security personnel are not fit for duty.  This is important because many security duties and responsibilities are conducted by security officers who operate alone (i.e.</w:t>
      </w:r>
      <w:r w:rsidR="00646A79">
        <w:rPr>
          <w:sz w:val="22"/>
          <w:szCs w:val="22"/>
        </w:rPr>
        <w:t>,</w:t>
      </w:r>
      <w:r>
        <w:rPr>
          <w:sz w:val="22"/>
          <w:szCs w:val="22"/>
        </w:rPr>
        <w:t> </w:t>
      </w:r>
      <w:r w:rsidRPr="00A0737E">
        <w:rPr>
          <w:sz w:val="22"/>
          <w:szCs w:val="22"/>
        </w:rPr>
        <w:t xml:space="preserve">individually) and therefore do not benefit </w:t>
      </w:r>
      <w:r>
        <w:rPr>
          <w:sz w:val="22"/>
          <w:szCs w:val="22"/>
        </w:rPr>
        <w:t xml:space="preserve">from </w:t>
      </w:r>
      <w:r w:rsidRPr="00A0737E">
        <w:rPr>
          <w:sz w:val="22"/>
          <w:szCs w:val="22"/>
        </w:rPr>
        <w:t>a team environment</w:t>
      </w:r>
      <w:r w:rsidR="00646A79">
        <w:rPr>
          <w:sz w:val="22"/>
          <w:szCs w:val="22"/>
        </w:rPr>
        <w:t>,</w:t>
      </w:r>
      <w:r w:rsidRPr="00A0737E">
        <w:rPr>
          <w:sz w:val="22"/>
          <w:szCs w:val="22"/>
        </w:rPr>
        <w:t xml:space="preserve"> second checks</w:t>
      </w:r>
      <w:r w:rsidR="00646A79">
        <w:rPr>
          <w:sz w:val="22"/>
          <w:szCs w:val="22"/>
        </w:rPr>
        <w:t>,</w:t>
      </w:r>
      <w:r w:rsidRPr="00A0737E">
        <w:rPr>
          <w:sz w:val="22"/>
          <w:szCs w:val="22"/>
        </w:rPr>
        <w:t xml:space="preserve"> or backup.  As a result</w:t>
      </w:r>
      <w:r w:rsidR="00646A79">
        <w:rPr>
          <w:sz w:val="22"/>
          <w:szCs w:val="22"/>
        </w:rPr>
        <w:t>,</w:t>
      </w:r>
      <w:r w:rsidRPr="00A0737E">
        <w:rPr>
          <w:sz w:val="22"/>
          <w:szCs w:val="22"/>
        </w:rPr>
        <w:t xml:space="preserve"> a security officer who is mentally</w:t>
      </w:r>
      <w:r w:rsidR="00646A79">
        <w:rPr>
          <w:sz w:val="22"/>
          <w:szCs w:val="22"/>
        </w:rPr>
        <w:t>,</w:t>
      </w:r>
      <w:r w:rsidRPr="00A0737E">
        <w:rPr>
          <w:sz w:val="22"/>
          <w:szCs w:val="22"/>
        </w:rPr>
        <w:t xml:space="preserve"> physically</w:t>
      </w:r>
      <w:r w:rsidR="00646A79">
        <w:rPr>
          <w:sz w:val="22"/>
          <w:szCs w:val="22"/>
        </w:rPr>
        <w:t>,</w:t>
      </w:r>
      <w:r w:rsidRPr="00A0737E">
        <w:rPr>
          <w:sz w:val="22"/>
          <w:szCs w:val="22"/>
        </w:rPr>
        <w:t xml:space="preserve"> or psychologically impaired or who does not possess the characteristics of honesty</w:t>
      </w:r>
      <w:r w:rsidR="00646A79">
        <w:rPr>
          <w:sz w:val="22"/>
          <w:szCs w:val="22"/>
        </w:rPr>
        <w:t>,</w:t>
      </w:r>
      <w:r w:rsidRPr="00A0737E">
        <w:rPr>
          <w:sz w:val="22"/>
          <w:szCs w:val="22"/>
        </w:rPr>
        <w:t xml:space="preserve"> integrity</w:t>
      </w:r>
      <w:r w:rsidR="00646A79">
        <w:rPr>
          <w:sz w:val="22"/>
          <w:szCs w:val="22"/>
        </w:rPr>
        <w:t>,</w:t>
      </w:r>
      <w:r w:rsidRPr="00A0737E">
        <w:rPr>
          <w:sz w:val="22"/>
          <w:szCs w:val="22"/>
        </w:rPr>
        <w:t xml:space="preserve"> trustworthiness</w:t>
      </w:r>
      <w:r w:rsidR="00646A79">
        <w:rPr>
          <w:sz w:val="22"/>
          <w:szCs w:val="22"/>
        </w:rPr>
        <w:t>,</w:t>
      </w:r>
      <w:r w:rsidRPr="00A0737E">
        <w:rPr>
          <w:sz w:val="22"/>
          <w:szCs w:val="22"/>
        </w:rPr>
        <w:t xml:space="preserve"> and reliability cannot be relied upon to competently execute site security requirements.</w:t>
      </w:r>
    </w:p>
    <w:p w:rsidRPr="00A0737E" w:rsidR="00D520BD" w:rsidP="00D520BD" w:rsidRDefault="00D520BD" w14:paraId="6BB6FE95" w14:textId="77777777">
      <w:pPr>
        <w:autoSpaceDE/>
        <w:autoSpaceDN/>
        <w:adjustRightInd/>
        <w:rPr>
          <w:sz w:val="22"/>
          <w:szCs w:val="22"/>
        </w:rPr>
      </w:pPr>
    </w:p>
    <w:p w:rsidRPr="0026590D" w:rsidR="00D520BD" w:rsidP="00D520BD" w:rsidRDefault="00D520BD" w14:paraId="66518BF1" w14:textId="77777777">
      <w:pPr>
        <w:pStyle w:val="Heading3"/>
      </w:pPr>
      <w:bookmarkStart w:name="_Toc460412619" w:id="202"/>
      <w:bookmarkStart w:name="_Toc72840039" w:id="203"/>
      <w:bookmarkStart w:name="_Toc105681512" w:id="204"/>
      <w:r w:rsidRPr="0026590D">
        <w:t>5.1.10</w:t>
      </w:r>
      <w:r w:rsidRPr="0026590D">
        <w:tab/>
        <w:t>Improve Subversion Detection</w:t>
      </w:r>
      <w:bookmarkEnd w:id="202"/>
      <w:bookmarkEnd w:id="203"/>
      <w:bookmarkEnd w:id="204"/>
    </w:p>
    <w:p w:rsidR="00D520BD" w:rsidP="00D520BD" w:rsidRDefault="00D520BD" w14:paraId="61729974" w14:textId="77777777">
      <w:pPr>
        <w:keepNext/>
        <w:autoSpaceDE/>
        <w:autoSpaceDN/>
        <w:adjustRightInd/>
        <w:rPr>
          <w:sz w:val="22"/>
          <w:szCs w:val="22"/>
        </w:rPr>
      </w:pPr>
    </w:p>
    <w:p w:rsidR="00D520BD" w:rsidP="00D520BD" w:rsidRDefault="00D520BD" w14:paraId="0475EF7B" w14:textId="46608C2A">
      <w:pPr>
        <w:autoSpaceDE/>
        <w:autoSpaceDN/>
        <w:adjustRightInd/>
        <w:rPr>
          <w:sz w:val="22"/>
          <w:szCs w:val="22"/>
        </w:rPr>
      </w:pPr>
      <w:r>
        <w:rPr>
          <w:sz w:val="22"/>
          <w:szCs w:val="22"/>
        </w:rPr>
        <w:t>T</w:t>
      </w:r>
      <w:r w:rsidRPr="00437F9D">
        <w:rPr>
          <w:sz w:val="22"/>
          <w:szCs w:val="22"/>
        </w:rPr>
        <w:t xml:space="preserve">he </w:t>
      </w:r>
      <w:r w:rsidR="00FD0501">
        <w:rPr>
          <w:sz w:val="22"/>
          <w:szCs w:val="22"/>
        </w:rPr>
        <w:t xml:space="preserve">final </w:t>
      </w:r>
      <w:r>
        <w:rPr>
          <w:sz w:val="22"/>
          <w:szCs w:val="22"/>
        </w:rPr>
        <w:t>rule strengthen</w:t>
      </w:r>
      <w:r w:rsidR="00FD0501">
        <w:rPr>
          <w:sz w:val="22"/>
          <w:szCs w:val="22"/>
        </w:rPr>
        <w:t>s</w:t>
      </w:r>
      <w:r>
        <w:rPr>
          <w:sz w:val="22"/>
          <w:szCs w:val="22"/>
        </w:rPr>
        <w:t xml:space="preserve"> the methods used </w:t>
      </w:r>
      <w:r w:rsidRPr="00437F9D">
        <w:rPr>
          <w:sz w:val="22"/>
          <w:szCs w:val="22"/>
        </w:rPr>
        <w:t>to identify persons attempting to subvert the drug testing process.</w:t>
      </w:r>
      <w:r w:rsidRPr="00437F9D">
        <w:rPr>
          <w:rFonts w:cs="Arial"/>
          <w:sz w:val="22"/>
          <w:szCs w:val="22"/>
        </w:rPr>
        <w:t xml:space="preserve">  Th</w:t>
      </w:r>
      <w:r>
        <w:rPr>
          <w:rFonts w:cs="Arial"/>
          <w:sz w:val="22"/>
          <w:szCs w:val="22"/>
        </w:rPr>
        <w:t xml:space="preserve">e rule </w:t>
      </w:r>
      <w:r w:rsidRPr="00437F9D">
        <w:rPr>
          <w:rFonts w:cs="Arial"/>
          <w:sz w:val="22"/>
          <w:szCs w:val="22"/>
        </w:rPr>
        <w:t>require</w:t>
      </w:r>
      <w:r w:rsidR="001368AD">
        <w:rPr>
          <w:rFonts w:cs="Arial"/>
          <w:sz w:val="22"/>
          <w:szCs w:val="22"/>
        </w:rPr>
        <w:t>s</w:t>
      </w:r>
      <w:r w:rsidRPr="00437F9D">
        <w:rPr>
          <w:rFonts w:cs="Arial"/>
          <w:sz w:val="22"/>
          <w:szCs w:val="22"/>
        </w:rPr>
        <w:t xml:space="preserve"> all suspect urine specimens </w:t>
      </w:r>
      <w:r>
        <w:rPr>
          <w:rFonts w:cs="Arial"/>
          <w:sz w:val="22"/>
          <w:szCs w:val="22"/>
        </w:rPr>
        <w:t xml:space="preserve">to </w:t>
      </w:r>
      <w:r w:rsidRPr="00437F9D">
        <w:rPr>
          <w:rFonts w:cs="Arial"/>
          <w:sz w:val="22"/>
          <w:szCs w:val="22"/>
        </w:rPr>
        <w:t xml:space="preserve">be tested to the </w:t>
      </w:r>
      <w:r>
        <w:rPr>
          <w:rFonts w:cs="Arial"/>
          <w:sz w:val="22"/>
          <w:szCs w:val="22"/>
        </w:rPr>
        <w:t>LOQ</w:t>
      </w:r>
      <w:r w:rsidR="00646A79">
        <w:rPr>
          <w:rFonts w:cs="Arial"/>
          <w:sz w:val="22"/>
          <w:szCs w:val="22"/>
        </w:rPr>
        <w:t>,</w:t>
      </w:r>
      <w:r>
        <w:rPr>
          <w:rFonts w:cs="Arial"/>
          <w:sz w:val="22"/>
          <w:szCs w:val="22"/>
        </w:rPr>
        <w:t xml:space="preserve"> which is the </w:t>
      </w:r>
      <w:r w:rsidRPr="00437F9D">
        <w:rPr>
          <w:rFonts w:cs="Arial"/>
          <w:sz w:val="22"/>
          <w:szCs w:val="22"/>
        </w:rPr>
        <w:t xml:space="preserve">lowest concentration at which the identity and concentration of </w:t>
      </w:r>
      <w:r>
        <w:rPr>
          <w:rFonts w:cs="Arial"/>
          <w:sz w:val="22"/>
          <w:szCs w:val="22"/>
        </w:rPr>
        <w:t xml:space="preserve">a </w:t>
      </w:r>
      <w:r w:rsidRPr="00437F9D">
        <w:rPr>
          <w:rFonts w:cs="Arial"/>
          <w:sz w:val="22"/>
          <w:szCs w:val="22"/>
        </w:rPr>
        <w:t>drug can be established</w:t>
      </w:r>
      <w:r w:rsidRPr="003B57ED" w:rsidR="003B57ED">
        <w:rPr>
          <w:rFonts w:cs="Arial"/>
          <w:sz w:val="22"/>
          <w:szCs w:val="22"/>
        </w:rPr>
        <w:t xml:space="preserve"> </w:t>
      </w:r>
      <w:r w:rsidRPr="00437F9D" w:rsidR="003B57ED">
        <w:rPr>
          <w:rFonts w:cs="Arial"/>
          <w:sz w:val="22"/>
          <w:szCs w:val="22"/>
        </w:rPr>
        <w:t>accurate</w:t>
      </w:r>
      <w:r w:rsidR="003B57ED">
        <w:rPr>
          <w:rFonts w:cs="Arial"/>
          <w:sz w:val="22"/>
          <w:szCs w:val="22"/>
        </w:rPr>
        <w:t>ly</w:t>
      </w:r>
      <w:r w:rsidRPr="00437F9D">
        <w:rPr>
          <w:rFonts w:cs="Arial"/>
          <w:i/>
          <w:sz w:val="22"/>
          <w:szCs w:val="22"/>
        </w:rPr>
        <w:t>.</w:t>
      </w:r>
      <w:r w:rsidRPr="00437F9D">
        <w:rPr>
          <w:rFonts w:cs="Arial"/>
          <w:sz w:val="22"/>
          <w:szCs w:val="22"/>
        </w:rPr>
        <w:t xml:space="preserve">  This change increases the </w:t>
      </w:r>
      <w:r>
        <w:rPr>
          <w:rFonts w:cs="Arial"/>
          <w:sz w:val="22"/>
          <w:szCs w:val="22"/>
        </w:rPr>
        <w:t xml:space="preserve">licensees’ </w:t>
      </w:r>
      <w:r w:rsidRPr="0058023C">
        <w:rPr>
          <w:rFonts w:cs="Arial"/>
          <w:sz w:val="22"/>
          <w:szCs w:val="22"/>
        </w:rPr>
        <w:t xml:space="preserve">ability to identify individuals </w:t>
      </w:r>
      <w:r>
        <w:rPr>
          <w:rFonts w:cs="Arial"/>
          <w:sz w:val="22"/>
          <w:szCs w:val="22"/>
        </w:rPr>
        <w:t>attempt</w:t>
      </w:r>
      <w:r w:rsidR="00B8592C">
        <w:rPr>
          <w:rFonts w:cs="Arial"/>
          <w:sz w:val="22"/>
          <w:szCs w:val="22"/>
        </w:rPr>
        <w:t>ing</w:t>
      </w:r>
      <w:r>
        <w:rPr>
          <w:rFonts w:cs="Arial"/>
          <w:sz w:val="22"/>
          <w:szCs w:val="22"/>
        </w:rPr>
        <w:t xml:space="preserve"> to </w:t>
      </w:r>
      <w:r w:rsidRPr="00827745">
        <w:rPr>
          <w:rFonts w:cs="Arial"/>
          <w:sz w:val="22"/>
          <w:szCs w:val="22"/>
        </w:rPr>
        <w:t xml:space="preserve">hide their drug use through subversive techniques or temporary abstention </w:t>
      </w:r>
      <w:r>
        <w:rPr>
          <w:rFonts w:cs="Arial"/>
          <w:sz w:val="22"/>
          <w:szCs w:val="22"/>
        </w:rPr>
        <w:t>from</w:t>
      </w:r>
      <w:r w:rsidRPr="00827745">
        <w:rPr>
          <w:rFonts w:cs="Arial"/>
          <w:sz w:val="22"/>
          <w:szCs w:val="22"/>
        </w:rPr>
        <w:t xml:space="preserve"> drug use</w:t>
      </w:r>
      <w:r w:rsidRPr="00C934AC">
        <w:rPr>
          <w:rFonts w:cs="Arial"/>
          <w:sz w:val="22"/>
          <w:szCs w:val="22"/>
        </w:rPr>
        <w:t>.  The NRC</w:t>
      </w:r>
      <w:r>
        <w:rPr>
          <w:rFonts w:cs="Arial"/>
          <w:sz w:val="22"/>
          <w:szCs w:val="22"/>
        </w:rPr>
        <w:t xml:space="preserve"> staff</w:t>
      </w:r>
      <w:r w:rsidRPr="00C934AC">
        <w:rPr>
          <w:rFonts w:cs="Arial"/>
          <w:sz w:val="22"/>
          <w:szCs w:val="22"/>
        </w:rPr>
        <w:t xml:space="preserve"> estimates that </w:t>
      </w:r>
      <w:r w:rsidRPr="009E17A1">
        <w:rPr>
          <w:rFonts w:cs="Arial"/>
          <w:sz w:val="22"/>
          <w:szCs w:val="22"/>
        </w:rPr>
        <w:t>approximately 1</w:t>
      </w:r>
      <w:r w:rsidR="009E17A1">
        <w:rPr>
          <w:rFonts w:cs="Arial"/>
          <w:sz w:val="22"/>
          <w:szCs w:val="22"/>
        </w:rPr>
        <w:t>6</w:t>
      </w:r>
      <w:r w:rsidRPr="00284169">
        <w:rPr>
          <w:rFonts w:cs="Arial"/>
          <w:sz w:val="22"/>
          <w:szCs w:val="22"/>
        </w:rPr>
        <w:t xml:space="preserve"> </w:t>
      </w:r>
      <w:r>
        <w:rPr>
          <w:rFonts w:cs="Arial"/>
          <w:sz w:val="22"/>
          <w:szCs w:val="22"/>
        </w:rPr>
        <w:t xml:space="preserve">of the additional </w:t>
      </w:r>
      <w:r w:rsidRPr="009E17A1" w:rsidR="009E17A1">
        <w:rPr>
          <w:rFonts w:cs="Arial"/>
          <w:sz w:val="22"/>
          <w:szCs w:val="22"/>
        </w:rPr>
        <w:t>176</w:t>
      </w:r>
      <w:r w:rsidRPr="009E17A1">
        <w:rPr>
          <w:rFonts w:cs="Arial"/>
          <w:sz w:val="22"/>
          <w:szCs w:val="22"/>
        </w:rPr>
        <w:t> individuals</w:t>
      </w:r>
      <w:r>
        <w:rPr>
          <w:rFonts w:cs="Arial"/>
          <w:sz w:val="22"/>
          <w:szCs w:val="22"/>
        </w:rPr>
        <w:t xml:space="preserve"> each </w:t>
      </w:r>
      <w:r w:rsidRPr="00C934AC">
        <w:rPr>
          <w:rFonts w:cs="Arial"/>
          <w:sz w:val="22"/>
          <w:szCs w:val="22"/>
        </w:rPr>
        <w:t xml:space="preserve">year will be identified </w:t>
      </w:r>
      <w:r>
        <w:rPr>
          <w:rFonts w:cs="Arial"/>
          <w:sz w:val="22"/>
          <w:szCs w:val="22"/>
        </w:rPr>
        <w:lastRenderedPageBreak/>
        <w:t xml:space="preserve">as attempting to subvert the drug testing process </w:t>
      </w:r>
      <w:r w:rsidRPr="009E17A1">
        <w:rPr>
          <w:rFonts w:cs="Arial"/>
          <w:sz w:val="22"/>
          <w:szCs w:val="22"/>
        </w:rPr>
        <w:t>(</w:t>
      </w:r>
      <w:r w:rsidRPr="009E17A1" w:rsidR="009E17A1">
        <w:rPr>
          <w:rFonts w:cs="Arial"/>
          <w:sz w:val="22"/>
          <w:szCs w:val="22"/>
        </w:rPr>
        <w:t>8</w:t>
      </w:r>
      <w:r w:rsidRPr="009E17A1">
        <w:rPr>
          <w:rFonts w:cs="Arial"/>
          <w:sz w:val="22"/>
          <w:szCs w:val="22"/>
        </w:rPr>
        <w:t> additional individuals with dilute specimens and 8 additional</w:t>
      </w:r>
      <w:r>
        <w:rPr>
          <w:rFonts w:cs="Arial"/>
          <w:sz w:val="22"/>
          <w:szCs w:val="22"/>
        </w:rPr>
        <w:t xml:space="preserve"> individuals with suspect specimens)</w:t>
      </w:r>
      <w:r w:rsidRPr="00C934AC">
        <w:rPr>
          <w:rFonts w:cs="Arial"/>
          <w:sz w:val="22"/>
          <w:szCs w:val="22"/>
        </w:rPr>
        <w:t xml:space="preserve">.  </w:t>
      </w:r>
      <w:r w:rsidR="007A5C7A">
        <w:rPr>
          <w:rFonts w:cs="Arial"/>
          <w:sz w:val="22"/>
          <w:szCs w:val="22"/>
        </w:rPr>
        <w:t>An a</w:t>
      </w:r>
      <w:r>
        <w:rPr>
          <w:rFonts w:cs="Arial"/>
          <w:sz w:val="22"/>
          <w:szCs w:val="22"/>
        </w:rPr>
        <w:t xml:space="preserve">ttempt to subvert the </w:t>
      </w:r>
      <w:r w:rsidRPr="00793416">
        <w:rPr>
          <w:rFonts w:cs="Arial"/>
          <w:sz w:val="22"/>
          <w:szCs w:val="22"/>
        </w:rPr>
        <w:t>drug t</w:t>
      </w:r>
      <w:r w:rsidRPr="00D039FA">
        <w:rPr>
          <w:rFonts w:cs="Arial"/>
          <w:sz w:val="22"/>
          <w:szCs w:val="22"/>
        </w:rPr>
        <w:t xml:space="preserve">esting process </w:t>
      </w:r>
      <w:r w:rsidR="007A5C7A">
        <w:rPr>
          <w:rFonts w:cs="Arial"/>
          <w:sz w:val="22"/>
          <w:szCs w:val="22"/>
        </w:rPr>
        <w:t>is</w:t>
      </w:r>
      <w:r>
        <w:rPr>
          <w:rFonts w:cs="Arial"/>
          <w:sz w:val="22"/>
          <w:szCs w:val="22"/>
        </w:rPr>
        <w:t xml:space="preserve"> a willful act by an individual to refuse to comply with an NRC-required drug test (see 10 CFR 50.5</w:t>
      </w:r>
      <w:r w:rsidR="00646A79">
        <w:rPr>
          <w:rFonts w:cs="Arial"/>
          <w:sz w:val="22"/>
          <w:szCs w:val="22"/>
        </w:rPr>
        <w:t>,</w:t>
      </w:r>
      <w:r>
        <w:rPr>
          <w:rFonts w:cs="Arial"/>
          <w:sz w:val="22"/>
          <w:szCs w:val="22"/>
        </w:rPr>
        <w:t xml:space="preserve"> </w:t>
      </w:r>
      <w:r w:rsidR="00646A79">
        <w:rPr>
          <w:rFonts w:cs="Arial"/>
          <w:sz w:val="22"/>
          <w:szCs w:val="22"/>
        </w:rPr>
        <w:t>“</w:t>
      </w:r>
      <w:r>
        <w:rPr>
          <w:rFonts w:cs="Arial"/>
          <w:sz w:val="22"/>
          <w:szCs w:val="22"/>
        </w:rPr>
        <w:t xml:space="preserve">Deliberate </w:t>
      </w:r>
      <w:r w:rsidR="00AC421F">
        <w:rPr>
          <w:rFonts w:cs="Arial"/>
          <w:sz w:val="22"/>
          <w:szCs w:val="22"/>
        </w:rPr>
        <w:t>m</w:t>
      </w:r>
      <w:r>
        <w:rPr>
          <w:rFonts w:cs="Arial"/>
          <w:sz w:val="22"/>
          <w:szCs w:val="22"/>
        </w:rPr>
        <w:t>isconduct</w:t>
      </w:r>
      <w:r w:rsidR="00646A79">
        <w:rPr>
          <w:rFonts w:cs="Arial"/>
          <w:sz w:val="22"/>
          <w:szCs w:val="22"/>
        </w:rPr>
        <w:t>”</w:t>
      </w:r>
      <w:r w:rsidR="00AC421F">
        <w:rPr>
          <w:rFonts w:cs="Arial"/>
          <w:sz w:val="22"/>
          <w:szCs w:val="22"/>
        </w:rPr>
        <w:t>;</w:t>
      </w:r>
      <w:r>
        <w:rPr>
          <w:rFonts w:cs="Arial"/>
          <w:sz w:val="22"/>
          <w:szCs w:val="22"/>
        </w:rPr>
        <w:t xml:space="preserve"> 10 CFR 26.89(c)</w:t>
      </w:r>
      <w:r w:rsidR="00AC421F">
        <w:rPr>
          <w:rFonts w:cs="Arial"/>
          <w:sz w:val="22"/>
          <w:szCs w:val="22"/>
        </w:rPr>
        <w:t>;</w:t>
      </w:r>
      <w:r>
        <w:rPr>
          <w:rFonts w:cs="Arial"/>
          <w:sz w:val="22"/>
          <w:szCs w:val="22"/>
        </w:rPr>
        <w:t xml:space="preserve"> and 10 CFR 26.825</w:t>
      </w:r>
      <w:r w:rsidR="00646A79">
        <w:rPr>
          <w:rFonts w:cs="Arial"/>
          <w:sz w:val="22"/>
          <w:szCs w:val="22"/>
        </w:rPr>
        <w:t>,</w:t>
      </w:r>
      <w:r>
        <w:rPr>
          <w:rFonts w:cs="Arial"/>
          <w:sz w:val="22"/>
          <w:szCs w:val="22"/>
        </w:rPr>
        <w:t xml:space="preserve"> </w:t>
      </w:r>
      <w:r w:rsidR="00646A79">
        <w:rPr>
          <w:rFonts w:cs="Arial"/>
          <w:sz w:val="22"/>
          <w:szCs w:val="22"/>
        </w:rPr>
        <w:t>“</w:t>
      </w:r>
      <w:r>
        <w:rPr>
          <w:rFonts w:cs="Arial"/>
          <w:sz w:val="22"/>
          <w:szCs w:val="22"/>
        </w:rPr>
        <w:t xml:space="preserve">Criminal </w:t>
      </w:r>
      <w:r w:rsidR="007A5C7A">
        <w:rPr>
          <w:rFonts w:cs="Arial"/>
          <w:sz w:val="22"/>
          <w:szCs w:val="22"/>
        </w:rPr>
        <w:t>p</w:t>
      </w:r>
      <w:r>
        <w:rPr>
          <w:rFonts w:cs="Arial"/>
          <w:sz w:val="22"/>
          <w:szCs w:val="22"/>
        </w:rPr>
        <w:t>enalties</w:t>
      </w:r>
      <w:r w:rsidR="00646A79">
        <w:rPr>
          <w:rFonts w:cs="Arial"/>
          <w:sz w:val="22"/>
          <w:szCs w:val="22"/>
        </w:rPr>
        <w:t>”</w:t>
      </w:r>
      <w:r>
        <w:rPr>
          <w:rFonts w:cs="Arial"/>
          <w:sz w:val="22"/>
          <w:szCs w:val="22"/>
        </w:rPr>
        <w:t>)</w:t>
      </w:r>
      <w:r w:rsidRPr="00701AC3">
        <w:rPr>
          <w:rFonts w:cs="Arial"/>
          <w:sz w:val="22"/>
          <w:szCs w:val="22"/>
        </w:rPr>
        <w:t>.</w:t>
      </w:r>
      <w:r>
        <w:rPr>
          <w:rFonts w:cs="Arial"/>
          <w:sz w:val="22"/>
          <w:szCs w:val="22"/>
        </w:rPr>
        <w:t xml:space="preserve">  </w:t>
      </w:r>
      <w:r w:rsidRPr="00701AC3">
        <w:rPr>
          <w:rFonts w:cs="Arial"/>
          <w:sz w:val="22"/>
          <w:szCs w:val="22"/>
        </w:rPr>
        <w:t>Consequen</w:t>
      </w:r>
      <w:r w:rsidRPr="00793416">
        <w:rPr>
          <w:rFonts w:cs="Arial"/>
          <w:sz w:val="22"/>
          <w:szCs w:val="22"/>
        </w:rPr>
        <w:t>tly</w:t>
      </w:r>
      <w:r w:rsidR="00646A79">
        <w:rPr>
          <w:rFonts w:cs="Arial"/>
          <w:sz w:val="22"/>
          <w:szCs w:val="22"/>
        </w:rPr>
        <w:t>,</w:t>
      </w:r>
      <w:r w:rsidRPr="00793416">
        <w:rPr>
          <w:rFonts w:cs="Arial"/>
          <w:sz w:val="22"/>
          <w:szCs w:val="22"/>
        </w:rPr>
        <w:t xml:space="preserve"> these individuals present a </w:t>
      </w:r>
      <w:r>
        <w:rPr>
          <w:rFonts w:cs="Arial"/>
          <w:sz w:val="22"/>
          <w:szCs w:val="22"/>
        </w:rPr>
        <w:t xml:space="preserve">potential </w:t>
      </w:r>
      <w:r w:rsidRPr="0093286E">
        <w:rPr>
          <w:rFonts w:cs="Arial"/>
          <w:sz w:val="22"/>
          <w:szCs w:val="22"/>
        </w:rPr>
        <w:t>security vulnerability</w:t>
      </w:r>
      <w:r>
        <w:rPr>
          <w:rFonts w:cs="Arial"/>
          <w:sz w:val="22"/>
          <w:szCs w:val="22"/>
        </w:rPr>
        <w:t xml:space="preserve"> </w:t>
      </w:r>
      <w:r w:rsidRPr="00701AC3">
        <w:rPr>
          <w:rFonts w:cs="Arial"/>
          <w:sz w:val="22"/>
          <w:szCs w:val="22"/>
        </w:rPr>
        <w:t>to the safe and secure conduct of NRC-licensed activities</w:t>
      </w:r>
      <w:r w:rsidRPr="00437F9D">
        <w:rPr>
          <w:rFonts w:cs="Arial"/>
          <w:sz w:val="22"/>
          <w:szCs w:val="22"/>
        </w:rPr>
        <w:t xml:space="preserve">.  </w:t>
      </w:r>
      <w:r>
        <w:rPr>
          <w:rFonts w:cs="Arial"/>
          <w:sz w:val="22"/>
          <w:szCs w:val="22"/>
        </w:rPr>
        <w:t xml:space="preserve">LOQ </w:t>
      </w:r>
      <w:r w:rsidRPr="00437F9D">
        <w:rPr>
          <w:rFonts w:cs="Arial"/>
          <w:sz w:val="22"/>
          <w:szCs w:val="22"/>
        </w:rPr>
        <w:t xml:space="preserve">testing is </w:t>
      </w:r>
      <w:r w:rsidRPr="00437F9D">
        <w:rPr>
          <w:sz w:val="22"/>
          <w:szCs w:val="22"/>
        </w:rPr>
        <w:t>consis</w:t>
      </w:r>
      <w:r w:rsidRPr="00EF6D79">
        <w:rPr>
          <w:sz w:val="22"/>
          <w:szCs w:val="22"/>
        </w:rPr>
        <w:t xml:space="preserve">tent with the </w:t>
      </w:r>
      <w:r>
        <w:rPr>
          <w:sz w:val="22"/>
          <w:szCs w:val="22"/>
        </w:rPr>
        <w:t xml:space="preserve">reasonable assurance </w:t>
      </w:r>
      <w:r w:rsidRPr="00EF6D79">
        <w:rPr>
          <w:sz w:val="22"/>
          <w:szCs w:val="22"/>
        </w:rPr>
        <w:t xml:space="preserve">performance objectives </w:t>
      </w:r>
      <w:r>
        <w:rPr>
          <w:sz w:val="22"/>
          <w:szCs w:val="22"/>
        </w:rPr>
        <w:t xml:space="preserve">in </w:t>
      </w:r>
      <w:r w:rsidRPr="00EF6D79">
        <w:rPr>
          <w:sz w:val="22"/>
          <w:szCs w:val="22"/>
        </w:rPr>
        <w:t>10</w:t>
      </w:r>
      <w:r>
        <w:rPr>
          <w:sz w:val="22"/>
          <w:szCs w:val="22"/>
        </w:rPr>
        <w:t> CFR </w:t>
      </w:r>
      <w:r w:rsidRPr="00EF6D79">
        <w:rPr>
          <w:sz w:val="22"/>
          <w:szCs w:val="22"/>
        </w:rPr>
        <w:t xml:space="preserve">26.23 </w:t>
      </w:r>
      <w:r w:rsidRPr="00437F9D">
        <w:rPr>
          <w:sz w:val="22"/>
          <w:szCs w:val="22"/>
        </w:rPr>
        <w:t xml:space="preserve">as the </w:t>
      </w:r>
      <w:r w:rsidR="001368AD">
        <w:rPr>
          <w:sz w:val="22"/>
          <w:szCs w:val="22"/>
        </w:rPr>
        <w:t>rule</w:t>
      </w:r>
      <w:r>
        <w:rPr>
          <w:sz w:val="22"/>
          <w:szCs w:val="22"/>
        </w:rPr>
        <w:t xml:space="preserve"> </w:t>
      </w:r>
      <w:r w:rsidRPr="00437F9D">
        <w:rPr>
          <w:sz w:val="22"/>
          <w:szCs w:val="22"/>
        </w:rPr>
        <w:t>proactively resolve</w:t>
      </w:r>
      <w:r w:rsidR="001368AD">
        <w:rPr>
          <w:sz w:val="22"/>
          <w:szCs w:val="22"/>
        </w:rPr>
        <w:t>s</w:t>
      </w:r>
      <w:r w:rsidRPr="00437F9D">
        <w:rPr>
          <w:sz w:val="22"/>
          <w:szCs w:val="22"/>
        </w:rPr>
        <w:t xml:space="preserve"> a known hazard</w:t>
      </w:r>
      <w:r w:rsidR="00646A79">
        <w:rPr>
          <w:sz w:val="22"/>
          <w:szCs w:val="22"/>
        </w:rPr>
        <w:t>,</w:t>
      </w:r>
      <w:r w:rsidRPr="00437F9D">
        <w:rPr>
          <w:sz w:val="22"/>
          <w:szCs w:val="22"/>
        </w:rPr>
        <w:t xml:space="preserve"> leverage</w:t>
      </w:r>
      <w:r w:rsidR="001368AD">
        <w:rPr>
          <w:sz w:val="22"/>
          <w:szCs w:val="22"/>
        </w:rPr>
        <w:t>s</w:t>
      </w:r>
      <w:r w:rsidRPr="00437F9D">
        <w:rPr>
          <w:sz w:val="22"/>
          <w:szCs w:val="22"/>
        </w:rPr>
        <w:t xml:space="preserve"> a testing method </w:t>
      </w:r>
      <w:r>
        <w:rPr>
          <w:sz w:val="22"/>
          <w:szCs w:val="22"/>
        </w:rPr>
        <w:t>used in HHS</w:t>
      </w:r>
      <w:r>
        <w:rPr>
          <w:sz w:val="22"/>
          <w:szCs w:val="22"/>
        </w:rPr>
        <w:noBreakHyphen/>
        <w:t>certified laboratories</w:t>
      </w:r>
      <w:r w:rsidR="00646A79">
        <w:rPr>
          <w:sz w:val="22"/>
          <w:szCs w:val="22"/>
        </w:rPr>
        <w:t>,</w:t>
      </w:r>
      <w:r w:rsidRPr="00437F9D">
        <w:rPr>
          <w:sz w:val="22"/>
          <w:szCs w:val="22"/>
        </w:rPr>
        <w:t xml:space="preserve"> and </w:t>
      </w:r>
      <w:r>
        <w:rPr>
          <w:sz w:val="22"/>
          <w:szCs w:val="22"/>
        </w:rPr>
        <w:t>achieve</w:t>
      </w:r>
      <w:r w:rsidR="001368AD">
        <w:rPr>
          <w:sz w:val="22"/>
          <w:szCs w:val="22"/>
        </w:rPr>
        <w:t>s</w:t>
      </w:r>
      <w:r>
        <w:rPr>
          <w:sz w:val="22"/>
          <w:szCs w:val="22"/>
        </w:rPr>
        <w:t xml:space="preserve"> these improvements</w:t>
      </w:r>
      <w:r w:rsidRPr="00437F9D">
        <w:rPr>
          <w:sz w:val="22"/>
          <w:szCs w:val="22"/>
        </w:rPr>
        <w:t xml:space="preserve"> at low </w:t>
      </w:r>
      <w:r>
        <w:rPr>
          <w:sz w:val="22"/>
          <w:szCs w:val="22"/>
        </w:rPr>
        <w:t xml:space="preserve">incremental </w:t>
      </w:r>
      <w:r w:rsidRPr="00437F9D">
        <w:rPr>
          <w:sz w:val="22"/>
          <w:szCs w:val="22"/>
        </w:rPr>
        <w:t>cost.</w:t>
      </w:r>
    </w:p>
    <w:p w:rsidRPr="00437F9D" w:rsidR="00D520BD" w:rsidP="00D520BD" w:rsidRDefault="00D520BD" w14:paraId="3B70EA38" w14:textId="77777777">
      <w:pPr>
        <w:autoSpaceDE/>
        <w:autoSpaceDN/>
        <w:adjustRightInd/>
        <w:rPr>
          <w:sz w:val="22"/>
          <w:szCs w:val="22"/>
        </w:rPr>
      </w:pPr>
    </w:p>
    <w:p w:rsidRPr="0026590D" w:rsidR="00D520BD" w:rsidP="00D520BD" w:rsidRDefault="00D520BD" w14:paraId="75D64A72" w14:textId="77777777">
      <w:pPr>
        <w:pStyle w:val="Heading2"/>
      </w:pPr>
      <w:bookmarkStart w:name="_Toc460412620" w:id="205"/>
      <w:bookmarkStart w:name="_Toc72840040" w:id="206"/>
      <w:bookmarkStart w:name="_Toc105681513" w:id="207"/>
      <w:r>
        <w:t>5</w:t>
      </w:r>
      <w:r w:rsidRPr="005A5966">
        <w:t>.2</w:t>
      </w:r>
      <w:r w:rsidRPr="0026590D">
        <w:tab/>
        <w:t>Uncertainty Analysis</w:t>
      </w:r>
      <w:bookmarkEnd w:id="205"/>
      <w:bookmarkEnd w:id="206"/>
      <w:bookmarkEnd w:id="207"/>
    </w:p>
    <w:p w:rsidRPr="00447449" w:rsidR="00D520BD" w:rsidP="00D520BD" w:rsidRDefault="00D520BD" w14:paraId="38F2EB07" w14:textId="77777777">
      <w:pPr>
        <w:keepNext/>
        <w:rPr>
          <w:sz w:val="22"/>
        </w:rPr>
      </w:pPr>
    </w:p>
    <w:p w:rsidR="00D520BD" w:rsidP="00D520BD" w:rsidRDefault="00D520BD" w14:paraId="5A2F4FDF" w14:textId="6A4AF2BB">
      <w:pPr>
        <w:rPr>
          <w:sz w:val="22"/>
          <w:szCs w:val="22"/>
        </w:rPr>
      </w:pPr>
      <w:r w:rsidRPr="00BF5AC4">
        <w:rPr>
          <w:rFonts w:cs="Arial"/>
          <w:sz w:val="22"/>
          <w:szCs w:val="22"/>
        </w:rPr>
        <w:t>To determine the robustness of the costs and net benefits</w:t>
      </w:r>
      <w:r>
        <w:rPr>
          <w:rFonts w:cs="Arial"/>
          <w:sz w:val="22"/>
          <w:szCs w:val="22"/>
        </w:rPr>
        <w:t xml:space="preserve"> </w:t>
      </w:r>
      <w:r>
        <w:rPr>
          <w:sz w:val="22"/>
          <w:szCs w:val="22"/>
        </w:rPr>
        <w:t>(i.e.</w:t>
      </w:r>
      <w:r w:rsidR="00646A79">
        <w:rPr>
          <w:sz w:val="22"/>
          <w:szCs w:val="22"/>
        </w:rPr>
        <w:t>,</w:t>
      </w:r>
      <w:r>
        <w:rPr>
          <w:sz w:val="22"/>
          <w:szCs w:val="22"/>
        </w:rPr>
        <w:t xml:space="preserve"> benefits minus costs) </w:t>
      </w:r>
      <w:r w:rsidRPr="00BF5AC4">
        <w:rPr>
          <w:rFonts w:cs="Arial"/>
          <w:sz w:val="22"/>
          <w:szCs w:val="22"/>
        </w:rPr>
        <w:t>of the rule</w:t>
      </w:r>
      <w:r w:rsidR="00646A79">
        <w:rPr>
          <w:rFonts w:cs="Arial"/>
          <w:sz w:val="22"/>
          <w:szCs w:val="22"/>
        </w:rPr>
        <w:t>,</w:t>
      </w:r>
      <w:r w:rsidRPr="00BF5AC4">
        <w:rPr>
          <w:rFonts w:cs="Arial"/>
          <w:sz w:val="22"/>
          <w:szCs w:val="22"/>
        </w:rPr>
        <w:t xml:space="preserve"> the NRC staff examined how </w:t>
      </w:r>
      <w:r>
        <w:rPr>
          <w:rFonts w:cs="Arial"/>
          <w:sz w:val="22"/>
          <w:szCs w:val="22"/>
        </w:rPr>
        <w:t>the industry</w:t>
      </w:r>
      <w:r w:rsidRPr="00BF5AC4">
        <w:rPr>
          <w:rFonts w:cs="Arial"/>
          <w:sz w:val="22"/>
          <w:szCs w:val="22"/>
        </w:rPr>
        <w:t xml:space="preserve"> and the NRC costs change </w:t>
      </w:r>
      <w:r>
        <w:rPr>
          <w:rFonts w:cs="Arial"/>
          <w:sz w:val="22"/>
          <w:szCs w:val="22"/>
        </w:rPr>
        <w:t>as a result of</w:t>
      </w:r>
      <w:r w:rsidRPr="00BF5AC4">
        <w:rPr>
          <w:rFonts w:cs="Arial"/>
          <w:sz w:val="22"/>
          <w:szCs w:val="22"/>
        </w:rPr>
        <w:t xml:space="preserve"> uncertainties associated with the </w:t>
      </w:r>
      <w:r>
        <w:rPr>
          <w:rFonts w:cs="Arial"/>
          <w:sz w:val="22"/>
          <w:szCs w:val="22"/>
        </w:rPr>
        <w:t xml:space="preserve">NRC </w:t>
      </w:r>
      <w:r w:rsidRPr="00BF5AC4">
        <w:rPr>
          <w:rFonts w:cs="Arial"/>
          <w:sz w:val="22"/>
          <w:szCs w:val="22"/>
        </w:rPr>
        <w:t>staff’s analytical assumptions</w:t>
      </w:r>
      <w:r w:rsidR="00646A79">
        <w:rPr>
          <w:rFonts w:cs="Arial"/>
          <w:sz w:val="22"/>
          <w:szCs w:val="22"/>
        </w:rPr>
        <w:t>,</w:t>
      </w:r>
      <w:r w:rsidRPr="00BF5AC4">
        <w:rPr>
          <w:rFonts w:cs="Arial"/>
          <w:sz w:val="22"/>
          <w:szCs w:val="22"/>
        </w:rPr>
        <w:t xml:space="preserve"> input data</w:t>
      </w:r>
      <w:r w:rsidR="00646A79">
        <w:rPr>
          <w:rFonts w:cs="Arial"/>
          <w:sz w:val="22"/>
          <w:szCs w:val="22"/>
        </w:rPr>
        <w:t>,</w:t>
      </w:r>
      <w:r>
        <w:rPr>
          <w:rFonts w:cs="Arial"/>
          <w:sz w:val="22"/>
          <w:szCs w:val="22"/>
        </w:rPr>
        <w:t xml:space="preserve"> and worker drug use behavior</w:t>
      </w:r>
      <w:r w:rsidRPr="00BF5AC4">
        <w:rPr>
          <w:rFonts w:cs="Arial"/>
          <w:sz w:val="22"/>
          <w:szCs w:val="22"/>
        </w:rPr>
        <w:t>.  As mentioned in Section</w:t>
      </w:r>
      <w:r>
        <w:rPr>
          <w:rFonts w:cs="Arial"/>
          <w:sz w:val="22"/>
          <w:szCs w:val="22"/>
        </w:rPr>
        <w:t> 4.2</w:t>
      </w:r>
      <w:r w:rsidR="00646A79">
        <w:rPr>
          <w:rFonts w:cs="Arial"/>
          <w:sz w:val="22"/>
          <w:szCs w:val="22"/>
        </w:rPr>
        <w:t>,</w:t>
      </w:r>
      <w:r w:rsidRPr="00BF5AC4">
        <w:rPr>
          <w:rFonts w:cs="Arial"/>
          <w:sz w:val="22"/>
          <w:szCs w:val="22"/>
        </w:rPr>
        <w:t xml:space="preserve"> the NRC</w:t>
      </w:r>
      <w:r>
        <w:rPr>
          <w:rFonts w:cs="Arial"/>
          <w:sz w:val="22"/>
          <w:szCs w:val="22"/>
        </w:rPr>
        <w:t xml:space="preserve"> staff</w:t>
      </w:r>
      <w:r w:rsidRPr="00BF5AC4">
        <w:rPr>
          <w:rFonts w:cs="Arial"/>
          <w:sz w:val="22"/>
          <w:szCs w:val="22"/>
        </w:rPr>
        <w:t xml:space="preserve"> used Monte Carlo simulation to examine the impact of uncertainty on the estimated net benefits of the rule.  These Monte Carlo simulations were </w:t>
      </w:r>
      <w:r>
        <w:rPr>
          <w:sz w:val="22"/>
          <w:szCs w:val="22"/>
        </w:rPr>
        <w:t>performed using the</w:t>
      </w:r>
      <w:r w:rsidRPr="00AC791B">
        <w:rPr>
          <w:sz w:val="22"/>
          <w:szCs w:val="22"/>
        </w:rPr>
        <w:t xml:space="preserve"> </w:t>
      </w:r>
      <w:r>
        <w:rPr>
          <w:sz w:val="22"/>
          <w:szCs w:val="22"/>
        </w:rPr>
        <w:t>@RISK</w:t>
      </w:r>
      <w:r w:rsidRPr="00763EF4">
        <w:rPr>
          <w:rFonts w:cs="Arial"/>
          <w:sz w:val="22"/>
          <w:szCs w:val="22"/>
          <w:vertAlign w:val="superscript"/>
        </w:rPr>
        <w:t>®</w:t>
      </w:r>
      <w:r w:rsidRPr="00AC791B">
        <w:rPr>
          <w:sz w:val="22"/>
          <w:szCs w:val="22"/>
        </w:rPr>
        <w:t xml:space="preserve"> software program.</w:t>
      </w:r>
      <w:r>
        <w:rPr>
          <w:rStyle w:val="FootnoteReference"/>
          <w:sz w:val="22"/>
          <w:szCs w:val="22"/>
        </w:rPr>
        <w:footnoteReference w:id="32"/>
      </w:r>
    </w:p>
    <w:p w:rsidR="00D520BD" w:rsidP="00D520BD" w:rsidRDefault="00D520BD" w14:paraId="6418002A" w14:textId="77777777">
      <w:pPr>
        <w:rPr>
          <w:sz w:val="22"/>
          <w:szCs w:val="22"/>
        </w:rPr>
      </w:pPr>
    </w:p>
    <w:p w:rsidR="00D520BD" w:rsidP="00D520BD" w:rsidRDefault="00D520BD" w14:paraId="07CB4984" w14:textId="24C3BA84">
      <w:pPr>
        <w:rPr>
          <w:rFonts w:cs="Arial"/>
          <w:sz w:val="22"/>
          <w:szCs w:val="22"/>
        </w:rPr>
      </w:pPr>
      <w:r w:rsidRPr="00BF5AC4">
        <w:rPr>
          <w:rFonts w:cs="Arial"/>
          <w:sz w:val="22"/>
          <w:szCs w:val="22"/>
        </w:rPr>
        <w:t xml:space="preserve">Monte Carlo simulations involve introducing uncertainty into the analysis by replacing the point estimates of the variables used to estimate </w:t>
      </w:r>
      <w:r>
        <w:rPr>
          <w:rFonts w:cs="Arial"/>
          <w:sz w:val="22"/>
          <w:szCs w:val="22"/>
        </w:rPr>
        <w:t xml:space="preserve">base case </w:t>
      </w:r>
      <w:r w:rsidRPr="00BF5AC4">
        <w:rPr>
          <w:rFonts w:cs="Arial"/>
          <w:sz w:val="22"/>
          <w:szCs w:val="22"/>
        </w:rPr>
        <w:t xml:space="preserve">costs and benefits with probability distributions.  By defining input variables as probability distributions </w:t>
      </w:r>
      <w:r>
        <w:rPr>
          <w:rFonts w:cs="Arial"/>
          <w:sz w:val="22"/>
          <w:szCs w:val="22"/>
        </w:rPr>
        <w:t>instead of</w:t>
      </w:r>
      <w:r w:rsidRPr="00BF5AC4">
        <w:rPr>
          <w:rFonts w:cs="Arial"/>
          <w:sz w:val="22"/>
          <w:szCs w:val="22"/>
        </w:rPr>
        <w:t xml:space="preserve"> </w:t>
      </w:r>
      <w:r>
        <w:rPr>
          <w:rFonts w:cs="Arial"/>
          <w:sz w:val="22"/>
          <w:szCs w:val="22"/>
        </w:rPr>
        <w:t xml:space="preserve">as </w:t>
      </w:r>
      <w:r w:rsidRPr="00BF5AC4">
        <w:rPr>
          <w:rFonts w:cs="Arial"/>
          <w:sz w:val="22"/>
          <w:szCs w:val="22"/>
        </w:rPr>
        <w:t>point estimates</w:t>
      </w:r>
      <w:r w:rsidR="00646A79">
        <w:rPr>
          <w:rFonts w:cs="Arial"/>
          <w:sz w:val="22"/>
          <w:szCs w:val="22"/>
        </w:rPr>
        <w:t>,</w:t>
      </w:r>
      <w:r w:rsidRPr="00BF5AC4">
        <w:rPr>
          <w:rFonts w:cs="Arial"/>
          <w:sz w:val="22"/>
          <w:szCs w:val="22"/>
        </w:rPr>
        <w:t xml:space="preserve"> the </w:t>
      </w:r>
      <w:r>
        <w:rPr>
          <w:rFonts w:cs="Arial"/>
          <w:sz w:val="22"/>
          <w:szCs w:val="22"/>
        </w:rPr>
        <w:t xml:space="preserve">researcher can effectively model the </w:t>
      </w:r>
      <w:r w:rsidRPr="00BF5AC4">
        <w:rPr>
          <w:rFonts w:cs="Arial"/>
          <w:sz w:val="22"/>
          <w:szCs w:val="22"/>
        </w:rPr>
        <w:t>effect of uncertainty on the results of the analysis (i.e.</w:t>
      </w:r>
      <w:r w:rsidR="00646A79">
        <w:rPr>
          <w:rFonts w:cs="Arial"/>
          <w:sz w:val="22"/>
          <w:szCs w:val="22"/>
        </w:rPr>
        <w:t>,</w:t>
      </w:r>
      <w:r>
        <w:rPr>
          <w:rFonts w:cs="Arial"/>
          <w:sz w:val="22"/>
          <w:szCs w:val="22"/>
        </w:rPr>
        <w:t> </w:t>
      </w:r>
      <w:r w:rsidRPr="00BF5AC4">
        <w:rPr>
          <w:rFonts w:cs="Arial"/>
          <w:sz w:val="22"/>
          <w:szCs w:val="22"/>
        </w:rPr>
        <w:t>the net benefit</w:t>
      </w:r>
      <w:r>
        <w:rPr>
          <w:rFonts w:cs="Arial"/>
          <w:sz w:val="22"/>
          <w:szCs w:val="22"/>
        </w:rPr>
        <w:t>s).</w:t>
      </w:r>
    </w:p>
    <w:p w:rsidRPr="00BF5AC4" w:rsidR="00D520BD" w:rsidP="00D520BD" w:rsidRDefault="00D520BD" w14:paraId="1CD002E7" w14:textId="77777777">
      <w:pPr>
        <w:rPr>
          <w:rFonts w:cs="Arial"/>
          <w:sz w:val="22"/>
          <w:szCs w:val="22"/>
        </w:rPr>
      </w:pPr>
    </w:p>
    <w:p w:rsidR="00D520BD" w:rsidP="00D520BD" w:rsidRDefault="00D520BD" w14:paraId="730C295D" w14:textId="47E8F405">
      <w:pPr>
        <w:rPr>
          <w:sz w:val="22"/>
          <w:szCs w:val="22"/>
        </w:rPr>
      </w:pPr>
      <w:r w:rsidRPr="00BF5AC4">
        <w:rPr>
          <w:rFonts w:cs="Arial"/>
          <w:sz w:val="22"/>
          <w:szCs w:val="22"/>
        </w:rPr>
        <w:t>The probability distributions chosen to represent the different variables in the analysis were bounded by the range</w:t>
      </w:r>
      <w:r>
        <w:rPr>
          <w:rFonts w:cs="Arial"/>
          <w:sz w:val="22"/>
          <w:szCs w:val="22"/>
        </w:rPr>
        <w:noBreakHyphen/>
        <w:t>referenced</w:t>
      </w:r>
      <w:r w:rsidRPr="00BF5AC4">
        <w:rPr>
          <w:rFonts w:cs="Arial"/>
          <w:sz w:val="22"/>
          <w:szCs w:val="22"/>
        </w:rPr>
        <w:t xml:space="preserve"> input</w:t>
      </w:r>
      <w:r w:rsidR="00646A79">
        <w:rPr>
          <w:rFonts w:cs="Arial"/>
          <w:sz w:val="22"/>
          <w:szCs w:val="22"/>
        </w:rPr>
        <w:t>,</w:t>
      </w:r>
      <w:r>
        <w:rPr>
          <w:rFonts w:cs="Arial"/>
          <w:sz w:val="22"/>
          <w:szCs w:val="22"/>
        </w:rPr>
        <w:t xml:space="preserve"> DOT and FFD historical data</w:t>
      </w:r>
      <w:r w:rsidR="00646A79">
        <w:rPr>
          <w:rFonts w:cs="Arial"/>
          <w:sz w:val="22"/>
          <w:szCs w:val="22"/>
        </w:rPr>
        <w:t>,</w:t>
      </w:r>
      <w:r w:rsidRPr="00BF5AC4">
        <w:rPr>
          <w:rFonts w:cs="Arial"/>
          <w:sz w:val="22"/>
          <w:szCs w:val="22"/>
        </w:rPr>
        <w:t xml:space="preserve"> and the NRC staff’s professional judgment.  When defining the probability distributions for use in the Monte Carlo simulation</w:t>
      </w:r>
      <w:r w:rsidR="00646A79">
        <w:rPr>
          <w:rFonts w:cs="Arial"/>
          <w:sz w:val="22"/>
          <w:szCs w:val="22"/>
        </w:rPr>
        <w:t>,</w:t>
      </w:r>
      <w:r w:rsidRPr="00BF5AC4">
        <w:rPr>
          <w:rFonts w:cs="Arial"/>
          <w:sz w:val="22"/>
          <w:szCs w:val="22"/>
        </w:rPr>
        <w:t xml:space="preserve"> summary statistics </w:t>
      </w:r>
      <w:r>
        <w:rPr>
          <w:rFonts w:cs="Arial"/>
          <w:sz w:val="22"/>
          <w:szCs w:val="22"/>
        </w:rPr>
        <w:t>are</w:t>
      </w:r>
      <w:r w:rsidRPr="00BF5AC4">
        <w:rPr>
          <w:rFonts w:cs="Arial"/>
          <w:sz w:val="22"/>
          <w:szCs w:val="22"/>
        </w:rPr>
        <w:t xml:space="preserve"> needed to characterize the distributions.  These summary statistics include the minimum</w:t>
      </w:r>
      <w:r w:rsidR="00646A79">
        <w:rPr>
          <w:rFonts w:cs="Arial"/>
          <w:sz w:val="22"/>
          <w:szCs w:val="22"/>
        </w:rPr>
        <w:t>,</w:t>
      </w:r>
      <w:r>
        <w:rPr>
          <w:rFonts w:cs="Arial"/>
          <w:sz w:val="22"/>
          <w:szCs w:val="22"/>
        </w:rPr>
        <w:t xml:space="preserve"> most likely</w:t>
      </w:r>
      <w:r w:rsidR="00646A79">
        <w:rPr>
          <w:rFonts w:cs="Arial"/>
          <w:sz w:val="22"/>
          <w:szCs w:val="22"/>
        </w:rPr>
        <w:t>,</w:t>
      </w:r>
      <w:r w:rsidRPr="00BF5AC4">
        <w:rPr>
          <w:rFonts w:cs="Arial"/>
          <w:sz w:val="22"/>
          <w:szCs w:val="22"/>
        </w:rPr>
        <w:t xml:space="preserve"> and maximum </w:t>
      </w:r>
      <w:r>
        <w:rPr>
          <w:rFonts w:cs="Arial"/>
          <w:sz w:val="22"/>
          <w:szCs w:val="22"/>
        </w:rPr>
        <w:t xml:space="preserve">values </w:t>
      </w:r>
      <w:r w:rsidRPr="00BF5AC4">
        <w:rPr>
          <w:rFonts w:cs="Arial"/>
          <w:sz w:val="22"/>
          <w:szCs w:val="22"/>
        </w:rPr>
        <w:t xml:space="preserve">of a </w:t>
      </w:r>
      <w:r>
        <w:rPr>
          <w:sz w:val="22"/>
          <w:szCs w:val="22"/>
        </w:rPr>
        <w:t>program evaluation and review technique</w:t>
      </w:r>
      <w:r w:rsidRPr="00BF5AC4">
        <w:rPr>
          <w:rFonts w:cs="Arial"/>
          <w:sz w:val="22"/>
          <w:szCs w:val="22"/>
        </w:rPr>
        <w:t xml:space="preserve"> </w:t>
      </w:r>
      <w:r>
        <w:rPr>
          <w:rFonts w:cs="Arial"/>
          <w:sz w:val="22"/>
          <w:szCs w:val="22"/>
        </w:rPr>
        <w:t>(PERT) distribution</w:t>
      </w:r>
      <w:r w:rsidR="007C6C1A">
        <w:rPr>
          <w:rFonts w:cs="Arial"/>
          <w:sz w:val="22"/>
          <w:szCs w:val="22"/>
        </w:rPr>
        <w:t>;</w:t>
      </w:r>
      <w:r>
        <w:rPr>
          <w:rStyle w:val="FootnoteReference"/>
          <w:rFonts w:cs="Arial"/>
          <w:sz w:val="22"/>
          <w:szCs w:val="22"/>
        </w:rPr>
        <w:footnoteReference w:id="33"/>
      </w:r>
      <w:r>
        <w:rPr>
          <w:rFonts w:cs="Arial"/>
          <w:sz w:val="22"/>
          <w:szCs w:val="22"/>
        </w:rPr>
        <w:t xml:space="preserve"> the minimum and maximum values of a uniform distribution</w:t>
      </w:r>
      <w:r w:rsidR="007C6C1A">
        <w:rPr>
          <w:rFonts w:cs="Arial"/>
          <w:sz w:val="22"/>
          <w:szCs w:val="22"/>
        </w:rPr>
        <w:t>;</w:t>
      </w:r>
      <w:r>
        <w:rPr>
          <w:rFonts w:cs="Arial"/>
          <w:sz w:val="22"/>
          <w:szCs w:val="22"/>
        </w:rPr>
        <w:t xml:space="preserve"> and the specified integer values of a discrete population.</w:t>
      </w:r>
    </w:p>
    <w:p w:rsidR="00D520BD" w:rsidP="00D520BD" w:rsidRDefault="00D520BD" w14:paraId="349BBFA2" w14:textId="77777777">
      <w:pPr>
        <w:rPr>
          <w:sz w:val="22"/>
          <w:szCs w:val="22"/>
        </w:rPr>
      </w:pPr>
    </w:p>
    <w:p w:rsidR="00D520BD" w:rsidP="00D520BD" w:rsidRDefault="00D520BD" w14:paraId="56138497" w14:textId="5E49B0D7">
      <w:pPr>
        <w:spacing w:after="220"/>
        <w:rPr>
          <w:sz w:val="22"/>
          <w:szCs w:val="22"/>
        </w:rPr>
      </w:pPr>
      <w:r>
        <w:rPr>
          <w:sz w:val="22"/>
          <w:szCs w:val="22"/>
        </w:rPr>
        <w:t>For the majority of uncertain variables</w:t>
      </w:r>
      <w:r w:rsidR="00646A79">
        <w:rPr>
          <w:sz w:val="22"/>
          <w:szCs w:val="22"/>
        </w:rPr>
        <w:t>,</w:t>
      </w:r>
      <w:r>
        <w:rPr>
          <w:sz w:val="22"/>
          <w:szCs w:val="22"/>
        </w:rPr>
        <w:t xml:space="preserve"> the </w:t>
      </w:r>
      <w:r w:rsidR="00EC321A">
        <w:rPr>
          <w:sz w:val="22"/>
          <w:szCs w:val="22"/>
        </w:rPr>
        <w:t xml:space="preserve">NRC </w:t>
      </w:r>
      <w:r>
        <w:rPr>
          <w:sz w:val="22"/>
          <w:szCs w:val="22"/>
        </w:rPr>
        <w:t>staff used the PERT distribution to reflect the relative spread and skewness of the distribution defined by the three estimates.  I</w:t>
      </w:r>
      <w:r w:rsidR="00B85B9D">
        <w:rPr>
          <w:sz w:val="22"/>
          <w:szCs w:val="22"/>
        </w:rPr>
        <w:t>f</w:t>
      </w:r>
      <w:r>
        <w:rPr>
          <w:sz w:val="22"/>
          <w:szCs w:val="22"/>
        </w:rPr>
        <w:t xml:space="preserve"> the likelihood of the result was judged to be equally likely within a range</w:t>
      </w:r>
      <w:r w:rsidR="00646A79">
        <w:rPr>
          <w:sz w:val="22"/>
          <w:szCs w:val="22"/>
        </w:rPr>
        <w:t>,</w:t>
      </w:r>
      <w:r>
        <w:rPr>
          <w:sz w:val="22"/>
          <w:szCs w:val="22"/>
        </w:rPr>
        <w:t xml:space="preserve"> the data were modeled using a uniform distribution defined by the low and high values.  In a few cases</w:t>
      </w:r>
      <w:r w:rsidR="00646A79">
        <w:rPr>
          <w:sz w:val="22"/>
          <w:szCs w:val="22"/>
        </w:rPr>
        <w:t>,</w:t>
      </w:r>
      <w:r>
        <w:rPr>
          <w:sz w:val="22"/>
          <w:szCs w:val="22"/>
        </w:rPr>
        <w:t xml:space="preserve"> the </w:t>
      </w:r>
      <w:r w:rsidR="00EC321A">
        <w:rPr>
          <w:sz w:val="22"/>
          <w:szCs w:val="22"/>
        </w:rPr>
        <w:t>NRC</w:t>
      </w:r>
      <w:r>
        <w:rPr>
          <w:sz w:val="22"/>
          <w:szCs w:val="22"/>
        </w:rPr>
        <w:t xml:space="preserve"> staff used a discrete distribution to model possible outcomes and their likelihood</w:t>
      </w:r>
      <w:r w:rsidR="00646A79">
        <w:rPr>
          <w:sz w:val="22"/>
          <w:szCs w:val="22"/>
        </w:rPr>
        <w:t>,</w:t>
      </w:r>
      <w:r>
        <w:rPr>
          <w:sz w:val="22"/>
          <w:szCs w:val="22"/>
        </w:rPr>
        <w:t xml:space="preserve"> such as the number of sites using an LTF</w:t>
      </w:r>
      <w:r w:rsidR="0096123B">
        <w:rPr>
          <w:sz w:val="22"/>
          <w:szCs w:val="22"/>
        </w:rPr>
        <w:t xml:space="preserve"> or an HHS-certified laboratory</w:t>
      </w:r>
      <w:r>
        <w:rPr>
          <w:sz w:val="22"/>
          <w:szCs w:val="22"/>
        </w:rPr>
        <w:t>.</w:t>
      </w:r>
    </w:p>
    <w:p w:rsidR="00D520BD" w:rsidP="00D520BD" w:rsidRDefault="00203EED" w14:paraId="45D26D6C" w14:textId="2039196A">
      <w:pPr>
        <w:rPr>
          <w:sz w:val="22"/>
          <w:szCs w:val="22"/>
        </w:rPr>
      </w:pPr>
      <w:r w:rsidRPr="00203EED">
        <w:rPr>
          <w:sz w:val="22"/>
          <w:szCs w:val="22"/>
        </w:rPr>
        <w:lastRenderedPageBreak/>
        <w:fldChar w:fldCharType="begin"/>
      </w:r>
      <w:r w:rsidRPr="00203EED">
        <w:rPr>
          <w:sz w:val="22"/>
          <w:szCs w:val="22"/>
        </w:rPr>
        <w:instrText xml:space="preserve"> REF _Ref72166357 \h  \* MERGEFORMAT </w:instrText>
      </w:r>
      <w:r w:rsidRPr="00203EED">
        <w:rPr>
          <w:sz w:val="22"/>
          <w:szCs w:val="22"/>
        </w:rPr>
      </w:r>
      <w:r w:rsidRPr="00203EED">
        <w:rPr>
          <w:sz w:val="22"/>
          <w:szCs w:val="22"/>
        </w:rPr>
        <w:fldChar w:fldCharType="separate"/>
      </w:r>
      <w:r w:rsidRPr="006155B8" w:rsidR="00A6777F">
        <w:rPr>
          <w:sz w:val="22"/>
          <w:szCs w:val="22"/>
        </w:rPr>
        <w:t>Table 5-16</w:t>
      </w:r>
      <w:r w:rsidRPr="00203EED">
        <w:rPr>
          <w:sz w:val="22"/>
          <w:szCs w:val="22"/>
        </w:rPr>
        <w:fldChar w:fldCharType="end"/>
      </w:r>
      <w:r w:rsidR="00D520BD">
        <w:rPr>
          <w:sz w:val="22"/>
          <w:szCs w:val="22"/>
        </w:rPr>
        <w:t xml:space="preserve"> identifies the data elements</w:t>
      </w:r>
      <w:r w:rsidR="00646A79">
        <w:rPr>
          <w:sz w:val="22"/>
          <w:szCs w:val="22"/>
        </w:rPr>
        <w:t>,</w:t>
      </w:r>
      <w:r w:rsidR="00D520BD">
        <w:rPr>
          <w:sz w:val="22"/>
          <w:szCs w:val="22"/>
        </w:rPr>
        <w:t xml:space="preserve"> the distribution and summary statistic</w:t>
      </w:r>
      <w:r w:rsidR="00646A79">
        <w:rPr>
          <w:sz w:val="22"/>
          <w:szCs w:val="22"/>
        </w:rPr>
        <w:t>,</w:t>
      </w:r>
      <w:r w:rsidR="00D520BD">
        <w:rPr>
          <w:sz w:val="22"/>
          <w:szCs w:val="22"/>
        </w:rPr>
        <w:t xml:space="preserve"> and the mean value of the distribution that the </w:t>
      </w:r>
      <w:r w:rsidR="00EC321A">
        <w:rPr>
          <w:sz w:val="22"/>
          <w:szCs w:val="22"/>
        </w:rPr>
        <w:t xml:space="preserve">NRC </w:t>
      </w:r>
      <w:r w:rsidR="00D520BD">
        <w:rPr>
          <w:sz w:val="22"/>
          <w:szCs w:val="22"/>
        </w:rPr>
        <w:t>staff used in the uncertainty analysis.</w:t>
      </w:r>
    </w:p>
    <w:p w:rsidRPr="00625C7E" w:rsidR="00625C7E" w:rsidP="00B65E24" w:rsidRDefault="00625C7E" w14:paraId="1E04B188" w14:textId="28D86A0C">
      <w:pPr>
        <w:pStyle w:val="Caption"/>
        <w:spacing w:before="220"/>
        <w:jc w:val="center"/>
        <w:rPr>
          <w:b/>
          <w:bCs w:val="0"/>
        </w:rPr>
      </w:pPr>
      <w:bookmarkStart w:name="_Ref72166357" w:id="208"/>
      <w:bookmarkStart w:name="_Toc72490578" w:id="209"/>
      <w:bookmarkStart w:name="_Toc105681575" w:id="210"/>
      <w:r w:rsidRPr="00625C7E">
        <w:rPr>
          <w:b/>
          <w:bCs w:val="0"/>
        </w:rPr>
        <w:t>Table 5-</w:t>
      </w:r>
      <w:r w:rsidRPr="00625C7E">
        <w:rPr>
          <w:b/>
          <w:bCs w:val="0"/>
        </w:rPr>
        <w:fldChar w:fldCharType="begin"/>
      </w:r>
      <w:r w:rsidRPr="00625C7E">
        <w:rPr>
          <w:b/>
          <w:bCs w:val="0"/>
        </w:rPr>
        <w:instrText xml:space="preserve"> SEQ Table \* ARABIC </w:instrText>
      </w:r>
      <w:r w:rsidRPr="00625C7E">
        <w:rPr>
          <w:b/>
          <w:bCs w:val="0"/>
        </w:rPr>
        <w:fldChar w:fldCharType="separate"/>
      </w:r>
      <w:r w:rsidR="00A6777F">
        <w:rPr>
          <w:b/>
          <w:bCs w:val="0"/>
          <w:noProof/>
        </w:rPr>
        <w:t>16</w:t>
      </w:r>
      <w:r w:rsidRPr="00625C7E">
        <w:rPr>
          <w:b/>
          <w:bCs w:val="0"/>
        </w:rPr>
        <w:fldChar w:fldCharType="end"/>
      </w:r>
      <w:bookmarkEnd w:id="208"/>
      <w:r>
        <w:rPr>
          <w:b/>
          <w:bCs w:val="0"/>
        </w:rPr>
        <w:t xml:space="preserve">  Variables Used in the Uncertainty Analysis</w:t>
      </w:r>
      <w:bookmarkEnd w:id="209"/>
      <w:bookmarkEnd w:id="210"/>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4855"/>
        <w:gridCol w:w="1351"/>
        <w:gridCol w:w="990"/>
        <w:gridCol w:w="990"/>
        <w:gridCol w:w="1169"/>
      </w:tblGrid>
      <w:tr w:rsidRPr="006F21ED" w:rsidR="00D520BD" w:rsidTr="00DF6AD4" w14:paraId="3D67C2FE" w14:textId="77777777">
        <w:trPr>
          <w:trHeight w:val="528"/>
          <w:tblHeader/>
        </w:trPr>
        <w:tc>
          <w:tcPr>
            <w:tcW w:w="2595" w:type="pct"/>
            <w:tcBorders>
              <w:bottom w:val="single" w:color="auto" w:sz="4" w:space="0"/>
            </w:tcBorders>
            <w:shd w:val="clear" w:color="000000" w:fill="BFBFBF"/>
            <w:noWrap/>
            <w:tcMar>
              <w:left w:w="0" w:type="dxa"/>
              <w:right w:w="0" w:type="dxa"/>
            </w:tcMar>
            <w:vAlign w:val="center"/>
            <w:hideMark/>
          </w:tcPr>
          <w:p w:rsidRPr="006F21ED" w:rsidR="00D520BD" w:rsidP="00982BD1" w:rsidRDefault="00D520BD" w14:paraId="766921A0" w14:textId="77777777">
            <w:pPr>
              <w:keepNext/>
              <w:keepLines/>
              <w:autoSpaceDE/>
              <w:autoSpaceDN/>
              <w:adjustRightInd/>
              <w:ind w:firstLine="90"/>
              <w:jc w:val="center"/>
              <w:rPr>
                <w:b/>
                <w:color w:val="000000"/>
                <w:sz w:val="21"/>
                <w:szCs w:val="21"/>
              </w:rPr>
            </w:pPr>
            <w:r w:rsidRPr="006F21ED">
              <w:rPr>
                <w:b/>
                <w:color w:val="000000"/>
                <w:sz w:val="21"/>
                <w:szCs w:val="21"/>
              </w:rPr>
              <w:t>Data Element</w:t>
            </w:r>
          </w:p>
        </w:tc>
        <w:tc>
          <w:tcPr>
            <w:tcW w:w="722" w:type="pct"/>
            <w:tcBorders>
              <w:bottom w:val="single" w:color="auto" w:sz="4" w:space="0"/>
            </w:tcBorders>
            <w:shd w:val="clear" w:color="000000" w:fill="BFBFBF"/>
            <w:noWrap/>
            <w:tcMar>
              <w:left w:w="0" w:type="dxa"/>
              <w:right w:w="0" w:type="dxa"/>
            </w:tcMar>
            <w:vAlign w:val="center"/>
            <w:hideMark/>
          </w:tcPr>
          <w:p w:rsidRPr="006F21ED" w:rsidR="00D520BD" w:rsidP="00982BD1" w:rsidRDefault="00D520BD" w14:paraId="3A3BFEBF" w14:textId="77777777">
            <w:pPr>
              <w:keepNext/>
              <w:keepLines/>
              <w:autoSpaceDE/>
              <w:autoSpaceDN/>
              <w:adjustRightInd/>
              <w:jc w:val="center"/>
              <w:rPr>
                <w:b/>
                <w:color w:val="000000"/>
                <w:sz w:val="21"/>
                <w:szCs w:val="21"/>
              </w:rPr>
            </w:pPr>
            <w:r w:rsidRPr="006F21ED">
              <w:rPr>
                <w:b/>
                <w:color w:val="000000"/>
                <w:sz w:val="21"/>
                <w:szCs w:val="21"/>
              </w:rPr>
              <w:t>Distribution</w:t>
            </w:r>
          </w:p>
        </w:tc>
        <w:tc>
          <w:tcPr>
            <w:tcW w:w="529" w:type="pct"/>
            <w:tcBorders>
              <w:bottom w:val="single" w:color="auto" w:sz="4" w:space="0"/>
            </w:tcBorders>
            <w:shd w:val="clear" w:color="000000" w:fill="BFBFBF"/>
            <w:tcMar>
              <w:left w:w="0" w:type="dxa"/>
              <w:right w:w="0" w:type="dxa"/>
            </w:tcMar>
            <w:vAlign w:val="center"/>
            <w:hideMark/>
          </w:tcPr>
          <w:p w:rsidRPr="006F21ED" w:rsidR="00D520BD" w:rsidP="00982BD1" w:rsidRDefault="00D520BD" w14:paraId="2AA8B689" w14:textId="77777777">
            <w:pPr>
              <w:keepNext/>
              <w:keepLines/>
              <w:autoSpaceDE/>
              <w:autoSpaceDN/>
              <w:adjustRightInd/>
              <w:jc w:val="center"/>
              <w:rPr>
                <w:b/>
                <w:color w:val="000000"/>
                <w:sz w:val="21"/>
                <w:szCs w:val="21"/>
              </w:rPr>
            </w:pPr>
            <w:r w:rsidRPr="006F21ED">
              <w:rPr>
                <w:b/>
                <w:color w:val="000000"/>
                <w:sz w:val="21"/>
                <w:szCs w:val="21"/>
              </w:rPr>
              <w:t>Low</w:t>
            </w:r>
          </w:p>
          <w:p w:rsidRPr="006F21ED" w:rsidR="00D520BD" w:rsidP="00982BD1" w:rsidRDefault="00D520BD" w14:paraId="256F74BF" w14:textId="77777777">
            <w:pPr>
              <w:keepNext/>
              <w:keepLines/>
              <w:autoSpaceDE/>
              <w:autoSpaceDN/>
              <w:adjustRightInd/>
              <w:jc w:val="center"/>
              <w:rPr>
                <w:b/>
                <w:color w:val="000000"/>
                <w:sz w:val="21"/>
                <w:szCs w:val="21"/>
              </w:rPr>
            </w:pPr>
            <w:r w:rsidRPr="006F21ED">
              <w:rPr>
                <w:b/>
                <w:color w:val="000000"/>
                <w:sz w:val="21"/>
                <w:szCs w:val="21"/>
              </w:rPr>
              <w:t>Estimate</w:t>
            </w:r>
          </w:p>
        </w:tc>
        <w:tc>
          <w:tcPr>
            <w:tcW w:w="529" w:type="pct"/>
            <w:tcBorders>
              <w:bottom w:val="single" w:color="auto" w:sz="4" w:space="0"/>
            </w:tcBorders>
            <w:shd w:val="clear" w:color="000000" w:fill="BFBFBF"/>
            <w:noWrap/>
            <w:tcMar>
              <w:left w:w="0" w:type="dxa"/>
              <w:right w:w="0" w:type="dxa"/>
            </w:tcMar>
            <w:vAlign w:val="center"/>
            <w:hideMark/>
          </w:tcPr>
          <w:p w:rsidRPr="006F21ED" w:rsidR="00D520BD" w:rsidP="00982BD1" w:rsidRDefault="00D520BD" w14:paraId="3FDE8819" w14:textId="77777777">
            <w:pPr>
              <w:keepNext/>
              <w:keepLines/>
              <w:autoSpaceDE/>
              <w:autoSpaceDN/>
              <w:adjustRightInd/>
              <w:jc w:val="center"/>
              <w:rPr>
                <w:b/>
                <w:color w:val="000000"/>
                <w:sz w:val="21"/>
                <w:szCs w:val="21"/>
              </w:rPr>
            </w:pPr>
            <w:r w:rsidRPr="006F21ED">
              <w:rPr>
                <w:b/>
                <w:color w:val="000000"/>
                <w:sz w:val="21"/>
                <w:szCs w:val="21"/>
              </w:rPr>
              <w:t>Base</w:t>
            </w:r>
          </w:p>
          <w:p w:rsidRPr="006F21ED" w:rsidR="00D520BD" w:rsidP="00982BD1" w:rsidRDefault="00D520BD" w14:paraId="5717F036" w14:textId="77777777">
            <w:pPr>
              <w:keepNext/>
              <w:keepLines/>
              <w:autoSpaceDE/>
              <w:autoSpaceDN/>
              <w:adjustRightInd/>
              <w:jc w:val="center"/>
              <w:rPr>
                <w:b/>
                <w:color w:val="000000"/>
                <w:sz w:val="21"/>
                <w:szCs w:val="21"/>
              </w:rPr>
            </w:pPr>
            <w:r w:rsidRPr="006F21ED">
              <w:rPr>
                <w:b/>
                <w:color w:val="000000"/>
                <w:sz w:val="21"/>
                <w:szCs w:val="21"/>
              </w:rPr>
              <w:t>Case</w:t>
            </w:r>
          </w:p>
        </w:tc>
        <w:tc>
          <w:tcPr>
            <w:tcW w:w="625" w:type="pct"/>
            <w:tcBorders>
              <w:bottom w:val="single" w:color="auto" w:sz="4" w:space="0"/>
            </w:tcBorders>
            <w:shd w:val="clear" w:color="000000" w:fill="BFBFBF"/>
            <w:noWrap/>
            <w:tcMar>
              <w:left w:w="0" w:type="dxa"/>
              <w:right w:w="0" w:type="dxa"/>
            </w:tcMar>
            <w:vAlign w:val="center"/>
            <w:hideMark/>
          </w:tcPr>
          <w:p w:rsidRPr="006F21ED" w:rsidR="00D520BD" w:rsidP="00982BD1" w:rsidRDefault="00D520BD" w14:paraId="4C672C3F" w14:textId="77777777">
            <w:pPr>
              <w:keepNext/>
              <w:keepLines/>
              <w:autoSpaceDE/>
              <w:autoSpaceDN/>
              <w:adjustRightInd/>
              <w:jc w:val="center"/>
              <w:rPr>
                <w:b/>
                <w:color w:val="000000"/>
                <w:sz w:val="21"/>
                <w:szCs w:val="21"/>
              </w:rPr>
            </w:pPr>
            <w:r w:rsidRPr="006F21ED">
              <w:rPr>
                <w:b/>
                <w:color w:val="000000"/>
                <w:sz w:val="21"/>
                <w:szCs w:val="21"/>
              </w:rPr>
              <w:t>High</w:t>
            </w:r>
          </w:p>
          <w:p w:rsidRPr="006F21ED" w:rsidR="00D520BD" w:rsidP="00982BD1" w:rsidRDefault="00D520BD" w14:paraId="2D19448E" w14:textId="77777777">
            <w:pPr>
              <w:keepNext/>
              <w:keepLines/>
              <w:autoSpaceDE/>
              <w:autoSpaceDN/>
              <w:adjustRightInd/>
              <w:jc w:val="center"/>
              <w:rPr>
                <w:b/>
                <w:color w:val="000000"/>
                <w:sz w:val="21"/>
                <w:szCs w:val="21"/>
              </w:rPr>
            </w:pPr>
            <w:r w:rsidRPr="006F21ED">
              <w:rPr>
                <w:b/>
                <w:color w:val="000000"/>
                <w:sz w:val="21"/>
                <w:szCs w:val="21"/>
              </w:rPr>
              <w:t>Estimate</w:t>
            </w:r>
          </w:p>
        </w:tc>
      </w:tr>
      <w:tr w:rsidRPr="009F5B80" w:rsidR="00D520BD" w:rsidTr="00982BD1" w14:paraId="1A95D75B" w14:textId="77777777">
        <w:trPr>
          <w:trHeight w:val="288"/>
        </w:trPr>
        <w:tc>
          <w:tcPr>
            <w:tcW w:w="5000" w:type="pct"/>
            <w:gridSpan w:val="5"/>
            <w:shd w:val="clear" w:color="000000" w:fill="D9D9D9" w:themeFill="background1" w:themeFillShade="D9"/>
            <w:noWrap/>
            <w:vAlign w:val="center"/>
            <w:hideMark/>
          </w:tcPr>
          <w:p w:rsidRPr="00AA71CE" w:rsidR="00D520BD" w:rsidP="00F20F80" w:rsidRDefault="00D520BD" w14:paraId="50B06815" w14:textId="77777777">
            <w:pPr>
              <w:autoSpaceDE/>
              <w:autoSpaceDN/>
              <w:adjustRightInd/>
              <w:rPr>
                <w:rFonts w:cs="Arial"/>
                <w:b/>
                <w:bCs/>
                <w:color w:val="000000"/>
                <w:sz w:val="18"/>
                <w:szCs w:val="18"/>
              </w:rPr>
            </w:pPr>
            <w:r w:rsidRPr="00AA71CE">
              <w:rPr>
                <w:rFonts w:cs="Arial"/>
                <w:b/>
                <w:bCs/>
                <w:color w:val="000000"/>
                <w:sz w:val="18"/>
                <w:szCs w:val="18"/>
              </w:rPr>
              <w:t>Regulated Universe</w:t>
            </w:r>
          </w:p>
        </w:tc>
      </w:tr>
      <w:tr w:rsidRPr="009F5B80" w:rsidR="00D520BD" w:rsidTr="00DF6AD4" w14:paraId="0D216CFC" w14:textId="77777777">
        <w:trPr>
          <w:trHeight w:val="350"/>
        </w:trPr>
        <w:tc>
          <w:tcPr>
            <w:tcW w:w="2595" w:type="pct"/>
            <w:shd w:val="clear" w:color="auto" w:fill="auto"/>
            <w:noWrap/>
            <w:tcMar>
              <w:left w:w="216" w:type="dxa"/>
              <w:right w:w="115" w:type="dxa"/>
            </w:tcMar>
            <w:vAlign w:val="center"/>
            <w:hideMark/>
          </w:tcPr>
          <w:p w:rsidRPr="00AA71CE" w:rsidR="00D520BD" w:rsidP="00F20F80" w:rsidRDefault="00D520BD" w14:paraId="01737CDA" w14:textId="77777777">
            <w:pPr>
              <w:autoSpaceDE/>
              <w:autoSpaceDN/>
              <w:adjustRightInd/>
              <w:rPr>
                <w:rFonts w:cs="Arial"/>
                <w:color w:val="000000"/>
                <w:sz w:val="18"/>
                <w:szCs w:val="18"/>
              </w:rPr>
            </w:pPr>
            <w:r w:rsidRPr="00AA71CE">
              <w:rPr>
                <w:rFonts w:cs="Arial"/>
                <w:color w:val="000000"/>
                <w:sz w:val="18"/>
                <w:szCs w:val="18"/>
              </w:rPr>
              <w:t xml:space="preserve">Number of </w:t>
            </w:r>
            <w:r>
              <w:rPr>
                <w:rFonts w:cs="Arial"/>
                <w:color w:val="000000"/>
                <w:sz w:val="18"/>
                <w:szCs w:val="18"/>
              </w:rPr>
              <w:t>s</w:t>
            </w:r>
            <w:r w:rsidRPr="00AA71CE">
              <w:rPr>
                <w:rFonts w:cs="Arial"/>
                <w:color w:val="000000"/>
                <w:sz w:val="18"/>
                <w:szCs w:val="18"/>
              </w:rPr>
              <w:t xml:space="preserve">ites using </w:t>
            </w:r>
            <w:r>
              <w:rPr>
                <w:rFonts w:cs="Arial"/>
                <w:color w:val="000000"/>
                <w:sz w:val="18"/>
                <w:szCs w:val="18"/>
              </w:rPr>
              <w:t xml:space="preserve">an </w:t>
            </w:r>
            <w:r w:rsidRPr="00AA71CE">
              <w:rPr>
                <w:rFonts w:cs="Arial"/>
                <w:color w:val="000000"/>
                <w:sz w:val="18"/>
                <w:szCs w:val="18"/>
              </w:rPr>
              <w:t>LTF</w:t>
            </w:r>
          </w:p>
        </w:tc>
        <w:tc>
          <w:tcPr>
            <w:tcW w:w="722" w:type="pct"/>
            <w:shd w:val="clear" w:color="auto" w:fill="auto"/>
            <w:noWrap/>
            <w:vAlign w:val="center"/>
            <w:hideMark/>
          </w:tcPr>
          <w:p w:rsidRPr="00AA71CE" w:rsidR="00D520BD" w:rsidP="00F20F80" w:rsidRDefault="00D520BD" w14:paraId="468972EA" w14:textId="77777777">
            <w:pPr>
              <w:autoSpaceDE/>
              <w:autoSpaceDN/>
              <w:adjustRightInd/>
              <w:jc w:val="center"/>
              <w:rPr>
                <w:rFonts w:cs="Arial"/>
                <w:color w:val="000000"/>
                <w:sz w:val="18"/>
                <w:szCs w:val="18"/>
              </w:rPr>
            </w:pPr>
            <w:r>
              <w:rPr>
                <w:rFonts w:cs="Arial"/>
                <w:color w:val="000000"/>
                <w:sz w:val="18"/>
                <w:szCs w:val="18"/>
              </w:rPr>
              <w:t>Discrete</w:t>
            </w:r>
          </w:p>
        </w:tc>
        <w:tc>
          <w:tcPr>
            <w:tcW w:w="529" w:type="pct"/>
            <w:shd w:val="clear" w:color="auto" w:fill="auto"/>
            <w:noWrap/>
            <w:vAlign w:val="center"/>
            <w:hideMark/>
          </w:tcPr>
          <w:p w:rsidRPr="00AA71CE" w:rsidR="00D520BD" w:rsidP="00F20F80" w:rsidRDefault="00301F7E" w14:paraId="220A4BEF" w14:textId="12A3F907">
            <w:pPr>
              <w:autoSpaceDE/>
              <w:autoSpaceDN/>
              <w:adjustRightInd/>
              <w:jc w:val="center"/>
              <w:rPr>
                <w:rFonts w:cs="Arial"/>
                <w:color w:val="000000"/>
                <w:sz w:val="18"/>
                <w:szCs w:val="18"/>
              </w:rPr>
            </w:pPr>
            <w:r>
              <w:rPr>
                <w:rFonts w:cs="Arial"/>
                <w:color w:val="000000"/>
                <w:sz w:val="18"/>
                <w:szCs w:val="18"/>
              </w:rPr>
              <w:t>0</w:t>
            </w:r>
          </w:p>
        </w:tc>
        <w:tc>
          <w:tcPr>
            <w:tcW w:w="529" w:type="pct"/>
            <w:shd w:val="clear" w:color="auto" w:fill="auto"/>
            <w:noWrap/>
            <w:vAlign w:val="center"/>
            <w:hideMark/>
          </w:tcPr>
          <w:p w:rsidRPr="00AA71CE" w:rsidR="00D520BD" w:rsidP="00F20F80" w:rsidRDefault="00301F7E" w14:paraId="000FD55D" w14:textId="71597B69">
            <w:pPr>
              <w:autoSpaceDE/>
              <w:autoSpaceDN/>
              <w:adjustRightInd/>
              <w:jc w:val="center"/>
              <w:rPr>
                <w:rFonts w:cs="Arial"/>
                <w:color w:val="000000"/>
                <w:sz w:val="18"/>
                <w:szCs w:val="18"/>
              </w:rPr>
            </w:pPr>
            <w:r>
              <w:rPr>
                <w:rFonts w:cs="Arial"/>
                <w:color w:val="000000"/>
                <w:sz w:val="18"/>
                <w:szCs w:val="18"/>
              </w:rPr>
              <w:t>3</w:t>
            </w:r>
          </w:p>
        </w:tc>
        <w:tc>
          <w:tcPr>
            <w:tcW w:w="625" w:type="pct"/>
            <w:shd w:val="clear" w:color="auto" w:fill="auto"/>
            <w:noWrap/>
            <w:vAlign w:val="center"/>
            <w:hideMark/>
          </w:tcPr>
          <w:p w:rsidRPr="00AA71CE" w:rsidR="00D520BD" w:rsidP="00F20F80" w:rsidRDefault="00301F7E" w14:paraId="7A78F379" w14:textId="09108EB6">
            <w:pPr>
              <w:autoSpaceDE/>
              <w:autoSpaceDN/>
              <w:adjustRightInd/>
              <w:jc w:val="center"/>
              <w:rPr>
                <w:rFonts w:cs="Arial"/>
                <w:color w:val="000000"/>
                <w:sz w:val="18"/>
                <w:szCs w:val="18"/>
              </w:rPr>
            </w:pPr>
            <w:r>
              <w:rPr>
                <w:rFonts w:cs="Arial"/>
                <w:color w:val="000000"/>
                <w:sz w:val="18"/>
                <w:szCs w:val="18"/>
              </w:rPr>
              <w:t>3</w:t>
            </w:r>
          </w:p>
        </w:tc>
      </w:tr>
      <w:tr w:rsidRPr="009F5B80" w:rsidR="00F20F80" w:rsidTr="00DF6AD4" w14:paraId="05BF2E0D" w14:textId="77777777">
        <w:trPr>
          <w:trHeight w:val="350"/>
        </w:trPr>
        <w:tc>
          <w:tcPr>
            <w:tcW w:w="2595" w:type="pct"/>
            <w:shd w:val="clear" w:color="auto" w:fill="auto"/>
            <w:noWrap/>
            <w:tcMar>
              <w:left w:w="216" w:type="dxa"/>
              <w:right w:w="115" w:type="dxa"/>
            </w:tcMar>
            <w:vAlign w:val="center"/>
          </w:tcPr>
          <w:p w:rsidRPr="00AA71CE" w:rsidR="00F20F80" w:rsidP="00F20F80" w:rsidRDefault="00F20F80" w14:paraId="25982B74" w14:textId="65C5C6A4">
            <w:pPr>
              <w:autoSpaceDE/>
              <w:autoSpaceDN/>
              <w:adjustRightInd/>
              <w:rPr>
                <w:rFonts w:cs="Arial"/>
                <w:color w:val="000000"/>
                <w:sz w:val="18"/>
                <w:szCs w:val="18"/>
              </w:rPr>
            </w:pPr>
            <w:r w:rsidRPr="00F20F80">
              <w:rPr>
                <w:rFonts w:cs="Arial"/>
                <w:color w:val="000000"/>
                <w:sz w:val="18"/>
                <w:szCs w:val="18"/>
              </w:rPr>
              <w:t>Number of sites only using an HHS-certified laboratory</w:t>
            </w:r>
          </w:p>
        </w:tc>
        <w:tc>
          <w:tcPr>
            <w:tcW w:w="722" w:type="pct"/>
            <w:shd w:val="clear" w:color="auto" w:fill="auto"/>
            <w:noWrap/>
            <w:vAlign w:val="center"/>
          </w:tcPr>
          <w:p w:rsidR="00F20F80" w:rsidP="00F20F80" w:rsidRDefault="006538B0" w14:paraId="59C7C792" w14:textId="0526BECE">
            <w:pPr>
              <w:autoSpaceDE/>
              <w:autoSpaceDN/>
              <w:adjustRightInd/>
              <w:jc w:val="center"/>
              <w:rPr>
                <w:rFonts w:cs="Arial"/>
                <w:color w:val="000000"/>
                <w:sz w:val="18"/>
                <w:szCs w:val="18"/>
              </w:rPr>
            </w:pPr>
            <w:r>
              <w:rPr>
                <w:rFonts w:cs="Arial"/>
                <w:color w:val="000000"/>
                <w:sz w:val="18"/>
                <w:szCs w:val="18"/>
              </w:rPr>
              <w:t>Discrete</w:t>
            </w:r>
          </w:p>
        </w:tc>
        <w:tc>
          <w:tcPr>
            <w:tcW w:w="529" w:type="pct"/>
            <w:shd w:val="clear" w:color="auto" w:fill="auto"/>
            <w:noWrap/>
            <w:vAlign w:val="center"/>
          </w:tcPr>
          <w:p w:rsidR="00F20F80" w:rsidP="00F20F80" w:rsidRDefault="000E232D" w14:paraId="60402259" w14:textId="507AE237">
            <w:pPr>
              <w:autoSpaceDE/>
              <w:autoSpaceDN/>
              <w:adjustRightInd/>
              <w:jc w:val="center"/>
              <w:rPr>
                <w:rFonts w:cs="Arial"/>
                <w:color w:val="000000"/>
                <w:sz w:val="18"/>
                <w:szCs w:val="18"/>
              </w:rPr>
            </w:pPr>
            <w:r>
              <w:rPr>
                <w:rFonts w:cs="Arial"/>
                <w:color w:val="000000"/>
                <w:sz w:val="18"/>
                <w:szCs w:val="18"/>
              </w:rPr>
              <w:t>56</w:t>
            </w:r>
          </w:p>
        </w:tc>
        <w:tc>
          <w:tcPr>
            <w:tcW w:w="529" w:type="pct"/>
            <w:shd w:val="clear" w:color="auto" w:fill="auto"/>
            <w:noWrap/>
            <w:vAlign w:val="center"/>
          </w:tcPr>
          <w:p w:rsidR="00F20F80" w:rsidP="00F20F80" w:rsidRDefault="000E232D" w14:paraId="1772A945" w14:textId="1B9D8B11">
            <w:pPr>
              <w:autoSpaceDE/>
              <w:autoSpaceDN/>
              <w:adjustRightInd/>
              <w:jc w:val="center"/>
              <w:rPr>
                <w:rFonts w:cs="Arial"/>
                <w:color w:val="000000"/>
                <w:sz w:val="18"/>
                <w:szCs w:val="18"/>
              </w:rPr>
            </w:pPr>
            <w:r>
              <w:rPr>
                <w:rFonts w:cs="Arial"/>
                <w:color w:val="000000"/>
                <w:sz w:val="18"/>
                <w:szCs w:val="18"/>
              </w:rPr>
              <w:t>56</w:t>
            </w:r>
          </w:p>
        </w:tc>
        <w:tc>
          <w:tcPr>
            <w:tcW w:w="625" w:type="pct"/>
            <w:shd w:val="clear" w:color="auto" w:fill="auto"/>
            <w:noWrap/>
            <w:vAlign w:val="center"/>
          </w:tcPr>
          <w:p w:rsidR="00F20F80" w:rsidP="00F20F80" w:rsidRDefault="000E232D" w14:paraId="24D475FD" w14:textId="66F6175B">
            <w:pPr>
              <w:autoSpaceDE/>
              <w:autoSpaceDN/>
              <w:adjustRightInd/>
              <w:jc w:val="center"/>
              <w:rPr>
                <w:rFonts w:cs="Arial"/>
                <w:color w:val="000000"/>
                <w:sz w:val="18"/>
                <w:szCs w:val="18"/>
              </w:rPr>
            </w:pPr>
            <w:r>
              <w:rPr>
                <w:rFonts w:cs="Arial"/>
                <w:color w:val="000000"/>
                <w:sz w:val="18"/>
                <w:szCs w:val="18"/>
              </w:rPr>
              <w:t>59</w:t>
            </w:r>
          </w:p>
        </w:tc>
      </w:tr>
      <w:tr w:rsidRPr="00727ABC" w:rsidR="00D520BD" w:rsidTr="00982BD1" w14:paraId="0C6263B2" w14:textId="77777777">
        <w:trPr>
          <w:trHeight w:val="288"/>
        </w:trPr>
        <w:tc>
          <w:tcPr>
            <w:tcW w:w="5000" w:type="pct"/>
            <w:gridSpan w:val="5"/>
            <w:shd w:val="clear" w:color="auto" w:fill="D9D9D9" w:themeFill="background1" w:themeFillShade="D9"/>
            <w:tcMar>
              <w:left w:w="216" w:type="dxa"/>
              <w:right w:w="115" w:type="dxa"/>
            </w:tcMar>
            <w:vAlign w:val="center"/>
          </w:tcPr>
          <w:p w:rsidRPr="006C4FE2" w:rsidR="00D520BD" w:rsidDel="007F7004" w:rsidP="00F20F80" w:rsidRDefault="00D520BD" w14:paraId="565EC2C2" w14:textId="77777777">
            <w:pPr>
              <w:autoSpaceDE/>
              <w:autoSpaceDN/>
              <w:adjustRightInd/>
              <w:ind w:hanging="130"/>
              <w:rPr>
                <w:rFonts w:cs="Arial"/>
                <w:b/>
                <w:bCs/>
                <w:color w:val="000000"/>
                <w:sz w:val="18"/>
                <w:szCs w:val="18"/>
              </w:rPr>
            </w:pPr>
            <w:r w:rsidRPr="006C4FE2">
              <w:rPr>
                <w:rFonts w:cs="Arial"/>
                <w:b/>
                <w:bCs/>
                <w:color w:val="000000"/>
                <w:sz w:val="18"/>
                <w:szCs w:val="18"/>
              </w:rPr>
              <w:t>NRC FFD Program Data</w:t>
            </w:r>
          </w:p>
        </w:tc>
      </w:tr>
      <w:tr w:rsidRPr="00986CA7" w:rsidR="00D46E18" w:rsidTr="00DF6AD4" w14:paraId="34CF90D3" w14:textId="77777777">
        <w:trPr>
          <w:trHeight w:val="368"/>
        </w:trPr>
        <w:tc>
          <w:tcPr>
            <w:tcW w:w="2595" w:type="pct"/>
            <w:shd w:val="clear" w:color="auto" w:fill="auto"/>
            <w:noWrap/>
            <w:tcMar>
              <w:left w:w="216" w:type="dxa"/>
              <w:right w:w="115" w:type="dxa"/>
            </w:tcMar>
            <w:vAlign w:val="center"/>
            <w:hideMark/>
          </w:tcPr>
          <w:p w:rsidR="00F57C85" w:rsidP="00D46E18" w:rsidRDefault="00D46E18" w14:paraId="6723256B" w14:textId="77777777">
            <w:pPr>
              <w:autoSpaceDE/>
              <w:autoSpaceDN/>
              <w:adjustRightInd/>
              <w:rPr>
                <w:rFonts w:cs="Arial"/>
                <w:color w:val="000000"/>
                <w:sz w:val="18"/>
                <w:szCs w:val="18"/>
              </w:rPr>
            </w:pPr>
            <w:r w:rsidRPr="00986CA7">
              <w:rPr>
                <w:rFonts w:cs="Arial"/>
                <w:color w:val="000000"/>
                <w:sz w:val="18"/>
                <w:szCs w:val="18"/>
              </w:rPr>
              <w:t xml:space="preserve">Number of workers subject to a 10 CFR Part 26 </w:t>
            </w:r>
          </w:p>
          <w:p w:rsidRPr="00986CA7" w:rsidR="00D46E18" w:rsidP="00D46E18" w:rsidRDefault="00D46E18" w14:paraId="359767A0" w14:textId="3F70D834">
            <w:pPr>
              <w:autoSpaceDE/>
              <w:autoSpaceDN/>
              <w:adjustRightInd/>
              <w:rPr>
                <w:rFonts w:cs="Arial"/>
                <w:color w:val="000000"/>
                <w:sz w:val="18"/>
                <w:szCs w:val="18"/>
              </w:rPr>
            </w:pPr>
            <w:r w:rsidRPr="00986CA7">
              <w:rPr>
                <w:rFonts w:cs="Arial"/>
                <w:color w:val="000000"/>
                <w:sz w:val="18"/>
                <w:szCs w:val="18"/>
              </w:rPr>
              <w:t>FFD program</w:t>
            </w:r>
          </w:p>
        </w:tc>
        <w:tc>
          <w:tcPr>
            <w:tcW w:w="722" w:type="pct"/>
            <w:shd w:val="clear" w:color="auto" w:fill="auto"/>
            <w:noWrap/>
            <w:vAlign w:val="center"/>
            <w:hideMark/>
          </w:tcPr>
          <w:p w:rsidRPr="00986CA7" w:rsidR="00D46E18" w:rsidP="00D46E18" w:rsidRDefault="00D46E18" w14:paraId="0C6F354D" w14:textId="77777777">
            <w:pPr>
              <w:autoSpaceDE/>
              <w:autoSpaceDN/>
              <w:adjustRightInd/>
              <w:jc w:val="center"/>
              <w:rPr>
                <w:rFonts w:cs="Arial"/>
                <w:color w:val="000000"/>
                <w:sz w:val="18"/>
                <w:szCs w:val="18"/>
              </w:rPr>
            </w:pPr>
            <w:r w:rsidRPr="00986CA7">
              <w:rPr>
                <w:rFonts w:cs="Arial"/>
                <w:color w:val="000000"/>
                <w:sz w:val="18"/>
                <w:szCs w:val="18"/>
              </w:rPr>
              <w:t>PERT</w:t>
            </w:r>
          </w:p>
        </w:tc>
        <w:tc>
          <w:tcPr>
            <w:tcW w:w="529" w:type="pct"/>
            <w:shd w:val="clear" w:color="auto" w:fill="auto"/>
            <w:noWrap/>
            <w:vAlign w:val="center"/>
          </w:tcPr>
          <w:p w:rsidRPr="00986CA7" w:rsidR="00D46E18" w:rsidP="00D46E18" w:rsidRDefault="00D46E18" w14:paraId="215C8C16" w14:textId="7AD86BB8">
            <w:pPr>
              <w:autoSpaceDE/>
              <w:autoSpaceDN/>
              <w:adjustRightInd/>
              <w:jc w:val="center"/>
              <w:rPr>
                <w:rFonts w:cs="Arial"/>
                <w:color w:val="000000"/>
                <w:sz w:val="18"/>
                <w:szCs w:val="18"/>
              </w:rPr>
            </w:pPr>
            <w:r w:rsidRPr="00986CA7">
              <w:rPr>
                <w:sz w:val="18"/>
                <w:szCs w:val="18"/>
              </w:rPr>
              <w:t>77,020</w:t>
            </w:r>
          </w:p>
        </w:tc>
        <w:tc>
          <w:tcPr>
            <w:tcW w:w="529" w:type="pct"/>
            <w:shd w:val="clear" w:color="auto" w:fill="auto"/>
            <w:noWrap/>
            <w:vAlign w:val="center"/>
          </w:tcPr>
          <w:p w:rsidRPr="00986CA7" w:rsidR="00D46E18" w:rsidP="00D46E18" w:rsidRDefault="00D46E18" w14:paraId="7676FBE9" w14:textId="5BA96395">
            <w:pPr>
              <w:autoSpaceDE/>
              <w:autoSpaceDN/>
              <w:adjustRightInd/>
              <w:jc w:val="center"/>
              <w:rPr>
                <w:rFonts w:cs="Arial"/>
                <w:color w:val="000000"/>
                <w:sz w:val="18"/>
                <w:szCs w:val="18"/>
              </w:rPr>
            </w:pPr>
            <w:r w:rsidRPr="00986CA7">
              <w:rPr>
                <w:sz w:val="18"/>
                <w:szCs w:val="18"/>
              </w:rPr>
              <w:t>93,187</w:t>
            </w:r>
          </w:p>
        </w:tc>
        <w:tc>
          <w:tcPr>
            <w:tcW w:w="625" w:type="pct"/>
            <w:shd w:val="clear" w:color="auto" w:fill="auto"/>
            <w:noWrap/>
            <w:vAlign w:val="center"/>
          </w:tcPr>
          <w:p w:rsidRPr="00986CA7" w:rsidR="00D46E18" w:rsidP="00D46E18" w:rsidRDefault="00D46E18" w14:paraId="4DAB0444" w14:textId="0C5E4125">
            <w:pPr>
              <w:autoSpaceDE/>
              <w:autoSpaceDN/>
              <w:adjustRightInd/>
              <w:jc w:val="center"/>
              <w:rPr>
                <w:rFonts w:cs="Arial"/>
                <w:color w:val="000000"/>
                <w:sz w:val="18"/>
                <w:szCs w:val="18"/>
              </w:rPr>
            </w:pPr>
            <w:r w:rsidRPr="00986CA7">
              <w:rPr>
                <w:sz w:val="18"/>
                <w:szCs w:val="18"/>
              </w:rPr>
              <w:t>104,370</w:t>
            </w:r>
          </w:p>
        </w:tc>
      </w:tr>
      <w:tr w:rsidRPr="00986CA7" w:rsidR="00862F80" w:rsidTr="00DF6AD4" w14:paraId="3CE85961" w14:textId="77777777">
        <w:trPr>
          <w:trHeight w:val="288"/>
        </w:trPr>
        <w:tc>
          <w:tcPr>
            <w:tcW w:w="2595" w:type="pct"/>
            <w:shd w:val="clear" w:color="auto" w:fill="auto"/>
            <w:noWrap/>
            <w:tcMar>
              <w:left w:w="216" w:type="dxa"/>
              <w:right w:w="115" w:type="dxa"/>
            </w:tcMar>
            <w:vAlign w:val="center"/>
            <w:hideMark/>
          </w:tcPr>
          <w:p w:rsidRPr="00986CA7" w:rsidR="00862F80" w:rsidP="00862F80" w:rsidRDefault="00862F80" w14:paraId="19F3CC9D" w14:textId="77777777">
            <w:pPr>
              <w:widowControl w:val="0"/>
              <w:autoSpaceDE/>
              <w:autoSpaceDN/>
              <w:adjustRightInd/>
              <w:rPr>
                <w:rFonts w:cs="Arial"/>
                <w:color w:val="000000"/>
                <w:sz w:val="18"/>
                <w:szCs w:val="18"/>
              </w:rPr>
            </w:pPr>
            <w:r w:rsidRPr="00986CA7">
              <w:rPr>
                <w:rFonts w:cs="Arial"/>
                <w:color w:val="000000"/>
                <w:sz w:val="18"/>
                <w:szCs w:val="18"/>
              </w:rPr>
              <w:t>Number of drug tests conducted per year under 10 CFR Part 26</w:t>
            </w:r>
          </w:p>
        </w:tc>
        <w:tc>
          <w:tcPr>
            <w:tcW w:w="722" w:type="pct"/>
            <w:shd w:val="clear" w:color="auto" w:fill="auto"/>
            <w:noWrap/>
            <w:vAlign w:val="center"/>
            <w:hideMark/>
          </w:tcPr>
          <w:p w:rsidRPr="00986CA7" w:rsidR="00862F80" w:rsidP="00862F80" w:rsidRDefault="00862F80" w14:paraId="38FD7455" w14:textId="77777777">
            <w:pPr>
              <w:keepNext/>
              <w:keepLines/>
              <w:autoSpaceDE/>
              <w:autoSpaceDN/>
              <w:adjustRightInd/>
              <w:jc w:val="center"/>
              <w:rPr>
                <w:rFonts w:cs="Arial"/>
                <w:color w:val="000000"/>
                <w:sz w:val="18"/>
                <w:szCs w:val="18"/>
              </w:rPr>
            </w:pPr>
            <w:r w:rsidRPr="00986CA7">
              <w:rPr>
                <w:rFonts w:cs="Arial"/>
                <w:color w:val="000000"/>
                <w:sz w:val="18"/>
                <w:szCs w:val="18"/>
              </w:rPr>
              <w:t>PERT</w:t>
            </w:r>
          </w:p>
        </w:tc>
        <w:tc>
          <w:tcPr>
            <w:tcW w:w="529" w:type="pct"/>
            <w:shd w:val="clear" w:color="auto" w:fill="auto"/>
            <w:noWrap/>
            <w:vAlign w:val="center"/>
            <w:hideMark/>
          </w:tcPr>
          <w:p w:rsidRPr="00986CA7" w:rsidR="00862F80" w:rsidP="00862F80" w:rsidRDefault="00862F80" w14:paraId="6E64BDCA" w14:textId="117BEDE6">
            <w:pPr>
              <w:keepNext/>
              <w:keepLines/>
              <w:autoSpaceDE/>
              <w:autoSpaceDN/>
              <w:adjustRightInd/>
              <w:jc w:val="center"/>
              <w:rPr>
                <w:rFonts w:cs="Arial"/>
                <w:color w:val="000000"/>
                <w:sz w:val="18"/>
                <w:szCs w:val="18"/>
              </w:rPr>
            </w:pPr>
            <w:r w:rsidRPr="00986CA7">
              <w:rPr>
                <w:sz w:val="18"/>
                <w:szCs w:val="18"/>
              </w:rPr>
              <w:t>107,786</w:t>
            </w:r>
          </w:p>
        </w:tc>
        <w:tc>
          <w:tcPr>
            <w:tcW w:w="529" w:type="pct"/>
            <w:shd w:val="clear" w:color="auto" w:fill="auto"/>
            <w:noWrap/>
            <w:vAlign w:val="center"/>
            <w:hideMark/>
          </w:tcPr>
          <w:p w:rsidRPr="00986CA7" w:rsidR="00862F80" w:rsidP="00862F80" w:rsidRDefault="00862F80" w14:paraId="29D1D137" w14:textId="06575E67">
            <w:pPr>
              <w:keepNext/>
              <w:keepLines/>
              <w:autoSpaceDE/>
              <w:autoSpaceDN/>
              <w:adjustRightInd/>
              <w:jc w:val="center"/>
              <w:rPr>
                <w:rFonts w:cs="Arial"/>
                <w:color w:val="000000"/>
                <w:sz w:val="18"/>
                <w:szCs w:val="18"/>
              </w:rPr>
            </w:pPr>
            <w:r w:rsidRPr="00986CA7">
              <w:rPr>
                <w:sz w:val="18"/>
                <w:szCs w:val="18"/>
              </w:rPr>
              <w:t>134,399</w:t>
            </w:r>
          </w:p>
        </w:tc>
        <w:tc>
          <w:tcPr>
            <w:tcW w:w="625" w:type="pct"/>
            <w:shd w:val="clear" w:color="auto" w:fill="auto"/>
            <w:noWrap/>
            <w:vAlign w:val="center"/>
            <w:hideMark/>
          </w:tcPr>
          <w:p w:rsidRPr="00986CA7" w:rsidR="00862F80" w:rsidP="00862F80" w:rsidRDefault="00862F80" w14:paraId="7153F4EF" w14:textId="3D6CB6A2">
            <w:pPr>
              <w:keepNext/>
              <w:keepLines/>
              <w:autoSpaceDE/>
              <w:autoSpaceDN/>
              <w:adjustRightInd/>
              <w:jc w:val="center"/>
              <w:rPr>
                <w:rFonts w:cs="Arial"/>
                <w:color w:val="000000"/>
                <w:sz w:val="18"/>
                <w:szCs w:val="18"/>
              </w:rPr>
            </w:pPr>
            <w:r w:rsidRPr="00986CA7">
              <w:rPr>
                <w:sz w:val="18"/>
                <w:szCs w:val="18"/>
              </w:rPr>
              <w:t>153,461</w:t>
            </w:r>
          </w:p>
        </w:tc>
      </w:tr>
      <w:tr w:rsidRPr="00986CA7" w:rsidR="00986CA7" w:rsidTr="00463EF5" w14:paraId="0622B2C0" w14:textId="77777777">
        <w:trPr>
          <w:trHeight w:val="665"/>
        </w:trPr>
        <w:tc>
          <w:tcPr>
            <w:tcW w:w="2595" w:type="pct"/>
            <w:tcBorders>
              <w:bottom w:val="single" w:color="auto" w:sz="4" w:space="0"/>
            </w:tcBorders>
            <w:shd w:val="clear" w:color="auto" w:fill="auto"/>
            <w:noWrap/>
            <w:tcMar>
              <w:left w:w="216" w:type="dxa"/>
              <w:right w:w="115" w:type="dxa"/>
            </w:tcMar>
            <w:vAlign w:val="center"/>
          </w:tcPr>
          <w:p w:rsidRPr="00986CA7" w:rsidR="00986CA7" w:rsidP="00986CA7" w:rsidRDefault="00986CA7" w14:paraId="38B9AF16" w14:textId="7F15F23D">
            <w:pPr>
              <w:widowControl w:val="0"/>
              <w:autoSpaceDE/>
              <w:autoSpaceDN/>
              <w:adjustRightInd/>
              <w:rPr>
                <w:rFonts w:cs="Arial"/>
                <w:color w:val="000000"/>
                <w:sz w:val="18"/>
                <w:szCs w:val="18"/>
              </w:rPr>
            </w:pPr>
            <w:r w:rsidRPr="00986CA7">
              <w:rPr>
                <w:sz w:val="18"/>
                <w:szCs w:val="18"/>
              </w:rPr>
              <w:t>Average percentage of total positive, adulterated, substituted, and refusal to test results occurring at pre</w:t>
            </w:r>
            <w:r w:rsidRPr="00986CA7">
              <w:rPr>
                <w:sz w:val="18"/>
                <w:szCs w:val="18"/>
              </w:rPr>
              <w:noBreakHyphen/>
              <w:t>access testing</w:t>
            </w:r>
          </w:p>
        </w:tc>
        <w:tc>
          <w:tcPr>
            <w:tcW w:w="722" w:type="pct"/>
            <w:tcBorders>
              <w:bottom w:val="single" w:color="auto" w:sz="4" w:space="0"/>
            </w:tcBorders>
            <w:shd w:val="clear" w:color="auto" w:fill="auto"/>
            <w:noWrap/>
            <w:vAlign w:val="center"/>
          </w:tcPr>
          <w:p w:rsidRPr="00986CA7" w:rsidR="00986CA7" w:rsidP="00986CA7" w:rsidRDefault="00986CA7" w14:paraId="467EB875" w14:textId="77777777">
            <w:pPr>
              <w:keepNext/>
              <w:keepLines/>
              <w:autoSpaceDE/>
              <w:autoSpaceDN/>
              <w:adjustRightInd/>
              <w:jc w:val="center"/>
              <w:rPr>
                <w:rFonts w:cs="Arial"/>
                <w:color w:val="000000"/>
                <w:sz w:val="18"/>
                <w:szCs w:val="18"/>
              </w:rPr>
            </w:pPr>
            <w:r w:rsidRPr="00986CA7">
              <w:rPr>
                <w:rFonts w:cs="Arial"/>
                <w:color w:val="000000"/>
                <w:sz w:val="18"/>
                <w:szCs w:val="18"/>
              </w:rPr>
              <w:t>PERT</w:t>
            </w:r>
          </w:p>
        </w:tc>
        <w:tc>
          <w:tcPr>
            <w:tcW w:w="529" w:type="pct"/>
            <w:tcBorders>
              <w:bottom w:val="single" w:color="auto" w:sz="4" w:space="0"/>
            </w:tcBorders>
            <w:shd w:val="clear" w:color="auto" w:fill="auto"/>
            <w:noWrap/>
            <w:vAlign w:val="center"/>
          </w:tcPr>
          <w:p w:rsidRPr="00986CA7" w:rsidR="00986CA7" w:rsidP="00986CA7" w:rsidRDefault="00986CA7" w14:paraId="067735B4" w14:textId="3FC7A23C">
            <w:pPr>
              <w:keepNext/>
              <w:keepLines/>
              <w:autoSpaceDE/>
              <w:autoSpaceDN/>
              <w:adjustRightInd/>
              <w:jc w:val="center"/>
              <w:rPr>
                <w:rFonts w:cs="Arial"/>
                <w:color w:val="000000"/>
                <w:sz w:val="18"/>
                <w:szCs w:val="18"/>
              </w:rPr>
            </w:pPr>
            <w:r w:rsidRPr="00986CA7">
              <w:rPr>
                <w:sz w:val="18"/>
                <w:szCs w:val="18"/>
              </w:rPr>
              <w:t>64.4%</w:t>
            </w:r>
          </w:p>
        </w:tc>
        <w:tc>
          <w:tcPr>
            <w:tcW w:w="529" w:type="pct"/>
            <w:tcBorders>
              <w:bottom w:val="single" w:color="auto" w:sz="4" w:space="0"/>
            </w:tcBorders>
            <w:shd w:val="clear" w:color="auto" w:fill="auto"/>
            <w:noWrap/>
            <w:vAlign w:val="center"/>
          </w:tcPr>
          <w:p w:rsidRPr="00986CA7" w:rsidR="00986CA7" w:rsidP="00986CA7" w:rsidRDefault="00986CA7" w14:paraId="2653DBA9" w14:textId="68A7A1C0">
            <w:pPr>
              <w:keepNext/>
              <w:keepLines/>
              <w:autoSpaceDE/>
              <w:autoSpaceDN/>
              <w:adjustRightInd/>
              <w:jc w:val="center"/>
              <w:rPr>
                <w:rFonts w:cs="Arial"/>
                <w:color w:val="000000"/>
                <w:sz w:val="18"/>
                <w:szCs w:val="18"/>
              </w:rPr>
            </w:pPr>
            <w:r w:rsidRPr="00986CA7">
              <w:rPr>
                <w:sz w:val="18"/>
                <w:szCs w:val="18"/>
              </w:rPr>
              <w:t>67.2%</w:t>
            </w:r>
          </w:p>
        </w:tc>
        <w:tc>
          <w:tcPr>
            <w:tcW w:w="625" w:type="pct"/>
            <w:tcBorders>
              <w:bottom w:val="single" w:color="auto" w:sz="4" w:space="0"/>
            </w:tcBorders>
            <w:shd w:val="clear" w:color="auto" w:fill="auto"/>
            <w:noWrap/>
            <w:vAlign w:val="center"/>
          </w:tcPr>
          <w:p w:rsidRPr="00986CA7" w:rsidR="00986CA7" w:rsidP="00986CA7" w:rsidRDefault="00986CA7" w14:paraId="7A1EAEBE" w14:textId="01F5274F">
            <w:pPr>
              <w:keepNext/>
              <w:keepLines/>
              <w:autoSpaceDE/>
              <w:autoSpaceDN/>
              <w:adjustRightInd/>
              <w:jc w:val="center"/>
              <w:rPr>
                <w:rFonts w:cs="Arial"/>
                <w:color w:val="000000"/>
                <w:sz w:val="18"/>
                <w:szCs w:val="18"/>
              </w:rPr>
            </w:pPr>
            <w:r w:rsidRPr="00986CA7">
              <w:rPr>
                <w:sz w:val="18"/>
                <w:szCs w:val="18"/>
              </w:rPr>
              <w:t>69.6%</w:t>
            </w:r>
          </w:p>
        </w:tc>
      </w:tr>
      <w:tr w:rsidRPr="009F5B80" w:rsidR="00D520BD" w:rsidTr="00982BD1" w14:paraId="5FA72404" w14:textId="77777777">
        <w:trPr>
          <w:trHeight w:val="288"/>
        </w:trPr>
        <w:tc>
          <w:tcPr>
            <w:tcW w:w="5000" w:type="pct"/>
            <w:gridSpan w:val="5"/>
            <w:shd w:val="clear" w:color="auto" w:fill="D9D9D9" w:themeFill="background1" w:themeFillShade="D9"/>
            <w:noWrap/>
            <w:tcMar>
              <w:left w:w="216" w:type="dxa"/>
              <w:right w:w="115" w:type="dxa"/>
            </w:tcMar>
            <w:vAlign w:val="center"/>
          </w:tcPr>
          <w:p w:rsidRPr="002234F6" w:rsidR="00D520BD" w:rsidP="00F20F80" w:rsidRDefault="00D520BD" w14:paraId="7C302FCF" w14:textId="3A93117B">
            <w:pPr>
              <w:autoSpaceDE/>
              <w:autoSpaceDN/>
              <w:adjustRightInd/>
              <w:ind w:hanging="136"/>
              <w:rPr>
                <w:rFonts w:cs="Arial"/>
                <w:b/>
                <w:bCs/>
                <w:color w:val="000000"/>
                <w:sz w:val="18"/>
                <w:szCs w:val="18"/>
              </w:rPr>
            </w:pPr>
            <w:r w:rsidRPr="002234F6">
              <w:rPr>
                <w:rFonts w:cs="Arial"/>
                <w:b/>
                <w:bCs/>
                <w:color w:val="000000"/>
                <w:sz w:val="18"/>
                <w:szCs w:val="18"/>
              </w:rPr>
              <w:t>Hourly Wage Rates</w:t>
            </w:r>
            <w:r>
              <w:rPr>
                <w:rFonts w:cs="Arial"/>
                <w:b/>
                <w:bCs/>
                <w:color w:val="000000"/>
                <w:sz w:val="18"/>
                <w:szCs w:val="18"/>
              </w:rPr>
              <w:t xml:space="preserve"> (</w:t>
            </w:r>
            <w:r w:rsidR="009B72F4">
              <w:rPr>
                <w:rFonts w:cs="Arial"/>
                <w:b/>
                <w:bCs/>
                <w:color w:val="000000"/>
                <w:sz w:val="18"/>
                <w:szCs w:val="18"/>
              </w:rPr>
              <w:t>D</w:t>
            </w:r>
            <w:r>
              <w:rPr>
                <w:rFonts w:cs="Arial"/>
                <w:b/>
                <w:bCs/>
                <w:color w:val="000000"/>
                <w:sz w:val="18"/>
                <w:szCs w:val="18"/>
              </w:rPr>
              <w:t xml:space="preserve">ollars per </w:t>
            </w:r>
            <w:r w:rsidR="009B72F4">
              <w:rPr>
                <w:rFonts w:cs="Arial"/>
                <w:b/>
                <w:bCs/>
                <w:color w:val="000000"/>
                <w:sz w:val="18"/>
                <w:szCs w:val="18"/>
              </w:rPr>
              <w:t>H</w:t>
            </w:r>
            <w:r>
              <w:rPr>
                <w:rFonts w:cs="Arial"/>
                <w:b/>
                <w:bCs/>
                <w:color w:val="000000"/>
                <w:sz w:val="18"/>
                <w:szCs w:val="18"/>
              </w:rPr>
              <w:t>our)</w:t>
            </w:r>
          </w:p>
        </w:tc>
      </w:tr>
      <w:tr w:rsidRPr="009F5B80" w:rsidR="00E31E77" w:rsidTr="00DF6AD4" w14:paraId="1ED7F80F" w14:textId="77777777">
        <w:trPr>
          <w:trHeight w:val="288"/>
        </w:trPr>
        <w:tc>
          <w:tcPr>
            <w:tcW w:w="2595" w:type="pct"/>
            <w:tcBorders>
              <w:top w:val="single" w:color="auto" w:sz="4" w:space="0"/>
              <w:left w:val="single" w:color="auto" w:sz="4" w:space="0"/>
              <w:bottom w:val="single" w:color="auto" w:sz="4" w:space="0"/>
              <w:right w:val="single" w:color="auto" w:sz="4" w:space="0"/>
            </w:tcBorders>
            <w:shd w:val="clear" w:color="000000" w:fill="FFFFFF"/>
            <w:noWrap/>
            <w:tcMar>
              <w:left w:w="216" w:type="dxa"/>
              <w:right w:w="115" w:type="dxa"/>
            </w:tcMar>
            <w:vAlign w:val="center"/>
          </w:tcPr>
          <w:p w:rsidRPr="002234F6" w:rsidR="00E31E77" w:rsidP="00E31E77" w:rsidRDefault="00E31E77" w14:paraId="2A1D8532" w14:textId="77777777">
            <w:pPr>
              <w:autoSpaceDE/>
              <w:autoSpaceDN/>
              <w:adjustRightInd/>
              <w:rPr>
                <w:rFonts w:cs="Arial"/>
                <w:color w:val="000000"/>
                <w:sz w:val="18"/>
                <w:szCs w:val="18"/>
              </w:rPr>
            </w:pPr>
            <w:r w:rsidRPr="002234F6">
              <w:rPr>
                <w:rFonts w:cs="Arial"/>
                <w:sz w:val="18"/>
              </w:rPr>
              <w:t>Clerical</w:t>
            </w:r>
          </w:p>
        </w:tc>
        <w:tc>
          <w:tcPr>
            <w:tcW w:w="722" w:type="pct"/>
            <w:shd w:val="clear" w:color="auto" w:fill="auto"/>
            <w:noWrap/>
            <w:vAlign w:val="center"/>
          </w:tcPr>
          <w:p w:rsidR="00E31E77" w:rsidDel="00AA4B9F" w:rsidP="00E31E77" w:rsidRDefault="00E31E77" w14:paraId="498B9D8A" w14:textId="77777777">
            <w:pPr>
              <w:autoSpaceDE/>
              <w:autoSpaceDN/>
              <w:adjustRightInd/>
              <w:jc w:val="center"/>
              <w:rPr>
                <w:rFonts w:cs="Arial"/>
                <w:color w:val="000000"/>
                <w:sz w:val="18"/>
                <w:szCs w:val="18"/>
              </w:rPr>
            </w:pPr>
            <w:r w:rsidRPr="00441455">
              <w:rPr>
                <w:rFonts w:cs="Arial"/>
                <w:color w:val="000000"/>
                <w:sz w:val="18"/>
                <w:szCs w:val="18"/>
              </w:rPr>
              <w:t>PERT</w:t>
            </w:r>
          </w:p>
        </w:tc>
        <w:tc>
          <w:tcPr>
            <w:tcW w:w="529" w:type="pct"/>
            <w:shd w:val="clear" w:color="auto" w:fill="auto"/>
            <w:noWrap/>
            <w:vAlign w:val="center"/>
          </w:tcPr>
          <w:p w:rsidRPr="00E31E77" w:rsidR="00E31E77" w:rsidP="00E31E77" w:rsidRDefault="00E31E77" w14:paraId="0C2790D3" w14:textId="2E34697D">
            <w:pPr>
              <w:autoSpaceDE/>
              <w:autoSpaceDN/>
              <w:adjustRightInd/>
              <w:jc w:val="center"/>
              <w:rPr>
                <w:rFonts w:cs="Arial"/>
                <w:color w:val="000000"/>
                <w:sz w:val="18"/>
                <w:szCs w:val="18"/>
              </w:rPr>
            </w:pPr>
            <w:r w:rsidRPr="00E31E77">
              <w:rPr>
                <w:sz w:val="18"/>
                <w:szCs w:val="18"/>
              </w:rPr>
              <w:t>$22.70</w:t>
            </w:r>
          </w:p>
        </w:tc>
        <w:tc>
          <w:tcPr>
            <w:tcW w:w="529" w:type="pct"/>
            <w:shd w:val="clear" w:color="auto" w:fill="auto"/>
            <w:noWrap/>
            <w:vAlign w:val="center"/>
          </w:tcPr>
          <w:p w:rsidRPr="00E31E77" w:rsidR="00E31E77" w:rsidP="00E31E77" w:rsidRDefault="00E31E77" w14:paraId="64EBB263" w14:textId="2BBFADAA">
            <w:pPr>
              <w:autoSpaceDE/>
              <w:autoSpaceDN/>
              <w:adjustRightInd/>
              <w:jc w:val="center"/>
              <w:rPr>
                <w:rFonts w:cs="Arial"/>
                <w:color w:val="000000"/>
                <w:sz w:val="18"/>
                <w:szCs w:val="18"/>
              </w:rPr>
            </w:pPr>
            <w:r w:rsidRPr="00E31E77">
              <w:rPr>
                <w:sz w:val="18"/>
                <w:szCs w:val="18"/>
              </w:rPr>
              <w:t>$23.84</w:t>
            </w:r>
          </w:p>
        </w:tc>
        <w:tc>
          <w:tcPr>
            <w:tcW w:w="625" w:type="pct"/>
            <w:shd w:val="clear" w:color="auto" w:fill="auto"/>
            <w:noWrap/>
            <w:vAlign w:val="center"/>
          </w:tcPr>
          <w:p w:rsidRPr="00E31E77" w:rsidR="00E31E77" w:rsidP="00E31E77" w:rsidRDefault="00E31E77" w14:paraId="41276199" w14:textId="737610A5">
            <w:pPr>
              <w:autoSpaceDE/>
              <w:autoSpaceDN/>
              <w:adjustRightInd/>
              <w:jc w:val="center"/>
              <w:rPr>
                <w:rFonts w:cs="Arial"/>
                <w:color w:val="000000"/>
                <w:sz w:val="18"/>
                <w:szCs w:val="18"/>
              </w:rPr>
            </w:pPr>
            <w:r w:rsidRPr="00E31E77">
              <w:rPr>
                <w:sz w:val="18"/>
                <w:szCs w:val="18"/>
              </w:rPr>
              <w:t>$24.97</w:t>
            </w:r>
          </w:p>
        </w:tc>
      </w:tr>
      <w:tr w:rsidRPr="009F5B80" w:rsidR="00E31E77" w:rsidTr="00DF6AD4" w14:paraId="2BEB69F4" w14:textId="77777777">
        <w:trPr>
          <w:trHeight w:val="476"/>
        </w:trPr>
        <w:tc>
          <w:tcPr>
            <w:tcW w:w="2595" w:type="pct"/>
            <w:tcBorders>
              <w:top w:val="single" w:color="auto" w:sz="4" w:space="0"/>
              <w:left w:val="single" w:color="auto" w:sz="4" w:space="0"/>
              <w:bottom w:val="single" w:color="auto" w:sz="4" w:space="0"/>
              <w:right w:val="single" w:color="auto" w:sz="4" w:space="0"/>
            </w:tcBorders>
            <w:shd w:val="clear" w:color="000000" w:fill="FFFFFF"/>
            <w:noWrap/>
            <w:tcMar>
              <w:left w:w="216" w:type="dxa"/>
              <w:right w:w="115" w:type="dxa"/>
            </w:tcMar>
            <w:vAlign w:val="center"/>
          </w:tcPr>
          <w:p w:rsidRPr="00B26C95" w:rsidR="00E31E77" w:rsidP="00E31E77" w:rsidRDefault="00E31E77" w14:paraId="5DE581B6" w14:textId="7FE9F07F">
            <w:pPr>
              <w:autoSpaceDE/>
              <w:autoSpaceDN/>
              <w:adjustRightInd/>
              <w:rPr>
                <w:rFonts w:cs="Arial"/>
                <w:sz w:val="18"/>
              </w:rPr>
            </w:pPr>
            <w:r w:rsidRPr="002234F6">
              <w:rPr>
                <w:rFonts w:cs="Arial"/>
                <w:sz w:val="18"/>
              </w:rPr>
              <w:t>Facility Worker</w:t>
            </w:r>
            <w:r w:rsidR="00DF6AD4">
              <w:rPr>
                <w:rFonts w:cs="Arial"/>
                <w:sz w:val="18"/>
              </w:rPr>
              <w:t xml:space="preserve"> </w:t>
            </w:r>
            <w:r w:rsidRPr="002234F6">
              <w:rPr>
                <w:rFonts w:cs="Arial"/>
                <w:sz w:val="18"/>
              </w:rPr>
              <w:t>(weighted average</w:t>
            </w:r>
            <w:r w:rsidR="00D24782">
              <w:rPr>
                <w:rFonts w:cs="Arial"/>
                <w:sz w:val="18"/>
              </w:rPr>
              <w:t xml:space="preserve">, </w:t>
            </w:r>
            <w:r>
              <w:rPr>
                <w:rFonts w:cs="Arial"/>
                <w:sz w:val="18"/>
              </w:rPr>
              <w:t>l</w:t>
            </w:r>
            <w:r w:rsidRPr="002234F6">
              <w:rPr>
                <w:rFonts w:cs="Arial"/>
                <w:sz w:val="18"/>
              </w:rPr>
              <w:t xml:space="preserve">icensee </w:t>
            </w:r>
            <w:r>
              <w:rPr>
                <w:rFonts w:cs="Arial"/>
                <w:sz w:val="18"/>
              </w:rPr>
              <w:t xml:space="preserve">employees </w:t>
            </w:r>
            <w:r w:rsidRPr="002234F6">
              <w:rPr>
                <w:rFonts w:cs="Arial"/>
                <w:sz w:val="18"/>
              </w:rPr>
              <w:t>and C/V workers)</w:t>
            </w:r>
          </w:p>
        </w:tc>
        <w:tc>
          <w:tcPr>
            <w:tcW w:w="722" w:type="pct"/>
            <w:tcBorders>
              <w:top w:val="single" w:color="auto" w:sz="4" w:space="0"/>
            </w:tcBorders>
            <w:shd w:val="clear" w:color="auto" w:fill="auto"/>
            <w:noWrap/>
            <w:vAlign w:val="center"/>
          </w:tcPr>
          <w:p w:rsidR="00E31E77" w:rsidDel="00AA4B9F" w:rsidP="00E31E77" w:rsidRDefault="00E31E77" w14:paraId="48AE0041" w14:textId="77777777">
            <w:pPr>
              <w:autoSpaceDE/>
              <w:autoSpaceDN/>
              <w:adjustRightInd/>
              <w:jc w:val="center"/>
              <w:rPr>
                <w:rFonts w:cs="Arial"/>
                <w:color w:val="000000"/>
                <w:sz w:val="18"/>
                <w:szCs w:val="18"/>
              </w:rPr>
            </w:pPr>
            <w:r w:rsidRPr="00441455">
              <w:rPr>
                <w:rFonts w:cs="Arial"/>
                <w:color w:val="000000"/>
                <w:sz w:val="18"/>
                <w:szCs w:val="18"/>
              </w:rPr>
              <w:t>PERT</w:t>
            </w:r>
          </w:p>
        </w:tc>
        <w:tc>
          <w:tcPr>
            <w:tcW w:w="529" w:type="pct"/>
            <w:tcBorders>
              <w:top w:val="single" w:color="auto" w:sz="4" w:space="0"/>
            </w:tcBorders>
            <w:shd w:val="clear" w:color="auto" w:fill="auto"/>
            <w:noWrap/>
            <w:vAlign w:val="center"/>
          </w:tcPr>
          <w:p w:rsidRPr="00E31E77" w:rsidR="00E31E77" w:rsidP="00E31E77" w:rsidRDefault="00E31E77" w14:paraId="564C8EFC" w14:textId="13698B7F">
            <w:pPr>
              <w:autoSpaceDE/>
              <w:autoSpaceDN/>
              <w:adjustRightInd/>
              <w:jc w:val="center"/>
              <w:rPr>
                <w:rFonts w:cs="Arial"/>
                <w:color w:val="000000"/>
                <w:sz w:val="18"/>
                <w:szCs w:val="18"/>
              </w:rPr>
            </w:pPr>
            <w:r w:rsidRPr="00E31E77">
              <w:rPr>
                <w:sz w:val="18"/>
                <w:szCs w:val="18"/>
              </w:rPr>
              <w:t>$67.97</w:t>
            </w:r>
          </w:p>
        </w:tc>
        <w:tc>
          <w:tcPr>
            <w:tcW w:w="529" w:type="pct"/>
            <w:tcBorders>
              <w:top w:val="single" w:color="auto" w:sz="4" w:space="0"/>
            </w:tcBorders>
            <w:shd w:val="clear" w:color="auto" w:fill="auto"/>
            <w:noWrap/>
            <w:vAlign w:val="center"/>
          </w:tcPr>
          <w:p w:rsidRPr="00E31E77" w:rsidR="00E31E77" w:rsidP="00E31E77" w:rsidRDefault="00E31E77" w14:paraId="52163D6D" w14:textId="53193CDC">
            <w:pPr>
              <w:autoSpaceDE/>
              <w:autoSpaceDN/>
              <w:adjustRightInd/>
              <w:jc w:val="center"/>
              <w:rPr>
                <w:rFonts w:cs="Arial"/>
                <w:color w:val="000000"/>
                <w:sz w:val="18"/>
                <w:szCs w:val="18"/>
              </w:rPr>
            </w:pPr>
            <w:r w:rsidRPr="00E31E77">
              <w:rPr>
                <w:sz w:val="18"/>
                <w:szCs w:val="18"/>
              </w:rPr>
              <w:t>$70.18</w:t>
            </w:r>
          </w:p>
        </w:tc>
        <w:tc>
          <w:tcPr>
            <w:tcW w:w="625" w:type="pct"/>
            <w:tcBorders>
              <w:top w:val="single" w:color="auto" w:sz="4" w:space="0"/>
            </w:tcBorders>
            <w:shd w:val="clear" w:color="auto" w:fill="auto"/>
            <w:noWrap/>
            <w:vAlign w:val="center"/>
          </w:tcPr>
          <w:p w:rsidRPr="00E31E77" w:rsidR="00E31E77" w:rsidP="00E31E77" w:rsidRDefault="00E31E77" w14:paraId="3A3F5D4F" w14:textId="0A40A6D5">
            <w:pPr>
              <w:autoSpaceDE/>
              <w:autoSpaceDN/>
              <w:adjustRightInd/>
              <w:jc w:val="center"/>
              <w:rPr>
                <w:rFonts w:cs="Arial"/>
                <w:color w:val="000000"/>
                <w:sz w:val="18"/>
                <w:szCs w:val="18"/>
              </w:rPr>
            </w:pPr>
            <w:r w:rsidRPr="00E31E77">
              <w:rPr>
                <w:sz w:val="18"/>
                <w:szCs w:val="18"/>
              </w:rPr>
              <w:t>$75.23</w:t>
            </w:r>
          </w:p>
        </w:tc>
      </w:tr>
      <w:tr w:rsidRPr="009F5B80" w:rsidR="00E31E77" w:rsidTr="00DF6AD4" w14:paraId="3AC399C2" w14:textId="77777777">
        <w:trPr>
          <w:trHeight w:val="288"/>
        </w:trPr>
        <w:tc>
          <w:tcPr>
            <w:tcW w:w="2595" w:type="pct"/>
            <w:tcBorders>
              <w:top w:val="single" w:color="auto" w:sz="4" w:space="0"/>
              <w:left w:val="single" w:color="auto" w:sz="4" w:space="0"/>
              <w:bottom w:val="single" w:color="auto" w:sz="4" w:space="0"/>
              <w:right w:val="single" w:color="auto" w:sz="4" w:space="0"/>
            </w:tcBorders>
            <w:shd w:val="clear" w:color="000000" w:fill="FFFFFF"/>
            <w:noWrap/>
            <w:tcMar>
              <w:left w:w="216" w:type="dxa"/>
              <w:right w:w="115" w:type="dxa"/>
            </w:tcMar>
            <w:vAlign w:val="center"/>
          </w:tcPr>
          <w:p w:rsidRPr="002234F6" w:rsidR="00E31E77" w:rsidP="00E31E77" w:rsidRDefault="00E31E77" w14:paraId="014C8FB5" w14:textId="77777777">
            <w:pPr>
              <w:autoSpaceDE/>
              <w:autoSpaceDN/>
              <w:adjustRightInd/>
              <w:rPr>
                <w:rFonts w:cs="Arial"/>
                <w:color w:val="000000"/>
                <w:sz w:val="18"/>
                <w:szCs w:val="18"/>
              </w:rPr>
            </w:pPr>
            <w:r w:rsidRPr="002234F6">
              <w:rPr>
                <w:rFonts w:cs="Arial"/>
                <w:sz w:val="18"/>
              </w:rPr>
              <w:t>FFD Manager</w:t>
            </w:r>
          </w:p>
        </w:tc>
        <w:tc>
          <w:tcPr>
            <w:tcW w:w="722" w:type="pct"/>
            <w:tcBorders>
              <w:top w:val="single" w:color="auto" w:sz="4" w:space="0"/>
              <w:bottom w:val="single" w:color="auto" w:sz="4" w:space="0"/>
            </w:tcBorders>
            <w:shd w:val="clear" w:color="auto" w:fill="auto"/>
            <w:noWrap/>
            <w:vAlign w:val="center"/>
          </w:tcPr>
          <w:p w:rsidR="00E31E77" w:rsidDel="00AA4B9F" w:rsidP="00E31E77" w:rsidRDefault="00E31E77" w14:paraId="7131D2F7" w14:textId="77777777">
            <w:pPr>
              <w:autoSpaceDE/>
              <w:autoSpaceDN/>
              <w:adjustRightInd/>
              <w:jc w:val="center"/>
              <w:rPr>
                <w:rFonts w:cs="Arial"/>
                <w:color w:val="000000"/>
                <w:sz w:val="18"/>
                <w:szCs w:val="18"/>
              </w:rPr>
            </w:pPr>
            <w:r w:rsidRPr="00441455">
              <w:rPr>
                <w:rFonts w:cs="Arial"/>
                <w:color w:val="000000"/>
                <w:sz w:val="18"/>
                <w:szCs w:val="18"/>
              </w:rPr>
              <w:t>PERT</w:t>
            </w:r>
          </w:p>
        </w:tc>
        <w:tc>
          <w:tcPr>
            <w:tcW w:w="529" w:type="pct"/>
            <w:tcBorders>
              <w:top w:val="single" w:color="auto" w:sz="4" w:space="0"/>
              <w:bottom w:val="single" w:color="auto" w:sz="4" w:space="0"/>
            </w:tcBorders>
            <w:shd w:val="clear" w:color="auto" w:fill="auto"/>
            <w:noWrap/>
            <w:vAlign w:val="center"/>
          </w:tcPr>
          <w:p w:rsidRPr="00E31E77" w:rsidR="00E31E77" w:rsidP="00E31E77" w:rsidRDefault="00E31E77" w14:paraId="1F774120" w14:textId="6D4CE3DC">
            <w:pPr>
              <w:autoSpaceDE/>
              <w:autoSpaceDN/>
              <w:adjustRightInd/>
              <w:jc w:val="center"/>
              <w:rPr>
                <w:rFonts w:cs="Arial"/>
                <w:color w:val="000000"/>
                <w:sz w:val="18"/>
                <w:szCs w:val="18"/>
              </w:rPr>
            </w:pPr>
            <w:r w:rsidRPr="00E31E77">
              <w:rPr>
                <w:sz w:val="18"/>
                <w:szCs w:val="18"/>
              </w:rPr>
              <w:t>$37.84</w:t>
            </w:r>
          </w:p>
        </w:tc>
        <w:tc>
          <w:tcPr>
            <w:tcW w:w="529" w:type="pct"/>
            <w:tcBorders>
              <w:top w:val="single" w:color="auto" w:sz="4" w:space="0"/>
              <w:bottom w:val="single" w:color="auto" w:sz="4" w:space="0"/>
            </w:tcBorders>
            <w:shd w:val="clear" w:color="auto" w:fill="auto"/>
            <w:noWrap/>
            <w:vAlign w:val="center"/>
          </w:tcPr>
          <w:p w:rsidRPr="00E31E77" w:rsidR="00E31E77" w:rsidP="00E31E77" w:rsidRDefault="00E31E77" w14:paraId="3D0A1D26" w14:textId="39CE6EC0">
            <w:pPr>
              <w:autoSpaceDE/>
              <w:autoSpaceDN/>
              <w:adjustRightInd/>
              <w:jc w:val="center"/>
              <w:rPr>
                <w:rFonts w:cs="Arial"/>
                <w:color w:val="000000"/>
                <w:sz w:val="18"/>
                <w:szCs w:val="18"/>
              </w:rPr>
            </w:pPr>
            <w:r w:rsidRPr="00E31E77">
              <w:rPr>
                <w:sz w:val="18"/>
                <w:szCs w:val="18"/>
              </w:rPr>
              <w:t>$48.59</w:t>
            </w:r>
          </w:p>
        </w:tc>
        <w:tc>
          <w:tcPr>
            <w:tcW w:w="625" w:type="pct"/>
            <w:tcBorders>
              <w:top w:val="single" w:color="auto" w:sz="4" w:space="0"/>
              <w:bottom w:val="single" w:color="auto" w:sz="4" w:space="0"/>
            </w:tcBorders>
            <w:shd w:val="clear" w:color="auto" w:fill="auto"/>
            <w:noWrap/>
            <w:vAlign w:val="center"/>
          </w:tcPr>
          <w:p w:rsidRPr="00E31E77" w:rsidR="00E31E77" w:rsidP="00E31E77" w:rsidRDefault="00E31E77" w14:paraId="480D214E" w14:textId="3F7B9118">
            <w:pPr>
              <w:autoSpaceDE/>
              <w:autoSpaceDN/>
              <w:adjustRightInd/>
              <w:jc w:val="center"/>
              <w:rPr>
                <w:rFonts w:cs="Arial"/>
                <w:color w:val="000000"/>
                <w:sz w:val="18"/>
                <w:szCs w:val="18"/>
              </w:rPr>
            </w:pPr>
            <w:r w:rsidRPr="00E31E77">
              <w:rPr>
                <w:sz w:val="18"/>
                <w:szCs w:val="18"/>
              </w:rPr>
              <w:t>$54.58</w:t>
            </w:r>
          </w:p>
        </w:tc>
      </w:tr>
      <w:tr w:rsidRPr="009F5B80" w:rsidR="00E31E77" w:rsidTr="00DF6AD4" w14:paraId="1C874227" w14:textId="77777777">
        <w:trPr>
          <w:trHeight w:val="288"/>
        </w:trPr>
        <w:tc>
          <w:tcPr>
            <w:tcW w:w="2595" w:type="pct"/>
            <w:tcBorders>
              <w:top w:val="single" w:color="auto" w:sz="4" w:space="0"/>
              <w:left w:val="single" w:color="auto" w:sz="4" w:space="0"/>
              <w:bottom w:val="single" w:color="auto" w:sz="4" w:space="0"/>
              <w:right w:val="single" w:color="auto" w:sz="4" w:space="0"/>
            </w:tcBorders>
            <w:shd w:val="clear" w:color="000000" w:fill="FFFFFF"/>
            <w:noWrap/>
            <w:tcMar>
              <w:left w:w="216" w:type="dxa"/>
              <w:right w:w="115" w:type="dxa"/>
            </w:tcMar>
            <w:vAlign w:val="center"/>
          </w:tcPr>
          <w:p w:rsidRPr="002234F6" w:rsidR="00E31E77" w:rsidP="00E31E77" w:rsidRDefault="00E31E77" w14:paraId="7CEE7AF1" w14:textId="77777777">
            <w:pPr>
              <w:widowControl w:val="0"/>
              <w:autoSpaceDE/>
              <w:autoSpaceDN/>
              <w:adjustRightInd/>
              <w:rPr>
                <w:rFonts w:cs="Arial"/>
                <w:color w:val="000000"/>
                <w:sz w:val="18"/>
                <w:szCs w:val="18"/>
              </w:rPr>
            </w:pPr>
            <w:r w:rsidRPr="002234F6">
              <w:rPr>
                <w:rFonts w:cs="Arial"/>
                <w:sz w:val="18"/>
              </w:rPr>
              <w:t>FFD Staff</w:t>
            </w:r>
          </w:p>
        </w:tc>
        <w:tc>
          <w:tcPr>
            <w:tcW w:w="722" w:type="pct"/>
            <w:shd w:val="clear" w:color="auto" w:fill="auto"/>
            <w:noWrap/>
            <w:vAlign w:val="center"/>
          </w:tcPr>
          <w:p w:rsidR="00E31E77" w:rsidDel="00AA4B9F" w:rsidP="00E31E77" w:rsidRDefault="00E31E77" w14:paraId="63EF7D17" w14:textId="77777777">
            <w:pPr>
              <w:keepNext/>
              <w:keepLines/>
              <w:autoSpaceDE/>
              <w:autoSpaceDN/>
              <w:adjustRightInd/>
              <w:jc w:val="center"/>
              <w:rPr>
                <w:rFonts w:cs="Arial"/>
                <w:color w:val="000000"/>
                <w:sz w:val="18"/>
                <w:szCs w:val="18"/>
              </w:rPr>
            </w:pPr>
            <w:r>
              <w:rPr>
                <w:rFonts w:cs="Arial"/>
                <w:color w:val="000000"/>
                <w:sz w:val="18"/>
                <w:szCs w:val="18"/>
              </w:rPr>
              <w:t>PERT</w:t>
            </w:r>
          </w:p>
        </w:tc>
        <w:tc>
          <w:tcPr>
            <w:tcW w:w="529" w:type="pct"/>
            <w:shd w:val="clear" w:color="auto" w:fill="auto"/>
            <w:noWrap/>
            <w:vAlign w:val="center"/>
          </w:tcPr>
          <w:p w:rsidRPr="00E31E77" w:rsidR="00E31E77" w:rsidP="00E31E77" w:rsidRDefault="00E31E77" w14:paraId="759EB9D6" w14:textId="027A1B4A">
            <w:pPr>
              <w:keepNext/>
              <w:keepLines/>
              <w:autoSpaceDE/>
              <w:autoSpaceDN/>
              <w:adjustRightInd/>
              <w:jc w:val="center"/>
              <w:rPr>
                <w:rFonts w:cs="Arial"/>
                <w:color w:val="000000"/>
                <w:sz w:val="18"/>
                <w:szCs w:val="18"/>
              </w:rPr>
            </w:pPr>
            <w:r w:rsidRPr="00E31E77">
              <w:rPr>
                <w:sz w:val="18"/>
                <w:szCs w:val="18"/>
              </w:rPr>
              <w:t>$36.47</w:t>
            </w:r>
          </w:p>
        </w:tc>
        <w:tc>
          <w:tcPr>
            <w:tcW w:w="529" w:type="pct"/>
            <w:shd w:val="clear" w:color="auto" w:fill="auto"/>
            <w:noWrap/>
            <w:vAlign w:val="center"/>
          </w:tcPr>
          <w:p w:rsidRPr="00E31E77" w:rsidR="00E31E77" w:rsidP="00E31E77" w:rsidRDefault="00E31E77" w14:paraId="654C48D1" w14:textId="2175A9FF">
            <w:pPr>
              <w:keepNext/>
              <w:keepLines/>
              <w:autoSpaceDE/>
              <w:autoSpaceDN/>
              <w:adjustRightInd/>
              <w:jc w:val="center"/>
              <w:rPr>
                <w:rFonts w:cs="Arial"/>
                <w:color w:val="000000"/>
                <w:sz w:val="18"/>
                <w:szCs w:val="18"/>
              </w:rPr>
            </w:pPr>
            <w:r w:rsidRPr="00E31E77">
              <w:rPr>
                <w:sz w:val="18"/>
                <w:szCs w:val="18"/>
              </w:rPr>
              <w:t>$40.52</w:t>
            </w:r>
          </w:p>
        </w:tc>
        <w:tc>
          <w:tcPr>
            <w:tcW w:w="625" w:type="pct"/>
            <w:shd w:val="clear" w:color="auto" w:fill="auto"/>
            <w:noWrap/>
            <w:vAlign w:val="center"/>
          </w:tcPr>
          <w:p w:rsidRPr="00E31E77" w:rsidR="00E31E77" w:rsidP="00E31E77" w:rsidRDefault="00E31E77" w14:paraId="3A92605A" w14:textId="3A075363">
            <w:pPr>
              <w:keepNext/>
              <w:keepLines/>
              <w:autoSpaceDE/>
              <w:autoSpaceDN/>
              <w:adjustRightInd/>
              <w:jc w:val="center"/>
              <w:rPr>
                <w:rFonts w:cs="Arial"/>
                <w:color w:val="000000"/>
                <w:sz w:val="18"/>
                <w:szCs w:val="18"/>
              </w:rPr>
            </w:pPr>
            <w:r w:rsidRPr="00E31E77">
              <w:rPr>
                <w:sz w:val="18"/>
                <w:szCs w:val="18"/>
              </w:rPr>
              <w:t>$48.63</w:t>
            </w:r>
          </w:p>
        </w:tc>
      </w:tr>
      <w:tr w:rsidRPr="009F5B80" w:rsidR="00E31E77" w:rsidTr="00DF6AD4" w14:paraId="58140390" w14:textId="77777777">
        <w:trPr>
          <w:trHeight w:val="288"/>
        </w:trPr>
        <w:tc>
          <w:tcPr>
            <w:tcW w:w="2595" w:type="pct"/>
            <w:tcBorders>
              <w:top w:val="single" w:color="auto" w:sz="4" w:space="0"/>
              <w:left w:val="single" w:color="auto" w:sz="4" w:space="0"/>
              <w:bottom w:val="single" w:color="auto" w:sz="4" w:space="0"/>
              <w:right w:val="single" w:color="auto" w:sz="4" w:space="0"/>
            </w:tcBorders>
            <w:shd w:val="clear" w:color="000000" w:fill="FFFFFF"/>
            <w:noWrap/>
            <w:tcMar>
              <w:left w:w="216" w:type="dxa"/>
              <w:right w:w="115" w:type="dxa"/>
            </w:tcMar>
            <w:vAlign w:val="center"/>
          </w:tcPr>
          <w:p w:rsidRPr="002234F6" w:rsidR="00E31E77" w:rsidP="00E31E77" w:rsidRDefault="00E31E77" w14:paraId="0C018366" w14:textId="77777777">
            <w:pPr>
              <w:widowControl w:val="0"/>
              <w:autoSpaceDE/>
              <w:autoSpaceDN/>
              <w:adjustRightInd/>
              <w:rPr>
                <w:rFonts w:cs="Arial"/>
                <w:color w:val="000000"/>
                <w:sz w:val="18"/>
                <w:szCs w:val="18"/>
              </w:rPr>
            </w:pPr>
            <w:r w:rsidRPr="002234F6">
              <w:rPr>
                <w:rFonts w:cs="Arial"/>
                <w:sz w:val="18"/>
              </w:rPr>
              <w:t>LTF Laboratory Technician</w:t>
            </w:r>
          </w:p>
        </w:tc>
        <w:tc>
          <w:tcPr>
            <w:tcW w:w="722" w:type="pct"/>
            <w:tcBorders>
              <w:top w:val="single" w:color="auto" w:sz="4" w:space="0"/>
            </w:tcBorders>
            <w:shd w:val="clear" w:color="auto" w:fill="auto"/>
            <w:noWrap/>
            <w:vAlign w:val="center"/>
          </w:tcPr>
          <w:p w:rsidR="00E31E77" w:rsidDel="00AA4B9F" w:rsidP="00E31E77" w:rsidRDefault="00E31E77" w14:paraId="311AA07F" w14:textId="77777777">
            <w:pPr>
              <w:keepNext/>
              <w:keepLines/>
              <w:autoSpaceDE/>
              <w:autoSpaceDN/>
              <w:adjustRightInd/>
              <w:jc w:val="center"/>
              <w:rPr>
                <w:rFonts w:cs="Arial"/>
                <w:color w:val="000000"/>
                <w:sz w:val="18"/>
                <w:szCs w:val="18"/>
              </w:rPr>
            </w:pPr>
            <w:r w:rsidRPr="00441455">
              <w:rPr>
                <w:rFonts w:cs="Arial"/>
                <w:color w:val="000000"/>
                <w:sz w:val="18"/>
                <w:szCs w:val="18"/>
              </w:rPr>
              <w:t>PERT</w:t>
            </w:r>
          </w:p>
        </w:tc>
        <w:tc>
          <w:tcPr>
            <w:tcW w:w="529" w:type="pct"/>
            <w:tcBorders>
              <w:top w:val="single" w:color="auto" w:sz="4" w:space="0"/>
            </w:tcBorders>
            <w:shd w:val="clear" w:color="auto" w:fill="auto"/>
            <w:noWrap/>
            <w:vAlign w:val="center"/>
          </w:tcPr>
          <w:p w:rsidRPr="00E31E77" w:rsidR="00E31E77" w:rsidP="00E31E77" w:rsidRDefault="00E31E77" w14:paraId="658BE3B4" w14:textId="4616CCD7">
            <w:pPr>
              <w:keepNext/>
              <w:keepLines/>
              <w:autoSpaceDE/>
              <w:autoSpaceDN/>
              <w:adjustRightInd/>
              <w:jc w:val="center"/>
              <w:rPr>
                <w:rFonts w:cs="Arial"/>
                <w:color w:val="000000"/>
                <w:sz w:val="18"/>
                <w:szCs w:val="18"/>
              </w:rPr>
            </w:pPr>
            <w:r w:rsidRPr="00E31E77">
              <w:rPr>
                <w:sz w:val="18"/>
                <w:szCs w:val="18"/>
              </w:rPr>
              <w:t>$36.15</w:t>
            </w:r>
          </w:p>
        </w:tc>
        <w:tc>
          <w:tcPr>
            <w:tcW w:w="529" w:type="pct"/>
            <w:tcBorders>
              <w:top w:val="single" w:color="auto" w:sz="4" w:space="0"/>
            </w:tcBorders>
            <w:shd w:val="clear" w:color="auto" w:fill="auto"/>
            <w:noWrap/>
            <w:vAlign w:val="center"/>
          </w:tcPr>
          <w:p w:rsidRPr="00E31E77" w:rsidR="00E31E77" w:rsidP="00E31E77" w:rsidRDefault="00E31E77" w14:paraId="42AB59BD" w14:textId="73BD1FB5">
            <w:pPr>
              <w:keepNext/>
              <w:keepLines/>
              <w:autoSpaceDE/>
              <w:autoSpaceDN/>
              <w:adjustRightInd/>
              <w:jc w:val="center"/>
              <w:rPr>
                <w:rFonts w:cs="Arial"/>
                <w:color w:val="000000"/>
                <w:sz w:val="18"/>
                <w:szCs w:val="18"/>
              </w:rPr>
            </w:pPr>
            <w:r w:rsidRPr="00E31E77">
              <w:rPr>
                <w:sz w:val="18"/>
                <w:szCs w:val="18"/>
              </w:rPr>
              <w:t>$40.17</w:t>
            </w:r>
          </w:p>
        </w:tc>
        <w:tc>
          <w:tcPr>
            <w:tcW w:w="625" w:type="pct"/>
            <w:tcBorders>
              <w:top w:val="single" w:color="auto" w:sz="4" w:space="0"/>
            </w:tcBorders>
            <w:shd w:val="clear" w:color="auto" w:fill="auto"/>
            <w:noWrap/>
            <w:vAlign w:val="center"/>
          </w:tcPr>
          <w:p w:rsidRPr="00E31E77" w:rsidR="00E31E77" w:rsidP="00E31E77" w:rsidRDefault="00E31E77" w14:paraId="429E9056" w14:textId="39764729">
            <w:pPr>
              <w:keepNext/>
              <w:keepLines/>
              <w:autoSpaceDE/>
              <w:autoSpaceDN/>
              <w:adjustRightInd/>
              <w:jc w:val="center"/>
              <w:rPr>
                <w:rFonts w:cs="Arial"/>
                <w:color w:val="000000"/>
                <w:sz w:val="18"/>
                <w:szCs w:val="18"/>
              </w:rPr>
            </w:pPr>
            <w:r w:rsidRPr="00E31E77">
              <w:rPr>
                <w:sz w:val="18"/>
                <w:szCs w:val="18"/>
              </w:rPr>
              <w:t>$48.20</w:t>
            </w:r>
          </w:p>
        </w:tc>
      </w:tr>
      <w:tr w:rsidRPr="009F5B80" w:rsidR="00E31E77" w:rsidTr="00DF6AD4" w14:paraId="09070BC2" w14:textId="77777777">
        <w:trPr>
          <w:trHeight w:val="288"/>
        </w:trPr>
        <w:tc>
          <w:tcPr>
            <w:tcW w:w="2595" w:type="pct"/>
            <w:tcBorders>
              <w:top w:val="single" w:color="auto" w:sz="4" w:space="0"/>
              <w:left w:val="single" w:color="auto" w:sz="4" w:space="0"/>
              <w:bottom w:val="single" w:color="auto" w:sz="4" w:space="0"/>
              <w:right w:val="single" w:color="auto" w:sz="4" w:space="0"/>
            </w:tcBorders>
            <w:shd w:val="clear" w:color="000000" w:fill="FFFFFF"/>
            <w:noWrap/>
            <w:tcMar>
              <w:left w:w="216" w:type="dxa"/>
              <w:right w:w="115" w:type="dxa"/>
            </w:tcMar>
            <w:vAlign w:val="center"/>
          </w:tcPr>
          <w:p w:rsidRPr="002234F6" w:rsidR="00E31E77" w:rsidP="00E31E77" w:rsidRDefault="00E31E77" w14:paraId="12D9A0BA" w14:textId="77777777">
            <w:pPr>
              <w:widowControl w:val="0"/>
              <w:autoSpaceDE/>
              <w:autoSpaceDN/>
              <w:adjustRightInd/>
              <w:rPr>
                <w:rFonts w:cs="Arial"/>
                <w:color w:val="000000"/>
                <w:sz w:val="18"/>
                <w:szCs w:val="18"/>
              </w:rPr>
            </w:pPr>
            <w:r w:rsidRPr="002234F6">
              <w:rPr>
                <w:rFonts w:cs="Arial"/>
                <w:sz w:val="18"/>
              </w:rPr>
              <w:t>LTF Laboratory Supervisor</w:t>
            </w:r>
          </w:p>
        </w:tc>
        <w:tc>
          <w:tcPr>
            <w:tcW w:w="722" w:type="pct"/>
            <w:tcBorders>
              <w:top w:val="single" w:color="auto" w:sz="4" w:space="0"/>
            </w:tcBorders>
            <w:shd w:val="clear" w:color="auto" w:fill="auto"/>
            <w:noWrap/>
            <w:vAlign w:val="center"/>
          </w:tcPr>
          <w:p w:rsidR="00E31E77" w:rsidDel="00AA4B9F" w:rsidP="00E31E77" w:rsidRDefault="00E31E77" w14:paraId="41F7CB40" w14:textId="77777777">
            <w:pPr>
              <w:keepNext/>
              <w:keepLines/>
              <w:autoSpaceDE/>
              <w:autoSpaceDN/>
              <w:adjustRightInd/>
              <w:jc w:val="center"/>
              <w:rPr>
                <w:rFonts w:cs="Arial"/>
                <w:color w:val="000000"/>
                <w:sz w:val="18"/>
                <w:szCs w:val="18"/>
              </w:rPr>
            </w:pPr>
            <w:r w:rsidRPr="00441455">
              <w:rPr>
                <w:rFonts w:cs="Arial"/>
                <w:color w:val="000000"/>
                <w:sz w:val="18"/>
                <w:szCs w:val="18"/>
              </w:rPr>
              <w:t>PERT</w:t>
            </w:r>
          </w:p>
        </w:tc>
        <w:tc>
          <w:tcPr>
            <w:tcW w:w="529" w:type="pct"/>
            <w:tcBorders>
              <w:top w:val="single" w:color="auto" w:sz="4" w:space="0"/>
            </w:tcBorders>
            <w:shd w:val="clear" w:color="auto" w:fill="auto"/>
            <w:noWrap/>
            <w:vAlign w:val="center"/>
          </w:tcPr>
          <w:p w:rsidRPr="00E31E77" w:rsidR="00E31E77" w:rsidP="00E31E77" w:rsidRDefault="00E31E77" w14:paraId="5A3D1B42" w14:textId="0994B2A9">
            <w:pPr>
              <w:keepNext/>
              <w:keepLines/>
              <w:autoSpaceDE/>
              <w:autoSpaceDN/>
              <w:adjustRightInd/>
              <w:jc w:val="center"/>
              <w:rPr>
                <w:rFonts w:cs="Arial"/>
                <w:color w:val="000000"/>
                <w:sz w:val="18"/>
                <w:szCs w:val="18"/>
              </w:rPr>
            </w:pPr>
            <w:r w:rsidRPr="00E31E77">
              <w:rPr>
                <w:sz w:val="18"/>
                <w:szCs w:val="18"/>
              </w:rPr>
              <w:t>$60.78</w:t>
            </w:r>
          </w:p>
        </w:tc>
        <w:tc>
          <w:tcPr>
            <w:tcW w:w="529" w:type="pct"/>
            <w:tcBorders>
              <w:top w:val="single" w:color="auto" w:sz="4" w:space="0"/>
            </w:tcBorders>
            <w:shd w:val="clear" w:color="auto" w:fill="auto"/>
            <w:noWrap/>
            <w:vAlign w:val="center"/>
          </w:tcPr>
          <w:p w:rsidRPr="00E31E77" w:rsidR="00E31E77" w:rsidP="00E31E77" w:rsidRDefault="00E31E77" w14:paraId="754B97FA" w14:textId="2896AACE">
            <w:pPr>
              <w:keepNext/>
              <w:keepLines/>
              <w:autoSpaceDE/>
              <w:autoSpaceDN/>
              <w:adjustRightInd/>
              <w:jc w:val="center"/>
              <w:rPr>
                <w:rFonts w:cs="Arial"/>
                <w:color w:val="000000"/>
                <w:sz w:val="18"/>
                <w:szCs w:val="18"/>
              </w:rPr>
            </w:pPr>
            <w:r w:rsidRPr="00E31E77">
              <w:rPr>
                <w:sz w:val="18"/>
                <w:szCs w:val="18"/>
              </w:rPr>
              <w:t>$67.53</w:t>
            </w:r>
          </w:p>
        </w:tc>
        <w:tc>
          <w:tcPr>
            <w:tcW w:w="625" w:type="pct"/>
            <w:tcBorders>
              <w:top w:val="single" w:color="auto" w:sz="4" w:space="0"/>
            </w:tcBorders>
            <w:shd w:val="clear" w:color="auto" w:fill="auto"/>
            <w:noWrap/>
            <w:vAlign w:val="center"/>
          </w:tcPr>
          <w:p w:rsidRPr="00E31E77" w:rsidR="00E31E77" w:rsidP="00E31E77" w:rsidRDefault="00E31E77" w14:paraId="70124C53" w14:textId="37235729">
            <w:pPr>
              <w:keepNext/>
              <w:keepLines/>
              <w:autoSpaceDE/>
              <w:autoSpaceDN/>
              <w:adjustRightInd/>
              <w:jc w:val="center"/>
              <w:rPr>
                <w:rFonts w:cs="Arial"/>
                <w:color w:val="000000"/>
                <w:sz w:val="18"/>
                <w:szCs w:val="18"/>
              </w:rPr>
            </w:pPr>
            <w:r w:rsidRPr="00E31E77">
              <w:rPr>
                <w:sz w:val="18"/>
                <w:szCs w:val="18"/>
              </w:rPr>
              <w:t>$81.04</w:t>
            </w:r>
          </w:p>
        </w:tc>
      </w:tr>
      <w:tr w:rsidRPr="009F5B80" w:rsidR="00E31E77" w:rsidTr="00DF6AD4" w14:paraId="2D2D0F36" w14:textId="77777777">
        <w:trPr>
          <w:trHeight w:val="288"/>
        </w:trPr>
        <w:tc>
          <w:tcPr>
            <w:tcW w:w="2595" w:type="pct"/>
            <w:tcBorders>
              <w:top w:val="single" w:color="auto" w:sz="4" w:space="0"/>
              <w:left w:val="single" w:color="auto" w:sz="4" w:space="0"/>
              <w:bottom w:val="single" w:color="auto" w:sz="4" w:space="0"/>
              <w:right w:val="single" w:color="auto" w:sz="4" w:space="0"/>
            </w:tcBorders>
            <w:shd w:val="clear" w:color="000000" w:fill="FFFFFF"/>
            <w:noWrap/>
            <w:tcMar>
              <w:left w:w="216" w:type="dxa"/>
              <w:right w:w="115" w:type="dxa"/>
            </w:tcMar>
            <w:vAlign w:val="center"/>
          </w:tcPr>
          <w:p w:rsidRPr="002234F6" w:rsidR="00E31E77" w:rsidP="00E31E77" w:rsidRDefault="00E31E77" w14:paraId="6E5AD1D6" w14:textId="77777777">
            <w:pPr>
              <w:widowControl w:val="0"/>
              <w:autoSpaceDE/>
              <w:autoSpaceDN/>
              <w:adjustRightInd/>
              <w:rPr>
                <w:rFonts w:cs="Arial"/>
                <w:color w:val="000000"/>
                <w:sz w:val="18"/>
                <w:szCs w:val="18"/>
              </w:rPr>
            </w:pPr>
            <w:r w:rsidRPr="002234F6">
              <w:rPr>
                <w:rFonts w:cs="Arial"/>
                <w:sz w:val="18"/>
              </w:rPr>
              <w:t>Legal</w:t>
            </w:r>
          </w:p>
        </w:tc>
        <w:tc>
          <w:tcPr>
            <w:tcW w:w="722" w:type="pct"/>
            <w:tcBorders>
              <w:top w:val="single" w:color="auto" w:sz="4" w:space="0"/>
            </w:tcBorders>
            <w:shd w:val="clear" w:color="auto" w:fill="auto"/>
            <w:noWrap/>
            <w:vAlign w:val="center"/>
          </w:tcPr>
          <w:p w:rsidR="00E31E77" w:rsidDel="00AA4B9F" w:rsidP="00E31E77" w:rsidRDefault="00E31E77" w14:paraId="2D310012" w14:textId="77777777">
            <w:pPr>
              <w:keepNext/>
              <w:keepLines/>
              <w:autoSpaceDE/>
              <w:autoSpaceDN/>
              <w:adjustRightInd/>
              <w:jc w:val="center"/>
              <w:rPr>
                <w:rFonts w:cs="Arial"/>
                <w:color w:val="000000"/>
                <w:sz w:val="18"/>
                <w:szCs w:val="18"/>
              </w:rPr>
            </w:pPr>
            <w:r w:rsidRPr="00441455">
              <w:rPr>
                <w:rFonts w:cs="Arial"/>
                <w:color w:val="000000"/>
                <w:sz w:val="18"/>
                <w:szCs w:val="18"/>
              </w:rPr>
              <w:t>PERT</w:t>
            </w:r>
          </w:p>
        </w:tc>
        <w:tc>
          <w:tcPr>
            <w:tcW w:w="529" w:type="pct"/>
            <w:tcBorders>
              <w:top w:val="single" w:color="auto" w:sz="4" w:space="0"/>
            </w:tcBorders>
            <w:shd w:val="clear" w:color="auto" w:fill="auto"/>
            <w:noWrap/>
            <w:vAlign w:val="center"/>
          </w:tcPr>
          <w:p w:rsidRPr="00E31E77" w:rsidR="00E31E77" w:rsidP="00E31E77" w:rsidRDefault="00E31E77" w14:paraId="4BDC79CC" w14:textId="61D38DD1">
            <w:pPr>
              <w:keepNext/>
              <w:keepLines/>
              <w:autoSpaceDE/>
              <w:autoSpaceDN/>
              <w:adjustRightInd/>
              <w:jc w:val="center"/>
              <w:rPr>
                <w:rFonts w:cs="Arial"/>
                <w:color w:val="000000"/>
                <w:sz w:val="18"/>
                <w:szCs w:val="18"/>
              </w:rPr>
            </w:pPr>
            <w:r w:rsidRPr="00E31E77">
              <w:rPr>
                <w:sz w:val="18"/>
                <w:szCs w:val="18"/>
              </w:rPr>
              <w:t>$121.56</w:t>
            </w:r>
          </w:p>
        </w:tc>
        <w:tc>
          <w:tcPr>
            <w:tcW w:w="529" w:type="pct"/>
            <w:tcBorders>
              <w:top w:val="single" w:color="auto" w:sz="4" w:space="0"/>
            </w:tcBorders>
            <w:shd w:val="clear" w:color="auto" w:fill="auto"/>
            <w:noWrap/>
            <w:vAlign w:val="center"/>
          </w:tcPr>
          <w:p w:rsidRPr="00E31E77" w:rsidR="00E31E77" w:rsidP="00E31E77" w:rsidRDefault="00E31E77" w14:paraId="643956FB" w14:textId="0BF48789">
            <w:pPr>
              <w:keepNext/>
              <w:keepLines/>
              <w:autoSpaceDE/>
              <w:autoSpaceDN/>
              <w:adjustRightInd/>
              <w:jc w:val="center"/>
              <w:rPr>
                <w:rFonts w:cs="Arial"/>
                <w:color w:val="000000"/>
                <w:sz w:val="18"/>
                <w:szCs w:val="18"/>
              </w:rPr>
            </w:pPr>
            <w:r w:rsidRPr="00E31E77">
              <w:rPr>
                <w:sz w:val="18"/>
                <w:szCs w:val="18"/>
              </w:rPr>
              <w:t>$135.07</w:t>
            </w:r>
          </w:p>
        </w:tc>
        <w:tc>
          <w:tcPr>
            <w:tcW w:w="625" w:type="pct"/>
            <w:tcBorders>
              <w:top w:val="single" w:color="auto" w:sz="4" w:space="0"/>
            </w:tcBorders>
            <w:shd w:val="clear" w:color="auto" w:fill="auto"/>
            <w:noWrap/>
            <w:vAlign w:val="center"/>
          </w:tcPr>
          <w:p w:rsidRPr="00E31E77" w:rsidR="00E31E77" w:rsidP="00E31E77" w:rsidRDefault="00E31E77" w14:paraId="06CACD27" w14:textId="3F0048DE">
            <w:pPr>
              <w:keepNext/>
              <w:keepLines/>
              <w:autoSpaceDE/>
              <w:autoSpaceDN/>
              <w:adjustRightInd/>
              <w:jc w:val="center"/>
              <w:rPr>
                <w:rFonts w:cs="Arial"/>
                <w:color w:val="000000"/>
                <w:sz w:val="18"/>
                <w:szCs w:val="18"/>
              </w:rPr>
            </w:pPr>
            <w:r w:rsidRPr="00E31E77">
              <w:rPr>
                <w:sz w:val="18"/>
                <w:szCs w:val="18"/>
              </w:rPr>
              <w:t>$162.08</w:t>
            </w:r>
          </w:p>
        </w:tc>
      </w:tr>
      <w:tr w:rsidRPr="009F5B80" w:rsidR="00E31E77" w:rsidTr="00DF6AD4" w14:paraId="476BCC07" w14:textId="77777777">
        <w:trPr>
          <w:trHeight w:val="288"/>
        </w:trPr>
        <w:tc>
          <w:tcPr>
            <w:tcW w:w="2595" w:type="pct"/>
            <w:shd w:val="clear" w:color="auto" w:fill="auto"/>
            <w:noWrap/>
            <w:tcMar>
              <w:left w:w="216" w:type="dxa"/>
              <w:right w:w="115" w:type="dxa"/>
            </w:tcMar>
            <w:vAlign w:val="center"/>
          </w:tcPr>
          <w:p w:rsidR="00E31E77" w:rsidP="00E31E77" w:rsidRDefault="00E31E77" w14:paraId="34AD4D61" w14:textId="77777777">
            <w:pPr>
              <w:widowControl w:val="0"/>
              <w:autoSpaceDE/>
              <w:autoSpaceDN/>
              <w:adjustRightInd/>
              <w:rPr>
                <w:rFonts w:cs="Arial"/>
                <w:color w:val="000000"/>
                <w:sz w:val="18"/>
                <w:szCs w:val="18"/>
              </w:rPr>
            </w:pPr>
            <w:r>
              <w:rPr>
                <w:rFonts w:cs="Arial"/>
                <w:color w:val="000000"/>
                <w:sz w:val="18"/>
                <w:szCs w:val="18"/>
              </w:rPr>
              <w:t>MRO</w:t>
            </w:r>
          </w:p>
        </w:tc>
        <w:tc>
          <w:tcPr>
            <w:tcW w:w="722" w:type="pct"/>
            <w:shd w:val="clear" w:color="auto" w:fill="auto"/>
            <w:noWrap/>
            <w:vAlign w:val="center"/>
          </w:tcPr>
          <w:p w:rsidR="00E31E77" w:rsidDel="00AA4B9F" w:rsidP="00E31E77" w:rsidRDefault="00E31E77" w14:paraId="777E5601" w14:textId="77777777">
            <w:pPr>
              <w:keepNext/>
              <w:keepLines/>
              <w:autoSpaceDE/>
              <w:autoSpaceDN/>
              <w:adjustRightInd/>
              <w:jc w:val="center"/>
              <w:rPr>
                <w:rFonts w:cs="Arial"/>
                <w:color w:val="000000"/>
                <w:sz w:val="18"/>
                <w:szCs w:val="18"/>
              </w:rPr>
            </w:pPr>
            <w:r w:rsidRPr="00441455">
              <w:rPr>
                <w:rFonts w:cs="Arial"/>
                <w:color w:val="000000"/>
                <w:sz w:val="18"/>
                <w:szCs w:val="18"/>
              </w:rPr>
              <w:t>PERT</w:t>
            </w:r>
          </w:p>
        </w:tc>
        <w:tc>
          <w:tcPr>
            <w:tcW w:w="529" w:type="pct"/>
            <w:shd w:val="clear" w:color="auto" w:fill="auto"/>
            <w:noWrap/>
            <w:vAlign w:val="center"/>
          </w:tcPr>
          <w:p w:rsidRPr="00E31E77" w:rsidR="00E31E77" w:rsidP="00E31E77" w:rsidRDefault="00E31E77" w14:paraId="44B6676A" w14:textId="08F84C09">
            <w:pPr>
              <w:keepNext/>
              <w:keepLines/>
              <w:autoSpaceDE/>
              <w:autoSpaceDN/>
              <w:adjustRightInd/>
              <w:jc w:val="center"/>
              <w:rPr>
                <w:rFonts w:cs="Arial"/>
                <w:color w:val="000000"/>
                <w:sz w:val="18"/>
                <w:szCs w:val="18"/>
              </w:rPr>
            </w:pPr>
            <w:r w:rsidRPr="00E31E77">
              <w:rPr>
                <w:sz w:val="18"/>
                <w:szCs w:val="18"/>
              </w:rPr>
              <w:t>$113.52</w:t>
            </w:r>
          </w:p>
        </w:tc>
        <w:tc>
          <w:tcPr>
            <w:tcW w:w="529" w:type="pct"/>
            <w:shd w:val="clear" w:color="auto" w:fill="auto"/>
            <w:noWrap/>
            <w:vAlign w:val="center"/>
          </w:tcPr>
          <w:p w:rsidRPr="00E31E77" w:rsidR="00E31E77" w:rsidP="00E31E77" w:rsidRDefault="00E31E77" w14:paraId="24AA1B83" w14:textId="3889B183">
            <w:pPr>
              <w:keepNext/>
              <w:keepLines/>
              <w:autoSpaceDE/>
              <w:autoSpaceDN/>
              <w:adjustRightInd/>
              <w:jc w:val="center"/>
              <w:rPr>
                <w:rFonts w:cs="Arial"/>
                <w:color w:val="000000"/>
                <w:sz w:val="18"/>
                <w:szCs w:val="18"/>
              </w:rPr>
            </w:pPr>
            <w:r w:rsidRPr="00E31E77">
              <w:rPr>
                <w:sz w:val="18"/>
                <w:szCs w:val="18"/>
              </w:rPr>
              <w:t>$151.36</w:t>
            </w:r>
          </w:p>
        </w:tc>
        <w:tc>
          <w:tcPr>
            <w:tcW w:w="625" w:type="pct"/>
            <w:shd w:val="clear" w:color="auto" w:fill="auto"/>
            <w:noWrap/>
            <w:vAlign w:val="center"/>
          </w:tcPr>
          <w:p w:rsidRPr="00E31E77" w:rsidR="00E31E77" w:rsidP="00E31E77" w:rsidRDefault="00E31E77" w14:paraId="2CEE2770" w14:textId="156BC9EE">
            <w:pPr>
              <w:keepNext/>
              <w:keepLines/>
              <w:autoSpaceDE/>
              <w:autoSpaceDN/>
              <w:adjustRightInd/>
              <w:jc w:val="center"/>
              <w:rPr>
                <w:rFonts w:cs="Arial"/>
                <w:color w:val="000000"/>
                <w:sz w:val="18"/>
                <w:szCs w:val="18"/>
              </w:rPr>
            </w:pPr>
            <w:r w:rsidRPr="00E31E77">
              <w:rPr>
                <w:sz w:val="18"/>
                <w:szCs w:val="18"/>
              </w:rPr>
              <w:t>$189.20</w:t>
            </w:r>
          </w:p>
        </w:tc>
      </w:tr>
      <w:tr w:rsidRPr="009F5B80" w:rsidR="00D520BD" w:rsidTr="00840C92" w14:paraId="5D6E510E" w14:textId="77777777">
        <w:trPr>
          <w:trHeight w:val="368"/>
        </w:trPr>
        <w:tc>
          <w:tcPr>
            <w:tcW w:w="5000" w:type="pct"/>
            <w:gridSpan w:val="5"/>
            <w:tcBorders>
              <w:bottom w:val="single" w:color="auto" w:sz="4" w:space="0"/>
            </w:tcBorders>
            <w:shd w:val="clear" w:color="auto" w:fill="D9D9D9" w:themeFill="background1" w:themeFillShade="D9"/>
            <w:noWrap/>
            <w:tcMar>
              <w:left w:w="216" w:type="dxa"/>
              <w:right w:w="115" w:type="dxa"/>
            </w:tcMar>
            <w:vAlign w:val="center"/>
          </w:tcPr>
          <w:p w:rsidR="00D520BD" w:rsidP="00982BD1" w:rsidRDefault="00D520BD" w14:paraId="0D7F084E" w14:textId="77777777">
            <w:pPr>
              <w:keepNext/>
              <w:keepLines/>
              <w:autoSpaceDE/>
              <w:autoSpaceDN/>
              <w:adjustRightInd/>
              <w:ind w:hanging="131"/>
              <w:rPr>
                <w:rFonts w:cs="Arial"/>
                <w:color w:val="000000"/>
                <w:sz w:val="18"/>
                <w:szCs w:val="18"/>
              </w:rPr>
            </w:pPr>
            <w:r w:rsidRPr="000649FD">
              <w:rPr>
                <w:rFonts w:cs="Arial"/>
                <w:b/>
                <w:bCs/>
                <w:color w:val="000000"/>
                <w:sz w:val="18"/>
                <w:szCs w:val="18"/>
              </w:rPr>
              <w:t>Industry Implementation</w:t>
            </w:r>
            <w:r>
              <w:rPr>
                <w:rFonts w:cs="Arial"/>
                <w:b/>
                <w:bCs/>
                <w:color w:val="000000"/>
                <w:sz w:val="18"/>
                <w:szCs w:val="18"/>
              </w:rPr>
              <w:t>—</w:t>
            </w:r>
            <w:r w:rsidRPr="000649FD">
              <w:rPr>
                <w:rFonts w:cs="Arial"/>
                <w:b/>
                <w:bCs/>
                <w:color w:val="000000"/>
                <w:sz w:val="18"/>
                <w:szCs w:val="18"/>
              </w:rPr>
              <w:t>Training</w:t>
            </w:r>
          </w:p>
        </w:tc>
      </w:tr>
      <w:tr w:rsidRPr="009F5B80" w:rsidR="00202756" w:rsidTr="0083183F" w14:paraId="4E314D45" w14:textId="77777777">
        <w:trPr>
          <w:trHeight w:val="566"/>
        </w:trPr>
        <w:tc>
          <w:tcPr>
            <w:tcW w:w="2595" w:type="pct"/>
            <w:shd w:val="clear" w:color="auto" w:fill="auto"/>
            <w:noWrap/>
            <w:tcMar>
              <w:left w:w="216" w:type="dxa"/>
              <w:right w:w="115" w:type="dxa"/>
            </w:tcMar>
            <w:vAlign w:val="center"/>
          </w:tcPr>
          <w:p w:rsidRPr="00840C92" w:rsidR="00202756" w:rsidP="00301CE5" w:rsidRDefault="00814EEA" w14:paraId="64365BA4" w14:textId="289C8224">
            <w:pPr>
              <w:keepNext/>
              <w:keepLines/>
              <w:widowControl w:val="0"/>
              <w:autoSpaceDE/>
              <w:autoSpaceDN/>
              <w:adjustRightInd/>
              <w:rPr>
                <w:sz w:val="18"/>
              </w:rPr>
            </w:pPr>
            <w:r w:rsidRPr="00840C92">
              <w:rPr>
                <w:sz w:val="18"/>
              </w:rPr>
              <w:t>Number of sites distribut</w:t>
            </w:r>
            <w:r w:rsidR="0083183F">
              <w:rPr>
                <w:sz w:val="18"/>
              </w:rPr>
              <w:t>ing</w:t>
            </w:r>
            <w:r w:rsidRPr="00840C92">
              <w:rPr>
                <w:sz w:val="18"/>
              </w:rPr>
              <w:t xml:space="preserve"> a summary of FFD program rule changes to employees outside of routine training</w:t>
            </w:r>
          </w:p>
        </w:tc>
        <w:tc>
          <w:tcPr>
            <w:tcW w:w="722" w:type="pct"/>
            <w:shd w:val="clear" w:color="auto" w:fill="auto"/>
            <w:noWrap/>
            <w:vAlign w:val="center"/>
          </w:tcPr>
          <w:p w:rsidRPr="00840C92" w:rsidR="00202756" w:rsidP="00982BD1" w:rsidRDefault="00814EEA" w14:paraId="14668AE2" w14:textId="7D42B31C">
            <w:pPr>
              <w:keepNext/>
              <w:keepLines/>
              <w:autoSpaceDE/>
              <w:autoSpaceDN/>
              <w:adjustRightInd/>
              <w:jc w:val="center"/>
              <w:rPr>
                <w:rFonts w:cs="Arial"/>
                <w:color w:val="000000"/>
                <w:sz w:val="18"/>
                <w:szCs w:val="18"/>
              </w:rPr>
            </w:pPr>
            <w:r w:rsidRPr="00840C92">
              <w:rPr>
                <w:rFonts w:cs="Arial"/>
                <w:color w:val="000000"/>
                <w:sz w:val="18"/>
                <w:szCs w:val="18"/>
              </w:rPr>
              <w:t>Uniform</w:t>
            </w:r>
          </w:p>
        </w:tc>
        <w:tc>
          <w:tcPr>
            <w:tcW w:w="529" w:type="pct"/>
            <w:shd w:val="clear" w:color="auto" w:fill="auto"/>
            <w:noWrap/>
            <w:vAlign w:val="center"/>
          </w:tcPr>
          <w:p w:rsidRPr="00840C92" w:rsidR="00202756" w:rsidP="00982BD1" w:rsidRDefault="00814EEA" w14:paraId="3CEAAD95" w14:textId="2746A31C">
            <w:pPr>
              <w:keepNext/>
              <w:keepLines/>
              <w:autoSpaceDE/>
              <w:autoSpaceDN/>
              <w:adjustRightInd/>
              <w:jc w:val="center"/>
              <w:rPr>
                <w:rFonts w:cs="Arial"/>
                <w:color w:val="000000"/>
                <w:sz w:val="18"/>
                <w:szCs w:val="18"/>
              </w:rPr>
            </w:pPr>
            <w:r w:rsidRPr="00840C92">
              <w:rPr>
                <w:rFonts w:cs="Arial"/>
                <w:color w:val="000000"/>
                <w:sz w:val="18"/>
                <w:szCs w:val="18"/>
              </w:rPr>
              <w:t>0%</w:t>
            </w:r>
          </w:p>
        </w:tc>
        <w:tc>
          <w:tcPr>
            <w:tcW w:w="529" w:type="pct"/>
            <w:shd w:val="clear" w:color="auto" w:fill="D9D9D9" w:themeFill="background1" w:themeFillShade="D9"/>
            <w:noWrap/>
            <w:vAlign w:val="center"/>
          </w:tcPr>
          <w:p w:rsidRPr="00840C92" w:rsidR="00202756" w:rsidP="00982BD1" w:rsidRDefault="00202756" w14:paraId="121210C9" w14:textId="77777777">
            <w:pPr>
              <w:keepNext/>
              <w:keepLines/>
              <w:autoSpaceDE/>
              <w:autoSpaceDN/>
              <w:adjustRightInd/>
              <w:jc w:val="center"/>
              <w:rPr>
                <w:rFonts w:cs="Arial"/>
                <w:color w:val="000000"/>
                <w:sz w:val="18"/>
                <w:szCs w:val="18"/>
              </w:rPr>
            </w:pPr>
          </w:p>
        </w:tc>
        <w:tc>
          <w:tcPr>
            <w:tcW w:w="625" w:type="pct"/>
            <w:shd w:val="clear" w:color="auto" w:fill="auto"/>
            <w:noWrap/>
            <w:vAlign w:val="center"/>
          </w:tcPr>
          <w:p w:rsidR="00202756" w:rsidP="00982BD1" w:rsidRDefault="001A7AA1" w14:paraId="5A1AB8D3" w14:textId="0E38E547">
            <w:pPr>
              <w:keepNext/>
              <w:keepLines/>
              <w:autoSpaceDE/>
              <w:autoSpaceDN/>
              <w:adjustRightInd/>
              <w:jc w:val="center"/>
              <w:rPr>
                <w:rFonts w:cs="Arial"/>
                <w:color w:val="000000"/>
                <w:sz w:val="18"/>
                <w:szCs w:val="18"/>
              </w:rPr>
            </w:pPr>
            <w:r>
              <w:rPr>
                <w:rFonts w:cs="Arial"/>
                <w:color w:val="000000"/>
                <w:sz w:val="18"/>
                <w:szCs w:val="18"/>
              </w:rPr>
              <w:t>1</w:t>
            </w:r>
            <w:r w:rsidRPr="00840C92" w:rsidR="00814EEA">
              <w:rPr>
                <w:rFonts w:cs="Arial"/>
                <w:color w:val="000000"/>
                <w:sz w:val="18"/>
                <w:szCs w:val="18"/>
              </w:rPr>
              <w:t>0%</w:t>
            </w:r>
          </w:p>
        </w:tc>
      </w:tr>
      <w:tr w:rsidRPr="009F5B80" w:rsidR="00D520BD" w:rsidTr="00463EF5" w14:paraId="37400A64" w14:textId="77777777">
        <w:trPr>
          <w:trHeight w:val="251"/>
        </w:trPr>
        <w:tc>
          <w:tcPr>
            <w:tcW w:w="2595" w:type="pct"/>
            <w:shd w:val="clear" w:color="auto" w:fill="auto"/>
            <w:noWrap/>
            <w:tcMar>
              <w:left w:w="216" w:type="dxa"/>
              <w:right w:w="115" w:type="dxa"/>
            </w:tcMar>
            <w:vAlign w:val="center"/>
          </w:tcPr>
          <w:p w:rsidRPr="000649FD" w:rsidR="00D520BD" w:rsidP="00982BD1" w:rsidRDefault="00D520BD" w14:paraId="6C28732E" w14:textId="77777777">
            <w:pPr>
              <w:widowControl w:val="0"/>
              <w:autoSpaceDE/>
              <w:autoSpaceDN/>
              <w:adjustRightInd/>
              <w:rPr>
                <w:rFonts w:cs="Arial"/>
                <w:color w:val="000000"/>
                <w:sz w:val="18"/>
                <w:szCs w:val="18"/>
              </w:rPr>
            </w:pPr>
            <w:r w:rsidRPr="000649FD">
              <w:rPr>
                <w:sz w:val="18"/>
              </w:rPr>
              <w:t>Cost of LTF training materials</w:t>
            </w:r>
            <w:r>
              <w:rPr>
                <w:sz w:val="18"/>
              </w:rPr>
              <w:t xml:space="preserve"> (per LTF)</w:t>
            </w:r>
          </w:p>
        </w:tc>
        <w:tc>
          <w:tcPr>
            <w:tcW w:w="722" w:type="pct"/>
            <w:shd w:val="clear" w:color="auto" w:fill="auto"/>
            <w:noWrap/>
            <w:vAlign w:val="center"/>
          </w:tcPr>
          <w:p w:rsidRPr="00441455" w:rsidR="00D520BD" w:rsidP="00982BD1" w:rsidRDefault="00D520BD" w14:paraId="66D79788" w14:textId="77777777">
            <w:pPr>
              <w:keepNext/>
              <w:keepLines/>
              <w:autoSpaceDE/>
              <w:autoSpaceDN/>
              <w:adjustRightInd/>
              <w:jc w:val="center"/>
              <w:rPr>
                <w:rFonts w:cs="Arial"/>
                <w:color w:val="000000"/>
                <w:sz w:val="18"/>
                <w:szCs w:val="18"/>
              </w:rPr>
            </w:pPr>
            <w:r>
              <w:rPr>
                <w:rFonts w:cs="Arial"/>
                <w:color w:val="000000"/>
                <w:sz w:val="18"/>
                <w:szCs w:val="18"/>
              </w:rPr>
              <w:t>PERT</w:t>
            </w:r>
          </w:p>
        </w:tc>
        <w:tc>
          <w:tcPr>
            <w:tcW w:w="529" w:type="pct"/>
            <w:shd w:val="clear" w:color="auto" w:fill="auto"/>
            <w:noWrap/>
            <w:vAlign w:val="center"/>
          </w:tcPr>
          <w:p w:rsidR="00D520BD" w:rsidP="00982BD1" w:rsidRDefault="00D520BD" w14:paraId="77DD24EE" w14:textId="77777777">
            <w:pPr>
              <w:keepNext/>
              <w:keepLines/>
              <w:autoSpaceDE/>
              <w:autoSpaceDN/>
              <w:adjustRightInd/>
              <w:jc w:val="center"/>
              <w:rPr>
                <w:rFonts w:cs="Arial"/>
                <w:color w:val="000000"/>
                <w:sz w:val="18"/>
                <w:szCs w:val="18"/>
              </w:rPr>
            </w:pPr>
            <w:r>
              <w:rPr>
                <w:rFonts w:cs="Arial"/>
                <w:color w:val="000000"/>
                <w:sz w:val="18"/>
                <w:szCs w:val="18"/>
              </w:rPr>
              <w:t>$400</w:t>
            </w:r>
          </w:p>
        </w:tc>
        <w:tc>
          <w:tcPr>
            <w:tcW w:w="529" w:type="pct"/>
            <w:shd w:val="clear" w:color="auto" w:fill="auto"/>
            <w:noWrap/>
            <w:vAlign w:val="center"/>
          </w:tcPr>
          <w:p w:rsidR="00D520BD" w:rsidP="00982BD1" w:rsidRDefault="00D520BD" w14:paraId="79DEA735" w14:textId="77777777">
            <w:pPr>
              <w:keepNext/>
              <w:keepLines/>
              <w:autoSpaceDE/>
              <w:autoSpaceDN/>
              <w:adjustRightInd/>
              <w:jc w:val="center"/>
              <w:rPr>
                <w:rFonts w:cs="Arial"/>
                <w:color w:val="000000"/>
                <w:sz w:val="18"/>
                <w:szCs w:val="18"/>
              </w:rPr>
            </w:pPr>
            <w:r>
              <w:rPr>
                <w:rFonts w:cs="Arial"/>
                <w:color w:val="000000"/>
                <w:sz w:val="18"/>
                <w:szCs w:val="18"/>
              </w:rPr>
              <w:t>$500</w:t>
            </w:r>
          </w:p>
        </w:tc>
        <w:tc>
          <w:tcPr>
            <w:tcW w:w="625" w:type="pct"/>
            <w:shd w:val="clear" w:color="auto" w:fill="auto"/>
            <w:noWrap/>
            <w:vAlign w:val="center"/>
          </w:tcPr>
          <w:p w:rsidR="00D520BD" w:rsidP="00982BD1" w:rsidRDefault="00D520BD" w14:paraId="6DC19A0E" w14:textId="77777777">
            <w:pPr>
              <w:keepNext/>
              <w:keepLines/>
              <w:autoSpaceDE/>
              <w:autoSpaceDN/>
              <w:adjustRightInd/>
              <w:jc w:val="center"/>
              <w:rPr>
                <w:rFonts w:cs="Arial"/>
                <w:color w:val="000000"/>
                <w:sz w:val="18"/>
                <w:szCs w:val="18"/>
              </w:rPr>
            </w:pPr>
            <w:r>
              <w:rPr>
                <w:rFonts w:cs="Arial"/>
                <w:color w:val="000000"/>
                <w:sz w:val="18"/>
                <w:szCs w:val="18"/>
              </w:rPr>
              <w:t>$800</w:t>
            </w:r>
          </w:p>
        </w:tc>
      </w:tr>
      <w:tr w:rsidRPr="009F5B80" w:rsidR="00814EEA" w:rsidTr="00463EF5" w14:paraId="34189201" w14:textId="77777777">
        <w:trPr>
          <w:trHeight w:val="251"/>
        </w:trPr>
        <w:tc>
          <w:tcPr>
            <w:tcW w:w="2595" w:type="pct"/>
            <w:shd w:val="clear" w:color="auto" w:fill="auto"/>
            <w:noWrap/>
            <w:tcMar>
              <w:left w:w="216" w:type="dxa"/>
              <w:right w:w="115" w:type="dxa"/>
            </w:tcMar>
            <w:vAlign w:val="center"/>
          </w:tcPr>
          <w:p w:rsidRPr="000649FD" w:rsidR="00814EEA" w:rsidP="00982BD1" w:rsidRDefault="00624AD6" w14:paraId="44B1E12D" w14:textId="3C6CAC10">
            <w:pPr>
              <w:widowControl w:val="0"/>
              <w:autoSpaceDE/>
              <w:autoSpaceDN/>
              <w:adjustRightInd/>
              <w:rPr>
                <w:sz w:val="18"/>
              </w:rPr>
            </w:pPr>
            <w:r w:rsidRPr="00624AD6">
              <w:rPr>
                <w:sz w:val="18"/>
              </w:rPr>
              <w:t>Number of Laboratory Technicians per LTF</w:t>
            </w:r>
          </w:p>
        </w:tc>
        <w:tc>
          <w:tcPr>
            <w:tcW w:w="722" w:type="pct"/>
            <w:shd w:val="clear" w:color="auto" w:fill="auto"/>
            <w:noWrap/>
            <w:vAlign w:val="center"/>
          </w:tcPr>
          <w:p w:rsidR="00814EEA" w:rsidP="00982BD1" w:rsidRDefault="00624AD6" w14:paraId="77186212" w14:textId="13D48CDF">
            <w:pPr>
              <w:keepNext/>
              <w:keepLines/>
              <w:autoSpaceDE/>
              <w:autoSpaceDN/>
              <w:adjustRightInd/>
              <w:jc w:val="center"/>
              <w:rPr>
                <w:rFonts w:cs="Arial"/>
                <w:color w:val="000000"/>
                <w:sz w:val="18"/>
                <w:szCs w:val="18"/>
              </w:rPr>
            </w:pPr>
            <w:r>
              <w:rPr>
                <w:rFonts w:cs="Arial"/>
                <w:color w:val="000000"/>
                <w:sz w:val="18"/>
                <w:szCs w:val="18"/>
              </w:rPr>
              <w:t>PERT</w:t>
            </w:r>
          </w:p>
        </w:tc>
        <w:tc>
          <w:tcPr>
            <w:tcW w:w="529" w:type="pct"/>
            <w:shd w:val="clear" w:color="auto" w:fill="auto"/>
            <w:noWrap/>
            <w:vAlign w:val="center"/>
          </w:tcPr>
          <w:p w:rsidR="00814EEA" w:rsidP="00982BD1" w:rsidRDefault="00624AD6" w14:paraId="7D774DDD" w14:textId="5C2CF458">
            <w:pPr>
              <w:keepNext/>
              <w:keepLines/>
              <w:autoSpaceDE/>
              <w:autoSpaceDN/>
              <w:adjustRightInd/>
              <w:jc w:val="center"/>
              <w:rPr>
                <w:rFonts w:cs="Arial"/>
                <w:color w:val="000000"/>
                <w:sz w:val="18"/>
                <w:szCs w:val="18"/>
              </w:rPr>
            </w:pPr>
            <w:r>
              <w:rPr>
                <w:rFonts w:cs="Arial"/>
                <w:color w:val="000000"/>
                <w:sz w:val="18"/>
                <w:szCs w:val="18"/>
              </w:rPr>
              <w:t>2</w:t>
            </w:r>
          </w:p>
        </w:tc>
        <w:tc>
          <w:tcPr>
            <w:tcW w:w="529" w:type="pct"/>
            <w:shd w:val="clear" w:color="auto" w:fill="auto"/>
            <w:noWrap/>
            <w:vAlign w:val="center"/>
          </w:tcPr>
          <w:p w:rsidR="00814EEA" w:rsidP="00982BD1" w:rsidRDefault="00624AD6" w14:paraId="64F304E7" w14:textId="43A6A9B0">
            <w:pPr>
              <w:keepNext/>
              <w:keepLines/>
              <w:autoSpaceDE/>
              <w:autoSpaceDN/>
              <w:adjustRightInd/>
              <w:jc w:val="center"/>
              <w:rPr>
                <w:rFonts w:cs="Arial"/>
                <w:color w:val="000000"/>
                <w:sz w:val="18"/>
                <w:szCs w:val="18"/>
              </w:rPr>
            </w:pPr>
            <w:r>
              <w:rPr>
                <w:rFonts w:cs="Arial"/>
                <w:color w:val="000000"/>
                <w:sz w:val="18"/>
                <w:szCs w:val="18"/>
              </w:rPr>
              <w:t>2</w:t>
            </w:r>
          </w:p>
        </w:tc>
        <w:tc>
          <w:tcPr>
            <w:tcW w:w="625" w:type="pct"/>
            <w:shd w:val="clear" w:color="auto" w:fill="auto"/>
            <w:noWrap/>
            <w:vAlign w:val="center"/>
          </w:tcPr>
          <w:p w:rsidR="00814EEA" w:rsidP="00982BD1" w:rsidRDefault="00624AD6" w14:paraId="5A10083A" w14:textId="6BC896FB">
            <w:pPr>
              <w:keepNext/>
              <w:keepLines/>
              <w:autoSpaceDE/>
              <w:autoSpaceDN/>
              <w:adjustRightInd/>
              <w:jc w:val="center"/>
              <w:rPr>
                <w:rFonts w:cs="Arial"/>
                <w:color w:val="000000"/>
                <w:sz w:val="18"/>
                <w:szCs w:val="18"/>
              </w:rPr>
            </w:pPr>
            <w:r>
              <w:rPr>
                <w:rFonts w:cs="Arial"/>
                <w:color w:val="000000"/>
                <w:sz w:val="18"/>
                <w:szCs w:val="18"/>
              </w:rPr>
              <w:t>3</w:t>
            </w:r>
          </w:p>
        </w:tc>
      </w:tr>
      <w:tr w:rsidRPr="009F5B80" w:rsidR="00D520BD" w:rsidTr="00982BD1" w14:paraId="325EF529" w14:textId="77777777">
        <w:trPr>
          <w:trHeight w:val="377"/>
        </w:trPr>
        <w:tc>
          <w:tcPr>
            <w:tcW w:w="5000" w:type="pct"/>
            <w:gridSpan w:val="5"/>
            <w:shd w:val="clear" w:color="auto" w:fill="D9D9D9" w:themeFill="background1" w:themeFillShade="D9"/>
            <w:noWrap/>
            <w:tcMar>
              <w:left w:w="216" w:type="dxa"/>
              <w:right w:w="115" w:type="dxa"/>
            </w:tcMar>
            <w:vAlign w:val="center"/>
          </w:tcPr>
          <w:p w:rsidR="00D520BD" w:rsidP="00982BD1" w:rsidRDefault="00D520BD" w14:paraId="2EDB692F" w14:textId="22A3ED5B">
            <w:pPr>
              <w:keepNext/>
              <w:keepLines/>
              <w:autoSpaceDE/>
              <w:autoSpaceDN/>
              <w:adjustRightInd/>
              <w:ind w:hanging="131"/>
              <w:rPr>
                <w:rFonts w:cs="Arial"/>
                <w:color w:val="000000"/>
                <w:sz w:val="18"/>
                <w:szCs w:val="18"/>
              </w:rPr>
            </w:pPr>
            <w:r w:rsidRPr="002234F6">
              <w:rPr>
                <w:rFonts w:cs="Arial"/>
                <w:b/>
                <w:bCs/>
                <w:color w:val="000000"/>
                <w:sz w:val="18"/>
                <w:szCs w:val="18"/>
              </w:rPr>
              <w:t>Industry</w:t>
            </w:r>
            <w:r>
              <w:rPr>
                <w:rFonts w:cs="Arial"/>
                <w:b/>
                <w:bCs/>
                <w:color w:val="000000"/>
                <w:sz w:val="18"/>
                <w:szCs w:val="18"/>
              </w:rPr>
              <w:t xml:space="preserve"> Operations—FFD Drug Testing Costs</w:t>
            </w:r>
          </w:p>
        </w:tc>
      </w:tr>
      <w:tr w:rsidRPr="009F5B80" w:rsidR="00D520BD" w:rsidTr="00DF6AD4" w14:paraId="40473563" w14:textId="77777777">
        <w:trPr>
          <w:trHeight w:val="332"/>
        </w:trPr>
        <w:tc>
          <w:tcPr>
            <w:tcW w:w="2595" w:type="pct"/>
            <w:tcBorders>
              <w:top w:val="single" w:color="auto" w:sz="4" w:space="0"/>
              <w:left w:val="single" w:color="auto" w:sz="4" w:space="0"/>
              <w:bottom w:val="single" w:color="auto" w:sz="4" w:space="0"/>
              <w:right w:val="single" w:color="auto" w:sz="4" w:space="0"/>
            </w:tcBorders>
            <w:shd w:val="clear" w:color="auto" w:fill="auto"/>
            <w:noWrap/>
            <w:tcMar>
              <w:left w:w="216" w:type="dxa"/>
              <w:right w:w="115" w:type="dxa"/>
            </w:tcMar>
            <w:vAlign w:val="center"/>
          </w:tcPr>
          <w:p w:rsidRPr="00944822" w:rsidR="00D520BD" w:rsidP="00982BD1" w:rsidRDefault="00D520BD" w14:paraId="7FEFEB80" w14:textId="77777777">
            <w:pPr>
              <w:widowControl w:val="0"/>
              <w:autoSpaceDE/>
              <w:autoSpaceDN/>
              <w:adjustRightInd/>
              <w:rPr>
                <w:rFonts w:cs="Arial"/>
                <w:color w:val="000000"/>
                <w:sz w:val="18"/>
                <w:szCs w:val="18"/>
              </w:rPr>
            </w:pPr>
            <w:r w:rsidRPr="00944822">
              <w:rPr>
                <w:rFonts w:cs="Arial"/>
                <w:sz w:val="18"/>
              </w:rPr>
              <w:t>Initial testing for one additional drug at an LTF</w:t>
            </w:r>
          </w:p>
        </w:tc>
        <w:tc>
          <w:tcPr>
            <w:tcW w:w="72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41455" w:rsidR="00D520BD" w:rsidP="00982BD1" w:rsidRDefault="00D520BD" w14:paraId="322A83E3" w14:textId="77777777">
            <w:pPr>
              <w:keepNext/>
              <w:keepLines/>
              <w:autoSpaceDE/>
              <w:autoSpaceDN/>
              <w:adjustRightInd/>
              <w:jc w:val="center"/>
              <w:rPr>
                <w:rFonts w:cs="Arial"/>
                <w:color w:val="000000"/>
                <w:sz w:val="18"/>
                <w:szCs w:val="18"/>
              </w:rPr>
            </w:pPr>
            <w:r>
              <w:rPr>
                <w:rFonts w:cs="Arial"/>
                <w:color w:val="000000"/>
                <w:sz w:val="18"/>
                <w:szCs w:val="18"/>
              </w:rPr>
              <w:t>PERT</w:t>
            </w:r>
          </w:p>
        </w:tc>
        <w:tc>
          <w:tcPr>
            <w:tcW w:w="529"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rsidR="00D520BD" w:rsidP="00982BD1" w:rsidRDefault="00D520BD" w14:paraId="24127502" w14:textId="1E4ECB7B">
            <w:pPr>
              <w:keepNext/>
              <w:keepLines/>
              <w:autoSpaceDE/>
              <w:autoSpaceDN/>
              <w:adjustRightInd/>
              <w:jc w:val="center"/>
              <w:rPr>
                <w:rFonts w:cs="Arial"/>
                <w:color w:val="000000"/>
                <w:sz w:val="18"/>
                <w:szCs w:val="18"/>
              </w:rPr>
            </w:pPr>
            <w:r>
              <w:rPr>
                <w:rFonts w:cs="Arial"/>
                <w:color w:val="000000"/>
                <w:sz w:val="18"/>
                <w:szCs w:val="18"/>
              </w:rPr>
              <w:t>$1.</w:t>
            </w:r>
            <w:r w:rsidR="003C428C">
              <w:rPr>
                <w:rFonts w:cs="Arial"/>
                <w:color w:val="000000"/>
                <w:sz w:val="18"/>
                <w:szCs w:val="18"/>
              </w:rPr>
              <w:t>50</w:t>
            </w:r>
          </w:p>
        </w:tc>
        <w:tc>
          <w:tcPr>
            <w:tcW w:w="529" w:type="pct"/>
            <w:tcBorders>
              <w:top w:val="single" w:color="auto" w:sz="4" w:space="0"/>
              <w:left w:val="single" w:color="auto" w:sz="4" w:space="0"/>
              <w:bottom w:val="single" w:color="auto" w:sz="4" w:space="0"/>
            </w:tcBorders>
            <w:shd w:val="clear" w:color="auto" w:fill="FFFFFF" w:themeFill="background1"/>
            <w:noWrap/>
            <w:vAlign w:val="center"/>
          </w:tcPr>
          <w:p w:rsidR="00D520BD" w:rsidP="00982BD1" w:rsidRDefault="00D520BD" w14:paraId="731F8386" w14:textId="74856259">
            <w:pPr>
              <w:keepNext/>
              <w:keepLines/>
              <w:autoSpaceDE/>
              <w:autoSpaceDN/>
              <w:adjustRightInd/>
              <w:jc w:val="center"/>
              <w:rPr>
                <w:rFonts w:cs="Arial"/>
                <w:color w:val="000000"/>
                <w:sz w:val="18"/>
                <w:szCs w:val="18"/>
              </w:rPr>
            </w:pPr>
            <w:r>
              <w:rPr>
                <w:rFonts w:cs="Arial"/>
                <w:color w:val="000000"/>
                <w:sz w:val="18"/>
                <w:szCs w:val="18"/>
              </w:rPr>
              <w:t>$</w:t>
            </w:r>
            <w:r w:rsidR="003C428C">
              <w:rPr>
                <w:rFonts w:cs="Arial"/>
                <w:color w:val="000000"/>
                <w:sz w:val="18"/>
                <w:szCs w:val="18"/>
              </w:rPr>
              <w:t>3.24</w:t>
            </w:r>
          </w:p>
        </w:tc>
        <w:tc>
          <w:tcPr>
            <w:tcW w:w="625" w:type="pct"/>
            <w:shd w:val="clear" w:color="auto" w:fill="FFFFFF" w:themeFill="background1"/>
            <w:noWrap/>
            <w:vAlign w:val="center"/>
          </w:tcPr>
          <w:p w:rsidR="00D520BD" w:rsidP="00982BD1" w:rsidRDefault="00D520BD" w14:paraId="1B05958E" w14:textId="1EA6E936">
            <w:pPr>
              <w:keepNext/>
              <w:keepLines/>
              <w:autoSpaceDE/>
              <w:autoSpaceDN/>
              <w:adjustRightInd/>
              <w:jc w:val="center"/>
              <w:rPr>
                <w:rFonts w:cs="Arial"/>
                <w:color w:val="000000"/>
                <w:sz w:val="18"/>
                <w:szCs w:val="18"/>
              </w:rPr>
            </w:pPr>
            <w:r>
              <w:rPr>
                <w:rFonts w:cs="Arial"/>
                <w:color w:val="000000"/>
                <w:sz w:val="18"/>
                <w:szCs w:val="18"/>
              </w:rPr>
              <w:t>$</w:t>
            </w:r>
            <w:r w:rsidR="003C428C">
              <w:rPr>
                <w:rFonts w:cs="Arial"/>
                <w:color w:val="000000"/>
                <w:sz w:val="18"/>
                <w:szCs w:val="18"/>
              </w:rPr>
              <w:t>7.06</w:t>
            </w:r>
          </w:p>
        </w:tc>
      </w:tr>
      <w:tr w:rsidRPr="009F5B80" w:rsidR="00D520BD" w:rsidTr="00DF6AD4" w14:paraId="0F477A05" w14:textId="77777777">
        <w:trPr>
          <w:trHeight w:val="530"/>
        </w:trPr>
        <w:tc>
          <w:tcPr>
            <w:tcW w:w="2595" w:type="pct"/>
            <w:tcBorders>
              <w:top w:val="single" w:color="auto" w:sz="4" w:space="0"/>
              <w:left w:val="single" w:color="auto" w:sz="4" w:space="0"/>
              <w:bottom w:val="single" w:color="auto" w:sz="4" w:space="0"/>
              <w:right w:val="single" w:color="auto" w:sz="4" w:space="0"/>
            </w:tcBorders>
            <w:shd w:val="clear" w:color="000000" w:fill="FFFFFF"/>
            <w:noWrap/>
            <w:tcMar>
              <w:left w:w="216" w:type="dxa"/>
              <w:right w:w="115" w:type="dxa"/>
            </w:tcMar>
            <w:vAlign w:val="center"/>
          </w:tcPr>
          <w:p w:rsidRPr="00944822" w:rsidR="00D520BD" w:rsidP="00982BD1" w:rsidRDefault="00D520BD" w14:paraId="06D7F7C7" w14:textId="19D8B95B">
            <w:pPr>
              <w:widowControl w:val="0"/>
              <w:autoSpaceDE/>
              <w:autoSpaceDN/>
              <w:adjustRightInd/>
              <w:rPr>
                <w:rFonts w:cs="Arial"/>
                <w:sz w:val="18"/>
              </w:rPr>
            </w:pPr>
            <w:r w:rsidRPr="00944822">
              <w:rPr>
                <w:rFonts w:cs="Arial"/>
                <w:sz w:val="18"/>
              </w:rPr>
              <w:t>Initial and confirmatory drug testing</w:t>
            </w:r>
            <w:r w:rsidR="00646A79">
              <w:rPr>
                <w:rFonts w:cs="Arial"/>
                <w:sz w:val="18"/>
              </w:rPr>
              <w:t>,</w:t>
            </w:r>
            <w:r w:rsidRPr="00944822">
              <w:rPr>
                <w:rFonts w:cs="Arial"/>
                <w:sz w:val="18"/>
              </w:rPr>
              <w:t xml:space="preserve"> HHS-certified laboratory</w:t>
            </w:r>
            <w:r>
              <w:rPr>
                <w:rFonts w:cs="Arial"/>
                <w:sz w:val="18"/>
              </w:rPr>
              <w:t xml:space="preserve"> </w:t>
            </w:r>
            <w:r w:rsidRPr="00944822">
              <w:rPr>
                <w:rFonts w:cs="Arial"/>
                <w:sz w:val="18"/>
              </w:rPr>
              <w:t>(sites using an LTF for initial testing)</w:t>
            </w:r>
          </w:p>
        </w:tc>
        <w:tc>
          <w:tcPr>
            <w:tcW w:w="722" w:type="pct"/>
            <w:tcBorders>
              <w:left w:val="single" w:color="auto" w:sz="4" w:space="0"/>
              <w:right w:val="single" w:color="auto" w:sz="4" w:space="0"/>
            </w:tcBorders>
            <w:shd w:val="clear" w:color="auto" w:fill="auto"/>
            <w:noWrap/>
            <w:vAlign w:val="center"/>
          </w:tcPr>
          <w:p w:rsidR="00D520BD" w:rsidP="00982BD1" w:rsidRDefault="00D520BD" w14:paraId="2649347B" w14:textId="77777777">
            <w:pPr>
              <w:keepNext/>
              <w:keepLines/>
              <w:autoSpaceDE/>
              <w:autoSpaceDN/>
              <w:adjustRightInd/>
              <w:jc w:val="center"/>
              <w:rPr>
                <w:rFonts w:cs="Arial"/>
                <w:color w:val="000000"/>
                <w:sz w:val="18"/>
                <w:szCs w:val="18"/>
              </w:rPr>
            </w:pPr>
            <w:r>
              <w:rPr>
                <w:rFonts w:cs="Arial"/>
                <w:color w:val="000000"/>
                <w:sz w:val="18"/>
                <w:szCs w:val="18"/>
              </w:rPr>
              <w:t>PERT</w:t>
            </w:r>
          </w:p>
        </w:tc>
        <w:tc>
          <w:tcPr>
            <w:tcW w:w="529" w:type="pct"/>
            <w:tcBorders>
              <w:left w:val="single" w:color="auto" w:sz="4" w:space="0"/>
              <w:right w:val="single" w:color="auto" w:sz="4" w:space="0"/>
            </w:tcBorders>
            <w:shd w:val="clear" w:color="auto" w:fill="FFFFFF" w:themeFill="background1"/>
            <w:noWrap/>
            <w:vAlign w:val="center"/>
          </w:tcPr>
          <w:p w:rsidR="00D520BD" w:rsidP="00982BD1" w:rsidRDefault="00D520BD" w14:paraId="616F2C72" w14:textId="4B61C7ED">
            <w:pPr>
              <w:keepNext/>
              <w:keepLines/>
              <w:autoSpaceDE/>
              <w:autoSpaceDN/>
              <w:adjustRightInd/>
              <w:jc w:val="center"/>
              <w:rPr>
                <w:rFonts w:cs="Arial"/>
                <w:color w:val="000000"/>
                <w:sz w:val="18"/>
                <w:szCs w:val="18"/>
              </w:rPr>
            </w:pPr>
            <w:r>
              <w:rPr>
                <w:rFonts w:cs="Arial"/>
                <w:color w:val="000000"/>
                <w:sz w:val="18"/>
                <w:szCs w:val="18"/>
              </w:rPr>
              <w:t>$</w:t>
            </w:r>
            <w:r w:rsidR="00753EFF">
              <w:rPr>
                <w:rFonts w:cs="Arial"/>
                <w:color w:val="000000"/>
                <w:sz w:val="18"/>
                <w:szCs w:val="18"/>
              </w:rPr>
              <w:t>16</w:t>
            </w:r>
            <w:r>
              <w:rPr>
                <w:rFonts w:cs="Arial"/>
                <w:color w:val="000000"/>
                <w:sz w:val="18"/>
                <w:szCs w:val="18"/>
              </w:rPr>
              <w:t>.00</w:t>
            </w:r>
          </w:p>
        </w:tc>
        <w:tc>
          <w:tcPr>
            <w:tcW w:w="529" w:type="pct"/>
            <w:tcBorders>
              <w:left w:val="single" w:color="auto" w:sz="4" w:space="0"/>
              <w:bottom w:val="single" w:color="auto" w:sz="4" w:space="0"/>
            </w:tcBorders>
            <w:shd w:val="clear" w:color="auto" w:fill="FFFFFF" w:themeFill="background1"/>
            <w:noWrap/>
            <w:vAlign w:val="center"/>
          </w:tcPr>
          <w:p w:rsidR="00D520BD" w:rsidP="00982BD1" w:rsidRDefault="00D520BD" w14:paraId="0109027C" w14:textId="013FB1A2">
            <w:pPr>
              <w:keepNext/>
              <w:keepLines/>
              <w:autoSpaceDE/>
              <w:autoSpaceDN/>
              <w:adjustRightInd/>
              <w:jc w:val="center"/>
              <w:rPr>
                <w:rFonts w:cs="Arial"/>
                <w:color w:val="000000"/>
                <w:sz w:val="18"/>
                <w:szCs w:val="18"/>
              </w:rPr>
            </w:pPr>
            <w:r>
              <w:rPr>
                <w:rFonts w:cs="Arial"/>
                <w:color w:val="000000"/>
                <w:sz w:val="18"/>
                <w:szCs w:val="18"/>
              </w:rPr>
              <w:t>$</w:t>
            </w:r>
            <w:r w:rsidR="00753EFF">
              <w:rPr>
                <w:rFonts w:cs="Arial"/>
                <w:color w:val="000000"/>
                <w:sz w:val="18"/>
                <w:szCs w:val="18"/>
              </w:rPr>
              <w:t>30</w:t>
            </w:r>
            <w:r>
              <w:rPr>
                <w:rFonts w:cs="Arial"/>
                <w:color w:val="000000"/>
                <w:sz w:val="18"/>
                <w:szCs w:val="18"/>
              </w:rPr>
              <w:t>.00</w:t>
            </w:r>
          </w:p>
        </w:tc>
        <w:tc>
          <w:tcPr>
            <w:tcW w:w="625" w:type="pct"/>
            <w:shd w:val="clear" w:color="auto" w:fill="FFFFFF" w:themeFill="background1"/>
            <w:noWrap/>
            <w:vAlign w:val="center"/>
          </w:tcPr>
          <w:p w:rsidR="00D520BD" w:rsidP="00982BD1" w:rsidRDefault="00D520BD" w14:paraId="51B10631" w14:textId="038E41DD">
            <w:pPr>
              <w:keepNext/>
              <w:keepLines/>
              <w:autoSpaceDE/>
              <w:autoSpaceDN/>
              <w:adjustRightInd/>
              <w:jc w:val="center"/>
              <w:rPr>
                <w:rFonts w:cs="Arial"/>
                <w:color w:val="000000"/>
                <w:sz w:val="18"/>
                <w:szCs w:val="18"/>
              </w:rPr>
            </w:pPr>
            <w:r>
              <w:rPr>
                <w:rFonts w:cs="Arial"/>
                <w:color w:val="000000"/>
                <w:sz w:val="18"/>
                <w:szCs w:val="18"/>
              </w:rPr>
              <w:t>$</w:t>
            </w:r>
            <w:r w:rsidR="00753EFF">
              <w:rPr>
                <w:rFonts w:cs="Arial"/>
                <w:color w:val="000000"/>
                <w:sz w:val="18"/>
                <w:szCs w:val="18"/>
              </w:rPr>
              <w:t>37</w:t>
            </w:r>
            <w:r>
              <w:rPr>
                <w:rFonts w:cs="Arial"/>
                <w:color w:val="000000"/>
                <w:sz w:val="18"/>
                <w:szCs w:val="18"/>
              </w:rPr>
              <w:t>.00</w:t>
            </w:r>
          </w:p>
        </w:tc>
      </w:tr>
      <w:tr w:rsidRPr="009F5B80" w:rsidR="002E3892" w:rsidTr="00DF6AD4" w14:paraId="78B8B772" w14:textId="77777777">
        <w:trPr>
          <w:trHeight w:val="530"/>
        </w:trPr>
        <w:tc>
          <w:tcPr>
            <w:tcW w:w="2595" w:type="pct"/>
            <w:tcBorders>
              <w:top w:val="single" w:color="auto" w:sz="4" w:space="0"/>
              <w:left w:val="single" w:color="auto" w:sz="4" w:space="0"/>
              <w:bottom w:val="single" w:color="auto" w:sz="4" w:space="0"/>
              <w:right w:val="single" w:color="auto" w:sz="4" w:space="0"/>
            </w:tcBorders>
            <w:shd w:val="clear" w:color="000000" w:fill="FFFFFF"/>
            <w:noWrap/>
            <w:tcMar>
              <w:left w:w="216" w:type="dxa"/>
              <w:right w:w="115" w:type="dxa"/>
            </w:tcMar>
            <w:vAlign w:val="center"/>
          </w:tcPr>
          <w:p w:rsidR="002E3892" w:rsidP="002E3892" w:rsidRDefault="002E3892" w14:paraId="06603F64" w14:textId="18FD5942">
            <w:pPr>
              <w:widowControl w:val="0"/>
              <w:autoSpaceDE/>
              <w:autoSpaceDN/>
              <w:adjustRightInd/>
              <w:rPr>
                <w:rFonts w:cs="Arial"/>
                <w:sz w:val="18"/>
              </w:rPr>
            </w:pPr>
            <w:r>
              <w:rPr>
                <w:rFonts w:cs="Arial"/>
                <w:sz w:val="18"/>
              </w:rPr>
              <w:t>Initial and confirmatory drug testing</w:t>
            </w:r>
          </w:p>
          <w:p w:rsidRPr="00944822" w:rsidR="002E3892" w:rsidP="002E3892" w:rsidRDefault="002E3892" w14:paraId="11C6242B" w14:textId="356C894A">
            <w:pPr>
              <w:widowControl w:val="0"/>
              <w:autoSpaceDE/>
              <w:autoSpaceDN/>
              <w:adjustRightInd/>
              <w:rPr>
                <w:rFonts w:cs="Arial"/>
                <w:sz w:val="18"/>
              </w:rPr>
            </w:pPr>
            <w:r w:rsidRPr="00944822">
              <w:rPr>
                <w:rFonts w:cs="Arial"/>
                <w:sz w:val="18"/>
              </w:rPr>
              <w:t>(sites only using an HHS-certified laboratory)</w:t>
            </w:r>
          </w:p>
        </w:tc>
        <w:tc>
          <w:tcPr>
            <w:tcW w:w="722" w:type="pct"/>
            <w:tcBorders>
              <w:left w:val="single" w:color="auto" w:sz="4" w:space="0"/>
              <w:right w:val="single" w:color="auto" w:sz="4" w:space="0"/>
            </w:tcBorders>
            <w:shd w:val="clear" w:color="auto" w:fill="auto"/>
            <w:noWrap/>
            <w:vAlign w:val="center"/>
          </w:tcPr>
          <w:p w:rsidR="002E3892" w:rsidP="002E3892" w:rsidRDefault="002E3892" w14:paraId="79664B14" w14:textId="159F9FC1">
            <w:pPr>
              <w:keepNext/>
              <w:keepLines/>
              <w:autoSpaceDE/>
              <w:autoSpaceDN/>
              <w:adjustRightInd/>
              <w:jc w:val="center"/>
              <w:rPr>
                <w:rFonts w:cs="Arial"/>
                <w:color w:val="000000"/>
                <w:sz w:val="18"/>
                <w:szCs w:val="18"/>
              </w:rPr>
            </w:pPr>
            <w:r>
              <w:rPr>
                <w:rFonts w:cs="Arial"/>
                <w:color w:val="000000"/>
                <w:sz w:val="18"/>
                <w:szCs w:val="18"/>
              </w:rPr>
              <w:t>Uniform</w:t>
            </w:r>
          </w:p>
        </w:tc>
        <w:tc>
          <w:tcPr>
            <w:tcW w:w="529" w:type="pct"/>
            <w:tcBorders>
              <w:left w:val="single" w:color="auto" w:sz="4" w:space="0"/>
              <w:right w:val="single" w:color="auto" w:sz="4" w:space="0"/>
            </w:tcBorders>
            <w:shd w:val="clear" w:color="auto" w:fill="FFFFFF" w:themeFill="background1"/>
            <w:noWrap/>
            <w:vAlign w:val="center"/>
          </w:tcPr>
          <w:p w:rsidR="002E3892" w:rsidP="002E3892" w:rsidRDefault="002E3892" w14:paraId="645B26B7" w14:textId="14D2A370">
            <w:pPr>
              <w:keepNext/>
              <w:keepLines/>
              <w:autoSpaceDE/>
              <w:autoSpaceDN/>
              <w:adjustRightInd/>
              <w:jc w:val="center"/>
              <w:rPr>
                <w:rFonts w:cs="Arial"/>
                <w:color w:val="000000"/>
                <w:sz w:val="18"/>
                <w:szCs w:val="18"/>
              </w:rPr>
            </w:pPr>
            <w:r>
              <w:rPr>
                <w:rFonts w:cs="Arial"/>
                <w:color w:val="000000"/>
                <w:sz w:val="18"/>
                <w:szCs w:val="18"/>
              </w:rPr>
              <w:t>$9.75</w:t>
            </w:r>
          </w:p>
        </w:tc>
        <w:tc>
          <w:tcPr>
            <w:tcW w:w="529" w:type="pct"/>
            <w:tcBorders>
              <w:left w:val="single" w:color="auto" w:sz="4" w:space="0"/>
              <w:bottom w:val="nil"/>
            </w:tcBorders>
            <w:shd w:val="clear" w:color="auto" w:fill="D9D9D9" w:themeFill="background1" w:themeFillShade="D9"/>
            <w:noWrap/>
            <w:vAlign w:val="center"/>
          </w:tcPr>
          <w:p w:rsidR="002E3892" w:rsidP="002E3892" w:rsidRDefault="002E3892" w14:paraId="17E91C6A" w14:textId="77777777">
            <w:pPr>
              <w:keepNext/>
              <w:keepLines/>
              <w:autoSpaceDE/>
              <w:autoSpaceDN/>
              <w:adjustRightInd/>
              <w:jc w:val="center"/>
              <w:rPr>
                <w:rFonts w:cs="Arial"/>
                <w:color w:val="000000"/>
                <w:sz w:val="18"/>
                <w:szCs w:val="18"/>
              </w:rPr>
            </w:pPr>
          </w:p>
        </w:tc>
        <w:tc>
          <w:tcPr>
            <w:tcW w:w="625" w:type="pct"/>
            <w:shd w:val="clear" w:color="auto" w:fill="FFFFFF" w:themeFill="background1"/>
            <w:noWrap/>
            <w:vAlign w:val="center"/>
          </w:tcPr>
          <w:p w:rsidR="002E3892" w:rsidP="002E3892" w:rsidRDefault="002E3892" w14:paraId="64F3D17E" w14:textId="1062DFCF">
            <w:pPr>
              <w:keepNext/>
              <w:keepLines/>
              <w:autoSpaceDE/>
              <w:autoSpaceDN/>
              <w:adjustRightInd/>
              <w:jc w:val="center"/>
              <w:rPr>
                <w:rFonts w:cs="Arial"/>
                <w:color w:val="000000"/>
                <w:sz w:val="18"/>
                <w:szCs w:val="18"/>
              </w:rPr>
            </w:pPr>
            <w:r>
              <w:rPr>
                <w:rFonts w:cs="Arial"/>
                <w:color w:val="000000"/>
                <w:sz w:val="18"/>
                <w:szCs w:val="18"/>
              </w:rPr>
              <w:t>$16.00</w:t>
            </w:r>
          </w:p>
        </w:tc>
      </w:tr>
      <w:tr w:rsidRPr="009F5B80" w:rsidR="002E3892" w:rsidTr="00DF6AD4" w14:paraId="7C433E6B" w14:textId="77777777">
        <w:trPr>
          <w:trHeight w:val="503"/>
        </w:trPr>
        <w:tc>
          <w:tcPr>
            <w:tcW w:w="2595" w:type="pct"/>
            <w:tcBorders>
              <w:top w:val="single" w:color="auto" w:sz="4" w:space="0"/>
              <w:left w:val="single" w:color="auto" w:sz="4" w:space="0"/>
              <w:bottom w:val="single" w:color="auto" w:sz="4" w:space="0"/>
              <w:right w:val="single" w:color="auto" w:sz="4" w:space="0"/>
            </w:tcBorders>
            <w:shd w:val="clear" w:color="000000" w:fill="FFFFFF"/>
            <w:noWrap/>
            <w:tcMar>
              <w:left w:w="216" w:type="dxa"/>
              <w:right w:w="115" w:type="dxa"/>
            </w:tcMar>
            <w:vAlign w:val="center"/>
          </w:tcPr>
          <w:p w:rsidR="002E3892" w:rsidP="002E3892" w:rsidRDefault="002E3892" w14:paraId="4420C631" w14:textId="53E07126">
            <w:pPr>
              <w:widowControl w:val="0"/>
              <w:autoSpaceDE/>
              <w:autoSpaceDN/>
              <w:adjustRightInd/>
              <w:rPr>
                <w:rFonts w:cs="Arial"/>
                <w:sz w:val="18"/>
              </w:rPr>
            </w:pPr>
            <w:r w:rsidRPr="00944822">
              <w:rPr>
                <w:rFonts w:cs="Arial"/>
                <w:sz w:val="18"/>
              </w:rPr>
              <w:t>Testing for 6-AM</w:t>
            </w:r>
          </w:p>
          <w:p w:rsidRPr="00944822" w:rsidR="002E3892" w:rsidP="002E3892" w:rsidRDefault="002E3892" w14:paraId="38601E5E" w14:textId="77777777">
            <w:pPr>
              <w:widowControl w:val="0"/>
              <w:autoSpaceDE/>
              <w:autoSpaceDN/>
              <w:adjustRightInd/>
              <w:rPr>
                <w:rFonts w:cs="Arial"/>
                <w:color w:val="000000"/>
                <w:sz w:val="18"/>
                <w:szCs w:val="18"/>
              </w:rPr>
            </w:pPr>
            <w:r w:rsidRPr="00944822">
              <w:rPr>
                <w:rFonts w:cs="Arial"/>
                <w:sz w:val="18"/>
              </w:rPr>
              <w:t>(sites only using an HHS-certified laboratory)</w:t>
            </w:r>
          </w:p>
        </w:tc>
        <w:tc>
          <w:tcPr>
            <w:tcW w:w="722" w:type="pct"/>
            <w:tcBorders>
              <w:left w:val="single" w:color="auto" w:sz="4" w:space="0"/>
              <w:right w:val="single" w:color="auto" w:sz="4" w:space="0"/>
            </w:tcBorders>
            <w:shd w:val="clear" w:color="auto" w:fill="auto"/>
            <w:noWrap/>
            <w:vAlign w:val="center"/>
          </w:tcPr>
          <w:p w:rsidRPr="00441455" w:rsidR="002E3892" w:rsidP="002E3892" w:rsidRDefault="002E3892" w14:paraId="5A79CA72" w14:textId="77777777">
            <w:pPr>
              <w:keepNext/>
              <w:keepLines/>
              <w:autoSpaceDE/>
              <w:autoSpaceDN/>
              <w:adjustRightInd/>
              <w:jc w:val="center"/>
              <w:rPr>
                <w:rFonts w:cs="Arial"/>
                <w:color w:val="000000"/>
                <w:sz w:val="18"/>
                <w:szCs w:val="18"/>
              </w:rPr>
            </w:pPr>
            <w:r>
              <w:rPr>
                <w:rFonts w:cs="Arial"/>
                <w:color w:val="000000"/>
                <w:sz w:val="18"/>
                <w:szCs w:val="18"/>
              </w:rPr>
              <w:t>Uniform</w:t>
            </w:r>
          </w:p>
        </w:tc>
        <w:tc>
          <w:tcPr>
            <w:tcW w:w="529" w:type="pct"/>
            <w:tcBorders>
              <w:left w:val="single" w:color="auto" w:sz="4" w:space="0"/>
              <w:right w:val="single" w:color="auto" w:sz="4" w:space="0"/>
            </w:tcBorders>
            <w:shd w:val="clear" w:color="auto" w:fill="FFFFFF" w:themeFill="background1"/>
            <w:noWrap/>
            <w:vAlign w:val="center"/>
          </w:tcPr>
          <w:p w:rsidR="002E3892" w:rsidP="002E3892" w:rsidRDefault="002E3892" w14:paraId="0D587080" w14:textId="256EA017">
            <w:pPr>
              <w:keepNext/>
              <w:keepLines/>
              <w:autoSpaceDE/>
              <w:autoSpaceDN/>
              <w:adjustRightInd/>
              <w:jc w:val="center"/>
              <w:rPr>
                <w:rFonts w:cs="Arial"/>
                <w:color w:val="000000"/>
                <w:sz w:val="18"/>
                <w:szCs w:val="18"/>
              </w:rPr>
            </w:pPr>
            <w:r>
              <w:rPr>
                <w:rFonts w:cs="Arial"/>
                <w:color w:val="000000"/>
                <w:sz w:val="18"/>
                <w:szCs w:val="18"/>
              </w:rPr>
              <w:t>$0.</w:t>
            </w:r>
            <w:r w:rsidR="0023378B">
              <w:rPr>
                <w:rFonts w:cs="Arial"/>
                <w:color w:val="000000"/>
                <w:sz w:val="18"/>
                <w:szCs w:val="18"/>
              </w:rPr>
              <w:t>26</w:t>
            </w:r>
          </w:p>
        </w:tc>
        <w:tc>
          <w:tcPr>
            <w:tcW w:w="529" w:type="pct"/>
            <w:tcBorders>
              <w:top w:val="nil"/>
              <w:left w:val="single" w:color="auto" w:sz="4" w:space="0"/>
              <w:bottom w:val="single" w:color="auto" w:sz="4" w:space="0"/>
            </w:tcBorders>
            <w:shd w:val="clear" w:color="auto" w:fill="D9D9D9" w:themeFill="background1" w:themeFillShade="D9"/>
            <w:noWrap/>
            <w:vAlign w:val="center"/>
          </w:tcPr>
          <w:p w:rsidR="002E3892" w:rsidP="002E3892" w:rsidRDefault="002E3892" w14:paraId="14E0A65C" w14:textId="56EA6E98">
            <w:pPr>
              <w:keepNext/>
              <w:keepLines/>
              <w:autoSpaceDE/>
              <w:autoSpaceDN/>
              <w:adjustRightInd/>
              <w:jc w:val="center"/>
              <w:rPr>
                <w:rFonts w:cs="Arial"/>
                <w:color w:val="000000"/>
                <w:sz w:val="18"/>
                <w:szCs w:val="18"/>
              </w:rPr>
            </w:pPr>
          </w:p>
        </w:tc>
        <w:tc>
          <w:tcPr>
            <w:tcW w:w="625" w:type="pct"/>
            <w:shd w:val="clear" w:color="auto" w:fill="FFFFFF" w:themeFill="background1"/>
            <w:noWrap/>
            <w:vAlign w:val="center"/>
          </w:tcPr>
          <w:p w:rsidR="002E3892" w:rsidP="002E3892" w:rsidRDefault="002E3892" w14:paraId="095AD252" w14:textId="2ABE7ABC">
            <w:pPr>
              <w:keepNext/>
              <w:keepLines/>
              <w:autoSpaceDE/>
              <w:autoSpaceDN/>
              <w:adjustRightInd/>
              <w:jc w:val="center"/>
              <w:rPr>
                <w:rFonts w:cs="Arial"/>
                <w:color w:val="000000"/>
                <w:sz w:val="18"/>
                <w:szCs w:val="18"/>
              </w:rPr>
            </w:pPr>
            <w:r>
              <w:rPr>
                <w:rFonts w:cs="Arial"/>
                <w:color w:val="000000"/>
                <w:sz w:val="18"/>
                <w:szCs w:val="18"/>
              </w:rPr>
              <w:t>$</w:t>
            </w:r>
            <w:r w:rsidR="00C719F3">
              <w:rPr>
                <w:rFonts w:cs="Arial"/>
                <w:color w:val="000000"/>
                <w:sz w:val="18"/>
                <w:szCs w:val="18"/>
              </w:rPr>
              <w:t>0.52</w:t>
            </w:r>
          </w:p>
        </w:tc>
      </w:tr>
      <w:tr w:rsidRPr="009F5B80" w:rsidR="002E3892" w:rsidTr="006B226A" w14:paraId="2CBE27FC" w14:textId="77777777">
        <w:trPr>
          <w:trHeight w:val="548"/>
        </w:trPr>
        <w:tc>
          <w:tcPr>
            <w:tcW w:w="2595" w:type="pct"/>
            <w:tcBorders>
              <w:top w:val="single" w:color="auto" w:sz="4" w:space="0"/>
              <w:left w:val="single" w:color="auto" w:sz="4" w:space="0"/>
              <w:bottom w:val="single" w:color="auto" w:sz="4" w:space="0"/>
              <w:right w:val="single" w:color="auto" w:sz="4" w:space="0"/>
            </w:tcBorders>
            <w:shd w:val="clear" w:color="auto" w:fill="auto"/>
            <w:noWrap/>
            <w:tcMar>
              <w:left w:w="216" w:type="dxa"/>
              <w:right w:w="115" w:type="dxa"/>
            </w:tcMar>
            <w:vAlign w:val="center"/>
          </w:tcPr>
          <w:p w:rsidR="005B6FF4" w:rsidP="002056B8" w:rsidRDefault="002E3892" w14:paraId="16E451FA" w14:textId="77777777">
            <w:pPr>
              <w:widowControl w:val="0"/>
              <w:autoSpaceDE/>
              <w:autoSpaceDN/>
              <w:adjustRightInd/>
              <w:rPr>
                <w:rFonts w:cs="Arial"/>
                <w:sz w:val="18"/>
              </w:rPr>
            </w:pPr>
            <w:r w:rsidRPr="006B226A">
              <w:rPr>
                <w:rFonts w:cs="Arial"/>
                <w:sz w:val="18"/>
              </w:rPr>
              <w:t xml:space="preserve">Testing for </w:t>
            </w:r>
            <w:r w:rsidR="004B3AE1">
              <w:rPr>
                <w:rFonts w:cs="Arial"/>
                <w:sz w:val="18"/>
              </w:rPr>
              <w:t>e</w:t>
            </w:r>
            <w:r w:rsidRPr="006B226A">
              <w:rPr>
                <w:rFonts w:cs="Arial"/>
                <w:sz w:val="18"/>
              </w:rPr>
              <w:t xml:space="preserve">xpanded </w:t>
            </w:r>
            <w:r w:rsidR="004B3AE1">
              <w:rPr>
                <w:rFonts w:cs="Arial"/>
                <w:sz w:val="18"/>
              </w:rPr>
              <w:t>o</w:t>
            </w:r>
            <w:r w:rsidRPr="006B226A">
              <w:rPr>
                <w:rFonts w:cs="Arial"/>
                <w:sz w:val="18"/>
              </w:rPr>
              <w:t xml:space="preserve">pioid </w:t>
            </w:r>
            <w:r w:rsidR="004B3AE1">
              <w:rPr>
                <w:rFonts w:cs="Arial"/>
                <w:sz w:val="18"/>
              </w:rPr>
              <w:t>p</w:t>
            </w:r>
            <w:r w:rsidRPr="006B226A" w:rsidR="006B226A">
              <w:rPr>
                <w:rFonts w:cs="Arial"/>
                <w:sz w:val="18"/>
              </w:rPr>
              <w:t xml:space="preserve">anel drugs </w:t>
            </w:r>
          </w:p>
          <w:p w:rsidR="005B6FF4" w:rsidP="002056B8" w:rsidRDefault="0035512A" w14:paraId="1C5AA942" w14:textId="5D1C0478">
            <w:pPr>
              <w:widowControl w:val="0"/>
              <w:autoSpaceDE/>
              <w:autoSpaceDN/>
              <w:adjustRightInd/>
              <w:rPr>
                <w:rFonts w:cs="Arial"/>
                <w:sz w:val="18"/>
              </w:rPr>
            </w:pPr>
            <w:r w:rsidRPr="006B226A">
              <w:rPr>
                <w:rFonts w:cs="Arial"/>
                <w:sz w:val="18"/>
              </w:rPr>
              <w:t>(</w:t>
            </w:r>
            <w:r w:rsidR="002056B8">
              <w:rPr>
                <w:rFonts w:cs="Arial"/>
                <w:sz w:val="18"/>
              </w:rPr>
              <w:t>HYC, HYM, OXYC, OXYM</w:t>
            </w:r>
            <w:r w:rsidRPr="006B226A">
              <w:rPr>
                <w:rFonts w:cs="Arial"/>
                <w:sz w:val="18"/>
              </w:rPr>
              <w:t>)</w:t>
            </w:r>
            <w:r w:rsidR="002056B8">
              <w:rPr>
                <w:rFonts w:cs="Arial"/>
                <w:sz w:val="18"/>
              </w:rPr>
              <w:t xml:space="preserve"> </w:t>
            </w:r>
          </w:p>
          <w:p w:rsidRPr="00944822" w:rsidR="002E3892" w:rsidP="002056B8" w:rsidRDefault="004B3AE1" w14:paraId="3D090A04" w14:textId="41134C15">
            <w:pPr>
              <w:widowControl w:val="0"/>
              <w:autoSpaceDE/>
              <w:autoSpaceDN/>
              <w:adjustRightInd/>
              <w:rPr>
                <w:rFonts w:cs="Arial"/>
                <w:sz w:val="18"/>
              </w:rPr>
            </w:pPr>
            <w:r>
              <w:rPr>
                <w:rFonts w:cs="Arial"/>
                <w:sz w:val="18"/>
              </w:rPr>
              <w:t>(</w:t>
            </w:r>
            <w:r w:rsidRPr="00901762" w:rsidR="002E3892">
              <w:rPr>
                <w:rFonts w:cs="Arial"/>
                <w:sz w:val="18"/>
              </w:rPr>
              <w:t>sites only using an HHS-certified laboratory</w:t>
            </w:r>
            <w:r>
              <w:rPr>
                <w:rFonts w:cs="Arial"/>
                <w:sz w:val="18"/>
              </w:rPr>
              <w:t>)</w:t>
            </w:r>
          </w:p>
        </w:tc>
        <w:tc>
          <w:tcPr>
            <w:tcW w:w="722" w:type="pct"/>
            <w:tcBorders>
              <w:top w:val="single" w:color="auto" w:sz="4" w:space="0"/>
              <w:left w:val="single" w:color="auto" w:sz="4" w:space="0"/>
              <w:right w:val="single" w:color="auto" w:sz="4" w:space="0"/>
            </w:tcBorders>
            <w:shd w:val="clear" w:color="auto" w:fill="auto"/>
            <w:noWrap/>
            <w:vAlign w:val="center"/>
          </w:tcPr>
          <w:p w:rsidR="002E3892" w:rsidP="002E3892" w:rsidRDefault="002E3892" w14:paraId="1ED21F7C" w14:textId="1B29C058">
            <w:pPr>
              <w:keepNext/>
              <w:keepLines/>
              <w:autoSpaceDE/>
              <w:autoSpaceDN/>
              <w:adjustRightInd/>
              <w:jc w:val="center"/>
              <w:rPr>
                <w:rFonts w:cs="Arial"/>
                <w:color w:val="000000"/>
                <w:sz w:val="18"/>
                <w:szCs w:val="18"/>
              </w:rPr>
            </w:pPr>
            <w:r>
              <w:rPr>
                <w:rFonts w:cs="Arial"/>
                <w:color w:val="000000"/>
                <w:sz w:val="18"/>
                <w:szCs w:val="18"/>
              </w:rPr>
              <w:t>PERT</w:t>
            </w:r>
          </w:p>
        </w:tc>
        <w:tc>
          <w:tcPr>
            <w:tcW w:w="529" w:type="pct"/>
            <w:tcBorders>
              <w:top w:val="single" w:color="auto" w:sz="4" w:space="0"/>
              <w:left w:val="single" w:color="auto" w:sz="4" w:space="0"/>
              <w:right w:val="single" w:color="auto" w:sz="4" w:space="0"/>
            </w:tcBorders>
            <w:shd w:val="clear" w:color="auto" w:fill="FFFFFF" w:themeFill="background1"/>
            <w:noWrap/>
            <w:vAlign w:val="center"/>
          </w:tcPr>
          <w:p w:rsidR="002E3892" w:rsidP="002E3892" w:rsidRDefault="002E3892" w14:paraId="7E0E9E53" w14:textId="2BC4BBB9">
            <w:pPr>
              <w:keepNext/>
              <w:keepLines/>
              <w:autoSpaceDE/>
              <w:autoSpaceDN/>
              <w:adjustRightInd/>
              <w:jc w:val="center"/>
              <w:rPr>
                <w:rFonts w:cs="Arial"/>
                <w:color w:val="000000"/>
                <w:sz w:val="18"/>
                <w:szCs w:val="18"/>
              </w:rPr>
            </w:pPr>
            <w:r>
              <w:rPr>
                <w:rFonts w:cs="Arial"/>
                <w:color w:val="000000"/>
                <w:sz w:val="18"/>
                <w:szCs w:val="18"/>
              </w:rPr>
              <w:t>$0.30</w:t>
            </w:r>
          </w:p>
        </w:tc>
        <w:tc>
          <w:tcPr>
            <w:tcW w:w="529" w:type="pct"/>
            <w:tcBorders>
              <w:top w:val="single" w:color="auto" w:sz="4" w:space="0"/>
              <w:left w:val="single" w:color="auto" w:sz="4" w:space="0"/>
              <w:bottom w:val="single" w:color="auto" w:sz="4" w:space="0"/>
            </w:tcBorders>
            <w:shd w:val="clear" w:color="auto" w:fill="FFFFFF" w:themeFill="background1"/>
            <w:noWrap/>
            <w:vAlign w:val="center"/>
          </w:tcPr>
          <w:p w:rsidR="002E3892" w:rsidP="002E3892" w:rsidRDefault="002E3892" w14:paraId="11DCE4E5" w14:textId="1F159CB6">
            <w:pPr>
              <w:keepNext/>
              <w:keepLines/>
              <w:autoSpaceDE/>
              <w:autoSpaceDN/>
              <w:adjustRightInd/>
              <w:jc w:val="center"/>
              <w:rPr>
                <w:rFonts w:cs="Arial"/>
                <w:color w:val="000000"/>
                <w:sz w:val="18"/>
                <w:szCs w:val="18"/>
              </w:rPr>
            </w:pPr>
            <w:r>
              <w:rPr>
                <w:rFonts w:cs="Arial"/>
                <w:color w:val="000000"/>
                <w:sz w:val="18"/>
                <w:szCs w:val="18"/>
              </w:rPr>
              <w:t>$0.60</w:t>
            </w:r>
          </w:p>
        </w:tc>
        <w:tc>
          <w:tcPr>
            <w:tcW w:w="625" w:type="pct"/>
            <w:shd w:val="clear" w:color="auto" w:fill="FFFFFF" w:themeFill="background1"/>
            <w:noWrap/>
            <w:vAlign w:val="center"/>
          </w:tcPr>
          <w:p w:rsidR="002E3892" w:rsidP="002E3892" w:rsidRDefault="002E3892" w14:paraId="6245D9B7" w14:textId="0D6284AC">
            <w:pPr>
              <w:keepNext/>
              <w:keepLines/>
              <w:autoSpaceDE/>
              <w:autoSpaceDN/>
              <w:adjustRightInd/>
              <w:jc w:val="center"/>
              <w:rPr>
                <w:rFonts w:cs="Arial"/>
                <w:color w:val="000000"/>
                <w:sz w:val="18"/>
                <w:szCs w:val="18"/>
              </w:rPr>
            </w:pPr>
            <w:r>
              <w:rPr>
                <w:rFonts w:cs="Arial"/>
                <w:color w:val="000000"/>
                <w:sz w:val="18"/>
                <w:szCs w:val="18"/>
              </w:rPr>
              <w:t>$0.75</w:t>
            </w:r>
          </w:p>
        </w:tc>
      </w:tr>
      <w:tr w:rsidRPr="009F5B80" w:rsidR="002E3892" w:rsidTr="00DF6AD4" w14:paraId="3B39588F" w14:textId="77777777">
        <w:trPr>
          <w:trHeight w:val="512"/>
        </w:trPr>
        <w:tc>
          <w:tcPr>
            <w:tcW w:w="2595" w:type="pct"/>
            <w:tcBorders>
              <w:top w:val="single" w:color="auto" w:sz="4" w:space="0"/>
              <w:left w:val="single" w:color="auto" w:sz="4" w:space="0"/>
              <w:bottom w:val="single" w:color="auto" w:sz="4" w:space="0"/>
              <w:right w:val="single" w:color="auto" w:sz="4" w:space="0"/>
            </w:tcBorders>
            <w:shd w:val="clear" w:color="000000" w:fill="FFFFFF"/>
            <w:noWrap/>
            <w:tcMar>
              <w:left w:w="216" w:type="dxa"/>
              <w:right w:w="115" w:type="dxa"/>
            </w:tcMar>
            <w:vAlign w:val="center"/>
          </w:tcPr>
          <w:p w:rsidR="002E3892" w:rsidP="002E3892" w:rsidRDefault="002E3892" w14:paraId="3ABE9CA3" w14:textId="16993C6C">
            <w:pPr>
              <w:widowControl w:val="0"/>
              <w:autoSpaceDE/>
              <w:autoSpaceDN/>
              <w:adjustRightInd/>
              <w:rPr>
                <w:rFonts w:cs="Arial"/>
                <w:sz w:val="18"/>
              </w:rPr>
            </w:pPr>
            <w:r w:rsidRPr="00944822">
              <w:rPr>
                <w:rFonts w:cs="Arial"/>
                <w:sz w:val="18"/>
              </w:rPr>
              <w:t xml:space="preserve">Testing </w:t>
            </w:r>
            <w:r w:rsidRPr="00194892">
              <w:rPr>
                <w:rFonts w:cs="Arial"/>
                <w:sz w:val="18"/>
              </w:rPr>
              <w:t xml:space="preserve">for </w:t>
            </w:r>
            <w:r w:rsidRPr="00194892">
              <w:rPr>
                <w:sz w:val="18"/>
              </w:rPr>
              <w:t>Ecstasy</w:t>
            </w:r>
            <w:r w:rsidR="00BC0FA2">
              <w:rPr>
                <w:sz w:val="18"/>
              </w:rPr>
              <w:t>-type</w:t>
            </w:r>
            <w:r w:rsidRPr="00194892">
              <w:rPr>
                <w:rFonts w:cs="Arial"/>
                <w:sz w:val="18"/>
              </w:rPr>
              <w:t xml:space="preserve"> drugs</w:t>
            </w:r>
          </w:p>
          <w:p w:rsidRPr="00944822" w:rsidR="002E3892" w:rsidP="002E3892" w:rsidRDefault="002E3892" w14:paraId="3D8BE62B" w14:textId="77777777">
            <w:pPr>
              <w:widowControl w:val="0"/>
              <w:autoSpaceDE/>
              <w:autoSpaceDN/>
              <w:adjustRightInd/>
              <w:rPr>
                <w:rFonts w:cs="Arial"/>
                <w:color w:val="000000"/>
                <w:sz w:val="18"/>
                <w:szCs w:val="18"/>
              </w:rPr>
            </w:pPr>
            <w:r w:rsidRPr="00944822">
              <w:rPr>
                <w:rFonts w:cs="Arial"/>
                <w:sz w:val="18"/>
              </w:rPr>
              <w:t>(sites only using an HHS-certified laboratory)</w:t>
            </w:r>
          </w:p>
        </w:tc>
        <w:tc>
          <w:tcPr>
            <w:tcW w:w="722" w:type="pct"/>
            <w:tcBorders>
              <w:top w:val="single" w:color="auto" w:sz="4" w:space="0"/>
              <w:left w:val="single" w:color="auto" w:sz="4" w:space="0"/>
              <w:right w:val="single" w:color="auto" w:sz="4" w:space="0"/>
            </w:tcBorders>
            <w:shd w:val="clear" w:color="auto" w:fill="auto"/>
            <w:noWrap/>
            <w:vAlign w:val="center"/>
          </w:tcPr>
          <w:p w:rsidRPr="00441455" w:rsidR="002E3892" w:rsidP="002E3892" w:rsidRDefault="00C90AF9" w14:paraId="3B09C801" w14:textId="49C04456">
            <w:pPr>
              <w:keepNext/>
              <w:keepLines/>
              <w:autoSpaceDE/>
              <w:autoSpaceDN/>
              <w:adjustRightInd/>
              <w:jc w:val="center"/>
              <w:rPr>
                <w:rFonts w:cs="Arial"/>
                <w:color w:val="000000"/>
                <w:sz w:val="18"/>
                <w:szCs w:val="18"/>
              </w:rPr>
            </w:pPr>
            <w:r>
              <w:rPr>
                <w:rFonts w:cs="Arial"/>
                <w:color w:val="000000"/>
                <w:sz w:val="18"/>
                <w:szCs w:val="18"/>
              </w:rPr>
              <w:t>Uniform</w:t>
            </w:r>
          </w:p>
        </w:tc>
        <w:tc>
          <w:tcPr>
            <w:tcW w:w="529" w:type="pct"/>
            <w:tcBorders>
              <w:top w:val="single" w:color="auto" w:sz="4" w:space="0"/>
              <w:left w:val="single" w:color="auto" w:sz="4" w:space="0"/>
              <w:right w:val="single" w:color="auto" w:sz="4" w:space="0"/>
            </w:tcBorders>
            <w:shd w:val="clear" w:color="auto" w:fill="FFFFFF" w:themeFill="background1"/>
            <w:noWrap/>
            <w:vAlign w:val="center"/>
          </w:tcPr>
          <w:p w:rsidR="002E3892" w:rsidP="002E3892" w:rsidRDefault="002E3892" w14:paraId="014A93AD" w14:textId="6093C550">
            <w:pPr>
              <w:keepNext/>
              <w:keepLines/>
              <w:autoSpaceDE/>
              <w:autoSpaceDN/>
              <w:adjustRightInd/>
              <w:jc w:val="center"/>
              <w:rPr>
                <w:rFonts w:cs="Arial"/>
                <w:color w:val="000000"/>
                <w:sz w:val="18"/>
                <w:szCs w:val="18"/>
              </w:rPr>
            </w:pPr>
            <w:r>
              <w:rPr>
                <w:rFonts w:cs="Arial"/>
                <w:color w:val="000000"/>
                <w:sz w:val="18"/>
                <w:szCs w:val="18"/>
              </w:rPr>
              <w:t>$0.0</w:t>
            </w:r>
            <w:r w:rsidR="00F8461C">
              <w:rPr>
                <w:rFonts w:cs="Arial"/>
                <w:color w:val="000000"/>
                <w:sz w:val="18"/>
                <w:szCs w:val="18"/>
              </w:rPr>
              <w:t>9</w:t>
            </w:r>
          </w:p>
        </w:tc>
        <w:tc>
          <w:tcPr>
            <w:tcW w:w="529" w:type="pct"/>
            <w:tcBorders>
              <w:top w:val="single" w:color="auto" w:sz="4" w:space="0"/>
              <w:left w:val="single" w:color="auto" w:sz="4" w:space="0"/>
            </w:tcBorders>
            <w:shd w:val="clear" w:color="auto" w:fill="D9D9D9" w:themeFill="background1" w:themeFillShade="D9"/>
            <w:noWrap/>
            <w:vAlign w:val="center"/>
          </w:tcPr>
          <w:p w:rsidR="002E3892" w:rsidP="002E3892" w:rsidRDefault="002E3892" w14:paraId="25100800" w14:textId="20057B16">
            <w:pPr>
              <w:keepNext/>
              <w:keepLines/>
              <w:autoSpaceDE/>
              <w:autoSpaceDN/>
              <w:adjustRightInd/>
              <w:jc w:val="center"/>
              <w:rPr>
                <w:rFonts w:cs="Arial"/>
                <w:color w:val="000000"/>
                <w:sz w:val="18"/>
                <w:szCs w:val="18"/>
              </w:rPr>
            </w:pPr>
          </w:p>
        </w:tc>
        <w:tc>
          <w:tcPr>
            <w:tcW w:w="625" w:type="pct"/>
            <w:shd w:val="clear" w:color="auto" w:fill="FFFFFF" w:themeFill="background1"/>
            <w:noWrap/>
            <w:vAlign w:val="center"/>
          </w:tcPr>
          <w:p w:rsidR="002E3892" w:rsidP="002E3892" w:rsidRDefault="002E3892" w14:paraId="730FABA9" w14:textId="2AC371C1">
            <w:pPr>
              <w:keepNext/>
              <w:keepLines/>
              <w:autoSpaceDE/>
              <w:autoSpaceDN/>
              <w:adjustRightInd/>
              <w:jc w:val="center"/>
              <w:rPr>
                <w:rFonts w:cs="Arial"/>
                <w:color w:val="000000"/>
                <w:sz w:val="18"/>
                <w:szCs w:val="18"/>
              </w:rPr>
            </w:pPr>
            <w:r>
              <w:rPr>
                <w:rFonts w:cs="Arial"/>
                <w:color w:val="000000"/>
                <w:sz w:val="18"/>
                <w:szCs w:val="18"/>
              </w:rPr>
              <w:t>$0.</w:t>
            </w:r>
            <w:r w:rsidR="00F8461C">
              <w:rPr>
                <w:rFonts w:cs="Arial"/>
                <w:color w:val="000000"/>
                <w:sz w:val="18"/>
                <w:szCs w:val="18"/>
              </w:rPr>
              <w:t>18</w:t>
            </w:r>
          </w:p>
        </w:tc>
      </w:tr>
      <w:tr w:rsidRPr="009F5B80" w:rsidR="002E3892" w:rsidTr="00DF6AD4" w14:paraId="289694B6" w14:textId="77777777">
        <w:trPr>
          <w:trHeight w:val="323"/>
        </w:trPr>
        <w:tc>
          <w:tcPr>
            <w:tcW w:w="2595" w:type="pct"/>
            <w:tcBorders>
              <w:top w:val="single" w:color="auto" w:sz="4" w:space="0"/>
              <w:left w:val="single" w:color="auto" w:sz="4" w:space="0"/>
              <w:bottom w:val="single" w:color="auto" w:sz="4" w:space="0"/>
              <w:right w:val="single" w:color="auto" w:sz="4" w:space="0"/>
            </w:tcBorders>
            <w:shd w:val="clear" w:color="auto" w:fill="auto"/>
            <w:noWrap/>
            <w:tcMar>
              <w:left w:w="216" w:type="dxa"/>
              <w:right w:w="115" w:type="dxa"/>
            </w:tcMar>
            <w:vAlign w:val="center"/>
          </w:tcPr>
          <w:p w:rsidRPr="00944822" w:rsidR="002E3892" w:rsidP="002E3892" w:rsidRDefault="002E3892" w14:paraId="2207463C" w14:textId="77777777">
            <w:pPr>
              <w:widowControl w:val="0"/>
              <w:autoSpaceDE/>
              <w:autoSpaceDN/>
              <w:adjustRightInd/>
              <w:rPr>
                <w:rFonts w:cs="Arial"/>
                <w:color w:val="000000"/>
                <w:sz w:val="18"/>
                <w:szCs w:val="18"/>
              </w:rPr>
            </w:pPr>
            <w:r>
              <w:rPr>
                <w:rFonts w:cs="Arial"/>
                <w:sz w:val="18"/>
              </w:rPr>
              <w:t>Special analyse</w:t>
            </w:r>
            <w:r w:rsidRPr="00944822">
              <w:rPr>
                <w:rFonts w:cs="Arial"/>
                <w:sz w:val="18"/>
              </w:rPr>
              <w:t>s testing at an HHS-certified laboratory</w:t>
            </w:r>
          </w:p>
        </w:tc>
        <w:tc>
          <w:tcPr>
            <w:tcW w:w="722"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441455" w:rsidR="002E3892" w:rsidP="002E3892" w:rsidRDefault="002E3892" w14:paraId="0C1E2EF0" w14:textId="77777777">
            <w:pPr>
              <w:keepNext/>
              <w:keepLines/>
              <w:autoSpaceDE/>
              <w:autoSpaceDN/>
              <w:adjustRightInd/>
              <w:jc w:val="center"/>
              <w:rPr>
                <w:rFonts w:cs="Arial"/>
                <w:color w:val="000000"/>
                <w:sz w:val="18"/>
                <w:szCs w:val="18"/>
              </w:rPr>
            </w:pPr>
            <w:r>
              <w:rPr>
                <w:rFonts w:cs="Arial"/>
                <w:color w:val="000000"/>
                <w:sz w:val="18"/>
                <w:szCs w:val="18"/>
              </w:rPr>
              <w:t>PERT</w:t>
            </w:r>
          </w:p>
        </w:tc>
        <w:tc>
          <w:tcPr>
            <w:tcW w:w="529" w:type="pct"/>
            <w:tcBorders>
              <w:top w:val="single" w:color="auto" w:sz="4" w:space="0"/>
              <w:left w:val="single" w:color="auto" w:sz="4" w:space="0"/>
              <w:bottom w:val="single" w:color="auto" w:sz="4" w:space="0"/>
              <w:right w:val="single" w:color="auto" w:sz="4" w:space="0"/>
            </w:tcBorders>
            <w:shd w:val="clear" w:color="auto" w:fill="auto"/>
            <w:noWrap/>
            <w:vAlign w:val="center"/>
          </w:tcPr>
          <w:p w:rsidR="002E3892" w:rsidP="002E3892" w:rsidRDefault="002E3892" w14:paraId="7CFB5712" w14:textId="77777777">
            <w:pPr>
              <w:keepNext/>
              <w:keepLines/>
              <w:autoSpaceDE/>
              <w:autoSpaceDN/>
              <w:adjustRightInd/>
              <w:jc w:val="center"/>
              <w:rPr>
                <w:rFonts w:cs="Arial"/>
                <w:color w:val="000000"/>
                <w:sz w:val="18"/>
                <w:szCs w:val="18"/>
              </w:rPr>
            </w:pPr>
            <w:r>
              <w:rPr>
                <w:rFonts w:cs="Arial"/>
                <w:color w:val="000000"/>
                <w:sz w:val="18"/>
                <w:szCs w:val="18"/>
              </w:rPr>
              <w:t>$0.00</w:t>
            </w:r>
          </w:p>
        </w:tc>
        <w:tc>
          <w:tcPr>
            <w:tcW w:w="529" w:type="pct"/>
            <w:tcBorders>
              <w:top w:val="single" w:color="auto" w:sz="4" w:space="0"/>
              <w:left w:val="single" w:color="auto" w:sz="4" w:space="0"/>
              <w:bottom w:val="single" w:color="auto" w:sz="4" w:space="0"/>
            </w:tcBorders>
            <w:shd w:val="clear" w:color="auto" w:fill="auto"/>
            <w:noWrap/>
            <w:vAlign w:val="center"/>
          </w:tcPr>
          <w:p w:rsidR="002E3892" w:rsidP="002E3892" w:rsidRDefault="002E3892" w14:paraId="51483BFC" w14:textId="77777777">
            <w:pPr>
              <w:keepNext/>
              <w:keepLines/>
              <w:autoSpaceDE/>
              <w:autoSpaceDN/>
              <w:adjustRightInd/>
              <w:jc w:val="center"/>
              <w:rPr>
                <w:rFonts w:cs="Arial"/>
                <w:color w:val="000000"/>
                <w:sz w:val="18"/>
                <w:szCs w:val="18"/>
              </w:rPr>
            </w:pPr>
            <w:r>
              <w:rPr>
                <w:rFonts w:cs="Arial"/>
                <w:color w:val="000000"/>
                <w:sz w:val="18"/>
                <w:szCs w:val="18"/>
              </w:rPr>
              <w:t>$7.75</w:t>
            </w:r>
          </w:p>
        </w:tc>
        <w:tc>
          <w:tcPr>
            <w:tcW w:w="625" w:type="pct"/>
            <w:shd w:val="clear" w:color="auto" w:fill="auto"/>
            <w:noWrap/>
            <w:vAlign w:val="center"/>
          </w:tcPr>
          <w:p w:rsidR="002E3892" w:rsidP="002E3892" w:rsidRDefault="002E3892" w14:paraId="5B32027E" w14:textId="77777777">
            <w:pPr>
              <w:keepNext/>
              <w:keepLines/>
              <w:autoSpaceDE/>
              <w:autoSpaceDN/>
              <w:adjustRightInd/>
              <w:jc w:val="center"/>
              <w:rPr>
                <w:rFonts w:cs="Arial"/>
                <w:color w:val="000000"/>
                <w:sz w:val="18"/>
                <w:szCs w:val="18"/>
              </w:rPr>
            </w:pPr>
            <w:r>
              <w:rPr>
                <w:rFonts w:cs="Arial"/>
                <w:color w:val="000000"/>
                <w:sz w:val="18"/>
                <w:szCs w:val="18"/>
              </w:rPr>
              <w:t>$15.00</w:t>
            </w:r>
          </w:p>
        </w:tc>
      </w:tr>
      <w:tr w:rsidRPr="007F0F37" w:rsidR="002E3892" w:rsidTr="00982BD1" w14:paraId="5E1476C4" w14:textId="77777777">
        <w:trPr>
          <w:trHeight w:val="323"/>
        </w:trPr>
        <w:tc>
          <w:tcPr>
            <w:tcW w:w="5000" w:type="pct"/>
            <w:gridSpan w:val="5"/>
            <w:shd w:val="clear" w:color="auto" w:fill="D9D9D9" w:themeFill="background1" w:themeFillShade="D9"/>
            <w:noWrap/>
            <w:tcMar>
              <w:left w:w="115" w:type="dxa"/>
              <w:right w:w="115" w:type="dxa"/>
            </w:tcMar>
            <w:vAlign w:val="center"/>
          </w:tcPr>
          <w:p w:rsidRPr="001E2B55" w:rsidR="002E3892" w:rsidDel="006B7B84" w:rsidP="0035512A" w:rsidRDefault="002E3892" w14:paraId="33D3C40A" w14:textId="77777777">
            <w:pPr>
              <w:keepNext/>
              <w:autoSpaceDE/>
              <w:autoSpaceDN/>
              <w:adjustRightInd/>
              <w:rPr>
                <w:rFonts w:cs="Arial"/>
                <w:b/>
                <w:bCs/>
                <w:color w:val="000000"/>
                <w:sz w:val="18"/>
                <w:szCs w:val="18"/>
              </w:rPr>
            </w:pPr>
            <w:r w:rsidRPr="001E2B55">
              <w:rPr>
                <w:rFonts w:cs="Arial"/>
                <w:b/>
                <w:bCs/>
                <w:color w:val="000000"/>
                <w:sz w:val="18"/>
                <w:szCs w:val="18"/>
              </w:rPr>
              <w:lastRenderedPageBreak/>
              <w:t>Industry Operations</w:t>
            </w:r>
            <w:r>
              <w:rPr>
                <w:rFonts w:cs="Arial"/>
                <w:b/>
                <w:bCs/>
                <w:color w:val="000000"/>
                <w:sz w:val="18"/>
                <w:szCs w:val="18"/>
              </w:rPr>
              <w:t xml:space="preserve">—FFD </w:t>
            </w:r>
            <w:r w:rsidRPr="001E2B55">
              <w:rPr>
                <w:rFonts w:cs="Arial"/>
                <w:b/>
                <w:bCs/>
                <w:color w:val="000000"/>
                <w:sz w:val="18"/>
                <w:szCs w:val="18"/>
              </w:rPr>
              <w:t>Drug Testing Rates</w:t>
            </w:r>
          </w:p>
        </w:tc>
      </w:tr>
      <w:tr w:rsidRPr="009F5B80" w:rsidR="002E3892" w:rsidTr="00E54398" w14:paraId="7265E035" w14:textId="77777777">
        <w:trPr>
          <w:trHeight w:val="259"/>
        </w:trPr>
        <w:tc>
          <w:tcPr>
            <w:tcW w:w="5000" w:type="pct"/>
            <w:gridSpan w:val="5"/>
            <w:shd w:val="clear" w:color="auto" w:fill="F2F2F2" w:themeFill="background1" w:themeFillShade="F2"/>
            <w:noWrap/>
            <w:tcMar>
              <w:left w:w="115" w:type="dxa"/>
              <w:right w:w="115" w:type="dxa"/>
            </w:tcMar>
            <w:vAlign w:val="center"/>
          </w:tcPr>
          <w:p w:rsidRPr="00AA71CE" w:rsidR="002E3892" w:rsidP="002E3892" w:rsidRDefault="002E3892" w14:paraId="3FCB3966" w14:textId="530EB01D">
            <w:pPr>
              <w:keepNext/>
              <w:autoSpaceDE/>
              <w:autoSpaceDN/>
              <w:adjustRightInd/>
              <w:rPr>
                <w:b/>
                <w:bCs/>
                <w:sz w:val="18"/>
                <w:szCs w:val="18"/>
              </w:rPr>
            </w:pPr>
            <w:r>
              <w:rPr>
                <w:b/>
                <w:bCs/>
                <w:sz w:val="18"/>
                <w:szCs w:val="18"/>
              </w:rPr>
              <w:t xml:space="preserve">Opioid:  </w:t>
            </w:r>
            <w:r w:rsidRPr="00AA71CE">
              <w:rPr>
                <w:b/>
                <w:bCs/>
                <w:sz w:val="18"/>
                <w:szCs w:val="18"/>
              </w:rPr>
              <w:t>6-AM</w:t>
            </w:r>
          </w:p>
        </w:tc>
      </w:tr>
      <w:tr w:rsidRPr="009F5B80" w:rsidR="002E3892" w:rsidTr="001F0424" w14:paraId="7072D8C7" w14:textId="77777777">
        <w:trPr>
          <w:trHeight w:val="377"/>
        </w:trPr>
        <w:tc>
          <w:tcPr>
            <w:tcW w:w="2595" w:type="pct"/>
            <w:shd w:val="clear" w:color="auto" w:fill="auto"/>
            <w:noWrap/>
            <w:tcMar>
              <w:left w:w="115" w:type="dxa"/>
              <w:right w:w="115" w:type="dxa"/>
            </w:tcMar>
            <w:vAlign w:val="center"/>
          </w:tcPr>
          <w:p w:rsidRPr="00AA71CE" w:rsidR="002E3892" w:rsidP="002E3892" w:rsidRDefault="002E3892" w14:paraId="1A829987" w14:textId="77777777">
            <w:pPr>
              <w:autoSpaceDE/>
              <w:autoSpaceDN/>
              <w:adjustRightInd/>
              <w:ind w:firstLine="150"/>
              <w:rPr>
                <w:b/>
                <w:bCs/>
                <w:sz w:val="18"/>
                <w:szCs w:val="18"/>
              </w:rPr>
            </w:pPr>
            <w:r>
              <w:rPr>
                <w:color w:val="000000"/>
                <w:sz w:val="18"/>
                <w:szCs w:val="18"/>
              </w:rPr>
              <w:t>Projected confirmed p</w:t>
            </w:r>
            <w:r w:rsidRPr="00AA71CE">
              <w:rPr>
                <w:color w:val="000000"/>
                <w:sz w:val="18"/>
                <w:szCs w:val="18"/>
              </w:rPr>
              <w:t xml:space="preserve">ositive </w:t>
            </w:r>
            <w:r>
              <w:rPr>
                <w:color w:val="000000"/>
                <w:sz w:val="18"/>
                <w:szCs w:val="18"/>
              </w:rPr>
              <w:t>t</w:t>
            </w:r>
            <w:r w:rsidRPr="00AA71CE">
              <w:rPr>
                <w:color w:val="000000"/>
                <w:sz w:val="18"/>
                <w:szCs w:val="18"/>
              </w:rPr>
              <w:t xml:space="preserve">est </w:t>
            </w:r>
            <w:r>
              <w:rPr>
                <w:color w:val="000000"/>
                <w:sz w:val="18"/>
                <w:szCs w:val="18"/>
              </w:rPr>
              <w:t>r</w:t>
            </w:r>
            <w:r w:rsidRPr="00AA71CE">
              <w:rPr>
                <w:color w:val="000000"/>
                <w:sz w:val="18"/>
                <w:szCs w:val="18"/>
              </w:rPr>
              <w:t>ate</w:t>
            </w:r>
          </w:p>
        </w:tc>
        <w:tc>
          <w:tcPr>
            <w:tcW w:w="722" w:type="pct"/>
            <w:shd w:val="clear" w:color="auto" w:fill="auto"/>
            <w:vAlign w:val="center"/>
          </w:tcPr>
          <w:p w:rsidRPr="00AA71CE" w:rsidR="002E3892" w:rsidP="002E3892" w:rsidRDefault="002E3892" w14:paraId="1F4894AE" w14:textId="1B02FE42">
            <w:pPr>
              <w:autoSpaceDE/>
              <w:autoSpaceDN/>
              <w:adjustRightInd/>
              <w:jc w:val="center"/>
              <w:rPr>
                <w:b/>
                <w:bCs/>
                <w:sz w:val="18"/>
                <w:szCs w:val="18"/>
              </w:rPr>
            </w:pPr>
            <w:r>
              <w:rPr>
                <w:color w:val="000000"/>
                <w:sz w:val="18"/>
                <w:szCs w:val="18"/>
              </w:rPr>
              <w:t>Uniform</w:t>
            </w:r>
          </w:p>
        </w:tc>
        <w:tc>
          <w:tcPr>
            <w:tcW w:w="529" w:type="pct"/>
            <w:shd w:val="clear" w:color="auto" w:fill="FFFFFF" w:themeFill="background1"/>
            <w:vAlign w:val="center"/>
          </w:tcPr>
          <w:p w:rsidRPr="00287961" w:rsidR="002E3892" w:rsidP="002E3892" w:rsidRDefault="002E3892" w14:paraId="3E7C995F" w14:textId="5CE0D74F">
            <w:pPr>
              <w:autoSpaceDE/>
              <w:autoSpaceDN/>
              <w:adjustRightInd/>
              <w:jc w:val="center"/>
              <w:rPr>
                <w:b/>
                <w:bCs/>
                <w:sz w:val="18"/>
                <w:szCs w:val="18"/>
              </w:rPr>
            </w:pPr>
            <w:r w:rsidRPr="00287961">
              <w:rPr>
                <w:rFonts w:cs="Arial"/>
                <w:color w:val="333333"/>
                <w:sz w:val="18"/>
                <w:szCs w:val="18"/>
              </w:rPr>
              <w:t>0.010</w:t>
            </w:r>
            <w:r w:rsidRPr="00287961">
              <w:rPr>
                <w:color w:val="000000"/>
                <w:sz w:val="18"/>
                <w:szCs w:val="18"/>
              </w:rPr>
              <w:t>%</w:t>
            </w:r>
          </w:p>
        </w:tc>
        <w:tc>
          <w:tcPr>
            <w:tcW w:w="529" w:type="pct"/>
            <w:shd w:val="clear" w:color="auto" w:fill="D9D9D9" w:themeFill="background1" w:themeFillShade="D9"/>
            <w:vAlign w:val="center"/>
          </w:tcPr>
          <w:p w:rsidRPr="001F0424" w:rsidR="002E3892" w:rsidP="002E3892" w:rsidRDefault="002E3892" w14:paraId="4D14BA43" w14:textId="70DF25EA">
            <w:pPr>
              <w:autoSpaceDE/>
              <w:autoSpaceDN/>
              <w:adjustRightInd/>
              <w:jc w:val="center"/>
              <w:rPr>
                <w:sz w:val="18"/>
                <w:szCs w:val="18"/>
              </w:rPr>
            </w:pPr>
          </w:p>
        </w:tc>
        <w:tc>
          <w:tcPr>
            <w:tcW w:w="625" w:type="pct"/>
            <w:shd w:val="clear" w:color="auto" w:fill="FFFFFF" w:themeFill="background1"/>
            <w:vAlign w:val="center"/>
          </w:tcPr>
          <w:p w:rsidRPr="00B80BA4" w:rsidR="002E3892" w:rsidP="002E3892" w:rsidRDefault="002E3892" w14:paraId="2F3A73A2" w14:textId="77777777">
            <w:pPr>
              <w:autoSpaceDE/>
              <w:autoSpaceDN/>
              <w:adjustRightInd/>
              <w:jc w:val="center"/>
              <w:rPr>
                <w:b/>
                <w:bCs/>
                <w:sz w:val="18"/>
                <w:szCs w:val="18"/>
              </w:rPr>
            </w:pPr>
            <w:r w:rsidRPr="00B80BA4">
              <w:rPr>
                <w:rFonts w:cs="Arial"/>
                <w:color w:val="333333"/>
                <w:sz w:val="18"/>
                <w:szCs w:val="18"/>
              </w:rPr>
              <w:t>0.022</w:t>
            </w:r>
            <w:r w:rsidRPr="00B80BA4">
              <w:rPr>
                <w:color w:val="000000"/>
                <w:sz w:val="18"/>
                <w:szCs w:val="18"/>
              </w:rPr>
              <w:t>%</w:t>
            </w:r>
          </w:p>
        </w:tc>
      </w:tr>
      <w:tr w:rsidRPr="009F5B80" w:rsidR="002E3892" w:rsidTr="00982BD1" w14:paraId="0E6CD3AF" w14:textId="77777777">
        <w:trPr>
          <w:trHeight w:val="259"/>
        </w:trPr>
        <w:tc>
          <w:tcPr>
            <w:tcW w:w="5000" w:type="pct"/>
            <w:gridSpan w:val="5"/>
            <w:shd w:val="clear" w:color="auto" w:fill="F2F2F2" w:themeFill="background1" w:themeFillShade="F2"/>
            <w:noWrap/>
            <w:tcMar>
              <w:left w:w="115" w:type="dxa"/>
              <w:right w:w="115" w:type="dxa"/>
            </w:tcMar>
            <w:vAlign w:val="center"/>
          </w:tcPr>
          <w:p w:rsidRPr="00AA71CE" w:rsidR="002E3892" w:rsidDel="006B7B84" w:rsidP="002E3892" w:rsidRDefault="002E3892" w14:paraId="00F33CB6" w14:textId="77777777">
            <w:pPr>
              <w:autoSpaceDE/>
              <w:autoSpaceDN/>
              <w:adjustRightInd/>
              <w:rPr>
                <w:rFonts w:cs="Arial"/>
                <w:color w:val="000000"/>
                <w:sz w:val="18"/>
                <w:szCs w:val="18"/>
              </w:rPr>
            </w:pPr>
            <w:r w:rsidRPr="00AA71CE">
              <w:rPr>
                <w:b/>
                <w:bCs/>
                <w:sz w:val="18"/>
                <w:szCs w:val="18"/>
              </w:rPr>
              <w:t>Amphetamines</w:t>
            </w:r>
          </w:p>
        </w:tc>
      </w:tr>
      <w:tr w:rsidRPr="009F5B80" w:rsidR="002E3892" w:rsidTr="00DF6AD4" w14:paraId="13637C1A" w14:textId="77777777">
        <w:trPr>
          <w:trHeight w:val="350"/>
        </w:trPr>
        <w:tc>
          <w:tcPr>
            <w:tcW w:w="2595" w:type="pct"/>
            <w:shd w:val="clear" w:color="auto" w:fill="auto"/>
            <w:noWrap/>
            <w:tcMar>
              <w:left w:w="115" w:type="dxa"/>
              <w:right w:w="115" w:type="dxa"/>
            </w:tcMar>
            <w:vAlign w:val="center"/>
          </w:tcPr>
          <w:p w:rsidRPr="00DE0D36" w:rsidR="002E3892" w:rsidDel="006B7B84" w:rsidP="002E3892" w:rsidRDefault="002E3892" w14:paraId="00019195" w14:textId="77777777">
            <w:pPr>
              <w:autoSpaceDE/>
              <w:autoSpaceDN/>
              <w:adjustRightInd/>
              <w:ind w:left="145"/>
              <w:rPr>
                <w:rFonts w:cs="Arial"/>
                <w:color w:val="000000"/>
                <w:sz w:val="18"/>
                <w:szCs w:val="18"/>
              </w:rPr>
            </w:pPr>
            <w:r>
              <w:rPr>
                <w:rFonts w:cs="Arial"/>
                <w:color w:val="000000"/>
                <w:sz w:val="18"/>
                <w:szCs w:val="18"/>
              </w:rPr>
              <w:t>FFD c</w:t>
            </w:r>
            <w:r w:rsidRPr="005B4B33">
              <w:rPr>
                <w:rFonts w:cs="Arial"/>
                <w:color w:val="000000"/>
                <w:sz w:val="18"/>
                <w:szCs w:val="18"/>
              </w:rPr>
              <w:t xml:space="preserve">urrent </w:t>
            </w:r>
            <w:r>
              <w:rPr>
                <w:rFonts w:cs="Arial"/>
                <w:color w:val="000000"/>
                <w:sz w:val="18"/>
                <w:szCs w:val="18"/>
              </w:rPr>
              <w:t xml:space="preserve">confirmed </w:t>
            </w:r>
            <w:r w:rsidRPr="005B4B33">
              <w:rPr>
                <w:rFonts w:cs="Arial"/>
                <w:color w:val="000000"/>
                <w:sz w:val="18"/>
                <w:szCs w:val="18"/>
              </w:rPr>
              <w:t>positive test rate</w:t>
            </w:r>
          </w:p>
        </w:tc>
        <w:tc>
          <w:tcPr>
            <w:tcW w:w="722" w:type="pct"/>
            <w:shd w:val="clear" w:color="auto" w:fill="auto"/>
            <w:noWrap/>
            <w:vAlign w:val="center"/>
          </w:tcPr>
          <w:p w:rsidRPr="00DE0D36" w:rsidR="002E3892" w:rsidDel="006B7B84" w:rsidP="002E3892" w:rsidRDefault="002E3892" w14:paraId="573AB82A" w14:textId="77777777">
            <w:pPr>
              <w:autoSpaceDE/>
              <w:autoSpaceDN/>
              <w:adjustRightInd/>
              <w:jc w:val="center"/>
              <w:rPr>
                <w:rFonts w:cs="Arial"/>
                <w:color w:val="000000"/>
                <w:sz w:val="18"/>
                <w:szCs w:val="18"/>
              </w:rPr>
            </w:pPr>
            <w:r>
              <w:rPr>
                <w:rFonts w:cs="Arial"/>
                <w:color w:val="000000"/>
                <w:sz w:val="18"/>
                <w:szCs w:val="18"/>
              </w:rPr>
              <w:t>PERT</w:t>
            </w:r>
          </w:p>
        </w:tc>
        <w:tc>
          <w:tcPr>
            <w:tcW w:w="529" w:type="pct"/>
            <w:shd w:val="clear" w:color="auto" w:fill="auto"/>
            <w:noWrap/>
            <w:vAlign w:val="center"/>
          </w:tcPr>
          <w:p w:rsidRPr="00DE0D36" w:rsidR="002E3892" w:rsidDel="006B7B84" w:rsidP="002E3892" w:rsidRDefault="002E3892" w14:paraId="02B7F9D8" w14:textId="71ADB71A">
            <w:pPr>
              <w:autoSpaceDE/>
              <w:autoSpaceDN/>
              <w:adjustRightInd/>
              <w:jc w:val="center"/>
              <w:rPr>
                <w:rFonts w:cs="Arial"/>
                <w:color w:val="000000"/>
                <w:sz w:val="18"/>
                <w:szCs w:val="18"/>
              </w:rPr>
            </w:pPr>
            <w:r>
              <w:rPr>
                <w:rFonts w:cs="Arial"/>
                <w:color w:val="000000"/>
                <w:sz w:val="18"/>
                <w:szCs w:val="18"/>
              </w:rPr>
              <w:t>0.033</w:t>
            </w:r>
            <w:r w:rsidRPr="005B4B33">
              <w:rPr>
                <w:rFonts w:cs="Arial"/>
                <w:color w:val="000000"/>
                <w:sz w:val="18"/>
                <w:szCs w:val="18"/>
              </w:rPr>
              <w:t>%</w:t>
            </w:r>
          </w:p>
        </w:tc>
        <w:tc>
          <w:tcPr>
            <w:tcW w:w="529" w:type="pct"/>
            <w:shd w:val="clear" w:color="auto" w:fill="auto"/>
            <w:noWrap/>
            <w:vAlign w:val="center"/>
          </w:tcPr>
          <w:p w:rsidRPr="00DE0D36" w:rsidR="002E3892" w:rsidDel="006B7B84" w:rsidP="002E3892" w:rsidRDefault="002E3892" w14:paraId="66F87D34" w14:textId="792BDBA3">
            <w:pPr>
              <w:autoSpaceDE/>
              <w:autoSpaceDN/>
              <w:adjustRightInd/>
              <w:jc w:val="center"/>
              <w:rPr>
                <w:rFonts w:cs="Arial"/>
                <w:color w:val="000000"/>
                <w:sz w:val="18"/>
                <w:szCs w:val="18"/>
              </w:rPr>
            </w:pPr>
            <w:r>
              <w:rPr>
                <w:rFonts w:cs="Arial"/>
                <w:color w:val="000000"/>
                <w:sz w:val="18"/>
                <w:szCs w:val="18"/>
              </w:rPr>
              <w:t>0.067</w:t>
            </w:r>
            <w:r w:rsidRPr="005B4B33">
              <w:rPr>
                <w:rFonts w:cs="Arial"/>
                <w:color w:val="000000"/>
                <w:sz w:val="18"/>
                <w:szCs w:val="18"/>
              </w:rPr>
              <w:t>%</w:t>
            </w:r>
          </w:p>
        </w:tc>
        <w:tc>
          <w:tcPr>
            <w:tcW w:w="625" w:type="pct"/>
            <w:shd w:val="clear" w:color="auto" w:fill="auto"/>
            <w:noWrap/>
            <w:vAlign w:val="center"/>
          </w:tcPr>
          <w:p w:rsidRPr="00DE0D36" w:rsidR="002E3892" w:rsidDel="006B7B84" w:rsidP="002E3892" w:rsidRDefault="002E3892" w14:paraId="65E81466" w14:textId="46783295">
            <w:pPr>
              <w:autoSpaceDE/>
              <w:autoSpaceDN/>
              <w:adjustRightInd/>
              <w:jc w:val="center"/>
              <w:rPr>
                <w:rFonts w:cs="Arial"/>
                <w:color w:val="000000"/>
                <w:sz w:val="18"/>
                <w:szCs w:val="18"/>
              </w:rPr>
            </w:pPr>
            <w:r>
              <w:rPr>
                <w:rFonts w:cs="Arial"/>
                <w:color w:val="000000"/>
                <w:sz w:val="18"/>
                <w:szCs w:val="18"/>
              </w:rPr>
              <w:t>0.095</w:t>
            </w:r>
            <w:r w:rsidRPr="005B4B33">
              <w:rPr>
                <w:rFonts w:cs="Arial"/>
                <w:color w:val="000000"/>
                <w:sz w:val="18"/>
                <w:szCs w:val="18"/>
              </w:rPr>
              <w:t>%</w:t>
            </w:r>
          </w:p>
        </w:tc>
      </w:tr>
      <w:tr w:rsidRPr="009F5B80" w:rsidR="002E3892" w:rsidTr="00DF6AD4" w14:paraId="550B9052" w14:textId="77777777">
        <w:trPr>
          <w:trHeight w:val="278"/>
        </w:trPr>
        <w:tc>
          <w:tcPr>
            <w:tcW w:w="2595" w:type="pct"/>
            <w:shd w:val="clear" w:color="auto" w:fill="auto"/>
            <w:noWrap/>
            <w:tcMar>
              <w:left w:w="115" w:type="dxa"/>
              <w:right w:w="115" w:type="dxa"/>
            </w:tcMar>
            <w:vAlign w:val="center"/>
          </w:tcPr>
          <w:p w:rsidRPr="00DE0D36" w:rsidR="002E3892" w:rsidDel="006B7B84" w:rsidP="002E3892" w:rsidRDefault="002E3892" w14:paraId="6A9CAC43" w14:textId="77777777">
            <w:pPr>
              <w:autoSpaceDE/>
              <w:autoSpaceDN/>
              <w:adjustRightInd/>
              <w:ind w:left="145"/>
              <w:rPr>
                <w:rFonts w:cs="Arial"/>
                <w:color w:val="000000"/>
                <w:sz w:val="18"/>
                <w:szCs w:val="18"/>
              </w:rPr>
            </w:pPr>
            <w:r>
              <w:rPr>
                <w:rFonts w:cs="Arial"/>
                <w:color w:val="000000"/>
                <w:sz w:val="18"/>
                <w:szCs w:val="18"/>
              </w:rPr>
              <w:t>Projected</w:t>
            </w:r>
            <w:r w:rsidRPr="005B4B33">
              <w:rPr>
                <w:rFonts w:cs="Arial"/>
                <w:color w:val="000000"/>
                <w:sz w:val="18"/>
                <w:szCs w:val="18"/>
              </w:rPr>
              <w:t xml:space="preserve"> </w:t>
            </w:r>
            <w:r>
              <w:rPr>
                <w:rFonts w:cs="Arial"/>
                <w:color w:val="000000"/>
                <w:sz w:val="18"/>
                <w:szCs w:val="18"/>
              </w:rPr>
              <w:t xml:space="preserve">percent </w:t>
            </w:r>
            <w:r w:rsidRPr="005B4B33">
              <w:rPr>
                <w:rFonts w:cs="Arial"/>
                <w:color w:val="000000"/>
                <w:sz w:val="18"/>
                <w:szCs w:val="18"/>
              </w:rPr>
              <w:t xml:space="preserve">increase in </w:t>
            </w:r>
            <w:r>
              <w:rPr>
                <w:rFonts w:cs="Arial"/>
                <w:color w:val="000000"/>
                <w:sz w:val="18"/>
                <w:szCs w:val="18"/>
              </w:rPr>
              <w:t xml:space="preserve">confirmed </w:t>
            </w:r>
            <w:r w:rsidRPr="005B4B33">
              <w:rPr>
                <w:rFonts w:cs="Arial"/>
                <w:color w:val="000000"/>
                <w:sz w:val="18"/>
                <w:szCs w:val="18"/>
              </w:rPr>
              <w:t>positive test rate</w:t>
            </w:r>
          </w:p>
        </w:tc>
        <w:tc>
          <w:tcPr>
            <w:tcW w:w="722" w:type="pct"/>
            <w:shd w:val="clear" w:color="auto" w:fill="auto"/>
            <w:noWrap/>
            <w:vAlign w:val="center"/>
          </w:tcPr>
          <w:p w:rsidRPr="006867EB" w:rsidR="002E3892" w:rsidDel="006B7B84" w:rsidP="002E3892" w:rsidRDefault="002E3892" w14:paraId="178976BC" w14:textId="77777777">
            <w:pPr>
              <w:autoSpaceDE/>
              <w:autoSpaceDN/>
              <w:adjustRightInd/>
              <w:jc w:val="center"/>
              <w:rPr>
                <w:rFonts w:cs="Arial"/>
                <w:color w:val="000000"/>
                <w:sz w:val="18"/>
                <w:szCs w:val="18"/>
              </w:rPr>
            </w:pPr>
            <w:r w:rsidRPr="006867EB">
              <w:rPr>
                <w:rFonts w:cs="Arial"/>
                <w:color w:val="000000"/>
                <w:sz w:val="18"/>
                <w:szCs w:val="18"/>
              </w:rPr>
              <w:t>PERT</w:t>
            </w:r>
          </w:p>
        </w:tc>
        <w:tc>
          <w:tcPr>
            <w:tcW w:w="529" w:type="pct"/>
            <w:shd w:val="clear" w:color="auto" w:fill="auto"/>
            <w:noWrap/>
            <w:vAlign w:val="center"/>
          </w:tcPr>
          <w:p w:rsidRPr="006867EB" w:rsidR="002E3892" w:rsidDel="006B7B84" w:rsidP="002E3892" w:rsidRDefault="002E3892" w14:paraId="0F9CCF75" w14:textId="77777777">
            <w:pPr>
              <w:autoSpaceDE/>
              <w:autoSpaceDN/>
              <w:adjustRightInd/>
              <w:jc w:val="center"/>
              <w:rPr>
                <w:rFonts w:cs="Arial"/>
                <w:color w:val="000000"/>
                <w:sz w:val="18"/>
                <w:szCs w:val="18"/>
              </w:rPr>
            </w:pPr>
            <w:r>
              <w:rPr>
                <w:rFonts w:cs="Arial"/>
                <w:color w:val="000000"/>
                <w:sz w:val="18"/>
                <w:szCs w:val="18"/>
              </w:rPr>
              <w:t>0.00</w:t>
            </w:r>
            <w:r w:rsidRPr="006867EB">
              <w:rPr>
                <w:rFonts w:cs="Arial"/>
                <w:color w:val="000000"/>
                <w:sz w:val="18"/>
                <w:szCs w:val="18"/>
              </w:rPr>
              <w:t>%</w:t>
            </w:r>
          </w:p>
        </w:tc>
        <w:tc>
          <w:tcPr>
            <w:tcW w:w="529" w:type="pct"/>
            <w:shd w:val="clear" w:color="auto" w:fill="auto"/>
            <w:noWrap/>
            <w:vAlign w:val="center"/>
          </w:tcPr>
          <w:p w:rsidRPr="006867EB" w:rsidR="002E3892" w:rsidDel="006B7B84" w:rsidP="002E3892" w:rsidRDefault="002E3892" w14:paraId="0DCF8816" w14:textId="77777777">
            <w:pPr>
              <w:autoSpaceDE/>
              <w:autoSpaceDN/>
              <w:adjustRightInd/>
              <w:jc w:val="center"/>
              <w:rPr>
                <w:rFonts w:cs="Arial"/>
                <w:color w:val="000000"/>
                <w:sz w:val="18"/>
                <w:szCs w:val="18"/>
              </w:rPr>
            </w:pPr>
            <w:r>
              <w:rPr>
                <w:rFonts w:cs="Arial"/>
                <w:color w:val="000000"/>
                <w:sz w:val="18"/>
                <w:szCs w:val="18"/>
              </w:rPr>
              <w:t>39.38</w:t>
            </w:r>
            <w:r w:rsidRPr="006867EB">
              <w:rPr>
                <w:rFonts w:cs="Arial"/>
                <w:color w:val="000000"/>
                <w:sz w:val="18"/>
                <w:szCs w:val="18"/>
              </w:rPr>
              <w:t>%</w:t>
            </w:r>
          </w:p>
        </w:tc>
        <w:tc>
          <w:tcPr>
            <w:tcW w:w="625" w:type="pct"/>
            <w:shd w:val="clear" w:color="auto" w:fill="auto"/>
            <w:noWrap/>
            <w:vAlign w:val="center"/>
          </w:tcPr>
          <w:p w:rsidRPr="006867EB" w:rsidR="002E3892" w:rsidDel="006B7B84" w:rsidP="002E3892" w:rsidRDefault="002E3892" w14:paraId="6DA45987" w14:textId="77777777">
            <w:pPr>
              <w:autoSpaceDE/>
              <w:autoSpaceDN/>
              <w:adjustRightInd/>
              <w:jc w:val="center"/>
              <w:rPr>
                <w:rFonts w:cs="Arial"/>
                <w:color w:val="000000"/>
                <w:sz w:val="18"/>
                <w:szCs w:val="18"/>
              </w:rPr>
            </w:pPr>
            <w:r>
              <w:rPr>
                <w:rFonts w:cs="Arial"/>
                <w:color w:val="000000"/>
                <w:sz w:val="18"/>
                <w:szCs w:val="18"/>
              </w:rPr>
              <w:t>62.35</w:t>
            </w:r>
            <w:r w:rsidRPr="006867EB">
              <w:rPr>
                <w:rFonts w:cs="Arial"/>
                <w:color w:val="000000"/>
                <w:sz w:val="18"/>
                <w:szCs w:val="18"/>
              </w:rPr>
              <w:t>%</w:t>
            </w:r>
          </w:p>
        </w:tc>
      </w:tr>
      <w:tr w:rsidRPr="009F5B80" w:rsidR="002E3892" w:rsidTr="00DF6AD4" w14:paraId="6D3D7871" w14:textId="77777777">
        <w:trPr>
          <w:trHeight w:val="530"/>
        </w:trPr>
        <w:tc>
          <w:tcPr>
            <w:tcW w:w="2595" w:type="pct"/>
            <w:shd w:val="clear" w:color="auto" w:fill="auto"/>
            <w:noWrap/>
            <w:tcMar>
              <w:left w:w="115" w:type="dxa"/>
              <w:right w:w="115" w:type="dxa"/>
            </w:tcMar>
            <w:vAlign w:val="center"/>
          </w:tcPr>
          <w:p w:rsidRPr="00DE0D36" w:rsidR="002E3892" w:rsidDel="006B7B84" w:rsidP="002E3892" w:rsidRDefault="002E3892" w14:paraId="37AC726E" w14:textId="77777777">
            <w:pPr>
              <w:autoSpaceDE/>
              <w:autoSpaceDN/>
              <w:adjustRightInd/>
              <w:ind w:left="145"/>
              <w:rPr>
                <w:rFonts w:cs="Arial"/>
                <w:color w:val="000000"/>
                <w:sz w:val="18"/>
                <w:szCs w:val="18"/>
              </w:rPr>
            </w:pPr>
            <w:r>
              <w:rPr>
                <w:rFonts w:cs="Arial"/>
                <w:color w:val="000000"/>
                <w:sz w:val="18"/>
                <w:szCs w:val="18"/>
              </w:rPr>
              <w:t xml:space="preserve">Projected </w:t>
            </w:r>
            <w:r w:rsidRPr="005B4B33">
              <w:rPr>
                <w:rFonts w:cs="Arial"/>
                <w:color w:val="000000"/>
                <w:sz w:val="18"/>
                <w:szCs w:val="18"/>
              </w:rPr>
              <w:t>percent</w:t>
            </w:r>
            <w:r>
              <w:rPr>
                <w:rFonts w:cs="Arial"/>
                <w:color w:val="000000"/>
                <w:sz w:val="18"/>
                <w:szCs w:val="18"/>
              </w:rPr>
              <w:t xml:space="preserve">age of </w:t>
            </w:r>
            <w:r w:rsidRPr="005B4B33">
              <w:rPr>
                <w:rFonts w:cs="Arial"/>
                <w:color w:val="000000"/>
                <w:sz w:val="18"/>
                <w:szCs w:val="18"/>
              </w:rPr>
              <w:t>additional positive results that will</w:t>
            </w:r>
            <w:r>
              <w:rPr>
                <w:rFonts w:cs="Arial"/>
                <w:color w:val="000000"/>
                <w:sz w:val="18"/>
                <w:szCs w:val="18"/>
              </w:rPr>
              <w:t xml:space="preserve"> confirm</w:t>
            </w:r>
            <w:r w:rsidRPr="005B4B33">
              <w:rPr>
                <w:rFonts w:cs="Arial"/>
                <w:color w:val="000000"/>
                <w:sz w:val="18"/>
                <w:szCs w:val="18"/>
              </w:rPr>
              <w:t xml:space="preserve"> positive after MRO interview with donor</w:t>
            </w:r>
          </w:p>
        </w:tc>
        <w:tc>
          <w:tcPr>
            <w:tcW w:w="722" w:type="pct"/>
            <w:shd w:val="clear" w:color="auto" w:fill="auto"/>
            <w:noWrap/>
            <w:vAlign w:val="center"/>
          </w:tcPr>
          <w:p w:rsidRPr="00DE0D36" w:rsidR="002E3892" w:rsidDel="006B7B84" w:rsidP="002E3892" w:rsidRDefault="002E3892" w14:paraId="6DAEBB3A" w14:textId="77777777">
            <w:pPr>
              <w:autoSpaceDE/>
              <w:autoSpaceDN/>
              <w:adjustRightInd/>
              <w:jc w:val="center"/>
              <w:rPr>
                <w:rFonts w:cs="Arial"/>
                <w:color w:val="000000"/>
                <w:sz w:val="18"/>
                <w:szCs w:val="18"/>
              </w:rPr>
            </w:pPr>
            <w:r>
              <w:rPr>
                <w:rFonts w:cs="Arial"/>
                <w:color w:val="000000"/>
                <w:sz w:val="18"/>
                <w:szCs w:val="18"/>
              </w:rPr>
              <w:t>PERT</w:t>
            </w:r>
          </w:p>
        </w:tc>
        <w:tc>
          <w:tcPr>
            <w:tcW w:w="529" w:type="pct"/>
            <w:shd w:val="clear" w:color="auto" w:fill="auto"/>
            <w:noWrap/>
            <w:vAlign w:val="center"/>
          </w:tcPr>
          <w:p w:rsidRPr="00DE0D36" w:rsidR="002E3892" w:rsidDel="006B7B84" w:rsidP="002E3892" w:rsidRDefault="002E3892" w14:paraId="63519508" w14:textId="77777777">
            <w:pPr>
              <w:autoSpaceDE/>
              <w:autoSpaceDN/>
              <w:adjustRightInd/>
              <w:jc w:val="center"/>
              <w:rPr>
                <w:rFonts w:cs="Arial"/>
                <w:color w:val="000000"/>
                <w:sz w:val="18"/>
                <w:szCs w:val="18"/>
              </w:rPr>
            </w:pPr>
            <w:r>
              <w:rPr>
                <w:rFonts w:cs="Arial"/>
                <w:color w:val="000000"/>
                <w:sz w:val="18"/>
                <w:szCs w:val="18"/>
              </w:rPr>
              <w:t>50</w:t>
            </w:r>
            <w:r w:rsidRPr="005B4B33">
              <w:rPr>
                <w:rFonts w:cs="Arial"/>
                <w:color w:val="000000"/>
                <w:sz w:val="18"/>
                <w:szCs w:val="18"/>
              </w:rPr>
              <w:t>%</w:t>
            </w:r>
          </w:p>
        </w:tc>
        <w:tc>
          <w:tcPr>
            <w:tcW w:w="529" w:type="pct"/>
            <w:shd w:val="clear" w:color="auto" w:fill="auto"/>
            <w:noWrap/>
            <w:vAlign w:val="center"/>
          </w:tcPr>
          <w:p w:rsidRPr="00DE0D36" w:rsidR="002E3892" w:rsidDel="006B7B84" w:rsidP="002E3892" w:rsidRDefault="002E3892" w14:paraId="4BCF4293" w14:textId="77777777">
            <w:pPr>
              <w:autoSpaceDE/>
              <w:autoSpaceDN/>
              <w:adjustRightInd/>
              <w:jc w:val="center"/>
              <w:rPr>
                <w:rFonts w:cs="Arial"/>
                <w:color w:val="000000"/>
                <w:sz w:val="18"/>
                <w:szCs w:val="18"/>
              </w:rPr>
            </w:pPr>
            <w:r w:rsidRPr="005B4B33">
              <w:rPr>
                <w:rFonts w:cs="Arial"/>
                <w:color w:val="000000"/>
                <w:sz w:val="18"/>
                <w:szCs w:val="18"/>
              </w:rPr>
              <w:t>75%</w:t>
            </w:r>
          </w:p>
        </w:tc>
        <w:tc>
          <w:tcPr>
            <w:tcW w:w="625" w:type="pct"/>
            <w:shd w:val="clear" w:color="auto" w:fill="auto"/>
            <w:noWrap/>
            <w:vAlign w:val="center"/>
          </w:tcPr>
          <w:p w:rsidRPr="00DE0D36" w:rsidR="002E3892" w:rsidDel="006B7B84" w:rsidP="002E3892" w:rsidRDefault="002E3892" w14:paraId="6939E61B" w14:textId="77777777">
            <w:pPr>
              <w:autoSpaceDE/>
              <w:autoSpaceDN/>
              <w:adjustRightInd/>
              <w:jc w:val="center"/>
              <w:rPr>
                <w:rFonts w:cs="Arial"/>
                <w:color w:val="000000"/>
                <w:sz w:val="18"/>
                <w:szCs w:val="18"/>
              </w:rPr>
            </w:pPr>
            <w:r>
              <w:rPr>
                <w:rFonts w:cs="Arial"/>
                <w:color w:val="000000"/>
                <w:sz w:val="18"/>
                <w:szCs w:val="18"/>
              </w:rPr>
              <w:t>75</w:t>
            </w:r>
            <w:r w:rsidRPr="005B4B33">
              <w:rPr>
                <w:rFonts w:cs="Arial"/>
                <w:color w:val="000000"/>
                <w:sz w:val="18"/>
                <w:szCs w:val="18"/>
              </w:rPr>
              <w:t>%</w:t>
            </w:r>
          </w:p>
        </w:tc>
      </w:tr>
      <w:tr w:rsidRPr="009F5B80" w:rsidR="002E3892" w:rsidTr="00982BD1" w14:paraId="11EA615D" w14:textId="77777777">
        <w:trPr>
          <w:trHeight w:val="259"/>
        </w:trPr>
        <w:tc>
          <w:tcPr>
            <w:tcW w:w="5000" w:type="pct"/>
            <w:gridSpan w:val="5"/>
            <w:shd w:val="clear" w:color="auto" w:fill="F2F2F2" w:themeFill="background1" w:themeFillShade="F2"/>
            <w:noWrap/>
            <w:tcMar>
              <w:left w:w="115" w:type="dxa"/>
              <w:right w:w="115" w:type="dxa"/>
            </w:tcMar>
            <w:vAlign w:val="center"/>
          </w:tcPr>
          <w:p w:rsidRPr="00AA71CE" w:rsidR="002E3892" w:rsidP="002E3892" w:rsidRDefault="002E3892" w14:paraId="6A4270B3" w14:textId="77777777">
            <w:pPr>
              <w:autoSpaceDE/>
              <w:autoSpaceDN/>
              <w:adjustRightInd/>
              <w:rPr>
                <w:color w:val="000000"/>
                <w:sz w:val="18"/>
                <w:szCs w:val="18"/>
              </w:rPr>
            </w:pPr>
            <w:r>
              <w:rPr>
                <w:b/>
                <w:bCs/>
                <w:sz w:val="18"/>
                <w:szCs w:val="18"/>
              </w:rPr>
              <w:t>Cocaine</w:t>
            </w:r>
          </w:p>
        </w:tc>
      </w:tr>
      <w:tr w:rsidRPr="009F5B80" w:rsidR="002E3892" w:rsidTr="00DF6AD4" w14:paraId="575D8EBB" w14:textId="77777777">
        <w:trPr>
          <w:trHeight w:val="350"/>
        </w:trPr>
        <w:tc>
          <w:tcPr>
            <w:tcW w:w="2595" w:type="pct"/>
            <w:shd w:val="clear" w:color="auto" w:fill="auto"/>
            <w:noWrap/>
            <w:tcMar>
              <w:left w:w="115" w:type="dxa"/>
              <w:right w:w="115" w:type="dxa"/>
            </w:tcMar>
            <w:vAlign w:val="center"/>
          </w:tcPr>
          <w:p w:rsidRPr="00AA71CE" w:rsidR="002E3892" w:rsidDel="006B7B84" w:rsidP="002E3892" w:rsidRDefault="002E3892" w14:paraId="67A5FA8F" w14:textId="77777777">
            <w:pPr>
              <w:autoSpaceDE/>
              <w:autoSpaceDN/>
              <w:adjustRightInd/>
              <w:ind w:left="134" w:firstLine="11"/>
              <w:rPr>
                <w:rFonts w:cs="Arial"/>
                <w:color w:val="000000"/>
                <w:sz w:val="18"/>
                <w:szCs w:val="18"/>
              </w:rPr>
            </w:pPr>
            <w:r>
              <w:rPr>
                <w:bCs/>
                <w:sz w:val="18"/>
                <w:szCs w:val="18"/>
              </w:rPr>
              <w:t>FFD c</w:t>
            </w:r>
            <w:r w:rsidRPr="00AA71CE">
              <w:rPr>
                <w:color w:val="000000"/>
                <w:sz w:val="18"/>
                <w:szCs w:val="18"/>
              </w:rPr>
              <w:t xml:space="preserve">urrent </w:t>
            </w:r>
            <w:r>
              <w:rPr>
                <w:color w:val="000000"/>
                <w:sz w:val="18"/>
                <w:szCs w:val="18"/>
              </w:rPr>
              <w:t xml:space="preserve">confirmed </w:t>
            </w:r>
            <w:r w:rsidRPr="00AA71CE">
              <w:rPr>
                <w:color w:val="000000"/>
                <w:sz w:val="18"/>
                <w:szCs w:val="18"/>
              </w:rPr>
              <w:t>positive test rate</w:t>
            </w:r>
          </w:p>
        </w:tc>
        <w:tc>
          <w:tcPr>
            <w:tcW w:w="722" w:type="pct"/>
            <w:shd w:val="clear" w:color="auto" w:fill="auto"/>
            <w:noWrap/>
            <w:vAlign w:val="center"/>
          </w:tcPr>
          <w:p w:rsidRPr="00AA71CE" w:rsidR="002E3892" w:rsidDel="006B7B84" w:rsidP="002E3892" w:rsidRDefault="002E3892" w14:paraId="658A2E9E" w14:textId="77777777">
            <w:pPr>
              <w:autoSpaceDE/>
              <w:autoSpaceDN/>
              <w:adjustRightInd/>
              <w:jc w:val="center"/>
              <w:rPr>
                <w:rFonts w:cs="Arial"/>
                <w:color w:val="000000"/>
                <w:sz w:val="18"/>
                <w:szCs w:val="18"/>
              </w:rPr>
            </w:pPr>
            <w:r>
              <w:rPr>
                <w:color w:val="000000"/>
                <w:sz w:val="18"/>
                <w:szCs w:val="18"/>
              </w:rPr>
              <w:t>PERT</w:t>
            </w:r>
          </w:p>
        </w:tc>
        <w:tc>
          <w:tcPr>
            <w:tcW w:w="529" w:type="pct"/>
            <w:shd w:val="clear" w:color="auto" w:fill="auto"/>
            <w:noWrap/>
            <w:vAlign w:val="center"/>
          </w:tcPr>
          <w:p w:rsidRPr="00AA71CE" w:rsidR="002E3892" w:rsidDel="006B7B84" w:rsidP="002E3892" w:rsidRDefault="002E3892" w14:paraId="012B481B" w14:textId="77777777">
            <w:pPr>
              <w:autoSpaceDE/>
              <w:autoSpaceDN/>
              <w:adjustRightInd/>
              <w:jc w:val="center"/>
              <w:rPr>
                <w:rFonts w:cs="Arial"/>
                <w:color w:val="000000"/>
                <w:sz w:val="18"/>
                <w:szCs w:val="18"/>
              </w:rPr>
            </w:pPr>
            <w:r>
              <w:rPr>
                <w:color w:val="000000"/>
                <w:sz w:val="18"/>
                <w:szCs w:val="18"/>
              </w:rPr>
              <w:t>0.064</w:t>
            </w:r>
            <w:r w:rsidRPr="00AA71CE">
              <w:rPr>
                <w:color w:val="000000"/>
                <w:sz w:val="18"/>
                <w:szCs w:val="18"/>
              </w:rPr>
              <w:t>%</w:t>
            </w:r>
          </w:p>
        </w:tc>
        <w:tc>
          <w:tcPr>
            <w:tcW w:w="529" w:type="pct"/>
            <w:shd w:val="clear" w:color="auto" w:fill="auto"/>
            <w:noWrap/>
            <w:vAlign w:val="center"/>
          </w:tcPr>
          <w:p w:rsidRPr="00AA71CE" w:rsidR="002E3892" w:rsidDel="006B7B84" w:rsidP="002E3892" w:rsidRDefault="002E3892" w14:paraId="7479EC14" w14:textId="79B886A9">
            <w:pPr>
              <w:autoSpaceDE/>
              <w:autoSpaceDN/>
              <w:adjustRightInd/>
              <w:jc w:val="center"/>
              <w:rPr>
                <w:rFonts w:cs="Arial"/>
                <w:color w:val="000000"/>
                <w:sz w:val="18"/>
                <w:szCs w:val="18"/>
              </w:rPr>
            </w:pPr>
            <w:r w:rsidRPr="00AA71CE">
              <w:rPr>
                <w:color w:val="000000"/>
                <w:sz w:val="18"/>
                <w:szCs w:val="18"/>
              </w:rPr>
              <w:t>0.</w:t>
            </w:r>
            <w:r>
              <w:rPr>
                <w:color w:val="000000"/>
                <w:sz w:val="18"/>
                <w:szCs w:val="18"/>
              </w:rPr>
              <w:t>083</w:t>
            </w:r>
            <w:r w:rsidRPr="00AA71CE">
              <w:rPr>
                <w:color w:val="000000"/>
                <w:sz w:val="18"/>
                <w:szCs w:val="18"/>
              </w:rPr>
              <w:t>%</w:t>
            </w:r>
          </w:p>
        </w:tc>
        <w:tc>
          <w:tcPr>
            <w:tcW w:w="625" w:type="pct"/>
            <w:shd w:val="clear" w:color="auto" w:fill="auto"/>
            <w:noWrap/>
            <w:vAlign w:val="center"/>
          </w:tcPr>
          <w:p w:rsidRPr="00AA71CE" w:rsidR="002E3892" w:rsidDel="006B7B84" w:rsidP="002E3892" w:rsidRDefault="002E3892" w14:paraId="0462A4EB" w14:textId="50CC1D70">
            <w:pPr>
              <w:autoSpaceDE/>
              <w:autoSpaceDN/>
              <w:adjustRightInd/>
              <w:jc w:val="center"/>
              <w:rPr>
                <w:rFonts w:cs="Arial"/>
                <w:color w:val="000000"/>
                <w:sz w:val="18"/>
                <w:szCs w:val="18"/>
              </w:rPr>
            </w:pPr>
            <w:r w:rsidRPr="00AA71CE">
              <w:rPr>
                <w:color w:val="000000"/>
                <w:sz w:val="18"/>
                <w:szCs w:val="18"/>
              </w:rPr>
              <w:t>0.</w:t>
            </w:r>
            <w:r>
              <w:rPr>
                <w:color w:val="000000"/>
                <w:sz w:val="18"/>
                <w:szCs w:val="18"/>
              </w:rPr>
              <w:t>104</w:t>
            </w:r>
            <w:r w:rsidRPr="00AA71CE">
              <w:rPr>
                <w:color w:val="000000"/>
                <w:sz w:val="18"/>
                <w:szCs w:val="18"/>
              </w:rPr>
              <w:t>%</w:t>
            </w:r>
          </w:p>
        </w:tc>
      </w:tr>
      <w:tr w:rsidRPr="009F5B80" w:rsidR="002E3892" w:rsidTr="00DF6AD4" w14:paraId="6AF0DC2E" w14:textId="77777777">
        <w:trPr>
          <w:trHeight w:val="350"/>
        </w:trPr>
        <w:tc>
          <w:tcPr>
            <w:tcW w:w="2595" w:type="pct"/>
            <w:shd w:val="clear" w:color="auto" w:fill="auto"/>
            <w:noWrap/>
            <w:tcMar>
              <w:left w:w="216" w:type="dxa"/>
              <w:right w:w="115" w:type="dxa"/>
            </w:tcMar>
            <w:vAlign w:val="center"/>
          </w:tcPr>
          <w:p w:rsidRPr="00AA71CE" w:rsidR="002E3892" w:rsidDel="006B7B84" w:rsidP="002E3892" w:rsidRDefault="002E3892" w14:paraId="3B398116" w14:textId="77777777">
            <w:pPr>
              <w:autoSpaceDE/>
              <w:autoSpaceDN/>
              <w:adjustRightInd/>
              <w:ind w:left="44"/>
              <w:rPr>
                <w:rFonts w:cs="Arial"/>
                <w:color w:val="000000"/>
                <w:sz w:val="18"/>
                <w:szCs w:val="18"/>
              </w:rPr>
            </w:pPr>
            <w:r>
              <w:rPr>
                <w:color w:val="000000"/>
                <w:sz w:val="18"/>
                <w:szCs w:val="18"/>
              </w:rPr>
              <w:t xml:space="preserve">Projected </w:t>
            </w:r>
            <w:r w:rsidRPr="00AA71CE">
              <w:rPr>
                <w:color w:val="000000"/>
                <w:sz w:val="18"/>
                <w:szCs w:val="18"/>
              </w:rPr>
              <w:t>increase in positive test rate</w:t>
            </w:r>
          </w:p>
        </w:tc>
        <w:tc>
          <w:tcPr>
            <w:tcW w:w="722" w:type="pct"/>
            <w:shd w:val="clear" w:color="auto" w:fill="auto"/>
            <w:noWrap/>
            <w:vAlign w:val="center"/>
          </w:tcPr>
          <w:p w:rsidRPr="00EF0303" w:rsidR="002E3892" w:rsidDel="006B7B84" w:rsidP="002E3892" w:rsidRDefault="002E3892" w14:paraId="281A0B13" w14:textId="77777777">
            <w:pPr>
              <w:autoSpaceDE/>
              <w:autoSpaceDN/>
              <w:adjustRightInd/>
              <w:jc w:val="center"/>
              <w:rPr>
                <w:rFonts w:cs="Arial"/>
                <w:color w:val="000000"/>
                <w:sz w:val="18"/>
                <w:szCs w:val="18"/>
              </w:rPr>
            </w:pPr>
            <w:r>
              <w:rPr>
                <w:color w:val="000000"/>
                <w:sz w:val="18"/>
                <w:szCs w:val="18"/>
              </w:rPr>
              <w:t>PERT</w:t>
            </w:r>
          </w:p>
        </w:tc>
        <w:tc>
          <w:tcPr>
            <w:tcW w:w="529" w:type="pct"/>
            <w:shd w:val="clear" w:color="auto" w:fill="auto"/>
            <w:noWrap/>
            <w:vAlign w:val="center"/>
          </w:tcPr>
          <w:p w:rsidRPr="00EF0303" w:rsidR="002E3892" w:rsidDel="006B7B84" w:rsidP="002E3892" w:rsidRDefault="002E3892" w14:paraId="0A27A8D4" w14:textId="77777777">
            <w:pPr>
              <w:autoSpaceDE/>
              <w:autoSpaceDN/>
              <w:adjustRightInd/>
              <w:jc w:val="center"/>
              <w:rPr>
                <w:rFonts w:cs="Arial"/>
                <w:color w:val="000000"/>
                <w:sz w:val="18"/>
                <w:szCs w:val="18"/>
              </w:rPr>
            </w:pPr>
            <w:r>
              <w:rPr>
                <w:color w:val="000000"/>
                <w:sz w:val="18"/>
                <w:szCs w:val="18"/>
              </w:rPr>
              <w:t>11.60</w:t>
            </w:r>
            <w:r w:rsidRPr="00EF0303">
              <w:rPr>
                <w:color w:val="000000"/>
                <w:sz w:val="18"/>
                <w:szCs w:val="18"/>
              </w:rPr>
              <w:t>%</w:t>
            </w:r>
          </w:p>
        </w:tc>
        <w:tc>
          <w:tcPr>
            <w:tcW w:w="529" w:type="pct"/>
            <w:shd w:val="clear" w:color="auto" w:fill="auto"/>
            <w:noWrap/>
            <w:vAlign w:val="center"/>
          </w:tcPr>
          <w:p w:rsidRPr="00EF0303" w:rsidR="002E3892" w:rsidDel="006B7B84" w:rsidP="002E3892" w:rsidRDefault="002E3892" w14:paraId="2E848716" w14:textId="77777777">
            <w:pPr>
              <w:autoSpaceDE/>
              <w:autoSpaceDN/>
              <w:adjustRightInd/>
              <w:jc w:val="center"/>
              <w:rPr>
                <w:rFonts w:cs="Arial"/>
                <w:color w:val="000000"/>
                <w:sz w:val="18"/>
                <w:szCs w:val="18"/>
              </w:rPr>
            </w:pPr>
            <w:r>
              <w:rPr>
                <w:color w:val="000000"/>
                <w:sz w:val="18"/>
                <w:szCs w:val="18"/>
              </w:rPr>
              <w:t>18.38</w:t>
            </w:r>
            <w:r w:rsidRPr="00EF0303">
              <w:rPr>
                <w:color w:val="000000"/>
                <w:sz w:val="18"/>
                <w:szCs w:val="18"/>
              </w:rPr>
              <w:t>%</w:t>
            </w:r>
          </w:p>
        </w:tc>
        <w:tc>
          <w:tcPr>
            <w:tcW w:w="625" w:type="pct"/>
            <w:shd w:val="clear" w:color="auto" w:fill="auto"/>
            <w:noWrap/>
            <w:vAlign w:val="center"/>
          </w:tcPr>
          <w:p w:rsidRPr="006670A6" w:rsidR="002E3892" w:rsidDel="006B7B84" w:rsidP="002E3892" w:rsidRDefault="002E3892" w14:paraId="2D3F2811" w14:textId="77777777">
            <w:pPr>
              <w:autoSpaceDE/>
              <w:autoSpaceDN/>
              <w:adjustRightInd/>
              <w:jc w:val="center"/>
              <w:rPr>
                <w:color w:val="000000"/>
                <w:sz w:val="18"/>
                <w:szCs w:val="18"/>
              </w:rPr>
            </w:pPr>
            <w:r>
              <w:rPr>
                <w:color w:val="000000"/>
                <w:sz w:val="18"/>
                <w:szCs w:val="18"/>
              </w:rPr>
              <w:t>32.85</w:t>
            </w:r>
            <w:r w:rsidRPr="00EF0303">
              <w:rPr>
                <w:color w:val="000000"/>
                <w:sz w:val="18"/>
                <w:szCs w:val="18"/>
              </w:rPr>
              <w:t>%</w:t>
            </w:r>
          </w:p>
        </w:tc>
      </w:tr>
      <w:tr w:rsidRPr="009F5B80" w:rsidR="002E3892" w:rsidTr="00982BD1" w14:paraId="503DF009" w14:textId="77777777">
        <w:trPr>
          <w:trHeight w:val="259"/>
        </w:trPr>
        <w:tc>
          <w:tcPr>
            <w:tcW w:w="5000" w:type="pct"/>
            <w:gridSpan w:val="5"/>
            <w:shd w:val="clear" w:color="auto" w:fill="F2F2F2" w:themeFill="background1" w:themeFillShade="F2"/>
            <w:noWrap/>
            <w:tcMar>
              <w:left w:w="115" w:type="dxa"/>
              <w:right w:w="115" w:type="dxa"/>
            </w:tcMar>
            <w:vAlign w:val="center"/>
          </w:tcPr>
          <w:p w:rsidRPr="00194892" w:rsidR="002E3892" w:rsidDel="006B7B84" w:rsidP="009E62F0" w:rsidRDefault="002E3892" w14:paraId="353BBFE8" w14:textId="25E8C692">
            <w:pPr>
              <w:autoSpaceDE/>
              <w:autoSpaceDN/>
              <w:adjustRightInd/>
              <w:rPr>
                <w:rFonts w:cs="Arial"/>
                <w:color w:val="000000"/>
                <w:sz w:val="18"/>
                <w:szCs w:val="18"/>
              </w:rPr>
            </w:pPr>
            <w:r w:rsidRPr="00194892">
              <w:rPr>
                <w:b/>
                <w:bCs/>
                <w:sz w:val="18"/>
                <w:szCs w:val="18"/>
              </w:rPr>
              <w:t>Ecstasy</w:t>
            </w:r>
            <w:r w:rsidR="00BC0FA2">
              <w:rPr>
                <w:b/>
                <w:bCs/>
                <w:sz w:val="18"/>
                <w:szCs w:val="18"/>
              </w:rPr>
              <w:t>-Type</w:t>
            </w:r>
            <w:r w:rsidRPr="00194892">
              <w:rPr>
                <w:b/>
                <w:bCs/>
                <w:sz w:val="18"/>
                <w:szCs w:val="18"/>
              </w:rPr>
              <w:t xml:space="preserve"> </w:t>
            </w:r>
            <w:r w:rsidRPr="00194892">
              <w:rPr>
                <w:b/>
                <w:sz w:val="18"/>
              </w:rPr>
              <w:t>Drugs</w:t>
            </w:r>
            <w:r>
              <w:rPr>
                <w:b/>
                <w:sz w:val="18"/>
              </w:rPr>
              <w:t xml:space="preserve"> (MDMA, MDA)</w:t>
            </w:r>
          </w:p>
        </w:tc>
      </w:tr>
      <w:tr w:rsidRPr="009F5B80" w:rsidR="002E3892" w:rsidTr="001F0424" w14:paraId="10B68143" w14:textId="77777777">
        <w:trPr>
          <w:trHeight w:val="368"/>
        </w:trPr>
        <w:tc>
          <w:tcPr>
            <w:tcW w:w="2595" w:type="pct"/>
            <w:tcBorders>
              <w:bottom w:val="single" w:color="auto" w:sz="4" w:space="0"/>
            </w:tcBorders>
            <w:shd w:val="clear" w:color="auto" w:fill="auto"/>
            <w:noWrap/>
            <w:tcMar>
              <w:left w:w="216" w:type="dxa"/>
              <w:right w:w="115" w:type="dxa"/>
            </w:tcMar>
            <w:vAlign w:val="center"/>
          </w:tcPr>
          <w:p w:rsidRPr="00AA71CE" w:rsidR="002E3892" w:rsidDel="006B7B84" w:rsidP="002E3892" w:rsidRDefault="002E3892" w14:paraId="732E716B" w14:textId="77777777">
            <w:pPr>
              <w:autoSpaceDE/>
              <w:autoSpaceDN/>
              <w:adjustRightInd/>
              <w:rPr>
                <w:rFonts w:cs="Arial"/>
                <w:color w:val="000000"/>
                <w:sz w:val="18"/>
                <w:szCs w:val="18"/>
              </w:rPr>
            </w:pPr>
            <w:r>
              <w:rPr>
                <w:color w:val="000000"/>
                <w:sz w:val="18"/>
                <w:szCs w:val="18"/>
              </w:rPr>
              <w:t xml:space="preserve">Projected confirmed </w:t>
            </w:r>
            <w:r w:rsidRPr="00AA71CE">
              <w:rPr>
                <w:color w:val="000000"/>
                <w:sz w:val="18"/>
                <w:szCs w:val="18"/>
              </w:rPr>
              <w:t xml:space="preserve">positive test rate </w:t>
            </w:r>
          </w:p>
        </w:tc>
        <w:tc>
          <w:tcPr>
            <w:tcW w:w="722" w:type="pct"/>
            <w:tcBorders>
              <w:bottom w:val="single" w:color="auto" w:sz="4" w:space="0"/>
            </w:tcBorders>
            <w:shd w:val="clear" w:color="auto" w:fill="auto"/>
            <w:noWrap/>
            <w:vAlign w:val="center"/>
          </w:tcPr>
          <w:p w:rsidRPr="00EF0303" w:rsidR="002E3892" w:rsidDel="006B7B84" w:rsidP="002E3892" w:rsidRDefault="002E3892" w14:paraId="57C20224" w14:textId="57EAFEC1">
            <w:pPr>
              <w:autoSpaceDE/>
              <w:autoSpaceDN/>
              <w:adjustRightInd/>
              <w:jc w:val="center"/>
              <w:rPr>
                <w:rFonts w:cs="Arial"/>
                <w:color w:val="000000"/>
                <w:sz w:val="18"/>
                <w:szCs w:val="18"/>
              </w:rPr>
            </w:pPr>
            <w:r>
              <w:rPr>
                <w:color w:val="000000"/>
                <w:sz w:val="18"/>
                <w:szCs w:val="18"/>
              </w:rPr>
              <w:t>Uniform</w:t>
            </w:r>
          </w:p>
        </w:tc>
        <w:tc>
          <w:tcPr>
            <w:tcW w:w="529" w:type="pct"/>
            <w:tcBorders>
              <w:bottom w:val="single" w:color="auto" w:sz="4" w:space="0"/>
            </w:tcBorders>
            <w:shd w:val="clear" w:color="auto" w:fill="FFFFFF" w:themeFill="background1"/>
            <w:noWrap/>
            <w:vAlign w:val="center"/>
          </w:tcPr>
          <w:p w:rsidRPr="00EF0303" w:rsidR="002E3892" w:rsidDel="006B7B84" w:rsidP="002E3892" w:rsidRDefault="002E3892" w14:paraId="48D90B0D" w14:textId="77777777">
            <w:pPr>
              <w:autoSpaceDE/>
              <w:autoSpaceDN/>
              <w:adjustRightInd/>
              <w:jc w:val="center"/>
              <w:rPr>
                <w:rFonts w:cs="Arial"/>
                <w:color w:val="000000"/>
                <w:sz w:val="18"/>
                <w:szCs w:val="18"/>
              </w:rPr>
            </w:pPr>
            <w:r>
              <w:rPr>
                <w:color w:val="000000"/>
                <w:sz w:val="18"/>
                <w:szCs w:val="18"/>
              </w:rPr>
              <w:t>0.002</w:t>
            </w:r>
            <w:r w:rsidRPr="00EF0303">
              <w:rPr>
                <w:color w:val="000000"/>
                <w:sz w:val="18"/>
                <w:szCs w:val="18"/>
              </w:rPr>
              <w:t>%</w:t>
            </w:r>
          </w:p>
        </w:tc>
        <w:tc>
          <w:tcPr>
            <w:tcW w:w="529" w:type="pct"/>
            <w:tcBorders>
              <w:bottom w:val="single" w:color="auto" w:sz="4" w:space="0"/>
            </w:tcBorders>
            <w:shd w:val="clear" w:color="auto" w:fill="D9D9D9" w:themeFill="background1" w:themeFillShade="D9"/>
            <w:noWrap/>
            <w:vAlign w:val="center"/>
          </w:tcPr>
          <w:p w:rsidRPr="00EF0303" w:rsidR="002E3892" w:rsidDel="006B7B84" w:rsidP="002E3892" w:rsidRDefault="002E3892" w14:paraId="4989C1BF" w14:textId="32B1EC2D">
            <w:pPr>
              <w:autoSpaceDE/>
              <w:autoSpaceDN/>
              <w:adjustRightInd/>
              <w:jc w:val="center"/>
              <w:rPr>
                <w:rFonts w:cs="Arial"/>
                <w:color w:val="000000"/>
                <w:sz w:val="18"/>
                <w:szCs w:val="18"/>
              </w:rPr>
            </w:pPr>
          </w:p>
        </w:tc>
        <w:tc>
          <w:tcPr>
            <w:tcW w:w="625" w:type="pct"/>
            <w:tcBorders>
              <w:bottom w:val="single" w:color="auto" w:sz="4" w:space="0"/>
            </w:tcBorders>
            <w:shd w:val="clear" w:color="auto" w:fill="FFFFFF" w:themeFill="background1"/>
            <w:noWrap/>
            <w:vAlign w:val="center"/>
          </w:tcPr>
          <w:p w:rsidRPr="00EF0303" w:rsidR="002E3892" w:rsidDel="006B7B84" w:rsidP="002E3892" w:rsidRDefault="002E3892" w14:paraId="44DA95ED" w14:textId="33A61CB5">
            <w:pPr>
              <w:autoSpaceDE/>
              <w:autoSpaceDN/>
              <w:adjustRightInd/>
              <w:jc w:val="center"/>
              <w:rPr>
                <w:rFonts w:cs="Arial"/>
                <w:color w:val="000000"/>
                <w:sz w:val="18"/>
                <w:szCs w:val="18"/>
              </w:rPr>
            </w:pPr>
            <w:r>
              <w:rPr>
                <w:color w:val="000000"/>
                <w:sz w:val="18"/>
                <w:szCs w:val="18"/>
              </w:rPr>
              <w:t>0.006</w:t>
            </w:r>
            <w:r w:rsidRPr="00EF0303">
              <w:rPr>
                <w:color w:val="000000"/>
                <w:sz w:val="18"/>
                <w:szCs w:val="18"/>
              </w:rPr>
              <w:t>%</w:t>
            </w:r>
          </w:p>
        </w:tc>
      </w:tr>
      <w:tr w:rsidRPr="009F5B80" w:rsidR="004020DC" w:rsidTr="00EB3292" w14:paraId="63F4FFDB" w14:textId="77777777">
        <w:trPr>
          <w:trHeight w:val="368"/>
        </w:trPr>
        <w:tc>
          <w:tcPr>
            <w:tcW w:w="2595" w:type="pct"/>
            <w:tcBorders>
              <w:bottom w:val="single" w:color="auto" w:sz="4" w:space="0"/>
            </w:tcBorders>
            <w:shd w:val="clear" w:color="auto" w:fill="auto"/>
            <w:noWrap/>
            <w:tcMar>
              <w:left w:w="216" w:type="dxa"/>
              <w:right w:w="115" w:type="dxa"/>
            </w:tcMar>
            <w:vAlign w:val="center"/>
          </w:tcPr>
          <w:p w:rsidR="004020DC" w:rsidP="004020DC" w:rsidRDefault="004020DC" w14:paraId="44A1BA9E" w14:textId="02810BEC">
            <w:pPr>
              <w:autoSpaceDE/>
              <w:autoSpaceDN/>
              <w:adjustRightInd/>
              <w:rPr>
                <w:color w:val="000000"/>
                <w:sz w:val="18"/>
                <w:szCs w:val="18"/>
              </w:rPr>
            </w:pPr>
            <w:r w:rsidRPr="000D5895">
              <w:rPr>
                <w:color w:val="000000"/>
                <w:sz w:val="18"/>
                <w:szCs w:val="18"/>
              </w:rPr>
              <w:t xml:space="preserve">Cost of </w:t>
            </w:r>
            <w:r>
              <w:rPr>
                <w:color w:val="000000"/>
                <w:sz w:val="18"/>
                <w:szCs w:val="18"/>
              </w:rPr>
              <w:t>BPTSs</w:t>
            </w:r>
            <w:r w:rsidR="007D6F46">
              <w:rPr>
                <w:color w:val="000000"/>
                <w:sz w:val="18"/>
                <w:szCs w:val="18"/>
              </w:rPr>
              <w:t xml:space="preserve"> (</w:t>
            </w:r>
            <w:r w:rsidRPr="000D5895">
              <w:rPr>
                <w:color w:val="000000"/>
                <w:sz w:val="18"/>
                <w:szCs w:val="18"/>
              </w:rPr>
              <w:t>MDMA/MDA)</w:t>
            </w:r>
          </w:p>
        </w:tc>
        <w:tc>
          <w:tcPr>
            <w:tcW w:w="722" w:type="pct"/>
            <w:tcBorders>
              <w:bottom w:val="single" w:color="auto" w:sz="4" w:space="0"/>
            </w:tcBorders>
            <w:shd w:val="clear" w:color="auto" w:fill="auto"/>
            <w:noWrap/>
            <w:vAlign w:val="center"/>
          </w:tcPr>
          <w:p w:rsidR="004020DC" w:rsidP="004020DC" w:rsidRDefault="004020DC" w14:paraId="0B8128FA" w14:textId="6619014E">
            <w:pPr>
              <w:autoSpaceDE/>
              <w:autoSpaceDN/>
              <w:adjustRightInd/>
              <w:jc w:val="center"/>
              <w:rPr>
                <w:color w:val="000000"/>
                <w:sz w:val="18"/>
                <w:szCs w:val="18"/>
              </w:rPr>
            </w:pPr>
            <w:r>
              <w:rPr>
                <w:color w:val="000000"/>
                <w:sz w:val="18"/>
                <w:szCs w:val="18"/>
              </w:rPr>
              <w:t>PERT</w:t>
            </w:r>
          </w:p>
        </w:tc>
        <w:tc>
          <w:tcPr>
            <w:tcW w:w="529" w:type="pct"/>
            <w:tcBorders>
              <w:bottom w:val="single" w:color="auto" w:sz="4" w:space="0"/>
            </w:tcBorders>
            <w:shd w:val="clear" w:color="auto" w:fill="FFFFFF" w:themeFill="background1"/>
            <w:noWrap/>
            <w:vAlign w:val="center"/>
          </w:tcPr>
          <w:p w:rsidR="004020DC" w:rsidP="004020DC" w:rsidRDefault="004020DC" w14:paraId="750DAFAC" w14:textId="68540212">
            <w:pPr>
              <w:autoSpaceDE/>
              <w:autoSpaceDN/>
              <w:adjustRightInd/>
              <w:jc w:val="center"/>
              <w:rPr>
                <w:color w:val="000000"/>
                <w:sz w:val="18"/>
                <w:szCs w:val="18"/>
              </w:rPr>
            </w:pPr>
            <w:r>
              <w:rPr>
                <w:color w:val="000000"/>
                <w:sz w:val="18"/>
                <w:szCs w:val="18"/>
              </w:rPr>
              <w:t>$57.00</w:t>
            </w:r>
          </w:p>
        </w:tc>
        <w:tc>
          <w:tcPr>
            <w:tcW w:w="529" w:type="pct"/>
            <w:tcBorders>
              <w:bottom w:val="single" w:color="auto" w:sz="4" w:space="0"/>
            </w:tcBorders>
            <w:shd w:val="clear" w:color="auto" w:fill="auto"/>
            <w:noWrap/>
            <w:vAlign w:val="center"/>
          </w:tcPr>
          <w:p w:rsidRPr="00EF0303" w:rsidR="004020DC" w:rsidDel="006B7B84" w:rsidP="004020DC" w:rsidRDefault="004020DC" w14:paraId="291943CF" w14:textId="79E06C97">
            <w:pPr>
              <w:autoSpaceDE/>
              <w:autoSpaceDN/>
              <w:adjustRightInd/>
              <w:jc w:val="center"/>
              <w:rPr>
                <w:rFonts w:cs="Arial"/>
                <w:color w:val="000000"/>
                <w:sz w:val="18"/>
                <w:szCs w:val="18"/>
              </w:rPr>
            </w:pPr>
            <w:r>
              <w:rPr>
                <w:color w:val="000000"/>
                <w:sz w:val="18"/>
                <w:szCs w:val="18"/>
              </w:rPr>
              <w:t>$60.00</w:t>
            </w:r>
          </w:p>
        </w:tc>
        <w:tc>
          <w:tcPr>
            <w:tcW w:w="625" w:type="pct"/>
            <w:tcBorders>
              <w:bottom w:val="single" w:color="auto" w:sz="4" w:space="0"/>
            </w:tcBorders>
            <w:shd w:val="clear" w:color="auto" w:fill="FFFFFF" w:themeFill="background1"/>
            <w:noWrap/>
            <w:vAlign w:val="center"/>
          </w:tcPr>
          <w:p w:rsidR="004020DC" w:rsidP="004020DC" w:rsidRDefault="004020DC" w14:paraId="494B2C72" w14:textId="31B2C6F5">
            <w:pPr>
              <w:autoSpaceDE/>
              <w:autoSpaceDN/>
              <w:adjustRightInd/>
              <w:jc w:val="center"/>
              <w:rPr>
                <w:color w:val="000000"/>
                <w:sz w:val="18"/>
                <w:szCs w:val="18"/>
              </w:rPr>
            </w:pPr>
            <w:r>
              <w:rPr>
                <w:color w:val="000000"/>
                <w:sz w:val="18"/>
                <w:szCs w:val="18"/>
              </w:rPr>
              <w:t>$63.00</w:t>
            </w:r>
          </w:p>
        </w:tc>
      </w:tr>
      <w:tr w:rsidRPr="009F5B80" w:rsidR="004020DC" w:rsidTr="004541E0" w14:paraId="6DB0238C" w14:textId="77777777">
        <w:trPr>
          <w:trHeight w:val="323"/>
        </w:trPr>
        <w:tc>
          <w:tcPr>
            <w:tcW w:w="5000" w:type="pct"/>
            <w:gridSpan w:val="5"/>
            <w:shd w:val="clear" w:color="auto" w:fill="D9D9D9" w:themeFill="background1" w:themeFillShade="D9"/>
            <w:noWrap/>
            <w:tcMar>
              <w:left w:w="216" w:type="dxa"/>
              <w:right w:w="115" w:type="dxa"/>
            </w:tcMar>
            <w:vAlign w:val="center"/>
          </w:tcPr>
          <w:p w:rsidR="004020DC" w:rsidP="004020DC" w:rsidRDefault="004020DC" w14:paraId="65E06C85" w14:textId="20A78FDA">
            <w:pPr>
              <w:autoSpaceDE/>
              <w:autoSpaceDN/>
              <w:adjustRightInd/>
              <w:ind w:hanging="133"/>
              <w:rPr>
                <w:color w:val="000000"/>
                <w:sz w:val="18"/>
                <w:szCs w:val="18"/>
              </w:rPr>
            </w:pPr>
            <w:r w:rsidRPr="00784616">
              <w:rPr>
                <w:b/>
                <w:bCs/>
                <w:sz w:val="18"/>
                <w:szCs w:val="18"/>
              </w:rPr>
              <w:t>Expanded Panel Opioids</w:t>
            </w:r>
            <w:r>
              <w:rPr>
                <w:b/>
                <w:bCs/>
                <w:sz w:val="18"/>
                <w:szCs w:val="18"/>
              </w:rPr>
              <w:t xml:space="preserve"> (OXYC, OXYM, HYC, HYM)</w:t>
            </w:r>
          </w:p>
        </w:tc>
      </w:tr>
      <w:tr w:rsidRPr="009F5B80" w:rsidR="004020DC" w:rsidTr="00DF6AD4" w14:paraId="6048899E" w14:textId="77777777">
        <w:trPr>
          <w:trHeight w:val="368"/>
        </w:trPr>
        <w:tc>
          <w:tcPr>
            <w:tcW w:w="2595" w:type="pct"/>
            <w:shd w:val="clear" w:color="auto" w:fill="auto"/>
            <w:noWrap/>
            <w:tcMar>
              <w:left w:w="216" w:type="dxa"/>
              <w:right w:w="115" w:type="dxa"/>
            </w:tcMar>
            <w:vAlign w:val="center"/>
          </w:tcPr>
          <w:p w:rsidR="004020DC" w:rsidP="004020DC" w:rsidRDefault="004020DC" w14:paraId="67C3483C" w14:textId="7242176A">
            <w:pPr>
              <w:autoSpaceDE/>
              <w:autoSpaceDN/>
              <w:adjustRightInd/>
              <w:rPr>
                <w:color w:val="000000"/>
                <w:sz w:val="18"/>
                <w:szCs w:val="18"/>
              </w:rPr>
            </w:pPr>
            <w:r>
              <w:rPr>
                <w:color w:val="000000"/>
                <w:sz w:val="18"/>
                <w:szCs w:val="18"/>
              </w:rPr>
              <w:t xml:space="preserve">Projected confirmed </w:t>
            </w:r>
            <w:r w:rsidRPr="00AA71CE">
              <w:rPr>
                <w:color w:val="000000"/>
                <w:sz w:val="18"/>
                <w:szCs w:val="18"/>
              </w:rPr>
              <w:t>positive test rate</w:t>
            </w:r>
          </w:p>
        </w:tc>
        <w:tc>
          <w:tcPr>
            <w:tcW w:w="722" w:type="pct"/>
            <w:shd w:val="clear" w:color="auto" w:fill="auto"/>
            <w:noWrap/>
            <w:vAlign w:val="center"/>
          </w:tcPr>
          <w:p w:rsidRPr="00EF0303" w:rsidR="004020DC" w:rsidP="004020DC" w:rsidRDefault="004020DC" w14:paraId="49B72660" w14:textId="7A56595C">
            <w:pPr>
              <w:autoSpaceDE/>
              <w:autoSpaceDN/>
              <w:adjustRightInd/>
              <w:jc w:val="center"/>
              <w:rPr>
                <w:color w:val="000000"/>
                <w:sz w:val="18"/>
                <w:szCs w:val="18"/>
              </w:rPr>
            </w:pPr>
            <w:r>
              <w:rPr>
                <w:color w:val="000000"/>
                <w:sz w:val="18"/>
                <w:szCs w:val="18"/>
              </w:rPr>
              <w:t>PERT</w:t>
            </w:r>
          </w:p>
        </w:tc>
        <w:tc>
          <w:tcPr>
            <w:tcW w:w="529" w:type="pct"/>
            <w:shd w:val="clear" w:color="auto" w:fill="auto"/>
            <w:noWrap/>
            <w:vAlign w:val="center"/>
          </w:tcPr>
          <w:p w:rsidR="004020DC" w:rsidP="004020DC" w:rsidRDefault="004020DC" w14:paraId="1247FF07" w14:textId="30198B17">
            <w:pPr>
              <w:autoSpaceDE/>
              <w:autoSpaceDN/>
              <w:adjustRightInd/>
              <w:jc w:val="center"/>
              <w:rPr>
                <w:color w:val="000000"/>
                <w:sz w:val="18"/>
                <w:szCs w:val="18"/>
              </w:rPr>
            </w:pPr>
            <w:r>
              <w:rPr>
                <w:color w:val="000000"/>
                <w:sz w:val="18"/>
                <w:szCs w:val="18"/>
              </w:rPr>
              <w:t>0.033%</w:t>
            </w:r>
          </w:p>
        </w:tc>
        <w:tc>
          <w:tcPr>
            <w:tcW w:w="529" w:type="pct"/>
            <w:shd w:val="clear" w:color="auto" w:fill="auto"/>
            <w:noWrap/>
            <w:vAlign w:val="center"/>
          </w:tcPr>
          <w:p w:rsidR="004020DC" w:rsidP="004020DC" w:rsidRDefault="004020DC" w14:paraId="6F0F7453" w14:textId="386FF4A5">
            <w:pPr>
              <w:autoSpaceDE/>
              <w:autoSpaceDN/>
              <w:adjustRightInd/>
              <w:jc w:val="center"/>
              <w:rPr>
                <w:color w:val="000000"/>
                <w:sz w:val="18"/>
                <w:szCs w:val="18"/>
              </w:rPr>
            </w:pPr>
            <w:r>
              <w:rPr>
                <w:color w:val="000000"/>
                <w:sz w:val="18"/>
                <w:szCs w:val="18"/>
              </w:rPr>
              <w:t>0.067%</w:t>
            </w:r>
          </w:p>
        </w:tc>
        <w:tc>
          <w:tcPr>
            <w:tcW w:w="625" w:type="pct"/>
            <w:shd w:val="clear" w:color="auto" w:fill="auto"/>
            <w:noWrap/>
            <w:vAlign w:val="center"/>
          </w:tcPr>
          <w:p w:rsidR="004020DC" w:rsidP="004020DC" w:rsidRDefault="004020DC" w14:paraId="3EEE8A9D" w14:textId="4B9961FC">
            <w:pPr>
              <w:autoSpaceDE/>
              <w:autoSpaceDN/>
              <w:adjustRightInd/>
              <w:jc w:val="center"/>
              <w:rPr>
                <w:color w:val="000000"/>
                <w:sz w:val="18"/>
                <w:szCs w:val="18"/>
              </w:rPr>
            </w:pPr>
            <w:r>
              <w:rPr>
                <w:color w:val="000000"/>
                <w:sz w:val="18"/>
                <w:szCs w:val="18"/>
              </w:rPr>
              <w:t>0.095%</w:t>
            </w:r>
          </w:p>
        </w:tc>
      </w:tr>
      <w:tr w:rsidRPr="009F5B80" w:rsidR="004020DC" w:rsidTr="007D6F46" w14:paraId="6D37293C" w14:textId="77777777">
        <w:trPr>
          <w:trHeight w:val="305"/>
        </w:trPr>
        <w:tc>
          <w:tcPr>
            <w:tcW w:w="2595" w:type="pct"/>
            <w:shd w:val="clear" w:color="auto" w:fill="auto"/>
            <w:noWrap/>
            <w:tcMar>
              <w:left w:w="216" w:type="dxa"/>
              <w:right w:w="115" w:type="dxa"/>
            </w:tcMar>
            <w:vAlign w:val="center"/>
          </w:tcPr>
          <w:p w:rsidR="004020DC" w:rsidP="004020DC" w:rsidRDefault="004020DC" w14:paraId="4DDA00EA" w14:textId="5D9082BD">
            <w:pPr>
              <w:autoSpaceDE/>
              <w:autoSpaceDN/>
              <w:adjustRightInd/>
              <w:rPr>
                <w:color w:val="000000"/>
                <w:sz w:val="18"/>
                <w:szCs w:val="18"/>
              </w:rPr>
            </w:pPr>
            <w:r w:rsidRPr="000D5895">
              <w:rPr>
                <w:color w:val="000000"/>
                <w:sz w:val="18"/>
                <w:szCs w:val="18"/>
              </w:rPr>
              <w:t xml:space="preserve">Cost of </w:t>
            </w:r>
            <w:r>
              <w:rPr>
                <w:color w:val="000000"/>
                <w:sz w:val="18"/>
                <w:szCs w:val="18"/>
              </w:rPr>
              <w:t>BPTSs</w:t>
            </w:r>
            <w:r w:rsidRPr="000D5895">
              <w:rPr>
                <w:color w:val="000000"/>
                <w:sz w:val="18"/>
                <w:szCs w:val="18"/>
              </w:rPr>
              <w:t xml:space="preserve"> (OX</w:t>
            </w:r>
            <w:r>
              <w:rPr>
                <w:color w:val="000000"/>
                <w:sz w:val="18"/>
                <w:szCs w:val="18"/>
              </w:rPr>
              <w:t>Y</w:t>
            </w:r>
            <w:r w:rsidRPr="000D5895">
              <w:rPr>
                <w:color w:val="000000"/>
                <w:sz w:val="18"/>
                <w:szCs w:val="18"/>
              </w:rPr>
              <w:t>C/OX</w:t>
            </w:r>
            <w:r>
              <w:rPr>
                <w:color w:val="000000"/>
                <w:sz w:val="18"/>
                <w:szCs w:val="18"/>
              </w:rPr>
              <w:t>Y</w:t>
            </w:r>
            <w:r w:rsidRPr="000D5895">
              <w:rPr>
                <w:color w:val="000000"/>
                <w:sz w:val="18"/>
                <w:szCs w:val="18"/>
              </w:rPr>
              <w:t>M; HYC/HY</w:t>
            </w:r>
            <w:r>
              <w:rPr>
                <w:color w:val="000000"/>
                <w:sz w:val="18"/>
                <w:szCs w:val="18"/>
              </w:rPr>
              <w:t>M</w:t>
            </w:r>
            <w:r w:rsidRPr="000D5895">
              <w:rPr>
                <w:color w:val="000000"/>
                <w:sz w:val="18"/>
                <w:szCs w:val="18"/>
              </w:rPr>
              <w:t>)</w:t>
            </w:r>
          </w:p>
        </w:tc>
        <w:tc>
          <w:tcPr>
            <w:tcW w:w="722" w:type="pct"/>
            <w:shd w:val="clear" w:color="auto" w:fill="auto"/>
            <w:noWrap/>
            <w:vAlign w:val="center"/>
          </w:tcPr>
          <w:p w:rsidR="004020DC" w:rsidP="004020DC" w:rsidRDefault="004020DC" w14:paraId="3F6200A7" w14:textId="1990A460">
            <w:pPr>
              <w:autoSpaceDE/>
              <w:autoSpaceDN/>
              <w:adjustRightInd/>
              <w:jc w:val="center"/>
              <w:rPr>
                <w:color w:val="000000"/>
                <w:sz w:val="18"/>
                <w:szCs w:val="18"/>
              </w:rPr>
            </w:pPr>
            <w:r>
              <w:rPr>
                <w:color w:val="000000"/>
                <w:sz w:val="18"/>
                <w:szCs w:val="18"/>
              </w:rPr>
              <w:t>PERT</w:t>
            </w:r>
          </w:p>
        </w:tc>
        <w:tc>
          <w:tcPr>
            <w:tcW w:w="529" w:type="pct"/>
            <w:shd w:val="clear" w:color="auto" w:fill="auto"/>
            <w:noWrap/>
            <w:vAlign w:val="center"/>
          </w:tcPr>
          <w:p w:rsidR="004020DC" w:rsidP="004020DC" w:rsidRDefault="004020DC" w14:paraId="2DBFD2DF" w14:textId="3F19CE69">
            <w:pPr>
              <w:autoSpaceDE/>
              <w:autoSpaceDN/>
              <w:adjustRightInd/>
              <w:jc w:val="center"/>
              <w:rPr>
                <w:color w:val="000000"/>
                <w:sz w:val="18"/>
                <w:szCs w:val="18"/>
              </w:rPr>
            </w:pPr>
            <w:r>
              <w:rPr>
                <w:color w:val="000000"/>
                <w:sz w:val="18"/>
                <w:szCs w:val="18"/>
              </w:rPr>
              <w:t>$57.00</w:t>
            </w:r>
          </w:p>
        </w:tc>
        <w:tc>
          <w:tcPr>
            <w:tcW w:w="529" w:type="pct"/>
            <w:shd w:val="clear" w:color="auto" w:fill="auto"/>
            <w:noWrap/>
            <w:vAlign w:val="center"/>
          </w:tcPr>
          <w:p w:rsidR="004020DC" w:rsidP="004020DC" w:rsidRDefault="004020DC" w14:paraId="33098470" w14:textId="58B86D55">
            <w:pPr>
              <w:autoSpaceDE/>
              <w:autoSpaceDN/>
              <w:adjustRightInd/>
              <w:jc w:val="center"/>
              <w:rPr>
                <w:color w:val="000000"/>
                <w:sz w:val="18"/>
                <w:szCs w:val="18"/>
              </w:rPr>
            </w:pPr>
            <w:r>
              <w:rPr>
                <w:color w:val="000000"/>
                <w:sz w:val="18"/>
                <w:szCs w:val="18"/>
              </w:rPr>
              <w:t>$60.00</w:t>
            </w:r>
          </w:p>
        </w:tc>
        <w:tc>
          <w:tcPr>
            <w:tcW w:w="625" w:type="pct"/>
            <w:shd w:val="clear" w:color="auto" w:fill="auto"/>
            <w:noWrap/>
            <w:vAlign w:val="center"/>
          </w:tcPr>
          <w:p w:rsidR="004020DC" w:rsidP="004020DC" w:rsidRDefault="004020DC" w14:paraId="0F2A84D9" w14:textId="63569B28">
            <w:pPr>
              <w:autoSpaceDE/>
              <w:autoSpaceDN/>
              <w:adjustRightInd/>
              <w:jc w:val="center"/>
              <w:rPr>
                <w:color w:val="000000"/>
                <w:sz w:val="18"/>
                <w:szCs w:val="18"/>
              </w:rPr>
            </w:pPr>
            <w:r>
              <w:rPr>
                <w:color w:val="000000"/>
                <w:sz w:val="18"/>
                <w:szCs w:val="18"/>
              </w:rPr>
              <w:t>$63.00</w:t>
            </w:r>
          </w:p>
        </w:tc>
      </w:tr>
      <w:tr w:rsidRPr="009F5B80" w:rsidR="004020DC" w:rsidTr="00982BD1" w14:paraId="706C39EB" w14:textId="77777777">
        <w:trPr>
          <w:trHeight w:val="323"/>
        </w:trPr>
        <w:tc>
          <w:tcPr>
            <w:tcW w:w="5000" w:type="pct"/>
            <w:gridSpan w:val="5"/>
            <w:shd w:val="clear" w:color="auto" w:fill="F2F2F2" w:themeFill="background1" w:themeFillShade="F2"/>
            <w:noWrap/>
            <w:tcMar>
              <w:left w:w="216" w:type="dxa"/>
              <w:right w:w="115" w:type="dxa"/>
            </w:tcMar>
            <w:vAlign w:val="center"/>
          </w:tcPr>
          <w:p w:rsidRPr="00313D7A" w:rsidR="004020DC" w:rsidDel="004C51FA" w:rsidP="004020DC" w:rsidRDefault="004020DC" w14:paraId="4489AADA" w14:textId="77777777">
            <w:pPr>
              <w:autoSpaceDE/>
              <w:autoSpaceDN/>
              <w:adjustRightInd/>
              <w:ind w:hanging="131"/>
              <w:rPr>
                <w:b/>
                <w:bCs/>
                <w:sz w:val="18"/>
                <w:szCs w:val="18"/>
              </w:rPr>
            </w:pPr>
            <w:r w:rsidRPr="00AA71CE">
              <w:rPr>
                <w:b/>
                <w:bCs/>
                <w:sz w:val="18"/>
                <w:szCs w:val="18"/>
              </w:rPr>
              <w:t>Dilute Spe</w:t>
            </w:r>
            <w:r>
              <w:rPr>
                <w:b/>
                <w:bCs/>
                <w:sz w:val="18"/>
                <w:szCs w:val="18"/>
              </w:rPr>
              <w:t>cimens and Specimens Collected d</w:t>
            </w:r>
            <w:r w:rsidRPr="00AA71CE">
              <w:rPr>
                <w:b/>
                <w:bCs/>
                <w:sz w:val="18"/>
                <w:szCs w:val="18"/>
              </w:rPr>
              <w:t>uring Suspected Subversion Attempts</w:t>
            </w:r>
          </w:p>
        </w:tc>
      </w:tr>
      <w:tr w:rsidRPr="009F5B80" w:rsidR="004020DC" w:rsidTr="003562C3" w14:paraId="55ACC0E5" w14:textId="77777777">
        <w:trPr>
          <w:trHeight w:val="566"/>
        </w:trPr>
        <w:tc>
          <w:tcPr>
            <w:tcW w:w="2595" w:type="pct"/>
            <w:shd w:val="clear" w:color="auto" w:fill="auto"/>
            <w:noWrap/>
            <w:tcMar>
              <w:left w:w="216" w:type="dxa"/>
              <w:right w:w="115" w:type="dxa"/>
            </w:tcMar>
            <w:vAlign w:val="center"/>
          </w:tcPr>
          <w:p w:rsidRPr="00E1299F" w:rsidR="004020DC" w:rsidP="004020DC" w:rsidRDefault="004020DC" w14:paraId="02F6EC94" w14:textId="77777777">
            <w:pPr>
              <w:autoSpaceDE/>
              <w:autoSpaceDN/>
              <w:adjustRightInd/>
              <w:rPr>
                <w:color w:val="000000"/>
                <w:sz w:val="18"/>
                <w:szCs w:val="18"/>
              </w:rPr>
            </w:pPr>
            <w:r w:rsidRPr="00E1299F">
              <w:rPr>
                <w:color w:val="000000"/>
                <w:sz w:val="18"/>
                <w:szCs w:val="18"/>
              </w:rPr>
              <w:t>Average annual percentage of specimens tested that are dilute and special analyses testing is performed</w:t>
            </w:r>
          </w:p>
        </w:tc>
        <w:tc>
          <w:tcPr>
            <w:tcW w:w="722" w:type="pct"/>
            <w:shd w:val="clear" w:color="auto" w:fill="auto"/>
            <w:noWrap/>
            <w:vAlign w:val="center"/>
          </w:tcPr>
          <w:p w:rsidRPr="00E1299F" w:rsidR="004020DC" w:rsidP="004020DC" w:rsidRDefault="004020DC" w14:paraId="55DE9526" w14:textId="77777777">
            <w:pPr>
              <w:autoSpaceDE/>
              <w:autoSpaceDN/>
              <w:adjustRightInd/>
              <w:jc w:val="center"/>
              <w:rPr>
                <w:color w:val="000000"/>
                <w:sz w:val="18"/>
                <w:szCs w:val="18"/>
              </w:rPr>
            </w:pPr>
            <w:r w:rsidRPr="00E1299F">
              <w:rPr>
                <w:color w:val="000000"/>
                <w:sz w:val="18"/>
                <w:szCs w:val="18"/>
              </w:rPr>
              <w:t>PERT</w:t>
            </w:r>
          </w:p>
        </w:tc>
        <w:tc>
          <w:tcPr>
            <w:tcW w:w="529" w:type="pct"/>
            <w:shd w:val="clear" w:color="auto" w:fill="auto"/>
            <w:noWrap/>
            <w:vAlign w:val="center"/>
          </w:tcPr>
          <w:p w:rsidRPr="00E1299F" w:rsidR="004020DC" w:rsidP="004020DC" w:rsidRDefault="004020DC" w14:paraId="570CB32A" w14:textId="1D6084F2">
            <w:pPr>
              <w:autoSpaceDE/>
              <w:autoSpaceDN/>
              <w:adjustRightInd/>
              <w:jc w:val="center"/>
              <w:rPr>
                <w:color w:val="000000"/>
                <w:sz w:val="18"/>
                <w:szCs w:val="18"/>
              </w:rPr>
            </w:pPr>
            <w:r>
              <w:rPr>
                <w:color w:val="000000"/>
                <w:sz w:val="18"/>
                <w:szCs w:val="18"/>
              </w:rPr>
              <w:t>0.222%</w:t>
            </w:r>
          </w:p>
        </w:tc>
        <w:tc>
          <w:tcPr>
            <w:tcW w:w="529" w:type="pct"/>
            <w:shd w:val="clear" w:color="auto" w:fill="auto"/>
            <w:noWrap/>
            <w:vAlign w:val="center"/>
          </w:tcPr>
          <w:p w:rsidRPr="00E1299F" w:rsidR="004020DC" w:rsidDel="004C51FA" w:rsidP="004020DC" w:rsidRDefault="004020DC" w14:paraId="1D42335E" w14:textId="49420FD3">
            <w:pPr>
              <w:autoSpaceDE/>
              <w:autoSpaceDN/>
              <w:adjustRightInd/>
              <w:jc w:val="center"/>
              <w:rPr>
                <w:color w:val="000000"/>
                <w:sz w:val="18"/>
                <w:szCs w:val="18"/>
              </w:rPr>
            </w:pPr>
            <w:r w:rsidRPr="00E1299F">
              <w:rPr>
                <w:color w:val="000000"/>
                <w:sz w:val="18"/>
                <w:szCs w:val="18"/>
              </w:rPr>
              <w:t>0.</w:t>
            </w:r>
            <w:r>
              <w:rPr>
                <w:color w:val="000000"/>
                <w:sz w:val="18"/>
                <w:szCs w:val="18"/>
              </w:rPr>
              <w:t>381</w:t>
            </w:r>
            <w:r w:rsidRPr="00E1299F">
              <w:rPr>
                <w:color w:val="000000"/>
                <w:sz w:val="18"/>
                <w:szCs w:val="18"/>
              </w:rPr>
              <w:t>%</w:t>
            </w:r>
          </w:p>
        </w:tc>
        <w:tc>
          <w:tcPr>
            <w:tcW w:w="625" w:type="pct"/>
            <w:shd w:val="clear" w:color="auto" w:fill="auto"/>
            <w:noWrap/>
            <w:vAlign w:val="center"/>
          </w:tcPr>
          <w:p w:rsidRPr="00E1299F" w:rsidR="004020DC" w:rsidDel="004C51FA" w:rsidP="004020DC" w:rsidRDefault="004020DC" w14:paraId="0FB96036" w14:textId="77777777">
            <w:pPr>
              <w:autoSpaceDE/>
              <w:autoSpaceDN/>
              <w:adjustRightInd/>
              <w:jc w:val="center"/>
              <w:rPr>
                <w:color w:val="000000"/>
                <w:sz w:val="18"/>
                <w:szCs w:val="18"/>
              </w:rPr>
            </w:pPr>
            <w:r w:rsidRPr="00E1299F">
              <w:rPr>
                <w:color w:val="000000"/>
                <w:sz w:val="18"/>
                <w:szCs w:val="18"/>
              </w:rPr>
              <w:t>0.501%</w:t>
            </w:r>
          </w:p>
        </w:tc>
      </w:tr>
      <w:tr w:rsidRPr="009F5B80" w:rsidR="004020DC" w:rsidTr="003562C3" w14:paraId="40C1AA89" w14:textId="77777777">
        <w:trPr>
          <w:trHeight w:val="530"/>
        </w:trPr>
        <w:tc>
          <w:tcPr>
            <w:tcW w:w="2595" w:type="pct"/>
            <w:shd w:val="clear" w:color="auto" w:fill="auto"/>
            <w:noWrap/>
            <w:tcMar>
              <w:left w:w="216" w:type="dxa"/>
              <w:right w:w="115" w:type="dxa"/>
            </w:tcMar>
            <w:vAlign w:val="center"/>
          </w:tcPr>
          <w:p w:rsidRPr="00AA71CE" w:rsidR="004020DC" w:rsidP="004020DC" w:rsidRDefault="004020DC" w14:paraId="5F7103C1" w14:textId="77777777">
            <w:pPr>
              <w:autoSpaceDE/>
              <w:autoSpaceDN/>
              <w:adjustRightInd/>
              <w:rPr>
                <w:rFonts w:cs="Arial"/>
                <w:sz w:val="18"/>
                <w:szCs w:val="18"/>
              </w:rPr>
            </w:pPr>
            <w:r>
              <w:rPr>
                <w:rFonts w:cs="Arial"/>
                <w:sz w:val="18"/>
                <w:szCs w:val="18"/>
              </w:rPr>
              <w:t>Average annual percentage of specimens tested that are dilute and test positive on special analyses testing</w:t>
            </w:r>
          </w:p>
        </w:tc>
        <w:tc>
          <w:tcPr>
            <w:tcW w:w="722" w:type="pct"/>
            <w:shd w:val="clear" w:color="auto" w:fill="auto"/>
            <w:noWrap/>
            <w:vAlign w:val="center"/>
          </w:tcPr>
          <w:p w:rsidR="004020DC" w:rsidP="004020DC" w:rsidRDefault="004020DC" w14:paraId="0DA9F8E7" w14:textId="77777777">
            <w:pPr>
              <w:autoSpaceDE/>
              <w:autoSpaceDN/>
              <w:adjustRightInd/>
              <w:jc w:val="center"/>
              <w:rPr>
                <w:rFonts w:cs="Arial"/>
                <w:color w:val="000000"/>
                <w:sz w:val="18"/>
                <w:szCs w:val="18"/>
              </w:rPr>
            </w:pPr>
            <w:r>
              <w:rPr>
                <w:rFonts w:cs="Arial"/>
                <w:color w:val="000000"/>
                <w:sz w:val="18"/>
                <w:szCs w:val="18"/>
              </w:rPr>
              <w:t>PERT</w:t>
            </w:r>
          </w:p>
        </w:tc>
        <w:tc>
          <w:tcPr>
            <w:tcW w:w="529" w:type="pct"/>
            <w:shd w:val="clear" w:color="auto" w:fill="auto"/>
            <w:noWrap/>
            <w:vAlign w:val="center"/>
          </w:tcPr>
          <w:p w:rsidRPr="00AA71CE" w:rsidR="004020DC" w:rsidP="004020DC" w:rsidRDefault="004020DC" w14:paraId="4CBE7E13" w14:textId="77777777">
            <w:pPr>
              <w:autoSpaceDE/>
              <w:autoSpaceDN/>
              <w:adjustRightInd/>
              <w:jc w:val="center"/>
              <w:rPr>
                <w:rFonts w:cs="Arial"/>
                <w:color w:val="000000"/>
                <w:sz w:val="18"/>
                <w:szCs w:val="18"/>
              </w:rPr>
            </w:pPr>
            <w:r>
              <w:rPr>
                <w:rFonts w:cs="Arial"/>
                <w:color w:val="000000"/>
                <w:sz w:val="18"/>
                <w:szCs w:val="18"/>
              </w:rPr>
              <w:t>0.001%</w:t>
            </w:r>
          </w:p>
        </w:tc>
        <w:tc>
          <w:tcPr>
            <w:tcW w:w="529" w:type="pct"/>
            <w:shd w:val="clear" w:color="auto" w:fill="auto"/>
            <w:noWrap/>
            <w:vAlign w:val="center"/>
          </w:tcPr>
          <w:p w:rsidRPr="00AA71CE" w:rsidR="004020DC" w:rsidP="004020DC" w:rsidRDefault="004020DC" w14:paraId="42F775AB" w14:textId="0FE2889F">
            <w:pPr>
              <w:autoSpaceDE/>
              <w:autoSpaceDN/>
              <w:adjustRightInd/>
              <w:jc w:val="center"/>
              <w:rPr>
                <w:rFonts w:cs="Arial"/>
                <w:color w:val="000000"/>
                <w:sz w:val="18"/>
                <w:szCs w:val="18"/>
              </w:rPr>
            </w:pPr>
            <w:r>
              <w:rPr>
                <w:rFonts w:cs="Arial"/>
                <w:color w:val="000000"/>
                <w:sz w:val="18"/>
                <w:szCs w:val="18"/>
              </w:rPr>
              <w:t>0.006%</w:t>
            </w:r>
          </w:p>
        </w:tc>
        <w:tc>
          <w:tcPr>
            <w:tcW w:w="625" w:type="pct"/>
            <w:shd w:val="clear" w:color="auto" w:fill="auto"/>
            <w:noWrap/>
            <w:vAlign w:val="center"/>
          </w:tcPr>
          <w:p w:rsidRPr="00AA71CE" w:rsidR="004020DC" w:rsidP="004020DC" w:rsidRDefault="004020DC" w14:paraId="2A6A0800" w14:textId="0AC912C7">
            <w:pPr>
              <w:autoSpaceDE/>
              <w:autoSpaceDN/>
              <w:adjustRightInd/>
              <w:jc w:val="center"/>
              <w:rPr>
                <w:rFonts w:cs="Arial"/>
                <w:color w:val="000000"/>
                <w:sz w:val="18"/>
                <w:szCs w:val="18"/>
              </w:rPr>
            </w:pPr>
            <w:r>
              <w:rPr>
                <w:rFonts w:cs="Arial"/>
                <w:color w:val="000000"/>
                <w:sz w:val="18"/>
                <w:szCs w:val="18"/>
              </w:rPr>
              <w:t>0.013%</w:t>
            </w:r>
          </w:p>
        </w:tc>
      </w:tr>
      <w:tr w:rsidRPr="009F5B80" w:rsidR="004020DC" w:rsidTr="003562C3" w14:paraId="6EBB3634" w14:textId="77777777">
        <w:trPr>
          <w:trHeight w:val="971"/>
        </w:trPr>
        <w:tc>
          <w:tcPr>
            <w:tcW w:w="2595" w:type="pct"/>
            <w:shd w:val="clear" w:color="auto" w:fill="auto"/>
            <w:noWrap/>
            <w:tcMar>
              <w:left w:w="216" w:type="dxa"/>
              <w:right w:w="115" w:type="dxa"/>
            </w:tcMar>
            <w:vAlign w:val="center"/>
          </w:tcPr>
          <w:p w:rsidRPr="00DB1B4C" w:rsidR="004020DC" w:rsidP="004020DC" w:rsidRDefault="004020DC" w14:paraId="60B82EFF" w14:textId="77777777">
            <w:pPr>
              <w:autoSpaceDE/>
              <w:autoSpaceDN/>
              <w:adjustRightInd/>
              <w:rPr>
                <w:color w:val="000000"/>
                <w:sz w:val="18"/>
                <w:szCs w:val="18"/>
              </w:rPr>
            </w:pPr>
            <w:r w:rsidRPr="00DB1B4C">
              <w:rPr>
                <w:sz w:val="18"/>
              </w:rPr>
              <w:t>Average annual percentage of specimens tested that are determined to be a subversion attempt and that test positive (suspect specimens that test positive on special analyses testing)</w:t>
            </w:r>
          </w:p>
        </w:tc>
        <w:tc>
          <w:tcPr>
            <w:tcW w:w="722" w:type="pct"/>
            <w:shd w:val="clear" w:color="auto" w:fill="auto"/>
            <w:noWrap/>
            <w:vAlign w:val="center"/>
          </w:tcPr>
          <w:p w:rsidRPr="00266794" w:rsidR="004020DC" w:rsidP="004020DC" w:rsidRDefault="004020DC" w14:paraId="14EFD5B0" w14:textId="77777777">
            <w:pPr>
              <w:autoSpaceDE/>
              <w:autoSpaceDN/>
              <w:adjustRightInd/>
              <w:jc w:val="center"/>
              <w:rPr>
                <w:color w:val="000000"/>
                <w:sz w:val="18"/>
                <w:szCs w:val="18"/>
              </w:rPr>
            </w:pPr>
            <w:r w:rsidRPr="00977E4D">
              <w:rPr>
                <w:rFonts w:cs="Arial"/>
                <w:color w:val="000000"/>
                <w:sz w:val="18"/>
                <w:szCs w:val="18"/>
              </w:rPr>
              <w:t>PERT</w:t>
            </w:r>
          </w:p>
        </w:tc>
        <w:tc>
          <w:tcPr>
            <w:tcW w:w="529" w:type="pct"/>
            <w:shd w:val="clear" w:color="auto" w:fill="auto"/>
            <w:noWrap/>
            <w:vAlign w:val="center"/>
          </w:tcPr>
          <w:p w:rsidRPr="00977E4D" w:rsidR="004020DC" w:rsidP="004020DC" w:rsidRDefault="004020DC" w14:paraId="4FE58DBD" w14:textId="77777777">
            <w:pPr>
              <w:autoSpaceDE/>
              <w:autoSpaceDN/>
              <w:adjustRightInd/>
              <w:jc w:val="center"/>
              <w:rPr>
                <w:color w:val="000000"/>
                <w:sz w:val="18"/>
                <w:szCs w:val="18"/>
              </w:rPr>
            </w:pPr>
            <w:r w:rsidRPr="00977E4D">
              <w:rPr>
                <w:color w:val="000000"/>
                <w:sz w:val="18"/>
                <w:szCs w:val="18"/>
              </w:rPr>
              <w:t>0.029%</w:t>
            </w:r>
          </w:p>
        </w:tc>
        <w:tc>
          <w:tcPr>
            <w:tcW w:w="529" w:type="pct"/>
            <w:tcBorders>
              <w:bottom w:val="single" w:color="auto" w:sz="4" w:space="0"/>
            </w:tcBorders>
            <w:shd w:val="clear" w:color="auto" w:fill="auto"/>
            <w:noWrap/>
            <w:vAlign w:val="center"/>
          </w:tcPr>
          <w:p w:rsidRPr="00977E4D" w:rsidR="004020DC" w:rsidDel="004C51FA" w:rsidP="004020DC" w:rsidRDefault="004020DC" w14:paraId="347B6C78" w14:textId="6129AF42">
            <w:pPr>
              <w:autoSpaceDE/>
              <w:autoSpaceDN/>
              <w:adjustRightInd/>
              <w:jc w:val="center"/>
              <w:rPr>
                <w:color w:val="000000"/>
                <w:sz w:val="18"/>
                <w:szCs w:val="18"/>
              </w:rPr>
            </w:pPr>
            <w:r w:rsidRPr="00977E4D">
              <w:rPr>
                <w:color w:val="000000"/>
                <w:sz w:val="18"/>
                <w:szCs w:val="18"/>
              </w:rPr>
              <w:t>0.0</w:t>
            </w:r>
            <w:r>
              <w:rPr>
                <w:color w:val="000000"/>
                <w:sz w:val="18"/>
                <w:szCs w:val="18"/>
              </w:rPr>
              <w:t>47</w:t>
            </w:r>
            <w:r w:rsidRPr="00977E4D">
              <w:rPr>
                <w:color w:val="000000"/>
                <w:sz w:val="18"/>
                <w:szCs w:val="18"/>
              </w:rPr>
              <w:t>%</w:t>
            </w:r>
          </w:p>
        </w:tc>
        <w:tc>
          <w:tcPr>
            <w:tcW w:w="625" w:type="pct"/>
            <w:shd w:val="clear" w:color="auto" w:fill="auto"/>
            <w:noWrap/>
            <w:vAlign w:val="center"/>
          </w:tcPr>
          <w:p w:rsidRPr="00977E4D" w:rsidR="004020DC" w:rsidDel="004C51FA" w:rsidP="004020DC" w:rsidRDefault="004020DC" w14:paraId="7DFD0524" w14:textId="21618BB9">
            <w:pPr>
              <w:autoSpaceDE/>
              <w:autoSpaceDN/>
              <w:adjustRightInd/>
              <w:jc w:val="center"/>
              <w:rPr>
                <w:color w:val="000000"/>
                <w:sz w:val="18"/>
                <w:szCs w:val="18"/>
              </w:rPr>
            </w:pPr>
            <w:r w:rsidRPr="00977E4D">
              <w:rPr>
                <w:color w:val="000000"/>
                <w:sz w:val="18"/>
                <w:szCs w:val="18"/>
              </w:rPr>
              <w:t>0.0</w:t>
            </w:r>
            <w:r>
              <w:rPr>
                <w:color w:val="000000"/>
                <w:sz w:val="18"/>
                <w:szCs w:val="18"/>
              </w:rPr>
              <w:t>77</w:t>
            </w:r>
            <w:r w:rsidRPr="00977E4D">
              <w:rPr>
                <w:color w:val="000000"/>
                <w:sz w:val="18"/>
                <w:szCs w:val="18"/>
              </w:rPr>
              <w:t>%</w:t>
            </w:r>
          </w:p>
        </w:tc>
      </w:tr>
      <w:tr w:rsidRPr="009F5B80" w:rsidR="004020DC" w:rsidTr="00CE6630" w14:paraId="2483463D" w14:textId="77777777">
        <w:trPr>
          <w:trHeight w:val="539"/>
        </w:trPr>
        <w:tc>
          <w:tcPr>
            <w:tcW w:w="2595" w:type="pct"/>
            <w:tcBorders>
              <w:bottom w:val="single" w:color="auto" w:sz="4" w:space="0"/>
            </w:tcBorders>
            <w:shd w:val="clear" w:color="auto" w:fill="auto"/>
            <w:noWrap/>
            <w:tcMar>
              <w:left w:w="216" w:type="dxa"/>
              <w:right w:w="115" w:type="dxa"/>
            </w:tcMar>
            <w:vAlign w:val="center"/>
          </w:tcPr>
          <w:p w:rsidRPr="00DB1B4C" w:rsidR="004020DC" w:rsidP="004020DC" w:rsidRDefault="004020DC" w14:paraId="1F1B5A1C" w14:textId="77777777">
            <w:pPr>
              <w:autoSpaceDE/>
              <w:autoSpaceDN/>
              <w:adjustRightInd/>
              <w:rPr>
                <w:color w:val="000000"/>
                <w:sz w:val="18"/>
                <w:szCs w:val="18"/>
              </w:rPr>
            </w:pPr>
            <w:r w:rsidRPr="00DB1B4C">
              <w:rPr>
                <w:sz w:val="18"/>
              </w:rPr>
              <w:t>Projected percent increase in confirmed positive test rate</w:t>
            </w:r>
            <w:r>
              <w:rPr>
                <w:sz w:val="18"/>
              </w:rPr>
              <w:t xml:space="preserve"> for specimens collected under direct observation</w:t>
            </w:r>
          </w:p>
        </w:tc>
        <w:tc>
          <w:tcPr>
            <w:tcW w:w="722" w:type="pct"/>
            <w:tcBorders>
              <w:bottom w:val="single" w:color="auto" w:sz="4" w:space="0"/>
            </w:tcBorders>
            <w:shd w:val="clear" w:color="auto" w:fill="auto"/>
            <w:noWrap/>
            <w:vAlign w:val="center"/>
          </w:tcPr>
          <w:p w:rsidRPr="00EF0303" w:rsidR="004020DC" w:rsidP="004020DC" w:rsidRDefault="004020DC" w14:paraId="775CA954" w14:textId="77777777">
            <w:pPr>
              <w:autoSpaceDE/>
              <w:autoSpaceDN/>
              <w:adjustRightInd/>
              <w:jc w:val="center"/>
              <w:rPr>
                <w:color w:val="000000"/>
                <w:sz w:val="18"/>
                <w:szCs w:val="18"/>
              </w:rPr>
            </w:pPr>
            <w:r>
              <w:rPr>
                <w:rFonts w:cs="Arial"/>
                <w:color w:val="000000"/>
                <w:sz w:val="18"/>
                <w:szCs w:val="18"/>
              </w:rPr>
              <w:t>Uniform</w:t>
            </w:r>
          </w:p>
        </w:tc>
        <w:tc>
          <w:tcPr>
            <w:tcW w:w="529" w:type="pct"/>
            <w:tcBorders>
              <w:bottom w:val="single" w:color="auto" w:sz="4" w:space="0"/>
            </w:tcBorders>
            <w:shd w:val="clear" w:color="auto" w:fill="auto"/>
            <w:noWrap/>
            <w:vAlign w:val="center"/>
          </w:tcPr>
          <w:p w:rsidR="004020DC" w:rsidP="004020DC" w:rsidRDefault="004020DC" w14:paraId="38D8EE75" w14:textId="77777777">
            <w:pPr>
              <w:autoSpaceDE/>
              <w:autoSpaceDN/>
              <w:adjustRightInd/>
              <w:jc w:val="center"/>
              <w:rPr>
                <w:color w:val="000000"/>
                <w:sz w:val="18"/>
                <w:szCs w:val="18"/>
              </w:rPr>
            </w:pPr>
            <w:r>
              <w:rPr>
                <w:rFonts w:cs="Arial"/>
                <w:color w:val="000000"/>
                <w:sz w:val="18"/>
                <w:szCs w:val="18"/>
              </w:rPr>
              <w:t>0</w:t>
            </w:r>
            <w:r w:rsidRPr="00AA71CE">
              <w:rPr>
                <w:rFonts w:cs="Arial"/>
                <w:color w:val="000000"/>
                <w:sz w:val="18"/>
                <w:szCs w:val="18"/>
              </w:rPr>
              <w:t>%</w:t>
            </w:r>
          </w:p>
        </w:tc>
        <w:tc>
          <w:tcPr>
            <w:tcW w:w="529" w:type="pct"/>
            <w:tcBorders>
              <w:bottom w:val="single" w:color="auto" w:sz="4" w:space="0"/>
            </w:tcBorders>
            <w:shd w:val="clear" w:color="auto" w:fill="D9D9D9" w:themeFill="background1" w:themeFillShade="D9"/>
            <w:noWrap/>
            <w:vAlign w:val="center"/>
          </w:tcPr>
          <w:p w:rsidRPr="00EF0303" w:rsidR="004020DC" w:rsidDel="004C51FA" w:rsidP="004020DC" w:rsidRDefault="004020DC" w14:paraId="7540CA8E" w14:textId="22872148">
            <w:pPr>
              <w:autoSpaceDE/>
              <w:autoSpaceDN/>
              <w:adjustRightInd/>
              <w:jc w:val="center"/>
              <w:rPr>
                <w:color w:val="000000"/>
                <w:sz w:val="18"/>
                <w:szCs w:val="18"/>
              </w:rPr>
            </w:pPr>
          </w:p>
        </w:tc>
        <w:tc>
          <w:tcPr>
            <w:tcW w:w="625" w:type="pct"/>
            <w:tcBorders>
              <w:bottom w:val="single" w:color="auto" w:sz="4" w:space="0"/>
            </w:tcBorders>
            <w:shd w:val="clear" w:color="auto" w:fill="auto"/>
            <w:noWrap/>
            <w:vAlign w:val="center"/>
          </w:tcPr>
          <w:p w:rsidRPr="00EF0303" w:rsidR="004020DC" w:rsidDel="004C51FA" w:rsidP="004020DC" w:rsidRDefault="004020DC" w14:paraId="51A79170" w14:textId="77777777">
            <w:pPr>
              <w:autoSpaceDE/>
              <w:autoSpaceDN/>
              <w:adjustRightInd/>
              <w:jc w:val="center"/>
              <w:rPr>
                <w:color w:val="000000"/>
                <w:sz w:val="18"/>
                <w:szCs w:val="18"/>
              </w:rPr>
            </w:pPr>
            <w:r w:rsidRPr="00AA71CE">
              <w:rPr>
                <w:rFonts w:cs="Arial"/>
                <w:color w:val="000000"/>
                <w:sz w:val="18"/>
                <w:szCs w:val="18"/>
              </w:rPr>
              <w:t>2</w:t>
            </w:r>
            <w:r>
              <w:rPr>
                <w:rFonts w:cs="Arial"/>
                <w:color w:val="000000"/>
                <w:sz w:val="18"/>
                <w:szCs w:val="18"/>
              </w:rPr>
              <w:t>5</w:t>
            </w:r>
            <w:r w:rsidRPr="00AA71CE">
              <w:rPr>
                <w:rFonts w:cs="Arial"/>
                <w:color w:val="000000"/>
                <w:sz w:val="18"/>
                <w:szCs w:val="18"/>
              </w:rPr>
              <w:t>%</w:t>
            </w:r>
          </w:p>
        </w:tc>
      </w:tr>
      <w:tr w:rsidRPr="005F262C" w:rsidR="004020DC" w:rsidTr="007E28C2" w14:paraId="01425E6F" w14:textId="77777777">
        <w:trPr>
          <w:trHeight w:val="296"/>
        </w:trPr>
        <w:tc>
          <w:tcPr>
            <w:tcW w:w="5000" w:type="pct"/>
            <w:gridSpan w:val="5"/>
            <w:shd w:val="clear" w:color="auto" w:fill="F2F2F2" w:themeFill="background1" w:themeFillShade="F2"/>
            <w:noWrap/>
            <w:tcMar>
              <w:left w:w="216" w:type="dxa"/>
              <w:right w:w="115" w:type="dxa"/>
            </w:tcMar>
            <w:vAlign w:val="center"/>
          </w:tcPr>
          <w:p w:rsidRPr="000950FC" w:rsidR="004020DC" w:rsidP="004020DC" w:rsidRDefault="004020DC" w14:paraId="5B2A4FC0" w14:textId="77777777">
            <w:pPr>
              <w:autoSpaceDE/>
              <w:autoSpaceDN/>
              <w:adjustRightInd/>
              <w:ind w:hanging="131"/>
              <w:jc w:val="both"/>
              <w:rPr>
                <w:b/>
                <w:bCs/>
                <w:sz w:val="18"/>
                <w:szCs w:val="18"/>
              </w:rPr>
            </w:pPr>
            <w:r>
              <w:rPr>
                <w:b/>
                <w:bCs/>
                <w:sz w:val="18"/>
                <w:szCs w:val="18"/>
              </w:rPr>
              <w:t>Labor Following a Laboratory Positive Test Result or Subversion Event</w:t>
            </w:r>
          </w:p>
        </w:tc>
      </w:tr>
      <w:tr w:rsidRPr="005F262C" w:rsidR="004020DC" w:rsidTr="006B226A" w14:paraId="488BBA4F" w14:textId="77777777">
        <w:trPr>
          <w:trHeight w:val="386"/>
        </w:trPr>
        <w:tc>
          <w:tcPr>
            <w:tcW w:w="2595" w:type="pct"/>
            <w:shd w:val="clear" w:color="auto" w:fill="auto"/>
            <w:noWrap/>
            <w:tcMar>
              <w:left w:w="216" w:type="dxa"/>
              <w:right w:w="115" w:type="dxa"/>
            </w:tcMar>
            <w:vAlign w:val="center"/>
          </w:tcPr>
          <w:p w:rsidRPr="000D5916" w:rsidR="004020DC" w:rsidP="004020DC" w:rsidRDefault="004020DC" w14:paraId="6A2D6817" w14:textId="77777777">
            <w:pPr>
              <w:autoSpaceDE/>
              <w:autoSpaceDN/>
              <w:adjustRightInd/>
              <w:rPr>
                <w:sz w:val="18"/>
                <w:szCs w:val="18"/>
              </w:rPr>
            </w:pPr>
            <w:r w:rsidRPr="000D5916">
              <w:rPr>
                <w:sz w:val="18"/>
                <w:szCs w:val="18"/>
              </w:rPr>
              <w:t>MRO subsequent action labor hours</w:t>
            </w:r>
          </w:p>
        </w:tc>
        <w:tc>
          <w:tcPr>
            <w:tcW w:w="722" w:type="pct"/>
            <w:shd w:val="clear" w:color="auto" w:fill="auto"/>
            <w:noWrap/>
            <w:vAlign w:val="center"/>
          </w:tcPr>
          <w:p w:rsidRPr="00AB6CC8" w:rsidR="004020DC" w:rsidP="004020DC" w:rsidRDefault="004020DC" w14:paraId="6AFF3B28" w14:textId="77777777">
            <w:pPr>
              <w:autoSpaceDE/>
              <w:autoSpaceDN/>
              <w:adjustRightInd/>
              <w:jc w:val="center"/>
              <w:rPr>
                <w:rFonts w:cs="Arial"/>
                <w:color w:val="000000"/>
                <w:sz w:val="18"/>
                <w:szCs w:val="18"/>
              </w:rPr>
            </w:pPr>
            <w:r w:rsidRPr="00AB6CC8">
              <w:rPr>
                <w:rFonts w:cs="Arial"/>
                <w:color w:val="000000"/>
                <w:sz w:val="18"/>
                <w:szCs w:val="18"/>
              </w:rPr>
              <w:t>PERT</w:t>
            </w:r>
          </w:p>
        </w:tc>
        <w:tc>
          <w:tcPr>
            <w:tcW w:w="529" w:type="pct"/>
            <w:shd w:val="clear" w:color="auto" w:fill="auto"/>
            <w:noWrap/>
            <w:vAlign w:val="center"/>
          </w:tcPr>
          <w:p w:rsidRPr="000D5916" w:rsidR="004020DC" w:rsidP="004020DC" w:rsidRDefault="004020DC" w14:paraId="5C8D5C0D" w14:textId="77777777">
            <w:pPr>
              <w:autoSpaceDE/>
              <w:autoSpaceDN/>
              <w:adjustRightInd/>
              <w:jc w:val="center"/>
              <w:rPr>
                <w:rFonts w:cs="Arial"/>
                <w:color w:val="000000"/>
                <w:sz w:val="18"/>
                <w:szCs w:val="18"/>
              </w:rPr>
            </w:pPr>
            <w:r w:rsidRPr="000D5916">
              <w:rPr>
                <w:rFonts w:cs="Arial"/>
                <w:sz w:val="18"/>
                <w:szCs w:val="18"/>
              </w:rPr>
              <w:t>0.25</w:t>
            </w:r>
          </w:p>
        </w:tc>
        <w:tc>
          <w:tcPr>
            <w:tcW w:w="529" w:type="pct"/>
            <w:shd w:val="clear" w:color="auto" w:fill="auto"/>
            <w:noWrap/>
            <w:vAlign w:val="center"/>
          </w:tcPr>
          <w:p w:rsidRPr="000D5916" w:rsidR="004020DC" w:rsidP="004020DC" w:rsidRDefault="004020DC" w14:paraId="36113591" w14:textId="77777777">
            <w:pPr>
              <w:autoSpaceDE/>
              <w:autoSpaceDN/>
              <w:adjustRightInd/>
              <w:jc w:val="center"/>
              <w:rPr>
                <w:rFonts w:cs="Arial"/>
                <w:color w:val="000000"/>
                <w:sz w:val="18"/>
                <w:szCs w:val="18"/>
              </w:rPr>
            </w:pPr>
            <w:r w:rsidRPr="000D5916">
              <w:rPr>
                <w:rFonts w:cs="Arial"/>
                <w:sz w:val="18"/>
                <w:szCs w:val="18"/>
              </w:rPr>
              <w:t>0.75</w:t>
            </w:r>
          </w:p>
        </w:tc>
        <w:tc>
          <w:tcPr>
            <w:tcW w:w="625" w:type="pct"/>
            <w:shd w:val="clear" w:color="auto" w:fill="auto"/>
            <w:noWrap/>
            <w:vAlign w:val="center"/>
          </w:tcPr>
          <w:p w:rsidRPr="000D5916" w:rsidR="004020DC" w:rsidP="004020DC" w:rsidRDefault="004020DC" w14:paraId="4D40C328" w14:textId="77777777">
            <w:pPr>
              <w:autoSpaceDE/>
              <w:autoSpaceDN/>
              <w:adjustRightInd/>
              <w:jc w:val="center"/>
              <w:rPr>
                <w:rFonts w:cs="Arial"/>
                <w:color w:val="000000"/>
                <w:sz w:val="18"/>
                <w:szCs w:val="18"/>
              </w:rPr>
            </w:pPr>
            <w:r w:rsidRPr="000D5916">
              <w:rPr>
                <w:rFonts w:cs="Arial"/>
                <w:sz w:val="18"/>
                <w:szCs w:val="18"/>
              </w:rPr>
              <w:t>1.00</w:t>
            </w:r>
          </w:p>
        </w:tc>
      </w:tr>
      <w:tr w:rsidRPr="005F262C" w:rsidR="004020DC" w:rsidTr="00D72571" w14:paraId="6C5B0112" w14:textId="77777777">
        <w:trPr>
          <w:trHeight w:val="296"/>
        </w:trPr>
        <w:tc>
          <w:tcPr>
            <w:tcW w:w="5000" w:type="pct"/>
            <w:gridSpan w:val="5"/>
            <w:shd w:val="clear" w:color="auto" w:fill="F2F2F2" w:themeFill="background1" w:themeFillShade="F2"/>
            <w:noWrap/>
            <w:tcMar>
              <w:left w:w="216" w:type="dxa"/>
              <w:right w:w="115" w:type="dxa"/>
            </w:tcMar>
            <w:vAlign w:val="center"/>
          </w:tcPr>
          <w:p w:rsidRPr="000950FC" w:rsidR="004020DC" w:rsidP="004020DC" w:rsidRDefault="004020DC" w14:paraId="42059CBE" w14:textId="64EF42F5">
            <w:pPr>
              <w:autoSpaceDE/>
              <w:autoSpaceDN/>
              <w:adjustRightInd/>
              <w:ind w:hanging="131"/>
              <w:jc w:val="both"/>
              <w:rPr>
                <w:b/>
                <w:bCs/>
                <w:sz w:val="18"/>
                <w:szCs w:val="18"/>
              </w:rPr>
            </w:pPr>
            <w:r>
              <w:rPr>
                <w:b/>
                <w:bCs/>
                <w:sz w:val="18"/>
                <w:szCs w:val="18"/>
              </w:rPr>
              <w:t>Alternative Specimen (Oral Fluid) Collection and Testing</w:t>
            </w:r>
          </w:p>
        </w:tc>
      </w:tr>
      <w:tr w:rsidRPr="005F262C" w:rsidR="004020DC" w:rsidTr="00D80F69" w14:paraId="23C172BE" w14:textId="77777777">
        <w:trPr>
          <w:trHeight w:val="395"/>
        </w:trPr>
        <w:tc>
          <w:tcPr>
            <w:tcW w:w="2595" w:type="pct"/>
            <w:shd w:val="clear" w:color="auto" w:fill="auto"/>
            <w:noWrap/>
            <w:tcMar>
              <w:left w:w="216" w:type="dxa"/>
              <w:right w:w="115" w:type="dxa"/>
            </w:tcMar>
            <w:vAlign w:val="center"/>
          </w:tcPr>
          <w:p w:rsidRPr="000D5916" w:rsidR="004020DC" w:rsidP="004020DC" w:rsidRDefault="004020DC" w14:paraId="54A2D3C9" w14:textId="211A4CD6">
            <w:pPr>
              <w:autoSpaceDE/>
              <w:autoSpaceDN/>
              <w:adjustRightInd/>
              <w:rPr>
                <w:sz w:val="18"/>
                <w:szCs w:val="18"/>
              </w:rPr>
            </w:pPr>
            <w:r w:rsidRPr="00337E1E">
              <w:rPr>
                <w:sz w:val="18"/>
                <w:szCs w:val="18"/>
              </w:rPr>
              <w:t xml:space="preserve">Testing of an oral fluid </w:t>
            </w:r>
            <w:r>
              <w:rPr>
                <w:sz w:val="18"/>
                <w:szCs w:val="18"/>
              </w:rPr>
              <w:t xml:space="preserve">specimen at </w:t>
            </w:r>
            <w:r w:rsidRPr="00337E1E">
              <w:rPr>
                <w:sz w:val="18"/>
                <w:szCs w:val="18"/>
              </w:rPr>
              <w:t>an HHS-certified laboratory</w:t>
            </w:r>
          </w:p>
        </w:tc>
        <w:tc>
          <w:tcPr>
            <w:tcW w:w="722" w:type="pct"/>
            <w:shd w:val="clear" w:color="auto" w:fill="auto"/>
            <w:noWrap/>
            <w:vAlign w:val="center"/>
          </w:tcPr>
          <w:p w:rsidRPr="00D80F69" w:rsidR="004020DC" w:rsidP="004020DC" w:rsidRDefault="004020DC" w14:paraId="05A3AB8D" w14:textId="42C70E7E">
            <w:pPr>
              <w:autoSpaceDE/>
              <w:autoSpaceDN/>
              <w:adjustRightInd/>
              <w:jc w:val="center"/>
              <w:rPr>
                <w:color w:val="000000"/>
                <w:sz w:val="18"/>
                <w:szCs w:val="18"/>
              </w:rPr>
            </w:pPr>
            <w:r w:rsidRPr="00D80F69">
              <w:rPr>
                <w:color w:val="000000"/>
                <w:sz w:val="18"/>
                <w:szCs w:val="18"/>
              </w:rPr>
              <w:t>PERT</w:t>
            </w:r>
          </w:p>
        </w:tc>
        <w:tc>
          <w:tcPr>
            <w:tcW w:w="529" w:type="pct"/>
            <w:shd w:val="clear" w:color="auto" w:fill="auto"/>
            <w:noWrap/>
            <w:vAlign w:val="center"/>
          </w:tcPr>
          <w:p w:rsidRPr="00D80F69" w:rsidR="004020DC" w:rsidP="004020DC" w:rsidRDefault="004020DC" w14:paraId="72F8F86B" w14:textId="1CFD36E0">
            <w:pPr>
              <w:autoSpaceDE/>
              <w:autoSpaceDN/>
              <w:adjustRightInd/>
              <w:jc w:val="center"/>
              <w:rPr>
                <w:color w:val="000000"/>
                <w:sz w:val="18"/>
                <w:szCs w:val="18"/>
              </w:rPr>
            </w:pPr>
            <w:r w:rsidRPr="00D80F69">
              <w:rPr>
                <w:color w:val="000000"/>
                <w:sz w:val="18"/>
                <w:szCs w:val="18"/>
              </w:rPr>
              <w:t>$18.00</w:t>
            </w:r>
          </w:p>
        </w:tc>
        <w:tc>
          <w:tcPr>
            <w:tcW w:w="529" w:type="pct"/>
            <w:shd w:val="clear" w:color="auto" w:fill="auto"/>
            <w:noWrap/>
            <w:vAlign w:val="center"/>
          </w:tcPr>
          <w:p w:rsidRPr="00D80F69" w:rsidR="004020DC" w:rsidP="004020DC" w:rsidRDefault="004020DC" w14:paraId="545F038D" w14:textId="7632FC12">
            <w:pPr>
              <w:autoSpaceDE/>
              <w:autoSpaceDN/>
              <w:adjustRightInd/>
              <w:jc w:val="center"/>
              <w:rPr>
                <w:color w:val="000000"/>
                <w:sz w:val="18"/>
                <w:szCs w:val="18"/>
              </w:rPr>
            </w:pPr>
            <w:r w:rsidRPr="00D80F69">
              <w:rPr>
                <w:color w:val="000000"/>
                <w:sz w:val="18"/>
                <w:szCs w:val="18"/>
              </w:rPr>
              <w:t>$20.00</w:t>
            </w:r>
          </w:p>
        </w:tc>
        <w:tc>
          <w:tcPr>
            <w:tcW w:w="625" w:type="pct"/>
            <w:shd w:val="clear" w:color="auto" w:fill="auto"/>
            <w:noWrap/>
            <w:vAlign w:val="center"/>
          </w:tcPr>
          <w:p w:rsidRPr="00D80F69" w:rsidR="004020DC" w:rsidP="004020DC" w:rsidRDefault="004020DC" w14:paraId="5C181A9A" w14:textId="3E705328">
            <w:pPr>
              <w:autoSpaceDE/>
              <w:autoSpaceDN/>
              <w:adjustRightInd/>
              <w:jc w:val="center"/>
              <w:rPr>
                <w:color w:val="000000"/>
                <w:sz w:val="18"/>
                <w:szCs w:val="18"/>
              </w:rPr>
            </w:pPr>
            <w:r w:rsidRPr="00D80F69">
              <w:rPr>
                <w:color w:val="000000"/>
                <w:sz w:val="18"/>
                <w:szCs w:val="18"/>
              </w:rPr>
              <w:t>$22.00</w:t>
            </w:r>
          </w:p>
        </w:tc>
      </w:tr>
      <w:tr w:rsidRPr="005F262C" w:rsidR="004020DC" w:rsidTr="00F7172C" w14:paraId="5C615047" w14:textId="77777777">
        <w:trPr>
          <w:trHeight w:val="350"/>
        </w:trPr>
        <w:tc>
          <w:tcPr>
            <w:tcW w:w="2595" w:type="pct"/>
            <w:shd w:val="clear" w:color="auto" w:fill="auto"/>
            <w:noWrap/>
            <w:tcMar>
              <w:left w:w="216" w:type="dxa"/>
              <w:right w:w="115" w:type="dxa"/>
            </w:tcMar>
            <w:vAlign w:val="center"/>
          </w:tcPr>
          <w:p w:rsidRPr="000D5916" w:rsidR="004020DC" w:rsidP="004020DC" w:rsidRDefault="004020DC" w14:paraId="05D7AA91" w14:textId="3ABACF3D">
            <w:pPr>
              <w:autoSpaceDE/>
              <w:autoSpaceDN/>
              <w:adjustRightInd/>
              <w:rPr>
                <w:sz w:val="18"/>
                <w:szCs w:val="18"/>
              </w:rPr>
            </w:pPr>
            <w:r>
              <w:rPr>
                <w:sz w:val="18"/>
                <w:szCs w:val="18"/>
              </w:rPr>
              <w:t>O</w:t>
            </w:r>
            <w:r w:rsidRPr="00A64752">
              <w:rPr>
                <w:sz w:val="18"/>
                <w:szCs w:val="18"/>
              </w:rPr>
              <w:t xml:space="preserve">ral </w:t>
            </w:r>
            <w:r>
              <w:rPr>
                <w:sz w:val="18"/>
                <w:szCs w:val="18"/>
              </w:rPr>
              <w:t xml:space="preserve">fluid </w:t>
            </w:r>
            <w:r w:rsidRPr="00A64752">
              <w:rPr>
                <w:sz w:val="18"/>
                <w:szCs w:val="18"/>
              </w:rPr>
              <w:t>collection time</w:t>
            </w:r>
            <w:r>
              <w:rPr>
                <w:sz w:val="18"/>
                <w:szCs w:val="18"/>
              </w:rPr>
              <w:t xml:space="preserve"> (donor)</w:t>
            </w:r>
          </w:p>
        </w:tc>
        <w:tc>
          <w:tcPr>
            <w:tcW w:w="722" w:type="pct"/>
            <w:shd w:val="clear" w:color="auto" w:fill="auto"/>
            <w:noWrap/>
            <w:vAlign w:val="center"/>
          </w:tcPr>
          <w:p w:rsidRPr="00AB6CC8" w:rsidR="004020DC" w:rsidP="004020DC" w:rsidRDefault="004020DC" w14:paraId="3DB73E50" w14:textId="4521E5B2">
            <w:pPr>
              <w:autoSpaceDE/>
              <w:autoSpaceDN/>
              <w:adjustRightInd/>
              <w:jc w:val="center"/>
              <w:rPr>
                <w:rFonts w:cs="Arial"/>
                <w:color w:val="000000"/>
                <w:sz w:val="18"/>
                <w:szCs w:val="18"/>
              </w:rPr>
            </w:pPr>
            <w:r>
              <w:rPr>
                <w:rFonts w:cs="Arial"/>
                <w:color w:val="000000"/>
                <w:sz w:val="18"/>
                <w:szCs w:val="18"/>
              </w:rPr>
              <w:t>PERT</w:t>
            </w:r>
          </w:p>
        </w:tc>
        <w:tc>
          <w:tcPr>
            <w:tcW w:w="529" w:type="pct"/>
            <w:shd w:val="clear" w:color="auto" w:fill="auto"/>
            <w:noWrap/>
            <w:vAlign w:val="center"/>
          </w:tcPr>
          <w:p w:rsidRPr="00A64752" w:rsidR="004020DC" w:rsidP="004020DC" w:rsidRDefault="004020DC" w14:paraId="39DE6166" w14:textId="232B3027">
            <w:pPr>
              <w:autoSpaceDE/>
              <w:autoSpaceDN/>
              <w:adjustRightInd/>
              <w:jc w:val="center"/>
              <w:rPr>
                <w:rFonts w:cs="Arial"/>
                <w:sz w:val="18"/>
                <w:szCs w:val="18"/>
              </w:rPr>
            </w:pPr>
            <w:r w:rsidRPr="00A64752">
              <w:rPr>
                <w:sz w:val="18"/>
                <w:szCs w:val="18"/>
              </w:rPr>
              <w:t>0.25 h</w:t>
            </w:r>
            <w:r w:rsidR="00570C75">
              <w:rPr>
                <w:sz w:val="18"/>
                <w:szCs w:val="18"/>
              </w:rPr>
              <w:t>our</w:t>
            </w:r>
          </w:p>
        </w:tc>
        <w:tc>
          <w:tcPr>
            <w:tcW w:w="529" w:type="pct"/>
            <w:shd w:val="clear" w:color="auto" w:fill="auto"/>
            <w:noWrap/>
            <w:vAlign w:val="center"/>
          </w:tcPr>
          <w:p w:rsidRPr="00A64752" w:rsidR="004020DC" w:rsidP="004020DC" w:rsidRDefault="004020DC" w14:paraId="234B53D5" w14:textId="6C1C3651">
            <w:pPr>
              <w:autoSpaceDE/>
              <w:autoSpaceDN/>
              <w:adjustRightInd/>
              <w:jc w:val="center"/>
              <w:rPr>
                <w:rFonts w:cs="Arial"/>
                <w:sz w:val="18"/>
                <w:szCs w:val="18"/>
              </w:rPr>
            </w:pPr>
            <w:r w:rsidRPr="00A64752">
              <w:rPr>
                <w:sz w:val="18"/>
                <w:szCs w:val="18"/>
              </w:rPr>
              <w:t xml:space="preserve">0.33 </w:t>
            </w:r>
            <w:r w:rsidRPr="00A64752" w:rsidR="00570C75">
              <w:rPr>
                <w:sz w:val="18"/>
                <w:szCs w:val="18"/>
              </w:rPr>
              <w:t>h</w:t>
            </w:r>
            <w:r w:rsidR="00570C75">
              <w:rPr>
                <w:sz w:val="18"/>
                <w:szCs w:val="18"/>
              </w:rPr>
              <w:t>our</w:t>
            </w:r>
          </w:p>
        </w:tc>
        <w:tc>
          <w:tcPr>
            <w:tcW w:w="625" w:type="pct"/>
            <w:shd w:val="clear" w:color="auto" w:fill="auto"/>
            <w:noWrap/>
            <w:vAlign w:val="center"/>
          </w:tcPr>
          <w:p w:rsidR="00570C75" w:rsidP="004020DC" w:rsidRDefault="004020DC" w14:paraId="47B06FE2" w14:textId="77777777">
            <w:pPr>
              <w:autoSpaceDE/>
              <w:autoSpaceDN/>
              <w:adjustRightInd/>
              <w:jc w:val="center"/>
              <w:rPr>
                <w:sz w:val="18"/>
                <w:szCs w:val="18"/>
              </w:rPr>
            </w:pPr>
            <w:r w:rsidRPr="00A64752">
              <w:rPr>
                <w:sz w:val="18"/>
                <w:szCs w:val="18"/>
              </w:rPr>
              <w:t xml:space="preserve">0.50 </w:t>
            </w:r>
          </w:p>
          <w:p w:rsidRPr="00A64752" w:rsidR="004020DC" w:rsidP="004020DC" w:rsidRDefault="00570C75" w14:paraId="1BDBDAB0" w14:textId="602006C4">
            <w:pPr>
              <w:autoSpaceDE/>
              <w:autoSpaceDN/>
              <w:adjustRightInd/>
              <w:jc w:val="center"/>
              <w:rPr>
                <w:rFonts w:cs="Arial"/>
                <w:sz w:val="18"/>
                <w:szCs w:val="18"/>
              </w:rPr>
            </w:pPr>
            <w:r w:rsidRPr="00A64752">
              <w:rPr>
                <w:sz w:val="18"/>
                <w:szCs w:val="18"/>
              </w:rPr>
              <w:t>h</w:t>
            </w:r>
            <w:r>
              <w:rPr>
                <w:sz w:val="18"/>
                <w:szCs w:val="18"/>
              </w:rPr>
              <w:t>our</w:t>
            </w:r>
          </w:p>
        </w:tc>
      </w:tr>
      <w:tr w:rsidRPr="005F262C" w:rsidR="004020DC" w:rsidTr="00F7172C" w14:paraId="7B3333C0" w14:textId="77777777">
        <w:trPr>
          <w:trHeight w:val="296"/>
        </w:trPr>
        <w:tc>
          <w:tcPr>
            <w:tcW w:w="2595" w:type="pct"/>
            <w:shd w:val="clear" w:color="auto" w:fill="auto"/>
            <w:noWrap/>
            <w:tcMar>
              <w:left w:w="216" w:type="dxa"/>
              <w:right w:w="115" w:type="dxa"/>
            </w:tcMar>
            <w:vAlign w:val="center"/>
          </w:tcPr>
          <w:p w:rsidRPr="00A64752" w:rsidR="004020DC" w:rsidP="004020DC" w:rsidRDefault="004020DC" w14:paraId="405862BB" w14:textId="7F37B4BF">
            <w:pPr>
              <w:autoSpaceDE/>
              <w:autoSpaceDN/>
              <w:adjustRightInd/>
              <w:rPr>
                <w:sz w:val="18"/>
                <w:szCs w:val="18"/>
              </w:rPr>
            </w:pPr>
            <w:r>
              <w:rPr>
                <w:sz w:val="18"/>
                <w:szCs w:val="18"/>
              </w:rPr>
              <w:t xml:space="preserve">Oral fluid </w:t>
            </w:r>
            <w:r w:rsidRPr="009D5431">
              <w:rPr>
                <w:sz w:val="18"/>
                <w:szCs w:val="18"/>
              </w:rPr>
              <w:t>collection time</w:t>
            </w:r>
            <w:r>
              <w:rPr>
                <w:sz w:val="18"/>
                <w:szCs w:val="18"/>
              </w:rPr>
              <w:t xml:space="preserve"> (collector)</w:t>
            </w:r>
          </w:p>
        </w:tc>
        <w:tc>
          <w:tcPr>
            <w:tcW w:w="722" w:type="pct"/>
            <w:shd w:val="clear" w:color="auto" w:fill="auto"/>
            <w:noWrap/>
            <w:vAlign w:val="center"/>
          </w:tcPr>
          <w:p w:rsidR="004020DC" w:rsidP="004020DC" w:rsidRDefault="004020DC" w14:paraId="19D088E9" w14:textId="4B56747B">
            <w:pPr>
              <w:autoSpaceDE/>
              <w:autoSpaceDN/>
              <w:adjustRightInd/>
              <w:jc w:val="center"/>
              <w:rPr>
                <w:rFonts w:cs="Arial"/>
                <w:color w:val="000000"/>
                <w:sz w:val="18"/>
                <w:szCs w:val="18"/>
              </w:rPr>
            </w:pPr>
            <w:r>
              <w:rPr>
                <w:rFonts w:cs="Arial"/>
                <w:color w:val="000000"/>
                <w:sz w:val="18"/>
                <w:szCs w:val="18"/>
              </w:rPr>
              <w:t>PERT</w:t>
            </w:r>
          </w:p>
        </w:tc>
        <w:tc>
          <w:tcPr>
            <w:tcW w:w="529" w:type="pct"/>
            <w:shd w:val="clear" w:color="auto" w:fill="auto"/>
            <w:noWrap/>
            <w:vAlign w:val="center"/>
          </w:tcPr>
          <w:p w:rsidRPr="00A64752" w:rsidR="004020DC" w:rsidP="004020DC" w:rsidRDefault="004020DC" w14:paraId="7021187A" w14:textId="2AA03BBA">
            <w:pPr>
              <w:autoSpaceDE/>
              <w:autoSpaceDN/>
              <w:adjustRightInd/>
              <w:jc w:val="center"/>
              <w:rPr>
                <w:sz w:val="18"/>
                <w:szCs w:val="18"/>
              </w:rPr>
            </w:pPr>
            <w:r w:rsidRPr="00A64752">
              <w:rPr>
                <w:sz w:val="18"/>
                <w:szCs w:val="18"/>
              </w:rPr>
              <w:t xml:space="preserve">0.25 </w:t>
            </w:r>
            <w:r w:rsidRPr="00A64752" w:rsidR="00570C75">
              <w:rPr>
                <w:sz w:val="18"/>
                <w:szCs w:val="18"/>
              </w:rPr>
              <w:t>h</w:t>
            </w:r>
            <w:r w:rsidR="00570C75">
              <w:rPr>
                <w:sz w:val="18"/>
                <w:szCs w:val="18"/>
              </w:rPr>
              <w:t>our</w:t>
            </w:r>
          </w:p>
        </w:tc>
        <w:tc>
          <w:tcPr>
            <w:tcW w:w="529" w:type="pct"/>
            <w:shd w:val="clear" w:color="auto" w:fill="auto"/>
            <w:noWrap/>
            <w:vAlign w:val="center"/>
          </w:tcPr>
          <w:p w:rsidRPr="00A64752" w:rsidR="004020DC" w:rsidP="004020DC" w:rsidRDefault="004020DC" w14:paraId="40B4E540" w14:textId="045DCEBF">
            <w:pPr>
              <w:autoSpaceDE/>
              <w:autoSpaceDN/>
              <w:adjustRightInd/>
              <w:jc w:val="center"/>
              <w:rPr>
                <w:sz w:val="18"/>
                <w:szCs w:val="18"/>
              </w:rPr>
            </w:pPr>
            <w:r w:rsidRPr="00A64752">
              <w:rPr>
                <w:sz w:val="18"/>
                <w:szCs w:val="18"/>
              </w:rPr>
              <w:t xml:space="preserve">0.33 </w:t>
            </w:r>
            <w:r w:rsidRPr="00A64752" w:rsidR="00570C75">
              <w:rPr>
                <w:sz w:val="18"/>
                <w:szCs w:val="18"/>
              </w:rPr>
              <w:t>h</w:t>
            </w:r>
            <w:r w:rsidR="00570C75">
              <w:rPr>
                <w:sz w:val="18"/>
                <w:szCs w:val="18"/>
              </w:rPr>
              <w:t>our</w:t>
            </w:r>
          </w:p>
        </w:tc>
        <w:tc>
          <w:tcPr>
            <w:tcW w:w="625" w:type="pct"/>
            <w:shd w:val="clear" w:color="auto" w:fill="auto"/>
            <w:noWrap/>
            <w:vAlign w:val="center"/>
          </w:tcPr>
          <w:p w:rsidR="00570C75" w:rsidP="004020DC" w:rsidRDefault="004020DC" w14:paraId="4812629C" w14:textId="77777777">
            <w:pPr>
              <w:autoSpaceDE/>
              <w:autoSpaceDN/>
              <w:adjustRightInd/>
              <w:jc w:val="center"/>
              <w:rPr>
                <w:sz w:val="18"/>
                <w:szCs w:val="18"/>
              </w:rPr>
            </w:pPr>
            <w:r w:rsidRPr="00A64752">
              <w:rPr>
                <w:sz w:val="18"/>
                <w:szCs w:val="18"/>
              </w:rPr>
              <w:t xml:space="preserve">0.50 </w:t>
            </w:r>
          </w:p>
          <w:p w:rsidRPr="00A64752" w:rsidR="004020DC" w:rsidP="004020DC" w:rsidRDefault="00570C75" w14:paraId="76CB9580" w14:textId="1DD12139">
            <w:pPr>
              <w:autoSpaceDE/>
              <w:autoSpaceDN/>
              <w:adjustRightInd/>
              <w:jc w:val="center"/>
              <w:rPr>
                <w:sz w:val="18"/>
                <w:szCs w:val="18"/>
              </w:rPr>
            </w:pPr>
            <w:r w:rsidRPr="00A64752">
              <w:rPr>
                <w:sz w:val="18"/>
                <w:szCs w:val="18"/>
              </w:rPr>
              <w:t>h</w:t>
            </w:r>
            <w:r>
              <w:rPr>
                <w:sz w:val="18"/>
                <w:szCs w:val="18"/>
              </w:rPr>
              <w:t>our</w:t>
            </w:r>
          </w:p>
        </w:tc>
      </w:tr>
      <w:tr w:rsidRPr="005F262C" w:rsidR="004020DC" w:rsidTr="00F7172C" w14:paraId="69959963" w14:textId="77777777">
        <w:trPr>
          <w:trHeight w:val="314"/>
        </w:trPr>
        <w:tc>
          <w:tcPr>
            <w:tcW w:w="2595" w:type="pct"/>
            <w:shd w:val="clear" w:color="auto" w:fill="auto"/>
            <w:noWrap/>
            <w:tcMar>
              <w:left w:w="216" w:type="dxa"/>
              <w:right w:w="115" w:type="dxa"/>
            </w:tcMar>
            <w:vAlign w:val="center"/>
          </w:tcPr>
          <w:p w:rsidRPr="009D5431" w:rsidR="004020DC" w:rsidP="004020DC" w:rsidRDefault="004020DC" w14:paraId="361A8146" w14:textId="6A3B9179">
            <w:pPr>
              <w:autoSpaceDE/>
              <w:autoSpaceDN/>
              <w:adjustRightInd/>
              <w:rPr>
                <w:sz w:val="18"/>
                <w:szCs w:val="18"/>
              </w:rPr>
            </w:pPr>
            <w:r w:rsidRPr="00241F2C">
              <w:rPr>
                <w:sz w:val="18"/>
                <w:szCs w:val="18"/>
              </w:rPr>
              <w:t>Annual number of</w:t>
            </w:r>
            <w:r>
              <w:rPr>
                <w:sz w:val="18"/>
                <w:szCs w:val="18"/>
              </w:rPr>
              <w:t xml:space="preserve"> identified subversion</w:t>
            </w:r>
            <w:r w:rsidRPr="00241F2C">
              <w:rPr>
                <w:sz w:val="18"/>
                <w:szCs w:val="18"/>
              </w:rPr>
              <w:t xml:space="preserve"> attempt</w:t>
            </w:r>
            <w:r>
              <w:rPr>
                <w:sz w:val="18"/>
                <w:szCs w:val="18"/>
              </w:rPr>
              <w:t>s</w:t>
            </w:r>
          </w:p>
        </w:tc>
        <w:tc>
          <w:tcPr>
            <w:tcW w:w="722" w:type="pct"/>
            <w:shd w:val="clear" w:color="auto" w:fill="auto"/>
            <w:noWrap/>
            <w:vAlign w:val="center"/>
          </w:tcPr>
          <w:p w:rsidRPr="00241F2C" w:rsidR="004020DC" w:rsidP="004020DC" w:rsidRDefault="004020DC" w14:paraId="31DE32EC" w14:textId="4B087A02">
            <w:pPr>
              <w:autoSpaceDE/>
              <w:autoSpaceDN/>
              <w:adjustRightInd/>
              <w:jc w:val="center"/>
              <w:rPr>
                <w:rFonts w:cs="Arial"/>
                <w:sz w:val="18"/>
                <w:szCs w:val="18"/>
              </w:rPr>
            </w:pPr>
            <w:r w:rsidRPr="00241F2C">
              <w:rPr>
                <w:rFonts w:cs="Arial"/>
                <w:sz w:val="18"/>
                <w:szCs w:val="18"/>
              </w:rPr>
              <w:t>PERT</w:t>
            </w:r>
          </w:p>
        </w:tc>
        <w:tc>
          <w:tcPr>
            <w:tcW w:w="529" w:type="pct"/>
            <w:shd w:val="clear" w:color="auto" w:fill="auto"/>
            <w:noWrap/>
            <w:vAlign w:val="center"/>
          </w:tcPr>
          <w:p w:rsidRPr="00241F2C" w:rsidR="004020DC" w:rsidP="004020DC" w:rsidRDefault="004020DC" w14:paraId="34544F11" w14:textId="1F3D7D97">
            <w:pPr>
              <w:autoSpaceDE/>
              <w:autoSpaceDN/>
              <w:adjustRightInd/>
              <w:jc w:val="center"/>
              <w:rPr>
                <w:sz w:val="18"/>
                <w:szCs w:val="18"/>
              </w:rPr>
            </w:pPr>
            <w:r w:rsidRPr="00241F2C">
              <w:rPr>
                <w:rFonts w:cs="Arial"/>
                <w:sz w:val="18"/>
                <w:szCs w:val="18"/>
              </w:rPr>
              <w:t>128</w:t>
            </w:r>
          </w:p>
        </w:tc>
        <w:tc>
          <w:tcPr>
            <w:tcW w:w="529" w:type="pct"/>
            <w:shd w:val="clear" w:color="auto" w:fill="auto"/>
            <w:noWrap/>
            <w:vAlign w:val="center"/>
          </w:tcPr>
          <w:p w:rsidRPr="00241F2C" w:rsidR="004020DC" w:rsidP="004020DC" w:rsidRDefault="004020DC" w14:paraId="216A1605" w14:textId="1507BBB0">
            <w:pPr>
              <w:autoSpaceDE/>
              <w:autoSpaceDN/>
              <w:adjustRightInd/>
              <w:jc w:val="center"/>
              <w:rPr>
                <w:sz w:val="18"/>
                <w:szCs w:val="18"/>
              </w:rPr>
            </w:pPr>
            <w:r w:rsidRPr="00241F2C">
              <w:rPr>
                <w:rFonts w:cs="Arial"/>
                <w:sz w:val="18"/>
                <w:szCs w:val="18"/>
              </w:rPr>
              <w:t>230</w:t>
            </w:r>
          </w:p>
        </w:tc>
        <w:tc>
          <w:tcPr>
            <w:tcW w:w="625" w:type="pct"/>
            <w:shd w:val="clear" w:color="auto" w:fill="auto"/>
            <w:noWrap/>
            <w:vAlign w:val="center"/>
          </w:tcPr>
          <w:p w:rsidRPr="00241F2C" w:rsidR="004020DC" w:rsidP="004020DC" w:rsidRDefault="004020DC" w14:paraId="7DDB854B" w14:textId="64B7FA65">
            <w:pPr>
              <w:autoSpaceDE/>
              <w:autoSpaceDN/>
              <w:adjustRightInd/>
              <w:jc w:val="center"/>
              <w:rPr>
                <w:sz w:val="18"/>
                <w:szCs w:val="18"/>
              </w:rPr>
            </w:pPr>
            <w:r w:rsidRPr="00241F2C">
              <w:rPr>
                <w:rFonts w:cs="Arial"/>
                <w:sz w:val="18"/>
                <w:szCs w:val="18"/>
              </w:rPr>
              <w:t>307</w:t>
            </w:r>
          </w:p>
        </w:tc>
      </w:tr>
      <w:tr w:rsidRPr="005F262C" w:rsidR="004020DC" w:rsidTr="00A64752" w14:paraId="2CD81285" w14:textId="77777777">
        <w:trPr>
          <w:trHeight w:val="395"/>
        </w:trPr>
        <w:tc>
          <w:tcPr>
            <w:tcW w:w="2595" w:type="pct"/>
            <w:shd w:val="clear" w:color="auto" w:fill="auto"/>
            <w:noWrap/>
            <w:tcMar>
              <w:left w:w="216" w:type="dxa"/>
              <w:right w:w="115" w:type="dxa"/>
            </w:tcMar>
            <w:vAlign w:val="center"/>
          </w:tcPr>
          <w:p w:rsidRPr="00241F2C" w:rsidR="004020DC" w:rsidP="004020DC" w:rsidRDefault="004020DC" w14:paraId="12581804" w14:textId="455CD867">
            <w:pPr>
              <w:autoSpaceDE/>
              <w:autoSpaceDN/>
              <w:adjustRightInd/>
              <w:rPr>
                <w:sz w:val="18"/>
                <w:szCs w:val="18"/>
              </w:rPr>
            </w:pPr>
            <w:r w:rsidRPr="005C711A">
              <w:rPr>
                <w:sz w:val="18"/>
                <w:szCs w:val="18"/>
              </w:rPr>
              <w:t>Percentage of subversion attempts confirmed through the testing of specimens collected under direct observation</w:t>
            </w:r>
          </w:p>
        </w:tc>
        <w:tc>
          <w:tcPr>
            <w:tcW w:w="722" w:type="pct"/>
            <w:shd w:val="clear" w:color="auto" w:fill="auto"/>
            <w:noWrap/>
            <w:vAlign w:val="center"/>
          </w:tcPr>
          <w:p w:rsidRPr="005C711A" w:rsidR="004020DC" w:rsidP="004020DC" w:rsidRDefault="004020DC" w14:paraId="589DFCE9" w14:textId="0EE2B3B9">
            <w:pPr>
              <w:autoSpaceDE/>
              <w:autoSpaceDN/>
              <w:adjustRightInd/>
              <w:jc w:val="center"/>
              <w:rPr>
                <w:rFonts w:cs="Arial"/>
                <w:sz w:val="18"/>
                <w:szCs w:val="18"/>
              </w:rPr>
            </w:pPr>
            <w:r w:rsidRPr="005C711A">
              <w:rPr>
                <w:rFonts w:cs="Arial"/>
                <w:sz w:val="18"/>
                <w:szCs w:val="18"/>
              </w:rPr>
              <w:t>PERT</w:t>
            </w:r>
          </w:p>
        </w:tc>
        <w:tc>
          <w:tcPr>
            <w:tcW w:w="529" w:type="pct"/>
            <w:shd w:val="clear" w:color="auto" w:fill="auto"/>
            <w:noWrap/>
            <w:vAlign w:val="center"/>
          </w:tcPr>
          <w:p w:rsidRPr="004303CB" w:rsidR="004020DC" w:rsidP="004020DC" w:rsidRDefault="004020DC" w14:paraId="3FFC5DF9" w14:textId="623508E3">
            <w:pPr>
              <w:autoSpaceDE/>
              <w:autoSpaceDN/>
              <w:adjustRightInd/>
              <w:jc w:val="center"/>
              <w:rPr>
                <w:rFonts w:cs="Arial"/>
                <w:sz w:val="18"/>
                <w:szCs w:val="18"/>
              </w:rPr>
            </w:pPr>
            <w:r w:rsidRPr="004303CB">
              <w:rPr>
                <w:rFonts w:cs="Arial"/>
                <w:sz w:val="18"/>
                <w:szCs w:val="18"/>
              </w:rPr>
              <w:t>22.1%</w:t>
            </w:r>
          </w:p>
        </w:tc>
        <w:tc>
          <w:tcPr>
            <w:tcW w:w="529" w:type="pct"/>
            <w:shd w:val="clear" w:color="auto" w:fill="auto"/>
            <w:noWrap/>
            <w:vAlign w:val="center"/>
          </w:tcPr>
          <w:p w:rsidRPr="004303CB" w:rsidR="004020DC" w:rsidP="004020DC" w:rsidRDefault="004020DC" w14:paraId="4FADDF70" w14:textId="2BC3B9D2">
            <w:pPr>
              <w:autoSpaceDE/>
              <w:autoSpaceDN/>
              <w:adjustRightInd/>
              <w:jc w:val="center"/>
              <w:rPr>
                <w:rFonts w:cs="Arial"/>
                <w:sz w:val="18"/>
                <w:szCs w:val="18"/>
              </w:rPr>
            </w:pPr>
            <w:r w:rsidRPr="004303CB">
              <w:rPr>
                <w:rFonts w:cs="Arial"/>
                <w:sz w:val="18"/>
                <w:szCs w:val="18"/>
              </w:rPr>
              <w:t>31.4%</w:t>
            </w:r>
          </w:p>
        </w:tc>
        <w:tc>
          <w:tcPr>
            <w:tcW w:w="625" w:type="pct"/>
            <w:shd w:val="clear" w:color="auto" w:fill="auto"/>
            <w:noWrap/>
            <w:vAlign w:val="center"/>
          </w:tcPr>
          <w:p w:rsidRPr="004303CB" w:rsidR="004020DC" w:rsidP="004020DC" w:rsidRDefault="004020DC" w14:paraId="5C61BE8D" w14:textId="706AFC3D">
            <w:pPr>
              <w:autoSpaceDE/>
              <w:autoSpaceDN/>
              <w:adjustRightInd/>
              <w:jc w:val="center"/>
              <w:rPr>
                <w:rFonts w:cs="Arial"/>
                <w:sz w:val="18"/>
                <w:szCs w:val="18"/>
              </w:rPr>
            </w:pPr>
            <w:r w:rsidRPr="004303CB">
              <w:rPr>
                <w:rFonts w:cs="Arial"/>
                <w:sz w:val="18"/>
                <w:szCs w:val="18"/>
              </w:rPr>
              <w:t>39.0%</w:t>
            </w:r>
          </w:p>
        </w:tc>
      </w:tr>
      <w:tr w:rsidRPr="005F262C" w:rsidR="004020DC" w:rsidTr="00D72571" w14:paraId="64B1604F" w14:textId="77777777">
        <w:trPr>
          <w:trHeight w:val="296"/>
        </w:trPr>
        <w:tc>
          <w:tcPr>
            <w:tcW w:w="5000" w:type="pct"/>
            <w:gridSpan w:val="5"/>
            <w:shd w:val="clear" w:color="auto" w:fill="F2F2F2" w:themeFill="background1" w:themeFillShade="F2"/>
            <w:noWrap/>
            <w:tcMar>
              <w:left w:w="216" w:type="dxa"/>
              <w:right w:w="115" w:type="dxa"/>
            </w:tcMar>
            <w:vAlign w:val="center"/>
          </w:tcPr>
          <w:p w:rsidRPr="000950FC" w:rsidR="004020DC" w:rsidP="004020DC" w:rsidRDefault="004020DC" w14:paraId="5635B018" w14:textId="13162D44">
            <w:pPr>
              <w:keepNext/>
              <w:autoSpaceDE/>
              <w:autoSpaceDN/>
              <w:adjustRightInd/>
              <w:ind w:hanging="131"/>
              <w:jc w:val="both"/>
              <w:rPr>
                <w:b/>
                <w:bCs/>
                <w:sz w:val="18"/>
                <w:szCs w:val="18"/>
              </w:rPr>
            </w:pPr>
            <w:r w:rsidRPr="0034665A">
              <w:rPr>
                <w:b/>
                <w:bCs/>
                <w:sz w:val="18"/>
                <w:szCs w:val="18"/>
              </w:rPr>
              <w:lastRenderedPageBreak/>
              <w:t xml:space="preserve">Direct Observation Collection </w:t>
            </w:r>
            <w:r>
              <w:rPr>
                <w:b/>
                <w:bCs/>
                <w:sz w:val="18"/>
                <w:szCs w:val="18"/>
              </w:rPr>
              <w:t>of Urine Specimens</w:t>
            </w:r>
          </w:p>
        </w:tc>
      </w:tr>
      <w:tr w:rsidRPr="005F262C" w:rsidR="004020DC" w:rsidTr="00A64752" w14:paraId="415B9E4A" w14:textId="77777777">
        <w:trPr>
          <w:trHeight w:val="395"/>
        </w:trPr>
        <w:tc>
          <w:tcPr>
            <w:tcW w:w="2595" w:type="pct"/>
            <w:shd w:val="clear" w:color="auto" w:fill="auto"/>
            <w:noWrap/>
            <w:tcMar>
              <w:left w:w="216" w:type="dxa"/>
              <w:right w:w="115" w:type="dxa"/>
            </w:tcMar>
            <w:vAlign w:val="center"/>
          </w:tcPr>
          <w:p w:rsidRPr="005C711A" w:rsidR="004020DC" w:rsidP="004020DC" w:rsidRDefault="004020DC" w14:paraId="329E86DD" w14:textId="273515DF">
            <w:pPr>
              <w:keepNext/>
              <w:autoSpaceDE/>
              <w:autoSpaceDN/>
              <w:adjustRightInd/>
              <w:rPr>
                <w:sz w:val="18"/>
                <w:szCs w:val="18"/>
              </w:rPr>
            </w:pPr>
            <w:r w:rsidRPr="0034665A">
              <w:rPr>
                <w:sz w:val="18"/>
                <w:szCs w:val="18"/>
              </w:rPr>
              <w:t>Urine collection time</w:t>
            </w:r>
            <w:r>
              <w:rPr>
                <w:sz w:val="18"/>
                <w:szCs w:val="18"/>
              </w:rPr>
              <w:t xml:space="preserve"> (</w:t>
            </w:r>
            <w:r w:rsidRPr="0034665A">
              <w:rPr>
                <w:sz w:val="18"/>
                <w:szCs w:val="18"/>
              </w:rPr>
              <w:t>donor</w:t>
            </w:r>
            <w:r>
              <w:rPr>
                <w:sz w:val="18"/>
                <w:szCs w:val="18"/>
              </w:rPr>
              <w:t>)</w:t>
            </w:r>
          </w:p>
        </w:tc>
        <w:tc>
          <w:tcPr>
            <w:tcW w:w="722" w:type="pct"/>
            <w:shd w:val="clear" w:color="auto" w:fill="auto"/>
            <w:noWrap/>
            <w:vAlign w:val="center"/>
          </w:tcPr>
          <w:p w:rsidRPr="00DB151C" w:rsidR="004020DC" w:rsidP="004020DC" w:rsidRDefault="004020DC" w14:paraId="06A8A90D" w14:textId="73EE8C9F">
            <w:pPr>
              <w:keepNext/>
              <w:autoSpaceDE/>
              <w:autoSpaceDN/>
              <w:adjustRightInd/>
              <w:jc w:val="center"/>
              <w:rPr>
                <w:rFonts w:cs="Arial"/>
                <w:sz w:val="18"/>
                <w:szCs w:val="18"/>
              </w:rPr>
            </w:pPr>
            <w:r w:rsidRPr="00DB151C">
              <w:rPr>
                <w:rFonts w:cs="Arial"/>
                <w:sz w:val="18"/>
                <w:szCs w:val="18"/>
              </w:rPr>
              <w:t>PERT</w:t>
            </w:r>
          </w:p>
        </w:tc>
        <w:tc>
          <w:tcPr>
            <w:tcW w:w="529" w:type="pct"/>
            <w:shd w:val="clear" w:color="auto" w:fill="auto"/>
            <w:noWrap/>
            <w:vAlign w:val="center"/>
          </w:tcPr>
          <w:p w:rsidRPr="00DB151C" w:rsidR="004020DC" w:rsidP="004020DC" w:rsidRDefault="004020DC" w14:paraId="0F6A0642" w14:textId="108B282C">
            <w:pPr>
              <w:keepNext/>
              <w:autoSpaceDE/>
              <w:autoSpaceDN/>
              <w:adjustRightInd/>
              <w:jc w:val="center"/>
              <w:rPr>
                <w:rFonts w:cs="Arial"/>
                <w:sz w:val="18"/>
                <w:szCs w:val="18"/>
              </w:rPr>
            </w:pPr>
            <w:r w:rsidRPr="00DB151C">
              <w:rPr>
                <w:rFonts w:cs="Arial"/>
                <w:sz w:val="18"/>
                <w:szCs w:val="18"/>
              </w:rPr>
              <w:t xml:space="preserve">0.50 </w:t>
            </w:r>
            <w:r w:rsidRPr="00A64752" w:rsidR="00570C75">
              <w:rPr>
                <w:sz w:val="18"/>
                <w:szCs w:val="18"/>
              </w:rPr>
              <w:t>h</w:t>
            </w:r>
            <w:r w:rsidR="00570C75">
              <w:rPr>
                <w:sz w:val="18"/>
                <w:szCs w:val="18"/>
              </w:rPr>
              <w:t>our</w:t>
            </w:r>
          </w:p>
        </w:tc>
        <w:tc>
          <w:tcPr>
            <w:tcW w:w="529" w:type="pct"/>
            <w:shd w:val="clear" w:color="auto" w:fill="auto"/>
            <w:noWrap/>
            <w:vAlign w:val="center"/>
          </w:tcPr>
          <w:p w:rsidRPr="00DB151C" w:rsidR="004020DC" w:rsidP="004020DC" w:rsidRDefault="004020DC" w14:paraId="717EBDBB" w14:textId="4590CDFE">
            <w:pPr>
              <w:keepNext/>
              <w:autoSpaceDE/>
              <w:autoSpaceDN/>
              <w:adjustRightInd/>
              <w:jc w:val="center"/>
              <w:rPr>
                <w:rFonts w:cs="Arial"/>
                <w:sz w:val="18"/>
                <w:szCs w:val="18"/>
              </w:rPr>
            </w:pPr>
            <w:r w:rsidRPr="00DB151C">
              <w:rPr>
                <w:rFonts w:cs="Arial"/>
                <w:sz w:val="18"/>
                <w:szCs w:val="18"/>
              </w:rPr>
              <w:t xml:space="preserve">1.00 </w:t>
            </w:r>
            <w:r w:rsidRPr="00A64752" w:rsidR="00570C75">
              <w:rPr>
                <w:sz w:val="18"/>
                <w:szCs w:val="18"/>
              </w:rPr>
              <w:t>h</w:t>
            </w:r>
            <w:r w:rsidR="00570C75">
              <w:rPr>
                <w:sz w:val="18"/>
                <w:szCs w:val="18"/>
              </w:rPr>
              <w:t>our</w:t>
            </w:r>
          </w:p>
        </w:tc>
        <w:tc>
          <w:tcPr>
            <w:tcW w:w="625" w:type="pct"/>
            <w:shd w:val="clear" w:color="auto" w:fill="auto"/>
            <w:noWrap/>
            <w:vAlign w:val="center"/>
          </w:tcPr>
          <w:p w:rsidR="00570C75" w:rsidP="004020DC" w:rsidRDefault="004020DC" w14:paraId="57EE9C41" w14:textId="77777777">
            <w:pPr>
              <w:keepNext/>
              <w:autoSpaceDE/>
              <w:autoSpaceDN/>
              <w:adjustRightInd/>
              <w:jc w:val="center"/>
              <w:rPr>
                <w:rFonts w:cs="Arial"/>
                <w:sz w:val="18"/>
                <w:szCs w:val="18"/>
              </w:rPr>
            </w:pPr>
            <w:r w:rsidRPr="00DB151C">
              <w:rPr>
                <w:rFonts w:cs="Arial"/>
                <w:sz w:val="18"/>
                <w:szCs w:val="18"/>
              </w:rPr>
              <w:t xml:space="preserve">3.00 </w:t>
            </w:r>
          </w:p>
          <w:p w:rsidRPr="00DB151C" w:rsidR="004020DC" w:rsidP="004020DC" w:rsidRDefault="00570C75" w14:paraId="2641B223" w14:textId="0357BCB2">
            <w:pPr>
              <w:keepNext/>
              <w:autoSpaceDE/>
              <w:autoSpaceDN/>
              <w:adjustRightInd/>
              <w:jc w:val="center"/>
              <w:rPr>
                <w:rFonts w:cs="Arial"/>
                <w:sz w:val="18"/>
                <w:szCs w:val="18"/>
              </w:rPr>
            </w:pPr>
            <w:r w:rsidRPr="00A64752">
              <w:rPr>
                <w:sz w:val="18"/>
                <w:szCs w:val="18"/>
              </w:rPr>
              <w:t>h</w:t>
            </w:r>
            <w:r>
              <w:rPr>
                <w:sz w:val="18"/>
                <w:szCs w:val="18"/>
              </w:rPr>
              <w:t>our</w:t>
            </w:r>
          </w:p>
        </w:tc>
      </w:tr>
      <w:tr w:rsidRPr="005F262C" w:rsidR="004020DC" w:rsidTr="00A64752" w14:paraId="1A137E7F" w14:textId="77777777">
        <w:trPr>
          <w:trHeight w:val="395"/>
        </w:trPr>
        <w:tc>
          <w:tcPr>
            <w:tcW w:w="2595" w:type="pct"/>
            <w:shd w:val="clear" w:color="auto" w:fill="auto"/>
            <w:noWrap/>
            <w:tcMar>
              <w:left w:w="216" w:type="dxa"/>
              <w:right w:w="115" w:type="dxa"/>
            </w:tcMar>
            <w:vAlign w:val="center"/>
          </w:tcPr>
          <w:p w:rsidRPr="0034665A" w:rsidR="004020DC" w:rsidP="004020DC" w:rsidRDefault="004020DC" w14:paraId="04E75DB2" w14:textId="4F300C26">
            <w:pPr>
              <w:autoSpaceDE/>
              <w:autoSpaceDN/>
              <w:adjustRightInd/>
              <w:rPr>
                <w:sz w:val="18"/>
                <w:szCs w:val="18"/>
              </w:rPr>
            </w:pPr>
            <w:r w:rsidRPr="00DE291E">
              <w:rPr>
                <w:sz w:val="18"/>
                <w:szCs w:val="18"/>
              </w:rPr>
              <w:t>Urine collection time</w:t>
            </w:r>
            <w:r>
              <w:rPr>
                <w:sz w:val="18"/>
                <w:szCs w:val="18"/>
              </w:rPr>
              <w:t xml:space="preserve"> (collector)</w:t>
            </w:r>
          </w:p>
        </w:tc>
        <w:tc>
          <w:tcPr>
            <w:tcW w:w="722" w:type="pct"/>
            <w:shd w:val="clear" w:color="auto" w:fill="auto"/>
            <w:noWrap/>
            <w:vAlign w:val="center"/>
          </w:tcPr>
          <w:p w:rsidRPr="00DB151C" w:rsidR="004020DC" w:rsidP="004020DC" w:rsidRDefault="004020DC" w14:paraId="3B023B7F" w14:textId="1040C765">
            <w:pPr>
              <w:autoSpaceDE/>
              <w:autoSpaceDN/>
              <w:adjustRightInd/>
              <w:jc w:val="center"/>
              <w:rPr>
                <w:rFonts w:cs="Arial"/>
                <w:sz w:val="18"/>
                <w:szCs w:val="18"/>
              </w:rPr>
            </w:pPr>
            <w:r w:rsidRPr="00DB151C">
              <w:rPr>
                <w:rFonts w:cs="Arial"/>
                <w:sz w:val="18"/>
                <w:szCs w:val="18"/>
              </w:rPr>
              <w:t>PERT</w:t>
            </w:r>
          </w:p>
        </w:tc>
        <w:tc>
          <w:tcPr>
            <w:tcW w:w="529" w:type="pct"/>
            <w:shd w:val="clear" w:color="auto" w:fill="auto"/>
            <w:noWrap/>
            <w:vAlign w:val="center"/>
          </w:tcPr>
          <w:p w:rsidRPr="00DB151C" w:rsidR="004020DC" w:rsidP="004020DC" w:rsidRDefault="004020DC" w14:paraId="5FB15C10" w14:textId="5ACC4D64">
            <w:pPr>
              <w:autoSpaceDE/>
              <w:autoSpaceDN/>
              <w:adjustRightInd/>
              <w:jc w:val="center"/>
              <w:rPr>
                <w:rFonts w:cs="Arial"/>
                <w:sz w:val="18"/>
                <w:szCs w:val="18"/>
              </w:rPr>
            </w:pPr>
            <w:r w:rsidRPr="00DB151C">
              <w:rPr>
                <w:rFonts w:cs="Arial"/>
                <w:sz w:val="18"/>
                <w:szCs w:val="18"/>
              </w:rPr>
              <w:t xml:space="preserve">0.50 </w:t>
            </w:r>
            <w:r w:rsidRPr="00A64752" w:rsidR="00570C75">
              <w:rPr>
                <w:sz w:val="18"/>
                <w:szCs w:val="18"/>
              </w:rPr>
              <w:t>h</w:t>
            </w:r>
            <w:r w:rsidR="00570C75">
              <w:rPr>
                <w:sz w:val="18"/>
                <w:szCs w:val="18"/>
              </w:rPr>
              <w:t>our</w:t>
            </w:r>
          </w:p>
        </w:tc>
        <w:tc>
          <w:tcPr>
            <w:tcW w:w="529" w:type="pct"/>
            <w:shd w:val="clear" w:color="auto" w:fill="auto"/>
            <w:noWrap/>
            <w:vAlign w:val="center"/>
          </w:tcPr>
          <w:p w:rsidRPr="00DB151C" w:rsidR="004020DC" w:rsidP="004020DC" w:rsidRDefault="004020DC" w14:paraId="3225C55A" w14:textId="6AC1D9BB">
            <w:pPr>
              <w:autoSpaceDE/>
              <w:autoSpaceDN/>
              <w:adjustRightInd/>
              <w:jc w:val="center"/>
              <w:rPr>
                <w:rFonts w:cs="Arial"/>
                <w:sz w:val="18"/>
                <w:szCs w:val="18"/>
              </w:rPr>
            </w:pPr>
            <w:r w:rsidRPr="00DB151C">
              <w:rPr>
                <w:rFonts w:cs="Arial"/>
                <w:sz w:val="18"/>
                <w:szCs w:val="18"/>
              </w:rPr>
              <w:t xml:space="preserve">1.00 </w:t>
            </w:r>
            <w:r w:rsidRPr="00A64752" w:rsidR="00570C75">
              <w:rPr>
                <w:sz w:val="18"/>
                <w:szCs w:val="18"/>
              </w:rPr>
              <w:t>h</w:t>
            </w:r>
            <w:r w:rsidR="00570C75">
              <w:rPr>
                <w:sz w:val="18"/>
                <w:szCs w:val="18"/>
              </w:rPr>
              <w:t>our</w:t>
            </w:r>
          </w:p>
        </w:tc>
        <w:tc>
          <w:tcPr>
            <w:tcW w:w="625" w:type="pct"/>
            <w:shd w:val="clear" w:color="auto" w:fill="auto"/>
            <w:noWrap/>
            <w:vAlign w:val="center"/>
          </w:tcPr>
          <w:p w:rsidR="00570C75" w:rsidP="004020DC" w:rsidRDefault="004020DC" w14:paraId="65DC9851" w14:textId="77777777">
            <w:pPr>
              <w:autoSpaceDE/>
              <w:autoSpaceDN/>
              <w:adjustRightInd/>
              <w:jc w:val="center"/>
              <w:rPr>
                <w:rFonts w:cs="Arial"/>
                <w:sz w:val="18"/>
                <w:szCs w:val="18"/>
              </w:rPr>
            </w:pPr>
            <w:r w:rsidRPr="00DB151C">
              <w:rPr>
                <w:rFonts w:cs="Arial"/>
                <w:sz w:val="18"/>
                <w:szCs w:val="18"/>
              </w:rPr>
              <w:t xml:space="preserve">3.00 </w:t>
            </w:r>
          </w:p>
          <w:p w:rsidRPr="00DB151C" w:rsidR="004020DC" w:rsidP="004020DC" w:rsidRDefault="00570C75" w14:paraId="6E10EAFB" w14:textId="29CAC40F">
            <w:pPr>
              <w:autoSpaceDE/>
              <w:autoSpaceDN/>
              <w:adjustRightInd/>
              <w:jc w:val="center"/>
              <w:rPr>
                <w:rFonts w:cs="Arial"/>
                <w:sz w:val="18"/>
                <w:szCs w:val="18"/>
              </w:rPr>
            </w:pPr>
            <w:r w:rsidRPr="00A64752">
              <w:rPr>
                <w:sz w:val="18"/>
                <w:szCs w:val="18"/>
              </w:rPr>
              <w:t>h</w:t>
            </w:r>
            <w:r>
              <w:rPr>
                <w:sz w:val="18"/>
                <w:szCs w:val="18"/>
              </w:rPr>
              <w:t>our</w:t>
            </w:r>
          </w:p>
        </w:tc>
      </w:tr>
      <w:tr w:rsidRPr="005F262C" w:rsidR="004020DC" w:rsidTr="00D72571" w14:paraId="4F809CE9" w14:textId="77777777">
        <w:trPr>
          <w:trHeight w:val="296"/>
        </w:trPr>
        <w:tc>
          <w:tcPr>
            <w:tcW w:w="5000" w:type="pct"/>
            <w:gridSpan w:val="5"/>
            <w:shd w:val="clear" w:color="auto" w:fill="F2F2F2" w:themeFill="background1" w:themeFillShade="F2"/>
            <w:noWrap/>
            <w:tcMar>
              <w:left w:w="216" w:type="dxa"/>
              <w:right w:w="115" w:type="dxa"/>
            </w:tcMar>
            <w:vAlign w:val="center"/>
          </w:tcPr>
          <w:p w:rsidRPr="000950FC" w:rsidR="004020DC" w:rsidP="004020DC" w:rsidRDefault="004020DC" w14:paraId="4665EEA2" w14:textId="0DBA5998">
            <w:pPr>
              <w:autoSpaceDE/>
              <w:autoSpaceDN/>
              <w:adjustRightInd/>
              <w:ind w:hanging="130"/>
              <w:jc w:val="both"/>
              <w:rPr>
                <w:b/>
                <w:bCs/>
                <w:sz w:val="18"/>
                <w:szCs w:val="18"/>
              </w:rPr>
            </w:pPr>
            <w:r w:rsidRPr="00D32977">
              <w:rPr>
                <w:b/>
                <w:bCs/>
                <w:sz w:val="18"/>
                <w:szCs w:val="18"/>
              </w:rPr>
              <w:t xml:space="preserve">Future Power Reactor or Fuel Facility </w:t>
            </w:r>
            <w:r>
              <w:rPr>
                <w:b/>
                <w:bCs/>
                <w:sz w:val="18"/>
                <w:szCs w:val="18"/>
              </w:rPr>
              <w:t>Staffing</w:t>
            </w:r>
          </w:p>
        </w:tc>
      </w:tr>
      <w:tr w:rsidRPr="005F262C" w:rsidR="004020DC" w:rsidTr="00203EED" w14:paraId="6260A337" w14:textId="77777777">
        <w:trPr>
          <w:trHeight w:val="395"/>
        </w:trPr>
        <w:tc>
          <w:tcPr>
            <w:tcW w:w="2595" w:type="pct"/>
            <w:shd w:val="clear" w:color="auto" w:fill="auto"/>
            <w:noWrap/>
            <w:tcMar>
              <w:left w:w="216" w:type="dxa"/>
              <w:right w:w="115" w:type="dxa"/>
            </w:tcMar>
            <w:vAlign w:val="center"/>
          </w:tcPr>
          <w:p w:rsidRPr="00DE291E" w:rsidR="004020DC" w:rsidP="004020DC" w:rsidRDefault="004020DC" w14:paraId="7327B2F4" w14:textId="0B939A9F">
            <w:pPr>
              <w:autoSpaceDE/>
              <w:autoSpaceDN/>
              <w:adjustRightInd/>
              <w:rPr>
                <w:sz w:val="18"/>
                <w:szCs w:val="18"/>
              </w:rPr>
            </w:pPr>
            <w:r w:rsidRPr="009A242F">
              <w:rPr>
                <w:sz w:val="18"/>
                <w:szCs w:val="18"/>
              </w:rPr>
              <w:t>Microreactor operations staffing level</w:t>
            </w:r>
          </w:p>
        </w:tc>
        <w:tc>
          <w:tcPr>
            <w:tcW w:w="722" w:type="pct"/>
            <w:shd w:val="clear" w:color="auto" w:fill="auto"/>
            <w:noWrap/>
            <w:vAlign w:val="center"/>
          </w:tcPr>
          <w:p w:rsidRPr="009A242F" w:rsidR="004020DC" w:rsidP="004020DC" w:rsidRDefault="004020DC" w14:paraId="550920FE" w14:textId="2FEA3A53">
            <w:pPr>
              <w:autoSpaceDE/>
              <w:autoSpaceDN/>
              <w:adjustRightInd/>
              <w:jc w:val="center"/>
              <w:rPr>
                <w:rFonts w:cs="Arial"/>
                <w:sz w:val="18"/>
                <w:szCs w:val="18"/>
              </w:rPr>
            </w:pPr>
            <w:r w:rsidRPr="009A242F">
              <w:rPr>
                <w:rFonts w:cs="Arial"/>
                <w:sz w:val="18"/>
                <w:szCs w:val="18"/>
              </w:rPr>
              <w:t>Uniform</w:t>
            </w:r>
          </w:p>
        </w:tc>
        <w:tc>
          <w:tcPr>
            <w:tcW w:w="529" w:type="pct"/>
            <w:shd w:val="clear" w:color="auto" w:fill="auto"/>
            <w:noWrap/>
            <w:vAlign w:val="center"/>
          </w:tcPr>
          <w:p w:rsidRPr="009A242F" w:rsidR="004020DC" w:rsidP="004020DC" w:rsidRDefault="004020DC" w14:paraId="5A438EE8" w14:textId="47CC60A3">
            <w:pPr>
              <w:autoSpaceDE/>
              <w:autoSpaceDN/>
              <w:adjustRightInd/>
              <w:jc w:val="center"/>
              <w:rPr>
                <w:rFonts w:cs="Arial"/>
                <w:sz w:val="18"/>
                <w:szCs w:val="18"/>
              </w:rPr>
            </w:pPr>
            <w:r w:rsidRPr="009A242F">
              <w:rPr>
                <w:rFonts w:cs="Arial"/>
                <w:sz w:val="18"/>
                <w:szCs w:val="18"/>
              </w:rPr>
              <w:t>10</w:t>
            </w:r>
          </w:p>
        </w:tc>
        <w:tc>
          <w:tcPr>
            <w:tcW w:w="529" w:type="pct"/>
            <w:shd w:val="clear" w:color="auto" w:fill="D9D9D9" w:themeFill="background1" w:themeFillShade="D9"/>
            <w:noWrap/>
            <w:vAlign w:val="center"/>
          </w:tcPr>
          <w:p w:rsidRPr="009A242F" w:rsidR="004020DC" w:rsidP="004020DC" w:rsidRDefault="004020DC" w14:paraId="6CCE43ED" w14:textId="77777777">
            <w:pPr>
              <w:autoSpaceDE/>
              <w:autoSpaceDN/>
              <w:adjustRightInd/>
              <w:jc w:val="center"/>
              <w:rPr>
                <w:rFonts w:cs="Arial"/>
                <w:sz w:val="18"/>
                <w:szCs w:val="18"/>
              </w:rPr>
            </w:pPr>
          </w:p>
        </w:tc>
        <w:tc>
          <w:tcPr>
            <w:tcW w:w="625" w:type="pct"/>
            <w:shd w:val="clear" w:color="auto" w:fill="auto"/>
            <w:noWrap/>
            <w:vAlign w:val="center"/>
          </w:tcPr>
          <w:p w:rsidRPr="009A242F" w:rsidR="004020DC" w:rsidP="004020DC" w:rsidRDefault="004020DC" w14:paraId="4010DFA5" w14:textId="06A428EE">
            <w:pPr>
              <w:autoSpaceDE/>
              <w:autoSpaceDN/>
              <w:adjustRightInd/>
              <w:jc w:val="center"/>
              <w:rPr>
                <w:rFonts w:cs="Arial"/>
                <w:sz w:val="18"/>
                <w:szCs w:val="18"/>
              </w:rPr>
            </w:pPr>
            <w:r w:rsidRPr="009A242F">
              <w:rPr>
                <w:rFonts w:cs="Arial"/>
                <w:sz w:val="18"/>
                <w:szCs w:val="18"/>
              </w:rPr>
              <w:t>40</w:t>
            </w:r>
          </w:p>
        </w:tc>
      </w:tr>
      <w:tr w:rsidRPr="005F262C" w:rsidR="004020DC" w:rsidTr="00203EED" w14:paraId="6A964D12" w14:textId="77777777">
        <w:trPr>
          <w:trHeight w:val="395"/>
        </w:trPr>
        <w:tc>
          <w:tcPr>
            <w:tcW w:w="2595" w:type="pct"/>
            <w:shd w:val="clear" w:color="auto" w:fill="auto"/>
            <w:noWrap/>
            <w:tcMar>
              <w:left w:w="216" w:type="dxa"/>
              <w:right w:w="115" w:type="dxa"/>
            </w:tcMar>
            <w:vAlign w:val="center"/>
          </w:tcPr>
          <w:p w:rsidRPr="00DE291E" w:rsidR="004020DC" w:rsidP="004020DC" w:rsidRDefault="004020DC" w14:paraId="4720F26B" w14:textId="0FE15BCA">
            <w:pPr>
              <w:autoSpaceDE/>
              <w:autoSpaceDN/>
              <w:adjustRightInd/>
              <w:rPr>
                <w:sz w:val="18"/>
                <w:szCs w:val="18"/>
              </w:rPr>
            </w:pPr>
            <w:r w:rsidRPr="009A242F">
              <w:rPr>
                <w:sz w:val="18"/>
                <w:szCs w:val="18"/>
              </w:rPr>
              <w:t>Small reactor operations staffing level</w:t>
            </w:r>
          </w:p>
        </w:tc>
        <w:tc>
          <w:tcPr>
            <w:tcW w:w="722" w:type="pct"/>
            <w:shd w:val="clear" w:color="auto" w:fill="auto"/>
            <w:noWrap/>
            <w:vAlign w:val="center"/>
          </w:tcPr>
          <w:p w:rsidRPr="00297E9A" w:rsidR="004020DC" w:rsidP="004020DC" w:rsidRDefault="004020DC" w14:paraId="5600DD58" w14:textId="221700A4">
            <w:pPr>
              <w:autoSpaceDE/>
              <w:autoSpaceDN/>
              <w:adjustRightInd/>
              <w:jc w:val="center"/>
              <w:rPr>
                <w:rFonts w:cs="Arial"/>
                <w:sz w:val="18"/>
                <w:szCs w:val="18"/>
              </w:rPr>
            </w:pPr>
            <w:r w:rsidRPr="00297E9A">
              <w:rPr>
                <w:rFonts w:cs="Arial"/>
                <w:sz w:val="18"/>
                <w:szCs w:val="18"/>
              </w:rPr>
              <w:t>Uniform</w:t>
            </w:r>
          </w:p>
        </w:tc>
        <w:tc>
          <w:tcPr>
            <w:tcW w:w="529" w:type="pct"/>
            <w:shd w:val="clear" w:color="auto" w:fill="auto"/>
            <w:noWrap/>
            <w:vAlign w:val="center"/>
          </w:tcPr>
          <w:p w:rsidRPr="00297E9A" w:rsidR="004020DC" w:rsidP="004020DC" w:rsidRDefault="004020DC" w14:paraId="7A385713" w14:textId="678068D8">
            <w:pPr>
              <w:autoSpaceDE/>
              <w:autoSpaceDN/>
              <w:adjustRightInd/>
              <w:jc w:val="center"/>
              <w:rPr>
                <w:rFonts w:cs="Arial"/>
                <w:sz w:val="18"/>
                <w:szCs w:val="18"/>
              </w:rPr>
            </w:pPr>
            <w:r w:rsidRPr="00297E9A">
              <w:rPr>
                <w:rFonts w:cs="Arial"/>
                <w:sz w:val="18"/>
                <w:szCs w:val="18"/>
              </w:rPr>
              <w:t>40</w:t>
            </w:r>
          </w:p>
        </w:tc>
        <w:tc>
          <w:tcPr>
            <w:tcW w:w="529" w:type="pct"/>
            <w:shd w:val="clear" w:color="auto" w:fill="D9D9D9" w:themeFill="background1" w:themeFillShade="D9"/>
            <w:noWrap/>
            <w:vAlign w:val="center"/>
          </w:tcPr>
          <w:p w:rsidRPr="00297E9A" w:rsidR="004020DC" w:rsidP="004020DC" w:rsidRDefault="004020DC" w14:paraId="5E71797F" w14:textId="77777777">
            <w:pPr>
              <w:autoSpaceDE/>
              <w:autoSpaceDN/>
              <w:adjustRightInd/>
              <w:jc w:val="center"/>
              <w:rPr>
                <w:rFonts w:cs="Arial"/>
                <w:sz w:val="18"/>
                <w:szCs w:val="18"/>
              </w:rPr>
            </w:pPr>
          </w:p>
        </w:tc>
        <w:tc>
          <w:tcPr>
            <w:tcW w:w="625" w:type="pct"/>
            <w:shd w:val="clear" w:color="auto" w:fill="auto"/>
            <w:noWrap/>
            <w:vAlign w:val="center"/>
          </w:tcPr>
          <w:p w:rsidRPr="00297E9A" w:rsidR="004020DC" w:rsidP="004020DC" w:rsidRDefault="004020DC" w14:paraId="424EF83E" w14:textId="44431B6F">
            <w:pPr>
              <w:autoSpaceDE/>
              <w:autoSpaceDN/>
              <w:adjustRightInd/>
              <w:jc w:val="center"/>
              <w:rPr>
                <w:rFonts w:cs="Arial"/>
                <w:sz w:val="18"/>
                <w:szCs w:val="18"/>
              </w:rPr>
            </w:pPr>
            <w:r w:rsidRPr="00297E9A">
              <w:rPr>
                <w:rFonts w:cs="Arial"/>
                <w:sz w:val="18"/>
                <w:szCs w:val="18"/>
              </w:rPr>
              <w:t>240</w:t>
            </w:r>
          </w:p>
        </w:tc>
      </w:tr>
      <w:tr w:rsidRPr="005F262C" w:rsidR="004020DC" w:rsidTr="00203EED" w14:paraId="72E51015" w14:textId="77777777">
        <w:trPr>
          <w:trHeight w:val="395"/>
        </w:trPr>
        <w:tc>
          <w:tcPr>
            <w:tcW w:w="2595" w:type="pct"/>
            <w:shd w:val="clear" w:color="auto" w:fill="auto"/>
            <w:noWrap/>
            <w:tcMar>
              <w:left w:w="216" w:type="dxa"/>
              <w:right w:w="115" w:type="dxa"/>
            </w:tcMar>
            <w:vAlign w:val="center"/>
          </w:tcPr>
          <w:p w:rsidRPr="009A242F" w:rsidR="004020DC" w:rsidP="004020DC" w:rsidRDefault="004020DC" w14:paraId="621EB269" w14:textId="16D8CDA6">
            <w:pPr>
              <w:autoSpaceDE/>
              <w:autoSpaceDN/>
              <w:adjustRightInd/>
              <w:rPr>
                <w:sz w:val="18"/>
                <w:szCs w:val="18"/>
              </w:rPr>
            </w:pPr>
            <w:r w:rsidRPr="00297E9A">
              <w:rPr>
                <w:sz w:val="18"/>
                <w:szCs w:val="18"/>
              </w:rPr>
              <w:t>Medium reactor operations staffing level</w:t>
            </w:r>
          </w:p>
        </w:tc>
        <w:tc>
          <w:tcPr>
            <w:tcW w:w="722" w:type="pct"/>
            <w:shd w:val="clear" w:color="auto" w:fill="auto"/>
            <w:noWrap/>
            <w:vAlign w:val="center"/>
          </w:tcPr>
          <w:p w:rsidRPr="000A4375" w:rsidR="004020DC" w:rsidP="004020DC" w:rsidRDefault="004020DC" w14:paraId="4EAF42C1" w14:textId="42AFD546">
            <w:pPr>
              <w:autoSpaceDE/>
              <w:autoSpaceDN/>
              <w:adjustRightInd/>
              <w:jc w:val="center"/>
              <w:rPr>
                <w:rFonts w:cs="Arial"/>
                <w:sz w:val="18"/>
                <w:szCs w:val="18"/>
              </w:rPr>
            </w:pPr>
            <w:r w:rsidRPr="000A4375">
              <w:rPr>
                <w:rFonts w:cs="Arial"/>
                <w:sz w:val="18"/>
                <w:szCs w:val="18"/>
              </w:rPr>
              <w:t>Uniform</w:t>
            </w:r>
          </w:p>
        </w:tc>
        <w:tc>
          <w:tcPr>
            <w:tcW w:w="529" w:type="pct"/>
            <w:shd w:val="clear" w:color="auto" w:fill="auto"/>
            <w:noWrap/>
            <w:vAlign w:val="center"/>
          </w:tcPr>
          <w:p w:rsidRPr="000A4375" w:rsidR="004020DC" w:rsidP="004020DC" w:rsidRDefault="004020DC" w14:paraId="34A0D36F" w14:textId="6E95C5FA">
            <w:pPr>
              <w:autoSpaceDE/>
              <w:autoSpaceDN/>
              <w:adjustRightInd/>
              <w:jc w:val="center"/>
              <w:rPr>
                <w:rFonts w:cs="Arial"/>
                <w:sz w:val="18"/>
                <w:szCs w:val="18"/>
              </w:rPr>
            </w:pPr>
            <w:r w:rsidRPr="000A4375">
              <w:rPr>
                <w:rFonts w:cs="Arial"/>
                <w:sz w:val="18"/>
                <w:szCs w:val="18"/>
              </w:rPr>
              <w:t>210</w:t>
            </w:r>
          </w:p>
        </w:tc>
        <w:tc>
          <w:tcPr>
            <w:tcW w:w="529" w:type="pct"/>
            <w:shd w:val="clear" w:color="auto" w:fill="D9D9D9" w:themeFill="background1" w:themeFillShade="D9"/>
            <w:noWrap/>
            <w:vAlign w:val="center"/>
          </w:tcPr>
          <w:p w:rsidRPr="000A4375" w:rsidR="004020DC" w:rsidP="004020DC" w:rsidRDefault="004020DC" w14:paraId="18DC23B1" w14:textId="77777777">
            <w:pPr>
              <w:autoSpaceDE/>
              <w:autoSpaceDN/>
              <w:adjustRightInd/>
              <w:jc w:val="center"/>
              <w:rPr>
                <w:rFonts w:cs="Arial"/>
                <w:sz w:val="18"/>
                <w:szCs w:val="18"/>
              </w:rPr>
            </w:pPr>
          </w:p>
        </w:tc>
        <w:tc>
          <w:tcPr>
            <w:tcW w:w="625" w:type="pct"/>
            <w:shd w:val="clear" w:color="auto" w:fill="auto"/>
            <w:noWrap/>
            <w:vAlign w:val="center"/>
          </w:tcPr>
          <w:p w:rsidRPr="000A4375" w:rsidR="004020DC" w:rsidP="004020DC" w:rsidRDefault="004020DC" w14:paraId="5051F306" w14:textId="02D90913">
            <w:pPr>
              <w:autoSpaceDE/>
              <w:autoSpaceDN/>
              <w:adjustRightInd/>
              <w:jc w:val="center"/>
              <w:rPr>
                <w:rFonts w:cs="Arial"/>
                <w:sz w:val="18"/>
                <w:szCs w:val="18"/>
              </w:rPr>
            </w:pPr>
            <w:r w:rsidRPr="000A4375">
              <w:rPr>
                <w:rFonts w:cs="Arial"/>
                <w:sz w:val="18"/>
                <w:szCs w:val="18"/>
              </w:rPr>
              <w:t>420</w:t>
            </w:r>
          </w:p>
        </w:tc>
      </w:tr>
    </w:tbl>
    <w:p w:rsidRPr="006C4FE2" w:rsidR="00D520BD" w:rsidP="00D520BD" w:rsidRDefault="00D520BD" w14:paraId="280541C2" w14:textId="77777777">
      <w:pPr>
        <w:rPr>
          <w:sz w:val="22"/>
          <w:szCs w:val="22"/>
        </w:rPr>
      </w:pPr>
      <w:bookmarkStart w:name="_Toc422402477" w:id="211"/>
      <w:bookmarkStart w:name="_Toc423339060" w:id="212"/>
      <w:bookmarkStart w:name="_Toc423339573" w:id="213"/>
      <w:bookmarkStart w:name="_Toc423408940" w:id="214"/>
      <w:bookmarkStart w:name="_Toc423443891" w:id="215"/>
      <w:bookmarkStart w:name="_Toc423446838" w:id="216"/>
      <w:bookmarkStart w:name="_Toc414346129" w:id="217"/>
      <w:bookmarkEnd w:id="211"/>
      <w:bookmarkEnd w:id="212"/>
      <w:bookmarkEnd w:id="213"/>
      <w:bookmarkEnd w:id="214"/>
      <w:bookmarkEnd w:id="215"/>
      <w:bookmarkEnd w:id="216"/>
    </w:p>
    <w:p w:rsidRPr="00140A50" w:rsidR="00D520BD" w:rsidP="005C6BA3" w:rsidRDefault="00D520BD" w14:paraId="6CB864F9" w14:textId="77777777">
      <w:pPr>
        <w:pStyle w:val="Heading3"/>
        <w:numPr>
          <w:ilvl w:val="2"/>
          <w:numId w:val="24"/>
        </w:numPr>
        <w:ind w:left="720"/>
      </w:pPr>
      <w:bookmarkStart w:name="_Toc460412621" w:id="218"/>
      <w:bookmarkStart w:name="_Toc72840041" w:id="219"/>
      <w:bookmarkStart w:name="_Toc105681514" w:id="220"/>
      <w:r>
        <w:t>Uncertainty Analysis Results</w:t>
      </w:r>
      <w:bookmarkEnd w:id="217"/>
      <w:bookmarkEnd w:id="218"/>
      <w:bookmarkEnd w:id="219"/>
      <w:bookmarkEnd w:id="220"/>
    </w:p>
    <w:p w:rsidRPr="006C4FE2" w:rsidR="00D520BD" w:rsidP="00D520BD" w:rsidRDefault="00D520BD" w14:paraId="790698D1" w14:textId="77777777">
      <w:pPr>
        <w:keepNext/>
        <w:rPr>
          <w:sz w:val="22"/>
          <w:szCs w:val="22"/>
        </w:rPr>
      </w:pPr>
    </w:p>
    <w:p w:rsidR="00D520BD" w:rsidP="00D520BD" w:rsidRDefault="00D520BD" w14:paraId="0D218D94" w14:textId="4990B6E6">
      <w:pPr>
        <w:rPr>
          <w:sz w:val="22"/>
          <w:szCs w:val="22"/>
        </w:rPr>
      </w:pPr>
      <w:r>
        <w:rPr>
          <w:sz w:val="22"/>
          <w:szCs w:val="22"/>
        </w:rPr>
        <w:t xml:space="preserve">The </w:t>
      </w:r>
      <w:r w:rsidR="00EC321A">
        <w:rPr>
          <w:sz w:val="22"/>
          <w:szCs w:val="22"/>
        </w:rPr>
        <w:t>NRC</w:t>
      </w:r>
      <w:r>
        <w:rPr>
          <w:sz w:val="22"/>
          <w:szCs w:val="22"/>
        </w:rPr>
        <w:t xml:space="preserve"> staff performed the Monte Carlo simulation by repeatedly recalculating the results </w:t>
      </w:r>
      <w:r w:rsidR="00E738CB">
        <w:rPr>
          <w:sz w:val="22"/>
          <w:szCs w:val="22"/>
        </w:rPr>
        <w:t>5</w:t>
      </w:r>
      <w:r w:rsidR="00646A79">
        <w:rPr>
          <w:sz w:val="22"/>
          <w:szCs w:val="22"/>
        </w:rPr>
        <w:t>,</w:t>
      </w:r>
      <w:r>
        <w:rPr>
          <w:sz w:val="22"/>
          <w:szCs w:val="22"/>
        </w:rPr>
        <w:t>000 times.  For each analysis iteration</w:t>
      </w:r>
      <w:r w:rsidR="00646A79">
        <w:rPr>
          <w:sz w:val="22"/>
          <w:szCs w:val="22"/>
        </w:rPr>
        <w:t>,</w:t>
      </w:r>
      <w:r>
        <w:rPr>
          <w:sz w:val="22"/>
          <w:szCs w:val="22"/>
        </w:rPr>
        <w:t xml:space="preserve"> the values identified in </w:t>
      </w:r>
      <w:r w:rsidRPr="00F90755" w:rsidR="00F90755">
        <w:rPr>
          <w:sz w:val="22"/>
          <w:szCs w:val="22"/>
        </w:rPr>
        <w:fldChar w:fldCharType="begin"/>
      </w:r>
      <w:r w:rsidRPr="00F90755" w:rsidR="00F90755">
        <w:rPr>
          <w:sz w:val="22"/>
          <w:szCs w:val="22"/>
        </w:rPr>
        <w:instrText xml:space="preserve"> REF _Ref72166357 \h  \* MERGEFORMAT </w:instrText>
      </w:r>
      <w:r w:rsidRPr="00F90755" w:rsidR="00F90755">
        <w:rPr>
          <w:sz w:val="22"/>
          <w:szCs w:val="22"/>
        </w:rPr>
      </w:r>
      <w:r w:rsidRPr="00F90755" w:rsidR="00F90755">
        <w:rPr>
          <w:sz w:val="22"/>
          <w:szCs w:val="22"/>
        </w:rPr>
        <w:fldChar w:fldCharType="separate"/>
      </w:r>
      <w:r w:rsidRPr="006155B8" w:rsidR="00A6777F">
        <w:rPr>
          <w:sz w:val="22"/>
          <w:szCs w:val="22"/>
        </w:rPr>
        <w:t>Table 5-16</w:t>
      </w:r>
      <w:r w:rsidRPr="00F90755" w:rsidR="00F90755">
        <w:rPr>
          <w:sz w:val="22"/>
          <w:szCs w:val="22"/>
        </w:rPr>
        <w:fldChar w:fldCharType="end"/>
      </w:r>
      <w:r>
        <w:rPr>
          <w:sz w:val="22"/>
          <w:szCs w:val="22"/>
        </w:rPr>
        <w:t xml:space="preserve"> were chosen randomly from the probability distributions that define the input variables.  The</w:t>
      </w:r>
      <w:r w:rsidR="00C75EED">
        <w:rPr>
          <w:sz w:val="22"/>
          <w:szCs w:val="22"/>
        </w:rPr>
        <w:t xml:space="preserve"> staff recorded the</w:t>
      </w:r>
      <w:r>
        <w:rPr>
          <w:sz w:val="22"/>
          <w:szCs w:val="22"/>
        </w:rPr>
        <w:t xml:space="preserve"> value of the output variables for each iteration and </w:t>
      </w:r>
      <w:r w:rsidR="00C75EED">
        <w:rPr>
          <w:sz w:val="22"/>
          <w:szCs w:val="22"/>
        </w:rPr>
        <w:t xml:space="preserve">used </w:t>
      </w:r>
      <w:r>
        <w:rPr>
          <w:sz w:val="22"/>
          <w:szCs w:val="22"/>
        </w:rPr>
        <w:t>these resulting output variable values to define the resultant probability distribution.</w:t>
      </w:r>
    </w:p>
    <w:p w:rsidR="00D520BD" w:rsidP="00D520BD" w:rsidRDefault="00D520BD" w14:paraId="5B411FC9" w14:textId="77777777">
      <w:pPr>
        <w:rPr>
          <w:sz w:val="22"/>
          <w:szCs w:val="22"/>
        </w:rPr>
      </w:pPr>
    </w:p>
    <w:p w:rsidRPr="001E4966" w:rsidR="00D520BD" w:rsidP="00D520BD" w:rsidRDefault="00D520BD" w14:paraId="6C6D449F" w14:textId="4FC562A8">
      <w:pPr>
        <w:rPr>
          <w:sz w:val="22"/>
          <w:szCs w:val="22"/>
        </w:rPr>
      </w:pPr>
      <w:r w:rsidRPr="006C4FE2">
        <w:rPr>
          <w:sz w:val="22"/>
          <w:szCs w:val="22"/>
        </w:rPr>
        <w:t>For each figure below</w:t>
      </w:r>
      <w:r w:rsidR="00646A79">
        <w:rPr>
          <w:sz w:val="22"/>
          <w:szCs w:val="22"/>
        </w:rPr>
        <w:t>,</w:t>
      </w:r>
      <w:r w:rsidRPr="006C4FE2">
        <w:rPr>
          <w:sz w:val="22"/>
          <w:szCs w:val="22"/>
        </w:rPr>
        <w:t xml:space="preserve"> Monte Carlo simulations were run </w:t>
      </w:r>
      <w:r w:rsidR="007F2B88">
        <w:rPr>
          <w:sz w:val="22"/>
          <w:szCs w:val="22"/>
        </w:rPr>
        <w:t>with</w:t>
      </w:r>
      <w:r w:rsidRPr="006C4FE2">
        <w:rPr>
          <w:sz w:val="22"/>
          <w:szCs w:val="22"/>
        </w:rPr>
        <w:t xml:space="preserve"> the key variables changed to assess the effect</w:t>
      </w:r>
      <w:r w:rsidR="007F2B88">
        <w:rPr>
          <w:sz w:val="22"/>
          <w:szCs w:val="22"/>
        </w:rPr>
        <w:t>s</w:t>
      </w:r>
      <w:r w:rsidRPr="006C4FE2">
        <w:rPr>
          <w:sz w:val="22"/>
          <w:szCs w:val="22"/>
        </w:rPr>
        <w:t xml:space="preserve"> on costs.  The cost distributions illustrated in Figures</w:t>
      </w:r>
      <w:r>
        <w:rPr>
          <w:sz w:val="22"/>
          <w:szCs w:val="22"/>
        </w:rPr>
        <w:t> </w:t>
      </w:r>
      <w:r w:rsidRPr="006C4FE2">
        <w:rPr>
          <w:sz w:val="22"/>
          <w:szCs w:val="22"/>
        </w:rPr>
        <w:t>5-1 through 5-</w:t>
      </w:r>
      <w:r w:rsidR="009573C3">
        <w:rPr>
          <w:sz w:val="22"/>
          <w:szCs w:val="22"/>
        </w:rPr>
        <w:t>5</w:t>
      </w:r>
      <w:r w:rsidRPr="006C4FE2">
        <w:rPr>
          <w:sz w:val="22"/>
          <w:szCs w:val="22"/>
        </w:rPr>
        <w:t xml:space="preserve"> </w:t>
      </w:r>
      <w:r>
        <w:rPr>
          <w:sz w:val="22"/>
          <w:szCs w:val="22"/>
        </w:rPr>
        <w:t>represent the incremental costs</w:t>
      </w:r>
      <w:r w:rsidRPr="006C4FE2">
        <w:rPr>
          <w:sz w:val="22"/>
          <w:szCs w:val="22"/>
        </w:rPr>
        <w:t xml:space="preserve"> </w:t>
      </w:r>
      <w:r w:rsidR="00B3371A">
        <w:rPr>
          <w:sz w:val="22"/>
          <w:szCs w:val="22"/>
        </w:rPr>
        <w:t xml:space="preserve">for Alternative 2 </w:t>
      </w:r>
      <w:r w:rsidRPr="006C4FE2">
        <w:rPr>
          <w:sz w:val="22"/>
          <w:szCs w:val="22"/>
        </w:rPr>
        <w:t>from the regulatory baseline of Alternative</w:t>
      </w:r>
      <w:r>
        <w:rPr>
          <w:sz w:val="22"/>
          <w:szCs w:val="22"/>
        </w:rPr>
        <w:t> </w:t>
      </w:r>
      <w:r w:rsidRPr="006C4FE2">
        <w:rPr>
          <w:sz w:val="22"/>
          <w:szCs w:val="22"/>
        </w:rPr>
        <w:t>1</w:t>
      </w:r>
      <w:r>
        <w:rPr>
          <w:sz w:val="22"/>
          <w:szCs w:val="22"/>
        </w:rPr>
        <w:t xml:space="preserve"> (</w:t>
      </w:r>
      <w:r w:rsidR="004E5ACE">
        <w:rPr>
          <w:sz w:val="22"/>
          <w:szCs w:val="22"/>
        </w:rPr>
        <w:t xml:space="preserve">Take </w:t>
      </w:r>
      <w:r>
        <w:rPr>
          <w:sz w:val="22"/>
          <w:szCs w:val="22"/>
        </w:rPr>
        <w:t>No Action</w:t>
      </w:r>
      <w:r w:rsidR="00A33207">
        <w:rPr>
          <w:sz w:val="22"/>
          <w:szCs w:val="22"/>
        </w:rPr>
        <w:t xml:space="preserve"> alternative</w:t>
      </w:r>
      <w:r>
        <w:rPr>
          <w:sz w:val="22"/>
          <w:szCs w:val="22"/>
        </w:rPr>
        <w:t>)</w:t>
      </w:r>
      <w:r w:rsidRPr="006C4FE2">
        <w:rPr>
          <w:sz w:val="22"/>
          <w:szCs w:val="22"/>
        </w:rPr>
        <w:t xml:space="preserve">.  </w:t>
      </w:r>
      <w:r>
        <w:rPr>
          <w:sz w:val="22"/>
          <w:szCs w:val="22"/>
        </w:rPr>
        <w:t xml:space="preserve">As </w:t>
      </w:r>
      <w:r w:rsidR="00D24BD5">
        <w:rPr>
          <w:sz w:val="22"/>
          <w:szCs w:val="22"/>
        </w:rPr>
        <w:t>shown in</w:t>
      </w:r>
      <w:r w:rsidRPr="001E4966">
        <w:rPr>
          <w:sz w:val="22"/>
          <w:szCs w:val="22"/>
        </w:rPr>
        <w:t xml:space="preserve"> </w:t>
      </w:r>
      <w:r w:rsidRPr="001E4966" w:rsidR="001E4966">
        <w:rPr>
          <w:sz w:val="22"/>
          <w:szCs w:val="22"/>
        </w:rPr>
        <w:fldChar w:fldCharType="begin"/>
      </w:r>
      <w:r w:rsidRPr="001E4966" w:rsidR="001E4966">
        <w:rPr>
          <w:sz w:val="22"/>
          <w:szCs w:val="22"/>
        </w:rPr>
        <w:instrText xml:space="preserve"> REF _Ref68085134 \h  \* MERGEFORMAT </w:instrText>
      </w:r>
      <w:r w:rsidRPr="001E4966" w:rsidR="001E4966">
        <w:rPr>
          <w:sz w:val="22"/>
          <w:szCs w:val="22"/>
        </w:rPr>
      </w:r>
      <w:r w:rsidRPr="001E4966" w:rsidR="001E4966">
        <w:rPr>
          <w:sz w:val="22"/>
          <w:szCs w:val="22"/>
        </w:rPr>
        <w:fldChar w:fldCharType="separate"/>
      </w:r>
      <w:r w:rsidRPr="006155B8" w:rsidR="00A6777F">
        <w:rPr>
          <w:sz w:val="22"/>
          <w:szCs w:val="22"/>
        </w:rPr>
        <w:t>Figure 5-1</w:t>
      </w:r>
      <w:r w:rsidRPr="001E4966" w:rsidR="001E4966">
        <w:rPr>
          <w:sz w:val="22"/>
          <w:szCs w:val="22"/>
        </w:rPr>
        <w:fldChar w:fldCharType="end"/>
      </w:r>
      <w:r w:rsidRPr="001E4966" w:rsidR="00646A79">
        <w:rPr>
          <w:sz w:val="22"/>
          <w:szCs w:val="22"/>
        </w:rPr>
        <w:t>,</w:t>
      </w:r>
      <w:r w:rsidRPr="001E4966">
        <w:rPr>
          <w:sz w:val="22"/>
          <w:szCs w:val="22"/>
        </w:rPr>
        <w:t xml:space="preserve"> </w:t>
      </w:r>
      <w:r w:rsidR="00BD54BB">
        <w:rPr>
          <w:sz w:val="22"/>
          <w:szCs w:val="22"/>
        </w:rPr>
        <w:t>no part</w:t>
      </w:r>
      <w:r w:rsidRPr="001E4966">
        <w:rPr>
          <w:sz w:val="22"/>
          <w:szCs w:val="22"/>
        </w:rPr>
        <w:t xml:space="preserve"> of the </w:t>
      </w:r>
      <w:r w:rsidR="00CD3618">
        <w:rPr>
          <w:sz w:val="22"/>
          <w:szCs w:val="22"/>
        </w:rPr>
        <w:t xml:space="preserve">industry implementation cost </w:t>
      </w:r>
      <w:r w:rsidRPr="001E4966">
        <w:rPr>
          <w:sz w:val="22"/>
          <w:szCs w:val="22"/>
        </w:rPr>
        <w:t>curve</w:t>
      </w:r>
      <w:r w:rsidR="00BD54BB">
        <w:rPr>
          <w:sz w:val="22"/>
          <w:szCs w:val="22"/>
        </w:rPr>
        <w:t xml:space="preserve"> is</w:t>
      </w:r>
      <w:r w:rsidRPr="001E4966">
        <w:rPr>
          <w:sz w:val="22"/>
          <w:szCs w:val="22"/>
        </w:rPr>
        <w:t xml:space="preserve"> net beneficial</w:t>
      </w:r>
      <w:r w:rsidR="00BD54BB">
        <w:rPr>
          <w:sz w:val="22"/>
          <w:szCs w:val="22"/>
        </w:rPr>
        <w:t xml:space="preserve">. </w:t>
      </w:r>
      <w:r w:rsidRPr="001E4966">
        <w:rPr>
          <w:sz w:val="22"/>
          <w:szCs w:val="22"/>
        </w:rPr>
        <w:t xml:space="preserve"> </w:t>
      </w:r>
      <w:r w:rsidR="008769F2">
        <w:rPr>
          <w:sz w:val="22"/>
          <w:szCs w:val="22"/>
        </w:rPr>
        <w:t>T</w:t>
      </w:r>
      <w:r w:rsidR="001D0CFE">
        <w:rPr>
          <w:sz w:val="22"/>
          <w:szCs w:val="22"/>
        </w:rPr>
        <w:t xml:space="preserve">he industry operations costs </w:t>
      </w:r>
      <w:r w:rsidR="00F6523D">
        <w:rPr>
          <w:sz w:val="22"/>
          <w:szCs w:val="22"/>
        </w:rPr>
        <w:t xml:space="preserve">shown in Figures 5-2 </w:t>
      </w:r>
      <w:r w:rsidR="0077746D">
        <w:rPr>
          <w:sz w:val="22"/>
          <w:szCs w:val="22"/>
        </w:rPr>
        <w:t>and 5-3</w:t>
      </w:r>
      <w:r w:rsidR="00F44829">
        <w:rPr>
          <w:sz w:val="22"/>
          <w:szCs w:val="22"/>
        </w:rPr>
        <w:t xml:space="preserve"> </w:t>
      </w:r>
      <w:r w:rsidR="007F200C">
        <w:rPr>
          <w:sz w:val="22"/>
          <w:szCs w:val="22"/>
        </w:rPr>
        <w:t xml:space="preserve">have </w:t>
      </w:r>
      <w:r w:rsidR="00103CB2">
        <w:rPr>
          <w:sz w:val="22"/>
          <w:szCs w:val="22"/>
        </w:rPr>
        <w:t xml:space="preserve">a </w:t>
      </w:r>
      <w:r w:rsidR="003D7141">
        <w:rPr>
          <w:sz w:val="22"/>
          <w:szCs w:val="22"/>
        </w:rPr>
        <w:t>7</w:t>
      </w:r>
      <w:r w:rsidR="008441B3">
        <w:rPr>
          <w:sz w:val="22"/>
          <w:szCs w:val="22"/>
        </w:rPr>
        <w:t>3.5</w:t>
      </w:r>
      <w:r w:rsidR="003D7141">
        <w:rPr>
          <w:sz w:val="22"/>
          <w:szCs w:val="22"/>
        </w:rPr>
        <w:t>-percent</w:t>
      </w:r>
      <w:r w:rsidR="00A44657">
        <w:rPr>
          <w:sz w:val="22"/>
          <w:szCs w:val="22"/>
        </w:rPr>
        <w:t xml:space="preserve"> likelihood that </w:t>
      </w:r>
      <w:r w:rsidR="00E32FEA">
        <w:rPr>
          <w:sz w:val="22"/>
          <w:szCs w:val="22"/>
        </w:rPr>
        <w:t xml:space="preserve">these costs </w:t>
      </w:r>
      <w:r w:rsidR="001368AD">
        <w:rPr>
          <w:sz w:val="22"/>
          <w:szCs w:val="22"/>
        </w:rPr>
        <w:t>are</w:t>
      </w:r>
      <w:r w:rsidR="00E32FEA">
        <w:rPr>
          <w:sz w:val="22"/>
          <w:szCs w:val="22"/>
        </w:rPr>
        <w:t xml:space="preserve"> cost</w:t>
      </w:r>
      <w:r w:rsidR="00694525">
        <w:rPr>
          <w:sz w:val="22"/>
          <w:szCs w:val="22"/>
        </w:rPr>
        <w:t>-</w:t>
      </w:r>
      <w:r w:rsidR="00E32FEA">
        <w:rPr>
          <w:sz w:val="22"/>
          <w:szCs w:val="22"/>
        </w:rPr>
        <w:t>beneficial</w:t>
      </w:r>
      <w:r w:rsidR="006653AC">
        <w:rPr>
          <w:sz w:val="22"/>
          <w:szCs w:val="22"/>
        </w:rPr>
        <w:t>.</w:t>
      </w:r>
      <w:r w:rsidR="00E32FEA">
        <w:rPr>
          <w:sz w:val="22"/>
          <w:szCs w:val="22"/>
        </w:rPr>
        <w:t xml:space="preserve"> </w:t>
      </w:r>
      <w:r w:rsidR="0077746D">
        <w:rPr>
          <w:sz w:val="22"/>
          <w:szCs w:val="22"/>
        </w:rPr>
        <w:t xml:space="preserve"> </w:t>
      </w:r>
      <w:r w:rsidR="006653AC">
        <w:rPr>
          <w:sz w:val="22"/>
          <w:szCs w:val="22"/>
        </w:rPr>
        <w:t>T</w:t>
      </w:r>
      <w:r w:rsidR="000600CE">
        <w:rPr>
          <w:sz w:val="22"/>
          <w:szCs w:val="22"/>
        </w:rPr>
        <w:t xml:space="preserve">he </w:t>
      </w:r>
      <w:r w:rsidR="0077746D">
        <w:rPr>
          <w:sz w:val="22"/>
          <w:szCs w:val="22"/>
        </w:rPr>
        <w:t xml:space="preserve">total industry costs </w:t>
      </w:r>
      <w:r w:rsidR="000600CE">
        <w:rPr>
          <w:sz w:val="22"/>
          <w:szCs w:val="22"/>
        </w:rPr>
        <w:t>shown in Figures</w:t>
      </w:r>
      <w:r w:rsidR="006653AC">
        <w:rPr>
          <w:sz w:val="22"/>
          <w:szCs w:val="22"/>
        </w:rPr>
        <w:t> </w:t>
      </w:r>
      <w:r w:rsidR="000600CE">
        <w:rPr>
          <w:sz w:val="22"/>
          <w:szCs w:val="22"/>
        </w:rPr>
        <w:t>5-4 and 5-5</w:t>
      </w:r>
      <w:r w:rsidR="00766EBB">
        <w:rPr>
          <w:sz w:val="22"/>
          <w:szCs w:val="22"/>
        </w:rPr>
        <w:t xml:space="preserve"> have </w:t>
      </w:r>
      <w:r w:rsidR="00E02630">
        <w:rPr>
          <w:sz w:val="22"/>
          <w:szCs w:val="22"/>
        </w:rPr>
        <w:t xml:space="preserve">about a </w:t>
      </w:r>
      <w:r w:rsidR="00027B66">
        <w:rPr>
          <w:sz w:val="22"/>
          <w:szCs w:val="22"/>
        </w:rPr>
        <w:t>70-percent</w:t>
      </w:r>
      <w:r w:rsidR="00E02630">
        <w:rPr>
          <w:sz w:val="22"/>
          <w:szCs w:val="22"/>
        </w:rPr>
        <w:t xml:space="preserve"> likelihood of </w:t>
      </w:r>
      <w:r w:rsidR="00092B6E">
        <w:rPr>
          <w:sz w:val="22"/>
          <w:szCs w:val="22"/>
        </w:rPr>
        <w:t>being</w:t>
      </w:r>
      <w:r w:rsidR="00E02630">
        <w:rPr>
          <w:sz w:val="22"/>
          <w:szCs w:val="22"/>
        </w:rPr>
        <w:t xml:space="preserve"> net be</w:t>
      </w:r>
      <w:r w:rsidR="00092B6E">
        <w:rPr>
          <w:sz w:val="22"/>
          <w:szCs w:val="22"/>
        </w:rPr>
        <w:t>neficial</w:t>
      </w:r>
      <w:r w:rsidR="00CE1562">
        <w:rPr>
          <w:sz w:val="22"/>
          <w:szCs w:val="22"/>
        </w:rPr>
        <w:t xml:space="preserve"> based on </w:t>
      </w:r>
      <w:r w:rsidR="00EB7A3A">
        <w:rPr>
          <w:sz w:val="22"/>
          <w:szCs w:val="22"/>
        </w:rPr>
        <w:t>the</w:t>
      </w:r>
      <w:r w:rsidR="007F401B">
        <w:rPr>
          <w:sz w:val="22"/>
          <w:szCs w:val="22"/>
        </w:rPr>
        <w:t xml:space="preserve"> projected </w:t>
      </w:r>
      <w:r w:rsidR="002F4044">
        <w:rPr>
          <w:sz w:val="22"/>
          <w:szCs w:val="22"/>
        </w:rPr>
        <w:t xml:space="preserve">averted training costs resulting </w:t>
      </w:r>
      <w:r w:rsidR="00732E91">
        <w:rPr>
          <w:sz w:val="22"/>
          <w:szCs w:val="22"/>
        </w:rPr>
        <w:t xml:space="preserve">from the identification of </w:t>
      </w:r>
      <w:r w:rsidR="00613252">
        <w:rPr>
          <w:sz w:val="22"/>
          <w:szCs w:val="22"/>
        </w:rPr>
        <w:t xml:space="preserve">new personnel </w:t>
      </w:r>
      <w:r w:rsidR="004F6C6C">
        <w:rPr>
          <w:sz w:val="22"/>
          <w:szCs w:val="22"/>
        </w:rPr>
        <w:t xml:space="preserve">who fail their </w:t>
      </w:r>
      <w:r w:rsidR="00732E91">
        <w:rPr>
          <w:sz w:val="22"/>
          <w:szCs w:val="22"/>
        </w:rPr>
        <w:t xml:space="preserve">pre-access </w:t>
      </w:r>
      <w:r w:rsidR="004F6C6C">
        <w:rPr>
          <w:sz w:val="22"/>
          <w:szCs w:val="22"/>
        </w:rPr>
        <w:t xml:space="preserve">drug test during </w:t>
      </w:r>
      <w:r w:rsidR="00FE72D3">
        <w:rPr>
          <w:sz w:val="22"/>
          <w:szCs w:val="22"/>
        </w:rPr>
        <w:t xml:space="preserve">site </w:t>
      </w:r>
      <w:r w:rsidR="00C80F4A">
        <w:rPr>
          <w:sz w:val="22"/>
          <w:szCs w:val="22"/>
        </w:rPr>
        <w:t>in</w:t>
      </w:r>
      <w:r w:rsidR="00884CF0">
        <w:rPr>
          <w:sz w:val="22"/>
          <w:szCs w:val="22"/>
        </w:rPr>
        <w:t>-</w:t>
      </w:r>
      <w:r w:rsidR="00937081">
        <w:rPr>
          <w:sz w:val="22"/>
          <w:szCs w:val="22"/>
        </w:rPr>
        <w:t>processing.</w:t>
      </w:r>
    </w:p>
    <w:p w:rsidRPr="006C4FE2" w:rsidR="00D520BD" w:rsidP="00D520BD" w:rsidRDefault="00D520BD" w14:paraId="36EE8977" w14:textId="3CB40F8B">
      <w:pPr>
        <w:rPr>
          <w:sz w:val="22"/>
          <w:szCs w:val="22"/>
        </w:rPr>
      </w:pPr>
    </w:p>
    <w:p w:rsidRPr="00BE4EA0" w:rsidR="00822500" w:rsidP="00822500" w:rsidRDefault="00822500" w14:paraId="0C1374C0" w14:textId="1D4CCEB1">
      <w:pPr>
        <w:pStyle w:val="Caption"/>
        <w:jc w:val="center"/>
        <w:rPr>
          <w:b/>
          <w:bCs w:val="0"/>
        </w:rPr>
      </w:pPr>
      <w:bookmarkStart w:name="_Ref68085134" w:id="221"/>
      <w:bookmarkStart w:name="_Toc62207083" w:id="222"/>
      <w:bookmarkStart w:name="_Toc68166745" w:id="223"/>
      <w:bookmarkStart w:name="_Toc105681546" w:id="224"/>
      <w:r w:rsidRPr="00BE4EA0">
        <w:rPr>
          <w:b/>
          <w:bCs w:val="0"/>
        </w:rPr>
        <w:lastRenderedPageBreak/>
        <w:t>Figure 5-</w:t>
      </w:r>
      <w:r w:rsidR="00CD4D83">
        <w:rPr>
          <w:b/>
          <w:bCs w:val="0"/>
        </w:rPr>
        <w:fldChar w:fldCharType="begin"/>
      </w:r>
      <w:r w:rsidR="00CD4D83">
        <w:rPr>
          <w:b/>
          <w:bCs w:val="0"/>
        </w:rPr>
        <w:instrText xml:space="preserve"> SEQ Figure \* ARABIC </w:instrText>
      </w:r>
      <w:r w:rsidR="00CD4D83">
        <w:rPr>
          <w:b/>
          <w:bCs w:val="0"/>
        </w:rPr>
        <w:fldChar w:fldCharType="separate"/>
      </w:r>
      <w:r w:rsidR="00A6777F">
        <w:rPr>
          <w:b/>
          <w:bCs w:val="0"/>
          <w:noProof/>
        </w:rPr>
        <w:t>1</w:t>
      </w:r>
      <w:r w:rsidR="00CD4D83">
        <w:rPr>
          <w:b/>
          <w:bCs w:val="0"/>
        </w:rPr>
        <w:fldChar w:fldCharType="end"/>
      </w:r>
      <w:bookmarkEnd w:id="221"/>
      <w:r w:rsidRPr="00BE4EA0">
        <w:rPr>
          <w:b/>
          <w:bCs w:val="0"/>
        </w:rPr>
        <w:t xml:space="preserve">  Industry Implementation Costs</w:t>
      </w:r>
      <w:bookmarkEnd w:id="222"/>
      <w:bookmarkEnd w:id="223"/>
      <w:bookmarkEnd w:id="224"/>
    </w:p>
    <w:p w:rsidRPr="00646A79" w:rsidR="00822500" w:rsidP="00822500" w:rsidRDefault="006170E0" w14:paraId="192F2840" w14:textId="2ED318DA">
      <w:pPr>
        <w:keepNext/>
        <w:keepLines/>
        <w:widowControl w:val="0"/>
        <w:autoSpaceDE/>
        <w:autoSpaceDN/>
        <w:adjustRightInd/>
        <w:spacing w:line="276" w:lineRule="auto"/>
        <w:jc w:val="center"/>
        <w:rPr>
          <w:sz w:val="22"/>
          <w:szCs w:val="22"/>
        </w:rPr>
      </w:pPr>
      <w:r>
        <w:rPr>
          <w:noProof/>
        </w:rPr>
        <w:drawing>
          <wp:inline distT="0" distB="0" distL="0" distR="0" wp14:anchorId="3CB1D6E7" wp14:editId="473D47FF">
            <wp:extent cx="5943600" cy="323469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7">
                      <a:extLst>
                        <a:ext uri="{28A0092B-C50C-407E-A947-70E740481C1C}">
                          <a14:useLocalDpi xmlns:a14="http://schemas.microsoft.com/office/drawing/2010/main" val="0"/>
                        </a:ext>
                      </a:extLst>
                    </a:blip>
                    <a:stretch>
                      <a:fillRect/>
                    </a:stretch>
                  </pic:blipFill>
                  <pic:spPr>
                    <a:xfrm>
                      <a:off x="0" y="0"/>
                      <a:ext cx="5943600" cy="3234690"/>
                    </a:xfrm>
                    <a:prstGeom prst="rect">
                      <a:avLst/>
                    </a:prstGeom>
                  </pic:spPr>
                </pic:pic>
              </a:graphicData>
            </a:graphic>
          </wp:inline>
        </w:drawing>
      </w:r>
    </w:p>
    <w:p w:rsidR="00D520BD" w:rsidP="00ED34C5" w:rsidRDefault="00D520BD" w14:paraId="17E08986" w14:textId="77777777">
      <w:pPr>
        <w:pStyle w:val="Figure"/>
        <w:widowControl w:val="0"/>
        <w:spacing w:after="220"/>
      </w:pPr>
    </w:p>
    <w:p w:rsidRPr="00BE4EA0" w:rsidR="00822500" w:rsidP="00822500" w:rsidRDefault="00822500" w14:paraId="570DFC6A" w14:textId="4C71F417">
      <w:pPr>
        <w:pStyle w:val="Caption"/>
        <w:jc w:val="center"/>
        <w:rPr>
          <w:b/>
          <w:bCs w:val="0"/>
        </w:rPr>
      </w:pPr>
      <w:bookmarkStart w:name="_Toc62207085" w:id="225"/>
      <w:bookmarkStart w:name="_Toc68166746" w:id="226"/>
      <w:bookmarkStart w:name="_Toc105681547" w:id="227"/>
      <w:r w:rsidRPr="00BE4EA0">
        <w:rPr>
          <w:b/>
          <w:bCs w:val="0"/>
        </w:rPr>
        <w:t>Figure 5-</w:t>
      </w:r>
      <w:r w:rsidR="00CD4D83">
        <w:rPr>
          <w:b/>
          <w:bCs w:val="0"/>
        </w:rPr>
        <w:fldChar w:fldCharType="begin"/>
      </w:r>
      <w:r w:rsidR="00CD4D83">
        <w:rPr>
          <w:b/>
          <w:bCs w:val="0"/>
        </w:rPr>
        <w:instrText xml:space="preserve"> SEQ Figure \* ARABIC </w:instrText>
      </w:r>
      <w:r w:rsidR="00CD4D83">
        <w:rPr>
          <w:b/>
          <w:bCs w:val="0"/>
        </w:rPr>
        <w:fldChar w:fldCharType="separate"/>
      </w:r>
      <w:r w:rsidR="00A6777F">
        <w:rPr>
          <w:b/>
          <w:bCs w:val="0"/>
          <w:noProof/>
        </w:rPr>
        <w:t>2</w:t>
      </w:r>
      <w:r w:rsidR="00CD4D83">
        <w:rPr>
          <w:b/>
          <w:bCs w:val="0"/>
        </w:rPr>
        <w:fldChar w:fldCharType="end"/>
      </w:r>
      <w:r w:rsidRPr="00BE4EA0">
        <w:rPr>
          <w:b/>
          <w:bCs w:val="0"/>
        </w:rPr>
        <w:t xml:space="preserve">  Industry Operation Costs (7-Percent Discount Rate)</w:t>
      </w:r>
      <w:bookmarkEnd w:id="225"/>
      <w:bookmarkEnd w:id="226"/>
      <w:bookmarkEnd w:id="227"/>
    </w:p>
    <w:p w:rsidR="00D520BD" w:rsidP="00D520BD" w:rsidRDefault="006943F0" w14:paraId="29CE4FA9" w14:textId="0EDC96DF">
      <w:pPr>
        <w:pStyle w:val="Figure"/>
        <w:keepLines w:val="0"/>
      </w:pPr>
      <w:r w:rsidRPr="006943F0">
        <w:rPr>
          <w:noProof/>
        </w:rPr>
        <w:drawing>
          <wp:inline distT="0" distB="0" distL="0" distR="0" wp14:anchorId="5B1ECE4A" wp14:editId="19951DE9">
            <wp:extent cx="5943600" cy="3232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00D520BD" w:rsidP="00D520BD" w:rsidRDefault="00D520BD" w14:paraId="6AD2CF39" w14:textId="77777777">
      <w:pPr>
        <w:jc w:val="center"/>
        <w:rPr>
          <w:b/>
          <w:bCs/>
          <w:sz w:val="22"/>
          <w:szCs w:val="22"/>
        </w:rPr>
      </w:pPr>
    </w:p>
    <w:p w:rsidRPr="00BE4EA0" w:rsidR="00822500" w:rsidP="00822500" w:rsidRDefault="00822500" w14:paraId="0DF695F8" w14:textId="0E5D693E">
      <w:pPr>
        <w:pStyle w:val="Caption"/>
        <w:jc w:val="center"/>
        <w:rPr>
          <w:b/>
          <w:bCs w:val="0"/>
        </w:rPr>
      </w:pPr>
      <w:bookmarkStart w:name="_Toc62207086" w:id="228"/>
      <w:bookmarkStart w:name="_Toc68166747" w:id="229"/>
      <w:bookmarkStart w:name="_Toc105681548" w:id="230"/>
      <w:r w:rsidRPr="00BE4EA0">
        <w:rPr>
          <w:b/>
          <w:bCs w:val="0"/>
        </w:rPr>
        <w:t>Figure 5-</w:t>
      </w:r>
      <w:r w:rsidR="00CD4D83">
        <w:rPr>
          <w:b/>
          <w:bCs w:val="0"/>
        </w:rPr>
        <w:fldChar w:fldCharType="begin"/>
      </w:r>
      <w:r w:rsidR="00CD4D83">
        <w:rPr>
          <w:b/>
          <w:bCs w:val="0"/>
        </w:rPr>
        <w:instrText xml:space="preserve"> SEQ Figure \* ARABIC </w:instrText>
      </w:r>
      <w:r w:rsidR="00CD4D83">
        <w:rPr>
          <w:b/>
          <w:bCs w:val="0"/>
        </w:rPr>
        <w:fldChar w:fldCharType="separate"/>
      </w:r>
      <w:r w:rsidR="00A6777F">
        <w:rPr>
          <w:b/>
          <w:bCs w:val="0"/>
          <w:noProof/>
        </w:rPr>
        <w:t>3</w:t>
      </w:r>
      <w:r w:rsidR="00CD4D83">
        <w:rPr>
          <w:b/>
          <w:bCs w:val="0"/>
        </w:rPr>
        <w:fldChar w:fldCharType="end"/>
      </w:r>
      <w:r w:rsidRPr="00BE4EA0">
        <w:rPr>
          <w:b/>
          <w:bCs w:val="0"/>
        </w:rPr>
        <w:t xml:space="preserve">  Industry Operation Costs (3-Percent Discount Rate)</w:t>
      </w:r>
      <w:bookmarkEnd w:id="228"/>
      <w:bookmarkEnd w:id="229"/>
      <w:bookmarkEnd w:id="230"/>
    </w:p>
    <w:p w:rsidRPr="00646A79" w:rsidR="00D520BD" w:rsidP="00D520BD" w:rsidRDefault="00CE4970" w14:paraId="60463E9D" w14:textId="75E0543E">
      <w:pPr>
        <w:rPr>
          <w:sz w:val="22"/>
          <w:szCs w:val="22"/>
        </w:rPr>
      </w:pPr>
      <w:r w:rsidRPr="00CE4970">
        <w:rPr>
          <w:noProof/>
          <w:sz w:val="22"/>
          <w:szCs w:val="22"/>
        </w:rPr>
        <w:drawing>
          <wp:inline distT="0" distB="0" distL="0" distR="0" wp14:anchorId="51B180FA" wp14:editId="48F2A161">
            <wp:extent cx="5943600" cy="3232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Pr="00877B97" w:rsidR="00D520BD" w:rsidP="00D520BD" w:rsidRDefault="00D520BD" w14:paraId="01DCF4D1" w14:textId="77777777">
      <w:pPr>
        <w:rPr>
          <w:sz w:val="22"/>
        </w:rPr>
      </w:pPr>
    </w:p>
    <w:p w:rsidRPr="00BE4EA0" w:rsidR="00822500" w:rsidP="00822500" w:rsidRDefault="00822500" w14:paraId="70337352" w14:textId="07604E19">
      <w:pPr>
        <w:pStyle w:val="Caption"/>
        <w:jc w:val="center"/>
        <w:rPr>
          <w:b/>
          <w:bCs w:val="0"/>
        </w:rPr>
      </w:pPr>
      <w:bookmarkStart w:name="_Toc62207087" w:id="231"/>
      <w:bookmarkStart w:name="_Toc68166748" w:id="232"/>
      <w:bookmarkStart w:name="_Toc105681549" w:id="233"/>
      <w:r w:rsidRPr="00BE4EA0">
        <w:rPr>
          <w:b/>
          <w:bCs w:val="0"/>
        </w:rPr>
        <w:t>Figure 5-</w:t>
      </w:r>
      <w:r w:rsidR="00CD4D83">
        <w:rPr>
          <w:b/>
          <w:bCs w:val="0"/>
        </w:rPr>
        <w:fldChar w:fldCharType="begin"/>
      </w:r>
      <w:r w:rsidR="00CD4D83">
        <w:rPr>
          <w:b/>
          <w:bCs w:val="0"/>
        </w:rPr>
        <w:instrText xml:space="preserve"> SEQ Figure \* ARABIC </w:instrText>
      </w:r>
      <w:r w:rsidR="00CD4D83">
        <w:rPr>
          <w:b/>
          <w:bCs w:val="0"/>
        </w:rPr>
        <w:fldChar w:fldCharType="separate"/>
      </w:r>
      <w:r w:rsidR="00A6777F">
        <w:rPr>
          <w:b/>
          <w:bCs w:val="0"/>
          <w:noProof/>
        </w:rPr>
        <w:t>4</w:t>
      </w:r>
      <w:r w:rsidR="00CD4D83">
        <w:rPr>
          <w:b/>
          <w:bCs w:val="0"/>
        </w:rPr>
        <w:fldChar w:fldCharType="end"/>
      </w:r>
      <w:r w:rsidRPr="00BE4EA0">
        <w:rPr>
          <w:b/>
          <w:bCs w:val="0"/>
        </w:rPr>
        <w:t xml:space="preserve">  Total (7-Percent Discount Rate)</w:t>
      </w:r>
      <w:bookmarkEnd w:id="231"/>
      <w:bookmarkEnd w:id="232"/>
      <w:bookmarkEnd w:id="233"/>
    </w:p>
    <w:p w:rsidRPr="00646A79" w:rsidR="00D520BD" w:rsidP="00D520BD" w:rsidRDefault="009221FF" w14:paraId="2302226B" w14:textId="60F4E995">
      <w:pPr>
        <w:keepNext/>
        <w:rPr>
          <w:sz w:val="22"/>
          <w:szCs w:val="22"/>
        </w:rPr>
      </w:pPr>
      <w:r w:rsidRPr="009221FF">
        <w:rPr>
          <w:noProof/>
          <w:sz w:val="22"/>
          <w:szCs w:val="22"/>
        </w:rPr>
        <w:drawing>
          <wp:inline distT="0" distB="0" distL="0" distR="0" wp14:anchorId="7E51BC60" wp14:editId="3E7D32BD">
            <wp:extent cx="5943600" cy="3232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Pr="00646A79" w:rsidR="00D520BD" w:rsidP="00822500" w:rsidRDefault="00D520BD" w14:paraId="26DFDE81" w14:textId="77777777">
      <w:pPr>
        <w:rPr>
          <w:sz w:val="22"/>
          <w:szCs w:val="22"/>
        </w:rPr>
      </w:pPr>
    </w:p>
    <w:p w:rsidRPr="00BE4EA0" w:rsidR="00822500" w:rsidP="00822500" w:rsidRDefault="00822500" w14:paraId="15A3078D" w14:textId="4215CC6C">
      <w:pPr>
        <w:pStyle w:val="Caption"/>
        <w:jc w:val="center"/>
        <w:rPr>
          <w:b/>
          <w:bCs w:val="0"/>
        </w:rPr>
      </w:pPr>
      <w:bookmarkStart w:name="_Toc62207088" w:id="234"/>
      <w:bookmarkStart w:name="_Toc68166749" w:id="235"/>
      <w:bookmarkStart w:name="_Toc105681550" w:id="236"/>
      <w:r w:rsidRPr="00BE4EA0">
        <w:rPr>
          <w:b/>
          <w:bCs w:val="0"/>
        </w:rPr>
        <w:t>Figure 5-</w:t>
      </w:r>
      <w:r w:rsidR="00CD4D83">
        <w:rPr>
          <w:b/>
          <w:bCs w:val="0"/>
        </w:rPr>
        <w:fldChar w:fldCharType="begin"/>
      </w:r>
      <w:r w:rsidR="00CD4D83">
        <w:rPr>
          <w:b/>
          <w:bCs w:val="0"/>
        </w:rPr>
        <w:instrText xml:space="preserve"> SEQ Figure \* ARABIC </w:instrText>
      </w:r>
      <w:r w:rsidR="00CD4D83">
        <w:rPr>
          <w:b/>
          <w:bCs w:val="0"/>
        </w:rPr>
        <w:fldChar w:fldCharType="separate"/>
      </w:r>
      <w:r w:rsidR="00A6777F">
        <w:rPr>
          <w:b/>
          <w:bCs w:val="0"/>
          <w:noProof/>
        </w:rPr>
        <w:t>5</w:t>
      </w:r>
      <w:r w:rsidR="00CD4D83">
        <w:rPr>
          <w:b/>
          <w:bCs w:val="0"/>
        </w:rPr>
        <w:fldChar w:fldCharType="end"/>
      </w:r>
      <w:r w:rsidRPr="00BE4EA0">
        <w:rPr>
          <w:b/>
          <w:bCs w:val="0"/>
        </w:rPr>
        <w:t xml:space="preserve">  Total (3-Percent Discount Rate)</w:t>
      </w:r>
      <w:bookmarkEnd w:id="234"/>
      <w:bookmarkEnd w:id="235"/>
      <w:bookmarkEnd w:id="236"/>
    </w:p>
    <w:p w:rsidRPr="00646A79" w:rsidR="00D520BD" w:rsidP="00D520BD" w:rsidRDefault="004C00FB" w14:paraId="29F35F1A" w14:textId="2EB1E0FB">
      <w:pPr>
        <w:rPr>
          <w:sz w:val="22"/>
          <w:szCs w:val="22"/>
        </w:rPr>
      </w:pPr>
      <w:r w:rsidRPr="004C00FB">
        <w:rPr>
          <w:noProof/>
          <w:sz w:val="22"/>
          <w:szCs w:val="22"/>
        </w:rPr>
        <w:drawing>
          <wp:inline distT="0" distB="0" distL="0" distR="0" wp14:anchorId="432E3F5B" wp14:editId="27A14E3A">
            <wp:extent cx="5943600" cy="32321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Pr="006C4FE2" w:rsidR="00D520BD" w:rsidP="00D520BD" w:rsidRDefault="00D520BD" w14:paraId="789427E8" w14:textId="77777777">
      <w:pPr>
        <w:rPr>
          <w:bCs/>
          <w:sz w:val="22"/>
          <w:szCs w:val="22"/>
        </w:rPr>
      </w:pPr>
    </w:p>
    <w:p w:rsidRPr="00302CCE" w:rsidR="00D520BD" w:rsidP="00D520BD" w:rsidRDefault="00F01198" w14:paraId="66CBE9B6" w14:textId="62669D59">
      <w:pPr>
        <w:rPr>
          <w:sz w:val="22"/>
          <w:szCs w:val="22"/>
        </w:rPr>
      </w:pPr>
      <w:r w:rsidRPr="00F01198">
        <w:rPr>
          <w:sz w:val="22"/>
          <w:szCs w:val="22"/>
        </w:rPr>
        <w:fldChar w:fldCharType="begin"/>
      </w:r>
      <w:r w:rsidRPr="00F01198">
        <w:rPr>
          <w:sz w:val="22"/>
          <w:szCs w:val="22"/>
        </w:rPr>
        <w:instrText xml:space="preserve"> REF _Ref72166312 \h  \* MERGEFORMAT </w:instrText>
      </w:r>
      <w:r w:rsidRPr="00F01198">
        <w:rPr>
          <w:sz w:val="22"/>
          <w:szCs w:val="22"/>
        </w:rPr>
      </w:r>
      <w:r w:rsidRPr="00F01198">
        <w:rPr>
          <w:sz w:val="22"/>
          <w:szCs w:val="22"/>
        </w:rPr>
        <w:fldChar w:fldCharType="separate"/>
      </w:r>
      <w:r w:rsidRPr="006155B8" w:rsidR="00A6777F">
        <w:rPr>
          <w:sz w:val="22"/>
          <w:szCs w:val="22"/>
        </w:rPr>
        <w:t>Table 5-17</w:t>
      </w:r>
      <w:r w:rsidRPr="00F01198">
        <w:rPr>
          <w:sz w:val="22"/>
          <w:szCs w:val="22"/>
        </w:rPr>
        <w:fldChar w:fldCharType="end"/>
      </w:r>
      <w:r w:rsidRPr="00302CCE" w:rsidR="00D520BD">
        <w:rPr>
          <w:sz w:val="22"/>
          <w:szCs w:val="22"/>
        </w:rPr>
        <w:t xml:space="preserve"> </w:t>
      </w:r>
      <w:r w:rsidR="00D520BD">
        <w:rPr>
          <w:sz w:val="22"/>
          <w:szCs w:val="22"/>
        </w:rPr>
        <w:t>presents</w:t>
      </w:r>
      <w:r w:rsidRPr="00302CCE" w:rsidR="00D520BD">
        <w:rPr>
          <w:sz w:val="22"/>
          <w:szCs w:val="22"/>
        </w:rPr>
        <w:t xml:space="preserve"> </w:t>
      </w:r>
      <w:r w:rsidR="002A6EE5">
        <w:rPr>
          <w:sz w:val="22"/>
          <w:szCs w:val="22"/>
        </w:rPr>
        <w:t>the key statistical results</w:t>
      </w:r>
      <w:r w:rsidRPr="00302CCE" w:rsidR="00D520BD">
        <w:rPr>
          <w:sz w:val="22"/>
          <w:szCs w:val="22"/>
        </w:rPr>
        <w:t xml:space="preserve"> </w:t>
      </w:r>
      <w:r w:rsidR="002A6EE5">
        <w:rPr>
          <w:sz w:val="22"/>
          <w:szCs w:val="22"/>
        </w:rPr>
        <w:t>for</w:t>
      </w:r>
      <w:r w:rsidRPr="00302CCE" w:rsidR="00D520BD">
        <w:rPr>
          <w:sz w:val="22"/>
          <w:szCs w:val="22"/>
        </w:rPr>
        <w:t xml:space="preserve"> the uncertainty analysis</w:t>
      </w:r>
      <w:r w:rsidR="00932E48">
        <w:rPr>
          <w:sz w:val="22"/>
          <w:szCs w:val="22"/>
        </w:rPr>
        <w:t>,</w:t>
      </w:r>
      <w:r w:rsidR="00230CFC">
        <w:rPr>
          <w:sz w:val="22"/>
          <w:szCs w:val="22"/>
        </w:rPr>
        <w:t xml:space="preserve"> including the </w:t>
      </w:r>
      <w:r w:rsidR="004434E9">
        <w:rPr>
          <w:sz w:val="22"/>
          <w:szCs w:val="22"/>
        </w:rPr>
        <w:t>90</w:t>
      </w:r>
      <w:r w:rsidR="00932E48">
        <w:rPr>
          <w:sz w:val="22"/>
          <w:szCs w:val="22"/>
        </w:rPr>
        <w:noBreakHyphen/>
      </w:r>
      <w:r w:rsidR="004434E9">
        <w:rPr>
          <w:sz w:val="22"/>
          <w:szCs w:val="22"/>
        </w:rPr>
        <w:t xml:space="preserve">percent confidence </w:t>
      </w:r>
      <w:r w:rsidR="002A6EE5">
        <w:rPr>
          <w:sz w:val="22"/>
          <w:szCs w:val="22"/>
        </w:rPr>
        <w:t>interval</w:t>
      </w:r>
      <w:r w:rsidR="004434E9">
        <w:rPr>
          <w:sz w:val="22"/>
          <w:szCs w:val="22"/>
        </w:rPr>
        <w:t xml:space="preserve"> </w:t>
      </w:r>
      <w:r w:rsidR="002A6EE5">
        <w:rPr>
          <w:sz w:val="22"/>
          <w:szCs w:val="22"/>
        </w:rPr>
        <w:t xml:space="preserve">in which the net benefits fall between </w:t>
      </w:r>
      <w:r w:rsidR="004434E9">
        <w:rPr>
          <w:sz w:val="22"/>
          <w:szCs w:val="22"/>
        </w:rPr>
        <w:t xml:space="preserve">the </w:t>
      </w:r>
      <w:r w:rsidR="00D520BD">
        <w:rPr>
          <w:sz w:val="22"/>
          <w:szCs w:val="22"/>
        </w:rPr>
        <w:t>5 and 95</w:t>
      </w:r>
      <w:r w:rsidR="002A6EE5">
        <w:rPr>
          <w:sz w:val="22"/>
          <w:szCs w:val="22"/>
        </w:rPr>
        <w:t> </w:t>
      </w:r>
      <w:r w:rsidR="0047175F">
        <w:rPr>
          <w:sz w:val="22"/>
          <w:szCs w:val="22"/>
        </w:rPr>
        <w:t xml:space="preserve">percentile </w:t>
      </w:r>
      <w:r w:rsidR="00D520BD">
        <w:rPr>
          <w:sz w:val="22"/>
          <w:szCs w:val="22"/>
        </w:rPr>
        <w:t>values.</w:t>
      </w:r>
    </w:p>
    <w:p w:rsidRPr="00FC5FC2" w:rsidR="00D520BD" w:rsidP="00D520BD" w:rsidRDefault="00D520BD" w14:paraId="37D1E3D4" w14:textId="77777777">
      <w:pPr>
        <w:pStyle w:val="Table"/>
        <w:keepNext w:val="0"/>
        <w:keepLines w:val="0"/>
        <w:tabs>
          <w:tab w:val="clear" w:pos="0"/>
          <w:tab w:val="clear" w:pos="720"/>
          <w:tab w:val="clear" w:pos="1287"/>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b w:val="0"/>
        </w:rPr>
      </w:pPr>
    </w:p>
    <w:p w:rsidRPr="00625C7E" w:rsidR="00625C7E" w:rsidP="00625C7E" w:rsidRDefault="00625C7E" w14:paraId="542B647E" w14:textId="264A66E9">
      <w:pPr>
        <w:pStyle w:val="Caption"/>
        <w:jc w:val="center"/>
        <w:rPr>
          <w:b/>
          <w:bCs w:val="0"/>
        </w:rPr>
      </w:pPr>
      <w:bookmarkStart w:name="_Ref72166312" w:id="237"/>
      <w:bookmarkStart w:name="_Toc72490579" w:id="238"/>
      <w:bookmarkStart w:name="_Toc105681576" w:id="239"/>
      <w:r w:rsidRPr="00625C7E">
        <w:rPr>
          <w:b/>
          <w:bCs w:val="0"/>
        </w:rPr>
        <w:t>Table 5-</w:t>
      </w:r>
      <w:r w:rsidRPr="00625C7E">
        <w:rPr>
          <w:b/>
          <w:bCs w:val="0"/>
        </w:rPr>
        <w:fldChar w:fldCharType="begin"/>
      </w:r>
      <w:r w:rsidRPr="00625C7E">
        <w:rPr>
          <w:b/>
          <w:bCs w:val="0"/>
        </w:rPr>
        <w:instrText xml:space="preserve"> SEQ Table \* ARABIC </w:instrText>
      </w:r>
      <w:r w:rsidRPr="00625C7E">
        <w:rPr>
          <w:b/>
          <w:bCs w:val="0"/>
        </w:rPr>
        <w:fldChar w:fldCharType="separate"/>
      </w:r>
      <w:r w:rsidR="00A6777F">
        <w:rPr>
          <w:b/>
          <w:bCs w:val="0"/>
          <w:noProof/>
        </w:rPr>
        <w:t>17</w:t>
      </w:r>
      <w:r w:rsidRPr="00625C7E">
        <w:rPr>
          <w:b/>
          <w:bCs w:val="0"/>
        </w:rPr>
        <w:fldChar w:fldCharType="end"/>
      </w:r>
      <w:bookmarkEnd w:id="237"/>
      <w:r w:rsidRPr="00625C7E">
        <w:rPr>
          <w:b/>
          <w:bCs w:val="0"/>
        </w:rPr>
        <w:t xml:space="preserve">  </w:t>
      </w:r>
      <w:r>
        <w:rPr>
          <w:b/>
          <w:bCs w:val="0"/>
        </w:rPr>
        <w:t>Uncertainty Results Descriptive Statistics</w:t>
      </w:r>
      <w:bookmarkEnd w:id="238"/>
      <w:bookmarkEnd w:id="239"/>
    </w:p>
    <w:tbl>
      <w:tblPr>
        <w:tblW w:w="5000" w:type="pct"/>
        <w:jc w:val="center"/>
        <w:tblLayout w:type="fixed"/>
        <w:tblLook w:val="04A0" w:firstRow="1" w:lastRow="0" w:firstColumn="1" w:lastColumn="0" w:noHBand="0" w:noVBand="1"/>
      </w:tblPr>
      <w:tblGrid>
        <w:gridCol w:w="2516"/>
        <w:gridCol w:w="901"/>
        <w:gridCol w:w="989"/>
        <w:gridCol w:w="899"/>
        <w:gridCol w:w="991"/>
        <w:gridCol w:w="989"/>
        <w:gridCol w:w="1042"/>
        <w:gridCol w:w="1023"/>
      </w:tblGrid>
      <w:tr w:rsidRPr="004C3C29" w:rsidR="00D520BD" w:rsidTr="00982BD1" w14:paraId="2F4CE55A" w14:textId="77777777">
        <w:trPr>
          <w:trHeight w:val="276"/>
          <w:jc w:val="center"/>
        </w:trPr>
        <w:tc>
          <w:tcPr>
            <w:tcW w:w="1345" w:type="pct"/>
            <w:vMerge w:val="restart"/>
            <w:tcBorders>
              <w:top w:val="single" w:color="auto" w:sz="4" w:space="0"/>
              <w:left w:val="single" w:color="auto" w:sz="4" w:space="0"/>
              <w:right w:val="single" w:color="auto" w:sz="4" w:space="0"/>
            </w:tcBorders>
            <w:shd w:val="clear" w:color="auto" w:fill="auto"/>
            <w:noWrap/>
            <w:vAlign w:val="center"/>
          </w:tcPr>
          <w:p w:rsidR="00D520BD" w:rsidP="00625C7E" w:rsidRDefault="00D520BD" w14:paraId="6FE58FEC" w14:textId="77777777">
            <w:pPr>
              <w:jc w:val="center"/>
              <w:rPr>
                <w:rFonts w:cs="Arial"/>
                <w:b/>
                <w:bCs/>
                <w:color w:val="000000"/>
              </w:rPr>
            </w:pPr>
            <w:r>
              <w:rPr>
                <w:rFonts w:cs="Arial"/>
                <w:b/>
                <w:bCs/>
                <w:color w:val="000000"/>
              </w:rPr>
              <w:t xml:space="preserve">Uncertainty </w:t>
            </w:r>
            <w:r w:rsidRPr="004C3C29">
              <w:rPr>
                <w:rFonts w:cs="Arial"/>
                <w:b/>
                <w:bCs/>
                <w:color w:val="000000"/>
              </w:rPr>
              <w:t>Result</w:t>
            </w:r>
          </w:p>
        </w:tc>
        <w:tc>
          <w:tcPr>
            <w:tcW w:w="3655" w:type="pct"/>
            <w:gridSpan w:val="7"/>
            <w:tcBorders>
              <w:top w:val="single" w:color="auto" w:sz="4" w:space="0"/>
              <w:left w:val="nil"/>
              <w:bottom w:val="single" w:color="auto" w:sz="4" w:space="0"/>
              <w:right w:val="single" w:color="auto" w:sz="4" w:space="0"/>
            </w:tcBorders>
            <w:shd w:val="clear" w:color="auto" w:fill="auto"/>
            <w:noWrap/>
            <w:vAlign w:val="center"/>
          </w:tcPr>
          <w:p w:rsidRPr="004C3C29" w:rsidR="00D520BD" w:rsidP="00625C7E" w:rsidRDefault="00D520BD" w14:paraId="54CF49BE" w14:textId="427B7F24">
            <w:pPr>
              <w:autoSpaceDE/>
              <w:autoSpaceDN/>
              <w:adjustRightInd/>
              <w:jc w:val="center"/>
              <w:rPr>
                <w:rFonts w:cs="Arial"/>
                <w:b/>
                <w:bCs/>
                <w:color w:val="000000"/>
              </w:rPr>
            </w:pPr>
            <w:r>
              <w:rPr>
                <w:rFonts w:cs="Arial"/>
                <w:b/>
                <w:bCs/>
                <w:color w:val="000000"/>
              </w:rPr>
              <w:t>Uncertainty Results (</w:t>
            </w:r>
            <w:r w:rsidRPr="00C93C13">
              <w:rPr>
                <w:rFonts w:cs="Arial"/>
                <w:b/>
                <w:color w:val="000000"/>
              </w:rPr>
              <w:t>20</w:t>
            </w:r>
            <w:r w:rsidRPr="00C93C13" w:rsidR="00C93C13">
              <w:rPr>
                <w:rFonts w:cs="Arial"/>
                <w:b/>
                <w:color w:val="000000"/>
              </w:rPr>
              <w:t>22</w:t>
            </w:r>
            <w:r w:rsidRPr="00C93C13">
              <w:rPr>
                <w:rFonts w:cs="Arial"/>
                <w:b/>
                <w:color w:val="000000"/>
              </w:rPr>
              <w:t xml:space="preserve"> </w:t>
            </w:r>
            <w:r w:rsidRPr="00C93C13" w:rsidR="006F21ED">
              <w:rPr>
                <w:rFonts w:cs="Arial"/>
                <w:b/>
                <w:color w:val="000000"/>
              </w:rPr>
              <w:t>M</w:t>
            </w:r>
            <w:r w:rsidRPr="00C93C13">
              <w:rPr>
                <w:rFonts w:cs="Arial"/>
                <w:b/>
                <w:color w:val="000000"/>
              </w:rPr>
              <w:t xml:space="preserve">illion </w:t>
            </w:r>
            <w:r w:rsidRPr="00C93C13" w:rsidR="006F21ED">
              <w:rPr>
                <w:rFonts w:cs="Arial"/>
                <w:b/>
                <w:color w:val="000000"/>
              </w:rPr>
              <w:t>D</w:t>
            </w:r>
            <w:r w:rsidRPr="00C93C13">
              <w:rPr>
                <w:rFonts w:cs="Arial"/>
                <w:b/>
                <w:color w:val="000000"/>
              </w:rPr>
              <w:t>ollars</w:t>
            </w:r>
            <w:r>
              <w:rPr>
                <w:rFonts w:cs="Arial"/>
                <w:b/>
                <w:bCs/>
                <w:color w:val="000000"/>
              </w:rPr>
              <w:t>)</w:t>
            </w:r>
          </w:p>
        </w:tc>
      </w:tr>
      <w:tr w:rsidRPr="004C3C29" w:rsidR="00D520BD" w:rsidTr="00982BD1" w14:paraId="05325992" w14:textId="77777777">
        <w:trPr>
          <w:trHeight w:val="276"/>
          <w:jc w:val="center"/>
        </w:trPr>
        <w:tc>
          <w:tcPr>
            <w:tcW w:w="1345" w:type="pct"/>
            <w:vMerge/>
            <w:tcBorders>
              <w:left w:val="single" w:color="auto" w:sz="4" w:space="0"/>
              <w:bottom w:val="single" w:color="auto" w:sz="4" w:space="0"/>
              <w:right w:val="single" w:color="auto" w:sz="4" w:space="0"/>
            </w:tcBorders>
            <w:shd w:val="clear" w:color="auto" w:fill="auto"/>
            <w:noWrap/>
            <w:vAlign w:val="center"/>
            <w:hideMark/>
          </w:tcPr>
          <w:p w:rsidRPr="004C3C29" w:rsidR="00D520BD" w:rsidP="00625C7E" w:rsidRDefault="00D520BD" w14:paraId="340773AE" w14:textId="77777777">
            <w:pPr>
              <w:autoSpaceDE/>
              <w:autoSpaceDN/>
              <w:adjustRightInd/>
              <w:rPr>
                <w:rFonts w:cs="Arial"/>
                <w:b/>
                <w:bCs/>
                <w:color w:val="000000"/>
              </w:rPr>
            </w:pPr>
          </w:p>
        </w:tc>
        <w:tc>
          <w:tcPr>
            <w:tcW w:w="482" w:type="pct"/>
            <w:tcBorders>
              <w:top w:val="single" w:color="auto" w:sz="4" w:space="0"/>
              <w:left w:val="nil"/>
              <w:bottom w:val="single" w:color="auto" w:sz="4" w:space="0"/>
              <w:right w:val="single" w:color="auto" w:sz="4" w:space="0"/>
            </w:tcBorders>
            <w:shd w:val="clear" w:color="auto" w:fill="auto"/>
            <w:noWrap/>
            <w:vAlign w:val="center"/>
            <w:hideMark/>
          </w:tcPr>
          <w:p w:rsidRPr="004C3C29" w:rsidR="00D520BD" w:rsidP="00625C7E" w:rsidRDefault="00D520BD" w14:paraId="1CEDA6B7" w14:textId="77777777">
            <w:pPr>
              <w:autoSpaceDE/>
              <w:autoSpaceDN/>
              <w:adjustRightInd/>
              <w:jc w:val="center"/>
              <w:rPr>
                <w:rFonts w:cs="Arial"/>
                <w:b/>
                <w:bCs/>
                <w:color w:val="000000"/>
              </w:rPr>
            </w:pPr>
            <w:r w:rsidRPr="004C3C29">
              <w:rPr>
                <w:rFonts w:cs="Arial"/>
                <w:b/>
                <w:bCs/>
                <w:color w:val="000000"/>
              </w:rPr>
              <w:t>Min</w:t>
            </w:r>
          </w:p>
        </w:tc>
        <w:tc>
          <w:tcPr>
            <w:tcW w:w="529" w:type="pct"/>
            <w:tcBorders>
              <w:top w:val="single" w:color="auto" w:sz="4" w:space="0"/>
              <w:left w:val="nil"/>
              <w:bottom w:val="single" w:color="auto" w:sz="4" w:space="0"/>
              <w:right w:val="single" w:color="auto" w:sz="4" w:space="0"/>
            </w:tcBorders>
            <w:shd w:val="clear" w:color="auto" w:fill="auto"/>
            <w:noWrap/>
            <w:vAlign w:val="center"/>
            <w:hideMark/>
          </w:tcPr>
          <w:p w:rsidRPr="004C3C29" w:rsidR="00D520BD" w:rsidP="00625C7E" w:rsidRDefault="00D520BD" w14:paraId="64217F6A" w14:textId="77777777">
            <w:pPr>
              <w:autoSpaceDE/>
              <w:autoSpaceDN/>
              <w:adjustRightInd/>
              <w:jc w:val="center"/>
              <w:rPr>
                <w:rFonts w:cs="Arial"/>
                <w:b/>
                <w:bCs/>
                <w:color w:val="000000"/>
              </w:rPr>
            </w:pPr>
            <w:r w:rsidRPr="004C3C29">
              <w:rPr>
                <w:rFonts w:cs="Arial"/>
                <w:b/>
                <w:bCs/>
                <w:color w:val="000000"/>
              </w:rPr>
              <w:t>Mean</w:t>
            </w:r>
          </w:p>
        </w:tc>
        <w:tc>
          <w:tcPr>
            <w:tcW w:w="481" w:type="pct"/>
            <w:tcBorders>
              <w:top w:val="single" w:color="auto" w:sz="4" w:space="0"/>
              <w:left w:val="nil"/>
              <w:bottom w:val="single" w:color="auto" w:sz="4" w:space="0"/>
              <w:right w:val="single" w:color="auto" w:sz="4" w:space="0"/>
            </w:tcBorders>
            <w:shd w:val="clear" w:color="auto" w:fill="auto"/>
            <w:noWrap/>
            <w:vAlign w:val="center"/>
            <w:hideMark/>
          </w:tcPr>
          <w:p w:rsidRPr="004C3C29" w:rsidR="00D520BD" w:rsidP="00625C7E" w:rsidRDefault="00D520BD" w14:paraId="7421E38A" w14:textId="77777777">
            <w:pPr>
              <w:autoSpaceDE/>
              <w:autoSpaceDN/>
              <w:adjustRightInd/>
              <w:jc w:val="center"/>
              <w:rPr>
                <w:rFonts w:cs="Arial"/>
                <w:b/>
                <w:bCs/>
                <w:color w:val="000000"/>
              </w:rPr>
            </w:pPr>
            <w:r w:rsidRPr="004C3C29">
              <w:rPr>
                <w:rFonts w:cs="Arial"/>
                <w:b/>
                <w:bCs/>
                <w:color w:val="000000"/>
              </w:rPr>
              <w:t>Mode</w:t>
            </w:r>
          </w:p>
        </w:tc>
        <w:tc>
          <w:tcPr>
            <w:tcW w:w="530" w:type="pct"/>
            <w:tcBorders>
              <w:top w:val="single" w:color="auto" w:sz="4" w:space="0"/>
              <w:left w:val="nil"/>
              <w:bottom w:val="single" w:color="auto" w:sz="4" w:space="0"/>
              <w:right w:val="single" w:color="auto" w:sz="4" w:space="0"/>
            </w:tcBorders>
            <w:shd w:val="clear" w:color="auto" w:fill="auto"/>
            <w:noWrap/>
            <w:vAlign w:val="center"/>
            <w:hideMark/>
          </w:tcPr>
          <w:p w:rsidRPr="004C3C29" w:rsidR="00D520BD" w:rsidP="00625C7E" w:rsidRDefault="00D520BD" w14:paraId="532323C3" w14:textId="77777777">
            <w:pPr>
              <w:autoSpaceDE/>
              <w:autoSpaceDN/>
              <w:adjustRightInd/>
              <w:jc w:val="center"/>
              <w:rPr>
                <w:rFonts w:cs="Arial"/>
                <w:b/>
                <w:bCs/>
                <w:color w:val="000000"/>
              </w:rPr>
            </w:pPr>
            <w:r w:rsidRPr="004C3C29">
              <w:rPr>
                <w:rFonts w:cs="Arial"/>
                <w:b/>
                <w:bCs/>
                <w:color w:val="000000"/>
              </w:rPr>
              <w:t>Median</w:t>
            </w:r>
          </w:p>
        </w:tc>
        <w:tc>
          <w:tcPr>
            <w:tcW w:w="529" w:type="pct"/>
            <w:tcBorders>
              <w:top w:val="single" w:color="auto" w:sz="4" w:space="0"/>
              <w:left w:val="nil"/>
              <w:bottom w:val="single" w:color="auto" w:sz="4" w:space="0"/>
              <w:right w:val="single" w:color="auto" w:sz="4" w:space="0"/>
            </w:tcBorders>
            <w:shd w:val="clear" w:color="auto" w:fill="auto"/>
            <w:noWrap/>
            <w:vAlign w:val="center"/>
            <w:hideMark/>
          </w:tcPr>
          <w:p w:rsidRPr="004C3C29" w:rsidR="00D520BD" w:rsidP="00625C7E" w:rsidRDefault="00D520BD" w14:paraId="061FC8C9" w14:textId="77777777">
            <w:pPr>
              <w:autoSpaceDE/>
              <w:autoSpaceDN/>
              <w:adjustRightInd/>
              <w:jc w:val="center"/>
              <w:rPr>
                <w:rFonts w:cs="Arial"/>
                <w:b/>
                <w:bCs/>
                <w:color w:val="000000"/>
              </w:rPr>
            </w:pPr>
            <w:r w:rsidRPr="004C3C29">
              <w:rPr>
                <w:rFonts w:cs="Arial"/>
                <w:b/>
                <w:bCs/>
                <w:color w:val="000000"/>
              </w:rPr>
              <w:t>Max</w:t>
            </w:r>
          </w:p>
        </w:tc>
        <w:tc>
          <w:tcPr>
            <w:tcW w:w="557" w:type="pct"/>
            <w:tcBorders>
              <w:top w:val="single" w:color="auto" w:sz="4" w:space="0"/>
              <w:left w:val="nil"/>
              <w:bottom w:val="single" w:color="auto" w:sz="4" w:space="0"/>
              <w:right w:val="single" w:color="auto" w:sz="4" w:space="0"/>
            </w:tcBorders>
            <w:shd w:val="clear" w:color="auto" w:fill="auto"/>
            <w:noWrap/>
            <w:vAlign w:val="center"/>
            <w:hideMark/>
          </w:tcPr>
          <w:p w:rsidRPr="004C3C29" w:rsidR="00D520BD" w:rsidP="00625C7E" w:rsidRDefault="00D520BD" w14:paraId="0C666B70" w14:textId="77777777">
            <w:pPr>
              <w:autoSpaceDE/>
              <w:autoSpaceDN/>
              <w:adjustRightInd/>
              <w:jc w:val="center"/>
              <w:rPr>
                <w:rFonts w:cs="Arial"/>
                <w:b/>
                <w:bCs/>
                <w:color w:val="000000"/>
              </w:rPr>
            </w:pPr>
            <w:r w:rsidRPr="004C3C29">
              <w:rPr>
                <w:rFonts w:cs="Arial"/>
                <w:b/>
                <w:bCs/>
                <w:color w:val="000000"/>
              </w:rPr>
              <w:t>0.05</w:t>
            </w:r>
          </w:p>
        </w:tc>
        <w:tc>
          <w:tcPr>
            <w:tcW w:w="547" w:type="pct"/>
            <w:tcBorders>
              <w:top w:val="single" w:color="auto" w:sz="4" w:space="0"/>
              <w:left w:val="nil"/>
              <w:bottom w:val="single" w:color="auto" w:sz="4" w:space="0"/>
              <w:right w:val="single" w:color="auto" w:sz="4" w:space="0"/>
            </w:tcBorders>
            <w:shd w:val="clear" w:color="auto" w:fill="auto"/>
            <w:noWrap/>
            <w:vAlign w:val="center"/>
            <w:hideMark/>
          </w:tcPr>
          <w:p w:rsidRPr="004C3C29" w:rsidR="00D520BD" w:rsidP="00625C7E" w:rsidRDefault="00D520BD" w14:paraId="503465CD" w14:textId="77777777">
            <w:pPr>
              <w:autoSpaceDE/>
              <w:autoSpaceDN/>
              <w:adjustRightInd/>
              <w:jc w:val="center"/>
              <w:rPr>
                <w:rFonts w:cs="Arial"/>
                <w:b/>
                <w:bCs/>
                <w:color w:val="000000"/>
              </w:rPr>
            </w:pPr>
            <w:r w:rsidRPr="004C3C29">
              <w:rPr>
                <w:rFonts w:cs="Arial"/>
                <w:b/>
                <w:bCs/>
                <w:color w:val="000000"/>
              </w:rPr>
              <w:t>0.95</w:t>
            </w:r>
          </w:p>
        </w:tc>
      </w:tr>
      <w:tr w:rsidRPr="004C3C29" w:rsidR="00D520BD" w:rsidTr="00982BD1" w14:paraId="53ACE48A" w14:textId="77777777">
        <w:trPr>
          <w:trHeight w:val="332"/>
          <w:jc w:val="center"/>
        </w:trPr>
        <w:tc>
          <w:tcPr>
            <w:tcW w:w="1345" w:type="pct"/>
            <w:tcBorders>
              <w:top w:val="nil"/>
              <w:left w:val="single" w:color="auto" w:sz="4" w:space="0"/>
              <w:bottom w:val="single" w:color="auto" w:sz="4" w:space="0"/>
              <w:right w:val="single" w:color="auto" w:sz="4" w:space="0"/>
            </w:tcBorders>
            <w:shd w:val="clear" w:color="auto" w:fill="auto"/>
            <w:vAlign w:val="center"/>
            <w:hideMark/>
          </w:tcPr>
          <w:p w:rsidRPr="004C3C29" w:rsidR="00D520BD" w:rsidP="00625C7E" w:rsidRDefault="00D520BD" w14:paraId="77A2DF52" w14:textId="77777777">
            <w:pPr>
              <w:autoSpaceDE/>
              <w:autoSpaceDN/>
              <w:adjustRightInd/>
              <w:rPr>
                <w:rFonts w:cs="Arial"/>
                <w:color w:val="000000"/>
              </w:rPr>
            </w:pPr>
            <w:r w:rsidRPr="004C3C29">
              <w:rPr>
                <w:rFonts w:cs="Arial"/>
                <w:color w:val="000000"/>
              </w:rPr>
              <w:t xml:space="preserve">Industry Implementation </w:t>
            </w:r>
          </w:p>
        </w:tc>
        <w:tc>
          <w:tcPr>
            <w:tcW w:w="482"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625C7E" w:rsidRDefault="00D520BD" w14:paraId="3E5E5037" w14:textId="1FC8EDCC">
            <w:pPr>
              <w:autoSpaceDE/>
              <w:autoSpaceDN/>
              <w:adjustRightInd/>
              <w:jc w:val="center"/>
              <w:rPr>
                <w:rFonts w:cs="Arial"/>
                <w:color w:val="000000"/>
              </w:rPr>
            </w:pPr>
            <w:r>
              <w:rPr>
                <w:rFonts w:cs="Arial"/>
                <w:color w:val="000000"/>
              </w:rPr>
              <w:t>($0.</w:t>
            </w:r>
            <w:r w:rsidR="00D57CCF">
              <w:rPr>
                <w:rFonts w:cs="Arial"/>
                <w:color w:val="000000"/>
              </w:rPr>
              <w:t>24</w:t>
            </w:r>
            <w:r>
              <w:rPr>
                <w:rFonts w:cs="Arial"/>
                <w:color w:val="000000"/>
              </w:rPr>
              <w:t>)</w:t>
            </w:r>
          </w:p>
        </w:tc>
        <w:tc>
          <w:tcPr>
            <w:tcW w:w="529"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625C7E" w:rsidRDefault="00D520BD" w14:paraId="43381889" w14:textId="08DC63BD">
            <w:pPr>
              <w:autoSpaceDE/>
              <w:autoSpaceDN/>
              <w:adjustRightInd/>
              <w:jc w:val="center"/>
              <w:rPr>
                <w:rFonts w:cs="Arial"/>
                <w:color w:val="000000"/>
              </w:rPr>
            </w:pPr>
            <w:r>
              <w:rPr>
                <w:rFonts w:cs="Arial"/>
                <w:color w:val="000000"/>
              </w:rPr>
              <w:t>($0.</w:t>
            </w:r>
            <w:r w:rsidR="00D57CCF">
              <w:rPr>
                <w:rFonts w:cs="Arial"/>
                <w:color w:val="000000"/>
              </w:rPr>
              <w:t>14</w:t>
            </w:r>
            <w:r>
              <w:rPr>
                <w:rFonts w:cs="Arial"/>
                <w:color w:val="000000"/>
              </w:rPr>
              <w:t>)</w:t>
            </w:r>
          </w:p>
        </w:tc>
        <w:tc>
          <w:tcPr>
            <w:tcW w:w="481"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625C7E" w:rsidRDefault="00D520BD" w14:paraId="5A120F58" w14:textId="19709D32">
            <w:pPr>
              <w:autoSpaceDE/>
              <w:autoSpaceDN/>
              <w:adjustRightInd/>
              <w:jc w:val="center"/>
              <w:rPr>
                <w:rFonts w:cs="Arial"/>
                <w:color w:val="000000"/>
              </w:rPr>
            </w:pPr>
            <w:r>
              <w:rPr>
                <w:rFonts w:cs="Arial"/>
                <w:color w:val="000000"/>
              </w:rPr>
              <w:t>($0.</w:t>
            </w:r>
            <w:r w:rsidR="00D57CCF">
              <w:rPr>
                <w:rFonts w:cs="Arial"/>
                <w:color w:val="000000"/>
              </w:rPr>
              <w:t>14</w:t>
            </w:r>
            <w:r>
              <w:rPr>
                <w:rFonts w:cs="Arial"/>
                <w:color w:val="000000"/>
              </w:rPr>
              <w:t>)</w:t>
            </w:r>
          </w:p>
        </w:tc>
        <w:tc>
          <w:tcPr>
            <w:tcW w:w="530"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625C7E" w:rsidRDefault="00D520BD" w14:paraId="01E37911" w14:textId="345CD17D">
            <w:pPr>
              <w:autoSpaceDE/>
              <w:autoSpaceDN/>
              <w:adjustRightInd/>
              <w:jc w:val="center"/>
              <w:rPr>
                <w:rFonts w:cs="Arial"/>
                <w:color w:val="000000"/>
              </w:rPr>
            </w:pPr>
            <w:r>
              <w:rPr>
                <w:rFonts w:cs="Arial"/>
                <w:color w:val="000000"/>
              </w:rPr>
              <w:t>($0.</w:t>
            </w:r>
            <w:r w:rsidR="00D57CCF">
              <w:rPr>
                <w:rFonts w:cs="Arial"/>
                <w:color w:val="000000"/>
              </w:rPr>
              <w:t>14</w:t>
            </w:r>
            <w:r>
              <w:rPr>
                <w:rFonts w:cs="Arial"/>
                <w:color w:val="000000"/>
              </w:rPr>
              <w:t>)</w:t>
            </w:r>
          </w:p>
        </w:tc>
        <w:tc>
          <w:tcPr>
            <w:tcW w:w="529"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625C7E" w:rsidRDefault="00D520BD" w14:paraId="0EA82957" w14:textId="35ACFC03">
            <w:pPr>
              <w:autoSpaceDE/>
              <w:autoSpaceDN/>
              <w:adjustRightInd/>
              <w:jc w:val="center"/>
              <w:rPr>
                <w:rFonts w:cs="Arial"/>
                <w:color w:val="000000"/>
              </w:rPr>
            </w:pPr>
            <w:r>
              <w:rPr>
                <w:rFonts w:cs="Arial"/>
                <w:color w:val="000000"/>
              </w:rPr>
              <w:t>($0.</w:t>
            </w:r>
            <w:r w:rsidR="00D57CCF">
              <w:rPr>
                <w:rFonts w:cs="Arial"/>
                <w:color w:val="000000"/>
              </w:rPr>
              <w:t>08</w:t>
            </w:r>
            <w:r>
              <w:rPr>
                <w:rFonts w:cs="Arial"/>
                <w:color w:val="000000"/>
              </w:rPr>
              <w:t>)</w:t>
            </w:r>
          </w:p>
        </w:tc>
        <w:tc>
          <w:tcPr>
            <w:tcW w:w="557"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625C7E" w:rsidRDefault="00D520BD" w14:paraId="6446AFDE" w14:textId="462DFF83">
            <w:pPr>
              <w:autoSpaceDE/>
              <w:autoSpaceDN/>
              <w:adjustRightInd/>
              <w:jc w:val="center"/>
              <w:rPr>
                <w:rFonts w:cs="Arial"/>
                <w:color w:val="000000"/>
              </w:rPr>
            </w:pPr>
            <w:r>
              <w:rPr>
                <w:rFonts w:cs="Arial"/>
                <w:color w:val="000000"/>
              </w:rPr>
              <w:t>($0.</w:t>
            </w:r>
            <w:r w:rsidR="00D57CCF">
              <w:rPr>
                <w:rFonts w:cs="Arial"/>
                <w:color w:val="000000"/>
              </w:rPr>
              <w:t>21</w:t>
            </w:r>
            <w:r>
              <w:rPr>
                <w:rFonts w:cs="Arial"/>
                <w:color w:val="000000"/>
              </w:rPr>
              <w:t>)</w:t>
            </w:r>
          </w:p>
        </w:tc>
        <w:tc>
          <w:tcPr>
            <w:tcW w:w="547"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625C7E" w:rsidRDefault="00D520BD" w14:paraId="06D5D083" w14:textId="1B15D668">
            <w:pPr>
              <w:autoSpaceDE/>
              <w:autoSpaceDN/>
              <w:adjustRightInd/>
              <w:jc w:val="center"/>
              <w:rPr>
                <w:rFonts w:cs="Arial"/>
                <w:color w:val="000000"/>
              </w:rPr>
            </w:pPr>
            <w:r>
              <w:rPr>
                <w:rFonts w:cs="Arial"/>
                <w:color w:val="000000"/>
              </w:rPr>
              <w:t>($0.</w:t>
            </w:r>
            <w:r w:rsidR="00D57CCF">
              <w:rPr>
                <w:rFonts w:cs="Arial"/>
                <w:color w:val="000000"/>
              </w:rPr>
              <w:t>09</w:t>
            </w:r>
            <w:r>
              <w:rPr>
                <w:rFonts w:cs="Arial"/>
                <w:color w:val="000000"/>
              </w:rPr>
              <w:t>)</w:t>
            </w:r>
          </w:p>
        </w:tc>
      </w:tr>
      <w:tr w:rsidRPr="004C3C29" w:rsidR="00D520BD" w:rsidTr="00982BD1" w14:paraId="6899C05D" w14:textId="77777777">
        <w:trPr>
          <w:trHeight w:val="528"/>
          <w:jc w:val="center"/>
        </w:trPr>
        <w:tc>
          <w:tcPr>
            <w:tcW w:w="1345" w:type="pct"/>
            <w:tcBorders>
              <w:top w:val="nil"/>
              <w:left w:val="single" w:color="auto" w:sz="4" w:space="0"/>
              <w:bottom w:val="single" w:color="auto" w:sz="4" w:space="0"/>
              <w:right w:val="single" w:color="auto" w:sz="4" w:space="0"/>
            </w:tcBorders>
            <w:shd w:val="clear" w:color="auto" w:fill="auto"/>
            <w:vAlign w:val="center"/>
            <w:hideMark/>
          </w:tcPr>
          <w:p w:rsidRPr="004C3C29" w:rsidR="00D520BD" w:rsidP="00982BD1" w:rsidRDefault="00D520BD" w14:paraId="661F6B36" w14:textId="05487802">
            <w:pPr>
              <w:autoSpaceDE/>
              <w:autoSpaceDN/>
              <w:adjustRightInd/>
              <w:rPr>
                <w:rFonts w:cs="Arial"/>
                <w:color w:val="000000"/>
              </w:rPr>
            </w:pPr>
            <w:r w:rsidRPr="004C3C29">
              <w:rPr>
                <w:rFonts w:cs="Arial"/>
                <w:color w:val="000000"/>
              </w:rPr>
              <w:t>Industry Operation</w:t>
            </w:r>
            <w:r>
              <w:rPr>
                <w:rFonts w:cs="Arial"/>
                <w:color w:val="000000"/>
              </w:rPr>
              <w:t xml:space="preserve"> </w:t>
            </w:r>
            <w:r w:rsidRPr="004C3C29">
              <w:rPr>
                <w:rFonts w:cs="Arial"/>
                <w:color w:val="000000"/>
              </w:rPr>
              <w:t>(7%</w:t>
            </w:r>
            <w:r>
              <w:rPr>
                <w:rFonts w:cs="Arial"/>
                <w:color w:val="000000"/>
              </w:rPr>
              <w:t> </w:t>
            </w:r>
            <w:r w:rsidR="00BC4C92">
              <w:rPr>
                <w:rFonts w:cs="Arial"/>
                <w:color w:val="000000"/>
              </w:rPr>
              <w:t>d</w:t>
            </w:r>
            <w:r w:rsidRPr="004C3C29">
              <w:rPr>
                <w:rFonts w:cs="Arial"/>
                <w:color w:val="000000"/>
              </w:rPr>
              <w:t xml:space="preserve">iscount </w:t>
            </w:r>
            <w:r w:rsidR="00BC4C92">
              <w:rPr>
                <w:rFonts w:cs="Arial"/>
                <w:color w:val="000000"/>
              </w:rPr>
              <w:t>r</w:t>
            </w:r>
            <w:r w:rsidRPr="004C3C29">
              <w:rPr>
                <w:rFonts w:cs="Arial"/>
                <w:color w:val="000000"/>
              </w:rPr>
              <w:t>ate)</w:t>
            </w:r>
          </w:p>
        </w:tc>
        <w:tc>
          <w:tcPr>
            <w:tcW w:w="482"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5E60E4C3" w14:textId="34D8C53B">
            <w:pPr>
              <w:autoSpaceDE/>
              <w:autoSpaceDN/>
              <w:adjustRightInd/>
              <w:jc w:val="center"/>
              <w:rPr>
                <w:rFonts w:cs="Arial"/>
                <w:color w:val="000000"/>
              </w:rPr>
            </w:pPr>
            <w:r w:rsidRPr="00B67F1E">
              <w:t>($2.19)</w:t>
            </w:r>
          </w:p>
        </w:tc>
        <w:tc>
          <w:tcPr>
            <w:tcW w:w="529"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4634E721" w14:textId="78431D6A">
            <w:pPr>
              <w:autoSpaceDE/>
              <w:autoSpaceDN/>
              <w:adjustRightInd/>
              <w:jc w:val="center"/>
              <w:rPr>
                <w:rFonts w:cs="Arial"/>
                <w:color w:val="000000"/>
              </w:rPr>
            </w:pPr>
            <w:r w:rsidRPr="00B67F1E">
              <w:t>$0.89</w:t>
            </w:r>
          </w:p>
        </w:tc>
        <w:tc>
          <w:tcPr>
            <w:tcW w:w="481"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7693B21B" w14:textId="41CC5887">
            <w:pPr>
              <w:autoSpaceDE/>
              <w:autoSpaceDN/>
              <w:adjustRightInd/>
              <w:jc w:val="center"/>
              <w:rPr>
                <w:rFonts w:cs="Arial"/>
                <w:color w:val="000000"/>
              </w:rPr>
            </w:pPr>
            <w:r w:rsidRPr="00B67F1E">
              <w:t>$0.79</w:t>
            </w:r>
          </w:p>
        </w:tc>
        <w:tc>
          <w:tcPr>
            <w:tcW w:w="530"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1B249CD6" w14:textId="576D17F8">
            <w:pPr>
              <w:autoSpaceDE/>
              <w:autoSpaceDN/>
              <w:adjustRightInd/>
              <w:jc w:val="center"/>
              <w:rPr>
                <w:rFonts w:cs="Arial"/>
                <w:color w:val="000000"/>
              </w:rPr>
            </w:pPr>
            <w:r w:rsidRPr="00B67F1E">
              <w:t>$0.79</w:t>
            </w:r>
          </w:p>
        </w:tc>
        <w:tc>
          <w:tcPr>
            <w:tcW w:w="529"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66A18E4A" w14:textId="0F3D78A3">
            <w:pPr>
              <w:autoSpaceDE/>
              <w:autoSpaceDN/>
              <w:adjustRightInd/>
              <w:jc w:val="center"/>
              <w:rPr>
                <w:rFonts w:cs="Arial"/>
                <w:color w:val="000000"/>
              </w:rPr>
            </w:pPr>
            <w:r w:rsidRPr="00B67F1E">
              <w:t>$6.81</w:t>
            </w:r>
          </w:p>
        </w:tc>
        <w:tc>
          <w:tcPr>
            <w:tcW w:w="557"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5EDC90D6" w14:textId="3E30EDF1">
            <w:pPr>
              <w:autoSpaceDE/>
              <w:autoSpaceDN/>
              <w:adjustRightInd/>
              <w:jc w:val="center"/>
              <w:rPr>
                <w:rFonts w:cs="Arial"/>
                <w:color w:val="000000"/>
              </w:rPr>
            </w:pPr>
            <w:r w:rsidRPr="00B67F1E">
              <w:t>($0.99)</w:t>
            </w:r>
          </w:p>
        </w:tc>
        <w:tc>
          <w:tcPr>
            <w:tcW w:w="547"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D57CCF" w14:paraId="4EAD476B" w14:textId="4449BC23">
            <w:pPr>
              <w:autoSpaceDE/>
              <w:autoSpaceDN/>
              <w:adjustRightInd/>
              <w:jc w:val="center"/>
              <w:rPr>
                <w:rFonts w:cs="Arial"/>
                <w:color w:val="000000"/>
              </w:rPr>
            </w:pPr>
            <w:r w:rsidRPr="00B67F1E">
              <w:t>$</w:t>
            </w:r>
            <w:r w:rsidRPr="00B67F1E" w:rsidR="00E0785B">
              <w:t>3</w:t>
            </w:r>
            <w:r w:rsidRPr="00B67F1E">
              <w:t>.24</w:t>
            </w:r>
          </w:p>
        </w:tc>
      </w:tr>
      <w:tr w:rsidRPr="004C3C29" w:rsidR="00D520BD" w:rsidTr="00B43CAA" w14:paraId="1FDDE982" w14:textId="77777777">
        <w:trPr>
          <w:trHeight w:val="467"/>
          <w:jc w:val="center"/>
        </w:trPr>
        <w:tc>
          <w:tcPr>
            <w:tcW w:w="1345" w:type="pct"/>
            <w:tcBorders>
              <w:top w:val="nil"/>
              <w:left w:val="single" w:color="auto" w:sz="4" w:space="0"/>
              <w:bottom w:val="single" w:color="auto" w:sz="4" w:space="0"/>
              <w:right w:val="single" w:color="auto" w:sz="4" w:space="0"/>
            </w:tcBorders>
            <w:shd w:val="clear" w:color="auto" w:fill="auto"/>
            <w:vAlign w:val="center"/>
            <w:hideMark/>
          </w:tcPr>
          <w:p w:rsidRPr="004C3C29" w:rsidR="00D520BD" w:rsidP="00982BD1" w:rsidRDefault="00D520BD" w14:paraId="6D75B096" w14:textId="0DB2F8E4">
            <w:pPr>
              <w:autoSpaceDE/>
              <w:autoSpaceDN/>
              <w:adjustRightInd/>
              <w:rPr>
                <w:rFonts w:cs="Arial"/>
                <w:color w:val="000000"/>
              </w:rPr>
            </w:pPr>
            <w:r w:rsidRPr="004C3C29">
              <w:rPr>
                <w:rFonts w:cs="Arial"/>
                <w:color w:val="000000"/>
              </w:rPr>
              <w:t>Industry Operation (3%</w:t>
            </w:r>
            <w:r>
              <w:rPr>
                <w:rFonts w:cs="Arial"/>
                <w:color w:val="000000"/>
              </w:rPr>
              <w:t> </w:t>
            </w:r>
            <w:r w:rsidR="00BC4C92">
              <w:rPr>
                <w:rFonts w:cs="Arial"/>
                <w:color w:val="000000"/>
              </w:rPr>
              <w:t>d</w:t>
            </w:r>
            <w:r w:rsidRPr="004C3C29">
              <w:rPr>
                <w:rFonts w:cs="Arial"/>
                <w:color w:val="000000"/>
              </w:rPr>
              <w:t xml:space="preserve">iscount </w:t>
            </w:r>
            <w:r w:rsidR="00BC4C92">
              <w:rPr>
                <w:rFonts w:cs="Arial"/>
                <w:color w:val="000000"/>
              </w:rPr>
              <w:t>r</w:t>
            </w:r>
            <w:r w:rsidRPr="004C3C29">
              <w:rPr>
                <w:rFonts w:cs="Arial"/>
                <w:color w:val="000000"/>
              </w:rPr>
              <w:t>ate)</w:t>
            </w:r>
          </w:p>
        </w:tc>
        <w:tc>
          <w:tcPr>
            <w:tcW w:w="482"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57044D8C" w14:textId="2283EA9B">
            <w:pPr>
              <w:autoSpaceDE/>
              <w:autoSpaceDN/>
              <w:adjustRightInd/>
              <w:jc w:val="center"/>
              <w:rPr>
                <w:rFonts w:cs="Arial"/>
                <w:color w:val="000000"/>
              </w:rPr>
            </w:pPr>
            <w:r w:rsidRPr="00B67F1E">
              <w:t>($3.27)</w:t>
            </w:r>
          </w:p>
        </w:tc>
        <w:tc>
          <w:tcPr>
            <w:tcW w:w="529"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5B1FD2CB" w14:textId="5BC36A06">
            <w:pPr>
              <w:autoSpaceDE/>
              <w:autoSpaceDN/>
              <w:adjustRightInd/>
              <w:jc w:val="center"/>
              <w:rPr>
                <w:rFonts w:cs="Arial"/>
                <w:color w:val="000000"/>
              </w:rPr>
            </w:pPr>
            <w:r w:rsidRPr="00B67F1E">
              <w:t>$1.32</w:t>
            </w:r>
          </w:p>
        </w:tc>
        <w:tc>
          <w:tcPr>
            <w:tcW w:w="481"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D57CCF" w14:paraId="6EE694E7" w14:textId="72C743D0">
            <w:pPr>
              <w:autoSpaceDE/>
              <w:autoSpaceDN/>
              <w:adjustRightInd/>
              <w:jc w:val="center"/>
              <w:rPr>
                <w:rFonts w:cs="Arial"/>
                <w:color w:val="000000"/>
              </w:rPr>
            </w:pPr>
            <w:r w:rsidRPr="00B67F1E">
              <w:t>$</w:t>
            </w:r>
            <w:r w:rsidRPr="00B67F1E" w:rsidR="00E0785B">
              <w:t>1.</w:t>
            </w:r>
            <w:r w:rsidRPr="00B67F1E">
              <w:t>19</w:t>
            </w:r>
          </w:p>
        </w:tc>
        <w:tc>
          <w:tcPr>
            <w:tcW w:w="530"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D57CCF" w14:paraId="1EEB55FC" w14:textId="61818862">
            <w:pPr>
              <w:autoSpaceDE/>
              <w:autoSpaceDN/>
              <w:adjustRightInd/>
              <w:jc w:val="center"/>
              <w:rPr>
                <w:rFonts w:cs="Arial"/>
                <w:color w:val="000000"/>
              </w:rPr>
            </w:pPr>
            <w:r w:rsidRPr="00B67F1E">
              <w:t>$</w:t>
            </w:r>
            <w:r w:rsidRPr="00B67F1E" w:rsidR="00E0785B">
              <w:t>1.</w:t>
            </w:r>
            <w:r w:rsidRPr="00B67F1E">
              <w:t>19</w:t>
            </w:r>
          </w:p>
        </w:tc>
        <w:tc>
          <w:tcPr>
            <w:tcW w:w="529"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454E65F6" w14:textId="415A0153">
            <w:pPr>
              <w:autoSpaceDE/>
              <w:autoSpaceDN/>
              <w:adjustRightInd/>
              <w:jc w:val="center"/>
              <w:rPr>
                <w:rFonts w:cs="Arial"/>
                <w:color w:val="000000"/>
              </w:rPr>
            </w:pPr>
            <w:r w:rsidRPr="00B67F1E">
              <w:t>$10.17</w:t>
            </w:r>
          </w:p>
        </w:tc>
        <w:tc>
          <w:tcPr>
            <w:tcW w:w="557"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6BAA57CB" w14:textId="720331DC">
            <w:pPr>
              <w:autoSpaceDE/>
              <w:autoSpaceDN/>
              <w:adjustRightInd/>
              <w:jc w:val="center"/>
              <w:rPr>
                <w:rFonts w:cs="Arial"/>
                <w:color w:val="000000"/>
              </w:rPr>
            </w:pPr>
            <w:r w:rsidRPr="00B67F1E">
              <w:t>($1.48)</w:t>
            </w:r>
          </w:p>
        </w:tc>
        <w:tc>
          <w:tcPr>
            <w:tcW w:w="547"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00F70741" w14:textId="34F1B24E">
            <w:pPr>
              <w:autoSpaceDE/>
              <w:autoSpaceDN/>
              <w:adjustRightInd/>
              <w:jc w:val="center"/>
              <w:rPr>
                <w:rFonts w:cs="Arial"/>
                <w:color w:val="000000"/>
              </w:rPr>
            </w:pPr>
            <w:r w:rsidRPr="00B67F1E">
              <w:t>$4.83</w:t>
            </w:r>
          </w:p>
        </w:tc>
      </w:tr>
      <w:tr w:rsidRPr="004C3C29" w:rsidR="00D520BD" w:rsidTr="00B43CAA" w14:paraId="39984F28" w14:textId="77777777">
        <w:trPr>
          <w:trHeight w:val="350"/>
          <w:jc w:val="center"/>
        </w:trPr>
        <w:tc>
          <w:tcPr>
            <w:tcW w:w="1345" w:type="pct"/>
            <w:tcBorders>
              <w:top w:val="nil"/>
              <w:left w:val="single" w:color="auto" w:sz="4" w:space="0"/>
              <w:bottom w:val="single" w:color="auto" w:sz="4" w:space="0"/>
              <w:right w:val="single" w:color="auto" w:sz="4" w:space="0"/>
            </w:tcBorders>
            <w:shd w:val="clear" w:color="auto" w:fill="auto"/>
            <w:vAlign w:val="center"/>
            <w:hideMark/>
          </w:tcPr>
          <w:p w:rsidRPr="004C3C29" w:rsidR="00D520BD" w:rsidP="00982BD1" w:rsidRDefault="00D520BD" w14:paraId="1F53F01B" w14:textId="7D034FE8">
            <w:pPr>
              <w:autoSpaceDE/>
              <w:autoSpaceDN/>
              <w:adjustRightInd/>
              <w:rPr>
                <w:rFonts w:cs="Arial"/>
                <w:color w:val="000000"/>
              </w:rPr>
            </w:pPr>
            <w:r w:rsidRPr="004C3C29">
              <w:rPr>
                <w:rFonts w:cs="Arial"/>
                <w:color w:val="000000"/>
              </w:rPr>
              <w:t>Total</w:t>
            </w:r>
            <w:r>
              <w:rPr>
                <w:rFonts w:cs="Arial"/>
                <w:color w:val="000000"/>
              </w:rPr>
              <w:t xml:space="preserve"> </w:t>
            </w:r>
            <w:r w:rsidRPr="004C3C29">
              <w:rPr>
                <w:rFonts w:cs="Arial"/>
                <w:color w:val="000000"/>
              </w:rPr>
              <w:t>(7%</w:t>
            </w:r>
            <w:r>
              <w:rPr>
                <w:rFonts w:cs="Arial"/>
                <w:color w:val="000000"/>
              </w:rPr>
              <w:t> </w:t>
            </w:r>
            <w:r w:rsidR="00BC4C92">
              <w:rPr>
                <w:rFonts w:cs="Arial"/>
                <w:color w:val="000000"/>
              </w:rPr>
              <w:t>d</w:t>
            </w:r>
            <w:r w:rsidRPr="004C3C29">
              <w:rPr>
                <w:rFonts w:cs="Arial"/>
                <w:color w:val="000000"/>
              </w:rPr>
              <w:t>iscount</w:t>
            </w:r>
            <w:r>
              <w:rPr>
                <w:rFonts w:cs="Arial"/>
                <w:color w:val="000000"/>
              </w:rPr>
              <w:t> </w:t>
            </w:r>
            <w:r w:rsidR="00BC4C92">
              <w:rPr>
                <w:rFonts w:cs="Arial"/>
                <w:color w:val="000000"/>
              </w:rPr>
              <w:t>r</w:t>
            </w:r>
            <w:r w:rsidRPr="004C3C29">
              <w:rPr>
                <w:rFonts w:cs="Arial"/>
                <w:color w:val="000000"/>
              </w:rPr>
              <w:t>ate)</w:t>
            </w:r>
          </w:p>
        </w:tc>
        <w:tc>
          <w:tcPr>
            <w:tcW w:w="482"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722EEC8C" w14:textId="35E2F444">
            <w:pPr>
              <w:autoSpaceDE/>
              <w:autoSpaceDN/>
              <w:adjustRightInd/>
              <w:jc w:val="center"/>
              <w:rPr>
                <w:rFonts w:cs="Arial"/>
                <w:color w:val="000000"/>
              </w:rPr>
            </w:pPr>
            <w:r w:rsidRPr="00B67F1E">
              <w:t>($2.38)</w:t>
            </w:r>
          </w:p>
        </w:tc>
        <w:tc>
          <w:tcPr>
            <w:tcW w:w="529"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0D35A9EA" w14:textId="37523C6B">
            <w:pPr>
              <w:autoSpaceDE/>
              <w:autoSpaceDN/>
              <w:adjustRightInd/>
              <w:jc w:val="center"/>
              <w:rPr>
                <w:rFonts w:cs="Arial"/>
                <w:color w:val="000000"/>
              </w:rPr>
            </w:pPr>
            <w:r w:rsidRPr="00B67F1E">
              <w:t>$0.74</w:t>
            </w:r>
          </w:p>
        </w:tc>
        <w:tc>
          <w:tcPr>
            <w:tcW w:w="481"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5EC43938" w14:textId="68E4A5CB">
            <w:pPr>
              <w:autoSpaceDE/>
              <w:autoSpaceDN/>
              <w:adjustRightInd/>
              <w:jc w:val="center"/>
              <w:rPr>
                <w:rFonts w:cs="Arial"/>
                <w:color w:val="000000"/>
              </w:rPr>
            </w:pPr>
            <w:r w:rsidRPr="00B67F1E">
              <w:t>$0.64</w:t>
            </w:r>
          </w:p>
        </w:tc>
        <w:tc>
          <w:tcPr>
            <w:tcW w:w="530"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28D3F090" w14:textId="26B93D2E">
            <w:pPr>
              <w:autoSpaceDE/>
              <w:autoSpaceDN/>
              <w:adjustRightInd/>
              <w:jc w:val="center"/>
              <w:rPr>
                <w:rFonts w:cs="Arial"/>
                <w:color w:val="000000"/>
              </w:rPr>
            </w:pPr>
            <w:r w:rsidRPr="00B67F1E">
              <w:t>$0.64</w:t>
            </w:r>
          </w:p>
        </w:tc>
        <w:tc>
          <w:tcPr>
            <w:tcW w:w="529"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65C08845" w14:textId="2B6CDEC9">
            <w:pPr>
              <w:autoSpaceDE/>
              <w:autoSpaceDN/>
              <w:adjustRightInd/>
              <w:jc w:val="center"/>
              <w:rPr>
                <w:rFonts w:cs="Arial"/>
                <w:color w:val="000000"/>
              </w:rPr>
            </w:pPr>
            <w:r w:rsidRPr="00B67F1E">
              <w:t>$6.67</w:t>
            </w:r>
          </w:p>
        </w:tc>
        <w:tc>
          <w:tcPr>
            <w:tcW w:w="557"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2638B59B" w14:textId="2B1531BB">
            <w:pPr>
              <w:autoSpaceDE/>
              <w:autoSpaceDN/>
              <w:adjustRightInd/>
              <w:jc w:val="center"/>
              <w:rPr>
                <w:rFonts w:cs="Arial"/>
                <w:color w:val="000000"/>
              </w:rPr>
            </w:pPr>
            <w:r w:rsidRPr="00B67F1E">
              <w:t>($1.14)</w:t>
            </w:r>
          </w:p>
        </w:tc>
        <w:tc>
          <w:tcPr>
            <w:tcW w:w="547"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689BBC6B" w14:textId="0AAB8D07">
            <w:pPr>
              <w:autoSpaceDE/>
              <w:autoSpaceDN/>
              <w:adjustRightInd/>
              <w:jc w:val="center"/>
              <w:rPr>
                <w:rFonts w:cs="Arial"/>
                <w:color w:val="000000"/>
              </w:rPr>
            </w:pPr>
            <w:r w:rsidRPr="00B67F1E">
              <w:t>$3.10</w:t>
            </w:r>
          </w:p>
        </w:tc>
      </w:tr>
      <w:tr w:rsidRPr="004C3C29" w:rsidR="00D520BD" w:rsidTr="00B43CAA" w14:paraId="6042ED44" w14:textId="77777777">
        <w:trPr>
          <w:trHeight w:val="350"/>
          <w:jc w:val="center"/>
        </w:trPr>
        <w:tc>
          <w:tcPr>
            <w:tcW w:w="1345" w:type="pct"/>
            <w:tcBorders>
              <w:top w:val="nil"/>
              <w:left w:val="single" w:color="auto" w:sz="4" w:space="0"/>
              <w:bottom w:val="single" w:color="auto" w:sz="4" w:space="0"/>
              <w:right w:val="single" w:color="auto" w:sz="4" w:space="0"/>
            </w:tcBorders>
            <w:shd w:val="clear" w:color="auto" w:fill="auto"/>
            <w:vAlign w:val="center"/>
            <w:hideMark/>
          </w:tcPr>
          <w:p w:rsidRPr="004C3C29" w:rsidR="00D520BD" w:rsidP="00982BD1" w:rsidRDefault="00D520BD" w14:paraId="232175CB" w14:textId="031D6FB2">
            <w:pPr>
              <w:autoSpaceDE/>
              <w:autoSpaceDN/>
              <w:adjustRightInd/>
              <w:rPr>
                <w:rFonts w:cs="Arial"/>
                <w:color w:val="000000"/>
              </w:rPr>
            </w:pPr>
            <w:r w:rsidRPr="004C3C29">
              <w:rPr>
                <w:rFonts w:cs="Arial"/>
                <w:color w:val="000000"/>
              </w:rPr>
              <w:t>Total</w:t>
            </w:r>
            <w:r>
              <w:rPr>
                <w:rFonts w:cs="Arial"/>
                <w:color w:val="000000"/>
              </w:rPr>
              <w:t xml:space="preserve"> </w:t>
            </w:r>
            <w:r w:rsidRPr="004C3C29">
              <w:rPr>
                <w:rFonts w:cs="Arial"/>
                <w:color w:val="000000"/>
              </w:rPr>
              <w:t xml:space="preserve">(3% </w:t>
            </w:r>
            <w:r w:rsidR="00BC4C92">
              <w:rPr>
                <w:rFonts w:cs="Arial"/>
                <w:color w:val="000000"/>
              </w:rPr>
              <w:t>d</w:t>
            </w:r>
            <w:r w:rsidRPr="004C3C29">
              <w:rPr>
                <w:rFonts w:cs="Arial"/>
                <w:color w:val="000000"/>
              </w:rPr>
              <w:t xml:space="preserve">iscount </w:t>
            </w:r>
            <w:r w:rsidR="00BC4C92">
              <w:rPr>
                <w:rFonts w:cs="Arial"/>
                <w:color w:val="000000"/>
              </w:rPr>
              <w:t>r</w:t>
            </w:r>
            <w:r w:rsidRPr="004C3C29">
              <w:rPr>
                <w:rFonts w:cs="Arial"/>
                <w:color w:val="000000"/>
              </w:rPr>
              <w:t>ate)</w:t>
            </w:r>
          </w:p>
        </w:tc>
        <w:tc>
          <w:tcPr>
            <w:tcW w:w="482"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55B0B26E" w14:textId="6ECEB64E">
            <w:pPr>
              <w:autoSpaceDE/>
              <w:autoSpaceDN/>
              <w:adjustRightInd/>
              <w:jc w:val="center"/>
              <w:rPr>
                <w:rFonts w:cs="Arial"/>
                <w:color w:val="000000"/>
              </w:rPr>
            </w:pPr>
            <w:r w:rsidRPr="00B67F1E">
              <w:t>($3.46)</w:t>
            </w:r>
          </w:p>
        </w:tc>
        <w:tc>
          <w:tcPr>
            <w:tcW w:w="529"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76B9FCF3" w14:textId="724E0E5F">
            <w:pPr>
              <w:autoSpaceDE/>
              <w:autoSpaceDN/>
              <w:adjustRightInd/>
              <w:jc w:val="center"/>
              <w:rPr>
                <w:rFonts w:cs="Arial"/>
                <w:color w:val="000000"/>
              </w:rPr>
            </w:pPr>
            <w:r w:rsidRPr="00B67F1E">
              <w:t>$1.18</w:t>
            </w:r>
          </w:p>
        </w:tc>
        <w:tc>
          <w:tcPr>
            <w:tcW w:w="481"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5829F20F" w14:textId="378A41A2">
            <w:pPr>
              <w:autoSpaceDE/>
              <w:autoSpaceDN/>
              <w:adjustRightInd/>
              <w:jc w:val="center"/>
              <w:rPr>
                <w:rFonts w:cs="Arial"/>
                <w:color w:val="000000"/>
              </w:rPr>
            </w:pPr>
            <w:r w:rsidRPr="00B67F1E">
              <w:t>$1.04</w:t>
            </w:r>
          </w:p>
        </w:tc>
        <w:tc>
          <w:tcPr>
            <w:tcW w:w="530"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5C3805FC" w14:textId="4E04A5B7">
            <w:pPr>
              <w:autoSpaceDE/>
              <w:autoSpaceDN/>
              <w:adjustRightInd/>
              <w:jc w:val="center"/>
              <w:rPr>
                <w:rFonts w:cs="Arial"/>
                <w:color w:val="000000"/>
              </w:rPr>
            </w:pPr>
            <w:r w:rsidRPr="00B67F1E">
              <w:t>$1.04</w:t>
            </w:r>
          </w:p>
        </w:tc>
        <w:tc>
          <w:tcPr>
            <w:tcW w:w="529"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6C4A7AE6" w14:textId="23562A5C">
            <w:pPr>
              <w:autoSpaceDE/>
              <w:autoSpaceDN/>
              <w:adjustRightInd/>
              <w:jc w:val="center"/>
              <w:rPr>
                <w:rFonts w:cs="Arial"/>
                <w:color w:val="000000"/>
              </w:rPr>
            </w:pPr>
            <w:r w:rsidRPr="00B67F1E">
              <w:t>$10.03</w:t>
            </w:r>
          </w:p>
        </w:tc>
        <w:tc>
          <w:tcPr>
            <w:tcW w:w="557"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0059A80B" w14:textId="4C513E8B">
            <w:pPr>
              <w:autoSpaceDE/>
              <w:autoSpaceDN/>
              <w:adjustRightInd/>
              <w:jc w:val="center"/>
              <w:rPr>
                <w:rFonts w:cs="Arial"/>
                <w:color w:val="000000"/>
              </w:rPr>
            </w:pPr>
            <w:r w:rsidRPr="00B67F1E">
              <w:t>($1.63)</w:t>
            </w:r>
          </w:p>
        </w:tc>
        <w:tc>
          <w:tcPr>
            <w:tcW w:w="547" w:type="pct"/>
            <w:tcBorders>
              <w:top w:val="single" w:color="auto" w:sz="4" w:space="0"/>
              <w:left w:val="nil"/>
              <w:bottom w:val="single" w:color="auto" w:sz="4" w:space="0"/>
              <w:right w:val="single" w:color="auto" w:sz="4" w:space="0"/>
            </w:tcBorders>
            <w:shd w:val="clear" w:color="auto" w:fill="auto"/>
            <w:noWrap/>
            <w:vAlign w:val="center"/>
          </w:tcPr>
          <w:p w:rsidRPr="00531B72" w:rsidR="00D520BD" w:rsidP="00982BD1" w:rsidRDefault="00E0785B" w14:paraId="0A90636C" w14:textId="3BA3CCD6">
            <w:pPr>
              <w:autoSpaceDE/>
              <w:autoSpaceDN/>
              <w:adjustRightInd/>
              <w:jc w:val="center"/>
              <w:rPr>
                <w:rFonts w:cs="Arial"/>
                <w:color w:val="000000"/>
              </w:rPr>
            </w:pPr>
            <w:r w:rsidRPr="00B67F1E">
              <w:t>$4.70</w:t>
            </w:r>
          </w:p>
        </w:tc>
      </w:tr>
    </w:tbl>
    <w:p w:rsidR="00D520BD" w:rsidP="00D520BD" w:rsidRDefault="00D520BD" w14:paraId="0295396A" w14:textId="38F35249">
      <w:pPr>
        <w:rPr>
          <w:sz w:val="22"/>
        </w:rPr>
      </w:pPr>
    </w:p>
    <w:p w:rsidR="00D520BD" w:rsidP="00D520BD" w:rsidRDefault="00D520BD" w14:paraId="31C85B65" w14:textId="47996670">
      <w:pPr>
        <w:rPr>
          <w:sz w:val="22"/>
        </w:rPr>
      </w:pPr>
      <w:r>
        <w:rPr>
          <w:sz w:val="22"/>
        </w:rPr>
        <w:t>By examining the range of the resulting output distribution in Table 5-1</w:t>
      </w:r>
      <w:r w:rsidR="00952049">
        <w:rPr>
          <w:sz w:val="22"/>
        </w:rPr>
        <w:t>7</w:t>
      </w:r>
      <w:r w:rsidR="00504D13">
        <w:rPr>
          <w:sz w:val="22"/>
        </w:rPr>
        <w:t xml:space="preserve"> and Figures 5-4 and 5</w:t>
      </w:r>
      <w:r w:rsidR="00504D13">
        <w:rPr>
          <w:sz w:val="22"/>
        </w:rPr>
        <w:noBreakHyphen/>
        <w:t>5</w:t>
      </w:r>
      <w:r w:rsidR="00646A79">
        <w:rPr>
          <w:sz w:val="22"/>
        </w:rPr>
        <w:t>,</w:t>
      </w:r>
      <w:r>
        <w:rPr>
          <w:sz w:val="22"/>
        </w:rPr>
        <w:t xml:space="preserve"> it is possible to discuss the potential costs and benefits of the rule</w:t>
      </w:r>
      <w:r w:rsidRPr="000E20C9" w:rsidR="000E20C9">
        <w:rPr>
          <w:sz w:val="22"/>
        </w:rPr>
        <w:t xml:space="preserve"> </w:t>
      </w:r>
      <w:r w:rsidR="000E20C9">
        <w:rPr>
          <w:sz w:val="22"/>
        </w:rPr>
        <w:t>more confidently</w:t>
      </w:r>
      <w:r w:rsidR="00653D29">
        <w:rPr>
          <w:sz w:val="22"/>
        </w:rPr>
        <w:t xml:space="preserve">. </w:t>
      </w:r>
      <w:r w:rsidR="007D646D">
        <w:rPr>
          <w:sz w:val="22"/>
        </w:rPr>
        <w:t xml:space="preserve"> </w:t>
      </w:r>
      <w:r w:rsidR="00653D29">
        <w:rPr>
          <w:sz w:val="22"/>
        </w:rPr>
        <w:t>Figure</w:t>
      </w:r>
      <w:r w:rsidR="003717C3">
        <w:rPr>
          <w:sz w:val="22"/>
        </w:rPr>
        <w:t> </w:t>
      </w:r>
      <w:r w:rsidR="00653D29">
        <w:rPr>
          <w:sz w:val="22"/>
        </w:rPr>
        <w:t>5-4</w:t>
      </w:r>
      <w:r w:rsidR="003717C3">
        <w:rPr>
          <w:sz w:val="22"/>
        </w:rPr>
        <w:t xml:space="preserve"> shows</w:t>
      </w:r>
      <w:r w:rsidR="000F5CA9">
        <w:rPr>
          <w:sz w:val="22"/>
        </w:rPr>
        <w:t xml:space="preserve"> that the </w:t>
      </w:r>
      <w:r w:rsidR="003717C3">
        <w:rPr>
          <w:sz w:val="22"/>
        </w:rPr>
        <w:t xml:space="preserve">final </w:t>
      </w:r>
      <w:r w:rsidR="000F5CA9">
        <w:rPr>
          <w:sz w:val="22"/>
        </w:rPr>
        <w:t>rule is cost-beneficial</w:t>
      </w:r>
      <w:r w:rsidR="00AC61FD">
        <w:rPr>
          <w:sz w:val="22"/>
        </w:rPr>
        <w:t xml:space="preserve"> for 69.5</w:t>
      </w:r>
      <w:r w:rsidR="007704AE">
        <w:rPr>
          <w:sz w:val="22"/>
        </w:rPr>
        <w:t> percent</w:t>
      </w:r>
      <w:r w:rsidR="00AC61FD">
        <w:rPr>
          <w:sz w:val="22"/>
        </w:rPr>
        <w:t xml:space="preserve"> of the </w:t>
      </w:r>
      <w:r w:rsidR="00D67EDB">
        <w:rPr>
          <w:sz w:val="22"/>
        </w:rPr>
        <w:t xml:space="preserve">simulations </w:t>
      </w:r>
      <w:r w:rsidR="00AC61FD">
        <w:rPr>
          <w:sz w:val="22"/>
        </w:rPr>
        <w:t>when using a 7</w:t>
      </w:r>
      <w:r w:rsidR="002B0D20">
        <w:rPr>
          <w:sz w:val="22"/>
        </w:rPr>
        <w:noBreakHyphen/>
      </w:r>
      <w:r w:rsidR="00AC61FD">
        <w:rPr>
          <w:sz w:val="22"/>
        </w:rPr>
        <w:t>percent discount rate</w:t>
      </w:r>
      <w:r w:rsidR="007704AE">
        <w:rPr>
          <w:sz w:val="22"/>
        </w:rPr>
        <w:t>,</w:t>
      </w:r>
      <w:r w:rsidR="00AC61FD">
        <w:rPr>
          <w:sz w:val="22"/>
        </w:rPr>
        <w:t xml:space="preserve"> </w:t>
      </w:r>
      <w:r w:rsidR="002B0D20">
        <w:rPr>
          <w:sz w:val="22"/>
        </w:rPr>
        <w:t xml:space="preserve">and Figure 5-5 shows that the final rule is cost-beneficial </w:t>
      </w:r>
      <w:r w:rsidR="0009084F">
        <w:rPr>
          <w:sz w:val="22"/>
        </w:rPr>
        <w:t xml:space="preserve">for </w:t>
      </w:r>
      <w:r w:rsidR="00D67EDB">
        <w:rPr>
          <w:sz w:val="22"/>
        </w:rPr>
        <w:t>70.7</w:t>
      </w:r>
      <w:r w:rsidR="0009084F">
        <w:rPr>
          <w:sz w:val="22"/>
        </w:rPr>
        <w:t> </w:t>
      </w:r>
      <w:r w:rsidR="00D67EDB">
        <w:rPr>
          <w:sz w:val="22"/>
        </w:rPr>
        <w:t>percent of the simulations</w:t>
      </w:r>
      <w:r w:rsidR="006114A8">
        <w:rPr>
          <w:sz w:val="22"/>
        </w:rPr>
        <w:t xml:space="preserve"> when using a 3-percent discount rate</w:t>
      </w:r>
      <w:r>
        <w:rPr>
          <w:sz w:val="22"/>
        </w:rPr>
        <w:t>.</w:t>
      </w:r>
    </w:p>
    <w:p w:rsidR="00D520BD" w:rsidP="00D520BD" w:rsidRDefault="00D520BD" w14:paraId="6E66FAE5" w14:textId="77777777">
      <w:pPr>
        <w:rPr>
          <w:sz w:val="22"/>
        </w:rPr>
      </w:pPr>
    </w:p>
    <w:p w:rsidR="00D520BD" w:rsidP="00D520BD" w:rsidRDefault="00D520BD" w14:paraId="4291049F" w14:textId="05C553A1">
      <w:pPr>
        <w:rPr>
          <w:sz w:val="22"/>
        </w:rPr>
      </w:pPr>
      <w:r>
        <w:rPr>
          <w:sz w:val="22"/>
        </w:rPr>
        <w:t>In addition to estimating the probability distributions for the net benefits of the rule</w:t>
      </w:r>
      <w:r w:rsidR="00646A79">
        <w:rPr>
          <w:sz w:val="22"/>
        </w:rPr>
        <w:t>,</w:t>
      </w:r>
      <w:r>
        <w:rPr>
          <w:sz w:val="22"/>
        </w:rPr>
        <w:t xml:space="preserve"> the </w:t>
      </w:r>
      <w:r w:rsidR="007219FF">
        <w:rPr>
          <w:sz w:val="22"/>
        </w:rPr>
        <w:t xml:space="preserve">NRC </w:t>
      </w:r>
      <w:r>
        <w:rPr>
          <w:sz w:val="22"/>
        </w:rPr>
        <w:t>staff used the Monte Carlo simulation to determine the variables with the greatest impact on the resulting net benefits.  Variables shown to have a large effect on the resulting net benefits may deserve more attention and scrutiny than variables shown to have a small or minimal effect.</w:t>
      </w:r>
    </w:p>
    <w:p w:rsidR="00D520BD" w:rsidP="00F50FF8" w:rsidRDefault="00D520BD" w14:paraId="39707D0F" w14:textId="0442CC20">
      <w:pPr>
        <w:spacing w:before="220"/>
        <w:rPr>
          <w:sz w:val="22"/>
        </w:rPr>
      </w:pPr>
      <w:r>
        <w:rPr>
          <w:sz w:val="22"/>
        </w:rPr>
        <w:t>To estimate the effect of each variable on the net benefits</w:t>
      </w:r>
      <w:r w:rsidR="00646A79">
        <w:rPr>
          <w:sz w:val="22"/>
        </w:rPr>
        <w:t>,</w:t>
      </w:r>
      <w:r>
        <w:rPr>
          <w:sz w:val="22"/>
        </w:rPr>
        <w:t xml:space="preserve"> the </w:t>
      </w:r>
      <w:r w:rsidR="007219FF">
        <w:rPr>
          <w:sz w:val="22"/>
        </w:rPr>
        <w:t xml:space="preserve">NRC </w:t>
      </w:r>
      <w:r>
        <w:rPr>
          <w:sz w:val="22"/>
        </w:rPr>
        <w:t>staff performed a regression</w:t>
      </w:r>
      <w:r w:rsidR="00646A79">
        <w:rPr>
          <w:sz w:val="22"/>
        </w:rPr>
        <w:t>,</w:t>
      </w:r>
      <w:r>
        <w:rPr>
          <w:sz w:val="22"/>
        </w:rPr>
        <w:t xml:space="preserve"> with the net benefits modeled as the dependent variable and the inputs as the independent variables.  The result of this regression is called a tornado diagram</w:t>
      </w:r>
      <w:r w:rsidR="00646A79">
        <w:rPr>
          <w:sz w:val="22"/>
        </w:rPr>
        <w:t>,</w:t>
      </w:r>
      <w:r>
        <w:rPr>
          <w:sz w:val="22"/>
        </w:rPr>
        <w:t xml:space="preserve"> and it represents in vertical order the variables with the greatest influence on the net benefits.  The tornado diagram also displays the resulting impact on the calculated mean value for each of the input variables.  Figure 5</w:t>
      </w:r>
      <w:r>
        <w:rPr>
          <w:sz w:val="22"/>
        </w:rPr>
        <w:noBreakHyphen/>
      </w:r>
      <w:r w:rsidR="00CD4D83">
        <w:rPr>
          <w:sz w:val="22"/>
        </w:rPr>
        <w:t>6</w:t>
      </w:r>
      <w:r>
        <w:rPr>
          <w:sz w:val="22"/>
        </w:rPr>
        <w:t xml:space="preserve"> presents the tornado diagram for the total cost of the rule using a 7</w:t>
      </w:r>
      <w:r>
        <w:rPr>
          <w:sz w:val="22"/>
        </w:rPr>
        <w:noBreakHyphen/>
        <w:t>percent discount factor.  Similarly</w:t>
      </w:r>
      <w:r w:rsidR="00646A79">
        <w:rPr>
          <w:sz w:val="22"/>
        </w:rPr>
        <w:t>,</w:t>
      </w:r>
      <w:r>
        <w:rPr>
          <w:sz w:val="22"/>
        </w:rPr>
        <w:t xml:space="preserve"> Figure 5-</w:t>
      </w:r>
      <w:r w:rsidR="00CD4D83">
        <w:rPr>
          <w:sz w:val="22"/>
        </w:rPr>
        <w:t>7</w:t>
      </w:r>
      <w:r>
        <w:rPr>
          <w:sz w:val="22"/>
        </w:rPr>
        <w:t xml:space="preserve"> presents the tornado diagram for the total cost of the rule using a 3</w:t>
      </w:r>
      <w:r>
        <w:rPr>
          <w:sz w:val="22"/>
        </w:rPr>
        <w:noBreakHyphen/>
        <w:t>percent discount factor.</w:t>
      </w:r>
    </w:p>
    <w:p w:rsidR="00D520BD" w:rsidP="00D520BD" w:rsidRDefault="00D520BD" w14:paraId="2B7A6A17" w14:textId="77777777">
      <w:pPr>
        <w:rPr>
          <w:sz w:val="22"/>
        </w:rPr>
      </w:pPr>
    </w:p>
    <w:p w:rsidR="00D520BD" w:rsidP="00D520BD" w:rsidRDefault="00D520BD" w14:paraId="1244AC54" w14:textId="06A89B08">
      <w:pPr>
        <w:rPr>
          <w:sz w:val="22"/>
        </w:rPr>
      </w:pPr>
      <w:r>
        <w:rPr>
          <w:sz w:val="22"/>
        </w:rPr>
        <w:t>Examining the tornado diagrams provides insight into which inputs have the largest impacts on the results of this quantitative analysis.  Figure 5-</w:t>
      </w:r>
      <w:r w:rsidR="00CD4D83">
        <w:rPr>
          <w:sz w:val="22"/>
        </w:rPr>
        <w:t>6</w:t>
      </w:r>
      <w:r>
        <w:rPr>
          <w:sz w:val="22"/>
        </w:rPr>
        <w:t xml:space="preserve"> shows that the parameters having the greatest impact on the net benefits of the rule when using a 7</w:t>
      </w:r>
      <w:r>
        <w:rPr>
          <w:sz w:val="22"/>
        </w:rPr>
        <w:noBreakHyphen/>
        <w:t xml:space="preserve">percent discount factor are the </w:t>
      </w:r>
      <w:r w:rsidRPr="00373F1D">
        <w:rPr>
          <w:sz w:val="22"/>
        </w:rPr>
        <w:t>uncertaint</w:t>
      </w:r>
      <w:r>
        <w:rPr>
          <w:sz w:val="22"/>
        </w:rPr>
        <w:t>ies</w:t>
      </w:r>
      <w:r w:rsidRPr="00373F1D">
        <w:rPr>
          <w:sz w:val="22"/>
        </w:rPr>
        <w:t xml:space="preserve"> associated with the </w:t>
      </w:r>
      <w:r w:rsidR="00CD4D83">
        <w:rPr>
          <w:sz w:val="22"/>
        </w:rPr>
        <w:t xml:space="preserve">current NRC </w:t>
      </w:r>
      <w:r w:rsidR="004F7208">
        <w:rPr>
          <w:sz w:val="22"/>
        </w:rPr>
        <w:t xml:space="preserve">FFD </w:t>
      </w:r>
      <w:r w:rsidR="007A6B1A">
        <w:rPr>
          <w:sz w:val="22"/>
        </w:rPr>
        <w:t>amphetamines</w:t>
      </w:r>
      <w:r w:rsidR="00CD4D83">
        <w:rPr>
          <w:sz w:val="22"/>
        </w:rPr>
        <w:t xml:space="preserve"> positive test rate and the </w:t>
      </w:r>
      <w:r w:rsidR="00FD2785">
        <w:rPr>
          <w:sz w:val="22"/>
        </w:rPr>
        <w:t>total number of NRC FFD program annual tests</w:t>
      </w:r>
      <w:r w:rsidRPr="00373F1D">
        <w:rPr>
          <w:sz w:val="22"/>
        </w:rPr>
        <w:t>.</w:t>
      </w:r>
      <w:r w:rsidRPr="00977E4D">
        <w:rPr>
          <w:sz w:val="22"/>
        </w:rPr>
        <w:t xml:space="preserve">  The influence of a variable on the output is not only a function of the value of that variable but also o</w:t>
      </w:r>
      <w:r>
        <w:rPr>
          <w:sz w:val="22"/>
        </w:rPr>
        <w:t>f</w:t>
      </w:r>
      <w:r w:rsidRPr="00977E4D">
        <w:rPr>
          <w:sz w:val="22"/>
        </w:rPr>
        <w:t xml:space="preserve"> the spread of its distribution.  </w:t>
      </w:r>
      <w:r>
        <w:rPr>
          <w:sz w:val="22"/>
        </w:rPr>
        <w:t xml:space="preserve">In </w:t>
      </w:r>
      <w:r w:rsidRPr="00301D0F">
        <w:rPr>
          <w:sz w:val="22"/>
        </w:rPr>
        <w:t>Figure</w:t>
      </w:r>
      <w:r>
        <w:rPr>
          <w:sz w:val="22"/>
        </w:rPr>
        <w:t> </w:t>
      </w:r>
      <w:r w:rsidRPr="00301D0F">
        <w:rPr>
          <w:sz w:val="22"/>
        </w:rPr>
        <w:t>5</w:t>
      </w:r>
      <w:r>
        <w:rPr>
          <w:sz w:val="22"/>
        </w:rPr>
        <w:noBreakHyphen/>
      </w:r>
      <w:r w:rsidR="00CD4D83">
        <w:rPr>
          <w:sz w:val="22"/>
        </w:rPr>
        <w:t>7</w:t>
      </w:r>
      <w:r w:rsidR="00646A79">
        <w:rPr>
          <w:sz w:val="22"/>
        </w:rPr>
        <w:t>,</w:t>
      </w:r>
      <w:r w:rsidRPr="00301D0F">
        <w:rPr>
          <w:sz w:val="22"/>
        </w:rPr>
        <w:t xml:space="preserve"> </w:t>
      </w:r>
      <w:r>
        <w:rPr>
          <w:sz w:val="22"/>
        </w:rPr>
        <w:t>using a 3</w:t>
      </w:r>
      <w:r>
        <w:rPr>
          <w:sz w:val="22"/>
        </w:rPr>
        <w:noBreakHyphen/>
        <w:t>percent discount factor</w:t>
      </w:r>
      <w:r w:rsidR="00646A79">
        <w:rPr>
          <w:sz w:val="22"/>
        </w:rPr>
        <w:t>,</w:t>
      </w:r>
      <w:r>
        <w:rPr>
          <w:sz w:val="22"/>
        </w:rPr>
        <w:t xml:space="preserve"> </w:t>
      </w:r>
      <w:r w:rsidRPr="00301D0F">
        <w:rPr>
          <w:sz w:val="22"/>
        </w:rPr>
        <w:t>the same parameters appear in the s</w:t>
      </w:r>
      <w:r>
        <w:rPr>
          <w:sz w:val="22"/>
        </w:rPr>
        <w:t>ame ranked order as in Figure 5</w:t>
      </w:r>
      <w:r>
        <w:rPr>
          <w:sz w:val="22"/>
        </w:rPr>
        <w:noBreakHyphen/>
      </w:r>
      <w:r w:rsidR="00CD4D83">
        <w:rPr>
          <w:sz w:val="22"/>
        </w:rPr>
        <w:t>6</w:t>
      </w:r>
      <w:r w:rsidRPr="00301D0F">
        <w:rPr>
          <w:sz w:val="22"/>
        </w:rPr>
        <w:t>.</w:t>
      </w:r>
    </w:p>
    <w:p w:rsidR="00D520BD" w:rsidP="00D520BD" w:rsidRDefault="00D520BD" w14:paraId="6F93E04A" w14:textId="77777777">
      <w:pPr>
        <w:rPr>
          <w:sz w:val="22"/>
        </w:rPr>
      </w:pPr>
    </w:p>
    <w:p w:rsidRPr="00B858DB" w:rsidR="00B858DB" w:rsidP="00B858DB" w:rsidRDefault="00B858DB" w14:paraId="43952DC5" w14:textId="46116582">
      <w:pPr>
        <w:pStyle w:val="Caption"/>
        <w:jc w:val="center"/>
        <w:rPr>
          <w:rFonts w:ascii="Arial Bold" w:hAnsi="Arial Bold"/>
          <w:b/>
        </w:rPr>
      </w:pPr>
      <w:bookmarkStart w:name="_Toc62207089" w:id="240"/>
      <w:bookmarkStart w:name="_Toc68166750" w:id="241"/>
      <w:bookmarkStart w:name="_Toc105681551" w:id="242"/>
      <w:r w:rsidRPr="00B858DB">
        <w:rPr>
          <w:rFonts w:ascii="Arial Bold" w:hAnsi="Arial Bold"/>
          <w:b/>
        </w:rPr>
        <w:t xml:space="preserve">Figure </w:t>
      </w:r>
      <w:r>
        <w:rPr>
          <w:rFonts w:ascii="Arial Bold" w:hAnsi="Arial Bold"/>
          <w:b/>
        </w:rPr>
        <w:t>5-</w:t>
      </w:r>
      <w:r w:rsidR="00CD4D83">
        <w:rPr>
          <w:rFonts w:ascii="Arial Bold" w:hAnsi="Arial Bold"/>
          <w:b/>
        </w:rPr>
        <w:fldChar w:fldCharType="begin"/>
      </w:r>
      <w:r w:rsidR="00CD4D83">
        <w:rPr>
          <w:rFonts w:ascii="Arial Bold" w:hAnsi="Arial Bold"/>
          <w:b/>
        </w:rPr>
        <w:instrText xml:space="preserve"> SEQ Figure \* ARABIC </w:instrText>
      </w:r>
      <w:r w:rsidR="00CD4D83">
        <w:rPr>
          <w:rFonts w:ascii="Arial Bold" w:hAnsi="Arial Bold"/>
          <w:b/>
        </w:rPr>
        <w:fldChar w:fldCharType="separate"/>
      </w:r>
      <w:r w:rsidR="00A6777F">
        <w:rPr>
          <w:rFonts w:ascii="Arial Bold" w:hAnsi="Arial Bold"/>
          <w:b/>
          <w:noProof/>
        </w:rPr>
        <w:t>6</w:t>
      </w:r>
      <w:r w:rsidR="00CD4D83">
        <w:rPr>
          <w:rFonts w:ascii="Arial Bold" w:hAnsi="Arial Bold"/>
          <w:b/>
        </w:rPr>
        <w:fldChar w:fldCharType="end"/>
      </w:r>
      <w:r>
        <w:rPr>
          <w:rFonts w:ascii="Arial Bold" w:hAnsi="Arial Bold"/>
          <w:b/>
        </w:rPr>
        <w:t xml:space="preserve">  Key Variables Whose Uncertainty Drives </w:t>
      </w:r>
      <w:r w:rsidR="00CF0E77">
        <w:rPr>
          <w:rFonts w:ascii="Arial Bold" w:hAnsi="Arial Bold"/>
          <w:b/>
        </w:rPr>
        <w:t>t</w:t>
      </w:r>
      <w:r>
        <w:rPr>
          <w:rFonts w:ascii="Arial Bold" w:hAnsi="Arial Bold"/>
          <w:b/>
        </w:rPr>
        <w:t xml:space="preserve">he Largest Impact </w:t>
      </w:r>
      <w:r w:rsidR="00CF0E77">
        <w:rPr>
          <w:rFonts w:ascii="Arial Bold" w:hAnsi="Arial Bold"/>
          <w:b/>
        </w:rPr>
        <w:t>o</w:t>
      </w:r>
      <w:r>
        <w:rPr>
          <w:rFonts w:ascii="Arial Bold" w:hAnsi="Arial Bold"/>
          <w:b/>
        </w:rPr>
        <w:t>n Costs (7</w:t>
      </w:r>
      <w:r w:rsidR="00073192">
        <w:rPr>
          <w:rFonts w:ascii="Arial Bold" w:hAnsi="Arial Bold"/>
          <w:b/>
        </w:rPr>
        <w:noBreakHyphen/>
      </w:r>
      <w:r>
        <w:rPr>
          <w:rFonts w:ascii="Arial Bold" w:hAnsi="Arial Bold"/>
          <w:b/>
        </w:rPr>
        <w:t>Percent</w:t>
      </w:r>
      <w:r w:rsidR="00BE4EA0">
        <w:rPr>
          <w:rFonts w:hint="eastAsia" w:ascii="Arial Bold" w:hAnsi="Arial Bold"/>
          <w:b/>
        </w:rPr>
        <w:t> </w:t>
      </w:r>
      <w:r>
        <w:rPr>
          <w:rFonts w:ascii="Arial Bold" w:hAnsi="Arial Bold"/>
          <w:b/>
        </w:rPr>
        <w:t>Net Present Value)</w:t>
      </w:r>
      <w:bookmarkEnd w:id="240"/>
      <w:bookmarkEnd w:id="241"/>
      <w:bookmarkEnd w:id="242"/>
    </w:p>
    <w:p w:rsidR="00D520BD" w:rsidP="00B858DB" w:rsidRDefault="00954170" w14:paraId="14BD609B" w14:textId="2A8CD199">
      <w:pPr>
        <w:pStyle w:val="Figure"/>
        <w:keepNext w:val="0"/>
        <w:keepLines w:val="0"/>
      </w:pPr>
      <w:r>
        <w:rPr>
          <w:noProof/>
        </w:rPr>
        <w:drawing>
          <wp:inline distT="0" distB="0" distL="0" distR="0" wp14:anchorId="5DC741B5" wp14:editId="093FAB6D">
            <wp:extent cx="5783580" cy="3230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l="1538" r="1164"/>
                    <a:stretch/>
                  </pic:blipFill>
                  <pic:spPr bwMode="auto">
                    <a:xfrm>
                      <a:off x="0" y="0"/>
                      <a:ext cx="5783580" cy="3230880"/>
                    </a:xfrm>
                    <a:prstGeom prst="rect">
                      <a:avLst/>
                    </a:prstGeom>
                    <a:noFill/>
                    <a:ln>
                      <a:noFill/>
                    </a:ln>
                    <a:extLst>
                      <a:ext uri="{53640926-AAD7-44D8-BBD7-CCE9431645EC}">
                        <a14:shadowObscured xmlns:a14="http://schemas.microsoft.com/office/drawing/2010/main"/>
                      </a:ext>
                    </a:extLst>
                  </pic:spPr>
                </pic:pic>
              </a:graphicData>
            </a:graphic>
          </wp:inline>
        </w:drawing>
      </w:r>
    </w:p>
    <w:p w:rsidR="00D520BD" w:rsidP="00B858DB" w:rsidRDefault="00046D8F" w14:paraId="402FD979" w14:textId="0B300363">
      <w:pPr>
        <w:rPr>
          <w:sz w:val="22"/>
          <w:szCs w:val="22"/>
        </w:rPr>
      </w:pPr>
      <w:r>
        <w:rPr>
          <w:rFonts w:cs="Arial"/>
          <w:noProof/>
          <w:sz w:val="26"/>
          <w:szCs w:val="26"/>
        </w:rPr>
        <mc:AlternateContent>
          <mc:Choice Requires="wps">
            <w:drawing>
              <wp:anchor distT="45720" distB="45720" distL="114300" distR="114300" simplePos="0" relativeHeight="251658241" behindDoc="0" locked="0" layoutInCell="1" allowOverlap="1" wp14:editId="15A82B05" wp14:anchorId="1429C4C6">
                <wp:simplePos x="0" y="0"/>
                <wp:positionH relativeFrom="column">
                  <wp:posOffset>2575560</wp:posOffset>
                </wp:positionH>
                <wp:positionV relativeFrom="paragraph">
                  <wp:posOffset>8890</wp:posOffset>
                </wp:positionV>
                <wp:extent cx="2200910" cy="232410"/>
                <wp:effectExtent l="0" t="0" r="34290" b="222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232410"/>
                        </a:xfrm>
                        <a:prstGeom prst="rect">
                          <a:avLst/>
                        </a:prstGeom>
                        <a:solidFill>
                          <a:srgbClr val="FFFFFF"/>
                        </a:solidFill>
                        <a:ln w="9525">
                          <a:solidFill>
                            <a:srgbClr val="000000"/>
                          </a:solidFill>
                          <a:miter lim="800000"/>
                          <a:headEnd/>
                          <a:tailEnd/>
                        </a:ln>
                      </wps:spPr>
                      <wps:txbx>
                        <w:txbxContent>
                          <w:p w:rsidRPr="00D80C08" w:rsidR="0088161E" w:rsidP="00D520BD" w:rsidRDefault="0088161E" w14:paraId="0B446200" w14:textId="77777777">
                            <w:pPr>
                              <w:rPr>
                                <w:sz w:val="18"/>
                              </w:rPr>
                            </w:pPr>
                            <w:r w:rsidRPr="00D80C08">
                              <w:rPr>
                                <w:sz w:val="18"/>
                              </w:rPr>
                              <w:t>Inputs ranked by effect on output mean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29C4C6">
                <v:stroke joinstyle="miter"/>
                <v:path gradientshapeok="t" o:connecttype="rect"/>
              </v:shapetype>
              <v:shape id="Text Box 2" style="position:absolute;margin-left:202.8pt;margin-top:.7pt;width:173.3pt;height:18.3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">
                <v:textbox style="mso-fit-shape-to-text:t">
                  <w:txbxContent>
                    <w:p w:rsidRPr="00D80C08" w:rsidR="0088161E" w:rsidP="00D520BD" w:rsidRDefault="0088161E" w14:paraId="0B446200" w14:textId="77777777">
                      <w:pPr>
                        <w:rPr>
                          <w:sz w:val="18"/>
                        </w:rPr>
                      </w:pPr>
                      <w:r w:rsidRPr="00D80C08">
                        <w:rPr>
                          <w:sz w:val="18"/>
                        </w:rPr>
                        <w:t>Inputs ranked by effect on output mean</w:t>
                      </w:r>
                    </w:p>
                  </w:txbxContent>
                </v:textbox>
              </v:shape>
            </w:pict>
          </mc:Fallback>
        </mc:AlternateContent>
      </w:r>
    </w:p>
    <w:p w:rsidRPr="00B858DB" w:rsidR="00B858DB" w:rsidP="00B858DB" w:rsidRDefault="00B858DB" w14:paraId="46C81DA9" w14:textId="682FFD0E">
      <w:pPr>
        <w:pStyle w:val="Caption"/>
        <w:jc w:val="center"/>
        <w:rPr>
          <w:rFonts w:ascii="Arial Bold" w:hAnsi="Arial Bold"/>
          <w:b/>
        </w:rPr>
      </w:pPr>
      <w:bookmarkStart w:name="_Toc62207090" w:id="243"/>
      <w:bookmarkStart w:name="_Toc68166751" w:id="244"/>
      <w:bookmarkStart w:name="_Toc105681552" w:id="245"/>
      <w:r w:rsidRPr="00B858DB">
        <w:rPr>
          <w:rFonts w:ascii="Arial Bold" w:hAnsi="Arial Bold"/>
          <w:b/>
        </w:rPr>
        <w:t>Figure 5-</w:t>
      </w:r>
      <w:r w:rsidR="00CD4D83">
        <w:rPr>
          <w:rFonts w:ascii="Arial Bold" w:hAnsi="Arial Bold"/>
          <w:b/>
        </w:rPr>
        <w:fldChar w:fldCharType="begin"/>
      </w:r>
      <w:r w:rsidR="00CD4D83">
        <w:rPr>
          <w:rFonts w:ascii="Arial Bold" w:hAnsi="Arial Bold"/>
          <w:b/>
        </w:rPr>
        <w:instrText xml:space="preserve"> SEQ Figure \* ARABIC </w:instrText>
      </w:r>
      <w:r w:rsidR="00CD4D83">
        <w:rPr>
          <w:rFonts w:ascii="Arial Bold" w:hAnsi="Arial Bold"/>
          <w:b/>
        </w:rPr>
        <w:fldChar w:fldCharType="separate"/>
      </w:r>
      <w:r w:rsidR="00A6777F">
        <w:rPr>
          <w:rFonts w:ascii="Arial Bold" w:hAnsi="Arial Bold"/>
          <w:b/>
          <w:noProof/>
        </w:rPr>
        <w:t>7</w:t>
      </w:r>
      <w:r w:rsidR="00CD4D83">
        <w:rPr>
          <w:rFonts w:ascii="Arial Bold" w:hAnsi="Arial Bold"/>
          <w:b/>
        </w:rPr>
        <w:fldChar w:fldCharType="end"/>
      </w:r>
      <w:r w:rsidRPr="00B858DB">
        <w:rPr>
          <w:rFonts w:ascii="Arial Bold" w:hAnsi="Arial Bold"/>
          <w:b/>
        </w:rPr>
        <w:t xml:space="preserve">  Variables Whose Uncertainty Drives </w:t>
      </w:r>
      <w:r w:rsidR="007D6351">
        <w:rPr>
          <w:rFonts w:ascii="Arial Bold" w:hAnsi="Arial Bold"/>
          <w:b/>
        </w:rPr>
        <w:t>t</w:t>
      </w:r>
      <w:r w:rsidRPr="00B858DB">
        <w:rPr>
          <w:rFonts w:ascii="Arial Bold" w:hAnsi="Arial Bold"/>
          <w:b/>
        </w:rPr>
        <w:t xml:space="preserve">he Largest Impact </w:t>
      </w:r>
      <w:r w:rsidR="007D6351">
        <w:rPr>
          <w:rFonts w:ascii="Arial Bold" w:hAnsi="Arial Bold"/>
          <w:b/>
        </w:rPr>
        <w:t>o</w:t>
      </w:r>
      <w:r w:rsidRPr="00B858DB">
        <w:rPr>
          <w:rFonts w:ascii="Arial Bold" w:hAnsi="Arial Bold"/>
          <w:b/>
        </w:rPr>
        <w:t>n Costs (3</w:t>
      </w:r>
      <w:r w:rsidRPr="00B858DB">
        <w:rPr>
          <w:rFonts w:ascii="Arial Bold" w:hAnsi="Arial Bold"/>
          <w:b/>
        </w:rPr>
        <w:noBreakHyphen/>
        <w:t>Percent</w:t>
      </w:r>
      <w:r w:rsidR="00BE4EA0">
        <w:rPr>
          <w:rFonts w:hint="eastAsia" w:ascii="Arial Bold" w:hAnsi="Arial Bold"/>
          <w:b/>
        </w:rPr>
        <w:t> </w:t>
      </w:r>
      <w:r w:rsidRPr="00B858DB">
        <w:rPr>
          <w:rFonts w:ascii="Arial Bold" w:hAnsi="Arial Bold"/>
          <w:b/>
        </w:rPr>
        <w:t>Net</w:t>
      </w:r>
      <w:r w:rsidR="00BE4EA0">
        <w:rPr>
          <w:rFonts w:hint="eastAsia" w:ascii="Arial Bold" w:hAnsi="Arial Bold"/>
          <w:b/>
        </w:rPr>
        <w:t> </w:t>
      </w:r>
      <w:r w:rsidRPr="00B858DB">
        <w:rPr>
          <w:rFonts w:ascii="Arial Bold" w:hAnsi="Arial Bold"/>
          <w:b/>
        </w:rPr>
        <w:t>Present Value)</w:t>
      </w:r>
      <w:bookmarkEnd w:id="243"/>
      <w:bookmarkEnd w:id="244"/>
      <w:bookmarkEnd w:id="245"/>
    </w:p>
    <w:p w:rsidRPr="004E5ACE" w:rsidR="00D520BD" w:rsidP="00D520BD" w:rsidRDefault="00ED72A5" w14:paraId="42CA6C5C" w14:textId="7751A189">
      <w:pPr>
        <w:pStyle w:val="Figure"/>
        <w:keepNext w:val="0"/>
        <w:keepLines w:val="0"/>
        <w:rPr>
          <w:rFonts w:cs="Arial"/>
          <w:b w:val="0"/>
          <w:bCs w:val="0"/>
        </w:rPr>
      </w:pPr>
      <w:r>
        <w:rPr>
          <w:rFonts w:cs="Arial"/>
          <w:b w:val="0"/>
          <w:bCs w:val="0"/>
          <w:noProof/>
        </w:rPr>
        <w:drawing>
          <wp:inline distT="0" distB="0" distL="0" distR="0" wp14:anchorId="6F7387FE" wp14:editId="7179EC38">
            <wp:extent cx="5837555" cy="3230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3">
                      <a:extLst>
                        <a:ext uri="{28A0092B-C50C-407E-A947-70E740481C1C}">
                          <a14:useLocalDpi xmlns:a14="http://schemas.microsoft.com/office/drawing/2010/main" val="0"/>
                        </a:ext>
                      </a:extLst>
                    </a:blip>
                    <a:srcRect l="1795"/>
                    <a:stretch/>
                  </pic:blipFill>
                  <pic:spPr bwMode="auto">
                    <a:xfrm>
                      <a:off x="0" y="0"/>
                      <a:ext cx="5837555" cy="3230880"/>
                    </a:xfrm>
                    <a:prstGeom prst="rect">
                      <a:avLst/>
                    </a:prstGeom>
                    <a:noFill/>
                    <a:ln>
                      <a:noFill/>
                    </a:ln>
                    <a:extLst>
                      <a:ext uri="{53640926-AAD7-44D8-BBD7-CCE9431645EC}">
                        <a14:shadowObscured xmlns:a14="http://schemas.microsoft.com/office/drawing/2010/main"/>
                      </a:ext>
                    </a:extLst>
                  </pic:spPr>
                </pic:pic>
              </a:graphicData>
            </a:graphic>
          </wp:inline>
        </w:drawing>
      </w:r>
    </w:p>
    <w:p w:rsidRPr="00B858DB" w:rsidR="00D520BD" w:rsidP="00B858DB" w:rsidRDefault="00D520BD" w14:paraId="6AABD990" w14:textId="77777777">
      <w:pPr>
        <w:rPr>
          <w:sz w:val="22"/>
          <w:szCs w:val="22"/>
        </w:rPr>
      </w:pPr>
    </w:p>
    <w:p w:rsidRPr="00646A79" w:rsidR="00D520BD" w:rsidP="00D520BD" w:rsidRDefault="00F10048" w14:paraId="1FB0DFCB" w14:textId="15AF42C4">
      <w:pPr>
        <w:rPr>
          <w:sz w:val="22"/>
          <w:szCs w:val="22"/>
        </w:rPr>
      </w:pPr>
      <w:r w:rsidRPr="00F10048">
        <w:rPr>
          <w:bCs/>
          <w:sz w:val="22"/>
          <w:szCs w:val="22"/>
        </w:rPr>
        <w:fldChar w:fldCharType="begin"/>
      </w:r>
      <w:r w:rsidRPr="00F10048">
        <w:rPr>
          <w:bCs/>
          <w:sz w:val="22"/>
          <w:szCs w:val="22"/>
        </w:rPr>
        <w:instrText xml:space="preserve"> REF _Ref72166272 \h  \* MERGEFORMAT </w:instrText>
      </w:r>
      <w:r w:rsidRPr="00F10048">
        <w:rPr>
          <w:bCs/>
          <w:sz w:val="22"/>
          <w:szCs w:val="22"/>
        </w:rPr>
      </w:r>
      <w:r w:rsidRPr="00F10048">
        <w:rPr>
          <w:bCs/>
          <w:sz w:val="22"/>
          <w:szCs w:val="22"/>
        </w:rPr>
        <w:fldChar w:fldCharType="separate"/>
      </w:r>
      <w:r w:rsidRPr="006155B8" w:rsidR="00A6777F">
        <w:rPr>
          <w:bCs/>
          <w:sz w:val="22"/>
          <w:szCs w:val="22"/>
        </w:rPr>
        <w:t>Table 5-18</w:t>
      </w:r>
      <w:r w:rsidRPr="00F10048">
        <w:rPr>
          <w:bCs/>
          <w:sz w:val="22"/>
          <w:szCs w:val="22"/>
        </w:rPr>
        <w:fldChar w:fldCharType="end"/>
      </w:r>
      <w:r w:rsidR="00D520BD">
        <w:rPr>
          <w:bCs/>
          <w:sz w:val="22"/>
          <w:szCs w:val="22"/>
        </w:rPr>
        <w:t xml:space="preserve"> presents the range of additional positive results that are estimated to be detected if the rule is implemented.  These estimates of additional </w:t>
      </w:r>
      <w:r w:rsidRPr="001313E3" w:rsidR="00D520BD">
        <w:rPr>
          <w:bCs/>
          <w:sz w:val="22"/>
          <w:szCs w:val="22"/>
        </w:rPr>
        <w:t>positive results are based on the uncertainty estimate inputs and distributions in Table</w:t>
      </w:r>
      <w:r w:rsidR="00D520BD">
        <w:rPr>
          <w:bCs/>
          <w:sz w:val="22"/>
          <w:szCs w:val="22"/>
        </w:rPr>
        <w:t> </w:t>
      </w:r>
      <w:r w:rsidRPr="001313E3" w:rsidR="00D520BD">
        <w:rPr>
          <w:bCs/>
          <w:sz w:val="22"/>
          <w:szCs w:val="22"/>
        </w:rPr>
        <w:t>5-</w:t>
      </w:r>
      <w:r w:rsidR="00CD4D83">
        <w:rPr>
          <w:bCs/>
          <w:sz w:val="22"/>
          <w:szCs w:val="22"/>
        </w:rPr>
        <w:t>1</w:t>
      </w:r>
      <w:r w:rsidR="000878C3">
        <w:rPr>
          <w:bCs/>
          <w:sz w:val="22"/>
          <w:szCs w:val="22"/>
        </w:rPr>
        <w:t>6</w:t>
      </w:r>
      <w:r w:rsidRPr="001313E3" w:rsidR="00D520BD">
        <w:rPr>
          <w:bCs/>
          <w:sz w:val="22"/>
          <w:szCs w:val="22"/>
        </w:rPr>
        <w:t xml:space="preserve"> and reflect the uncertainties associated with using historical DOT </w:t>
      </w:r>
      <w:r w:rsidR="000E2E47">
        <w:rPr>
          <w:bCs/>
          <w:sz w:val="22"/>
          <w:szCs w:val="22"/>
        </w:rPr>
        <w:t xml:space="preserve">and NRC </w:t>
      </w:r>
      <w:r w:rsidRPr="001313E3" w:rsidR="00D520BD">
        <w:rPr>
          <w:bCs/>
          <w:sz w:val="22"/>
          <w:szCs w:val="22"/>
        </w:rPr>
        <w:t>test results data to forecast future FFD test results.</w:t>
      </w:r>
    </w:p>
    <w:p w:rsidR="00D520BD" w:rsidP="00D520BD" w:rsidRDefault="00D520BD" w14:paraId="5F86207F" w14:textId="77777777">
      <w:pPr>
        <w:rPr>
          <w:sz w:val="22"/>
          <w:szCs w:val="22"/>
        </w:rPr>
      </w:pPr>
    </w:p>
    <w:p w:rsidRPr="00625C7E" w:rsidR="00625C7E" w:rsidP="00B858DB" w:rsidRDefault="00625C7E" w14:paraId="3E544E7D" w14:textId="22662A36">
      <w:pPr>
        <w:pStyle w:val="Caption"/>
        <w:jc w:val="center"/>
        <w:rPr>
          <w:b/>
          <w:bCs w:val="0"/>
        </w:rPr>
      </w:pPr>
      <w:bookmarkStart w:name="_Ref72166272" w:id="246"/>
      <w:bookmarkStart w:name="_Toc72490580" w:id="247"/>
      <w:bookmarkStart w:name="_Toc105681577" w:id="248"/>
      <w:r w:rsidRPr="00625C7E">
        <w:rPr>
          <w:b/>
          <w:bCs w:val="0"/>
        </w:rPr>
        <w:t xml:space="preserve">Table </w:t>
      </w:r>
      <w:r>
        <w:rPr>
          <w:b/>
          <w:bCs w:val="0"/>
        </w:rPr>
        <w:t>5-</w:t>
      </w:r>
      <w:r w:rsidRPr="00625C7E">
        <w:rPr>
          <w:b/>
          <w:bCs w:val="0"/>
        </w:rPr>
        <w:fldChar w:fldCharType="begin"/>
      </w:r>
      <w:r w:rsidRPr="00625C7E">
        <w:rPr>
          <w:b/>
          <w:bCs w:val="0"/>
        </w:rPr>
        <w:instrText xml:space="preserve"> SEQ Table \* ARABIC </w:instrText>
      </w:r>
      <w:r w:rsidRPr="00625C7E">
        <w:rPr>
          <w:b/>
          <w:bCs w:val="0"/>
        </w:rPr>
        <w:fldChar w:fldCharType="separate"/>
      </w:r>
      <w:r w:rsidR="00A6777F">
        <w:rPr>
          <w:b/>
          <w:bCs w:val="0"/>
          <w:noProof/>
        </w:rPr>
        <w:t>18</w:t>
      </w:r>
      <w:r w:rsidRPr="00625C7E">
        <w:rPr>
          <w:b/>
          <w:bCs w:val="0"/>
        </w:rPr>
        <w:fldChar w:fldCharType="end"/>
      </w:r>
      <w:bookmarkEnd w:id="246"/>
      <w:r w:rsidRPr="00625C7E">
        <w:rPr>
          <w:b/>
          <w:bCs w:val="0"/>
        </w:rPr>
        <w:t xml:space="preserve">  </w:t>
      </w:r>
      <w:r>
        <w:rPr>
          <w:b/>
          <w:bCs w:val="0"/>
        </w:rPr>
        <w:t xml:space="preserve">Estimated Number of Additional Confirmed Positives </w:t>
      </w:r>
      <w:r w:rsidR="009E25A9">
        <w:rPr>
          <w:b/>
          <w:bCs w:val="0"/>
        </w:rPr>
        <w:t>p</w:t>
      </w:r>
      <w:r w:rsidR="00B858DB">
        <w:rPr>
          <w:b/>
          <w:bCs w:val="0"/>
        </w:rPr>
        <w:t>er Year</w:t>
      </w:r>
      <w:bookmarkEnd w:id="247"/>
      <w:bookmarkEnd w:id="248"/>
    </w:p>
    <w:tbl>
      <w:tblPr>
        <w:tblW w:w="5000" w:type="pct"/>
        <w:jc w:val="center"/>
        <w:tblCellMar>
          <w:left w:w="0" w:type="dxa"/>
          <w:right w:w="0" w:type="dxa"/>
        </w:tblCellMar>
        <w:tblLook w:val="04A0" w:firstRow="1" w:lastRow="0" w:firstColumn="1" w:lastColumn="0" w:noHBand="0" w:noVBand="1"/>
      </w:tblPr>
      <w:tblGrid>
        <w:gridCol w:w="3864"/>
        <w:gridCol w:w="720"/>
        <w:gridCol w:w="810"/>
        <w:gridCol w:w="810"/>
        <w:gridCol w:w="812"/>
        <w:gridCol w:w="718"/>
        <w:gridCol w:w="681"/>
        <w:gridCol w:w="935"/>
      </w:tblGrid>
      <w:tr w:rsidR="003B52B6" w:rsidTr="0038684D" w14:paraId="0399A2F1" w14:textId="77777777">
        <w:trPr>
          <w:trHeight w:val="314"/>
          <w:jc w:val="center"/>
        </w:trPr>
        <w:tc>
          <w:tcPr>
            <w:tcW w:w="2067" w:type="pct"/>
            <w:tcBorders>
              <w:top w:val="single" w:color="auto" w:sz="4" w:space="0"/>
              <w:left w:val="single" w:color="auto" w:sz="4" w:space="0"/>
              <w:bottom w:val="single" w:color="auto" w:sz="4" w:space="0"/>
              <w:right w:val="single" w:color="auto" w:sz="4" w:space="0"/>
            </w:tcBorders>
            <w:shd w:val="clear" w:color="auto" w:fill="FFFFFF" w:themeFill="background1"/>
            <w:vAlign w:val="center"/>
            <w:hideMark/>
          </w:tcPr>
          <w:p w:rsidRPr="001075DD" w:rsidR="001075DD" w:rsidRDefault="001075DD" w14:paraId="7385F5DB" w14:textId="77777777">
            <w:pPr>
              <w:autoSpaceDE/>
              <w:autoSpaceDN/>
              <w:adjustRightInd/>
              <w:jc w:val="center"/>
              <w:rPr>
                <w:rFonts w:cs="Arial"/>
                <w:b/>
                <w:bCs/>
              </w:rPr>
            </w:pPr>
            <w:r w:rsidRPr="001075DD">
              <w:rPr>
                <w:rFonts w:cs="Arial"/>
                <w:b/>
                <w:bCs/>
              </w:rPr>
              <w:t>Substance</w:t>
            </w:r>
          </w:p>
        </w:tc>
        <w:tc>
          <w:tcPr>
            <w:tcW w:w="385" w:type="pct"/>
            <w:tcBorders>
              <w:top w:val="single" w:color="auto" w:sz="4" w:space="0"/>
              <w:left w:val="nil"/>
              <w:bottom w:val="single" w:color="auto" w:sz="4" w:space="0"/>
              <w:right w:val="single" w:color="auto" w:sz="4" w:space="0"/>
            </w:tcBorders>
            <w:shd w:val="clear" w:color="auto" w:fill="FFFFFF" w:themeFill="background1"/>
            <w:vAlign w:val="center"/>
            <w:hideMark/>
          </w:tcPr>
          <w:p w:rsidRPr="001075DD" w:rsidR="001075DD" w:rsidRDefault="001075DD" w14:paraId="7535BC48" w14:textId="77777777">
            <w:pPr>
              <w:jc w:val="center"/>
              <w:rPr>
                <w:rFonts w:cs="Arial"/>
                <w:b/>
                <w:bCs/>
              </w:rPr>
            </w:pPr>
            <w:r w:rsidRPr="001075DD">
              <w:rPr>
                <w:rFonts w:cs="Arial"/>
                <w:b/>
                <w:bCs/>
              </w:rPr>
              <w:t>Min</w:t>
            </w:r>
          </w:p>
        </w:tc>
        <w:tc>
          <w:tcPr>
            <w:tcW w:w="433" w:type="pct"/>
            <w:tcBorders>
              <w:top w:val="single" w:color="auto" w:sz="4" w:space="0"/>
              <w:left w:val="nil"/>
              <w:bottom w:val="single" w:color="auto" w:sz="4" w:space="0"/>
              <w:right w:val="single" w:color="auto" w:sz="4" w:space="0"/>
            </w:tcBorders>
            <w:shd w:val="clear" w:color="auto" w:fill="FFFFFF" w:themeFill="background1"/>
            <w:vAlign w:val="center"/>
            <w:hideMark/>
          </w:tcPr>
          <w:p w:rsidRPr="001075DD" w:rsidR="001075DD" w:rsidRDefault="001075DD" w14:paraId="2984FB63" w14:textId="77777777">
            <w:pPr>
              <w:jc w:val="center"/>
              <w:rPr>
                <w:rFonts w:cs="Arial"/>
                <w:b/>
                <w:bCs/>
              </w:rPr>
            </w:pPr>
            <w:r w:rsidRPr="001075DD">
              <w:rPr>
                <w:rFonts w:cs="Arial"/>
                <w:b/>
                <w:bCs/>
              </w:rPr>
              <w:t>Mean</w:t>
            </w:r>
          </w:p>
        </w:tc>
        <w:tc>
          <w:tcPr>
            <w:tcW w:w="433" w:type="pct"/>
            <w:tcBorders>
              <w:top w:val="single" w:color="auto" w:sz="4" w:space="0"/>
              <w:left w:val="nil"/>
              <w:bottom w:val="single" w:color="auto" w:sz="4" w:space="0"/>
              <w:right w:val="single" w:color="auto" w:sz="4" w:space="0"/>
            </w:tcBorders>
            <w:shd w:val="clear" w:color="auto" w:fill="FFFFFF" w:themeFill="background1"/>
            <w:vAlign w:val="center"/>
            <w:hideMark/>
          </w:tcPr>
          <w:p w:rsidRPr="001075DD" w:rsidR="001075DD" w:rsidRDefault="001075DD" w14:paraId="6DACC7B9" w14:textId="77777777">
            <w:pPr>
              <w:jc w:val="center"/>
              <w:rPr>
                <w:rFonts w:cs="Arial"/>
                <w:b/>
                <w:bCs/>
              </w:rPr>
            </w:pPr>
            <w:r w:rsidRPr="001075DD">
              <w:rPr>
                <w:rFonts w:cs="Arial"/>
                <w:b/>
                <w:bCs/>
              </w:rPr>
              <w:t>Mode</w:t>
            </w:r>
          </w:p>
        </w:tc>
        <w:tc>
          <w:tcPr>
            <w:tcW w:w="434" w:type="pct"/>
            <w:tcBorders>
              <w:top w:val="single" w:color="auto" w:sz="4" w:space="0"/>
              <w:left w:val="nil"/>
              <w:bottom w:val="single" w:color="auto" w:sz="4" w:space="0"/>
              <w:right w:val="single" w:color="auto" w:sz="4" w:space="0"/>
            </w:tcBorders>
            <w:shd w:val="clear" w:color="auto" w:fill="FFFFFF" w:themeFill="background1"/>
            <w:vAlign w:val="center"/>
            <w:hideMark/>
          </w:tcPr>
          <w:p w:rsidRPr="001075DD" w:rsidR="001075DD" w:rsidRDefault="001075DD" w14:paraId="1876FE58" w14:textId="77777777">
            <w:pPr>
              <w:jc w:val="center"/>
              <w:rPr>
                <w:rFonts w:cs="Arial"/>
                <w:b/>
                <w:bCs/>
              </w:rPr>
            </w:pPr>
            <w:r w:rsidRPr="001075DD">
              <w:rPr>
                <w:rFonts w:cs="Arial"/>
                <w:b/>
                <w:bCs/>
              </w:rPr>
              <w:t>Median</w:t>
            </w:r>
          </w:p>
        </w:tc>
        <w:tc>
          <w:tcPr>
            <w:tcW w:w="384" w:type="pct"/>
            <w:tcBorders>
              <w:top w:val="single" w:color="auto" w:sz="4" w:space="0"/>
              <w:left w:val="nil"/>
              <w:bottom w:val="single" w:color="auto" w:sz="4" w:space="0"/>
              <w:right w:val="single" w:color="auto" w:sz="4" w:space="0"/>
            </w:tcBorders>
            <w:shd w:val="clear" w:color="auto" w:fill="FFFFFF" w:themeFill="background1"/>
            <w:vAlign w:val="center"/>
            <w:hideMark/>
          </w:tcPr>
          <w:p w:rsidRPr="001075DD" w:rsidR="001075DD" w:rsidRDefault="001075DD" w14:paraId="28082C72" w14:textId="77777777">
            <w:pPr>
              <w:jc w:val="center"/>
              <w:rPr>
                <w:rFonts w:cs="Arial"/>
                <w:b/>
                <w:bCs/>
              </w:rPr>
            </w:pPr>
            <w:r w:rsidRPr="001075DD">
              <w:rPr>
                <w:rFonts w:cs="Arial"/>
                <w:b/>
                <w:bCs/>
              </w:rPr>
              <w:t>Max</w:t>
            </w:r>
          </w:p>
        </w:tc>
        <w:tc>
          <w:tcPr>
            <w:tcW w:w="364" w:type="pct"/>
            <w:tcBorders>
              <w:top w:val="single" w:color="auto" w:sz="4" w:space="0"/>
              <w:left w:val="nil"/>
              <w:bottom w:val="single" w:color="auto" w:sz="4" w:space="0"/>
              <w:right w:val="single" w:color="auto" w:sz="4" w:space="0"/>
            </w:tcBorders>
            <w:shd w:val="clear" w:color="auto" w:fill="FFFFFF" w:themeFill="background1"/>
            <w:vAlign w:val="center"/>
            <w:hideMark/>
          </w:tcPr>
          <w:p w:rsidRPr="001075DD" w:rsidR="001075DD" w:rsidRDefault="001075DD" w14:paraId="5C9DC6E9" w14:textId="77777777">
            <w:pPr>
              <w:jc w:val="center"/>
              <w:rPr>
                <w:rFonts w:cs="Arial"/>
                <w:b/>
                <w:bCs/>
              </w:rPr>
            </w:pPr>
            <w:r w:rsidRPr="001075DD">
              <w:rPr>
                <w:rFonts w:cs="Arial"/>
                <w:b/>
                <w:bCs/>
              </w:rPr>
              <w:t>0.05</w:t>
            </w:r>
          </w:p>
        </w:tc>
        <w:tc>
          <w:tcPr>
            <w:tcW w:w="500" w:type="pct"/>
            <w:tcBorders>
              <w:top w:val="single" w:color="auto" w:sz="4" w:space="0"/>
              <w:left w:val="nil"/>
              <w:bottom w:val="single" w:color="auto" w:sz="4" w:space="0"/>
              <w:right w:val="single" w:color="auto" w:sz="4" w:space="0"/>
            </w:tcBorders>
            <w:shd w:val="clear" w:color="auto" w:fill="FFFFFF" w:themeFill="background1"/>
            <w:vAlign w:val="center"/>
            <w:hideMark/>
          </w:tcPr>
          <w:p w:rsidRPr="001075DD" w:rsidR="001075DD" w:rsidRDefault="001075DD" w14:paraId="2BE4CD02" w14:textId="77777777">
            <w:pPr>
              <w:jc w:val="center"/>
              <w:rPr>
                <w:rFonts w:cs="Arial"/>
                <w:b/>
                <w:bCs/>
              </w:rPr>
            </w:pPr>
            <w:r w:rsidRPr="001075DD">
              <w:rPr>
                <w:rFonts w:cs="Arial"/>
                <w:b/>
                <w:bCs/>
              </w:rPr>
              <w:t>0.95</w:t>
            </w:r>
          </w:p>
        </w:tc>
      </w:tr>
      <w:tr w:rsidR="003B52B6" w:rsidTr="0038684D" w14:paraId="48EFC02B" w14:textId="77777777">
        <w:trPr>
          <w:trHeight w:val="312"/>
          <w:jc w:val="center"/>
        </w:trPr>
        <w:tc>
          <w:tcPr>
            <w:tcW w:w="2067" w:type="pct"/>
            <w:tcBorders>
              <w:top w:val="nil"/>
              <w:left w:val="single" w:color="auto" w:sz="4" w:space="0"/>
              <w:bottom w:val="single" w:color="auto" w:sz="4" w:space="0"/>
              <w:right w:val="single" w:color="auto" w:sz="4" w:space="0"/>
            </w:tcBorders>
            <w:shd w:val="clear" w:color="000000" w:fill="FFFFFF"/>
            <w:tcMar>
              <w:top w:w="0" w:type="dxa"/>
              <w:left w:w="72" w:type="dxa"/>
              <w:bottom w:w="0" w:type="dxa"/>
              <w:right w:w="0" w:type="dxa"/>
            </w:tcMar>
            <w:vAlign w:val="center"/>
            <w:hideMark/>
          </w:tcPr>
          <w:p w:rsidRPr="001075DD" w:rsidR="001075DD" w:rsidP="001075DD" w:rsidRDefault="001075DD" w14:paraId="380CA987" w14:textId="77777777">
            <w:pPr>
              <w:rPr>
                <w:rFonts w:cs="Arial"/>
              </w:rPr>
            </w:pPr>
            <w:r w:rsidRPr="001075DD">
              <w:rPr>
                <w:rFonts w:cs="Arial"/>
              </w:rPr>
              <w:t>6-AM</w:t>
            </w:r>
          </w:p>
        </w:tc>
        <w:tc>
          <w:tcPr>
            <w:tcW w:w="385"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58D07FCD" w14:textId="77777777">
            <w:pPr>
              <w:jc w:val="center"/>
              <w:rPr>
                <w:rFonts w:cs="Arial"/>
              </w:rPr>
            </w:pPr>
            <w:r w:rsidRPr="001075DD">
              <w:rPr>
                <w:rFonts w:cs="Arial"/>
              </w:rPr>
              <w:t>12</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51C3BA8E" w14:textId="77777777">
            <w:pPr>
              <w:jc w:val="center"/>
              <w:rPr>
                <w:rFonts w:cs="Arial"/>
              </w:rPr>
            </w:pPr>
            <w:r w:rsidRPr="001075DD">
              <w:rPr>
                <w:rFonts w:cs="Arial"/>
              </w:rPr>
              <w:t>22</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5CD8C6AE" w14:textId="77777777">
            <w:pPr>
              <w:jc w:val="center"/>
              <w:rPr>
                <w:rFonts w:cs="Arial"/>
              </w:rPr>
            </w:pPr>
            <w:r w:rsidRPr="001075DD">
              <w:rPr>
                <w:rFonts w:cs="Arial"/>
              </w:rPr>
              <w:t>21</w:t>
            </w:r>
          </w:p>
        </w:tc>
        <w:tc>
          <w:tcPr>
            <w:tcW w:w="43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34AED09" w14:textId="77777777">
            <w:pPr>
              <w:jc w:val="center"/>
              <w:rPr>
                <w:rFonts w:cs="Arial"/>
              </w:rPr>
            </w:pPr>
            <w:r w:rsidRPr="001075DD">
              <w:rPr>
                <w:rFonts w:cs="Arial"/>
              </w:rPr>
              <w:t>21</w:t>
            </w:r>
          </w:p>
        </w:tc>
        <w:tc>
          <w:tcPr>
            <w:tcW w:w="38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6C74345B" w14:textId="77777777">
            <w:pPr>
              <w:jc w:val="center"/>
              <w:rPr>
                <w:rFonts w:cs="Arial"/>
              </w:rPr>
            </w:pPr>
            <w:r w:rsidRPr="001075DD">
              <w:rPr>
                <w:rFonts w:cs="Arial"/>
              </w:rPr>
              <w:t>33</w:t>
            </w:r>
          </w:p>
        </w:tc>
        <w:tc>
          <w:tcPr>
            <w:tcW w:w="36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410968D8" w14:textId="77777777">
            <w:pPr>
              <w:jc w:val="center"/>
              <w:rPr>
                <w:rFonts w:cs="Arial"/>
              </w:rPr>
            </w:pPr>
            <w:r w:rsidRPr="001075DD">
              <w:rPr>
                <w:rFonts w:cs="Arial"/>
              </w:rPr>
              <w:t>14</w:t>
            </w:r>
          </w:p>
        </w:tc>
        <w:tc>
          <w:tcPr>
            <w:tcW w:w="500"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2107F286" w14:textId="77777777">
            <w:pPr>
              <w:jc w:val="center"/>
              <w:rPr>
                <w:rFonts w:cs="Arial"/>
              </w:rPr>
            </w:pPr>
            <w:r w:rsidRPr="001075DD">
              <w:rPr>
                <w:rFonts w:cs="Arial"/>
              </w:rPr>
              <w:t>29</w:t>
            </w:r>
          </w:p>
        </w:tc>
      </w:tr>
      <w:tr w:rsidR="003B52B6" w:rsidTr="0038684D" w14:paraId="7C366F1B" w14:textId="77777777">
        <w:trPr>
          <w:trHeight w:val="300"/>
          <w:jc w:val="center"/>
        </w:trPr>
        <w:tc>
          <w:tcPr>
            <w:tcW w:w="2067" w:type="pct"/>
            <w:tcBorders>
              <w:top w:val="nil"/>
              <w:left w:val="single" w:color="auto" w:sz="4" w:space="0"/>
              <w:bottom w:val="single" w:color="auto" w:sz="4" w:space="0"/>
              <w:right w:val="single" w:color="auto" w:sz="4" w:space="0"/>
            </w:tcBorders>
            <w:shd w:val="clear" w:color="000000" w:fill="FFFFFF"/>
            <w:tcMar>
              <w:top w:w="0" w:type="dxa"/>
              <w:left w:w="72" w:type="dxa"/>
              <w:bottom w:w="0" w:type="dxa"/>
              <w:right w:w="0" w:type="dxa"/>
            </w:tcMar>
            <w:vAlign w:val="center"/>
            <w:hideMark/>
          </w:tcPr>
          <w:p w:rsidRPr="001075DD" w:rsidR="001075DD" w:rsidP="001075DD" w:rsidRDefault="001075DD" w14:paraId="30AC0205" w14:textId="77777777">
            <w:pPr>
              <w:rPr>
                <w:rFonts w:cs="Arial"/>
              </w:rPr>
            </w:pPr>
            <w:r w:rsidRPr="001075DD">
              <w:rPr>
                <w:rFonts w:cs="Arial"/>
              </w:rPr>
              <w:t>Amphetamines</w:t>
            </w:r>
          </w:p>
        </w:tc>
        <w:tc>
          <w:tcPr>
            <w:tcW w:w="385"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51D64FD5" w14:textId="77777777">
            <w:pPr>
              <w:jc w:val="center"/>
              <w:rPr>
                <w:rFonts w:cs="Arial"/>
              </w:rPr>
            </w:pPr>
            <w:r w:rsidRPr="001075DD">
              <w:rPr>
                <w:rFonts w:cs="Arial"/>
              </w:rPr>
              <w:t>2</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25C18C4D" w14:textId="77777777">
            <w:pPr>
              <w:jc w:val="center"/>
              <w:rPr>
                <w:rFonts w:cs="Arial"/>
              </w:rPr>
            </w:pPr>
            <w:r w:rsidRPr="001075DD">
              <w:rPr>
                <w:rFonts w:cs="Arial"/>
              </w:rPr>
              <w:t>23</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D302B5C" w14:textId="77777777">
            <w:pPr>
              <w:jc w:val="center"/>
              <w:rPr>
                <w:rFonts w:cs="Arial"/>
              </w:rPr>
            </w:pPr>
            <w:r w:rsidRPr="001075DD">
              <w:rPr>
                <w:rFonts w:cs="Arial"/>
              </w:rPr>
              <w:t>21</w:t>
            </w:r>
          </w:p>
        </w:tc>
        <w:tc>
          <w:tcPr>
            <w:tcW w:w="43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BFC238B" w14:textId="77777777">
            <w:pPr>
              <w:jc w:val="center"/>
              <w:rPr>
                <w:rFonts w:cs="Arial"/>
              </w:rPr>
            </w:pPr>
            <w:r w:rsidRPr="001075DD">
              <w:rPr>
                <w:rFonts w:cs="Arial"/>
              </w:rPr>
              <w:t>22</w:t>
            </w:r>
          </w:p>
        </w:tc>
        <w:tc>
          <w:tcPr>
            <w:tcW w:w="38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62EC4B09" w14:textId="77777777">
            <w:pPr>
              <w:jc w:val="center"/>
              <w:rPr>
                <w:rFonts w:cs="Arial"/>
              </w:rPr>
            </w:pPr>
            <w:r w:rsidRPr="001075DD">
              <w:rPr>
                <w:rFonts w:cs="Arial"/>
              </w:rPr>
              <w:t>52</w:t>
            </w:r>
          </w:p>
        </w:tc>
        <w:tc>
          <w:tcPr>
            <w:tcW w:w="36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1E07734F" w14:textId="77777777">
            <w:pPr>
              <w:jc w:val="center"/>
              <w:rPr>
                <w:rFonts w:cs="Arial"/>
              </w:rPr>
            </w:pPr>
            <w:r w:rsidRPr="001075DD">
              <w:rPr>
                <w:rFonts w:cs="Arial"/>
              </w:rPr>
              <w:t>9</w:t>
            </w:r>
          </w:p>
        </w:tc>
        <w:tc>
          <w:tcPr>
            <w:tcW w:w="500"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1EDF6BC7" w14:textId="77777777">
            <w:pPr>
              <w:jc w:val="center"/>
              <w:rPr>
                <w:rFonts w:cs="Arial"/>
              </w:rPr>
            </w:pPr>
            <w:r w:rsidRPr="001075DD">
              <w:rPr>
                <w:rFonts w:cs="Arial"/>
              </w:rPr>
              <w:t>37</w:t>
            </w:r>
          </w:p>
        </w:tc>
      </w:tr>
      <w:tr w:rsidR="003B52B6" w:rsidTr="0038684D" w14:paraId="519AE0B1" w14:textId="77777777">
        <w:trPr>
          <w:trHeight w:val="300"/>
          <w:jc w:val="center"/>
        </w:trPr>
        <w:tc>
          <w:tcPr>
            <w:tcW w:w="2067" w:type="pct"/>
            <w:tcBorders>
              <w:top w:val="nil"/>
              <w:left w:val="single" w:color="auto" w:sz="4" w:space="0"/>
              <w:bottom w:val="single" w:color="auto" w:sz="4" w:space="0"/>
              <w:right w:val="single" w:color="auto" w:sz="4" w:space="0"/>
            </w:tcBorders>
            <w:shd w:val="clear" w:color="000000" w:fill="FFFFFF"/>
            <w:tcMar>
              <w:top w:w="0" w:type="dxa"/>
              <w:left w:w="72" w:type="dxa"/>
              <w:bottom w:w="0" w:type="dxa"/>
              <w:right w:w="0" w:type="dxa"/>
            </w:tcMar>
            <w:vAlign w:val="center"/>
            <w:hideMark/>
          </w:tcPr>
          <w:p w:rsidRPr="001075DD" w:rsidR="001075DD" w:rsidP="001075DD" w:rsidRDefault="001075DD" w14:paraId="4F515964" w14:textId="77777777">
            <w:pPr>
              <w:rPr>
                <w:rFonts w:cs="Arial"/>
              </w:rPr>
            </w:pPr>
            <w:r w:rsidRPr="001075DD">
              <w:rPr>
                <w:rFonts w:cs="Arial"/>
              </w:rPr>
              <w:t>Cocaine</w:t>
            </w:r>
          </w:p>
        </w:tc>
        <w:tc>
          <w:tcPr>
            <w:tcW w:w="385"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7EDF3175" w14:textId="77777777">
            <w:pPr>
              <w:jc w:val="center"/>
              <w:rPr>
                <w:rFonts w:cs="Arial"/>
              </w:rPr>
            </w:pPr>
            <w:r w:rsidRPr="001075DD">
              <w:rPr>
                <w:rFonts w:cs="Arial"/>
              </w:rPr>
              <w:t>10</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5379576E" w14:textId="77777777">
            <w:pPr>
              <w:jc w:val="center"/>
              <w:rPr>
                <w:rFonts w:cs="Arial"/>
              </w:rPr>
            </w:pPr>
            <w:r w:rsidRPr="001075DD">
              <w:rPr>
                <w:rFonts w:cs="Arial"/>
              </w:rPr>
              <w:t>22</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711BEF99" w14:textId="77777777">
            <w:pPr>
              <w:jc w:val="center"/>
              <w:rPr>
                <w:rFonts w:cs="Arial"/>
              </w:rPr>
            </w:pPr>
            <w:r w:rsidRPr="001075DD">
              <w:rPr>
                <w:rFonts w:cs="Arial"/>
              </w:rPr>
              <w:t>21</w:t>
            </w:r>
          </w:p>
        </w:tc>
        <w:tc>
          <w:tcPr>
            <w:tcW w:w="43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57C3BC36" w14:textId="77777777">
            <w:pPr>
              <w:jc w:val="center"/>
              <w:rPr>
                <w:rFonts w:cs="Arial"/>
              </w:rPr>
            </w:pPr>
            <w:r w:rsidRPr="001075DD">
              <w:rPr>
                <w:rFonts w:cs="Arial"/>
              </w:rPr>
              <w:t>21</w:t>
            </w:r>
          </w:p>
        </w:tc>
        <w:tc>
          <w:tcPr>
            <w:tcW w:w="38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B1858BC" w14:textId="77777777">
            <w:pPr>
              <w:jc w:val="center"/>
              <w:rPr>
                <w:rFonts w:cs="Arial"/>
              </w:rPr>
            </w:pPr>
            <w:r w:rsidRPr="001075DD">
              <w:rPr>
                <w:rFonts w:cs="Arial"/>
              </w:rPr>
              <w:t>43</w:t>
            </w:r>
          </w:p>
        </w:tc>
        <w:tc>
          <w:tcPr>
            <w:tcW w:w="36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4010D41A" w14:textId="77777777">
            <w:pPr>
              <w:jc w:val="center"/>
              <w:rPr>
                <w:rFonts w:cs="Arial"/>
              </w:rPr>
            </w:pPr>
            <w:r w:rsidRPr="001075DD">
              <w:rPr>
                <w:rFonts w:cs="Arial"/>
              </w:rPr>
              <w:t>14</w:t>
            </w:r>
          </w:p>
        </w:tc>
        <w:tc>
          <w:tcPr>
            <w:tcW w:w="500"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60A5BEF0" w14:textId="77777777">
            <w:pPr>
              <w:jc w:val="center"/>
              <w:rPr>
                <w:rFonts w:cs="Arial"/>
              </w:rPr>
            </w:pPr>
            <w:r w:rsidRPr="001075DD">
              <w:rPr>
                <w:rFonts w:cs="Arial"/>
              </w:rPr>
              <w:t>31</w:t>
            </w:r>
          </w:p>
        </w:tc>
      </w:tr>
      <w:tr w:rsidR="003B52B6" w:rsidTr="0038684D" w14:paraId="1D00D4A0" w14:textId="77777777">
        <w:trPr>
          <w:trHeight w:val="312"/>
          <w:jc w:val="center"/>
        </w:trPr>
        <w:tc>
          <w:tcPr>
            <w:tcW w:w="2067" w:type="pct"/>
            <w:tcBorders>
              <w:top w:val="nil"/>
              <w:left w:val="single" w:color="auto" w:sz="4" w:space="0"/>
              <w:bottom w:val="single" w:color="auto" w:sz="4" w:space="0"/>
              <w:right w:val="single" w:color="auto" w:sz="4" w:space="0"/>
            </w:tcBorders>
            <w:shd w:val="clear" w:color="000000" w:fill="FFFFFF"/>
            <w:tcMar>
              <w:top w:w="0" w:type="dxa"/>
              <w:left w:w="72" w:type="dxa"/>
              <w:bottom w:w="0" w:type="dxa"/>
              <w:right w:w="0" w:type="dxa"/>
            </w:tcMar>
            <w:vAlign w:val="center"/>
            <w:hideMark/>
          </w:tcPr>
          <w:p w:rsidRPr="001075DD" w:rsidR="001075DD" w:rsidP="001075DD" w:rsidRDefault="001075DD" w14:paraId="3DAAC888" w14:textId="736EB16D">
            <w:pPr>
              <w:rPr>
                <w:rFonts w:cs="Arial"/>
              </w:rPr>
            </w:pPr>
            <w:r w:rsidRPr="001075DD">
              <w:rPr>
                <w:rFonts w:cs="Arial"/>
              </w:rPr>
              <w:t>Ecstasy</w:t>
            </w:r>
            <w:r w:rsidR="00BC0FA2">
              <w:rPr>
                <w:rFonts w:cs="Arial"/>
              </w:rPr>
              <w:t>-type</w:t>
            </w:r>
            <w:r w:rsidRPr="001075DD">
              <w:rPr>
                <w:rFonts w:cs="Arial"/>
              </w:rPr>
              <w:t xml:space="preserve"> </w:t>
            </w:r>
            <w:r w:rsidR="0040098A">
              <w:rPr>
                <w:rFonts w:cs="Arial"/>
              </w:rPr>
              <w:t>d</w:t>
            </w:r>
            <w:r w:rsidRPr="001075DD">
              <w:rPr>
                <w:rFonts w:cs="Arial"/>
              </w:rPr>
              <w:t>rugs</w:t>
            </w:r>
            <w:r w:rsidR="00CC3546">
              <w:rPr>
                <w:rFonts w:cs="Arial"/>
              </w:rPr>
              <w:t xml:space="preserve"> (MDMA, MDA)</w:t>
            </w:r>
          </w:p>
        </w:tc>
        <w:tc>
          <w:tcPr>
            <w:tcW w:w="385"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5BDBE844" w14:textId="77777777">
            <w:pPr>
              <w:jc w:val="center"/>
              <w:rPr>
                <w:rFonts w:cs="Arial"/>
              </w:rPr>
            </w:pPr>
            <w:r w:rsidRPr="001075DD">
              <w:rPr>
                <w:rFonts w:cs="Arial"/>
              </w:rPr>
              <w:t>2</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1E6A50E5" w14:textId="77777777">
            <w:pPr>
              <w:jc w:val="center"/>
              <w:rPr>
                <w:rFonts w:cs="Arial"/>
              </w:rPr>
            </w:pPr>
            <w:r w:rsidRPr="001075DD">
              <w:rPr>
                <w:rFonts w:cs="Arial"/>
              </w:rPr>
              <w:t>5</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6FAE3303" w14:textId="77777777">
            <w:pPr>
              <w:jc w:val="center"/>
              <w:rPr>
                <w:rFonts w:cs="Arial"/>
              </w:rPr>
            </w:pPr>
            <w:r w:rsidRPr="001075DD">
              <w:rPr>
                <w:rFonts w:cs="Arial"/>
              </w:rPr>
              <w:t>6</w:t>
            </w:r>
          </w:p>
        </w:tc>
        <w:tc>
          <w:tcPr>
            <w:tcW w:w="43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8E7E16B" w14:textId="77777777">
            <w:pPr>
              <w:jc w:val="center"/>
              <w:rPr>
                <w:rFonts w:cs="Arial"/>
              </w:rPr>
            </w:pPr>
            <w:r w:rsidRPr="001075DD">
              <w:rPr>
                <w:rFonts w:cs="Arial"/>
              </w:rPr>
              <w:t>5</w:t>
            </w:r>
          </w:p>
        </w:tc>
        <w:tc>
          <w:tcPr>
            <w:tcW w:w="38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42BF8BEE" w14:textId="77777777">
            <w:pPr>
              <w:jc w:val="center"/>
              <w:rPr>
                <w:rFonts w:cs="Arial"/>
              </w:rPr>
            </w:pPr>
            <w:r w:rsidRPr="001075DD">
              <w:rPr>
                <w:rFonts w:cs="Arial"/>
              </w:rPr>
              <w:t>9</w:t>
            </w:r>
          </w:p>
        </w:tc>
        <w:tc>
          <w:tcPr>
            <w:tcW w:w="36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4967FCEE" w14:textId="77777777">
            <w:pPr>
              <w:jc w:val="center"/>
              <w:rPr>
                <w:rFonts w:cs="Arial"/>
              </w:rPr>
            </w:pPr>
            <w:r w:rsidRPr="001075DD">
              <w:rPr>
                <w:rFonts w:cs="Arial"/>
              </w:rPr>
              <w:t>3</w:t>
            </w:r>
          </w:p>
        </w:tc>
        <w:tc>
          <w:tcPr>
            <w:tcW w:w="500"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355F1DA3" w14:textId="77777777">
            <w:pPr>
              <w:jc w:val="center"/>
              <w:rPr>
                <w:rFonts w:cs="Arial"/>
              </w:rPr>
            </w:pPr>
            <w:r w:rsidRPr="001075DD">
              <w:rPr>
                <w:rFonts w:cs="Arial"/>
              </w:rPr>
              <w:t>8</w:t>
            </w:r>
          </w:p>
        </w:tc>
      </w:tr>
      <w:tr w:rsidR="003B52B6" w:rsidTr="0038684D" w14:paraId="468D0ECA" w14:textId="77777777">
        <w:trPr>
          <w:trHeight w:val="368"/>
          <w:jc w:val="center"/>
        </w:trPr>
        <w:tc>
          <w:tcPr>
            <w:tcW w:w="2067" w:type="pct"/>
            <w:tcBorders>
              <w:top w:val="single" w:color="auto" w:sz="4" w:space="0"/>
              <w:left w:val="single" w:color="auto" w:sz="4" w:space="0"/>
              <w:bottom w:val="single" w:color="auto" w:sz="4" w:space="0"/>
              <w:right w:val="single" w:color="auto" w:sz="4" w:space="0"/>
            </w:tcBorders>
            <w:shd w:val="clear" w:color="000000" w:fill="FFFFFF" w:themeFill="background1"/>
            <w:tcMar>
              <w:top w:w="0" w:type="dxa"/>
              <w:left w:w="72" w:type="dxa"/>
              <w:bottom w:w="0" w:type="dxa"/>
              <w:right w:w="0" w:type="dxa"/>
            </w:tcMar>
            <w:vAlign w:val="center"/>
            <w:hideMark/>
          </w:tcPr>
          <w:p w:rsidRPr="001075DD" w:rsidR="001075DD" w:rsidP="0038684D" w:rsidRDefault="001075DD" w14:paraId="43E9D2DE" w14:textId="323BE680">
            <w:pPr>
              <w:rPr>
                <w:rFonts w:cs="Arial"/>
              </w:rPr>
            </w:pPr>
            <w:r w:rsidRPr="001075DD">
              <w:rPr>
                <w:rFonts w:cs="Arial"/>
              </w:rPr>
              <w:t>Opioid</w:t>
            </w:r>
            <w:r w:rsidR="0040098A">
              <w:rPr>
                <w:rFonts w:cs="Arial"/>
              </w:rPr>
              <w:t xml:space="preserve"> </w:t>
            </w:r>
            <w:r w:rsidR="0040098A">
              <w:t>drugs (</w:t>
            </w:r>
            <w:r w:rsidR="009E25A9">
              <w:t>HYC</w:t>
            </w:r>
            <w:r w:rsidR="0040098A">
              <w:rPr>
                <w:rFonts w:cs="Arial"/>
              </w:rPr>
              <w:t>,</w:t>
            </w:r>
            <w:r w:rsidR="009E25A9">
              <w:rPr>
                <w:rFonts w:cs="Arial"/>
              </w:rPr>
              <w:t xml:space="preserve"> </w:t>
            </w:r>
            <w:r>
              <w:t>H</w:t>
            </w:r>
            <w:r w:rsidR="009E25A9">
              <w:t>YM</w:t>
            </w:r>
            <w:r w:rsidR="0040098A">
              <w:rPr>
                <w:rFonts w:cs="Arial"/>
              </w:rPr>
              <w:t>,</w:t>
            </w:r>
            <w:r w:rsidRPr="001075DD">
              <w:rPr>
                <w:rFonts w:cs="Arial"/>
              </w:rPr>
              <w:t xml:space="preserve"> O</w:t>
            </w:r>
            <w:r w:rsidR="009E25A9">
              <w:rPr>
                <w:rFonts w:cs="Arial"/>
              </w:rPr>
              <w:t>XYC</w:t>
            </w:r>
            <w:r w:rsidR="0040098A">
              <w:rPr>
                <w:rFonts w:cs="Arial"/>
              </w:rPr>
              <w:t>,</w:t>
            </w:r>
            <w:r w:rsidRPr="001075DD">
              <w:rPr>
                <w:rFonts w:cs="Arial"/>
              </w:rPr>
              <w:t xml:space="preserve"> O</w:t>
            </w:r>
            <w:r w:rsidR="009E25A9">
              <w:rPr>
                <w:rFonts w:cs="Arial"/>
              </w:rPr>
              <w:t>XYM</w:t>
            </w:r>
            <w:r w:rsidR="00CE6630">
              <w:rPr>
                <w:rFonts w:cs="Arial"/>
              </w:rPr>
              <w:t>)</w:t>
            </w:r>
            <w:r w:rsidRPr="001075DD">
              <w:rPr>
                <w:rFonts w:cs="Arial"/>
              </w:rPr>
              <w:t xml:space="preserve"> </w:t>
            </w:r>
          </w:p>
        </w:tc>
        <w:tc>
          <w:tcPr>
            <w:tcW w:w="385"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7C4B7931" w14:textId="77777777">
            <w:pPr>
              <w:jc w:val="center"/>
              <w:rPr>
                <w:rFonts w:cs="Arial"/>
              </w:rPr>
            </w:pPr>
            <w:r w:rsidRPr="001075DD">
              <w:rPr>
                <w:rFonts w:cs="Arial"/>
              </w:rPr>
              <w:t>72</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7675583D" w14:textId="77777777">
            <w:pPr>
              <w:jc w:val="center"/>
              <w:rPr>
                <w:rFonts w:cs="Arial"/>
              </w:rPr>
            </w:pPr>
            <w:r w:rsidRPr="001075DD">
              <w:rPr>
                <w:rFonts w:cs="Arial"/>
              </w:rPr>
              <w:t>89</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EC71DB7" w14:textId="77777777">
            <w:pPr>
              <w:jc w:val="center"/>
              <w:rPr>
                <w:rFonts w:cs="Arial"/>
              </w:rPr>
            </w:pPr>
            <w:r w:rsidRPr="001075DD">
              <w:rPr>
                <w:rFonts w:cs="Arial"/>
              </w:rPr>
              <w:t>90</w:t>
            </w:r>
          </w:p>
        </w:tc>
        <w:tc>
          <w:tcPr>
            <w:tcW w:w="43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7CBAB35" w14:textId="77777777">
            <w:pPr>
              <w:jc w:val="center"/>
              <w:rPr>
                <w:rFonts w:cs="Arial"/>
              </w:rPr>
            </w:pPr>
            <w:r w:rsidRPr="001075DD">
              <w:rPr>
                <w:rFonts w:cs="Arial"/>
              </w:rPr>
              <w:t>89</w:t>
            </w:r>
          </w:p>
        </w:tc>
        <w:tc>
          <w:tcPr>
            <w:tcW w:w="38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2B73CCCC" w14:textId="77777777">
            <w:pPr>
              <w:jc w:val="center"/>
              <w:rPr>
                <w:rFonts w:cs="Arial"/>
              </w:rPr>
            </w:pPr>
            <w:r w:rsidRPr="001075DD">
              <w:rPr>
                <w:rFonts w:cs="Arial"/>
              </w:rPr>
              <w:t>102</w:t>
            </w:r>
          </w:p>
        </w:tc>
        <w:tc>
          <w:tcPr>
            <w:tcW w:w="36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14847EF6" w14:textId="77777777">
            <w:pPr>
              <w:jc w:val="center"/>
              <w:rPr>
                <w:rFonts w:cs="Arial"/>
              </w:rPr>
            </w:pPr>
            <w:r w:rsidRPr="001075DD">
              <w:rPr>
                <w:rFonts w:cs="Arial"/>
              </w:rPr>
              <w:t>79</w:t>
            </w:r>
          </w:p>
        </w:tc>
        <w:tc>
          <w:tcPr>
            <w:tcW w:w="500"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3A075678" w14:textId="77777777">
            <w:pPr>
              <w:jc w:val="center"/>
              <w:rPr>
                <w:rFonts w:cs="Arial"/>
              </w:rPr>
            </w:pPr>
            <w:r w:rsidRPr="001075DD">
              <w:rPr>
                <w:rFonts w:cs="Arial"/>
              </w:rPr>
              <w:t>98</w:t>
            </w:r>
          </w:p>
        </w:tc>
      </w:tr>
      <w:tr w:rsidR="003B52B6" w:rsidTr="0038684D" w14:paraId="5559F437" w14:textId="77777777">
        <w:trPr>
          <w:trHeight w:val="312"/>
          <w:jc w:val="center"/>
        </w:trPr>
        <w:tc>
          <w:tcPr>
            <w:tcW w:w="2067" w:type="pct"/>
            <w:tcBorders>
              <w:top w:val="nil"/>
              <w:left w:val="single" w:color="auto" w:sz="4" w:space="0"/>
              <w:bottom w:val="single" w:color="auto" w:sz="4" w:space="0"/>
              <w:right w:val="single" w:color="auto" w:sz="4" w:space="0"/>
            </w:tcBorders>
            <w:shd w:val="clear" w:color="000000" w:fill="FFFFFF"/>
            <w:tcMar>
              <w:top w:w="0" w:type="dxa"/>
              <w:left w:w="72" w:type="dxa"/>
              <w:bottom w:w="0" w:type="dxa"/>
              <w:right w:w="0" w:type="dxa"/>
            </w:tcMar>
            <w:vAlign w:val="center"/>
            <w:hideMark/>
          </w:tcPr>
          <w:p w:rsidRPr="001075DD" w:rsidR="001075DD" w:rsidP="000E2E47" w:rsidRDefault="001075DD" w14:paraId="2C7D2304" w14:textId="77777777">
            <w:pPr>
              <w:rPr>
                <w:rFonts w:cs="Arial"/>
              </w:rPr>
            </w:pPr>
            <w:r w:rsidRPr="001075DD">
              <w:rPr>
                <w:rFonts w:cs="Arial"/>
              </w:rPr>
              <w:t xml:space="preserve">Dilute </w:t>
            </w:r>
          </w:p>
        </w:tc>
        <w:tc>
          <w:tcPr>
            <w:tcW w:w="385"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57B51CCE" w14:textId="77777777">
            <w:pPr>
              <w:jc w:val="center"/>
              <w:rPr>
                <w:rFonts w:cs="Arial"/>
              </w:rPr>
            </w:pPr>
            <w:r w:rsidRPr="001075DD">
              <w:rPr>
                <w:rFonts w:cs="Arial"/>
              </w:rPr>
              <w:t>2</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5A1EE832" w14:textId="77777777">
            <w:pPr>
              <w:jc w:val="center"/>
              <w:rPr>
                <w:rFonts w:cs="Arial"/>
              </w:rPr>
            </w:pPr>
            <w:r w:rsidRPr="001075DD">
              <w:rPr>
                <w:rFonts w:cs="Arial"/>
              </w:rPr>
              <w:t>8</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6EBEAC70" w14:textId="77777777">
            <w:pPr>
              <w:jc w:val="center"/>
              <w:rPr>
                <w:rFonts w:cs="Arial"/>
              </w:rPr>
            </w:pPr>
            <w:r w:rsidRPr="001075DD">
              <w:rPr>
                <w:rFonts w:cs="Arial"/>
              </w:rPr>
              <w:t>7</w:t>
            </w:r>
          </w:p>
        </w:tc>
        <w:tc>
          <w:tcPr>
            <w:tcW w:w="43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23EA4292" w14:textId="77777777">
            <w:pPr>
              <w:jc w:val="center"/>
              <w:rPr>
                <w:rFonts w:cs="Arial"/>
              </w:rPr>
            </w:pPr>
            <w:r w:rsidRPr="001075DD">
              <w:rPr>
                <w:rFonts w:cs="Arial"/>
              </w:rPr>
              <w:t>8</w:t>
            </w:r>
          </w:p>
        </w:tc>
        <w:tc>
          <w:tcPr>
            <w:tcW w:w="38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6D089482" w14:textId="77777777">
            <w:pPr>
              <w:jc w:val="center"/>
              <w:rPr>
                <w:rFonts w:cs="Arial"/>
              </w:rPr>
            </w:pPr>
            <w:r w:rsidRPr="001075DD">
              <w:rPr>
                <w:rFonts w:cs="Arial"/>
              </w:rPr>
              <w:t>17</w:t>
            </w:r>
          </w:p>
        </w:tc>
        <w:tc>
          <w:tcPr>
            <w:tcW w:w="36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7D362547" w14:textId="77777777">
            <w:pPr>
              <w:jc w:val="center"/>
              <w:rPr>
                <w:rFonts w:cs="Arial"/>
              </w:rPr>
            </w:pPr>
            <w:r w:rsidRPr="001075DD">
              <w:rPr>
                <w:rFonts w:cs="Arial"/>
              </w:rPr>
              <w:t>4</w:t>
            </w:r>
          </w:p>
        </w:tc>
        <w:tc>
          <w:tcPr>
            <w:tcW w:w="500"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2140FDEB" w14:textId="77777777">
            <w:pPr>
              <w:jc w:val="center"/>
              <w:rPr>
                <w:rFonts w:cs="Arial"/>
              </w:rPr>
            </w:pPr>
            <w:r w:rsidRPr="001075DD">
              <w:rPr>
                <w:rFonts w:cs="Arial"/>
              </w:rPr>
              <w:t>13</w:t>
            </w:r>
          </w:p>
        </w:tc>
      </w:tr>
      <w:tr w:rsidR="003B52B6" w:rsidTr="0038684D" w14:paraId="7CD46B29" w14:textId="77777777">
        <w:trPr>
          <w:trHeight w:val="312"/>
          <w:jc w:val="center"/>
        </w:trPr>
        <w:tc>
          <w:tcPr>
            <w:tcW w:w="2067" w:type="pct"/>
            <w:tcBorders>
              <w:top w:val="nil"/>
              <w:left w:val="single" w:color="auto" w:sz="4" w:space="0"/>
              <w:bottom w:val="single" w:color="auto" w:sz="4" w:space="0"/>
              <w:right w:val="single" w:color="auto" w:sz="4" w:space="0"/>
            </w:tcBorders>
            <w:shd w:val="clear" w:color="auto" w:fill="auto"/>
            <w:tcMar>
              <w:top w:w="0" w:type="dxa"/>
              <w:left w:w="72" w:type="dxa"/>
              <w:bottom w:w="0" w:type="dxa"/>
              <w:right w:w="0" w:type="dxa"/>
            </w:tcMar>
            <w:vAlign w:val="center"/>
            <w:hideMark/>
          </w:tcPr>
          <w:p w:rsidRPr="001075DD" w:rsidR="001075DD" w:rsidP="000E2E47" w:rsidRDefault="001075DD" w14:paraId="76FAC5A2" w14:textId="1E3C9C93">
            <w:pPr>
              <w:rPr>
                <w:rFonts w:cs="Arial"/>
              </w:rPr>
            </w:pPr>
            <w:r w:rsidRPr="001075DD">
              <w:rPr>
                <w:rFonts w:cs="Arial"/>
              </w:rPr>
              <w:t xml:space="preserve">Subversion </w:t>
            </w:r>
            <w:r w:rsidR="00B73709">
              <w:rPr>
                <w:rFonts w:cs="Arial"/>
              </w:rPr>
              <w:t>s</w:t>
            </w:r>
            <w:r w:rsidRPr="001075DD">
              <w:rPr>
                <w:rFonts w:cs="Arial"/>
              </w:rPr>
              <w:t>pecimens</w:t>
            </w:r>
          </w:p>
        </w:tc>
        <w:tc>
          <w:tcPr>
            <w:tcW w:w="385"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D7CC806" w14:textId="77777777">
            <w:pPr>
              <w:jc w:val="center"/>
              <w:rPr>
                <w:rFonts w:cs="Arial"/>
              </w:rPr>
            </w:pPr>
            <w:r w:rsidRPr="001075DD">
              <w:rPr>
                <w:rFonts w:cs="Arial"/>
              </w:rPr>
              <w:t>0</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7123E83" w14:textId="77777777">
            <w:pPr>
              <w:jc w:val="center"/>
              <w:rPr>
                <w:rFonts w:cs="Arial"/>
              </w:rPr>
            </w:pPr>
            <w:r w:rsidRPr="001075DD">
              <w:rPr>
                <w:rFonts w:cs="Arial"/>
              </w:rPr>
              <w:t>8</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61F4E122" w14:textId="77777777">
            <w:pPr>
              <w:jc w:val="center"/>
              <w:rPr>
                <w:rFonts w:cs="Arial"/>
              </w:rPr>
            </w:pPr>
            <w:r w:rsidRPr="001075DD">
              <w:rPr>
                <w:rFonts w:cs="Arial"/>
              </w:rPr>
              <w:t>8</w:t>
            </w:r>
          </w:p>
        </w:tc>
        <w:tc>
          <w:tcPr>
            <w:tcW w:w="43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A6DC260" w14:textId="77777777">
            <w:pPr>
              <w:jc w:val="center"/>
              <w:rPr>
                <w:rFonts w:cs="Arial"/>
              </w:rPr>
            </w:pPr>
            <w:r w:rsidRPr="001075DD">
              <w:rPr>
                <w:rFonts w:cs="Arial"/>
              </w:rPr>
              <w:t>8</w:t>
            </w:r>
          </w:p>
        </w:tc>
        <w:tc>
          <w:tcPr>
            <w:tcW w:w="38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2FC69B5E" w14:textId="77777777">
            <w:pPr>
              <w:jc w:val="center"/>
              <w:rPr>
                <w:rFonts w:cs="Arial"/>
              </w:rPr>
            </w:pPr>
            <w:r w:rsidRPr="001075DD">
              <w:rPr>
                <w:rFonts w:cs="Arial"/>
              </w:rPr>
              <w:t>24</w:t>
            </w:r>
          </w:p>
        </w:tc>
        <w:tc>
          <w:tcPr>
            <w:tcW w:w="36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71432B5B" w14:textId="77777777">
            <w:pPr>
              <w:jc w:val="center"/>
              <w:rPr>
                <w:rFonts w:cs="Arial"/>
              </w:rPr>
            </w:pPr>
            <w:r w:rsidRPr="001075DD">
              <w:rPr>
                <w:rFonts w:cs="Arial"/>
              </w:rPr>
              <w:t>1</w:t>
            </w:r>
          </w:p>
        </w:tc>
        <w:tc>
          <w:tcPr>
            <w:tcW w:w="500"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38E32377" w14:textId="77777777">
            <w:pPr>
              <w:jc w:val="center"/>
              <w:rPr>
                <w:rFonts w:cs="Arial"/>
              </w:rPr>
            </w:pPr>
            <w:r w:rsidRPr="001075DD">
              <w:rPr>
                <w:rFonts w:cs="Arial"/>
              </w:rPr>
              <w:t>17</w:t>
            </w:r>
          </w:p>
        </w:tc>
      </w:tr>
      <w:tr w:rsidR="003B52B6" w:rsidTr="0038684D" w14:paraId="10B188B4" w14:textId="77777777">
        <w:trPr>
          <w:trHeight w:val="336"/>
          <w:jc w:val="center"/>
        </w:trPr>
        <w:tc>
          <w:tcPr>
            <w:tcW w:w="2067" w:type="pct"/>
            <w:tcBorders>
              <w:top w:val="nil"/>
              <w:left w:val="single" w:color="auto" w:sz="4" w:space="0"/>
              <w:bottom w:val="single" w:color="auto" w:sz="4" w:space="0"/>
              <w:right w:val="single" w:color="auto" w:sz="4" w:space="0"/>
            </w:tcBorders>
            <w:shd w:val="clear" w:color="000000" w:fill="F2F2F2"/>
            <w:tcMar>
              <w:right w:w="115" w:type="dxa"/>
            </w:tcMar>
            <w:vAlign w:val="center"/>
            <w:hideMark/>
          </w:tcPr>
          <w:p w:rsidRPr="001075DD" w:rsidR="001075DD" w:rsidRDefault="001075DD" w14:paraId="7C20096A" w14:textId="77777777">
            <w:pPr>
              <w:jc w:val="right"/>
              <w:rPr>
                <w:rFonts w:cs="Arial"/>
                <w:i/>
                <w:iCs/>
              </w:rPr>
            </w:pPr>
            <w:r w:rsidRPr="001075DD">
              <w:rPr>
                <w:rFonts w:cs="Arial"/>
                <w:i/>
                <w:iCs/>
              </w:rPr>
              <w:t>Total</w:t>
            </w:r>
          </w:p>
        </w:tc>
        <w:tc>
          <w:tcPr>
            <w:tcW w:w="385"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74161BB8" w14:textId="77777777">
            <w:pPr>
              <w:jc w:val="center"/>
              <w:rPr>
                <w:rFonts w:cs="Arial"/>
              </w:rPr>
            </w:pPr>
            <w:r w:rsidRPr="001075DD">
              <w:rPr>
                <w:rFonts w:cs="Arial"/>
              </w:rPr>
              <w:t>99</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F32578F" w14:textId="77777777">
            <w:pPr>
              <w:jc w:val="center"/>
              <w:rPr>
                <w:rFonts w:cs="Arial"/>
              </w:rPr>
            </w:pPr>
            <w:r w:rsidRPr="001075DD">
              <w:rPr>
                <w:rFonts w:cs="Arial"/>
              </w:rPr>
              <w:t>176</w:t>
            </w:r>
          </w:p>
        </w:tc>
        <w:tc>
          <w:tcPr>
            <w:tcW w:w="433"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1955CA37" w14:textId="77777777">
            <w:pPr>
              <w:jc w:val="center"/>
              <w:rPr>
                <w:rFonts w:cs="Arial"/>
              </w:rPr>
            </w:pPr>
            <w:r w:rsidRPr="001075DD">
              <w:rPr>
                <w:rFonts w:cs="Arial"/>
              </w:rPr>
              <w:t>175</w:t>
            </w:r>
          </w:p>
        </w:tc>
        <w:tc>
          <w:tcPr>
            <w:tcW w:w="43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B3B5B7A" w14:textId="77777777">
            <w:pPr>
              <w:jc w:val="center"/>
              <w:rPr>
                <w:rFonts w:cs="Arial"/>
              </w:rPr>
            </w:pPr>
            <w:r w:rsidRPr="001075DD">
              <w:rPr>
                <w:rFonts w:cs="Arial"/>
              </w:rPr>
              <w:t>175</w:t>
            </w:r>
          </w:p>
        </w:tc>
        <w:tc>
          <w:tcPr>
            <w:tcW w:w="38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7F311356" w14:textId="77777777">
            <w:pPr>
              <w:jc w:val="center"/>
              <w:rPr>
                <w:rFonts w:cs="Arial"/>
              </w:rPr>
            </w:pPr>
            <w:r w:rsidRPr="001075DD">
              <w:rPr>
                <w:rFonts w:cs="Arial"/>
              </w:rPr>
              <w:t>280</w:t>
            </w:r>
          </w:p>
        </w:tc>
        <w:tc>
          <w:tcPr>
            <w:tcW w:w="364"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18BFB70A" w14:textId="77777777">
            <w:pPr>
              <w:jc w:val="center"/>
              <w:rPr>
                <w:rFonts w:cs="Arial"/>
              </w:rPr>
            </w:pPr>
            <w:r w:rsidRPr="001075DD">
              <w:rPr>
                <w:rFonts w:cs="Arial"/>
              </w:rPr>
              <w:t>125</w:t>
            </w:r>
          </w:p>
        </w:tc>
        <w:tc>
          <w:tcPr>
            <w:tcW w:w="500" w:type="pct"/>
            <w:tcBorders>
              <w:top w:val="nil"/>
              <w:left w:val="nil"/>
              <w:bottom w:val="single" w:color="auto" w:sz="4" w:space="0"/>
              <w:right w:val="single" w:color="auto" w:sz="4" w:space="0"/>
            </w:tcBorders>
            <w:shd w:val="clear" w:color="000000" w:fill="FFFFFF"/>
            <w:vAlign w:val="center"/>
            <w:hideMark/>
          </w:tcPr>
          <w:p w:rsidRPr="001075DD" w:rsidR="001075DD" w:rsidRDefault="001075DD" w14:paraId="0DDDCA96" w14:textId="77777777">
            <w:pPr>
              <w:jc w:val="center"/>
              <w:rPr>
                <w:rFonts w:cs="Arial"/>
              </w:rPr>
            </w:pPr>
            <w:r w:rsidRPr="001075DD">
              <w:rPr>
                <w:rFonts w:cs="Arial"/>
              </w:rPr>
              <w:t>233</w:t>
            </w:r>
          </w:p>
        </w:tc>
      </w:tr>
    </w:tbl>
    <w:p w:rsidRPr="00B7621F" w:rsidR="00D520BD" w:rsidP="007F09CE" w:rsidRDefault="001075DD" w14:paraId="37B54A59" w14:textId="05D61B50">
      <w:pPr>
        <w:ind w:left="360" w:hanging="360"/>
        <w:rPr>
          <w:sz w:val="18"/>
        </w:rPr>
      </w:pPr>
      <w:r w:rsidRPr="00B7621F">
        <w:rPr>
          <w:sz w:val="18"/>
          <w:vertAlign w:val="superscript"/>
        </w:rPr>
        <w:t xml:space="preserve"> </w:t>
      </w:r>
      <w:proofErr w:type="spellStart"/>
      <w:r w:rsidRPr="00B7621F" w:rsidR="0025601D">
        <w:rPr>
          <w:sz w:val="18"/>
          <w:vertAlign w:val="superscript"/>
        </w:rPr>
        <w:t>a</w:t>
      </w:r>
      <w:proofErr w:type="spellEnd"/>
      <w:r w:rsidRPr="00B7621F" w:rsidR="0025601D">
        <w:rPr>
          <w:sz w:val="18"/>
        </w:rPr>
        <w:tab/>
      </w:r>
      <w:r w:rsidRPr="00B7621F" w:rsidR="00A0343B">
        <w:rPr>
          <w:sz w:val="18"/>
        </w:rPr>
        <w:t>The t</w:t>
      </w:r>
      <w:r w:rsidRPr="00B7621F" w:rsidR="006A56F7">
        <w:rPr>
          <w:sz w:val="18"/>
        </w:rPr>
        <w:t>otal</w:t>
      </w:r>
      <w:r w:rsidRPr="00B7621F" w:rsidR="00C71B41">
        <w:rPr>
          <w:sz w:val="18"/>
        </w:rPr>
        <w:t>s are</w:t>
      </w:r>
      <w:r w:rsidRPr="00B7621F" w:rsidR="006A56F7">
        <w:rPr>
          <w:sz w:val="18"/>
        </w:rPr>
        <w:t xml:space="preserve"> </w:t>
      </w:r>
      <w:r w:rsidRPr="00B7621F" w:rsidR="0044572A">
        <w:rPr>
          <w:sz w:val="18"/>
        </w:rPr>
        <w:t>statistics f</w:t>
      </w:r>
      <w:r w:rsidRPr="00B7621F" w:rsidR="009B4A23">
        <w:rPr>
          <w:sz w:val="18"/>
        </w:rPr>
        <w:t xml:space="preserve">rom the total confirmed positives distribution, which </w:t>
      </w:r>
      <w:r w:rsidRPr="00B7621F" w:rsidR="00220649">
        <w:rPr>
          <w:sz w:val="18"/>
        </w:rPr>
        <w:t>may</w:t>
      </w:r>
      <w:r w:rsidRPr="00B7621F" w:rsidR="009B4A23">
        <w:rPr>
          <w:sz w:val="18"/>
        </w:rPr>
        <w:t xml:space="preserve"> not </w:t>
      </w:r>
      <w:r w:rsidRPr="00B7621F" w:rsidR="00AE4A3B">
        <w:rPr>
          <w:sz w:val="18"/>
        </w:rPr>
        <w:t>match the sum of the statistical values</w:t>
      </w:r>
      <w:r w:rsidRPr="00B7621F" w:rsidR="006422CF">
        <w:rPr>
          <w:sz w:val="18"/>
        </w:rPr>
        <w:t xml:space="preserve"> from</w:t>
      </w:r>
      <w:r w:rsidRPr="00B7621F" w:rsidR="00A0343B">
        <w:rPr>
          <w:sz w:val="18"/>
        </w:rPr>
        <w:t xml:space="preserve"> the individual </w:t>
      </w:r>
      <w:r w:rsidRPr="00B7621F" w:rsidR="004B57B8">
        <w:rPr>
          <w:sz w:val="18"/>
        </w:rPr>
        <w:t>substance confirmed positive distribution curves.</w:t>
      </w:r>
    </w:p>
    <w:p w:rsidR="00E26381" w:rsidP="00D520BD" w:rsidRDefault="00E26381" w14:paraId="133DD4E3" w14:textId="77777777">
      <w:pPr>
        <w:rPr>
          <w:sz w:val="22"/>
          <w:szCs w:val="22"/>
        </w:rPr>
      </w:pPr>
    </w:p>
    <w:p w:rsidR="00CD4D83" w:rsidP="00CD4D83" w:rsidRDefault="00CD4D83" w14:paraId="46B9DA4F" w14:textId="2E8A6A2D">
      <w:pPr>
        <w:rPr>
          <w:sz w:val="22"/>
          <w:szCs w:val="22"/>
        </w:rPr>
      </w:pPr>
      <w:r>
        <w:rPr>
          <w:sz w:val="22"/>
          <w:szCs w:val="22"/>
        </w:rPr>
        <w:t>Figure 5-8 present</w:t>
      </w:r>
      <w:r w:rsidR="00B73709">
        <w:rPr>
          <w:sz w:val="22"/>
          <w:szCs w:val="22"/>
        </w:rPr>
        <w:t>s</w:t>
      </w:r>
      <w:r>
        <w:rPr>
          <w:sz w:val="22"/>
          <w:szCs w:val="22"/>
        </w:rPr>
        <w:t xml:space="preserve"> the distribution of additional positive results </w:t>
      </w:r>
      <w:r w:rsidR="0030100C">
        <w:rPr>
          <w:sz w:val="22"/>
          <w:szCs w:val="22"/>
        </w:rPr>
        <w:t xml:space="preserve">above the </w:t>
      </w:r>
      <w:r w:rsidR="00854A80">
        <w:rPr>
          <w:sz w:val="22"/>
          <w:szCs w:val="22"/>
        </w:rPr>
        <w:t>11</w:t>
      </w:r>
      <w:r w:rsidR="00BC0FA2">
        <w:rPr>
          <w:sz w:val="22"/>
          <w:szCs w:val="22"/>
        </w:rPr>
        <w:noBreakHyphen/>
      </w:r>
      <w:r w:rsidR="00854A80">
        <w:rPr>
          <w:sz w:val="22"/>
          <w:szCs w:val="22"/>
        </w:rPr>
        <w:t xml:space="preserve">year average of 790 positives per year </w:t>
      </w:r>
      <w:r>
        <w:rPr>
          <w:sz w:val="22"/>
          <w:szCs w:val="22"/>
        </w:rPr>
        <w:t xml:space="preserve">that is projected if this rule is implemented.  Based on this distribution, the expected increase in positives </w:t>
      </w:r>
      <w:r w:rsidR="00EA5EA9">
        <w:rPr>
          <w:sz w:val="22"/>
          <w:szCs w:val="22"/>
        </w:rPr>
        <w:t>is</w:t>
      </w:r>
      <w:r>
        <w:rPr>
          <w:sz w:val="22"/>
          <w:szCs w:val="22"/>
        </w:rPr>
        <w:t xml:space="preserve"> </w:t>
      </w:r>
      <w:r w:rsidR="00AA7AD8">
        <w:rPr>
          <w:sz w:val="22"/>
          <w:szCs w:val="22"/>
        </w:rPr>
        <w:t>22</w:t>
      </w:r>
      <w:r>
        <w:rPr>
          <w:sz w:val="22"/>
          <w:szCs w:val="22"/>
        </w:rPr>
        <w:t xml:space="preserve"> percent, </w:t>
      </w:r>
      <w:r w:rsidR="00B73709">
        <w:rPr>
          <w:sz w:val="22"/>
          <w:szCs w:val="22"/>
        </w:rPr>
        <w:t xml:space="preserve">or </w:t>
      </w:r>
      <w:r>
        <w:rPr>
          <w:sz w:val="22"/>
          <w:szCs w:val="22"/>
        </w:rPr>
        <w:t>an additional 1</w:t>
      </w:r>
      <w:r w:rsidR="00AA7AD8">
        <w:rPr>
          <w:sz w:val="22"/>
          <w:szCs w:val="22"/>
        </w:rPr>
        <w:t>76</w:t>
      </w:r>
      <w:r>
        <w:rPr>
          <w:sz w:val="22"/>
          <w:szCs w:val="22"/>
        </w:rPr>
        <w:t xml:space="preserve"> positives per year, with 90</w:t>
      </w:r>
      <w:r w:rsidR="008B16AD">
        <w:rPr>
          <w:sz w:val="22"/>
          <w:szCs w:val="22"/>
        </w:rPr>
        <w:noBreakHyphen/>
      </w:r>
      <w:r>
        <w:rPr>
          <w:sz w:val="22"/>
          <w:szCs w:val="22"/>
        </w:rPr>
        <w:t>percent confidence of an increase</w:t>
      </w:r>
      <w:r w:rsidR="00B73709">
        <w:rPr>
          <w:sz w:val="22"/>
          <w:szCs w:val="22"/>
        </w:rPr>
        <w:t>d</w:t>
      </w:r>
      <w:r>
        <w:rPr>
          <w:sz w:val="22"/>
          <w:szCs w:val="22"/>
        </w:rPr>
        <w:t xml:space="preserve"> positive rate between </w:t>
      </w:r>
      <w:r w:rsidR="00AA7AD8">
        <w:rPr>
          <w:sz w:val="22"/>
          <w:szCs w:val="22"/>
        </w:rPr>
        <w:t>18.9</w:t>
      </w:r>
      <w:r>
        <w:rPr>
          <w:sz w:val="22"/>
          <w:szCs w:val="22"/>
        </w:rPr>
        <w:t xml:space="preserve"> and 2</w:t>
      </w:r>
      <w:r w:rsidR="0083578E">
        <w:rPr>
          <w:sz w:val="22"/>
          <w:szCs w:val="22"/>
        </w:rPr>
        <w:t>5.9</w:t>
      </w:r>
      <w:r>
        <w:rPr>
          <w:sz w:val="22"/>
          <w:szCs w:val="22"/>
        </w:rPr>
        <w:t> percent.</w:t>
      </w:r>
    </w:p>
    <w:p w:rsidR="00CD4D83" w:rsidP="00CD4D83" w:rsidRDefault="00CD4D83" w14:paraId="62F8DF17" w14:textId="77777777">
      <w:pPr>
        <w:rPr>
          <w:sz w:val="22"/>
          <w:szCs w:val="22"/>
        </w:rPr>
      </w:pPr>
    </w:p>
    <w:p w:rsidR="00CD4D83" w:rsidP="00B7621F" w:rsidRDefault="00CD4D83" w14:paraId="00935FC2" w14:textId="6EF72DC5">
      <w:pPr>
        <w:pStyle w:val="Caption"/>
        <w:jc w:val="center"/>
      </w:pPr>
      <w:bookmarkStart w:name="_Toc68166752" w:id="249"/>
      <w:bookmarkStart w:name="_Toc105681553" w:id="250"/>
      <w:r w:rsidRPr="00B7621F">
        <w:rPr>
          <w:rFonts w:ascii="Arial Bold" w:hAnsi="Arial Bold"/>
          <w:b/>
        </w:rPr>
        <w:t>Figure 5-</w:t>
      </w:r>
      <w:r w:rsidRPr="00B7621F">
        <w:rPr>
          <w:rFonts w:ascii="Arial Bold" w:hAnsi="Arial Bold"/>
          <w:b/>
        </w:rPr>
        <w:fldChar w:fldCharType="begin"/>
      </w:r>
      <w:r w:rsidRPr="00B7621F">
        <w:rPr>
          <w:rFonts w:ascii="Arial Bold" w:hAnsi="Arial Bold"/>
          <w:b/>
        </w:rPr>
        <w:instrText>SEQ Figure \* ARABIC</w:instrText>
      </w:r>
      <w:r w:rsidRPr="00B7621F">
        <w:rPr>
          <w:rFonts w:ascii="Arial Bold" w:hAnsi="Arial Bold"/>
          <w:b/>
        </w:rPr>
        <w:fldChar w:fldCharType="separate"/>
      </w:r>
      <w:r w:rsidR="00A6777F">
        <w:rPr>
          <w:rFonts w:ascii="Arial Bold" w:hAnsi="Arial Bold"/>
          <w:b/>
          <w:noProof/>
        </w:rPr>
        <w:t>8</w:t>
      </w:r>
      <w:r w:rsidRPr="00B7621F">
        <w:rPr>
          <w:rFonts w:ascii="Arial Bold" w:hAnsi="Arial Bold"/>
          <w:b/>
        </w:rPr>
        <w:fldChar w:fldCharType="end"/>
      </w:r>
      <w:r w:rsidRPr="00B7621F">
        <w:rPr>
          <w:rFonts w:ascii="Arial Bold" w:hAnsi="Arial Bold"/>
          <w:b/>
        </w:rPr>
        <w:t xml:space="preserve">  Distribution of Additional Positive Results Projected</w:t>
      </w:r>
      <w:bookmarkEnd w:id="249"/>
      <w:bookmarkEnd w:id="250"/>
    </w:p>
    <w:p w:rsidRPr="00CD4D83" w:rsidR="00CD4D83" w:rsidP="00CD4D83" w:rsidRDefault="00441F88" w14:paraId="30CD4642" w14:textId="1C15B1EA">
      <w:pPr>
        <w:keepNext/>
      </w:pPr>
      <w:r w:rsidRPr="00441F88">
        <w:rPr>
          <w:noProof/>
        </w:rPr>
        <w:drawing>
          <wp:inline distT="0" distB="0" distL="0" distR="0" wp14:anchorId="1CE30329" wp14:editId="023C678D">
            <wp:extent cx="5943600" cy="3232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Pr="00646A79" w:rsidR="00CD4D83" w:rsidP="00CD4D83" w:rsidRDefault="00CD4D83" w14:paraId="4E0D0EF8" w14:textId="77777777">
      <w:pPr>
        <w:rPr>
          <w:sz w:val="22"/>
          <w:szCs w:val="22"/>
        </w:rPr>
      </w:pPr>
    </w:p>
    <w:p w:rsidR="00D520BD" w:rsidP="00D520BD" w:rsidRDefault="00D520BD" w14:paraId="40F2067C" w14:textId="11A6CBAB">
      <w:pPr>
        <w:rPr>
          <w:sz w:val="22"/>
          <w:szCs w:val="22"/>
        </w:rPr>
      </w:pPr>
      <w:r>
        <w:rPr>
          <w:sz w:val="22"/>
          <w:szCs w:val="22"/>
        </w:rPr>
        <w:t>Figure 5-</w:t>
      </w:r>
      <w:r w:rsidR="00CD4D83">
        <w:rPr>
          <w:sz w:val="22"/>
          <w:szCs w:val="22"/>
        </w:rPr>
        <w:t>9</w:t>
      </w:r>
      <w:r>
        <w:rPr>
          <w:sz w:val="22"/>
          <w:szCs w:val="22"/>
        </w:rPr>
        <w:t xml:space="preserve"> presents three plots that summarize the distribution of the undiscounted net benefits</w:t>
      </w:r>
      <w:r w:rsidR="00646A79">
        <w:rPr>
          <w:sz w:val="22"/>
          <w:szCs w:val="22"/>
        </w:rPr>
        <w:t>,</w:t>
      </w:r>
      <w:r>
        <w:rPr>
          <w:sz w:val="22"/>
          <w:szCs w:val="22"/>
        </w:rPr>
        <w:t xml:space="preserve"> the net benefits discounted at 3 percent</w:t>
      </w:r>
      <w:r w:rsidR="00646A79">
        <w:rPr>
          <w:sz w:val="22"/>
          <w:szCs w:val="22"/>
        </w:rPr>
        <w:t>,</w:t>
      </w:r>
      <w:r>
        <w:rPr>
          <w:sz w:val="22"/>
          <w:szCs w:val="22"/>
        </w:rPr>
        <w:t xml:space="preserve"> and net benefits discounted at 7 percent.  As illustrated by this figure</w:t>
      </w:r>
      <w:r w:rsidR="00646A79">
        <w:rPr>
          <w:sz w:val="22"/>
          <w:szCs w:val="22"/>
        </w:rPr>
        <w:t>,</w:t>
      </w:r>
      <w:r>
        <w:rPr>
          <w:sz w:val="22"/>
          <w:szCs w:val="22"/>
        </w:rPr>
        <w:t xml:space="preserve"> the rule has a </w:t>
      </w:r>
      <w:r w:rsidR="003077FF">
        <w:rPr>
          <w:sz w:val="22"/>
          <w:szCs w:val="22"/>
        </w:rPr>
        <w:t>positive</w:t>
      </w:r>
      <w:r>
        <w:rPr>
          <w:sz w:val="22"/>
          <w:szCs w:val="22"/>
        </w:rPr>
        <w:t xml:space="preserve"> monetized net benefit </w:t>
      </w:r>
      <w:r w:rsidR="007E0A3C">
        <w:rPr>
          <w:sz w:val="22"/>
          <w:szCs w:val="22"/>
        </w:rPr>
        <w:t xml:space="preserve">for </w:t>
      </w:r>
      <w:r w:rsidR="00793C6A">
        <w:rPr>
          <w:sz w:val="22"/>
          <w:szCs w:val="22"/>
        </w:rPr>
        <w:t>approximately 7</w:t>
      </w:r>
      <w:r w:rsidR="00C06960">
        <w:rPr>
          <w:sz w:val="22"/>
          <w:szCs w:val="22"/>
        </w:rPr>
        <w:t>1</w:t>
      </w:r>
      <w:r w:rsidR="00495264">
        <w:rPr>
          <w:sz w:val="22"/>
          <w:szCs w:val="22"/>
        </w:rPr>
        <w:t> </w:t>
      </w:r>
      <w:r w:rsidR="00793C6A">
        <w:rPr>
          <w:sz w:val="22"/>
          <w:szCs w:val="22"/>
        </w:rPr>
        <w:t xml:space="preserve">percent of </w:t>
      </w:r>
      <w:r w:rsidR="007E0A3C">
        <w:rPr>
          <w:sz w:val="22"/>
          <w:szCs w:val="22"/>
        </w:rPr>
        <w:t>all simulations</w:t>
      </w:r>
      <w:r w:rsidR="00CD4D83">
        <w:rPr>
          <w:sz w:val="22"/>
          <w:szCs w:val="22"/>
        </w:rPr>
        <w:t xml:space="preserve"> </w:t>
      </w:r>
      <w:r w:rsidR="000F1E16">
        <w:rPr>
          <w:sz w:val="22"/>
          <w:szCs w:val="22"/>
        </w:rPr>
        <w:t>and for all analyzed</w:t>
      </w:r>
      <w:r w:rsidR="00CD4D83">
        <w:rPr>
          <w:sz w:val="22"/>
          <w:szCs w:val="22"/>
        </w:rPr>
        <w:t xml:space="preserve"> discount </w:t>
      </w:r>
      <w:r w:rsidR="000F1E16">
        <w:rPr>
          <w:sz w:val="22"/>
          <w:szCs w:val="22"/>
        </w:rPr>
        <w:t>rates</w:t>
      </w:r>
      <w:r>
        <w:rPr>
          <w:sz w:val="22"/>
          <w:szCs w:val="22"/>
        </w:rPr>
        <w:t>.</w:t>
      </w:r>
    </w:p>
    <w:p w:rsidRPr="00B858DB" w:rsidR="00B858DB" w:rsidP="00D520BD" w:rsidRDefault="00B858DB" w14:paraId="093F5098" w14:textId="04F55C3A">
      <w:pPr>
        <w:rPr>
          <w:sz w:val="22"/>
          <w:szCs w:val="22"/>
        </w:rPr>
      </w:pPr>
    </w:p>
    <w:p w:rsidRPr="00BE4EA0" w:rsidR="00B858DB" w:rsidP="00B858DB" w:rsidRDefault="00B858DB" w14:paraId="5D039F86" w14:textId="29D9C839">
      <w:pPr>
        <w:pStyle w:val="Caption"/>
        <w:jc w:val="center"/>
        <w:rPr>
          <w:b/>
          <w:bCs w:val="0"/>
        </w:rPr>
      </w:pPr>
      <w:bookmarkStart w:name="_Ref72166068" w:id="251"/>
      <w:bookmarkStart w:name="_Toc62207091" w:id="252"/>
      <w:bookmarkStart w:name="_Toc68166753" w:id="253"/>
      <w:bookmarkStart w:name="_Toc105681554" w:id="254"/>
      <w:r w:rsidRPr="00CD4D83">
        <w:rPr>
          <w:b/>
          <w:bCs w:val="0"/>
        </w:rPr>
        <w:t>Figure 5-</w:t>
      </w:r>
      <w:r w:rsidR="00CD4D83">
        <w:rPr>
          <w:b/>
          <w:bCs w:val="0"/>
        </w:rPr>
        <w:fldChar w:fldCharType="begin"/>
      </w:r>
      <w:r w:rsidR="00CD4D83">
        <w:rPr>
          <w:b/>
          <w:bCs w:val="0"/>
        </w:rPr>
        <w:instrText xml:space="preserve"> SEQ Figure \* ARABIC </w:instrText>
      </w:r>
      <w:r w:rsidR="00CD4D83">
        <w:rPr>
          <w:b/>
          <w:bCs w:val="0"/>
        </w:rPr>
        <w:fldChar w:fldCharType="separate"/>
      </w:r>
      <w:r w:rsidR="00A6777F">
        <w:rPr>
          <w:b/>
          <w:bCs w:val="0"/>
          <w:noProof/>
        </w:rPr>
        <w:t>9</w:t>
      </w:r>
      <w:r w:rsidR="00CD4D83">
        <w:rPr>
          <w:b/>
          <w:bCs w:val="0"/>
        </w:rPr>
        <w:fldChar w:fldCharType="end"/>
      </w:r>
      <w:bookmarkEnd w:id="251"/>
      <w:r w:rsidRPr="00CD4D83">
        <w:rPr>
          <w:b/>
          <w:bCs w:val="0"/>
        </w:rPr>
        <w:t xml:space="preserve">  Relative Frequency of the Net Benefits of the Final Rule</w:t>
      </w:r>
      <w:bookmarkEnd w:id="252"/>
      <w:bookmarkEnd w:id="253"/>
      <w:bookmarkEnd w:id="254"/>
    </w:p>
    <w:p w:rsidR="00D520BD" w:rsidP="00D520BD" w:rsidRDefault="00F80841" w14:paraId="2A665256" w14:textId="05A07DF2">
      <w:pPr>
        <w:rPr>
          <w:sz w:val="22"/>
          <w:szCs w:val="22"/>
        </w:rPr>
      </w:pPr>
      <w:r w:rsidRPr="00B858DB">
        <w:rPr>
          <w:noProof/>
          <w:sz w:val="22"/>
          <w:szCs w:val="22"/>
        </w:rPr>
        <mc:AlternateContent>
          <mc:Choice Requires="wps">
            <w:drawing>
              <wp:anchor distT="0" distB="0" distL="114300" distR="114300" simplePos="0" relativeHeight="251658243" behindDoc="0" locked="0" layoutInCell="1" allowOverlap="1" wp14:editId="25ADC2E2" wp14:anchorId="3B13512B">
                <wp:simplePos x="0" y="0"/>
                <wp:positionH relativeFrom="column">
                  <wp:posOffset>2242185</wp:posOffset>
                </wp:positionH>
                <wp:positionV relativeFrom="paragraph">
                  <wp:posOffset>2193290</wp:posOffset>
                </wp:positionV>
                <wp:extent cx="920750" cy="241935"/>
                <wp:effectExtent l="0" t="0" r="0" b="5715"/>
                <wp:wrapNone/>
                <wp:docPr id="9" name="Text Box 9"/>
                <wp:cNvGraphicFramePr/>
                <a:graphic xmlns:a="http://schemas.openxmlformats.org/drawingml/2006/main">
                  <a:graphicData uri="http://schemas.microsoft.com/office/word/2010/wordprocessingShape">
                    <wps:wsp>
                      <wps:cNvSpPr txBox="1"/>
                      <wps:spPr>
                        <a:xfrm>
                          <a:off x="0" y="0"/>
                          <a:ext cx="920750" cy="241935"/>
                        </a:xfrm>
                        <a:prstGeom prst="rect">
                          <a:avLst/>
                        </a:prstGeom>
                        <a:noFill/>
                        <a:ln w="6350">
                          <a:noFill/>
                        </a:ln>
                        <a:effectLst/>
                      </wps:spPr>
                      <wps:txbx>
                        <w:txbxContent>
                          <w:p w:rsidRPr="00D63690" w:rsidR="0088161E" w:rsidP="00D520BD" w:rsidRDefault="0088161E" w14:paraId="3BA93380" w14:textId="77777777">
                            <w:pPr>
                              <w:rPr>
                                <w:rFonts w:cs="Arial"/>
                                <w:sz w:val="18"/>
                              </w:rPr>
                            </w:pPr>
                            <w:r w:rsidRPr="00D63690">
                              <w:rPr>
                                <w:rFonts w:cs="Arial"/>
                                <w:sz w:val="18"/>
                              </w:rPr>
                              <w:t>Undiscounted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176.55pt;margin-top:172.7pt;width:72.5pt;height:19.0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" w14:anchorId="3B13512B">
                <v:textbox>
                  <w:txbxContent>
                    <w:p w:rsidRPr="00D63690" w:rsidR="0088161E" w:rsidP="00D520BD" w:rsidRDefault="0088161E" w14:paraId="3BA93380" w14:textId="77777777">
                      <w:pPr>
                        <w:rPr>
                          <w:rFonts w:cs="Arial"/>
                          <w:sz w:val="18"/>
                        </w:rPr>
                      </w:pPr>
                      <w:r w:rsidRPr="00D63690">
                        <w:rPr>
                          <w:rFonts w:cs="Arial"/>
                          <w:sz w:val="18"/>
                        </w:rPr>
                        <w:t>Undiscounted</w:t>
                      </w:r>
                    </w:p>
                  </w:txbxContent>
                </v:textbox>
              </v:shape>
            </w:pict>
          </mc:Fallback>
        </mc:AlternateContent>
      </w:r>
      <w:r w:rsidRPr="00B858DB" w:rsidR="00336D97">
        <w:rPr>
          <w:noProof/>
          <w:sz w:val="22"/>
          <w:szCs w:val="22"/>
        </w:rPr>
        <mc:AlternateContent>
          <mc:Choice Requires="wps">
            <w:drawing>
              <wp:anchor distT="0" distB="0" distL="114300" distR="114300" simplePos="0" relativeHeight="251658244" behindDoc="0" locked="0" layoutInCell="1" allowOverlap="1" wp14:editId="4167DF21" wp14:anchorId="5F2C7BB7">
                <wp:simplePos x="0" y="0"/>
                <wp:positionH relativeFrom="column">
                  <wp:posOffset>1449070</wp:posOffset>
                </wp:positionH>
                <wp:positionV relativeFrom="paragraph">
                  <wp:posOffset>1198880</wp:posOffset>
                </wp:positionV>
                <wp:extent cx="969010" cy="241935"/>
                <wp:effectExtent l="0" t="0" r="0" b="5715"/>
                <wp:wrapNone/>
                <wp:docPr id="11" name="Text Box 11"/>
                <wp:cNvGraphicFramePr/>
                <a:graphic xmlns:a="http://schemas.openxmlformats.org/drawingml/2006/main">
                  <a:graphicData uri="http://schemas.microsoft.com/office/word/2010/wordprocessingShape">
                    <wps:wsp>
                      <wps:cNvSpPr txBox="1"/>
                      <wps:spPr>
                        <a:xfrm>
                          <a:off x="0" y="0"/>
                          <a:ext cx="969010" cy="241935"/>
                        </a:xfrm>
                        <a:prstGeom prst="rect">
                          <a:avLst/>
                        </a:prstGeom>
                        <a:noFill/>
                        <a:ln w="6350">
                          <a:noFill/>
                        </a:ln>
                        <a:effectLst/>
                      </wps:spPr>
                      <wps:txbx>
                        <w:txbxContent>
                          <w:p w:rsidRPr="00D63690" w:rsidR="0088161E" w:rsidP="00D520BD" w:rsidRDefault="0088161E" w14:paraId="5AFFAF05" w14:textId="77777777">
                            <w:pPr>
                              <w:rPr>
                                <w:rFonts w:cs="Arial"/>
                                <w:sz w:val="18"/>
                              </w:rPr>
                            </w:pPr>
                            <w:r>
                              <w:rPr>
                                <w:rFonts w:cs="Arial"/>
                                <w:sz w:val="18"/>
                              </w:rPr>
                              <w:t>3 Percent NPV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margin-left:114.1pt;margin-top:94.4pt;width:76.3pt;height:19.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" w14:anchorId="5F2C7BB7">
                <v:textbox>
                  <w:txbxContent>
                    <w:p w:rsidRPr="00D63690" w:rsidR="0088161E" w:rsidP="00D520BD" w:rsidRDefault="0088161E" w14:paraId="5AFFAF05" w14:textId="77777777">
                      <w:pPr>
                        <w:rPr>
                          <w:rFonts w:cs="Arial"/>
                          <w:sz w:val="18"/>
                        </w:rPr>
                      </w:pPr>
                      <w:r>
                        <w:rPr>
                          <w:rFonts w:cs="Arial"/>
                          <w:sz w:val="18"/>
                        </w:rPr>
                        <w:t>3 Percent NPV</w:t>
                      </w:r>
                    </w:p>
                  </w:txbxContent>
                </v:textbox>
              </v:shape>
            </w:pict>
          </mc:Fallback>
        </mc:AlternateContent>
      </w:r>
      <w:r w:rsidRPr="00B858DB" w:rsidR="00336D97">
        <w:rPr>
          <w:noProof/>
          <w:sz w:val="22"/>
          <w:szCs w:val="22"/>
        </w:rPr>
        <mc:AlternateContent>
          <mc:Choice Requires="wps">
            <w:drawing>
              <wp:anchor distT="0" distB="0" distL="114300" distR="114300" simplePos="0" relativeHeight="251658242" behindDoc="0" locked="0" layoutInCell="1" allowOverlap="1" wp14:editId="790C4E67" wp14:anchorId="4A108E7E">
                <wp:simplePos x="0" y="0"/>
                <wp:positionH relativeFrom="column">
                  <wp:posOffset>234950</wp:posOffset>
                </wp:positionH>
                <wp:positionV relativeFrom="paragraph">
                  <wp:posOffset>1073785</wp:posOffset>
                </wp:positionV>
                <wp:extent cx="969240" cy="24245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969240" cy="2424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D63690" w:rsidR="0088161E" w:rsidP="00D520BD" w:rsidRDefault="0088161E" w14:paraId="6E2C04F0" w14:textId="77777777">
                            <w:pPr>
                              <w:rPr>
                                <w:rFonts w:cs="Arial"/>
                                <w:sz w:val="18"/>
                              </w:rPr>
                            </w:pPr>
                            <w:r>
                              <w:rPr>
                                <w:rFonts w:cs="Arial"/>
                                <w:sz w:val="18"/>
                              </w:rPr>
                              <w:t>7 Percent NPV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7" style="position:absolute;margin-left:18.5pt;margin-top:84.55pt;width:76.3pt;height:19.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" w14:anchorId="4A108E7E">
                <v:textbox>
                  <w:txbxContent>
                    <w:p w:rsidRPr="00D63690" w:rsidR="0088161E" w:rsidP="00D520BD" w:rsidRDefault="0088161E" w14:paraId="6E2C04F0" w14:textId="77777777">
                      <w:pPr>
                        <w:rPr>
                          <w:rFonts w:cs="Arial"/>
                          <w:sz w:val="18"/>
                        </w:rPr>
                      </w:pPr>
                      <w:r>
                        <w:rPr>
                          <w:rFonts w:cs="Arial"/>
                          <w:sz w:val="18"/>
                        </w:rPr>
                        <w:t>7 Percent NPV</w:t>
                      </w:r>
                    </w:p>
                  </w:txbxContent>
                </v:textbox>
              </v:shape>
            </w:pict>
          </mc:Fallback>
        </mc:AlternateContent>
      </w:r>
      <w:r w:rsidRPr="00336D97" w:rsidR="00336D97">
        <w:rPr>
          <w:noProof/>
          <w:sz w:val="22"/>
          <w:szCs w:val="22"/>
        </w:rPr>
        <w:drawing>
          <wp:inline distT="0" distB="0" distL="0" distR="0" wp14:anchorId="5A3840B2" wp14:editId="2577E8CE">
            <wp:extent cx="5943600" cy="3232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3232150"/>
                    </a:xfrm>
                    <a:prstGeom prst="rect">
                      <a:avLst/>
                    </a:prstGeom>
                    <a:noFill/>
                    <a:ln>
                      <a:noFill/>
                    </a:ln>
                  </pic:spPr>
                </pic:pic>
              </a:graphicData>
            </a:graphic>
          </wp:inline>
        </w:drawing>
      </w:r>
    </w:p>
    <w:p w:rsidR="00D520BD" w:rsidP="00D520BD" w:rsidRDefault="00D520BD" w14:paraId="32717699" w14:textId="77777777">
      <w:pPr>
        <w:rPr>
          <w:sz w:val="22"/>
          <w:szCs w:val="22"/>
        </w:rPr>
      </w:pPr>
    </w:p>
    <w:p w:rsidR="00D520BD" w:rsidP="00D520BD" w:rsidRDefault="00D520BD" w14:paraId="45DF9EC1" w14:textId="0320C240">
      <w:pPr>
        <w:rPr>
          <w:sz w:val="22"/>
          <w:szCs w:val="22"/>
        </w:rPr>
      </w:pPr>
      <w:r>
        <w:rPr>
          <w:sz w:val="22"/>
          <w:szCs w:val="22"/>
        </w:rPr>
        <w:t>Figure 5-9 also displays the sensitivity of the uncertainty analysis to the discount rates used for the net benefits (i.e.</w:t>
      </w:r>
      <w:r w:rsidR="00646A79">
        <w:rPr>
          <w:sz w:val="22"/>
          <w:szCs w:val="22"/>
        </w:rPr>
        <w:t>,</w:t>
      </w:r>
      <w:r>
        <w:rPr>
          <w:sz w:val="22"/>
          <w:szCs w:val="22"/>
        </w:rPr>
        <w:t xml:space="preserve"> benefits minus costs) of the rule based on </w:t>
      </w:r>
      <w:r w:rsidR="00E738CB">
        <w:rPr>
          <w:sz w:val="22"/>
          <w:szCs w:val="22"/>
        </w:rPr>
        <w:t>5</w:t>
      </w:r>
      <w:r w:rsidR="00646A79">
        <w:rPr>
          <w:sz w:val="22"/>
          <w:szCs w:val="22"/>
        </w:rPr>
        <w:t>,</w:t>
      </w:r>
      <w:r>
        <w:rPr>
          <w:sz w:val="22"/>
          <w:szCs w:val="22"/>
        </w:rPr>
        <w:t>000 simulations.  By allowing uncertain assumptions and inputs to vary across a distribution</w:t>
      </w:r>
      <w:r w:rsidR="00646A79">
        <w:rPr>
          <w:sz w:val="22"/>
          <w:szCs w:val="22"/>
        </w:rPr>
        <w:t>,</w:t>
      </w:r>
      <w:r>
        <w:rPr>
          <w:sz w:val="22"/>
          <w:szCs w:val="22"/>
        </w:rPr>
        <w:t xml:space="preserve"> the results are no longer static and instead are spread across a range with varying degrees of certainty.</w:t>
      </w:r>
    </w:p>
    <w:p w:rsidR="00CD4D83" w:rsidP="00D520BD" w:rsidRDefault="00CD4D83" w14:paraId="2EDA1D6B" w14:textId="77777777">
      <w:pPr>
        <w:rPr>
          <w:sz w:val="22"/>
          <w:szCs w:val="22"/>
        </w:rPr>
      </w:pPr>
    </w:p>
    <w:p w:rsidRPr="005C7807" w:rsidR="00D520BD" w:rsidP="005C6BA3" w:rsidRDefault="00D520BD" w14:paraId="00A75A68" w14:textId="77777777">
      <w:pPr>
        <w:pStyle w:val="Heading3"/>
        <w:numPr>
          <w:ilvl w:val="2"/>
          <w:numId w:val="24"/>
        </w:numPr>
        <w:ind w:left="720"/>
      </w:pPr>
      <w:bookmarkStart w:name="_Toc434847887" w:id="255"/>
      <w:bookmarkStart w:name="_Toc422402479" w:id="256"/>
      <w:bookmarkStart w:name="_Toc423339062" w:id="257"/>
      <w:bookmarkStart w:name="_Toc423339575" w:id="258"/>
      <w:bookmarkStart w:name="_Toc423408942" w:id="259"/>
      <w:bookmarkStart w:name="_Toc423443893" w:id="260"/>
      <w:bookmarkStart w:name="_Toc423446840" w:id="261"/>
      <w:bookmarkStart w:name="_Toc414346130" w:id="262"/>
      <w:bookmarkStart w:name="_Toc460412622" w:id="263"/>
      <w:bookmarkStart w:name="_Toc72840042" w:id="264"/>
      <w:bookmarkStart w:name="_Toc105681515" w:id="265"/>
      <w:bookmarkEnd w:id="255"/>
      <w:bookmarkEnd w:id="256"/>
      <w:bookmarkEnd w:id="257"/>
      <w:bookmarkEnd w:id="258"/>
      <w:bookmarkEnd w:id="259"/>
      <w:bookmarkEnd w:id="260"/>
      <w:bookmarkEnd w:id="261"/>
      <w:r w:rsidRPr="005C7807">
        <w:t>Summary of Uncertainty Analysis</w:t>
      </w:r>
      <w:bookmarkEnd w:id="262"/>
      <w:bookmarkEnd w:id="263"/>
      <w:bookmarkEnd w:id="264"/>
      <w:bookmarkEnd w:id="265"/>
    </w:p>
    <w:p w:rsidRPr="00B858DB" w:rsidR="00D520BD" w:rsidP="00D520BD" w:rsidRDefault="00D520BD" w14:paraId="2F43F4AA" w14:textId="77777777">
      <w:pPr>
        <w:keepNext/>
        <w:rPr>
          <w:sz w:val="22"/>
          <w:szCs w:val="22"/>
        </w:rPr>
      </w:pPr>
    </w:p>
    <w:p w:rsidR="00D520BD" w:rsidP="00D520BD" w:rsidRDefault="00D520BD" w14:paraId="5D0DF007" w14:textId="4E19C47A">
      <w:pPr>
        <w:spacing w:after="220"/>
        <w:rPr>
          <w:sz w:val="22"/>
          <w:szCs w:val="22"/>
        </w:rPr>
      </w:pPr>
      <w:r w:rsidRPr="00CD4D83">
        <w:rPr>
          <w:sz w:val="22"/>
          <w:szCs w:val="22"/>
        </w:rPr>
        <w:t xml:space="preserve">The simulation analysis </w:t>
      </w:r>
      <w:r w:rsidR="00B8071D">
        <w:rPr>
          <w:sz w:val="22"/>
          <w:szCs w:val="22"/>
        </w:rPr>
        <w:t xml:space="preserve">results in Table 5-17 </w:t>
      </w:r>
      <w:r w:rsidRPr="00CD4D83">
        <w:rPr>
          <w:sz w:val="22"/>
          <w:szCs w:val="22"/>
        </w:rPr>
        <w:t xml:space="preserve">show that the estimated mean cost for this rule is </w:t>
      </w:r>
      <w:r w:rsidR="00A44712">
        <w:rPr>
          <w:sz w:val="22"/>
          <w:szCs w:val="22"/>
        </w:rPr>
        <w:t>$0.74</w:t>
      </w:r>
      <w:r w:rsidRPr="00CD4D83">
        <w:rPr>
          <w:sz w:val="22"/>
          <w:szCs w:val="22"/>
        </w:rPr>
        <w:t> million</w:t>
      </w:r>
      <w:r w:rsidRPr="00CD4D83" w:rsidR="00646A79">
        <w:rPr>
          <w:sz w:val="22"/>
          <w:szCs w:val="22"/>
        </w:rPr>
        <w:t>,</w:t>
      </w:r>
      <w:r w:rsidRPr="00CD4D83">
        <w:rPr>
          <w:sz w:val="22"/>
          <w:szCs w:val="22"/>
        </w:rPr>
        <w:t xml:space="preserve"> with 90</w:t>
      </w:r>
      <w:r w:rsidRPr="00CD4D83">
        <w:rPr>
          <w:sz w:val="22"/>
          <w:szCs w:val="22"/>
        </w:rPr>
        <w:noBreakHyphen/>
        <w:t xml:space="preserve">percent confidence that the cost is between </w:t>
      </w:r>
      <w:r w:rsidR="00AA382F">
        <w:rPr>
          <w:sz w:val="22"/>
          <w:szCs w:val="22"/>
        </w:rPr>
        <w:t>(</w:t>
      </w:r>
      <w:r w:rsidRPr="00CD4D83">
        <w:rPr>
          <w:sz w:val="22"/>
          <w:szCs w:val="22"/>
        </w:rPr>
        <w:t>$</w:t>
      </w:r>
      <w:r w:rsidR="00AA382F">
        <w:rPr>
          <w:sz w:val="22"/>
          <w:szCs w:val="22"/>
        </w:rPr>
        <w:t>1.14</w:t>
      </w:r>
      <w:r w:rsidRPr="00CD4D83">
        <w:rPr>
          <w:sz w:val="22"/>
          <w:szCs w:val="22"/>
        </w:rPr>
        <w:t xml:space="preserve"> million) and $</w:t>
      </w:r>
      <w:r w:rsidR="00321205">
        <w:rPr>
          <w:sz w:val="22"/>
          <w:szCs w:val="22"/>
        </w:rPr>
        <w:t>3.1</w:t>
      </w:r>
      <w:r w:rsidR="00AA382F">
        <w:rPr>
          <w:sz w:val="22"/>
          <w:szCs w:val="22"/>
        </w:rPr>
        <w:t>0</w:t>
      </w:r>
      <w:r w:rsidRPr="00CD4D83">
        <w:rPr>
          <w:sz w:val="22"/>
          <w:szCs w:val="22"/>
        </w:rPr>
        <w:t> million using a 7</w:t>
      </w:r>
      <w:r w:rsidRPr="00CD4D83">
        <w:rPr>
          <w:sz w:val="22"/>
          <w:szCs w:val="22"/>
        </w:rPr>
        <w:noBreakHyphen/>
        <w:t>percent discount rate</w:t>
      </w:r>
      <w:r w:rsidR="00CD4D83">
        <w:rPr>
          <w:sz w:val="22"/>
          <w:szCs w:val="22"/>
        </w:rPr>
        <w:t xml:space="preserve"> with a projected increase of </w:t>
      </w:r>
      <w:r w:rsidR="000509E5">
        <w:rPr>
          <w:sz w:val="22"/>
          <w:szCs w:val="22"/>
        </w:rPr>
        <w:t>22</w:t>
      </w:r>
      <w:r w:rsidR="00CD4D83">
        <w:rPr>
          <w:sz w:val="22"/>
          <w:szCs w:val="22"/>
        </w:rPr>
        <w:t xml:space="preserve"> percent in positive test results.</w:t>
      </w:r>
    </w:p>
    <w:p w:rsidRPr="00CD4D83" w:rsidR="00CD4D83" w:rsidP="00D520BD" w:rsidRDefault="00CD4D83" w14:paraId="78E90104" w14:textId="6568C92B">
      <w:pPr>
        <w:spacing w:after="220"/>
        <w:rPr>
          <w:sz w:val="22"/>
          <w:szCs w:val="22"/>
        </w:rPr>
      </w:pPr>
      <w:r w:rsidRPr="00CD4D83">
        <w:rPr>
          <w:sz w:val="22"/>
          <w:szCs w:val="22"/>
        </w:rPr>
        <w:t xml:space="preserve">The NRC projections </w:t>
      </w:r>
      <w:r w:rsidR="00A41647">
        <w:rPr>
          <w:sz w:val="22"/>
          <w:szCs w:val="22"/>
        </w:rPr>
        <w:t xml:space="preserve">use </w:t>
      </w:r>
      <w:r w:rsidR="00FE602E">
        <w:rPr>
          <w:sz w:val="22"/>
          <w:szCs w:val="22"/>
        </w:rPr>
        <w:t>11</w:t>
      </w:r>
      <w:r w:rsidRPr="00CD4D83">
        <w:rPr>
          <w:sz w:val="22"/>
          <w:szCs w:val="22"/>
        </w:rPr>
        <w:t xml:space="preserve"> years of </w:t>
      </w:r>
      <w:r w:rsidR="00FA032B">
        <w:rPr>
          <w:sz w:val="22"/>
          <w:szCs w:val="22"/>
        </w:rPr>
        <w:t>10 CFR </w:t>
      </w:r>
      <w:r w:rsidR="001E0192">
        <w:rPr>
          <w:sz w:val="22"/>
          <w:szCs w:val="22"/>
        </w:rPr>
        <w:t xml:space="preserve">Part 26 </w:t>
      </w:r>
      <w:r w:rsidR="00B87502">
        <w:rPr>
          <w:sz w:val="22"/>
          <w:szCs w:val="22"/>
        </w:rPr>
        <w:t xml:space="preserve">FFD </w:t>
      </w:r>
      <w:r w:rsidR="001E0192">
        <w:rPr>
          <w:sz w:val="22"/>
          <w:szCs w:val="22"/>
        </w:rPr>
        <w:t>program</w:t>
      </w:r>
      <w:r w:rsidR="00B87502">
        <w:rPr>
          <w:sz w:val="22"/>
          <w:szCs w:val="22"/>
        </w:rPr>
        <w:t xml:space="preserve"> </w:t>
      </w:r>
      <w:r w:rsidRPr="00CD4D83">
        <w:rPr>
          <w:sz w:val="22"/>
          <w:szCs w:val="22"/>
        </w:rPr>
        <w:t>test results that are supplemented with DOT drug testing data of a similar DOT population for projecting the detection of additional positives for new drugs added to the NRC initial and confirmatory testing panels.</w:t>
      </w:r>
    </w:p>
    <w:p w:rsidR="00D520BD" w:rsidP="00D520BD" w:rsidRDefault="00D520BD" w14:paraId="7ABE32D0" w14:textId="1F50321C">
      <w:pPr>
        <w:rPr>
          <w:sz w:val="22"/>
          <w:szCs w:val="22"/>
        </w:rPr>
      </w:pPr>
      <w:r>
        <w:rPr>
          <w:sz w:val="22"/>
        </w:rPr>
        <w:t xml:space="preserve">The NRC staff assessed </w:t>
      </w:r>
      <w:r w:rsidR="00DA1B4A">
        <w:rPr>
          <w:sz w:val="22"/>
        </w:rPr>
        <w:t xml:space="preserve">the </w:t>
      </w:r>
      <w:r>
        <w:rPr>
          <w:sz w:val="22"/>
        </w:rPr>
        <w:t xml:space="preserve">variables </w:t>
      </w:r>
      <w:r w:rsidR="00DA1B4A">
        <w:rPr>
          <w:sz w:val="22"/>
        </w:rPr>
        <w:t>that</w:t>
      </w:r>
      <w:r>
        <w:rPr>
          <w:sz w:val="22"/>
        </w:rPr>
        <w:t xml:space="preserve"> have the </w:t>
      </w:r>
      <w:r w:rsidRPr="004C3C29">
        <w:rPr>
          <w:sz w:val="22"/>
        </w:rPr>
        <w:t>largest impact on total costs (and averted costs) for th</w:t>
      </w:r>
      <w:r>
        <w:rPr>
          <w:sz w:val="22"/>
        </w:rPr>
        <w:t xml:space="preserve">e </w:t>
      </w:r>
      <w:r w:rsidR="00C82438">
        <w:rPr>
          <w:sz w:val="22"/>
        </w:rPr>
        <w:t>final</w:t>
      </w:r>
      <w:r>
        <w:rPr>
          <w:sz w:val="22"/>
        </w:rPr>
        <w:t xml:space="preserve"> </w:t>
      </w:r>
      <w:r w:rsidRPr="004C3C29">
        <w:rPr>
          <w:sz w:val="22"/>
        </w:rPr>
        <w:t xml:space="preserve">rule.  </w:t>
      </w:r>
      <w:r>
        <w:rPr>
          <w:sz w:val="22"/>
        </w:rPr>
        <w:t>As shown in Figures 5</w:t>
      </w:r>
      <w:r>
        <w:rPr>
          <w:sz w:val="22"/>
        </w:rPr>
        <w:noBreakHyphen/>
      </w:r>
      <w:r w:rsidR="00CD4D83">
        <w:rPr>
          <w:sz w:val="22"/>
        </w:rPr>
        <w:t>6</w:t>
      </w:r>
      <w:r>
        <w:rPr>
          <w:sz w:val="22"/>
        </w:rPr>
        <w:t xml:space="preserve"> and 5</w:t>
      </w:r>
      <w:r>
        <w:rPr>
          <w:sz w:val="22"/>
        </w:rPr>
        <w:noBreakHyphen/>
      </w:r>
      <w:r w:rsidR="00CD4D83">
        <w:rPr>
          <w:sz w:val="22"/>
        </w:rPr>
        <w:t>7</w:t>
      </w:r>
      <w:r w:rsidR="00646A79">
        <w:rPr>
          <w:sz w:val="22"/>
        </w:rPr>
        <w:t>,</w:t>
      </w:r>
      <w:r>
        <w:rPr>
          <w:sz w:val="22"/>
        </w:rPr>
        <w:t xml:space="preserve"> t</w:t>
      </w:r>
      <w:r w:rsidRPr="004C3C29">
        <w:rPr>
          <w:sz w:val="22"/>
        </w:rPr>
        <w:t xml:space="preserve">he </w:t>
      </w:r>
      <w:r>
        <w:rPr>
          <w:sz w:val="22"/>
        </w:rPr>
        <w:t xml:space="preserve">two largest uncertainties in cost are associated with the </w:t>
      </w:r>
      <w:r w:rsidR="00CD4D83">
        <w:rPr>
          <w:sz w:val="22"/>
        </w:rPr>
        <w:t xml:space="preserve">current NRC </w:t>
      </w:r>
      <w:r w:rsidR="004F7208">
        <w:rPr>
          <w:sz w:val="22"/>
        </w:rPr>
        <w:t xml:space="preserve">FFD </w:t>
      </w:r>
      <w:r w:rsidR="001B0F2E">
        <w:rPr>
          <w:sz w:val="22"/>
        </w:rPr>
        <w:t xml:space="preserve">amphetamines </w:t>
      </w:r>
      <w:r w:rsidR="00CD4D83">
        <w:rPr>
          <w:sz w:val="22"/>
        </w:rPr>
        <w:t xml:space="preserve">positive test rate and the </w:t>
      </w:r>
      <w:r w:rsidR="001B0F2E">
        <w:rPr>
          <w:sz w:val="22"/>
        </w:rPr>
        <w:t>total number of NRC FFD program annual tests</w:t>
      </w:r>
      <w:r w:rsidRPr="004C3C29">
        <w:rPr>
          <w:sz w:val="22"/>
        </w:rPr>
        <w:t xml:space="preserve">.  </w:t>
      </w:r>
      <w:r w:rsidRPr="001E5242">
        <w:rPr>
          <w:sz w:val="22"/>
          <w:szCs w:val="22"/>
        </w:rPr>
        <w:t xml:space="preserve">The </w:t>
      </w:r>
      <w:r w:rsidR="00BF1107">
        <w:rPr>
          <w:sz w:val="22"/>
          <w:szCs w:val="22"/>
        </w:rPr>
        <w:t>remaining</w:t>
      </w:r>
      <w:r>
        <w:rPr>
          <w:sz w:val="22"/>
          <w:szCs w:val="22"/>
        </w:rPr>
        <w:t xml:space="preserve"> </w:t>
      </w:r>
      <w:r w:rsidRPr="001E5242">
        <w:rPr>
          <w:sz w:val="22"/>
          <w:szCs w:val="22"/>
        </w:rPr>
        <w:t>variables ha</w:t>
      </w:r>
      <w:r>
        <w:rPr>
          <w:sz w:val="22"/>
          <w:szCs w:val="22"/>
        </w:rPr>
        <w:t xml:space="preserve">ve lesser impacts on the total </w:t>
      </w:r>
      <w:r w:rsidRPr="001E5242">
        <w:rPr>
          <w:sz w:val="22"/>
          <w:szCs w:val="22"/>
        </w:rPr>
        <w:t>cost</w:t>
      </w:r>
      <w:r>
        <w:rPr>
          <w:sz w:val="22"/>
          <w:szCs w:val="22"/>
        </w:rPr>
        <w:t xml:space="preserve"> of implementing the rule.</w:t>
      </w:r>
    </w:p>
    <w:p w:rsidR="00D520BD" w:rsidP="00D520BD" w:rsidRDefault="00D520BD" w14:paraId="6DB05E3B" w14:textId="77777777">
      <w:pPr>
        <w:rPr>
          <w:sz w:val="22"/>
          <w:szCs w:val="22"/>
        </w:rPr>
      </w:pPr>
    </w:p>
    <w:p w:rsidR="00D520BD" w:rsidP="00D520BD" w:rsidRDefault="00D520BD" w14:paraId="221BE343" w14:textId="7FA10E19">
      <w:pPr>
        <w:rPr>
          <w:sz w:val="22"/>
        </w:rPr>
      </w:pPr>
      <w:r>
        <w:rPr>
          <w:sz w:val="22"/>
          <w:szCs w:val="22"/>
        </w:rPr>
        <w:t xml:space="preserve">As illustrated in </w:t>
      </w:r>
      <w:r w:rsidRPr="00F17186" w:rsidR="00F17186">
        <w:rPr>
          <w:sz w:val="22"/>
          <w:szCs w:val="22"/>
        </w:rPr>
        <w:fldChar w:fldCharType="begin"/>
      </w:r>
      <w:r w:rsidRPr="00F17186" w:rsidR="00F17186">
        <w:rPr>
          <w:sz w:val="22"/>
          <w:szCs w:val="22"/>
        </w:rPr>
        <w:instrText xml:space="preserve"> REF _Ref72166068 \h  \* MERGEFORMAT </w:instrText>
      </w:r>
      <w:r w:rsidRPr="00F17186" w:rsidR="00F17186">
        <w:rPr>
          <w:sz w:val="22"/>
          <w:szCs w:val="22"/>
        </w:rPr>
      </w:r>
      <w:r w:rsidRPr="00F17186" w:rsidR="00F17186">
        <w:rPr>
          <w:sz w:val="22"/>
          <w:szCs w:val="22"/>
        </w:rPr>
        <w:fldChar w:fldCharType="separate"/>
      </w:r>
      <w:r w:rsidRPr="006155B8" w:rsidR="00A6777F">
        <w:rPr>
          <w:sz w:val="22"/>
          <w:szCs w:val="22"/>
        </w:rPr>
        <w:t>Figure 5-9</w:t>
      </w:r>
      <w:r w:rsidRPr="00F17186" w:rsidR="00F17186">
        <w:rPr>
          <w:sz w:val="22"/>
          <w:szCs w:val="22"/>
        </w:rPr>
        <w:fldChar w:fldCharType="end"/>
      </w:r>
      <w:r w:rsidRPr="00F17186" w:rsidR="00646A79">
        <w:rPr>
          <w:sz w:val="22"/>
          <w:szCs w:val="22"/>
        </w:rPr>
        <w:t>,</w:t>
      </w:r>
      <w:r>
        <w:rPr>
          <w:sz w:val="22"/>
          <w:szCs w:val="22"/>
        </w:rPr>
        <w:t xml:space="preserve"> variation in the key variables results in cost distributions that range </w:t>
      </w:r>
      <w:r w:rsidRPr="00CD4D83">
        <w:rPr>
          <w:sz w:val="22"/>
          <w:szCs w:val="22"/>
        </w:rPr>
        <w:t xml:space="preserve">from </w:t>
      </w:r>
      <w:r w:rsidR="00510468">
        <w:rPr>
          <w:sz w:val="22"/>
          <w:szCs w:val="22"/>
        </w:rPr>
        <w:t>(</w:t>
      </w:r>
      <w:r w:rsidRPr="00CD4D83">
        <w:rPr>
          <w:sz w:val="22"/>
          <w:szCs w:val="22"/>
        </w:rPr>
        <w:t>$</w:t>
      </w:r>
      <w:r w:rsidR="00510468">
        <w:rPr>
          <w:sz w:val="22"/>
          <w:szCs w:val="22"/>
        </w:rPr>
        <w:t>4</w:t>
      </w:r>
      <w:r w:rsidR="0024368A">
        <w:rPr>
          <w:sz w:val="22"/>
          <w:szCs w:val="22"/>
        </w:rPr>
        <w:t>.8</w:t>
      </w:r>
      <w:r w:rsidR="00510468">
        <w:rPr>
          <w:sz w:val="22"/>
          <w:szCs w:val="22"/>
        </w:rPr>
        <w:t>7</w:t>
      </w:r>
      <w:r w:rsidRPr="00CD4D83">
        <w:rPr>
          <w:sz w:val="22"/>
          <w:szCs w:val="22"/>
        </w:rPr>
        <w:t xml:space="preserve"> million</w:t>
      </w:r>
      <w:r w:rsidR="00510468">
        <w:rPr>
          <w:sz w:val="22"/>
          <w:szCs w:val="22"/>
        </w:rPr>
        <w:t>)</w:t>
      </w:r>
      <w:r w:rsidRPr="00CD4D83">
        <w:rPr>
          <w:sz w:val="22"/>
          <w:szCs w:val="22"/>
        </w:rPr>
        <w:t xml:space="preserve"> </w:t>
      </w:r>
      <w:r w:rsidR="00AE5067">
        <w:rPr>
          <w:sz w:val="22"/>
          <w:szCs w:val="22"/>
        </w:rPr>
        <w:t>to</w:t>
      </w:r>
      <w:r w:rsidRPr="00CD4D83">
        <w:rPr>
          <w:sz w:val="22"/>
          <w:szCs w:val="22"/>
        </w:rPr>
        <w:t xml:space="preserve"> $</w:t>
      </w:r>
      <w:r w:rsidR="00510468">
        <w:rPr>
          <w:sz w:val="22"/>
          <w:szCs w:val="22"/>
        </w:rPr>
        <w:t>14</w:t>
      </w:r>
      <w:r w:rsidR="00947C4E">
        <w:rPr>
          <w:sz w:val="22"/>
          <w:szCs w:val="22"/>
        </w:rPr>
        <w:t>.5</w:t>
      </w:r>
      <w:r w:rsidRPr="00CD4D83">
        <w:rPr>
          <w:sz w:val="22"/>
          <w:szCs w:val="22"/>
        </w:rPr>
        <w:t xml:space="preserve"> million</w:t>
      </w:r>
      <w:r w:rsidRPr="00CD4D83" w:rsidR="00CD4D83">
        <w:rPr>
          <w:sz w:val="22"/>
          <w:szCs w:val="22"/>
        </w:rPr>
        <w:t xml:space="preserve"> </w:t>
      </w:r>
      <w:r w:rsidRPr="00CD4D83">
        <w:rPr>
          <w:sz w:val="22"/>
          <w:szCs w:val="22"/>
        </w:rPr>
        <w:t>from the</w:t>
      </w:r>
      <w:r>
        <w:rPr>
          <w:sz w:val="22"/>
          <w:szCs w:val="22"/>
        </w:rPr>
        <w:t xml:space="preserve"> </w:t>
      </w:r>
      <w:r w:rsidRPr="00302CCE">
        <w:rPr>
          <w:sz w:val="22"/>
        </w:rPr>
        <w:t>regulatory baseline</w:t>
      </w:r>
      <w:r>
        <w:rPr>
          <w:sz w:val="22"/>
        </w:rPr>
        <w:t xml:space="preserve"> of Alternative 1 (</w:t>
      </w:r>
      <w:r w:rsidR="004E5ACE">
        <w:rPr>
          <w:sz w:val="22"/>
        </w:rPr>
        <w:t xml:space="preserve">Take </w:t>
      </w:r>
      <w:r>
        <w:rPr>
          <w:sz w:val="22"/>
        </w:rPr>
        <w:t>No Action</w:t>
      </w:r>
      <w:r w:rsidR="00A33207">
        <w:rPr>
          <w:sz w:val="22"/>
        </w:rPr>
        <w:t xml:space="preserve"> alternative</w:t>
      </w:r>
      <w:r>
        <w:rPr>
          <w:sz w:val="22"/>
        </w:rPr>
        <w:t>) when accounting for different discount factors</w:t>
      </w:r>
      <w:r w:rsidRPr="00302CCE">
        <w:rPr>
          <w:sz w:val="22"/>
        </w:rPr>
        <w:t>.</w:t>
      </w:r>
    </w:p>
    <w:p w:rsidRPr="001E5242" w:rsidR="00D520BD" w:rsidP="00D520BD" w:rsidRDefault="00D520BD" w14:paraId="22EA557D" w14:textId="77777777">
      <w:pPr>
        <w:rPr>
          <w:sz w:val="22"/>
          <w:szCs w:val="22"/>
        </w:rPr>
      </w:pPr>
    </w:p>
    <w:p w:rsidR="00D520BD" w:rsidP="00D520BD" w:rsidRDefault="00D520BD" w14:paraId="12DE4F37" w14:textId="77777777">
      <w:pPr>
        <w:pStyle w:val="Heading2"/>
      </w:pPr>
      <w:bookmarkStart w:name="_Toc460412623" w:id="266"/>
      <w:bookmarkStart w:name="_Toc72840043" w:id="267"/>
      <w:bookmarkStart w:name="_Toc105681516" w:id="268"/>
      <w:r>
        <w:t>5</w:t>
      </w:r>
      <w:r w:rsidRPr="005A5966">
        <w:t>.</w:t>
      </w:r>
      <w:r>
        <w:t>3</w:t>
      </w:r>
      <w:r w:rsidRPr="005A5966">
        <w:tab/>
      </w:r>
      <w:r>
        <w:t>Disaggregation</w:t>
      </w:r>
      <w:bookmarkEnd w:id="266"/>
      <w:bookmarkEnd w:id="267"/>
      <w:bookmarkEnd w:id="268"/>
    </w:p>
    <w:p w:rsidRPr="00E97915" w:rsidR="00D520BD" w:rsidP="00D520BD" w:rsidRDefault="00D520BD" w14:paraId="7591AA4C" w14:textId="77777777">
      <w:pPr>
        <w:keepNext/>
        <w:keepLines/>
        <w:rPr>
          <w:sz w:val="22"/>
          <w:szCs w:val="22"/>
        </w:rPr>
      </w:pPr>
    </w:p>
    <w:p w:rsidRPr="00E97915" w:rsidR="00D520BD" w:rsidP="00D520BD" w:rsidRDefault="00D520BD" w14:paraId="703F2416" w14:textId="60A6DE6D">
      <w:pPr>
        <w:autoSpaceDE/>
        <w:autoSpaceDN/>
        <w:adjustRightInd/>
        <w:rPr>
          <w:sz w:val="22"/>
          <w:szCs w:val="22"/>
        </w:rPr>
      </w:pPr>
      <w:r w:rsidRPr="00E97915">
        <w:rPr>
          <w:sz w:val="22"/>
          <w:szCs w:val="22"/>
        </w:rPr>
        <w:t xml:space="preserve">In order to </w:t>
      </w:r>
      <w:r>
        <w:rPr>
          <w:sz w:val="22"/>
          <w:szCs w:val="22"/>
        </w:rPr>
        <w:t xml:space="preserve">implement </w:t>
      </w:r>
      <w:r w:rsidRPr="00E97915">
        <w:rPr>
          <w:sz w:val="22"/>
          <w:szCs w:val="22"/>
        </w:rPr>
        <w:t>the guidance in Section</w:t>
      </w:r>
      <w:r>
        <w:rPr>
          <w:sz w:val="22"/>
          <w:szCs w:val="22"/>
        </w:rPr>
        <w:t> </w:t>
      </w:r>
      <w:r w:rsidRPr="00E97915">
        <w:rPr>
          <w:sz w:val="22"/>
          <w:szCs w:val="22"/>
        </w:rPr>
        <w:t>4.3.2</w:t>
      </w:r>
      <w:r w:rsidR="00646A79">
        <w:rPr>
          <w:sz w:val="22"/>
          <w:szCs w:val="22"/>
        </w:rPr>
        <w:t>,</w:t>
      </w:r>
      <w:r>
        <w:rPr>
          <w:sz w:val="22"/>
          <w:szCs w:val="22"/>
        </w:rPr>
        <w:t xml:space="preserve"> </w:t>
      </w:r>
      <w:r w:rsidR="00646A79">
        <w:rPr>
          <w:sz w:val="22"/>
          <w:szCs w:val="22"/>
        </w:rPr>
        <w:t>“</w:t>
      </w:r>
      <w:r>
        <w:rPr>
          <w:sz w:val="22"/>
          <w:szCs w:val="22"/>
        </w:rPr>
        <w:t>Criteria for the Treatment</w:t>
      </w:r>
      <w:r w:rsidRPr="00E97915">
        <w:rPr>
          <w:sz w:val="22"/>
          <w:szCs w:val="22"/>
        </w:rPr>
        <w:t xml:space="preserve"> </w:t>
      </w:r>
      <w:r>
        <w:rPr>
          <w:sz w:val="22"/>
          <w:szCs w:val="22"/>
        </w:rPr>
        <w:t>of Individual Requirements</w:t>
      </w:r>
      <w:r w:rsidR="00646A79">
        <w:rPr>
          <w:sz w:val="22"/>
          <w:szCs w:val="22"/>
        </w:rPr>
        <w:t>,”</w:t>
      </w:r>
      <w:r>
        <w:rPr>
          <w:sz w:val="22"/>
          <w:szCs w:val="22"/>
        </w:rPr>
        <w:t xml:space="preserve"> </w:t>
      </w:r>
      <w:r w:rsidR="00DE00A8">
        <w:rPr>
          <w:sz w:val="22"/>
          <w:szCs w:val="22"/>
        </w:rPr>
        <w:t>of</w:t>
      </w:r>
      <w:r w:rsidRPr="007B5237">
        <w:rPr>
          <w:rFonts w:cs="Arial"/>
          <w:color w:val="000000" w:themeColor="text1"/>
          <w:sz w:val="22"/>
          <w:szCs w:val="22"/>
        </w:rPr>
        <w:t xml:space="preserve"> </w:t>
      </w:r>
      <w:r w:rsidRPr="00E67BCC">
        <w:rPr>
          <w:rFonts w:cs="Arial"/>
          <w:color w:val="000000" w:themeColor="text1"/>
          <w:sz w:val="22"/>
          <w:szCs w:val="22"/>
        </w:rPr>
        <w:t>NUREG/BR-0058</w:t>
      </w:r>
      <w:r w:rsidR="00646A79">
        <w:rPr>
          <w:rFonts w:cs="Arial"/>
          <w:color w:val="000000" w:themeColor="text1"/>
          <w:sz w:val="22"/>
          <w:szCs w:val="22"/>
        </w:rPr>
        <w:t>,</w:t>
      </w:r>
      <w:r w:rsidRPr="00E67BCC">
        <w:rPr>
          <w:rFonts w:cs="Arial"/>
          <w:color w:val="000000" w:themeColor="text1"/>
          <w:sz w:val="22"/>
          <w:szCs w:val="22"/>
        </w:rPr>
        <w:t xml:space="preserve"> </w:t>
      </w:r>
      <w:r w:rsidR="00ED66A3">
        <w:rPr>
          <w:rFonts w:cs="Arial"/>
          <w:color w:val="000000" w:themeColor="text1"/>
          <w:sz w:val="22"/>
          <w:szCs w:val="22"/>
        </w:rPr>
        <w:t xml:space="preserve">draft </w:t>
      </w:r>
      <w:r w:rsidRPr="00E67BCC">
        <w:rPr>
          <w:rFonts w:cs="Arial"/>
          <w:color w:val="000000" w:themeColor="text1"/>
          <w:sz w:val="22"/>
          <w:szCs w:val="22"/>
        </w:rPr>
        <w:t>Rev</w:t>
      </w:r>
      <w:r>
        <w:rPr>
          <w:rFonts w:cs="Arial"/>
          <w:color w:val="000000" w:themeColor="text1"/>
          <w:sz w:val="22"/>
          <w:szCs w:val="22"/>
        </w:rPr>
        <w:t>ision </w:t>
      </w:r>
      <w:r w:rsidR="00ED66A3">
        <w:rPr>
          <w:rFonts w:cs="Arial"/>
          <w:color w:val="000000" w:themeColor="text1"/>
          <w:sz w:val="22"/>
          <w:szCs w:val="22"/>
        </w:rPr>
        <w:t>5</w:t>
      </w:r>
      <w:r w:rsidR="00F0587E">
        <w:rPr>
          <w:rFonts w:cs="Arial"/>
          <w:color w:val="000000" w:themeColor="text1"/>
          <w:sz w:val="22"/>
          <w:szCs w:val="22"/>
        </w:rPr>
        <w:t xml:space="preserve"> </w:t>
      </w:r>
      <w:r w:rsidRPr="00E97915">
        <w:rPr>
          <w:sz w:val="22"/>
          <w:szCs w:val="22"/>
        </w:rPr>
        <w:t>(</w:t>
      </w:r>
      <w:r w:rsidR="00ED66A3">
        <w:rPr>
          <w:sz w:val="22"/>
          <w:szCs w:val="22"/>
        </w:rPr>
        <w:t>NRC</w:t>
      </w:r>
      <w:r w:rsidR="00646A79">
        <w:rPr>
          <w:sz w:val="22"/>
          <w:szCs w:val="22"/>
        </w:rPr>
        <w:t>,</w:t>
      </w:r>
      <w:r w:rsidR="00ED66A3">
        <w:rPr>
          <w:sz w:val="22"/>
          <w:szCs w:val="22"/>
        </w:rPr>
        <w:t xml:space="preserve"> 2018b</w:t>
      </w:r>
      <w:r w:rsidRPr="00E97915">
        <w:rPr>
          <w:sz w:val="22"/>
          <w:szCs w:val="22"/>
        </w:rPr>
        <w:t>)</w:t>
      </w:r>
      <w:r w:rsidR="00646A79">
        <w:rPr>
          <w:sz w:val="22"/>
          <w:szCs w:val="22"/>
        </w:rPr>
        <w:t>,</w:t>
      </w:r>
      <w:r w:rsidRPr="00E97915">
        <w:rPr>
          <w:sz w:val="22"/>
          <w:szCs w:val="22"/>
        </w:rPr>
        <w:t xml:space="preserve"> the NRC </w:t>
      </w:r>
      <w:r>
        <w:rPr>
          <w:sz w:val="22"/>
          <w:szCs w:val="22"/>
        </w:rPr>
        <w:t xml:space="preserve">staff </w:t>
      </w:r>
      <w:r w:rsidRPr="00E97915">
        <w:rPr>
          <w:sz w:val="22"/>
          <w:szCs w:val="22"/>
        </w:rPr>
        <w:t xml:space="preserve">performed a screening review to determine </w:t>
      </w:r>
      <w:r>
        <w:rPr>
          <w:sz w:val="22"/>
          <w:szCs w:val="22"/>
        </w:rPr>
        <w:t>whether</w:t>
      </w:r>
      <w:r w:rsidRPr="00E97915">
        <w:rPr>
          <w:sz w:val="22"/>
          <w:szCs w:val="22"/>
        </w:rPr>
        <w:t xml:space="preserve"> any of the individual requirements (or set of integrated requirements) of the rule </w:t>
      </w:r>
      <w:r w:rsidR="001368AD">
        <w:rPr>
          <w:sz w:val="22"/>
          <w:szCs w:val="22"/>
        </w:rPr>
        <w:t>are</w:t>
      </w:r>
      <w:r w:rsidRPr="00E97915">
        <w:rPr>
          <w:sz w:val="22"/>
          <w:szCs w:val="22"/>
        </w:rPr>
        <w:t xml:space="preserve"> unnecessary to achieve the objectives of the rulemaking.  The NRC</w:t>
      </w:r>
      <w:r>
        <w:rPr>
          <w:sz w:val="22"/>
          <w:szCs w:val="22"/>
        </w:rPr>
        <w:t xml:space="preserve"> staff</w:t>
      </w:r>
      <w:r w:rsidRPr="00E97915">
        <w:rPr>
          <w:sz w:val="22"/>
          <w:szCs w:val="22"/>
        </w:rPr>
        <w:t xml:space="preserve"> concludes that each of the </w:t>
      </w:r>
      <w:r>
        <w:rPr>
          <w:sz w:val="22"/>
          <w:szCs w:val="22"/>
        </w:rPr>
        <w:t xml:space="preserve">rule changes </w:t>
      </w:r>
      <w:r w:rsidR="005F1BCA">
        <w:rPr>
          <w:sz w:val="22"/>
          <w:szCs w:val="22"/>
        </w:rPr>
        <w:t>ar</w:t>
      </w:r>
      <w:r w:rsidRPr="00E97915">
        <w:rPr>
          <w:sz w:val="22"/>
          <w:szCs w:val="22"/>
        </w:rPr>
        <w:t xml:space="preserve">e necessary to achieve one or more </w:t>
      </w:r>
      <w:r>
        <w:rPr>
          <w:sz w:val="22"/>
          <w:szCs w:val="22"/>
        </w:rPr>
        <w:t xml:space="preserve">of </w:t>
      </w:r>
      <w:r w:rsidRPr="00E97915">
        <w:rPr>
          <w:sz w:val="22"/>
          <w:szCs w:val="22"/>
        </w:rPr>
        <w:t>the objectives of the rulemaking</w:t>
      </w:r>
      <w:r w:rsidR="00646A79">
        <w:rPr>
          <w:sz w:val="22"/>
          <w:szCs w:val="22"/>
        </w:rPr>
        <w:t>,</w:t>
      </w:r>
      <w:r>
        <w:rPr>
          <w:sz w:val="22"/>
          <w:szCs w:val="22"/>
        </w:rPr>
        <w:t xml:space="preserve"> as described in Section 1.2 and summarized in </w:t>
      </w:r>
      <w:r w:rsidRPr="00546085" w:rsidR="00546085">
        <w:rPr>
          <w:sz w:val="22"/>
          <w:szCs w:val="22"/>
        </w:rPr>
        <w:fldChar w:fldCharType="begin"/>
      </w:r>
      <w:r w:rsidRPr="00546085" w:rsidR="00546085">
        <w:rPr>
          <w:sz w:val="22"/>
          <w:szCs w:val="22"/>
        </w:rPr>
        <w:instrText xml:space="preserve"> REF _Ref72166231 \h  \* MERGEFORMAT </w:instrText>
      </w:r>
      <w:r w:rsidRPr="00546085" w:rsidR="00546085">
        <w:rPr>
          <w:sz w:val="22"/>
          <w:szCs w:val="22"/>
        </w:rPr>
      </w:r>
      <w:r w:rsidRPr="00546085" w:rsidR="00546085">
        <w:rPr>
          <w:sz w:val="22"/>
          <w:szCs w:val="22"/>
        </w:rPr>
        <w:fldChar w:fldCharType="separate"/>
      </w:r>
      <w:r w:rsidRPr="006155B8" w:rsidR="00A6777F">
        <w:rPr>
          <w:sz w:val="22"/>
          <w:szCs w:val="22"/>
        </w:rPr>
        <w:t>Table 5-19</w:t>
      </w:r>
      <w:r w:rsidRPr="00546085" w:rsidR="00546085">
        <w:rPr>
          <w:sz w:val="22"/>
          <w:szCs w:val="22"/>
        </w:rPr>
        <w:fldChar w:fldCharType="end"/>
      </w:r>
      <w:r w:rsidRPr="00546085">
        <w:rPr>
          <w:sz w:val="22"/>
          <w:szCs w:val="22"/>
        </w:rPr>
        <w:t>.</w:t>
      </w:r>
      <w:r>
        <w:rPr>
          <w:sz w:val="22"/>
          <w:szCs w:val="22"/>
        </w:rPr>
        <w:t xml:space="preserve">  The objectives of the rule</w:t>
      </w:r>
      <w:r w:rsidRPr="00415F7A">
        <w:rPr>
          <w:sz w:val="22"/>
          <w:szCs w:val="22"/>
        </w:rPr>
        <w:t>making</w:t>
      </w:r>
      <w:r w:rsidRPr="00E97915">
        <w:rPr>
          <w:sz w:val="22"/>
          <w:szCs w:val="22"/>
        </w:rPr>
        <w:t xml:space="preserve"> are </w:t>
      </w:r>
      <w:r>
        <w:rPr>
          <w:sz w:val="22"/>
          <w:szCs w:val="22"/>
        </w:rPr>
        <w:t>achieved by</w:t>
      </w:r>
      <w:r w:rsidRPr="00415F7A">
        <w:rPr>
          <w:sz w:val="22"/>
          <w:szCs w:val="22"/>
        </w:rPr>
        <w:t xml:space="preserve"> maintain</w:t>
      </w:r>
      <w:r>
        <w:rPr>
          <w:sz w:val="22"/>
          <w:szCs w:val="22"/>
        </w:rPr>
        <w:t>ing</w:t>
      </w:r>
      <w:r w:rsidRPr="00415F7A">
        <w:rPr>
          <w:sz w:val="22"/>
          <w:szCs w:val="22"/>
        </w:rPr>
        <w:t xml:space="preserve"> </w:t>
      </w:r>
      <w:r>
        <w:rPr>
          <w:sz w:val="22"/>
          <w:szCs w:val="22"/>
        </w:rPr>
        <w:t xml:space="preserve">reasonable assurance of </w:t>
      </w:r>
      <w:r w:rsidRPr="00415F7A">
        <w:rPr>
          <w:sz w:val="22"/>
          <w:szCs w:val="22"/>
        </w:rPr>
        <w:t>a drug</w:t>
      </w:r>
      <w:r>
        <w:rPr>
          <w:sz w:val="22"/>
          <w:szCs w:val="22"/>
        </w:rPr>
        <w:noBreakHyphen/>
      </w:r>
      <w:r w:rsidRPr="00415F7A">
        <w:rPr>
          <w:sz w:val="22"/>
          <w:szCs w:val="22"/>
        </w:rPr>
        <w:t xml:space="preserve">free workplace through the </w:t>
      </w:r>
      <w:r w:rsidRPr="00415F7A">
        <w:rPr>
          <w:rFonts w:cs="Arial"/>
          <w:sz w:val="22"/>
          <w:szCs w:val="22"/>
        </w:rPr>
        <w:t>improved</w:t>
      </w:r>
      <w:r w:rsidRPr="005A5966">
        <w:rPr>
          <w:rFonts w:cs="Arial"/>
          <w:sz w:val="22"/>
          <w:szCs w:val="22"/>
        </w:rPr>
        <w:t xml:space="preserve"> detection of persons who are </w:t>
      </w:r>
      <w:r>
        <w:rPr>
          <w:rFonts w:cs="Arial"/>
          <w:sz w:val="22"/>
          <w:szCs w:val="22"/>
        </w:rPr>
        <w:t xml:space="preserve">not </w:t>
      </w:r>
      <w:r w:rsidRPr="005A5966">
        <w:rPr>
          <w:rFonts w:cs="Arial"/>
          <w:sz w:val="22"/>
          <w:szCs w:val="22"/>
        </w:rPr>
        <w:t xml:space="preserve">fit for duty </w:t>
      </w:r>
      <w:r>
        <w:rPr>
          <w:rFonts w:cs="Arial"/>
          <w:sz w:val="22"/>
          <w:szCs w:val="22"/>
        </w:rPr>
        <w:t xml:space="preserve">because of illegal drug use or legal drug misuse; </w:t>
      </w:r>
      <w:r w:rsidRPr="00415F7A">
        <w:rPr>
          <w:rFonts w:cs="Arial"/>
          <w:sz w:val="22"/>
          <w:szCs w:val="22"/>
        </w:rPr>
        <w:t>harmoniz</w:t>
      </w:r>
      <w:r>
        <w:rPr>
          <w:rFonts w:cs="Arial"/>
          <w:sz w:val="22"/>
          <w:szCs w:val="22"/>
        </w:rPr>
        <w:t>ing</w:t>
      </w:r>
      <w:r w:rsidRPr="005A5966">
        <w:rPr>
          <w:rFonts w:cs="Arial"/>
          <w:sz w:val="22"/>
          <w:szCs w:val="22"/>
        </w:rPr>
        <w:t xml:space="preserve"> select drug testing requirements</w:t>
      </w:r>
      <w:r>
        <w:rPr>
          <w:rFonts w:cs="Arial"/>
          <w:sz w:val="22"/>
          <w:szCs w:val="22"/>
        </w:rPr>
        <w:t xml:space="preserve"> under 10 CFR Part 26</w:t>
      </w:r>
      <w:r w:rsidRPr="005A5966">
        <w:rPr>
          <w:rFonts w:cs="Arial"/>
          <w:sz w:val="22"/>
          <w:szCs w:val="22"/>
        </w:rPr>
        <w:t xml:space="preserve"> with those implemented by </w:t>
      </w:r>
      <w:r>
        <w:rPr>
          <w:rFonts w:cs="Arial"/>
          <w:sz w:val="22"/>
          <w:szCs w:val="22"/>
        </w:rPr>
        <w:t xml:space="preserve">the 2008 </w:t>
      </w:r>
      <w:r w:rsidR="009E7C9C">
        <w:rPr>
          <w:rFonts w:cs="Arial"/>
          <w:sz w:val="22"/>
          <w:szCs w:val="22"/>
        </w:rPr>
        <w:t xml:space="preserve">and 2017 </w:t>
      </w:r>
      <w:r>
        <w:rPr>
          <w:rFonts w:cs="Arial"/>
          <w:sz w:val="22"/>
          <w:szCs w:val="22"/>
        </w:rPr>
        <w:t xml:space="preserve">HHS Guidelines and </w:t>
      </w:r>
      <w:r w:rsidRPr="005A5966">
        <w:rPr>
          <w:rFonts w:cs="Arial"/>
          <w:sz w:val="22"/>
          <w:szCs w:val="22"/>
        </w:rPr>
        <w:t>other Federal agencies</w:t>
      </w:r>
      <w:r>
        <w:rPr>
          <w:rFonts w:cs="Arial"/>
          <w:sz w:val="22"/>
          <w:szCs w:val="22"/>
        </w:rPr>
        <w:t>; and improving the clarity</w:t>
      </w:r>
      <w:r w:rsidR="00646A79">
        <w:rPr>
          <w:rFonts w:cs="Arial"/>
          <w:sz w:val="22"/>
          <w:szCs w:val="22"/>
        </w:rPr>
        <w:t>,</w:t>
      </w:r>
      <w:r>
        <w:rPr>
          <w:rFonts w:cs="Arial"/>
          <w:sz w:val="22"/>
          <w:szCs w:val="22"/>
        </w:rPr>
        <w:t xml:space="preserve"> organization</w:t>
      </w:r>
      <w:r w:rsidR="00646A79">
        <w:rPr>
          <w:rFonts w:cs="Arial"/>
          <w:sz w:val="22"/>
          <w:szCs w:val="22"/>
        </w:rPr>
        <w:t>,</w:t>
      </w:r>
      <w:r>
        <w:rPr>
          <w:rFonts w:cs="Arial"/>
          <w:sz w:val="22"/>
          <w:szCs w:val="22"/>
        </w:rPr>
        <w:t xml:space="preserve"> and flexibility of the 10 CFR Part 26 rule </w:t>
      </w:r>
      <w:r w:rsidRPr="005A5966">
        <w:rPr>
          <w:rFonts w:cs="Arial"/>
          <w:sz w:val="22"/>
          <w:szCs w:val="22"/>
        </w:rPr>
        <w:t>language</w:t>
      </w:r>
      <w:r>
        <w:rPr>
          <w:sz w:val="22"/>
          <w:szCs w:val="22"/>
        </w:rPr>
        <w:t>.</w:t>
      </w:r>
    </w:p>
    <w:p w:rsidRPr="00E97915" w:rsidR="00D520BD" w:rsidP="00D520BD" w:rsidRDefault="00D520BD" w14:paraId="41585136" w14:textId="4C8832FC">
      <w:pPr>
        <w:rPr>
          <w:sz w:val="22"/>
          <w:szCs w:val="22"/>
        </w:rPr>
      </w:pPr>
    </w:p>
    <w:p w:rsidRPr="00B858DB" w:rsidR="00B858DB" w:rsidP="00ED6800" w:rsidRDefault="00B858DB" w14:paraId="316CA969" w14:textId="03D90CFE">
      <w:pPr>
        <w:pStyle w:val="Caption"/>
        <w:keepLines/>
        <w:jc w:val="center"/>
        <w:rPr>
          <w:b/>
          <w:bCs w:val="0"/>
        </w:rPr>
      </w:pPr>
      <w:bookmarkStart w:name="_Ref72166231" w:id="269"/>
      <w:bookmarkStart w:name="_Toc72490581" w:id="270"/>
      <w:bookmarkStart w:name="_Toc105681578" w:id="271"/>
      <w:r w:rsidRPr="00B858DB">
        <w:rPr>
          <w:b/>
          <w:bCs w:val="0"/>
        </w:rPr>
        <w:t xml:space="preserve">Table </w:t>
      </w:r>
      <w:r>
        <w:rPr>
          <w:b/>
          <w:bCs w:val="0"/>
        </w:rPr>
        <w:t>5-</w:t>
      </w:r>
      <w:r w:rsidRPr="00B858DB">
        <w:rPr>
          <w:b/>
          <w:bCs w:val="0"/>
        </w:rPr>
        <w:fldChar w:fldCharType="begin"/>
      </w:r>
      <w:r w:rsidRPr="00B858DB">
        <w:rPr>
          <w:b/>
          <w:bCs w:val="0"/>
        </w:rPr>
        <w:instrText xml:space="preserve"> SEQ Table \* ARABIC </w:instrText>
      </w:r>
      <w:r w:rsidRPr="00B858DB">
        <w:rPr>
          <w:b/>
          <w:bCs w:val="0"/>
        </w:rPr>
        <w:fldChar w:fldCharType="separate"/>
      </w:r>
      <w:r w:rsidR="00A6777F">
        <w:rPr>
          <w:b/>
          <w:bCs w:val="0"/>
          <w:noProof/>
        </w:rPr>
        <w:t>19</w:t>
      </w:r>
      <w:r w:rsidRPr="00B858DB">
        <w:rPr>
          <w:b/>
          <w:bCs w:val="0"/>
        </w:rPr>
        <w:fldChar w:fldCharType="end"/>
      </w:r>
      <w:bookmarkEnd w:id="269"/>
      <w:r w:rsidRPr="00B858DB">
        <w:rPr>
          <w:b/>
          <w:bCs w:val="0"/>
        </w:rPr>
        <w:t xml:space="preserve">  </w:t>
      </w:r>
      <w:r>
        <w:rPr>
          <w:b/>
          <w:bCs w:val="0"/>
        </w:rPr>
        <w:t>Disaggregation</w:t>
      </w:r>
      <w:bookmarkEnd w:id="270"/>
      <w:bookmarkEnd w:id="271"/>
    </w:p>
    <w:tbl>
      <w:tblPr>
        <w:tblStyle w:val="TableGrid"/>
        <w:tblW w:w="5000" w:type="pct"/>
        <w:jc w:val="center"/>
        <w:tblLook w:val="04A0" w:firstRow="1" w:lastRow="0" w:firstColumn="1" w:lastColumn="0" w:noHBand="0" w:noVBand="1"/>
      </w:tblPr>
      <w:tblGrid>
        <w:gridCol w:w="5204"/>
        <w:gridCol w:w="1137"/>
        <w:gridCol w:w="1393"/>
        <w:gridCol w:w="1616"/>
      </w:tblGrid>
      <w:tr w:rsidRPr="00B858DB" w:rsidR="00D520BD" w:rsidTr="00982BD1" w14:paraId="7E4325FA" w14:textId="77777777">
        <w:trPr>
          <w:trHeight w:val="692"/>
          <w:tblHeader/>
          <w:jc w:val="center"/>
        </w:trPr>
        <w:tc>
          <w:tcPr>
            <w:tcW w:w="2783" w:type="pct"/>
            <w:tcMar>
              <w:left w:w="58" w:type="dxa"/>
              <w:right w:w="58" w:type="dxa"/>
            </w:tcMar>
            <w:vAlign w:val="center"/>
          </w:tcPr>
          <w:p w:rsidRPr="00B858DB" w:rsidR="00D520BD" w:rsidP="00ED6800" w:rsidRDefault="00D520BD" w14:paraId="23EBEE11" w14:textId="77777777">
            <w:pPr>
              <w:keepNext/>
              <w:keepLines/>
              <w:tabs>
                <w:tab w:val="left" w:pos="1005"/>
              </w:tabs>
              <w:jc w:val="center"/>
              <w:rPr>
                <w:b/>
                <w:bCs/>
              </w:rPr>
            </w:pPr>
            <w:r w:rsidRPr="00B858DB">
              <w:rPr>
                <w:b/>
                <w:bCs/>
              </w:rPr>
              <w:t>Revised Requirement</w:t>
            </w:r>
          </w:p>
        </w:tc>
        <w:tc>
          <w:tcPr>
            <w:tcW w:w="608" w:type="pct"/>
            <w:tcMar>
              <w:left w:w="58" w:type="dxa"/>
              <w:right w:w="58" w:type="dxa"/>
            </w:tcMar>
            <w:vAlign w:val="center"/>
          </w:tcPr>
          <w:p w:rsidRPr="00B858DB" w:rsidR="00D520BD" w:rsidP="00ED6800" w:rsidRDefault="00D520BD" w14:paraId="2D18C3BD" w14:textId="77777777">
            <w:pPr>
              <w:keepNext/>
              <w:keepLines/>
              <w:tabs>
                <w:tab w:val="left" w:pos="1005"/>
              </w:tabs>
              <w:jc w:val="center"/>
              <w:rPr>
                <w:b/>
                <w:bCs/>
                <w:sz w:val="18"/>
                <w:szCs w:val="18"/>
              </w:rPr>
            </w:pPr>
            <w:r w:rsidRPr="00B858DB">
              <w:rPr>
                <w:b/>
                <w:bCs/>
                <w:sz w:val="18"/>
                <w:szCs w:val="18"/>
              </w:rPr>
              <w:t>Improve Detection</w:t>
            </w:r>
          </w:p>
        </w:tc>
        <w:tc>
          <w:tcPr>
            <w:tcW w:w="745" w:type="pct"/>
            <w:tcMar>
              <w:left w:w="58" w:type="dxa"/>
              <w:right w:w="58" w:type="dxa"/>
            </w:tcMar>
            <w:vAlign w:val="center"/>
          </w:tcPr>
          <w:p w:rsidRPr="00B858DB" w:rsidR="00D520BD" w:rsidP="00ED6800" w:rsidRDefault="00D520BD" w14:paraId="2A1A0107" w14:textId="77777777">
            <w:pPr>
              <w:keepNext/>
              <w:keepLines/>
              <w:tabs>
                <w:tab w:val="left" w:pos="1005"/>
              </w:tabs>
              <w:jc w:val="center"/>
              <w:rPr>
                <w:b/>
                <w:bCs/>
                <w:sz w:val="18"/>
                <w:szCs w:val="18"/>
              </w:rPr>
            </w:pPr>
            <w:r w:rsidRPr="00B858DB">
              <w:rPr>
                <w:b/>
                <w:bCs/>
                <w:sz w:val="18"/>
                <w:szCs w:val="18"/>
              </w:rPr>
              <w:t>Align Requirements</w:t>
            </w:r>
          </w:p>
        </w:tc>
        <w:tc>
          <w:tcPr>
            <w:tcW w:w="864" w:type="pct"/>
            <w:tcMar>
              <w:left w:w="58" w:type="dxa"/>
              <w:right w:w="58" w:type="dxa"/>
            </w:tcMar>
            <w:vAlign w:val="center"/>
          </w:tcPr>
          <w:p w:rsidRPr="00B858DB" w:rsidR="00D520BD" w:rsidP="00ED6800" w:rsidRDefault="00D520BD" w14:paraId="42A63B71" w14:textId="77777777">
            <w:pPr>
              <w:keepNext/>
              <w:keepLines/>
              <w:tabs>
                <w:tab w:val="left" w:pos="1005"/>
              </w:tabs>
              <w:jc w:val="center"/>
              <w:rPr>
                <w:b/>
                <w:bCs/>
                <w:sz w:val="18"/>
                <w:szCs w:val="18"/>
              </w:rPr>
            </w:pPr>
            <w:r w:rsidRPr="00B858DB">
              <w:rPr>
                <w:b/>
                <w:bCs/>
                <w:sz w:val="18"/>
                <w:szCs w:val="18"/>
              </w:rPr>
              <w:t>Individual Rights and Lessons Learned</w:t>
            </w:r>
          </w:p>
        </w:tc>
      </w:tr>
      <w:tr w:rsidR="00D520BD" w:rsidTr="00ED6800" w14:paraId="59B466AF" w14:textId="77777777">
        <w:trPr>
          <w:trHeight w:val="458"/>
          <w:jc w:val="center"/>
        </w:trPr>
        <w:tc>
          <w:tcPr>
            <w:tcW w:w="2783" w:type="pct"/>
            <w:vAlign w:val="center"/>
          </w:tcPr>
          <w:p w:rsidR="00D520BD" w:rsidP="00ED6800" w:rsidRDefault="00D520BD" w14:paraId="7114F668" w14:textId="4A804D96">
            <w:pPr>
              <w:keepNext/>
              <w:keepLines/>
              <w:tabs>
                <w:tab w:val="left" w:pos="1005"/>
              </w:tabs>
            </w:pPr>
            <w:r w:rsidRPr="001F45EB">
              <w:rPr>
                <w:sz w:val="18"/>
                <w:szCs w:val="18"/>
              </w:rPr>
              <w:t>Lower drug testing cutoff levels for amphetamine</w:t>
            </w:r>
            <w:r w:rsidR="00646A79">
              <w:rPr>
                <w:sz w:val="18"/>
                <w:szCs w:val="18"/>
              </w:rPr>
              <w:t>,</w:t>
            </w:r>
            <w:r w:rsidRPr="001F45EB">
              <w:rPr>
                <w:sz w:val="18"/>
                <w:szCs w:val="18"/>
              </w:rPr>
              <w:t xml:space="preserve"> cocaine</w:t>
            </w:r>
            <w:r w:rsidR="00646A79">
              <w:rPr>
                <w:sz w:val="18"/>
                <w:szCs w:val="18"/>
              </w:rPr>
              <w:t>,</w:t>
            </w:r>
            <w:r w:rsidRPr="001F45EB">
              <w:rPr>
                <w:sz w:val="18"/>
                <w:szCs w:val="18"/>
              </w:rPr>
              <w:t xml:space="preserve"> and methamphetamine</w:t>
            </w:r>
          </w:p>
        </w:tc>
        <w:tc>
          <w:tcPr>
            <w:tcW w:w="608" w:type="pct"/>
            <w:vAlign w:val="center"/>
          </w:tcPr>
          <w:p w:rsidR="00D520BD" w:rsidP="00ED6800" w:rsidRDefault="00D520BD" w14:paraId="4C3DE718" w14:textId="77777777">
            <w:pPr>
              <w:keepNext/>
              <w:keepLines/>
              <w:tabs>
                <w:tab w:val="left" w:pos="1005"/>
              </w:tabs>
              <w:jc w:val="center"/>
            </w:pPr>
            <w:r w:rsidRPr="001F45EB">
              <w:rPr>
                <w:sz w:val="18"/>
                <w:szCs w:val="18"/>
              </w:rPr>
              <w:t>X</w:t>
            </w:r>
          </w:p>
        </w:tc>
        <w:tc>
          <w:tcPr>
            <w:tcW w:w="745" w:type="pct"/>
            <w:vAlign w:val="center"/>
          </w:tcPr>
          <w:p w:rsidR="00D520BD" w:rsidP="00ED6800" w:rsidRDefault="00D520BD" w14:paraId="7DD77289" w14:textId="77777777">
            <w:pPr>
              <w:keepNext/>
              <w:keepLines/>
              <w:tabs>
                <w:tab w:val="left" w:pos="1005"/>
              </w:tabs>
              <w:jc w:val="center"/>
            </w:pPr>
            <w:r w:rsidRPr="001F45EB">
              <w:rPr>
                <w:sz w:val="18"/>
                <w:szCs w:val="18"/>
              </w:rPr>
              <w:t>X</w:t>
            </w:r>
          </w:p>
        </w:tc>
        <w:tc>
          <w:tcPr>
            <w:tcW w:w="864" w:type="pct"/>
            <w:vAlign w:val="center"/>
          </w:tcPr>
          <w:p w:rsidR="00D520BD" w:rsidP="00ED6800" w:rsidRDefault="00D520BD" w14:paraId="4D51E469" w14:textId="77777777">
            <w:pPr>
              <w:keepNext/>
              <w:keepLines/>
              <w:tabs>
                <w:tab w:val="left" w:pos="1005"/>
              </w:tabs>
              <w:jc w:val="center"/>
            </w:pPr>
          </w:p>
        </w:tc>
      </w:tr>
      <w:tr w:rsidRPr="006C78ED" w:rsidR="00D520BD" w:rsidTr="00ED6800" w14:paraId="693218CF" w14:textId="77777777">
        <w:trPr>
          <w:trHeight w:val="458"/>
          <w:jc w:val="center"/>
        </w:trPr>
        <w:tc>
          <w:tcPr>
            <w:tcW w:w="2783" w:type="pct"/>
            <w:vAlign w:val="center"/>
          </w:tcPr>
          <w:p w:rsidRPr="006C78ED" w:rsidR="00D520BD" w:rsidP="00ED6800" w:rsidRDefault="00D520BD" w14:paraId="78D43FE8" w14:textId="77777777">
            <w:pPr>
              <w:keepNext/>
              <w:keepLines/>
              <w:tabs>
                <w:tab w:val="left" w:pos="1005"/>
              </w:tabs>
            </w:pPr>
            <w:r w:rsidRPr="001F45EB">
              <w:rPr>
                <w:sz w:val="18"/>
                <w:szCs w:val="18"/>
              </w:rPr>
              <w:t>Expand initial drug testing panel to include 6-AM and revise confirmatory testing cutoff level for 6-AM</w:t>
            </w:r>
          </w:p>
        </w:tc>
        <w:tc>
          <w:tcPr>
            <w:tcW w:w="608" w:type="pct"/>
            <w:vAlign w:val="center"/>
          </w:tcPr>
          <w:p w:rsidRPr="008021B3" w:rsidR="00D520BD" w:rsidP="00ED6800" w:rsidRDefault="00D520BD" w14:paraId="01A49C8C" w14:textId="77777777">
            <w:pPr>
              <w:keepNext/>
              <w:keepLines/>
              <w:tabs>
                <w:tab w:val="left" w:pos="1005"/>
              </w:tabs>
              <w:jc w:val="center"/>
            </w:pPr>
            <w:r w:rsidRPr="001F45EB">
              <w:rPr>
                <w:sz w:val="18"/>
                <w:szCs w:val="18"/>
              </w:rPr>
              <w:t>X</w:t>
            </w:r>
          </w:p>
        </w:tc>
        <w:tc>
          <w:tcPr>
            <w:tcW w:w="745" w:type="pct"/>
            <w:vAlign w:val="center"/>
          </w:tcPr>
          <w:p w:rsidRPr="008021B3" w:rsidR="00D520BD" w:rsidP="00ED6800" w:rsidRDefault="00D520BD" w14:paraId="231664AD" w14:textId="77777777">
            <w:pPr>
              <w:keepNext/>
              <w:keepLines/>
              <w:tabs>
                <w:tab w:val="left" w:pos="1005"/>
              </w:tabs>
              <w:jc w:val="center"/>
            </w:pPr>
            <w:r w:rsidRPr="001F45EB">
              <w:rPr>
                <w:sz w:val="18"/>
                <w:szCs w:val="18"/>
              </w:rPr>
              <w:t>X</w:t>
            </w:r>
          </w:p>
        </w:tc>
        <w:tc>
          <w:tcPr>
            <w:tcW w:w="864" w:type="pct"/>
            <w:vAlign w:val="center"/>
          </w:tcPr>
          <w:p w:rsidRPr="008021B3" w:rsidR="00D520BD" w:rsidP="00ED6800" w:rsidRDefault="00D520BD" w14:paraId="2D211512" w14:textId="77777777">
            <w:pPr>
              <w:keepNext/>
              <w:keepLines/>
              <w:tabs>
                <w:tab w:val="left" w:pos="1005"/>
              </w:tabs>
              <w:jc w:val="center"/>
            </w:pPr>
          </w:p>
        </w:tc>
      </w:tr>
      <w:tr w:rsidRPr="006C78ED" w:rsidR="00D520BD" w:rsidTr="001C6718" w14:paraId="2FC72DC2" w14:textId="77777777">
        <w:trPr>
          <w:trHeight w:val="512"/>
          <w:jc w:val="center"/>
        </w:trPr>
        <w:tc>
          <w:tcPr>
            <w:tcW w:w="2783" w:type="pct"/>
            <w:vAlign w:val="center"/>
          </w:tcPr>
          <w:p w:rsidRPr="006C78ED" w:rsidR="00D520BD" w:rsidP="00ED6800" w:rsidRDefault="00D520BD" w14:paraId="41EEA769" w14:textId="0E1B33AA">
            <w:pPr>
              <w:keepNext/>
              <w:keepLines/>
              <w:tabs>
                <w:tab w:val="left" w:pos="1005"/>
              </w:tabs>
            </w:pPr>
            <w:r>
              <w:rPr>
                <w:sz w:val="18"/>
                <w:szCs w:val="18"/>
              </w:rPr>
              <w:t xml:space="preserve">Expand </w:t>
            </w:r>
            <w:r w:rsidRPr="001F45EB">
              <w:rPr>
                <w:sz w:val="18"/>
                <w:szCs w:val="18"/>
              </w:rPr>
              <w:t xml:space="preserve">testing panel to </w:t>
            </w:r>
            <w:r w:rsidRPr="00A035C8">
              <w:rPr>
                <w:sz w:val="18"/>
                <w:szCs w:val="18"/>
              </w:rPr>
              <w:t>include Ecstasy</w:t>
            </w:r>
            <w:r>
              <w:rPr>
                <w:sz w:val="18"/>
                <w:szCs w:val="18"/>
              </w:rPr>
              <w:t>-</w:t>
            </w:r>
            <w:r w:rsidRPr="00A035C8">
              <w:rPr>
                <w:sz w:val="18"/>
                <w:szCs w:val="18"/>
              </w:rPr>
              <w:t>type</w:t>
            </w:r>
            <w:r>
              <w:rPr>
                <w:sz w:val="18"/>
                <w:szCs w:val="18"/>
              </w:rPr>
              <w:t xml:space="preserve"> d</w:t>
            </w:r>
            <w:r w:rsidRPr="001F45EB">
              <w:rPr>
                <w:sz w:val="18"/>
                <w:szCs w:val="18"/>
              </w:rPr>
              <w:t>rugs</w:t>
            </w:r>
            <w:r w:rsidR="001C6718">
              <w:rPr>
                <w:sz w:val="18"/>
                <w:szCs w:val="18"/>
              </w:rPr>
              <w:t xml:space="preserve"> </w:t>
            </w:r>
            <w:r w:rsidR="001C6718">
              <w:rPr>
                <w:sz w:val="18"/>
                <w:szCs w:val="18"/>
              </w:rPr>
              <w:br/>
              <w:t>(MDMA, MDA)</w:t>
            </w:r>
          </w:p>
        </w:tc>
        <w:tc>
          <w:tcPr>
            <w:tcW w:w="608" w:type="pct"/>
            <w:vAlign w:val="center"/>
          </w:tcPr>
          <w:p w:rsidRPr="008021B3" w:rsidR="00D520BD" w:rsidP="00ED6800" w:rsidRDefault="00D520BD" w14:paraId="7B994002" w14:textId="77777777">
            <w:pPr>
              <w:keepNext/>
              <w:keepLines/>
              <w:tabs>
                <w:tab w:val="left" w:pos="1005"/>
              </w:tabs>
              <w:jc w:val="center"/>
            </w:pPr>
            <w:r w:rsidRPr="001F45EB">
              <w:rPr>
                <w:sz w:val="18"/>
                <w:szCs w:val="18"/>
              </w:rPr>
              <w:t>X</w:t>
            </w:r>
          </w:p>
        </w:tc>
        <w:tc>
          <w:tcPr>
            <w:tcW w:w="745" w:type="pct"/>
            <w:vAlign w:val="center"/>
          </w:tcPr>
          <w:p w:rsidRPr="008021B3" w:rsidR="00D520BD" w:rsidP="00ED6800" w:rsidRDefault="00D520BD" w14:paraId="413976E6" w14:textId="77777777">
            <w:pPr>
              <w:keepNext/>
              <w:keepLines/>
              <w:tabs>
                <w:tab w:val="left" w:pos="1005"/>
              </w:tabs>
              <w:jc w:val="center"/>
            </w:pPr>
            <w:r w:rsidRPr="001F45EB">
              <w:rPr>
                <w:sz w:val="18"/>
                <w:szCs w:val="18"/>
              </w:rPr>
              <w:t>X</w:t>
            </w:r>
          </w:p>
        </w:tc>
        <w:tc>
          <w:tcPr>
            <w:tcW w:w="864" w:type="pct"/>
            <w:vAlign w:val="center"/>
          </w:tcPr>
          <w:p w:rsidRPr="008021B3" w:rsidR="00D520BD" w:rsidP="00ED6800" w:rsidRDefault="00D520BD" w14:paraId="54933E3B" w14:textId="77777777">
            <w:pPr>
              <w:keepNext/>
              <w:keepLines/>
              <w:tabs>
                <w:tab w:val="left" w:pos="1005"/>
              </w:tabs>
              <w:jc w:val="center"/>
            </w:pPr>
          </w:p>
        </w:tc>
      </w:tr>
      <w:tr w:rsidRPr="006C78ED" w:rsidR="00ED14CE" w:rsidTr="00ED6800" w14:paraId="24651B97" w14:textId="77777777">
        <w:trPr>
          <w:trHeight w:val="503"/>
          <w:jc w:val="center"/>
        </w:trPr>
        <w:tc>
          <w:tcPr>
            <w:tcW w:w="2783" w:type="pct"/>
            <w:vAlign w:val="center"/>
          </w:tcPr>
          <w:p w:rsidRPr="001F45EB" w:rsidR="00ED14CE" w:rsidP="00ED14CE" w:rsidRDefault="00ED14CE" w14:paraId="06470F0F" w14:textId="7C28FBEA">
            <w:pPr>
              <w:tabs>
                <w:tab w:val="left" w:pos="1005"/>
              </w:tabs>
              <w:rPr>
                <w:sz w:val="18"/>
                <w:szCs w:val="18"/>
              </w:rPr>
            </w:pPr>
            <w:r>
              <w:rPr>
                <w:sz w:val="18"/>
                <w:szCs w:val="18"/>
              </w:rPr>
              <w:t xml:space="preserve">Expand </w:t>
            </w:r>
            <w:r w:rsidRPr="001F45EB">
              <w:rPr>
                <w:sz w:val="18"/>
                <w:szCs w:val="18"/>
              </w:rPr>
              <w:t xml:space="preserve">testing panel to </w:t>
            </w:r>
            <w:r w:rsidRPr="00A035C8">
              <w:rPr>
                <w:sz w:val="18"/>
                <w:szCs w:val="18"/>
              </w:rPr>
              <w:t xml:space="preserve">include </w:t>
            </w:r>
            <w:r w:rsidRPr="00EE5F32" w:rsidR="00EE5F32">
              <w:rPr>
                <w:sz w:val="18"/>
                <w:szCs w:val="18"/>
              </w:rPr>
              <w:t>H</w:t>
            </w:r>
            <w:r w:rsidR="00A10119">
              <w:rPr>
                <w:sz w:val="18"/>
                <w:szCs w:val="18"/>
              </w:rPr>
              <w:t>YC</w:t>
            </w:r>
            <w:r w:rsidRPr="00EE5F32" w:rsidR="00EE5F32">
              <w:rPr>
                <w:sz w:val="18"/>
                <w:szCs w:val="18"/>
              </w:rPr>
              <w:t>, H</w:t>
            </w:r>
            <w:r w:rsidR="00A10119">
              <w:rPr>
                <w:sz w:val="18"/>
                <w:szCs w:val="18"/>
              </w:rPr>
              <w:t>YM</w:t>
            </w:r>
            <w:r w:rsidRPr="00EE5F32" w:rsidR="00EE5F32">
              <w:rPr>
                <w:sz w:val="18"/>
                <w:szCs w:val="18"/>
              </w:rPr>
              <w:t>, O</w:t>
            </w:r>
            <w:r w:rsidR="00A10119">
              <w:rPr>
                <w:sz w:val="18"/>
                <w:szCs w:val="18"/>
              </w:rPr>
              <w:t>XYC</w:t>
            </w:r>
            <w:r w:rsidRPr="00EE5F32" w:rsidR="00EE5F32">
              <w:rPr>
                <w:sz w:val="18"/>
                <w:szCs w:val="18"/>
              </w:rPr>
              <w:t>, and O</w:t>
            </w:r>
            <w:r w:rsidR="00A10119">
              <w:rPr>
                <w:sz w:val="18"/>
                <w:szCs w:val="18"/>
              </w:rPr>
              <w:t>XYM</w:t>
            </w:r>
          </w:p>
        </w:tc>
        <w:tc>
          <w:tcPr>
            <w:tcW w:w="608" w:type="pct"/>
            <w:vAlign w:val="center"/>
          </w:tcPr>
          <w:p w:rsidRPr="001F45EB" w:rsidR="00ED14CE" w:rsidP="00ED14CE" w:rsidRDefault="00ED14CE" w14:paraId="6F196FAA" w14:textId="2416695C">
            <w:pPr>
              <w:tabs>
                <w:tab w:val="left" w:pos="1005"/>
              </w:tabs>
              <w:jc w:val="center"/>
              <w:rPr>
                <w:sz w:val="18"/>
                <w:szCs w:val="18"/>
              </w:rPr>
            </w:pPr>
            <w:r w:rsidRPr="001F45EB">
              <w:rPr>
                <w:sz w:val="18"/>
                <w:szCs w:val="18"/>
              </w:rPr>
              <w:t>X</w:t>
            </w:r>
          </w:p>
        </w:tc>
        <w:tc>
          <w:tcPr>
            <w:tcW w:w="745" w:type="pct"/>
            <w:vAlign w:val="center"/>
          </w:tcPr>
          <w:p w:rsidRPr="008021B3" w:rsidR="00ED14CE" w:rsidP="00ED14CE" w:rsidRDefault="00ED14CE" w14:paraId="3DDDB5F5" w14:textId="0AD4A460">
            <w:pPr>
              <w:tabs>
                <w:tab w:val="left" w:pos="1005"/>
              </w:tabs>
              <w:jc w:val="center"/>
            </w:pPr>
            <w:r w:rsidRPr="001F45EB">
              <w:rPr>
                <w:sz w:val="18"/>
                <w:szCs w:val="18"/>
              </w:rPr>
              <w:t>X</w:t>
            </w:r>
          </w:p>
        </w:tc>
        <w:tc>
          <w:tcPr>
            <w:tcW w:w="864" w:type="pct"/>
            <w:vAlign w:val="center"/>
          </w:tcPr>
          <w:p w:rsidRPr="001F45EB" w:rsidR="00ED14CE" w:rsidP="00ED14CE" w:rsidRDefault="00ED14CE" w14:paraId="7D9A52BD" w14:textId="77777777">
            <w:pPr>
              <w:tabs>
                <w:tab w:val="left" w:pos="1005"/>
              </w:tabs>
              <w:jc w:val="center"/>
              <w:rPr>
                <w:sz w:val="18"/>
                <w:szCs w:val="18"/>
              </w:rPr>
            </w:pPr>
          </w:p>
        </w:tc>
      </w:tr>
      <w:tr w:rsidRPr="006C78ED" w:rsidR="00D520BD" w:rsidTr="00ED6800" w14:paraId="523A57B1" w14:textId="77777777">
        <w:trPr>
          <w:trHeight w:val="548"/>
          <w:jc w:val="center"/>
        </w:trPr>
        <w:tc>
          <w:tcPr>
            <w:tcW w:w="2783" w:type="pct"/>
            <w:vAlign w:val="center"/>
          </w:tcPr>
          <w:p w:rsidRPr="006C78ED" w:rsidR="00D520BD" w:rsidP="00982BD1" w:rsidRDefault="00D520BD" w14:paraId="07333A88" w14:textId="77777777">
            <w:pPr>
              <w:tabs>
                <w:tab w:val="left" w:pos="1005"/>
              </w:tabs>
            </w:pPr>
            <w:r w:rsidRPr="001F45EB">
              <w:rPr>
                <w:sz w:val="18"/>
                <w:szCs w:val="18"/>
              </w:rPr>
              <w:t>Require special analys</w:t>
            </w:r>
            <w:r>
              <w:rPr>
                <w:sz w:val="18"/>
                <w:szCs w:val="18"/>
              </w:rPr>
              <w:t xml:space="preserve">es testing of dilute specimens </w:t>
            </w:r>
            <w:r w:rsidRPr="001F45EB">
              <w:rPr>
                <w:sz w:val="18"/>
                <w:szCs w:val="18"/>
              </w:rPr>
              <w:t>and specimens collected during suspected subversion attempts</w:t>
            </w:r>
          </w:p>
        </w:tc>
        <w:tc>
          <w:tcPr>
            <w:tcW w:w="608" w:type="pct"/>
            <w:vAlign w:val="center"/>
          </w:tcPr>
          <w:p w:rsidRPr="008021B3" w:rsidR="00D520BD" w:rsidP="00982BD1" w:rsidRDefault="00D520BD" w14:paraId="535918B8" w14:textId="77777777">
            <w:pPr>
              <w:tabs>
                <w:tab w:val="left" w:pos="1005"/>
              </w:tabs>
              <w:jc w:val="center"/>
            </w:pPr>
            <w:r w:rsidRPr="001F45EB">
              <w:rPr>
                <w:sz w:val="18"/>
                <w:szCs w:val="18"/>
              </w:rPr>
              <w:t>X</w:t>
            </w:r>
          </w:p>
        </w:tc>
        <w:tc>
          <w:tcPr>
            <w:tcW w:w="745" w:type="pct"/>
            <w:vAlign w:val="center"/>
          </w:tcPr>
          <w:p w:rsidRPr="008021B3" w:rsidR="00D520BD" w:rsidP="00982BD1" w:rsidRDefault="00D520BD" w14:paraId="1C163638" w14:textId="77777777">
            <w:pPr>
              <w:tabs>
                <w:tab w:val="left" w:pos="1005"/>
              </w:tabs>
              <w:jc w:val="center"/>
            </w:pPr>
          </w:p>
        </w:tc>
        <w:tc>
          <w:tcPr>
            <w:tcW w:w="864" w:type="pct"/>
            <w:vAlign w:val="center"/>
          </w:tcPr>
          <w:p w:rsidRPr="008021B3" w:rsidR="00D520BD" w:rsidP="00982BD1" w:rsidRDefault="00D520BD" w14:paraId="1B2AC0FD" w14:textId="77777777">
            <w:pPr>
              <w:tabs>
                <w:tab w:val="left" w:pos="1005"/>
              </w:tabs>
              <w:jc w:val="center"/>
            </w:pPr>
            <w:r w:rsidRPr="001F45EB">
              <w:rPr>
                <w:sz w:val="18"/>
                <w:szCs w:val="18"/>
              </w:rPr>
              <w:t>X</w:t>
            </w:r>
          </w:p>
        </w:tc>
      </w:tr>
      <w:tr w:rsidRPr="006C78ED" w:rsidR="00D520BD" w:rsidTr="00ED6800" w14:paraId="77E740C4" w14:textId="77777777">
        <w:trPr>
          <w:trHeight w:val="530"/>
          <w:jc w:val="center"/>
        </w:trPr>
        <w:tc>
          <w:tcPr>
            <w:tcW w:w="2783" w:type="pct"/>
            <w:vAlign w:val="center"/>
          </w:tcPr>
          <w:p w:rsidRPr="006C78ED" w:rsidR="00D520BD" w:rsidP="00982BD1" w:rsidRDefault="00D520BD" w14:paraId="2342FA78" w14:textId="7F56B65C">
            <w:pPr>
              <w:tabs>
                <w:tab w:val="left" w:pos="1005"/>
              </w:tabs>
            </w:pPr>
            <w:r w:rsidRPr="001F45EB">
              <w:rPr>
                <w:sz w:val="18"/>
                <w:szCs w:val="18"/>
              </w:rPr>
              <w:t>Add and revise definitions to improve cons</w:t>
            </w:r>
            <w:r>
              <w:rPr>
                <w:sz w:val="18"/>
                <w:szCs w:val="18"/>
              </w:rPr>
              <w:t xml:space="preserve">istency with </w:t>
            </w:r>
            <w:r w:rsidRPr="001F45EB">
              <w:rPr>
                <w:sz w:val="18"/>
                <w:szCs w:val="18"/>
              </w:rPr>
              <w:t xml:space="preserve">definitions in </w:t>
            </w:r>
            <w:r w:rsidRPr="00CD4D83">
              <w:rPr>
                <w:sz w:val="18"/>
                <w:szCs w:val="18"/>
              </w:rPr>
              <w:t>the 2008</w:t>
            </w:r>
            <w:r w:rsidRPr="00CD4D83" w:rsidR="00323836">
              <w:rPr>
                <w:sz w:val="18"/>
                <w:szCs w:val="18"/>
              </w:rPr>
              <w:t xml:space="preserve"> </w:t>
            </w:r>
            <w:r w:rsidRPr="00CD4D83">
              <w:rPr>
                <w:sz w:val="18"/>
                <w:szCs w:val="18"/>
              </w:rPr>
              <w:t>HHS</w:t>
            </w:r>
            <w:r w:rsidRPr="001F45EB">
              <w:rPr>
                <w:sz w:val="18"/>
                <w:szCs w:val="18"/>
              </w:rPr>
              <w:t xml:space="preserve"> Guidelines</w:t>
            </w:r>
          </w:p>
        </w:tc>
        <w:tc>
          <w:tcPr>
            <w:tcW w:w="608" w:type="pct"/>
            <w:vAlign w:val="center"/>
          </w:tcPr>
          <w:p w:rsidRPr="008021B3" w:rsidR="00D520BD" w:rsidP="00982BD1" w:rsidRDefault="00D520BD" w14:paraId="5B8F86EA" w14:textId="77777777">
            <w:pPr>
              <w:tabs>
                <w:tab w:val="left" w:pos="1005"/>
              </w:tabs>
              <w:jc w:val="center"/>
            </w:pPr>
          </w:p>
        </w:tc>
        <w:tc>
          <w:tcPr>
            <w:tcW w:w="745" w:type="pct"/>
            <w:vAlign w:val="center"/>
          </w:tcPr>
          <w:p w:rsidRPr="008021B3" w:rsidR="00D520BD" w:rsidP="00982BD1" w:rsidRDefault="00D520BD" w14:paraId="2C379720" w14:textId="77777777">
            <w:pPr>
              <w:tabs>
                <w:tab w:val="left" w:pos="1005"/>
              </w:tabs>
              <w:jc w:val="center"/>
            </w:pPr>
            <w:r w:rsidRPr="001F45EB">
              <w:rPr>
                <w:sz w:val="18"/>
                <w:szCs w:val="18"/>
              </w:rPr>
              <w:t>X</w:t>
            </w:r>
          </w:p>
        </w:tc>
        <w:tc>
          <w:tcPr>
            <w:tcW w:w="864" w:type="pct"/>
            <w:vAlign w:val="center"/>
          </w:tcPr>
          <w:p w:rsidRPr="008021B3" w:rsidR="00D520BD" w:rsidP="00982BD1" w:rsidRDefault="00D520BD" w14:paraId="6BAD717A" w14:textId="77777777">
            <w:pPr>
              <w:tabs>
                <w:tab w:val="left" w:pos="1005"/>
              </w:tabs>
              <w:jc w:val="center"/>
            </w:pPr>
            <w:r w:rsidRPr="001F45EB">
              <w:rPr>
                <w:sz w:val="18"/>
                <w:szCs w:val="18"/>
              </w:rPr>
              <w:t>X</w:t>
            </w:r>
          </w:p>
        </w:tc>
      </w:tr>
      <w:tr w:rsidRPr="006C78ED" w:rsidR="00D520BD" w:rsidTr="00ED6800" w14:paraId="10968DF6" w14:textId="77777777">
        <w:trPr>
          <w:trHeight w:val="629"/>
          <w:jc w:val="center"/>
        </w:trPr>
        <w:tc>
          <w:tcPr>
            <w:tcW w:w="2783" w:type="pct"/>
            <w:vAlign w:val="center"/>
          </w:tcPr>
          <w:p w:rsidRPr="006C78ED" w:rsidR="00D520BD" w:rsidP="00982BD1" w:rsidRDefault="00D520BD" w14:paraId="7DAC8B52" w14:textId="77777777">
            <w:pPr>
              <w:tabs>
                <w:tab w:val="left" w:pos="1005"/>
              </w:tabs>
            </w:pPr>
            <w:r w:rsidRPr="001F45EB">
              <w:rPr>
                <w:sz w:val="18"/>
                <w:szCs w:val="18"/>
              </w:rPr>
              <w:t xml:space="preserve">Replace </w:t>
            </w:r>
            <w:r>
              <w:rPr>
                <w:sz w:val="18"/>
                <w:szCs w:val="18"/>
              </w:rPr>
              <w:t xml:space="preserve">the </w:t>
            </w:r>
            <w:r w:rsidRPr="001F45EB">
              <w:rPr>
                <w:sz w:val="18"/>
                <w:szCs w:val="18"/>
              </w:rPr>
              <w:t xml:space="preserve">LOD with </w:t>
            </w:r>
            <w:r>
              <w:rPr>
                <w:sz w:val="18"/>
                <w:szCs w:val="18"/>
              </w:rPr>
              <w:t xml:space="preserve">the </w:t>
            </w:r>
            <w:r w:rsidRPr="001F45EB">
              <w:rPr>
                <w:sz w:val="18"/>
                <w:szCs w:val="18"/>
              </w:rPr>
              <w:t xml:space="preserve">LOQ as the decision point in </w:t>
            </w:r>
            <w:r>
              <w:rPr>
                <w:sz w:val="18"/>
                <w:szCs w:val="18"/>
              </w:rPr>
              <w:t xml:space="preserve">special analyses testing and </w:t>
            </w:r>
            <w:r w:rsidRPr="001F45EB">
              <w:rPr>
                <w:sz w:val="18"/>
                <w:szCs w:val="18"/>
              </w:rPr>
              <w:t>adulterant testing of specimens</w:t>
            </w:r>
          </w:p>
        </w:tc>
        <w:tc>
          <w:tcPr>
            <w:tcW w:w="608" w:type="pct"/>
            <w:vAlign w:val="center"/>
          </w:tcPr>
          <w:p w:rsidRPr="008021B3" w:rsidR="00D520BD" w:rsidP="00982BD1" w:rsidRDefault="00D520BD" w14:paraId="5F69CD30" w14:textId="77777777">
            <w:pPr>
              <w:tabs>
                <w:tab w:val="left" w:pos="1005"/>
              </w:tabs>
              <w:jc w:val="center"/>
            </w:pPr>
          </w:p>
        </w:tc>
        <w:tc>
          <w:tcPr>
            <w:tcW w:w="745" w:type="pct"/>
            <w:vAlign w:val="center"/>
          </w:tcPr>
          <w:p w:rsidRPr="008021B3" w:rsidR="00D520BD" w:rsidP="00982BD1" w:rsidRDefault="00D520BD" w14:paraId="78F182C6" w14:textId="77777777">
            <w:pPr>
              <w:tabs>
                <w:tab w:val="left" w:pos="1005"/>
              </w:tabs>
              <w:jc w:val="center"/>
            </w:pPr>
            <w:r w:rsidRPr="001F45EB">
              <w:rPr>
                <w:sz w:val="18"/>
                <w:szCs w:val="18"/>
              </w:rPr>
              <w:t>X</w:t>
            </w:r>
          </w:p>
        </w:tc>
        <w:tc>
          <w:tcPr>
            <w:tcW w:w="864" w:type="pct"/>
            <w:vAlign w:val="center"/>
          </w:tcPr>
          <w:p w:rsidRPr="008021B3" w:rsidR="00D520BD" w:rsidP="00982BD1" w:rsidRDefault="00D520BD" w14:paraId="6432EC0D" w14:textId="77777777">
            <w:pPr>
              <w:tabs>
                <w:tab w:val="left" w:pos="1005"/>
              </w:tabs>
              <w:jc w:val="center"/>
            </w:pPr>
            <w:r w:rsidRPr="001F45EB">
              <w:rPr>
                <w:sz w:val="18"/>
                <w:szCs w:val="18"/>
              </w:rPr>
              <w:t>X</w:t>
            </w:r>
          </w:p>
        </w:tc>
      </w:tr>
      <w:tr w:rsidRPr="006C78ED" w:rsidR="00D520BD" w:rsidTr="00C6701E" w14:paraId="71EB5D78" w14:textId="77777777">
        <w:trPr>
          <w:trHeight w:val="764"/>
          <w:jc w:val="center"/>
        </w:trPr>
        <w:tc>
          <w:tcPr>
            <w:tcW w:w="2783" w:type="pct"/>
            <w:vAlign w:val="center"/>
          </w:tcPr>
          <w:p w:rsidRPr="00301DD0" w:rsidR="00D520BD" w:rsidP="00ED6800" w:rsidRDefault="00D520BD" w14:paraId="7AD0C4AB" w14:textId="4EE83DC0">
            <w:pPr>
              <w:tabs>
                <w:tab w:val="left" w:pos="1005"/>
              </w:tabs>
            </w:pPr>
            <w:r w:rsidRPr="00301DD0">
              <w:rPr>
                <w:sz w:val="18"/>
                <w:szCs w:val="18"/>
              </w:rPr>
              <w:t>Clarify procedures for observed collections of urine specimens</w:t>
            </w:r>
            <w:r w:rsidR="00646A79">
              <w:rPr>
                <w:sz w:val="18"/>
                <w:szCs w:val="18"/>
              </w:rPr>
              <w:t>,</w:t>
            </w:r>
            <w:r w:rsidRPr="00301DD0">
              <w:rPr>
                <w:sz w:val="18"/>
                <w:szCs w:val="18"/>
              </w:rPr>
              <w:t xml:space="preserve"> specimen quantity</w:t>
            </w:r>
            <w:r w:rsidR="00646A79">
              <w:rPr>
                <w:sz w:val="18"/>
                <w:szCs w:val="18"/>
              </w:rPr>
              <w:t>,</w:t>
            </w:r>
            <w:r w:rsidRPr="00301DD0">
              <w:rPr>
                <w:sz w:val="18"/>
                <w:szCs w:val="18"/>
              </w:rPr>
              <w:t xml:space="preserve"> altered specimens</w:t>
            </w:r>
            <w:r w:rsidR="00646A79">
              <w:rPr>
                <w:sz w:val="18"/>
                <w:szCs w:val="18"/>
              </w:rPr>
              <w:t>,</w:t>
            </w:r>
            <w:r w:rsidRPr="00301DD0">
              <w:rPr>
                <w:sz w:val="18"/>
                <w:szCs w:val="18"/>
              </w:rPr>
              <w:t xml:space="preserve"> and refusal to test situations</w:t>
            </w:r>
          </w:p>
        </w:tc>
        <w:tc>
          <w:tcPr>
            <w:tcW w:w="608" w:type="pct"/>
            <w:vAlign w:val="center"/>
          </w:tcPr>
          <w:p w:rsidRPr="008021B3" w:rsidR="00D520BD" w:rsidP="00646A79" w:rsidRDefault="00D520BD" w14:paraId="3615DE11" w14:textId="77777777">
            <w:pPr>
              <w:tabs>
                <w:tab w:val="left" w:pos="1005"/>
              </w:tabs>
              <w:jc w:val="center"/>
            </w:pPr>
          </w:p>
        </w:tc>
        <w:tc>
          <w:tcPr>
            <w:tcW w:w="745" w:type="pct"/>
            <w:vAlign w:val="center"/>
          </w:tcPr>
          <w:p w:rsidRPr="008021B3" w:rsidR="00D520BD" w:rsidP="00646A79" w:rsidRDefault="00D520BD" w14:paraId="7FF4F515" w14:textId="77777777">
            <w:pPr>
              <w:tabs>
                <w:tab w:val="left" w:pos="1005"/>
              </w:tabs>
              <w:jc w:val="center"/>
            </w:pPr>
            <w:r w:rsidRPr="001F45EB">
              <w:rPr>
                <w:sz w:val="18"/>
                <w:szCs w:val="18"/>
              </w:rPr>
              <w:t>X</w:t>
            </w:r>
          </w:p>
        </w:tc>
        <w:tc>
          <w:tcPr>
            <w:tcW w:w="864" w:type="pct"/>
            <w:vAlign w:val="center"/>
          </w:tcPr>
          <w:p w:rsidRPr="008021B3" w:rsidR="00D520BD" w:rsidP="00646A79" w:rsidRDefault="00D520BD" w14:paraId="736B2EB2" w14:textId="77777777">
            <w:pPr>
              <w:tabs>
                <w:tab w:val="left" w:pos="1005"/>
              </w:tabs>
              <w:jc w:val="center"/>
            </w:pPr>
            <w:r>
              <w:rPr>
                <w:sz w:val="18"/>
                <w:szCs w:val="18"/>
              </w:rPr>
              <w:t>X</w:t>
            </w:r>
          </w:p>
        </w:tc>
      </w:tr>
      <w:tr w:rsidRPr="006C78ED" w:rsidR="00D520BD" w:rsidTr="00ED6800" w14:paraId="5D3644BA" w14:textId="77777777">
        <w:trPr>
          <w:trHeight w:val="980"/>
          <w:jc w:val="center"/>
        </w:trPr>
        <w:tc>
          <w:tcPr>
            <w:tcW w:w="2783" w:type="pct"/>
            <w:vAlign w:val="center"/>
          </w:tcPr>
          <w:p w:rsidRPr="00301DD0" w:rsidR="00D520BD" w:rsidP="00646A79" w:rsidRDefault="00D520BD" w14:paraId="6D6DB9B4" w14:textId="0ADF194C">
            <w:pPr>
              <w:tabs>
                <w:tab w:val="left" w:pos="1005"/>
              </w:tabs>
            </w:pPr>
            <w:r w:rsidRPr="004E5ACE">
              <w:rPr>
                <w:sz w:val="18"/>
                <w:szCs w:val="18"/>
              </w:rPr>
              <w:t xml:space="preserve">Permit use of additional qualified staff beyond the specimen collector to observe a donor in the hydration process </w:t>
            </w:r>
            <w:r w:rsidR="00FC29D6">
              <w:rPr>
                <w:sz w:val="18"/>
                <w:szCs w:val="18"/>
              </w:rPr>
              <w:t xml:space="preserve">initiated after </w:t>
            </w:r>
            <w:r w:rsidR="005069BB">
              <w:rPr>
                <w:sz w:val="18"/>
                <w:szCs w:val="18"/>
              </w:rPr>
              <w:t>the</w:t>
            </w:r>
            <w:r w:rsidRPr="004E5ACE">
              <w:rPr>
                <w:sz w:val="18"/>
                <w:szCs w:val="18"/>
              </w:rPr>
              <w:t xml:space="preserve"> </w:t>
            </w:r>
            <w:r w:rsidR="00DF5360">
              <w:rPr>
                <w:sz w:val="18"/>
                <w:szCs w:val="18"/>
              </w:rPr>
              <w:t>donor’s</w:t>
            </w:r>
            <w:r w:rsidRPr="004E5ACE">
              <w:rPr>
                <w:sz w:val="18"/>
                <w:szCs w:val="18"/>
              </w:rPr>
              <w:t xml:space="preserve"> </w:t>
            </w:r>
            <w:r w:rsidR="006B6F9D">
              <w:rPr>
                <w:sz w:val="18"/>
                <w:szCs w:val="18"/>
              </w:rPr>
              <w:t xml:space="preserve">initial </w:t>
            </w:r>
            <w:r w:rsidRPr="004E5ACE">
              <w:rPr>
                <w:sz w:val="18"/>
                <w:szCs w:val="18"/>
              </w:rPr>
              <w:t>inability to provide a urine specimen of adequate volume for testing (i.e.</w:t>
            </w:r>
            <w:r w:rsidRPr="004E5ACE" w:rsidR="00646A79">
              <w:rPr>
                <w:sz w:val="18"/>
                <w:szCs w:val="18"/>
              </w:rPr>
              <w:t>,</w:t>
            </w:r>
            <w:r w:rsidRPr="004E5ACE">
              <w:rPr>
                <w:sz w:val="18"/>
                <w:szCs w:val="18"/>
              </w:rPr>
              <w:t> a shy bladder)</w:t>
            </w:r>
          </w:p>
        </w:tc>
        <w:tc>
          <w:tcPr>
            <w:tcW w:w="608" w:type="pct"/>
            <w:vAlign w:val="center"/>
          </w:tcPr>
          <w:p w:rsidRPr="008021B3" w:rsidR="00D520BD" w:rsidP="00646A79" w:rsidRDefault="00D520BD" w14:paraId="257A2B00" w14:textId="77777777">
            <w:pPr>
              <w:tabs>
                <w:tab w:val="left" w:pos="1005"/>
              </w:tabs>
              <w:jc w:val="center"/>
            </w:pPr>
          </w:p>
        </w:tc>
        <w:tc>
          <w:tcPr>
            <w:tcW w:w="745" w:type="pct"/>
            <w:vAlign w:val="center"/>
          </w:tcPr>
          <w:p w:rsidRPr="008021B3" w:rsidR="00D520BD" w:rsidP="00646A79" w:rsidRDefault="00D520BD" w14:paraId="5AD0552C" w14:textId="77777777">
            <w:pPr>
              <w:tabs>
                <w:tab w:val="left" w:pos="1005"/>
              </w:tabs>
              <w:jc w:val="center"/>
            </w:pPr>
          </w:p>
        </w:tc>
        <w:tc>
          <w:tcPr>
            <w:tcW w:w="864" w:type="pct"/>
            <w:vAlign w:val="center"/>
          </w:tcPr>
          <w:p w:rsidRPr="008021B3" w:rsidR="00D520BD" w:rsidP="00646A79" w:rsidRDefault="00D520BD" w14:paraId="05605F57" w14:textId="77777777">
            <w:pPr>
              <w:tabs>
                <w:tab w:val="left" w:pos="1005"/>
              </w:tabs>
              <w:jc w:val="center"/>
            </w:pPr>
            <w:r>
              <w:rPr>
                <w:sz w:val="18"/>
                <w:szCs w:val="18"/>
              </w:rPr>
              <w:t>X</w:t>
            </w:r>
          </w:p>
        </w:tc>
      </w:tr>
      <w:tr w:rsidRPr="006C78ED" w:rsidR="00D520BD" w:rsidTr="00552339" w14:paraId="6BAEF425" w14:textId="77777777">
        <w:trPr>
          <w:trHeight w:val="584"/>
          <w:jc w:val="center"/>
        </w:trPr>
        <w:tc>
          <w:tcPr>
            <w:tcW w:w="2783" w:type="pct"/>
            <w:vAlign w:val="center"/>
          </w:tcPr>
          <w:p w:rsidRPr="00301DD0" w:rsidR="00D520BD" w:rsidP="00982BD1" w:rsidRDefault="00D520BD" w14:paraId="05F76F49" w14:textId="1DF8071C">
            <w:pPr>
              <w:tabs>
                <w:tab w:val="left" w:pos="1005"/>
              </w:tabs>
            </w:pPr>
            <w:r w:rsidRPr="00301DD0">
              <w:rPr>
                <w:sz w:val="18"/>
                <w:szCs w:val="18"/>
              </w:rPr>
              <w:t>Eliminate 6-month in</w:t>
            </w:r>
            <w:r w:rsidR="00CD13BA">
              <w:rPr>
                <w:sz w:val="18"/>
                <w:szCs w:val="18"/>
              </w:rPr>
              <w:t>-</w:t>
            </w:r>
            <w:r w:rsidRPr="00301DD0">
              <w:rPr>
                <w:sz w:val="18"/>
                <w:szCs w:val="18"/>
              </w:rPr>
              <w:t xml:space="preserve">service requirement for </w:t>
            </w:r>
            <w:r w:rsidR="008642DB">
              <w:rPr>
                <w:sz w:val="18"/>
                <w:szCs w:val="18"/>
              </w:rPr>
              <w:t>BPTS</w:t>
            </w:r>
            <w:r w:rsidRPr="00301DD0">
              <w:rPr>
                <w:sz w:val="18"/>
                <w:szCs w:val="18"/>
              </w:rPr>
              <w:t>s and permit the suppliers to specify the shelf life</w:t>
            </w:r>
          </w:p>
        </w:tc>
        <w:tc>
          <w:tcPr>
            <w:tcW w:w="608" w:type="pct"/>
            <w:vAlign w:val="center"/>
          </w:tcPr>
          <w:p w:rsidRPr="008021B3" w:rsidR="00D520BD" w:rsidP="00982BD1" w:rsidRDefault="00D520BD" w14:paraId="00750396" w14:textId="77777777">
            <w:pPr>
              <w:tabs>
                <w:tab w:val="left" w:pos="1005"/>
              </w:tabs>
              <w:jc w:val="center"/>
            </w:pPr>
          </w:p>
        </w:tc>
        <w:tc>
          <w:tcPr>
            <w:tcW w:w="745" w:type="pct"/>
            <w:vAlign w:val="center"/>
          </w:tcPr>
          <w:p w:rsidRPr="008021B3" w:rsidR="00D520BD" w:rsidP="00982BD1" w:rsidRDefault="00D520BD" w14:paraId="24175095" w14:textId="77777777">
            <w:pPr>
              <w:tabs>
                <w:tab w:val="left" w:pos="1005"/>
              </w:tabs>
              <w:jc w:val="center"/>
            </w:pPr>
            <w:r w:rsidRPr="001F45EB">
              <w:rPr>
                <w:sz w:val="18"/>
                <w:szCs w:val="18"/>
              </w:rPr>
              <w:t>X</w:t>
            </w:r>
          </w:p>
        </w:tc>
        <w:tc>
          <w:tcPr>
            <w:tcW w:w="864" w:type="pct"/>
            <w:vAlign w:val="center"/>
          </w:tcPr>
          <w:p w:rsidRPr="008021B3" w:rsidR="00D520BD" w:rsidP="00982BD1" w:rsidRDefault="00D520BD" w14:paraId="2D7B3BB9" w14:textId="77777777">
            <w:pPr>
              <w:tabs>
                <w:tab w:val="left" w:pos="1005"/>
              </w:tabs>
              <w:jc w:val="center"/>
            </w:pPr>
            <w:r>
              <w:rPr>
                <w:sz w:val="18"/>
                <w:szCs w:val="18"/>
              </w:rPr>
              <w:t>X</w:t>
            </w:r>
          </w:p>
        </w:tc>
      </w:tr>
      <w:tr w:rsidRPr="006C78ED" w:rsidR="00D520BD" w:rsidTr="003F1EEB" w14:paraId="52E2A746" w14:textId="77777777">
        <w:trPr>
          <w:trHeight w:val="1214"/>
          <w:jc w:val="center"/>
        </w:trPr>
        <w:tc>
          <w:tcPr>
            <w:tcW w:w="2783" w:type="pct"/>
            <w:vAlign w:val="center"/>
          </w:tcPr>
          <w:p w:rsidRPr="00301DD0" w:rsidR="00D520BD" w:rsidP="00982BD1" w:rsidRDefault="00D520BD" w14:paraId="31D92006" w14:textId="5457B80C">
            <w:pPr>
              <w:tabs>
                <w:tab w:val="left" w:pos="1005"/>
              </w:tabs>
            </w:pPr>
            <w:r w:rsidRPr="00301DD0">
              <w:rPr>
                <w:sz w:val="18"/>
                <w:szCs w:val="18"/>
              </w:rPr>
              <w:t>Eliminate dual regulation of HHS</w:t>
            </w:r>
            <w:r w:rsidRPr="00301DD0">
              <w:rPr>
                <w:sz w:val="18"/>
                <w:szCs w:val="18"/>
              </w:rPr>
              <w:noBreakHyphen/>
              <w:t>certified laborator</w:t>
            </w:r>
            <w:r w:rsidR="00B97179">
              <w:rPr>
                <w:sz w:val="18"/>
                <w:szCs w:val="18"/>
              </w:rPr>
              <w:t>ies</w:t>
            </w:r>
            <w:r w:rsidRPr="00301DD0">
              <w:rPr>
                <w:sz w:val="18"/>
                <w:szCs w:val="18"/>
              </w:rPr>
              <w:t xml:space="preserve"> by removing documentation requirements for laboratory personnel and procedures that are already contained in the 2008 HHS Guidelines and verified in the HHS laboratory certification process</w:t>
            </w:r>
          </w:p>
        </w:tc>
        <w:tc>
          <w:tcPr>
            <w:tcW w:w="608" w:type="pct"/>
            <w:vAlign w:val="center"/>
          </w:tcPr>
          <w:p w:rsidRPr="008021B3" w:rsidR="00D520BD" w:rsidP="00982BD1" w:rsidRDefault="00D520BD" w14:paraId="71AE49B0" w14:textId="77777777">
            <w:pPr>
              <w:tabs>
                <w:tab w:val="left" w:pos="1005"/>
              </w:tabs>
              <w:jc w:val="center"/>
            </w:pPr>
          </w:p>
        </w:tc>
        <w:tc>
          <w:tcPr>
            <w:tcW w:w="745" w:type="pct"/>
            <w:vAlign w:val="center"/>
          </w:tcPr>
          <w:p w:rsidRPr="008021B3" w:rsidR="00D520BD" w:rsidP="00982BD1" w:rsidRDefault="00D520BD" w14:paraId="464DD807" w14:textId="77777777">
            <w:pPr>
              <w:tabs>
                <w:tab w:val="left" w:pos="1005"/>
              </w:tabs>
              <w:jc w:val="center"/>
            </w:pPr>
          </w:p>
        </w:tc>
        <w:tc>
          <w:tcPr>
            <w:tcW w:w="864" w:type="pct"/>
            <w:vAlign w:val="center"/>
          </w:tcPr>
          <w:p w:rsidRPr="008021B3" w:rsidR="00D520BD" w:rsidP="00982BD1" w:rsidRDefault="00D520BD" w14:paraId="33655E62" w14:textId="77777777">
            <w:pPr>
              <w:tabs>
                <w:tab w:val="left" w:pos="1005"/>
              </w:tabs>
              <w:jc w:val="center"/>
            </w:pPr>
            <w:r>
              <w:t>X</w:t>
            </w:r>
          </w:p>
        </w:tc>
      </w:tr>
      <w:tr w:rsidRPr="005276D5" w:rsidR="00D520BD" w:rsidTr="0010611C" w14:paraId="2E55BFB0" w14:textId="77777777">
        <w:trPr>
          <w:trHeight w:val="737"/>
          <w:jc w:val="center"/>
        </w:trPr>
        <w:tc>
          <w:tcPr>
            <w:tcW w:w="2783" w:type="pct"/>
            <w:vAlign w:val="center"/>
          </w:tcPr>
          <w:p w:rsidRPr="005276D5" w:rsidR="00D520BD" w:rsidP="00982BD1" w:rsidRDefault="0023237F" w14:paraId="5C3801D1" w14:textId="575121D9">
            <w:pPr>
              <w:tabs>
                <w:tab w:val="left" w:pos="1005"/>
              </w:tabs>
              <w:rPr>
                <w:sz w:val="18"/>
                <w:szCs w:val="18"/>
              </w:rPr>
            </w:pPr>
            <w:r>
              <w:rPr>
                <w:sz w:val="18"/>
                <w:szCs w:val="18"/>
              </w:rPr>
              <w:t xml:space="preserve">Address issues </w:t>
            </w:r>
            <w:r w:rsidR="00C57150">
              <w:rPr>
                <w:sz w:val="18"/>
                <w:szCs w:val="18"/>
              </w:rPr>
              <w:t xml:space="preserve">associated with </w:t>
            </w:r>
            <w:r w:rsidR="00AD3008">
              <w:rPr>
                <w:sz w:val="18"/>
                <w:szCs w:val="18"/>
              </w:rPr>
              <w:t xml:space="preserve">the testing of </w:t>
            </w:r>
            <w:r w:rsidRPr="0029717A" w:rsidR="00D520BD">
              <w:rPr>
                <w:sz w:val="18"/>
                <w:szCs w:val="18"/>
              </w:rPr>
              <w:t xml:space="preserve">quality control samples </w:t>
            </w:r>
            <w:r w:rsidR="002672BB">
              <w:rPr>
                <w:sz w:val="18"/>
                <w:szCs w:val="18"/>
              </w:rPr>
              <w:t xml:space="preserve">at licensee testing facilities </w:t>
            </w:r>
            <w:r w:rsidR="00244632">
              <w:rPr>
                <w:sz w:val="18"/>
                <w:szCs w:val="18"/>
              </w:rPr>
              <w:t xml:space="preserve">described </w:t>
            </w:r>
            <w:r w:rsidRPr="0029717A" w:rsidR="00D520BD">
              <w:rPr>
                <w:sz w:val="18"/>
                <w:szCs w:val="18"/>
              </w:rPr>
              <w:t xml:space="preserve">in </w:t>
            </w:r>
            <w:r w:rsidR="00D520BD">
              <w:rPr>
                <w:sz w:val="18"/>
                <w:szCs w:val="18"/>
              </w:rPr>
              <w:t>an enforcement guidance memorandum (</w:t>
            </w:r>
            <w:r w:rsidR="00773487">
              <w:rPr>
                <w:sz w:val="18"/>
                <w:szCs w:val="18"/>
              </w:rPr>
              <w:t>NRC</w:t>
            </w:r>
            <w:r w:rsidR="00646A79">
              <w:rPr>
                <w:sz w:val="18"/>
                <w:szCs w:val="18"/>
              </w:rPr>
              <w:t>,</w:t>
            </w:r>
            <w:r w:rsidR="00773487">
              <w:rPr>
                <w:sz w:val="18"/>
                <w:szCs w:val="18"/>
              </w:rPr>
              <w:t xml:space="preserve"> 2009</w:t>
            </w:r>
            <w:r w:rsidR="001B382F">
              <w:rPr>
                <w:sz w:val="18"/>
                <w:szCs w:val="18"/>
              </w:rPr>
              <w:t>c</w:t>
            </w:r>
            <w:r w:rsidRPr="00301DD0" w:rsidR="00D520BD">
              <w:rPr>
                <w:sz w:val="18"/>
                <w:szCs w:val="18"/>
              </w:rPr>
              <w:t>)</w:t>
            </w:r>
          </w:p>
        </w:tc>
        <w:tc>
          <w:tcPr>
            <w:tcW w:w="608" w:type="pct"/>
            <w:vAlign w:val="center"/>
          </w:tcPr>
          <w:p w:rsidRPr="007A6C05" w:rsidR="00D520BD" w:rsidP="00982BD1" w:rsidRDefault="00D520BD" w14:paraId="6BAAA383" w14:textId="77777777">
            <w:pPr>
              <w:tabs>
                <w:tab w:val="left" w:pos="1005"/>
              </w:tabs>
              <w:jc w:val="center"/>
              <w:rPr>
                <w:sz w:val="18"/>
                <w:szCs w:val="18"/>
              </w:rPr>
            </w:pPr>
          </w:p>
        </w:tc>
        <w:tc>
          <w:tcPr>
            <w:tcW w:w="745" w:type="pct"/>
            <w:vAlign w:val="center"/>
          </w:tcPr>
          <w:p w:rsidRPr="007A6C05" w:rsidR="00D520BD" w:rsidP="00982BD1" w:rsidRDefault="00D520BD" w14:paraId="0C4FCAB6" w14:textId="77777777">
            <w:pPr>
              <w:tabs>
                <w:tab w:val="left" w:pos="1005"/>
              </w:tabs>
              <w:jc w:val="center"/>
              <w:rPr>
                <w:sz w:val="18"/>
                <w:szCs w:val="18"/>
              </w:rPr>
            </w:pPr>
          </w:p>
        </w:tc>
        <w:tc>
          <w:tcPr>
            <w:tcW w:w="864" w:type="pct"/>
            <w:vAlign w:val="center"/>
          </w:tcPr>
          <w:p w:rsidRPr="007A6C05" w:rsidR="00D520BD" w:rsidP="00982BD1" w:rsidRDefault="00D520BD" w14:paraId="6C204DCE" w14:textId="77777777">
            <w:pPr>
              <w:tabs>
                <w:tab w:val="left" w:pos="1005"/>
              </w:tabs>
              <w:jc w:val="center"/>
              <w:rPr>
                <w:sz w:val="18"/>
                <w:szCs w:val="18"/>
              </w:rPr>
            </w:pPr>
            <w:r w:rsidRPr="00113A57">
              <w:rPr>
                <w:sz w:val="18"/>
                <w:szCs w:val="18"/>
              </w:rPr>
              <w:t>X</w:t>
            </w:r>
          </w:p>
        </w:tc>
      </w:tr>
      <w:tr w:rsidRPr="006C78ED" w:rsidR="00D520BD" w:rsidTr="00982BD1" w14:paraId="51B9EC47" w14:textId="77777777">
        <w:trPr>
          <w:trHeight w:val="791"/>
          <w:jc w:val="center"/>
        </w:trPr>
        <w:tc>
          <w:tcPr>
            <w:tcW w:w="2783" w:type="pct"/>
            <w:vAlign w:val="center"/>
          </w:tcPr>
          <w:p w:rsidRPr="00301DD0" w:rsidR="00D520BD" w:rsidP="00982BD1" w:rsidRDefault="00D520BD" w14:paraId="2AA7937D" w14:textId="77777777">
            <w:pPr>
              <w:tabs>
                <w:tab w:val="left" w:pos="1005"/>
              </w:tabs>
            </w:pPr>
            <w:r w:rsidRPr="00301DD0">
              <w:rPr>
                <w:sz w:val="18"/>
                <w:szCs w:val="18"/>
              </w:rPr>
              <w:t xml:space="preserve">Enhance donor protection by requiring MRO review of specimens with invalid validity test results </w:t>
            </w:r>
            <w:r>
              <w:rPr>
                <w:sz w:val="18"/>
                <w:szCs w:val="18"/>
              </w:rPr>
              <w:t xml:space="preserve">due to </w:t>
            </w:r>
            <w:r w:rsidRPr="00301DD0">
              <w:rPr>
                <w:sz w:val="18"/>
                <w:szCs w:val="18"/>
              </w:rPr>
              <w:t>high pH values (between 9.0 and 9.5)</w:t>
            </w:r>
          </w:p>
        </w:tc>
        <w:tc>
          <w:tcPr>
            <w:tcW w:w="608" w:type="pct"/>
            <w:vAlign w:val="center"/>
          </w:tcPr>
          <w:p w:rsidRPr="007A6C05" w:rsidR="00D520BD" w:rsidP="00982BD1" w:rsidRDefault="00D520BD" w14:paraId="79D1DFFF" w14:textId="77777777">
            <w:pPr>
              <w:tabs>
                <w:tab w:val="left" w:pos="1005"/>
              </w:tabs>
              <w:jc w:val="center"/>
              <w:rPr>
                <w:sz w:val="18"/>
                <w:szCs w:val="18"/>
              </w:rPr>
            </w:pPr>
          </w:p>
        </w:tc>
        <w:tc>
          <w:tcPr>
            <w:tcW w:w="745" w:type="pct"/>
            <w:vAlign w:val="center"/>
          </w:tcPr>
          <w:p w:rsidRPr="007A6C05" w:rsidR="00D520BD" w:rsidP="00982BD1" w:rsidRDefault="00D520BD" w14:paraId="038B45AF" w14:textId="77777777">
            <w:pPr>
              <w:tabs>
                <w:tab w:val="left" w:pos="1005"/>
              </w:tabs>
              <w:jc w:val="center"/>
              <w:rPr>
                <w:sz w:val="18"/>
                <w:szCs w:val="18"/>
              </w:rPr>
            </w:pPr>
            <w:r w:rsidRPr="00113A57">
              <w:rPr>
                <w:sz w:val="18"/>
                <w:szCs w:val="18"/>
              </w:rPr>
              <w:t>X</w:t>
            </w:r>
          </w:p>
        </w:tc>
        <w:tc>
          <w:tcPr>
            <w:tcW w:w="864" w:type="pct"/>
            <w:vAlign w:val="center"/>
          </w:tcPr>
          <w:p w:rsidRPr="007A6C05" w:rsidR="00D520BD" w:rsidP="00982BD1" w:rsidRDefault="00D520BD" w14:paraId="10FCEA6C" w14:textId="77777777">
            <w:pPr>
              <w:tabs>
                <w:tab w:val="left" w:pos="1005"/>
              </w:tabs>
              <w:jc w:val="center"/>
              <w:rPr>
                <w:sz w:val="18"/>
                <w:szCs w:val="18"/>
              </w:rPr>
            </w:pPr>
            <w:r w:rsidRPr="00113A57">
              <w:rPr>
                <w:sz w:val="18"/>
                <w:szCs w:val="18"/>
              </w:rPr>
              <w:t>X</w:t>
            </w:r>
          </w:p>
        </w:tc>
      </w:tr>
      <w:tr w:rsidRPr="006C78ED" w:rsidR="00D520BD" w:rsidTr="00ED6800" w14:paraId="44799EEB" w14:textId="77777777">
        <w:trPr>
          <w:trHeight w:val="1142"/>
          <w:jc w:val="center"/>
        </w:trPr>
        <w:tc>
          <w:tcPr>
            <w:tcW w:w="2783" w:type="pct"/>
            <w:vAlign w:val="center"/>
          </w:tcPr>
          <w:p w:rsidRPr="001F45EB" w:rsidR="00D520BD" w:rsidP="00646A79" w:rsidRDefault="00D520BD" w14:paraId="64AA3EBA" w14:textId="137C4A20">
            <w:pPr>
              <w:tabs>
                <w:tab w:val="left" w:pos="1005"/>
              </w:tabs>
              <w:rPr>
                <w:sz w:val="18"/>
                <w:szCs w:val="18"/>
              </w:rPr>
            </w:pPr>
            <w:r w:rsidRPr="00DD7537">
              <w:rPr>
                <w:sz w:val="18"/>
                <w:szCs w:val="18"/>
              </w:rPr>
              <w:t xml:space="preserve">Enhance donor protection and </w:t>
            </w:r>
            <w:r>
              <w:rPr>
                <w:sz w:val="18"/>
                <w:szCs w:val="18"/>
              </w:rPr>
              <w:t xml:space="preserve">the transparency of the </w:t>
            </w:r>
            <w:r w:rsidRPr="00DD7537">
              <w:rPr>
                <w:sz w:val="18"/>
                <w:szCs w:val="18"/>
              </w:rPr>
              <w:t>retesting process by requiring the MRO to document a</w:t>
            </w:r>
            <w:r>
              <w:rPr>
                <w:sz w:val="18"/>
                <w:szCs w:val="18"/>
              </w:rPr>
              <w:t>n oral</w:t>
            </w:r>
            <w:r w:rsidRPr="00DD7537">
              <w:rPr>
                <w:sz w:val="18"/>
                <w:szCs w:val="18"/>
              </w:rPr>
              <w:t xml:space="preserve"> request made by a donor </w:t>
            </w:r>
            <w:r>
              <w:rPr>
                <w:sz w:val="18"/>
                <w:szCs w:val="18"/>
              </w:rPr>
              <w:t xml:space="preserve">for a second laboratory </w:t>
            </w:r>
            <w:r w:rsidRPr="00DD7537">
              <w:rPr>
                <w:sz w:val="18"/>
                <w:szCs w:val="18"/>
              </w:rPr>
              <w:t>to test Bottle</w:t>
            </w:r>
            <w:r>
              <w:rPr>
                <w:sz w:val="18"/>
                <w:szCs w:val="18"/>
              </w:rPr>
              <w:t> </w:t>
            </w:r>
            <w:r w:rsidRPr="00DD7537">
              <w:rPr>
                <w:sz w:val="18"/>
                <w:szCs w:val="18"/>
              </w:rPr>
              <w:t>B of a split specimen or to retest a</w:t>
            </w:r>
            <w:r>
              <w:rPr>
                <w:sz w:val="18"/>
                <w:szCs w:val="18"/>
              </w:rPr>
              <w:t>n aliquot of a</w:t>
            </w:r>
            <w:r w:rsidRPr="00DD7537">
              <w:rPr>
                <w:sz w:val="18"/>
                <w:szCs w:val="18"/>
              </w:rPr>
              <w:t xml:space="preserve"> single specimen</w:t>
            </w:r>
            <w:r>
              <w:rPr>
                <w:sz w:val="18"/>
                <w:szCs w:val="18"/>
              </w:rPr>
              <w:t xml:space="preserve"> </w:t>
            </w:r>
          </w:p>
        </w:tc>
        <w:tc>
          <w:tcPr>
            <w:tcW w:w="608" w:type="pct"/>
            <w:vAlign w:val="center"/>
          </w:tcPr>
          <w:p w:rsidRPr="00113A57" w:rsidR="00D520BD" w:rsidP="00646A79" w:rsidRDefault="00D520BD" w14:paraId="723544BA" w14:textId="77777777">
            <w:pPr>
              <w:tabs>
                <w:tab w:val="left" w:pos="1005"/>
              </w:tabs>
              <w:jc w:val="center"/>
              <w:rPr>
                <w:sz w:val="18"/>
                <w:szCs w:val="18"/>
              </w:rPr>
            </w:pPr>
          </w:p>
        </w:tc>
        <w:tc>
          <w:tcPr>
            <w:tcW w:w="745" w:type="pct"/>
            <w:vAlign w:val="center"/>
          </w:tcPr>
          <w:p w:rsidRPr="007A6C05" w:rsidR="00D520BD" w:rsidP="00646A79" w:rsidRDefault="00D520BD" w14:paraId="009A87A3" w14:textId="77777777">
            <w:pPr>
              <w:tabs>
                <w:tab w:val="left" w:pos="1005"/>
              </w:tabs>
              <w:jc w:val="center"/>
              <w:rPr>
                <w:sz w:val="18"/>
                <w:szCs w:val="18"/>
              </w:rPr>
            </w:pPr>
            <w:r w:rsidRPr="007A6C05">
              <w:rPr>
                <w:sz w:val="18"/>
                <w:szCs w:val="18"/>
              </w:rPr>
              <w:t>X</w:t>
            </w:r>
          </w:p>
        </w:tc>
        <w:tc>
          <w:tcPr>
            <w:tcW w:w="864" w:type="pct"/>
            <w:vAlign w:val="center"/>
          </w:tcPr>
          <w:p w:rsidRPr="007A6C05" w:rsidR="00D520BD" w:rsidP="00646A79" w:rsidRDefault="00D520BD" w14:paraId="435239A1" w14:textId="77777777">
            <w:pPr>
              <w:tabs>
                <w:tab w:val="left" w:pos="1005"/>
              </w:tabs>
              <w:jc w:val="center"/>
              <w:rPr>
                <w:sz w:val="18"/>
                <w:szCs w:val="18"/>
              </w:rPr>
            </w:pPr>
            <w:r w:rsidRPr="007A6C05">
              <w:rPr>
                <w:sz w:val="18"/>
                <w:szCs w:val="18"/>
              </w:rPr>
              <w:t>X</w:t>
            </w:r>
          </w:p>
        </w:tc>
      </w:tr>
      <w:tr w:rsidRPr="006C78ED" w:rsidR="00D520BD" w:rsidTr="00982BD1" w14:paraId="248270B8" w14:textId="77777777">
        <w:trPr>
          <w:trHeight w:val="1007"/>
          <w:jc w:val="center"/>
        </w:trPr>
        <w:tc>
          <w:tcPr>
            <w:tcW w:w="2783" w:type="pct"/>
            <w:vAlign w:val="center"/>
          </w:tcPr>
          <w:p w:rsidRPr="006C78ED" w:rsidR="00D520BD" w:rsidP="00982BD1" w:rsidRDefault="00D520BD" w14:paraId="08D282FA" w14:textId="443C92A7">
            <w:pPr>
              <w:tabs>
                <w:tab w:val="left" w:pos="1005"/>
              </w:tabs>
            </w:pPr>
            <w:r w:rsidRPr="001F45EB">
              <w:rPr>
                <w:sz w:val="18"/>
                <w:szCs w:val="18"/>
              </w:rPr>
              <w:t xml:space="preserve">Require retention </w:t>
            </w:r>
            <w:r w:rsidRPr="00301DD0">
              <w:rPr>
                <w:sz w:val="18"/>
                <w:szCs w:val="18"/>
              </w:rPr>
              <w:t>of any specimen collected during a post-event testing (even if the donor refuses to complete the test after providing a specimen) to enhance the root</w:t>
            </w:r>
            <w:r w:rsidRPr="00301DD0">
              <w:rPr>
                <w:sz w:val="18"/>
                <w:szCs w:val="18"/>
              </w:rPr>
              <w:noBreakHyphen/>
              <w:t>cause evaluation process associated with accidents</w:t>
            </w:r>
          </w:p>
        </w:tc>
        <w:tc>
          <w:tcPr>
            <w:tcW w:w="608" w:type="pct"/>
            <w:vAlign w:val="center"/>
          </w:tcPr>
          <w:p w:rsidRPr="007A6C05" w:rsidR="00D520BD" w:rsidP="00982BD1" w:rsidRDefault="00D520BD" w14:paraId="0EF76FFD" w14:textId="77777777">
            <w:pPr>
              <w:tabs>
                <w:tab w:val="left" w:pos="1005"/>
              </w:tabs>
              <w:jc w:val="center"/>
              <w:rPr>
                <w:sz w:val="18"/>
                <w:szCs w:val="18"/>
              </w:rPr>
            </w:pPr>
            <w:r w:rsidRPr="00113A57">
              <w:rPr>
                <w:sz w:val="18"/>
                <w:szCs w:val="18"/>
              </w:rPr>
              <w:t>X</w:t>
            </w:r>
          </w:p>
        </w:tc>
        <w:tc>
          <w:tcPr>
            <w:tcW w:w="745" w:type="pct"/>
            <w:vAlign w:val="center"/>
          </w:tcPr>
          <w:p w:rsidRPr="007A6C05" w:rsidR="00D520BD" w:rsidP="00982BD1" w:rsidRDefault="00D520BD" w14:paraId="458FF51B" w14:textId="77777777">
            <w:pPr>
              <w:tabs>
                <w:tab w:val="left" w:pos="1005"/>
              </w:tabs>
              <w:jc w:val="center"/>
              <w:rPr>
                <w:sz w:val="18"/>
                <w:szCs w:val="18"/>
              </w:rPr>
            </w:pPr>
          </w:p>
        </w:tc>
        <w:tc>
          <w:tcPr>
            <w:tcW w:w="864" w:type="pct"/>
          </w:tcPr>
          <w:p w:rsidRPr="007A6C05" w:rsidR="00D520BD" w:rsidP="00982BD1" w:rsidRDefault="00D520BD" w14:paraId="3EBAEF7D" w14:textId="77777777">
            <w:pPr>
              <w:tabs>
                <w:tab w:val="left" w:pos="1005"/>
              </w:tabs>
              <w:jc w:val="center"/>
              <w:rPr>
                <w:sz w:val="18"/>
                <w:szCs w:val="18"/>
              </w:rPr>
            </w:pPr>
          </w:p>
        </w:tc>
      </w:tr>
    </w:tbl>
    <w:p w:rsidRPr="00C84414" w:rsidR="00D520BD" w:rsidP="00D520BD" w:rsidRDefault="00D520BD" w14:paraId="3B2B024F" w14:textId="77777777">
      <w:pPr>
        <w:rPr>
          <w:sz w:val="22"/>
        </w:rPr>
      </w:pPr>
    </w:p>
    <w:p w:rsidRPr="005A5966" w:rsidR="00D520BD" w:rsidP="00D520BD" w:rsidRDefault="00D520BD" w14:paraId="1CF271D8" w14:textId="6E3A0326">
      <w:pPr>
        <w:pStyle w:val="Heading2"/>
      </w:pPr>
      <w:bookmarkStart w:name="_Toc460412625" w:id="272"/>
      <w:bookmarkStart w:name="_Toc72840044" w:id="273"/>
      <w:bookmarkStart w:name="_Toc105681517" w:id="274"/>
      <w:r>
        <w:t>5</w:t>
      </w:r>
      <w:r w:rsidRPr="005A5966">
        <w:t>.</w:t>
      </w:r>
      <w:r w:rsidR="00C82438">
        <w:t>4</w:t>
      </w:r>
      <w:r w:rsidRPr="005A5966">
        <w:tab/>
        <w:t>Results</w:t>
      </w:r>
      <w:r>
        <w:t xml:space="preserve"> for the Committee to Review Generic Requirements</w:t>
      </w:r>
      <w:bookmarkEnd w:id="272"/>
      <w:bookmarkEnd w:id="273"/>
      <w:bookmarkEnd w:id="274"/>
    </w:p>
    <w:p w:rsidRPr="005A5966" w:rsidR="00D520BD" w:rsidP="00D520BD" w:rsidRDefault="00D520BD" w14:paraId="1C061F3F" w14:textId="77777777">
      <w:pPr>
        <w:keepNext/>
        <w:autoSpaceDE/>
        <w:autoSpaceDN/>
        <w:adjustRightInd/>
        <w:rPr>
          <w:sz w:val="22"/>
          <w:szCs w:val="22"/>
        </w:rPr>
      </w:pPr>
    </w:p>
    <w:p w:rsidRPr="005A5966" w:rsidR="00D520BD" w:rsidP="00D520BD" w:rsidRDefault="00D520BD" w14:paraId="31E97B12" w14:textId="7CAFD37C">
      <w:pPr>
        <w:autoSpaceDE/>
        <w:autoSpaceDN/>
        <w:adjustRightInd/>
        <w:rPr>
          <w:sz w:val="22"/>
          <w:szCs w:val="22"/>
        </w:rPr>
      </w:pPr>
      <w:r w:rsidRPr="005A5966">
        <w:rPr>
          <w:sz w:val="22"/>
          <w:szCs w:val="22"/>
        </w:rPr>
        <w:t xml:space="preserve">This section addresses </w:t>
      </w:r>
      <w:r>
        <w:rPr>
          <w:sz w:val="22"/>
          <w:szCs w:val="22"/>
        </w:rPr>
        <w:t xml:space="preserve">the </w:t>
      </w:r>
      <w:r w:rsidRPr="005A5966">
        <w:rPr>
          <w:sz w:val="22"/>
          <w:szCs w:val="22"/>
        </w:rPr>
        <w:t xml:space="preserve">regulatory analysis information requirements for rulemaking actions or </w:t>
      </w:r>
      <w:r>
        <w:rPr>
          <w:sz w:val="22"/>
          <w:szCs w:val="22"/>
        </w:rPr>
        <w:t xml:space="preserve">NRC </w:t>
      </w:r>
      <w:r w:rsidRPr="005A5966">
        <w:rPr>
          <w:sz w:val="22"/>
          <w:szCs w:val="22"/>
        </w:rPr>
        <w:t xml:space="preserve">staff positions </w:t>
      </w:r>
      <w:r w:rsidR="00FD76C1">
        <w:rPr>
          <w:sz w:val="22"/>
          <w:szCs w:val="22"/>
        </w:rPr>
        <w:t xml:space="preserve">that are </w:t>
      </w:r>
      <w:r w:rsidRPr="005A5966">
        <w:rPr>
          <w:sz w:val="22"/>
          <w:szCs w:val="22"/>
        </w:rPr>
        <w:t xml:space="preserve">subject to </w:t>
      </w:r>
      <w:r>
        <w:rPr>
          <w:sz w:val="22"/>
          <w:szCs w:val="22"/>
        </w:rPr>
        <w:t xml:space="preserve">CRGR </w:t>
      </w:r>
      <w:r w:rsidRPr="005A5966">
        <w:rPr>
          <w:sz w:val="22"/>
          <w:szCs w:val="22"/>
        </w:rPr>
        <w:t xml:space="preserve">review.  </w:t>
      </w:r>
      <w:r w:rsidR="00323836">
        <w:rPr>
          <w:sz w:val="22"/>
          <w:szCs w:val="22"/>
        </w:rPr>
        <w:t>I</w:t>
      </w:r>
      <w:r w:rsidRPr="005A5966">
        <w:rPr>
          <w:sz w:val="22"/>
          <w:szCs w:val="22"/>
        </w:rPr>
        <w:t>nformation called for by the CRGR</w:t>
      </w:r>
      <w:r>
        <w:rPr>
          <w:sz w:val="22"/>
          <w:szCs w:val="22"/>
        </w:rPr>
        <w:t xml:space="preserve"> charter (</w:t>
      </w:r>
      <w:r w:rsidR="001841EA">
        <w:rPr>
          <w:sz w:val="22"/>
          <w:szCs w:val="22"/>
        </w:rPr>
        <w:t>NRC</w:t>
      </w:r>
      <w:r w:rsidR="00646A79">
        <w:rPr>
          <w:sz w:val="22"/>
          <w:szCs w:val="22"/>
        </w:rPr>
        <w:t>,</w:t>
      </w:r>
      <w:r w:rsidR="001841EA">
        <w:rPr>
          <w:sz w:val="22"/>
          <w:szCs w:val="22"/>
        </w:rPr>
        <w:t xml:space="preserve"> 2018a</w:t>
      </w:r>
      <w:r>
        <w:rPr>
          <w:sz w:val="22"/>
          <w:szCs w:val="22"/>
        </w:rPr>
        <w:t>)</w:t>
      </w:r>
      <w:r w:rsidRPr="005A5966">
        <w:rPr>
          <w:sz w:val="22"/>
          <w:szCs w:val="22"/>
        </w:rPr>
        <w:t xml:space="preserve"> is presented in this regulatory analysis or in the </w:t>
      </w:r>
      <w:r w:rsidRPr="005A5966">
        <w:rPr>
          <w:i/>
          <w:sz w:val="22"/>
          <w:szCs w:val="22"/>
        </w:rPr>
        <w:t>Federal Register</w:t>
      </w:r>
      <w:r w:rsidRPr="005A5966">
        <w:rPr>
          <w:sz w:val="22"/>
          <w:szCs w:val="22"/>
        </w:rPr>
        <w:t xml:space="preserve"> notice for the </w:t>
      </w:r>
      <w:r w:rsidR="00C82438">
        <w:rPr>
          <w:sz w:val="22"/>
          <w:szCs w:val="22"/>
        </w:rPr>
        <w:t>final</w:t>
      </w:r>
      <w:r w:rsidRPr="005A5966">
        <w:rPr>
          <w:sz w:val="22"/>
          <w:szCs w:val="22"/>
        </w:rPr>
        <w:t xml:space="preserve"> rule.  As a </w:t>
      </w:r>
      <w:r w:rsidRPr="00F6738E">
        <w:rPr>
          <w:sz w:val="22"/>
          <w:szCs w:val="22"/>
        </w:rPr>
        <w:t>reference aid</w:t>
      </w:r>
      <w:r w:rsidRPr="00F6738E" w:rsidR="00646A79">
        <w:rPr>
          <w:sz w:val="22"/>
          <w:szCs w:val="22"/>
        </w:rPr>
        <w:t>,</w:t>
      </w:r>
      <w:r w:rsidRPr="00F6738E">
        <w:rPr>
          <w:sz w:val="22"/>
          <w:szCs w:val="22"/>
        </w:rPr>
        <w:t xml:space="preserve"> </w:t>
      </w:r>
      <w:r w:rsidRPr="00F6738E" w:rsidR="00F6738E">
        <w:rPr>
          <w:sz w:val="22"/>
          <w:szCs w:val="22"/>
        </w:rPr>
        <w:fldChar w:fldCharType="begin"/>
      </w:r>
      <w:r w:rsidRPr="00F6738E" w:rsidR="00F6738E">
        <w:rPr>
          <w:sz w:val="22"/>
          <w:szCs w:val="22"/>
        </w:rPr>
        <w:instrText xml:space="preserve"> REF _Ref72166458 \h  \* MERGEFORMAT </w:instrText>
      </w:r>
      <w:r w:rsidRPr="00F6738E" w:rsidR="00F6738E">
        <w:rPr>
          <w:sz w:val="22"/>
          <w:szCs w:val="22"/>
        </w:rPr>
      </w:r>
      <w:r w:rsidRPr="00F6738E" w:rsidR="00F6738E">
        <w:rPr>
          <w:sz w:val="22"/>
          <w:szCs w:val="22"/>
        </w:rPr>
        <w:fldChar w:fldCharType="separate"/>
      </w:r>
      <w:r w:rsidRPr="006155B8" w:rsidR="00A6777F">
        <w:rPr>
          <w:sz w:val="22"/>
          <w:szCs w:val="22"/>
        </w:rPr>
        <w:t>Table 5-20</w:t>
      </w:r>
      <w:r w:rsidRPr="00F6738E" w:rsidR="00F6738E">
        <w:rPr>
          <w:sz w:val="22"/>
          <w:szCs w:val="22"/>
        </w:rPr>
        <w:fldChar w:fldCharType="end"/>
      </w:r>
      <w:r w:rsidRPr="005A5966">
        <w:rPr>
          <w:sz w:val="22"/>
          <w:szCs w:val="22"/>
        </w:rPr>
        <w:t xml:space="preserve"> provides a cross-reference between the relevant information and its location in this document or the </w:t>
      </w:r>
      <w:r w:rsidRPr="005A5966">
        <w:rPr>
          <w:i/>
          <w:sz w:val="22"/>
          <w:szCs w:val="22"/>
        </w:rPr>
        <w:t>Federal Register</w:t>
      </w:r>
      <w:r w:rsidRPr="005A5966">
        <w:rPr>
          <w:sz w:val="22"/>
          <w:szCs w:val="22"/>
        </w:rPr>
        <w:t xml:space="preserve"> notice.</w:t>
      </w:r>
    </w:p>
    <w:p w:rsidRPr="00C84414" w:rsidR="00D520BD" w:rsidP="00231437" w:rsidRDefault="00D520BD" w14:paraId="65232A7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Cs/>
          <w:sz w:val="22"/>
          <w:szCs w:val="22"/>
        </w:rPr>
      </w:pPr>
    </w:p>
    <w:p w:rsidRPr="00B858DB" w:rsidR="00B858DB" w:rsidP="00B858DB" w:rsidRDefault="00B858DB" w14:paraId="118C9729" w14:textId="619E63EA">
      <w:pPr>
        <w:pStyle w:val="Caption"/>
        <w:jc w:val="center"/>
        <w:rPr>
          <w:b/>
          <w:bCs w:val="0"/>
        </w:rPr>
      </w:pPr>
      <w:bookmarkStart w:name="_Ref72166458" w:id="275"/>
      <w:bookmarkStart w:name="_Toc72490582" w:id="276"/>
      <w:bookmarkStart w:name="_Toc105681579" w:id="277"/>
      <w:r w:rsidRPr="00B858DB">
        <w:rPr>
          <w:b/>
          <w:bCs w:val="0"/>
        </w:rPr>
        <w:t xml:space="preserve">Table </w:t>
      </w:r>
      <w:r>
        <w:rPr>
          <w:b/>
          <w:bCs w:val="0"/>
        </w:rPr>
        <w:t>5-</w:t>
      </w:r>
      <w:r w:rsidRPr="00B858DB">
        <w:rPr>
          <w:b/>
          <w:bCs w:val="0"/>
        </w:rPr>
        <w:fldChar w:fldCharType="begin"/>
      </w:r>
      <w:r w:rsidRPr="00B858DB">
        <w:rPr>
          <w:b/>
          <w:bCs w:val="0"/>
        </w:rPr>
        <w:instrText xml:space="preserve"> SEQ Table \* ARABIC </w:instrText>
      </w:r>
      <w:r w:rsidRPr="00B858DB">
        <w:rPr>
          <w:b/>
          <w:bCs w:val="0"/>
        </w:rPr>
        <w:fldChar w:fldCharType="separate"/>
      </w:r>
      <w:r w:rsidR="00A6777F">
        <w:rPr>
          <w:b/>
          <w:bCs w:val="0"/>
          <w:noProof/>
        </w:rPr>
        <w:t>20</w:t>
      </w:r>
      <w:r w:rsidRPr="00B858DB">
        <w:rPr>
          <w:b/>
          <w:bCs w:val="0"/>
        </w:rPr>
        <w:fldChar w:fldCharType="end"/>
      </w:r>
      <w:bookmarkEnd w:id="275"/>
      <w:r w:rsidRPr="00B858DB">
        <w:rPr>
          <w:b/>
          <w:bCs w:val="0"/>
        </w:rPr>
        <w:t xml:space="preserve">  </w:t>
      </w:r>
      <w:r>
        <w:rPr>
          <w:b/>
          <w:bCs w:val="0"/>
        </w:rPr>
        <w:t>Specific CRGR Regulatory Analysis Information Requirements</w:t>
      </w:r>
      <w:bookmarkEnd w:id="276"/>
      <w:bookmarkEnd w:id="277"/>
    </w:p>
    <w:tbl>
      <w:tblPr>
        <w:tblW w:w="5000" w:type="pct"/>
        <w:tblLayout w:type="fixed"/>
        <w:tblCellMar>
          <w:left w:w="100" w:type="dxa"/>
          <w:right w:w="100" w:type="dxa"/>
        </w:tblCellMar>
        <w:tblLook w:val="0000" w:firstRow="0" w:lastRow="0" w:firstColumn="0" w:lastColumn="0" w:noHBand="0" w:noVBand="0"/>
      </w:tblPr>
      <w:tblGrid>
        <w:gridCol w:w="1867"/>
        <w:gridCol w:w="5056"/>
        <w:gridCol w:w="2427"/>
      </w:tblGrid>
      <w:tr w:rsidRPr="005A5966" w:rsidR="00D520BD" w:rsidTr="00E97F99" w14:paraId="299601D0" w14:textId="77777777">
        <w:trPr>
          <w:cantSplit/>
          <w:trHeight w:val="773"/>
          <w:tblHeader/>
        </w:trPr>
        <w:tc>
          <w:tcPr>
            <w:tcW w:w="998" w:type="pct"/>
            <w:tcBorders>
              <w:top w:val="single" w:color="auto" w:sz="4" w:space="0"/>
              <w:left w:val="single" w:color="auto" w:sz="4" w:space="0"/>
              <w:bottom w:val="single" w:color="auto" w:sz="4" w:space="0"/>
              <w:right w:val="nil"/>
            </w:tcBorders>
            <w:vAlign w:val="center"/>
          </w:tcPr>
          <w:p w:rsidRPr="005A5966" w:rsidR="00D520BD" w:rsidP="0016042E" w:rsidRDefault="00D520BD" w14:paraId="69D55EAB" w14:textId="640EFBEE">
            <w:pPr>
              <w:numPr>
                <w:ilvl w:val="12"/>
                <w:numId w:val="0"/>
              </w:numPr>
              <w:tabs>
                <w:tab w:val="left" w:pos="0"/>
                <w:tab w:val="left" w:pos="720"/>
              </w:tabs>
              <w:jc w:val="center"/>
              <w:rPr>
                <w:rFonts w:cs="Arial"/>
              </w:rPr>
            </w:pPr>
            <w:r w:rsidRPr="005A5966">
              <w:rPr>
                <w:b/>
                <w:bCs/>
              </w:rPr>
              <w:t>CRGR</w:t>
            </w:r>
            <w:r w:rsidR="0016042E">
              <w:rPr>
                <w:b/>
                <w:bCs/>
              </w:rPr>
              <w:t xml:space="preserve"> </w:t>
            </w:r>
            <w:r w:rsidR="00A271A7">
              <w:rPr>
                <w:b/>
                <w:bCs/>
              </w:rPr>
              <w:t xml:space="preserve">Procedures </w:t>
            </w:r>
            <w:r>
              <w:rPr>
                <w:b/>
                <w:bCs/>
              </w:rPr>
              <w:t>(</w:t>
            </w:r>
            <w:r w:rsidR="0024617D">
              <w:rPr>
                <w:b/>
                <w:bCs/>
              </w:rPr>
              <w:t>NRC</w:t>
            </w:r>
            <w:r w:rsidR="00646A79">
              <w:rPr>
                <w:b/>
                <w:bCs/>
              </w:rPr>
              <w:t>,</w:t>
            </w:r>
            <w:r w:rsidR="0016042E">
              <w:rPr>
                <w:b/>
                <w:bCs/>
              </w:rPr>
              <w:t> </w:t>
            </w:r>
            <w:r w:rsidR="0024617D">
              <w:rPr>
                <w:b/>
                <w:bCs/>
              </w:rPr>
              <w:t>2018</w:t>
            </w:r>
            <w:r w:rsidR="00F322E9">
              <w:rPr>
                <w:b/>
                <w:bCs/>
              </w:rPr>
              <w:t>b</w:t>
            </w:r>
            <w:r>
              <w:rPr>
                <w:b/>
                <w:bCs/>
              </w:rPr>
              <w:t>)</w:t>
            </w:r>
          </w:p>
        </w:tc>
        <w:tc>
          <w:tcPr>
            <w:tcW w:w="2704" w:type="pct"/>
            <w:tcBorders>
              <w:top w:val="single" w:color="auto" w:sz="4" w:space="0"/>
              <w:left w:val="nil"/>
              <w:bottom w:val="single" w:color="auto" w:sz="4" w:space="0"/>
              <w:right w:val="nil"/>
            </w:tcBorders>
            <w:vAlign w:val="center"/>
          </w:tcPr>
          <w:p w:rsidRPr="005A5966" w:rsidR="00D520BD" w:rsidP="006F21ED" w:rsidRDefault="00D520BD" w14:paraId="399DAE7F" w14:textId="4D935CD4">
            <w:pPr>
              <w:numPr>
                <w:ilvl w:val="12"/>
                <w:numId w:val="0"/>
              </w:numPr>
              <w:tabs>
                <w:tab w:val="left" w:pos="0"/>
                <w:tab w:val="left" w:pos="720"/>
                <w:tab w:val="left" w:pos="1440"/>
                <w:tab w:val="left" w:pos="2160"/>
                <w:tab w:val="left" w:pos="2880"/>
                <w:tab w:val="left" w:pos="3600"/>
                <w:tab w:val="left" w:pos="4320"/>
                <w:tab w:val="left" w:pos="5040"/>
              </w:tabs>
              <w:spacing w:after="120" w:afterLines="50"/>
              <w:jc w:val="center"/>
              <w:rPr>
                <w:rFonts w:cs="Arial"/>
              </w:rPr>
            </w:pPr>
            <w:r w:rsidRPr="005A5966">
              <w:rPr>
                <w:b/>
                <w:bCs/>
              </w:rPr>
              <w:t xml:space="preserve">Information Item </w:t>
            </w:r>
            <w:r w:rsidR="00725D4D">
              <w:rPr>
                <w:b/>
                <w:bCs/>
              </w:rPr>
              <w:t>T</w:t>
            </w:r>
            <w:r w:rsidRPr="005A5966">
              <w:rPr>
                <w:b/>
                <w:bCs/>
              </w:rPr>
              <w:t xml:space="preserve">o </w:t>
            </w:r>
            <w:r w:rsidR="00725D4D">
              <w:rPr>
                <w:b/>
                <w:bCs/>
              </w:rPr>
              <w:t>B</w:t>
            </w:r>
            <w:r w:rsidRPr="005A5966">
              <w:rPr>
                <w:b/>
                <w:bCs/>
              </w:rPr>
              <w:t>e Included in a Regulatory Analysis Prepared for</w:t>
            </w:r>
            <w:r>
              <w:rPr>
                <w:b/>
                <w:bCs/>
              </w:rPr>
              <w:t xml:space="preserve"> </w:t>
            </w:r>
            <w:r w:rsidRPr="005A5966">
              <w:rPr>
                <w:b/>
                <w:bCs/>
              </w:rPr>
              <w:t>CRGR Review</w:t>
            </w:r>
          </w:p>
        </w:tc>
        <w:tc>
          <w:tcPr>
            <w:tcW w:w="1298" w:type="pct"/>
            <w:tcBorders>
              <w:top w:val="single" w:color="auto" w:sz="4" w:space="0"/>
              <w:left w:val="nil"/>
              <w:bottom w:val="single" w:color="auto" w:sz="4" w:space="0"/>
              <w:right w:val="single" w:color="auto" w:sz="4" w:space="0"/>
            </w:tcBorders>
            <w:vAlign w:val="center"/>
          </w:tcPr>
          <w:p w:rsidRPr="005A5966" w:rsidR="00D520BD" w:rsidP="006F21ED" w:rsidRDefault="00D520BD" w14:paraId="713C18F2" w14:textId="77777777">
            <w:pPr>
              <w:numPr>
                <w:ilvl w:val="12"/>
                <w:numId w:val="0"/>
              </w:numPr>
              <w:tabs>
                <w:tab w:val="left" w:pos="0"/>
                <w:tab w:val="left" w:pos="720"/>
                <w:tab w:val="left" w:pos="1440"/>
                <w:tab w:val="left" w:pos="2160"/>
                <w:tab w:val="left" w:pos="2880"/>
              </w:tabs>
              <w:spacing w:after="120" w:afterLines="50"/>
              <w:jc w:val="center"/>
              <w:rPr>
                <w:rFonts w:cs="Arial"/>
              </w:rPr>
            </w:pPr>
            <w:r w:rsidRPr="005A5966">
              <w:rPr>
                <w:b/>
                <w:bCs/>
              </w:rPr>
              <w:t xml:space="preserve">Where Item </w:t>
            </w:r>
            <w:r>
              <w:rPr>
                <w:b/>
                <w:bCs/>
              </w:rPr>
              <w:t>I</w:t>
            </w:r>
            <w:r w:rsidRPr="005A5966">
              <w:rPr>
                <w:b/>
                <w:bCs/>
              </w:rPr>
              <w:t>s Discussed</w:t>
            </w:r>
          </w:p>
        </w:tc>
      </w:tr>
      <w:tr w:rsidRPr="005A5966" w:rsidR="00D520BD" w:rsidTr="00982BD1" w14:paraId="4A09352D" w14:textId="77777777">
        <w:trPr>
          <w:cantSplit/>
        </w:trPr>
        <w:tc>
          <w:tcPr>
            <w:tcW w:w="998" w:type="pct"/>
            <w:tcBorders>
              <w:top w:val="single" w:color="auto" w:sz="4" w:space="0"/>
              <w:left w:val="single" w:color="auto" w:sz="4" w:space="0"/>
              <w:bottom w:val="nil"/>
              <w:right w:val="nil"/>
            </w:tcBorders>
          </w:tcPr>
          <w:p w:rsidRPr="005A5966" w:rsidR="00D520BD" w:rsidP="00982BD1" w:rsidRDefault="00D520BD" w14:paraId="7AD052D0" w14:textId="06544CB0">
            <w:pPr>
              <w:numPr>
                <w:ilvl w:val="12"/>
                <w:numId w:val="0"/>
              </w:numPr>
              <w:tabs>
                <w:tab w:val="left" w:pos="0"/>
                <w:tab w:val="left" w:pos="720"/>
              </w:tabs>
              <w:spacing w:before="117" w:after="52"/>
              <w:rPr>
                <w:rFonts w:cs="Arial"/>
              </w:rPr>
            </w:pPr>
            <w:r w:rsidRPr="005A5966">
              <w:t xml:space="preserve">Appendix </w:t>
            </w:r>
            <w:r w:rsidR="00035E64">
              <w:t>B</w:t>
            </w:r>
            <w:r w:rsidR="00646A79">
              <w:t>,</w:t>
            </w:r>
            <w:r w:rsidRPr="005A5966">
              <w:t xml:space="preserve"> (i)</w:t>
            </w:r>
          </w:p>
        </w:tc>
        <w:tc>
          <w:tcPr>
            <w:tcW w:w="2704" w:type="pct"/>
            <w:tcBorders>
              <w:top w:val="single" w:color="auto" w:sz="4" w:space="0"/>
              <w:left w:val="nil"/>
              <w:bottom w:val="nil"/>
              <w:right w:val="nil"/>
            </w:tcBorders>
          </w:tcPr>
          <w:p w:rsidRPr="005A5966" w:rsidR="00D520BD" w:rsidP="00982BD1" w:rsidRDefault="00D520BD" w14:paraId="2505F5FE"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rPr>
                <w:rFonts w:cs="Arial"/>
              </w:rPr>
            </w:pPr>
            <w:r w:rsidRPr="005A5966">
              <w:t>Proposed generic requirement or staff position as it is proposed to be sent out to licensees</w:t>
            </w:r>
            <w:r>
              <w:t>.</w:t>
            </w:r>
          </w:p>
        </w:tc>
        <w:tc>
          <w:tcPr>
            <w:tcW w:w="1298" w:type="pct"/>
            <w:tcBorders>
              <w:top w:val="single" w:color="auto" w:sz="4" w:space="0"/>
              <w:left w:val="nil"/>
              <w:bottom w:val="nil"/>
              <w:right w:val="single" w:color="auto" w:sz="4" w:space="0"/>
            </w:tcBorders>
          </w:tcPr>
          <w:p w:rsidRPr="005A5966" w:rsidR="00D520BD" w:rsidP="00982BD1" w:rsidRDefault="00C82438" w14:paraId="70BAD1A2" w14:textId="7FFF5F2A">
            <w:pPr>
              <w:numPr>
                <w:ilvl w:val="12"/>
                <w:numId w:val="0"/>
              </w:numPr>
              <w:tabs>
                <w:tab w:val="left" w:pos="0"/>
                <w:tab w:val="left" w:pos="720"/>
                <w:tab w:val="left" w:pos="1440"/>
                <w:tab w:val="left" w:pos="2160"/>
                <w:tab w:val="left" w:pos="2880"/>
              </w:tabs>
              <w:spacing w:before="117" w:after="52"/>
              <w:rPr>
                <w:rFonts w:cs="Arial"/>
              </w:rPr>
            </w:pPr>
            <w:r>
              <w:t>R</w:t>
            </w:r>
            <w:r w:rsidRPr="005A5966" w:rsidR="00D520BD">
              <w:t xml:space="preserve">ule text in </w:t>
            </w:r>
            <w:r w:rsidRPr="005A5966" w:rsidR="00D520BD">
              <w:rPr>
                <w:i/>
              </w:rPr>
              <w:t xml:space="preserve">Federal Register </w:t>
            </w:r>
            <w:r w:rsidRPr="005A5966" w:rsidR="00D520BD">
              <w:t>notice</w:t>
            </w:r>
            <w:r w:rsidR="00FD12B1">
              <w:t xml:space="preserve"> for the final rule</w:t>
            </w:r>
            <w:r w:rsidRPr="005A5966" w:rsidR="00D520BD">
              <w:t>.</w:t>
            </w:r>
          </w:p>
        </w:tc>
      </w:tr>
      <w:tr w:rsidRPr="005A5966" w:rsidR="00D520BD" w:rsidTr="00982BD1" w14:paraId="088EAF12" w14:textId="77777777">
        <w:trPr>
          <w:cantSplit/>
        </w:trPr>
        <w:tc>
          <w:tcPr>
            <w:tcW w:w="998" w:type="pct"/>
            <w:tcBorders>
              <w:top w:val="nil"/>
              <w:left w:val="single" w:color="auto" w:sz="4" w:space="0"/>
              <w:bottom w:val="nil"/>
              <w:right w:val="nil"/>
            </w:tcBorders>
          </w:tcPr>
          <w:p w:rsidRPr="005A5966" w:rsidR="00D520BD" w:rsidP="00982BD1" w:rsidRDefault="00D520BD" w14:paraId="5E49ECF7" w14:textId="1A9A7E58">
            <w:pPr>
              <w:numPr>
                <w:ilvl w:val="12"/>
                <w:numId w:val="0"/>
              </w:numPr>
              <w:tabs>
                <w:tab w:val="left" w:pos="0"/>
                <w:tab w:val="left" w:pos="720"/>
              </w:tabs>
              <w:spacing w:before="117" w:after="52"/>
              <w:rPr>
                <w:rFonts w:cs="Arial"/>
              </w:rPr>
            </w:pPr>
            <w:r w:rsidRPr="005A5966">
              <w:t xml:space="preserve">Appendix </w:t>
            </w:r>
            <w:r w:rsidR="00F81967">
              <w:t>B</w:t>
            </w:r>
            <w:r w:rsidR="00646A79">
              <w:t>,</w:t>
            </w:r>
            <w:r w:rsidRPr="005A5966">
              <w:t xml:space="preserve"> (ii)</w:t>
            </w:r>
          </w:p>
        </w:tc>
        <w:tc>
          <w:tcPr>
            <w:tcW w:w="2704" w:type="pct"/>
            <w:tcBorders>
              <w:top w:val="nil"/>
              <w:left w:val="nil"/>
              <w:bottom w:val="nil"/>
              <w:right w:val="nil"/>
            </w:tcBorders>
          </w:tcPr>
          <w:p w:rsidRPr="005A5966" w:rsidR="00D520BD" w:rsidP="00982BD1" w:rsidRDefault="00D520BD" w14:paraId="5514B5F7"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pPr>
            <w:r w:rsidRPr="005A5966">
              <w:t>Draft papers or other documents supporting the requirements or staff positions.</w:t>
            </w:r>
          </w:p>
        </w:tc>
        <w:tc>
          <w:tcPr>
            <w:tcW w:w="1298" w:type="pct"/>
            <w:tcBorders>
              <w:top w:val="nil"/>
              <w:left w:val="nil"/>
              <w:bottom w:val="nil"/>
              <w:right w:val="single" w:color="auto" w:sz="4" w:space="0"/>
            </w:tcBorders>
          </w:tcPr>
          <w:p w:rsidRPr="005A5966" w:rsidR="00D520BD" w:rsidP="00982BD1" w:rsidRDefault="00D520BD" w14:paraId="1695B6B3" w14:textId="7D6DC2A0">
            <w:pPr>
              <w:numPr>
                <w:ilvl w:val="12"/>
                <w:numId w:val="0"/>
              </w:numPr>
              <w:tabs>
                <w:tab w:val="left" w:pos="0"/>
                <w:tab w:val="left" w:pos="720"/>
                <w:tab w:val="left" w:pos="1440"/>
                <w:tab w:val="left" w:pos="2160"/>
                <w:tab w:val="left" w:pos="2880"/>
              </w:tabs>
              <w:spacing w:before="117" w:after="52"/>
              <w:rPr>
                <w:rFonts w:cs="Arial"/>
              </w:rPr>
            </w:pPr>
            <w:r w:rsidRPr="005A5966">
              <w:rPr>
                <w:i/>
              </w:rPr>
              <w:t>Federal Register</w:t>
            </w:r>
            <w:r w:rsidRPr="005A5966">
              <w:t xml:space="preserve"> notice for the </w:t>
            </w:r>
            <w:r w:rsidR="00FD12B1">
              <w:t xml:space="preserve">final </w:t>
            </w:r>
            <w:r w:rsidRPr="005A5966">
              <w:t>rule.</w:t>
            </w:r>
          </w:p>
        </w:tc>
      </w:tr>
      <w:tr w:rsidRPr="005A5966" w:rsidR="00D520BD" w:rsidTr="00982BD1" w14:paraId="102F220C" w14:textId="77777777">
        <w:trPr>
          <w:cantSplit/>
          <w:trHeight w:val="1638"/>
        </w:trPr>
        <w:tc>
          <w:tcPr>
            <w:tcW w:w="998" w:type="pct"/>
            <w:tcBorders>
              <w:top w:val="nil"/>
              <w:left w:val="single" w:color="auto" w:sz="4" w:space="0"/>
              <w:bottom w:val="nil"/>
              <w:right w:val="nil"/>
            </w:tcBorders>
          </w:tcPr>
          <w:p w:rsidRPr="005A5966" w:rsidR="00D520BD" w:rsidP="00982BD1" w:rsidRDefault="00D520BD" w14:paraId="64DF084C" w14:textId="434A60E4">
            <w:pPr>
              <w:numPr>
                <w:ilvl w:val="12"/>
                <w:numId w:val="0"/>
              </w:numPr>
              <w:tabs>
                <w:tab w:val="left" w:pos="0"/>
                <w:tab w:val="left" w:pos="720"/>
              </w:tabs>
              <w:spacing w:before="117" w:after="52"/>
              <w:rPr>
                <w:rFonts w:cs="Arial"/>
              </w:rPr>
            </w:pPr>
            <w:r w:rsidRPr="005A5966">
              <w:t xml:space="preserve">Appendix </w:t>
            </w:r>
            <w:r w:rsidR="00F81967">
              <w:t>B</w:t>
            </w:r>
            <w:r w:rsidR="00646A79">
              <w:t>,</w:t>
            </w:r>
            <w:r w:rsidRPr="005A5966">
              <w:t xml:space="preserve"> (iii)</w:t>
            </w:r>
          </w:p>
        </w:tc>
        <w:tc>
          <w:tcPr>
            <w:tcW w:w="2704" w:type="pct"/>
            <w:tcBorders>
              <w:top w:val="nil"/>
              <w:left w:val="nil"/>
              <w:bottom w:val="nil"/>
              <w:right w:val="nil"/>
            </w:tcBorders>
          </w:tcPr>
          <w:p w:rsidRPr="005A5966" w:rsidR="00D520BD" w:rsidP="00982BD1" w:rsidRDefault="00D520BD" w14:paraId="5B4E45BE" w14:textId="3F45DAF2">
            <w:pPr>
              <w:numPr>
                <w:ilvl w:val="12"/>
                <w:numId w:val="0"/>
              </w:numPr>
              <w:tabs>
                <w:tab w:val="left" w:pos="0"/>
                <w:tab w:val="left" w:pos="720"/>
                <w:tab w:val="left" w:pos="1440"/>
                <w:tab w:val="left" w:pos="2160"/>
                <w:tab w:val="left" w:pos="2880"/>
                <w:tab w:val="left" w:pos="3600"/>
                <w:tab w:val="left" w:pos="4320"/>
                <w:tab w:val="left" w:pos="5040"/>
              </w:tabs>
              <w:spacing w:before="117" w:after="52"/>
              <w:rPr>
                <w:rFonts w:cs="Arial"/>
              </w:rPr>
            </w:pPr>
            <w:r w:rsidRPr="005A5966">
              <w:t>The sponsoring office's position on each proposed requirement or staff position as to whether the proposal would modify requirements or staff positions</w:t>
            </w:r>
            <w:r w:rsidR="00646A79">
              <w:t>,</w:t>
            </w:r>
            <w:r w:rsidRPr="005A5966">
              <w:t xml:space="preserve"> implement existing requirements or staff positions</w:t>
            </w:r>
            <w:r w:rsidR="00646A79">
              <w:t>,</w:t>
            </w:r>
            <w:r w:rsidRPr="005A5966">
              <w:t xml:space="preserve"> or relax or reduce existing requirements or staff positions.</w:t>
            </w:r>
          </w:p>
        </w:tc>
        <w:tc>
          <w:tcPr>
            <w:tcW w:w="1298" w:type="pct"/>
            <w:tcBorders>
              <w:top w:val="nil"/>
              <w:left w:val="nil"/>
              <w:bottom w:val="nil"/>
              <w:right w:val="single" w:color="auto" w:sz="4" w:space="0"/>
            </w:tcBorders>
          </w:tcPr>
          <w:p w:rsidRPr="00123D75" w:rsidR="00D520BD" w:rsidP="00982BD1" w:rsidRDefault="00D520BD" w14:paraId="64D666B5" w14:textId="293C71C4">
            <w:pPr>
              <w:numPr>
                <w:ilvl w:val="12"/>
                <w:numId w:val="0"/>
              </w:numPr>
              <w:tabs>
                <w:tab w:val="left" w:pos="0"/>
                <w:tab w:val="left" w:pos="720"/>
                <w:tab w:val="left" w:pos="1440"/>
                <w:tab w:val="left" w:pos="2160"/>
                <w:tab w:val="left" w:pos="2880"/>
              </w:tabs>
              <w:spacing w:before="117" w:after="52"/>
            </w:pPr>
            <w:r w:rsidRPr="005A5966">
              <w:t>Regulatory Analysis</w:t>
            </w:r>
            <w:r w:rsidR="00646A79">
              <w:t>,</w:t>
            </w:r>
            <w:r w:rsidRPr="005A5966">
              <w:t xml:space="preserve"> Section </w:t>
            </w:r>
            <w:r>
              <w:t>5</w:t>
            </w:r>
            <w:r w:rsidRPr="005A5966">
              <w:t>.1.</w:t>
            </w:r>
          </w:p>
        </w:tc>
      </w:tr>
      <w:tr w:rsidRPr="005A5966" w:rsidR="00D520BD" w:rsidTr="00D7766D" w14:paraId="659662DD" w14:textId="77777777">
        <w:trPr>
          <w:cantSplit/>
        </w:trPr>
        <w:tc>
          <w:tcPr>
            <w:tcW w:w="998" w:type="pct"/>
            <w:tcBorders>
              <w:top w:val="nil"/>
              <w:left w:val="single" w:color="auto" w:sz="4" w:space="0"/>
              <w:right w:val="nil"/>
            </w:tcBorders>
          </w:tcPr>
          <w:p w:rsidRPr="005A5966" w:rsidR="00D520BD" w:rsidP="00982BD1" w:rsidRDefault="00D520BD" w14:paraId="7B39D63C" w14:textId="54B93E8D">
            <w:pPr>
              <w:numPr>
                <w:ilvl w:val="12"/>
                <w:numId w:val="0"/>
              </w:numPr>
              <w:tabs>
                <w:tab w:val="left" w:pos="0"/>
                <w:tab w:val="left" w:pos="720"/>
              </w:tabs>
              <w:spacing w:before="117" w:after="52"/>
              <w:rPr>
                <w:rFonts w:cs="Arial"/>
              </w:rPr>
            </w:pPr>
            <w:r w:rsidRPr="005A5966">
              <w:t xml:space="preserve">Appendix </w:t>
            </w:r>
            <w:r w:rsidR="00F81967">
              <w:t>B</w:t>
            </w:r>
            <w:r w:rsidR="00646A79">
              <w:t>,</w:t>
            </w:r>
            <w:r w:rsidRPr="005A5966">
              <w:t xml:space="preserve"> (iv)</w:t>
            </w:r>
          </w:p>
        </w:tc>
        <w:tc>
          <w:tcPr>
            <w:tcW w:w="2704" w:type="pct"/>
            <w:tcBorders>
              <w:top w:val="nil"/>
              <w:left w:val="nil"/>
              <w:right w:val="nil"/>
            </w:tcBorders>
          </w:tcPr>
          <w:p w:rsidRPr="005A5966" w:rsidR="00D520BD" w:rsidP="00982BD1" w:rsidRDefault="00D520BD" w14:paraId="74DCBE9E" w14:textId="77777777">
            <w:pPr>
              <w:numPr>
                <w:ilvl w:val="12"/>
                <w:numId w:val="0"/>
              </w:numPr>
              <w:tabs>
                <w:tab w:val="left" w:pos="0"/>
                <w:tab w:val="left" w:pos="720"/>
                <w:tab w:val="left" w:pos="1440"/>
                <w:tab w:val="left" w:pos="2160"/>
                <w:tab w:val="left" w:pos="2880"/>
                <w:tab w:val="left" w:pos="3600"/>
                <w:tab w:val="left" w:pos="4320"/>
                <w:tab w:val="left" w:pos="5040"/>
              </w:tabs>
              <w:spacing w:before="117" w:after="52"/>
              <w:rPr>
                <w:rFonts w:cs="Arial"/>
              </w:rPr>
            </w:pPr>
            <w:r w:rsidRPr="005A5966">
              <w:t>The proposed method of implementation.</w:t>
            </w:r>
          </w:p>
        </w:tc>
        <w:tc>
          <w:tcPr>
            <w:tcW w:w="1298" w:type="pct"/>
            <w:tcBorders>
              <w:top w:val="nil"/>
              <w:left w:val="nil"/>
              <w:right w:val="single" w:color="auto" w:sz="4" w:space="0"/>
            </w:tcBorders>
          </w:tcPr>
          <w:p w:rsidRPr="005A5966" w:rsidR="00D520BD" w:rsidP="00982BD1" w:rsidRDefault="00D520BD" w14:paraId="5389B94B" w14:textId="6C3E31BD">
            <w:pPr>
              <w:numPr>
                <w:ilvl w:val="12"/>
                <w:numId w:val="0"/>
              </w:numPr>
              <w:tabs>
                <w:tab w:val="left" w:pos="0"/>
                <w:tab w:val="left" w:pos="720"/>
                <w:tab w:val="left" w:pos="1440"/>
                <w:tab w:val="left" w:pos="2160"/>
                <w:tab w:val="left" w:pos="2880"/>
              </w:tabs>
              <w:spacing w:before="117" w:after="52"/>
              <w:rPr>
                <w:rFonts w:cs="Arial"/>
              </w:rPr>
            </w:pPr>
            <w:r w:rsidRPr="005A5966">
              <w:t>Regulatory Analysis</w:t>
            </w:r>
            <w:r w:rsidR="00646A79">
              <w:t>,</w:t>
            </w:r>
            <w:r w:rsidRPr="005A5966">
              <w:t xml:space="preserve"> Section </w:t>
            </w:r>
            <w:r>
              <w:t>7</w:t>
            </w:r>
            <w:r w:rsidRPr="005A5966">
              <w:t>.</w:t>
            </w:r>
          </w:p>
        </w:tc>
      </w:tr>
      <w:tr w:rsidRPr="005A5966" w:rsidR="00D520BD" w:rsidTr="00C43061" w14:paraId="056506D6" w14:textId="77777777">
        <w:trPr>
          <w:cantSplit/>
        </w:trPr>
        <w:tc>
          <w:tcPr>
            <w:tcW w:w="998" w:type="pct"/>
            <w:tcBorders>
              <w:left w:val="single" w:color="auto" w:sz="4" w:space="0"/>
            </w:tcBorders>
          </w:tcPr>
          <w:p w:rsidRPr="005A5966" w:rsidR="00D520BD" w:rsidP="00982BD1" w:rsidRDefault="00D520BD" w14:paraId="555B9259" w14:textId="01547A17">
            <w:pPr>
              <w:numPr>
                <w:ilvl w:val="12"/>
                <w:numId w:val="0"/>
              </w:numPr>
              <w:tabs>
                <w:tab w:val="left" w:pos="0"/>
                <w:tab w:val="left" w:pos="720"/>
              </w:tabs>
              <w:spacing w:before="117" w:after="52"/>
              <w:rPr>
                <w:rFonts w:cs="Arial"/>
              </w:rPr>
            </w:pPr>
            <w:r w:rsidRPr="005A5966">
              <w:t xml:space="preserve">Appendix </w:t>
            </w:r>
            <w:r w:rsidR="002D5AF4">
              <w:t>B</w:t>
            </w:r>
            <w:r w:rsidR="00646A79">
              <w:t>,</w:t>
            </w:r>
            <w:r w:rsidRPr="005A5966">
              <w:t xml:space="preserve"> (vi)</w:t>
            </w:r>
          </w:p>
        </w:tc>
        <w:tc>
          <w:tcPr>
            <w:tcW w:w="2704" w:type="pct"/>
            <w:tcBorders>
              <w:left w:val="nil"/>
            </w:tcBorders>
          </w:tcPr>
          <w:p w:rsidRPr="005A5966" w:rsidR="00D520BD" w:rsidP="00982BD1" w:rsidRDefault="00D520BD" w14:paraId="350A46E9" w14:textId="56B1812F">
            <w:pPr>
              <w:numPr>
                <w:ilvl w:val="12"/>
                <w:numId w:val="0"/>
              </w:numPr>
              <w:tabs>
                <w:tab w:val="left" w:pos="0"/>
                <w:tab w:val="left" w:pos="720"/>
                <w:tab w:val="left" w:pos="1440"/>
                <w:tab w:val="left" w:pos="2160"/>
                <w:tab w:val="left" w:pos="2880"/>
                <w:tab w:val="left" w:pos="3600"/>
                <w:tab w:val="left" w:pos="4320"/>
                <w:tab w:val="left" w:pos="5040"/>
              </w:tabs>
              <w:spacing w:before="117" w:after="52"/>
              <w:rPr>
                <w:rFonts w:cs="Arial"/>
              </w:rPr>
            </w:pPr>
            <w:r w:rsidRPr="005A5966">
              <w:t>Identification of the category of power reactors</w:t>
            </w:r>
            <w:r w:rsidR="00646A79">
              <w:t>,</w:t>
            </w:r>
            <w:r w:rsidRPr="005A5966">
              <w:t xml:space="preserve"> new reactors</w:t>
            </w:r>
            <w:r w:rsidR="00646A79">
              <w:t>,</w:t>
            </w:r>
            <w:r w:rsidRPr="005A5966">
              <w:t xml:space="preserve"> or nuclear materials facilities or activities to which the proposed generic requirement or staff position is applicable.</w:t>
            </w:r>
          </w:p>
        </w:tc>
        <w:tc>
          <w:tcPr>
            <w:tcW w:w="1298" w:type="pct"/>
            <w:tcBorders>
              <w:left w:val="nil"/>
              <w:right w:val="single" w:color="auto" w:sz="4" w:space="0"/>
            </w:tcBorders>
          </w:tcPr>
          <w:p w:rsidRPr="005A5966" w:rsidR="00D520BD" w:rsidP="00982BD1" w:rsidRDefault="00D520BD" w14:paraId="664F25AB" w14:textId="45AB73D7">
            <w:pPr>
              <w:numPr>
                <w:ilvl w:val="12"/>
                <w:numId w:val="0"/>
              </w:numPr>
              <w:tabs>
                <w:tab w:val="left" w:pos="0"/>
                <w:tab w:val="left" w:pos="720"/>
                <w:tab w:val="left" w:pos="1440"/>
                <w:tab w:val="left" w:pos="2160"/>
                <w:tab w:val="left" w:pos="2880"/>
              </w:tabs>
              <w:spacing w:before="117" w:after="52"/>
              <w:rPr>
                <w:rFonts w:cs="Arial"/>
              </w:rPr>
            </w:pPr>
            <w:r w:rsidRPr="005A5966">
              <w:t>Regulatory Analysis</w:t>
            </w:r>
            <w:r w:rsidR="00646A79">
              <w:t>,</w:t>
            </w:r>
            <w:r w:rsidRPr="005A5966">
              <w:t xml:space="preserve"> Section </w:t>
            </w:r>
            <w:r>
              <w:t>4</w:t>
            </w:r>
            <w:r w:rsidRPr="005A5966">
              <w:t>.2.2.</w:t>
            </w:r>
          </w:p>
        </w:tc>
      </w:tr>
      <w:tr w:rsidRPr="005A5966" w:rsidR="00D520BD" w:rsidTr="00C43061" w14:paraId="6380A4FA" w14:textId="77777777">
        <w:trPr>
          <w:cantSplit/>
          <w:trHeight w:val="3396"/>
        </w:trPr>
        <w:tc>
          <w:tcPr>
            <w:tcW w:w="998" w:type="pct"/>
            <w:tcBorders>
              <w:left w:val="single" w:color="auto" w:sz="4" w:space="0"/>
              <w:bottom w:val="nil"/>
            </w:tcBorders>
          </w:tcPr>
          <w:p w:rsidRPr="005A5966" w:rsidR="00D520BD" w:rsidP="002A0B08" w:rsidRDefault="00D520BD" w14:paraId="6D648559" w14:textId="613CD01A">
            <w:pPr>
              <w:numPr>
                <w:ilvl w:val="12"/>
                <w:numId w:val="0"/>
              </w:numPr>
              <w:tabs>
                <w:tab w:val="left" w:pos="0"/>
                <w:tab w:val="left" w:pos="720"/>
              </w:tabs>
              <w:spacing w:before="117"/>
            </w:pPr>
            <w:r w:rsidRPr="005A5966">
              <w:t xml:space="preserve">Appendix </w:t>
            </w:r>
            <w:r w:rsidR="00804E63">
              <w:t>B</w:t>
            </w:r>
            <w:r w:rsidR="00646A79">
              <w:t>,</w:t>
            </w:r>
            <w:r w:rsidRPr="005A5966">
              <w:t xml:space="preserve"> (vii)</w:t>
            </w:r>
            <w:r w:rsidR="00804E63">
              <w:noBreakHyphen/>
            </w:r>
            <w:r w:rsidRPr="005A5966">
              <w:t>(</w:t>
            </w:r>
            <w:r w:rsidR="005A605A">
              <w:t>ix</w:t>
            </w:r>
            <w:r w:rsidRPr="005A5966">
              <w:t>)</w:t>
            </w:r>
          </w:p>
        </w:tc>
        <w:tc>
          <w:tcPr>
            <w:tcW w:w="2704" w:type="pct"/>
            <w:tcBorders>
              <w:left w:val="nil"/>
              <w:bottom w:val="nil"/>
            </w:tcBorders>
          </w:tcPr>
          <w:p w:rsidRPr="005A5966" w:rsidR="00D520BD" w:rsidP="00982BD1" w:rsidRDefault="00D520BD" w14:paraId="445C8DD6" w14:textId="23CB3C20">
            <w:pPr>
              <w:numPr>
                <w:ilvl w:val="12"/>
                <w:numId w:val="0"/>
              </w:numPr>
              <w:tabs>
                <w:tab w:val="left" w:pos="0"/>
                <w:tab w:val="left" w:pos="720"/>
                <w:tab w:val="left" w:pos="1440"/>
                <w:tab w:val="left" w:pos="2160"/>
                <w:tab w:val="left" w:pos="2880"/>
                <w:tab w:val="left" w:pos="3600"/>
                <w:tab w:val="left" w:pos="4320"/>
                <w:tab w:val="left" w:pos="5040"/>
              </w:tabs>
              <w:spacing w:before="117" w:after="120"/>
            </w:pPr>
            <w:r w:rsidRPr="005A5966">
              <w:t>If the proposed action involves a power reactor backfit and the exceptions at 10</w:t>
            </w:r>
            <w:r>
              <w:t> </w:t>
            </w:r>
            <w:r w:rsidRPr="005A5966">
              <w:t>CFR</w:t>
            </w:r>
            <w:r>
              <w:t> </w:t>
            </w:r>
            <w:r w:rsidRPr="005A5966">
              <w:t>50.109(a)(4) are not applicable</w:t>
            </w:r>
            <w:r w:rsidR="00646A79">
              <w:t>,</w:t>
            </w:r>
            <w:r w:rsidRPr="005A5966">
              <w:t xml:space="preserve"> the items required at 10 CFR 50.109(c) and the required rationale at 10 CFR 50.109(a)(3) are to be included.</w:t>
            </w:r>
          </w:p>
          <w:p w:rsidRPr="005149B4" w:rsidR="00D520BD" w:rsidP="00982BD1" w:rsidRDefault="00D520BD" w14:paraId="2DBA10CD" w14:textId="76D88B70">
            <w:pPr>
              <w:numPr>
                <w:ilvl w:val="12"/>
                <w:numId w:val="0"/>
              </w:numPr>
              <w:tabs>
                <w:tab w:val="left" w:pos="0"/>
                <w:tab w:val="left" w:pos="720"/>
                <w:tab w:val="left" w:pos="1440"/>
                <w:tab w:val="left" w:pos="2160"/>
                <w:tab w:val="left" w:pos="2880"/>
                <w:tab w:val="left" w:pos="3600"/>
                <w:tab w:val="left" w:pos="4320"/>
                <w:tab w:val="left" w:pos="5040"/>
              </w:tabs>
              <w:spacing w:before="117" w:after="52"/>
            </w:pPr>
            <w:r w:rsidRPr="005A5966">
              <w:t>For proposed generic relaxations or decreases in current requirements or staff positions</w:t>
            </w:r>
            <w:r w:rsidR="00646A79">
              <w:t>,</w:t>
            </w:r>
            <w:r w:rsidRPr="005A5966">
              <w:t xml:space="preserve"> provide a determination along with the rationale that (a) the public health and safety and the common defense and security would be adequately protected if the proposed relaxations were implemented and (b) the cost savings attributed to each action would be significant enough to justify the action.</w:t>
            </w:r>
          </w:p>
        </w:tc>
        <w:tc>
          <w:tcPr>
            <w:tcW w:w="1298" w:type="pct"/>
            <w:tcBorders>
              <w:left w:val="nil"/>
              <w:bottom w:val="nil"/>
              <w:right w:val="single" w:color="auto" w:sz="4" w:space="0"/>
            </w:tcBorders>
          </w:tcPr>
          <w:p w:rsidR="00D520BD" w:rsidP="00982BD1" w:rsidRDefault="00D520BD" w14:paraId="56235BF1" w14:textId="3298F866">
            <w:pPr>
              <w:numPr>
                <w:ilvl w:val="12"/>
                <w:numId w:val="0"/>
              </w:numPr>
              <w:tabs>
                <w:tab w:val="left" w:pos="0"/>
                <w:tab w:val="left" w:pos="720"/>
                <w:tab w:val="left" w:pos="1440"/>
                <w:tab w:val="left" w:pos="2160"/>
                <w:tab w:val="left" w:pos="2880"/>
              </w:tabs>
              <w:spacing w:before="117" w:after="52"/>
            </w:pPr>
            <w:r>
              <w:t>Backfit</w:t>
            </w:r>
            <w:r w:rsidR="00FD12B1">
              <w:t>ting and issue finality assessment</w:t>
            </w:r>
            <w:r w:rsidRPr="005A5966">
              <w:t>.</w:t>
            </w:r>
          </w:p>
          <w:p w:rsidRPr="005A5966" w:rsidR="00D520BD" w:rsidP="00982BD1" w:rsidRDefault="00D520BD" w14:paraId="258B13BB" w14:textId="7F7ACECF">
            <w:pPr>
              <w:numPr>
                <w:ilvl w:val="12"/>
                <w:numId w:val="0"/>
              </w:numPr>
              <w:tabs>
                <w:tab w:val="left" w:pos="0"/>
                <w:tab w:val="left" w:pos="720"/>
                <w:tab w:val="left" w:pos="1440"/>
                <w:tab w:val="left" w:pos="2160"/>
                <w:tab w:val="left" w:pos="2880"/>
              </w:tabs>
              <w:spacing w:before="117" w:after="52"/>
              <w:rPr>
                <w:rFonts w:cs="Arial"/>
              </w:rPr>
            </w:pPr>
            <w:r w:rsidRPr="005A5966">
              <w:rPr>
                <w:i/>
              </w:rPr>
              <w:t>Federal Register</w:t>
            </w:r>
            <w:r w:rsidRPr="005A5966">
              <w:t xml:space="preserve"> notice for the </w:t>
            </w:r>
            <w:r w:rsidR="00C82438">
              <w:t>final</w:t>
            </w:r>
            <w:r w:rsidRPr="005A5966">
              <w:t xml:space="preserve"> rule.</w:t>
            </w:r>
          </w:p>
        </w:tc>
      </w:tr>
      <w:tr w:rsidRPr="005A5966" w:rsidR="00D520BD" w:rsidTr="00982BD1" w14:paraId="4AD4D501" w14:textId="77777777">
        <w:trPr>
          <w:cantSplit/>
        </w:trPr>
        <w:tc>
          <w:tcPr>
            <w:tcW w:w="998" w:type="pct"/>
            <w:tcBorders>
              <w:left w:val="single" w:color="auto" w:sz="4" w:space="0"/>
              <w:bottom w:val="single" w:color="auto" w:sz="4" w:space="0"/>
              <w:right w:val="nil"/>
            </w:tcBorders>
          </w:tcPr>
          <w:p w:rsidRPr="005A5966" w:rsidR="00D520BD" w:rsidP="00982BD1" w:rsidRDefault="00D520BD" w14:paraId="594605ED" w14:textId="68C1B1ED">
            <w:pPr>
              <w:numPr>
                <w:ilvl w:val="12"/>
                <w:numId w:val="0"/>
              </w:numPr>
              <w:tabs>
                <w:tab w:val="left" w:pos="0"/>
                <w:tab w:val="left" w:pos="720"/>
              </w:tabs>
              <w:spacing w:before="117" w:after="52"/>
              <w:rPr>
                <w:rFonts w:cs="Arial"/>
              </w:rPr>
            </w:pPr>
            <w:r w:rsidRPr="005A5966">
              <w:t xml:space="preserve">Appendix </w:t>
            </w:r>
            <w:r w:rsidR="00804E63">
              <w:t>B</w:t>
            </w:r>
            <w:r w:rsidR="00646A79">
              <w:t>,</w:t>
            </w:r>
            <w:r w:rsidRPr="005A5966">
              <w:t xml:space="preserve"> (x</w:t>
            </w:r>
            <w:r w:rsidR="00637EE5">
              <w:t>v</w:t>
            </w:r>
            <w:r w:rsidRPr="005A5966">
              <w:t>i)</w:t>
            </w:r>
          </w:p>
        </w:tc>
        <w:tc>
          <w:tcPr>
            <w:tcW w:w="2704" w:type="pct"/>
            <w:tcBorders>
              <w:left w:val="nil"/>
              <w:bottom w:val="single" w:color="auto" w:sz="4" w:space="0"/>
              <w:right w:val="nil"/>
            </w:tcBorders>
          </w:tcPr>
          <w:p w:rsidRPr="009B72F4" w:rsidR="00D520BD" w:rsidP="003F1EEB" w:rsidRDefault="00D520BD" w14:paraId="6E5E3FA5" w14:textId="51461CF6">
            <w:pPr>
              <w:numPr>
                <w:ilvl w:val="12"/>
                <w:numId w:val="0"/>
              </w:numPr>
              <w:tabs>
                <w:tab w:val="left" w:pos="0"/>
                <w:tab w:val="left" w:pos="720"/>
                <w:tab w:val="left" w:pos="1440"/>
                <w:tab w:val="left" w:pos="2160"/>
                <w:tab w:val="left" w:pos="2880"/>
                <w:tab w:val="left" w:pos="3600"/>
                <w:tab w:val="left" w:pos="4320"/>
                <w:tab w:val="left" w:pos="5040"/>
              </w:tabs>
              <w:spacing w:before="117" w:after="120"/>
              <w:rPr>
                <w:rFonts w:cs="Arial"/>
              </w:rPr>
            </w:pPr>
            <w:r w:rsidRPr="009B72F4">
              <w:t>Preparation of an assessment of how the proposed action relates to the Commission’s Safety Goal Policy Statement (</w:t>
            </w:r>
            <w:r w:rsidRPr="009B72F4" w:rsidR="0024617D">
              <w:t>51 FR 30028</w:t>
            </w:r>
            <w:r w:rsidRPr="009B72F4" w:rsidR="009B72F4">
              <w:t xml:space="preserve">; </w:t>
            </w:r>
            <w:r w:rsidRPr="009B72F4" w:rsidR="009B72F4">
              <w:rPr>
                <w:rFonts w:cs="Arial"/>
                <w:color w:val="000000" w:themeColor="text1"/>
              </w:rPr>
              <w:t>August 21</w:t>
            </w:r>
            <w:r w:rsidR="00646A79">
              <w:rPr>
                <w:rFonts w:cs="Arial"/>
                <w:color w:val="000000" w:themeColor="text1"/>
              </w:rPr>
              <w:t>,</w:t>
            </w:r>
            <w:r w:rsidRPr="009B72F4" w:rsidR="009B72F4">
              <w:rPr>
                <w:rFonts w:cs="Arial"/>
                <w:color w:val="000000" w:themeColor="text1"/>
              </w:rPr>
              <w:t xml:space="preserve"> 1986</w:t>
            </w:r>
            <w:r w:rsidRPr="009B72F4">
              <w:t>).</w:t>
            </w:r>
          </w:p>
        </w:tc>
        <w:tc>
          <w:tcPr>
            <w:tcW w:w="1298" w:type="pct"/>
            <w:tcBorders>
              <w:left w:val="nil"/>
              <w:bottom w:val="single" w:color="auto" w:sz="4" w:space="0"/>
              <w:right w:val="single" w:color="auto" w:sz="4" w:space="0"/>
            </w:tcBorders>
          </w:tcPr>
          <w:p w:rsidRPr="005A5966" w:rsidR="00D520BD" w:rsidP="00982BD1" w:rsidRDefault="00D520BD" w14:paraId="30BC8205" w14:textId="552B6CBC">
            <w:pPr>
              <w:numPr>
                <w:ilvl w:val="12"/>
                <w:numId w:val="0"/>
              </w:numPr>
              <w:tabs>
                <w:tab w:val="left" w:pos="0"/>
                <w:tab w:val="left" w:pos="720"/>
                <w:tab w:val="left" w:pos="1440"/>
                <w:tab w:val="left" w:pos="2160"/>
                <w:tab w:val="left" w:pos="2880"/>
              </w:tabs>
              <w:spacing w:before="117" w:after="52"/>
              <w:rPr>
                <w:rFonts w:cs="Arial"/>
              </w:rPr>
            </w:pPr>
            <w:r w:rsidRPr="005A5966">
              <w:t>Regulatory Analysis</w:t>
            </w:r>
            <w:r w:rsidR="00646A79">
              <w:t>,</w:t>
            </w:r>
            <w:r w:rsidRPr="005A5966">
              <w:t xml:space="preserve"> Section </w:t>
            </w:r>
            <w:r>
              <w:t>3</w:t>
            </w:r>
            <w:r w:rsidRPr="005A5966">
              <w:t>.</w:t>
            </w:r>
          </w:p>
        </w:tc>
      </w:tr>
    </w:tbl>
    <w:p w:rsidR="00D520BD" w:rsidP="00D520BD" w:rsidRDefault="00D520BD" w14:paraId="73E950C8" w14:textId="77777777">
      <w:pPr>
        <w:pStyle w:val="Heading1"/>
        <w:sectPr w:rsidR="00D520BD" w:rsidSect="00A9078B">
          <w:footnotePr>
            <w:numRestart w:val="eachSect"/>
          </w:footnotePr>
          <w:pgSz w:w="12240" w:h="15840"/>
          <w:pgMar w:top="1440" w:right="1440" w:bottom="1440" w:left="1440" w:header="720" w:footer="720" w:gutter="0"/>
          <w:pgNumType w:start="1"/>
          <w:cols w:space="720"/>
          <w:docGrid w:linePitch="272"/>
        </w:sectPr>
      </w:pPr>
    </w:p>
    <w:p w:rsidRPr="005A5966" w:rsidR="00D520BD" w:rsidP="00D520BD" w:rsidRDefault="00D520BD" w14:paraId="2A7D35D0" w14:textId="48742933">
      <w:pPr>
        <w:pStyle w:val="Heading1"/>
      </w:pPr>
      <w:bookmarkStart w:name="_Toc199932397" w:id="278"/>
      <w:bookmarkStart w:name="_Toc199932475" w:id="279"/>
      <w:bookmarkStart w:name="_Toc199932656" w:id="280"/>
      <w:bookmarkStart w:name="_Toc460412626" w:id="281"/>
      <w:bookmarkStart w:name="_Toc72840045" w:id="282"/>
      <w:bookmarkStart w:name="_Toc105681518" w:id="283"/>
      <w:r>
        <w:t>6</w:t>
      </w:r>
      <w:r w:rsidRPr="005A5966">
        <w:t>.</w:t>
      </w:r>
      <w:r w:rsidRPr="005A5966">
        <w:tab/>
        <w:t>Decision Rationale</w:t>
      </w:r>
      <w:bookmarkEnd w:id="278"/>
      <w:bookmarkEnd w:id="279"/>
      <w:bookmarkEnd w:id="280"/>
      <w:bookmarkEnd w:id="281"/>
      <w:bookmarkEnd w:id="282"/>
      <w:bookmarkEnd w:id="283"/>
    </w:p>
    <w:p w:rsidRPr="005A5966" w:rsidR="00D520BD" w:rsidP="00D520BD" w:rsidRDefault="00D520BD" w14:paraId="0B33FBDB"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D520BD" w:rsidP="00D520BD" w:rsidRDefault="00D520BD" w14:paraId="6451B66E" w14:textId="194F2C28">
      <w:pPr>
        <w:rPr>
          <w:sz w:val="22"/>
          <w:szCs w:val="22"/>
        </w:rPr>
      </w:pPr>
      <w:r w:rsidRPr="00B676EB">
        <w:rPr>
          <w:sz w:val="22"/>
          <w:szCs w:val="22"/>
        </w:rPr>
        <w:t>This</w:t>
      </w:r>
      <w:r w:rsidRPr="005A5966">
        <w:rPr>
          <w:sz w:val="22"/>
          <w:szCs w:val="22"/>
        </w:rPr>
        <w:t xml:space="preserve"> analysis </w:t>
      </w:r>
      <w:r>
        <w:rPr>
          <w:sz w:val="22"/>
          <w:szCs w:val="22"/>
        </w:rPr>
        <w:t>is based</w:t>
      </w:r>
      <w:r w:rsidRPr="005A5966">
        <w:rPr>
          <w:sz w:val="22"/>
          <w:szCs w:val="22"/>
        </w:rPr>
        <w:t xml:space="preserve"> on </w:t>
      </w:r>
      <w:r>
        <w:rPr>
          <w:sz w:val="22"/>
          <w:szCs w:val="22"/>
        </w:rPr>
        <w:t>the</w:t>
      </w:r>
      <w:r w:rsidRPr="005A5966">
        <w:rPr>
          <w:sz w:val="22"/>
          <w:szCs w:val="22"/>
        </w:rPr>
        <w:t xml:space="preserve"> qualitative </w:t>
      </w:r>
      <w:r>
        <w:rPr>
          <w:sz w:val="22"/>
          <w:szCs w:val="22"/>
        </w:rPr>
        <w:t>consideration</w:t>
      </w:r>
      <w:r w:rsidRPr="005A5966">
        <w:rPr>
          <w:sz w:val="22"/>
          <w:szCs w:val="22"/>
        </w:rPr>
        <w:t xml:space="preserve"> of </w:t>
      </w:r>
      <w:r>
        <w:rPr>
          <w:sz w:val="22"/>
          <w:szCs w:val="22"/>
        </w:rPr>
        <w:t xml:space="preserve">the benefits resulting from seven </w:t>
      </w:r>
      <w:r w:rsidRPr="005A5966">
        <w:rPr>
          <w:sz w:val="22"/>
          <w:szCs w:val="22"/>
        </w:rPr>
        <w:t>affected attributes (</w:t>
      </w:r>
      <w:r>
        <w:rPr>
          <w:sz w:val="22"/>
          <w:szCs w:val="22"/>
        </w:rPr>
        <w:t>i.e.</w:t>
      </w:r>
      <w:r w:rsidR="00646A79">
        <w:rPr>
          <w:sz w:val="22"/>
          <w:szCs w:val="22"/>
        </w:rPr>
        <w:t>,</w:t>
      </w:r>
      <w:r>
        <w:rPr>
          <w:sz w:val="22"/>
          <w:szCs w:val="22"/>
        </w:rPr>
        <w:t> </w:t>
      </w:r>
      <w:r w:rsidRPr="005A5966">
        <w:rPr>
          <w:sz w:val="22"/>
          <w:szCs w:val="22"/>
        </w:rPr>
        <w:t>public health (accident)</w:t>
      </w:r>
      <w:r w:rsidR="00646A79">
        <w:rPr>
          <w:sz w:val="22"/>
          <w:szCs w:val="22"/>
        </w:rPr>
        <w:t>,</w:t>
      </w:r>
      <w:r w:rsidRPr="005A5966">
        <w:rPr>
          <w:sz w:val="22"/>
          <w:szCs w:val="22"/>
        </w:rPr>
        <w:t xml:space="preserve"> </w:t>
      </w:r>
      <w:r>
        <w:rPr>
          <w:sz w:val="22"/>
          <w:szCs w:val="22"/>
        </w:rPr>
        <w:t>occupational health (accident)</w:t>
      </w:r>
      <w:r w:rsidR="00646A79">
        <w:rPr>
          <w:sz w:val="22"/>
          <w:szCs w:val="22"/>
        </w:rPr>
        <w:t>,</w:t>
      </w:r>
      <w:r>
        <w:rPr>
          <w:sz w:val="22"/>
          <w:szCs w:val="22"/>
        </w:rPr>
        <w:t xml:space="preserve"> </w:t>
      </w:r>
      <w:r w:rsidRPr="005A5966">
        <w:rPr>
          <w:sz w:val="22"/>
          <w:szCs w:val="22"/>
        </w:rPr>
        <w:t>offsite property</w:t>
      </w:r>
      <w:r w:rsidR="00646A79">
        <w:rPr>
          <w:sz w:val="22"/>
          <w:szCs w:val="22"/>
        </w:rPr>
        <w:t>,</w:t>
      </w:r>
      <w:r w:rsidRPr="005A5966">
        <w:rPr>
          <w:sz w:val="22"/>
          <w:szCs w:val="22"/>
        </w:rPr>
        <w:t xml:space="preserve"> onsite property</w:t>
      </w:r>
      <w:r w:rsidR="00646A79">
        <w:rPr>
          <w:sz w:val="22"/>
          <w:szCs w:val="22"/>
        </w:rPr>
        <w:t>,</w:t>
      </w:r>
      <w:r w:rsidRPr="005A5966">
        <w:rPr>
          <w:sz w:val="22"/>
          <w:szCs w:val="22"/>
        </w:rPr>
        <w:t xml:space="preserve"> regulatory efficiency</w:t>
      </w:r>
      <w:r w:rsidR="00646A79">
        <w:rPr>
          <w:sz w:val="22"/>
          <w:szCs w:val="22"/>
        </w:rPr>
        <w:t>,</w:t>
      </w:r>
      <w:r w:rsidRPr="005A5966">
        <w:rPr>
          <w:sz w:val="22"/>
          <w:szCs w:val="22"/>
        </w:rPr>
        <w:t xml:space="preserve"> safeguards and security considerations</w:t>
      </w:r>
      <w:r w:rsidR="00646A79">
        <w:rPr>
          <w:sz w:val="22"/>
          <w:szCs w:val="22"/>
        </w:rPr>
        <w:t>,</w:t>
      </w:r>
      <w:r>
        <w:rPr>
          <w:sz w:val="22"/>
          <w:szCs w:val="22"/>
        </w:rPr>
        <w:t xml:space="preserve"> and other considerations</w:t>
      </w:r>
      <w:r w:rsidR="00646A79">
        <w:rPr>
          <w:sz w:val="22"/>
          <w:szCs w:val="22"/>
        </w:rPr>
        <w:t>,</w:t>
      </w:r>
      <w:r>
        <w:rPr>
          <w:sz w:val="22"/>
          <w:szCs w:val="22"/>
        </w:rPr>
        <w:t xml:space="preserve"> which include public perception</w:t>
      </w:r>
      <w:r w:rsidR="00646A79">
        <w:rPr>
          <w:sz w:val="22"/>
          <w:szCs w:val="22"/>
        </w:rPr>
        <w:t>,</w:t>
      </w:r>
      <w:r>
        <w:rPr>
          <w:sz w:val="22"/>
          <w:szCs w:val="22"/>
        </w:rPr>
        <w:t xml:space="preserve"> workplace productivity</w:t>
      </w:r>
      <w:r w:rsidR="00646A79">
        <w:rPr>
          <w:sz w:val="22"/>
          <w:szCs w:val="22"/>
        </w:rPr>
        <w:t>,</w:t>
      </w:r>
      <w:r>
        <w:rPr>
          <w:sz w:val="22"/>
          <w:szCs w:val="22"/>
        </w:rPr>
        <w:t xml:space="preserve"> workplace safety</w:t>
      </w:r>
      <w:r w:rsidR="00646A79">
        <w:rPr>
          <w:sz w:val="22"/>
          <w:szCs w:val="22"/>
        </w:rPr>
        <w:t>,</w:t>
      </w:r>
      <w:r>
        <w:rPr>
          <w:sz w:val="22"/>
          <w:szCs w:val="22"/>
        </w:rPr>
        <w:t xml:space="preserve"> and improved protection of individual r</w:t>
      </w:r>
      <w:r w:rsidRPr="00572575">
        <w:rPr>
          <w:sz w:val="22"/>
          <w:szCs w:val="22"/>
        </w:rPr>
        <w:t>ights</w:t>
      </w:r>
      <w:r>
        <w:rPr>
          <w:sz w:val="22"/>
          <w:szCs w:val="22"/>
        </w:rPr>
        <w:t xml:space="preserve">).  The </w:t>
      </w:r>
      <w:r w:rsidR="004E1CE6">
        <w:rPr>
          <w:sz w:val="22"/>
          <w:szCs w:val="22"/>
        </w:rPr>
        <w:t>NRC</w:t>
      </w:r>
      <w:r>
        <w:rPr>
          <w:sz w:val="22"/>
          <w:szCs w:val="22"/>
        </w:rPr>
        <w:t xml:space="preserve"> staff performed a qualitative analysis </w:t>
      </w:r>
      <w:r w:rsidRPr="005A5966">
        <w:rPr>
          <w:sz w:val="22"/>
          <w:szCs w:val="22"/>
        </w:rPr>
        <w:t xml:space="preserve">because of the </w:t>
      </w:r>
      <w:r>
        <w:rPr>
          <w:sz w:val="22"/>
          <w:szCs w:val="22"/>
        </w:rPr>
        <w:t>difficulties associated with</w:t>
      </w:r>
      <w:r w:rsidRPr="005A5966">
        <w:rPr>
          <w:sz w:val="22"/>
          <w:szCs w:val="22"/>
        </w:rPr>
        <w:t xml:space="preserve"> </w:t>
      </w:r>
      <w:r>
        <w:rPr>
          <w:sz w:val="22"/>
          <w:szCs w:val="22"/>
        </w:rPr>
        <w:t>monetizing</w:t>
      </w:r>
      <w:r w:rsidRPr="005A5966">
        <w:rPr>
          <w:sz w:val="22"/>
          <w:szCs w:val="22"/>
        </w:rPr>
        <w:t xml:space="preserve"> the</w:t>
      </w:r>
      <w:r>
        <w:rPr>
          <w:sz w:val="22"/>
          <w:szCs w:val="22"/>
        </w:rPr>
        <w:t xml:space="preserve">se seven affected attributes as </w:t>
      </w:r>
      <w:r w:rsidRPr="00641188">
        <w:rPr>
          <w:sz w:val="22"/>
          <w:szCs w:val="22"/>
        </w:rPr>
        <w:t>well as the full benefit to industry operations that result</w:t>
      </w:r>
      <w:r w:rsidR="007E1622">
        <w:rPr>
          <w:sz w:val="22"/>
          <w:szCs w:val="22"/>
        </w:rPr>
        <w:t>s</w:t>
      </w:r>
      <w:r w:rsidRPr="00641188">
        <w:rPr>
          <w:sz w:val="22"/>
          <w:szCs w:val="22"/>
        </w:rPr>
        <w:t xml:space="preserve"> from the detection </w:t>
      </w:r>
      <w:r>
        <w:rPr>
          <w:sz w:val="22"/>
          <w:szCs w:val="22"/>
        </w:rPr>
        <w:t xml:space="preserve">each </w:t>
      </w:r>
      <w:r w:rsidRPr="00641188">
        <w:rPr>
          <w:sz w:val="22"/>
          <w:szCs w:val="22"/>
        </w:rPr>
        <w:t>year of additional individuals using illegal drugs</w:t>
      </w:r>
      <w:r w:rsidR="00646A79">
        <w:rPr>
          <w:sz w:val="22"/>
          <w:szCs w:val="22"/>
        </w:rPr>
        <w:t>,</w:t>
      </w:r>
      <w:r w:rsidRPr="00641188">
        <w:rPr>
          <w:sz w:val="22"/>
          <w:szCs w:val="22"/>
        </w:rPr>
        <w:t xml:space="preserve"> misusing legal drugs</w:t>
      </w:r>
      <w:r w:rsidR="00646A79">
        <w:rPr>
          <w:sz w:val="22"/>
          <w:szCs w:val="22"/>
        </w:rPr>
        <w:t>,</w:t>
      </w:r>
      <w:r w:rsidRPr="00641188">
        <w:rPr>
          <w:sz w:val="22"/>
          <w:szCs w:val="22"/>
        </w:rPr>
        <w:t xml:space="preserve"> or subverting the testing process</w:t>
      </w:r>
      <w:r w:rsidRPr="005A5966">
        <w:rPr>
          <w:sz w:val="22"/>
          <w:szCs w:val="22"/>
        </w:rPr>
        <w:t xml:space="preserve">.  </w:t>
      </w:r>
      <w:r w:rsidRPr="00E96302">
        <w:rPr>
          <w:sz w:val="22"/>
          <w:szCs w:val="22"/>
        </w:rPr>
        <w:t>For example</w:t>
      </w:r>
      <w:r w:rsidR="00646A79">
        <w:rPr>
          <w:sz w:val="22"/>
          <w:szCs w:val="22"/>
        </w:rPr>
        <w:t>,</w:t>
      </w:r>
      <w:r w:rsidRPr="00E96302">
        <w:rPr>
          <w:sz w:val="22"/>
          <w:szCs w:val="22"/>
        </w:rPr>
        <w:t xml:space="preserve"> monetizing the impact of these attributes require</w:t>
      </w:r>
      <w:r w:rsidR="00BF53D3">
        <w:rPr>
          <w:sz w:val="22"/>
          <w:szCs w:val="22"/>
        </w:rPr>
        <w:t>s</w:t>
      </w:r>
      <w:r w:rsidRPr="00E96302">
        <w:rPr>
          <w:sz w:val="22"/>
          <w:szCs w:val="22"/>
        </w:rPr>
        <w:t xml:space="preserve"> estimatin</w:t>
      </w:r>
      <w:r w:rsidR="00BF53D3">
        <w:rPr>
          <w:sz w:val="22"/>
          <w:szCs w:val="22"/>
        </w:rPr>
        <w:t>g</w:t>
      </w:r>
      <w:r w:rsidRPr="00E96302">
        <w:rPr>
          <w:sz w:val="22"/>
          <w:szCs w:val="22"/>
        </w:rPr>
        <w:t xml:space="preserve"> factors such as the frequency </w:t>
      </w:r>
      <w:r>
        <w:rPr>
          <w:sz w:val="22"/>
          <w:szCs w:val="22"/>
        </w:rPr>
        <w:t xml:space="preserve">and consequences </w:t>
      </w:r>
      <w:r w:rsidRPr="00E96302">
        <w:rPr>
          <w:sz w:val="22"/>
          <w:szCs w:val="22"/>
        </w:rPr>
        <w:t xml:space="preserve">of accidents and other safety- </w:t>
      </w:r>
      <w:r>
        <w:rPr>
          <w:sz w:val="22"/>
          <w:szCs w:val="22"/>
        </w:rPr>
        <w:t xml:space="preserve">or </w:t>
      </w:r>
      <w:r w:rsidRPr="00E96302">
        <w:rPr>
          <w:sz w:val="22"/>
          <w:szCs w:val="22"/>
        </w:rPr>
        <w:t xml:space="preserve">security-related events </w:t>
      </w:r>
      <w:r>
        <w:rPr>
          <w:sz w:val="22"/>
          <w:szCs w:val="22"/>
        </w:rPr>
        <w:t>(e.g.</w:t>
      </w:r>
      <w:r w:rsidR="00646A79">
        <w:rPr>
          <w:sz w:val="22"/>
          <w:szCs w:val="22"/>
        </w:rPr>
        <w:t>,</w:t>
      </w:r>
      <w:r>
        <w:rPr>
          <w:sz w:val="22"/>
          <w:szCs w:val="22"/>
        </w:rPr>
        <w:t xml:space="preserve"> an insider threat) </w:t>
      </w:r>
      <w:r w:rsidRPr="00E96302">
        <w:rPr>
          <w:sz w:val="22"/>
          <w:szCs w:val="22"/>
        </w:rPr>
        <w:t>caused by drug</w:t>
      </w:r>
      <w:r w:rsidRPr="00E96302">
        <w:rPr>
          <w:sz w:val="22"/>
          <w:szCs w:val="22"/>
        </w:rPr>
        <w:noBreakHyphen/>
        <w:t>induced impairment</w:t>
      </w:r>
      <w:r w:rsidR="00646A79">
        <w:rPr>
          <w:sz w:val="22"/>
          <w:szCs w:val="22"/>
        </w:rPr>
        <w:t>,</w:t>
      </w:r>
      <w:r>
        <w:rPr>
          <w:sz w:val="22"/>
          <w:szCs w:val="22"/>
        </w:rPr>
        <w:t xml:space="preserve"> </w:t>
      </w:r>
      <w:r w:rsidRPr="00E96302">
        <w:rPr>
          <w:sz w:val="22"/>
          <w:szCs w:val="22"/>
        </w:rPr>
        <w:t>and the benefit</w:t>
      </w:r>
      <w:r>
        <w:rPr>
          <w:sz w:val="22"/>
          <w:szCs w:val="22"/>
        </w:rPr>
        <w:t>s</w:t>
      </w:r>
      <w:r w:rsidRPr="00E96302">
        <w:rPr>
          <w:sz w:val="22"/>
          <w:szCs w:val="22"/>
        </w:rPr>
        <w:t xml:space="preserve"> of deterring additional individual</w:t>
      </w:r>
      <w:r>
        <w:rPr>
          <w:sz w:val="22"/>
          <w:szCs w:val="22"/>
        </w:rPr>
        <w:t>s using drugs from seeking employment in positions that require testing under 10 CFR Part 26.</w:t>
      </w:r>
    </w:p>
    <w:p w:rsidR="00D520BD" w:rsidP="00D520BD" w:rsidRDefault="00D520BD" w14:paraId="2DD08ACE" w14:textId="77777777">
      <w:pPr>
        <w:rPr>
          <w:sz w:val="22"/>
          <w:szCs w:val="22"/>
        </w:rPr>
      </w:pPr>
    </w:p>
    <w:p w:rsidRPr="00D97250" w:rsidR="00D520BD" w:rsidP="00E5312E" w:rsidRDefault="00D520BD" w14:paraId="3469C971" w14:textId="0E79DE5B">
      <w:pPr>
        <w:rPr>
          <w:sz w:val="22"/>
          <w:szCs w:val="22"/>
        </w:rPr>
      </w:pPr>
      <w:r w:rsidRPr="00D97250">
        <w:rPr>
          <w:sz w:val="22"/>
          <w:szCs w:val="22"/>
        </w:rPr>
        <w:t xml:space="preserve">The </w:t>
      </w:r>
      <w:r w:rsidR="004E1CE6">
        <w:rPr>
          <w:sz w:val="22"/>
          <w:szCs w:val="22"/>
        </w:rPr>
        <w:t>NRC</w:t>
      </w:r>
      <w:r w:rsidRPr="00D97250">
        <w:rPr>
          <w:sz w:val="22"/>
          <w:szCs w:val="22"/>
        </w:rPr>
        <w:t xml:space="preserve"> staff was able to quantify the costs resulting from </w:t>
      </w:r>
      <w:r w:rsidRPr="00D97250" w:rsidR="004E5ACE">
        <w:rPr>
          <w:sz w:val="22"/>
          <w:szCs w:val="22"/>
        </w:rPr>
        <w:t>two</w:t>
      </w:r>
      <w:r w:rsidRPr="00D97250">
        <w:rPr>
          <w:sz w:val="22"/>
          <w:szCs w:val="22"/>
        </w:rPr>
        <w:t xml:space="preserve"> other affected attributes (industry implementation</w:t>
      </w:r>
      <w:r w:rsidRPr="00D97250" w:rsidR="004E5ACE">
        <w:rPr>
          <w:sz w:val="22"/>
          <w:szCs w:val="22"/>
        </w:rPr>
        <w:t xml:space="preserve"> and</w:t>
      </w:r>
      <w:r w:rsidRPr="00D97250">
        <w:rPr>
          <w:sz w:val="22"/>
          <w:szCs w:val="22"/>
        </w:rPr>
        <w:t xml:space="preserve"> industry operation).  Relative to Alternative 1 (</w:t>
      </w:r>
      <w:r w:rsidRPr="00D97250" w:rsidR="004E5ACE">
        <w:rPr>
          <w:sz w:val="22"/>
          <w:szCs w:val="22"/>
        </w:rPr>
        <w:t xml:space="preserve">Take </w:t>
      </w:r>
      <w:r w:rsidRPr="00D97250">
        <w:rPr>
          <w:sz w:val="22"/>
          <w:szCs w:val="22"/>
        </w:rPr>
        <w:t>No Action</w:t>
      </w:r>
      <w:r w:rsidRPr="00D97250" w:rsidR="00A33207">
        <w:rPr>
          <w:sz w:val="22"/>
          <w:szCs w:val="22"/>
        </w:rPr>
        <w:t xml:space="preserve"> alternative</w:t>
      </w:r>
      <w:r w:rsidRPr="00D97250">
        <w:rPr>
          <w:sz w:val="22"/>
          <w:szCs w:val="22"/>
        </w:rPr>
        <w:t>)</w:t>
      </w:r>
      <w:r w:rsidRPr="00D97250" w:rsidR="00646A79">
        <w:rPr>
          <w:sz w:val="22"/>
          <w:szCs w:val="22"/>
        </w:rPr>
        <w:t>,</w:t>
      </w:r>
      <w:r w:rsidRPr="00D97250">
        <w:rPr>
          <w:sz w:val="22"/>
          <w:szCs w:val="22"/>
        </w:rPr>
        <w:t xml:space="preserve"> the</w:t>
      </w:r>
      <w:r w:rsidR="003A3CCF">
        <w:rPr>
          <w:sz w:val="22"/>
          <w:szCs w:val="22"/>
        </w:rPr>
        <w:t xml:space="preserve"> staff estimates the</w:t>
      </w:r>
      <w:r w:rsidRPr="00D97250">
        <w:rPr>
          <w:sz w:val="22"/>
          <w:szCs w:val="22"/>
        </w:rPr>
        <w:t xml:space="preserve"> </w:t>
      </w:r>
      <w:r w:rsidR="000814A3">
        <w:rPr>
          <w:sz w:val="22"/>
          <w:szCs w:val="22"/>
        </w:rPr>
        <w:t>final</w:t>
      </w:r>
      <w:r w:rsidRPr="00D97250">
        <w:rPr>
          <w:sz w:val="22"/>
          <w:szCs w:val="22"/>
        </w:rPr>
        <w:t xml:space="preserve"> rule</w:t>
      </w:r>
      <w:r w:rsidR="004167A2">
        <w:rPr>
          <w:sz w:val="22"/>
          <w:szCs w:val="22"/>
        </w:rPr>
        <w:t xml:space="preserve"> will </w:t>
      </w:r>
      <w:r w:rsidRPr="00D97250">
        <w:rPr>
          <w:sz w:val="22"/>
          <w:szCs w:val="22"/>
        </w:rPr>
        <w:t xml:space="preserve">result in an incremental </w:t>
      </w:r>
      <w:r w:rsidR="00295E55">
        <w:rPr>
          <w:sz w:val="22"/>
          <w:szCs w:val="22"/>
        </w:rPr>
        <w:t>benefit</w:t>
      </w:r>
      <w:r w:rsidRPr="00D97250">
        <w:rPr>
          <w:sz w:val="22"/>
          <w:szCs w:val="22"/>
        </w:rPr>
        <w:t xml:space="preserve"> to industry of </w:t>
      </w:r>
      <w:r w:rsidRPr="00CD4D83">
        <w:rPr>
          <w:sz w:val="22"/>
          <w:szCs w:val="22"/>
        </w:rPr>
        <w:t>approximately $</w:t>
      </w:r>
      <w:r w:rsidR="00DE45B4">
        <w:rPr>
          <w:sz w:val="22"/>
          <w:szCs w:val="22"/>
        </w:rPr>
        <w:t>0.42</w:t>
      </w:r>
      <w:r w:rsidRPr="00CD4D83">
        <w:rPr>
          <w:sz w:val="22"/>
          <w:szCs w:val="22"/>
        </w:rPr>
        <w:t> million total present value over a 2</w:t>
      </w:r>
      <w:r w:rsidR="00557F95">
        <w:rPr>
          <w:sz w:val="22"/>
          <w:szCs w:val="22"/>
        </w:rPr>
        <w:t>4</w:t>
      </w:r>
      <w:r w:rsidRPr="00CD4D83">
        <w:rPr>
          <w:sz w:val="22"/>
          <w:szCs w:val="22"/>
        </w:rPr>
        <w:t>-year period assuming a 7-percent discount rate</w:t>
      </w:r>
      <w:r w:rsidRPr="00CD4D83" w:rsidR="00646A79">
        <w:rPr>
          <w:sz w:val="22"/>
          <w:szCs w:val="22"/>
        </w:rPr>
        <w:t>,</w:t>
      </w:r>
      <w:r w:rsidRPr="00CD4D83">
        <w:rPr>
          <w:sz w:val="22"/>
          <w:szCs w:val="22"/>
        </w:rPr>
        <w:t xml:space="preserve"> or approximately $</w:t>
      </w:r>
      <w:r w:rsidRPr="007F2D78" w:rsidR="00A53FC6">
        <w:rPr>
          <w:sz w:val="22"/>
          <w:szCs w:val="22"/>
        </w:rPr>
        <w:t>0.69</w:t>
      </w:r>
      <w:r w:rsidR="0070415B">
        <w:rPr>
          <w:sz w:val="22"/>
          <w:szCs w:val="22"/>
        </w:rPr>
        <w:t> </w:t>
      </w:r>
      <w:r w:rsidRPr="00CD4D83">
        <w:rPr>
          <w:sz w:val="22"/>
          <w:szCs w:val="22"/>
        </w:rPr>
        <w:t xml:space="preserve">million </w:t>
      </w:r>
      <w:r w:rsidR="00F606CD">
        <w:rPr>
          <w:sz w:val="22"/>
          <w:szCs w:val="22"/>
        </w:rPr>
        <w:t xml:space="preserve">over the same period </w:t>
      </w:r>
      <w:r w:rsidRPr="00CD4D83">
        <w:rPr>
          <w:sz w:val="22"/>
          <w:szCs w:val="22"/>
        </w:rPr>
        <w:t>assuming a 3</w:t>
      </w:r>
      <w:r w:rsidRPr="00CD4D83">
        <w:rPr>
          <w:sz w:val="22"/>
          <w:szCs w:val="22"/>
        </w:rPr>
        <w:noBreakHyphen/>
        <w:t>percent discount rate.  The cost includes a one-time industry implementation cost of ($</w:t>
      </w:r>
      <w:r w:rsidR="0070415B">
        <w:rPr>
          <w:sz w:val="22"/>
          <w:szCs w:val="22"/>
        </w:rPr>
        <w:t>136,</w:t>
      </w:r>
      <w:r w:rsidR="001C2F5B">
        <w:rPr>
          <w:sz w:val="22"/>
          <w:szCs w:val="22"/>
        </w:rPr>
        <w:t>936</w:t>
      </w:r>
      <w:r w:rsidRPr="00CD4D83">
        <w:rPr>
          <w:sz w:val="22"/>
          <w:szCs w:val="22"/>
        </w:rPr>
        <w:t>)</w:t>
      </w:r>
      <w:r w:rsidRPr="00CD4D83" w:rsidDel="000739DA">
        <w:rPr>
          <w:sz w:val="22"/>
          <w:szCs w:val="22"/>
        </w:rPr>
        <w:t xml:space="preserve"> </w:t>
      </w:r>
      <w:r w:rsidRPr="00CD4D83">
        <w:rPr>
          <w:sz w:val="22"/>
          <w:szCs w:val="22"/>
        </w:rPr>
        <w:t>(averaging $</w:t>
      </w:r>
      <w:r w:rsidR="001C2F5B">
        <w:rPr>
          <w:sz w:val="22"/>
          <w:szCs w:val="22"/>
        </w:rPr>
        <w:t>2,321</w:t>
      </w:r>
      <w:r w:rsidRPr="00CD4D83">
        <w:rPr>
          <w:sz w:val="22"/>
          <w:szCs w:val="22"/>
        </w:rPr>
        <w:t xml:space="preserve"> per site) and annual industry operations </w:t>
      </w:r>
      <w:r w:rsidR="00422CDA">
        <w:rPr>
          <w:sz w:val="22"/>
          <w:szCs w:val="22"/>
        </w:rPr>
        <w:t>savings</w:t>
      </w:r>
      <w:r w:rsidRPr="00CD4D83">
        <w:rPr>
          <w:sz w:val="22"/>
          <w:szCs w:val="22"/>
        </w:rPr>
        <w:t xml:space="preserve"> of $</w:t>
      </w:r>
      <w:r w:rsidRPr="007F2D78" w:rsidR="007F2D78">
        <w:rPr>
          <w:sz w:val="22"/>
          <w:szCs w:val="22"/>
        </w:rPr>
        <w:t>808</w:t>
      </w:r>
      <w:r w:rsidRPr="00CD4D83">
        <w:rPr>
          <w:sz w:val="22"/>
          <w:szCs w:val="22"/>
        </w:rPr>
        <w:t xml:space="preserve"> per site</w:t>
      </w:r>
      <w:r w:rsidRPr="00CD4D83" w:rsidR="00CD4D83">
        <w:rPr>
          <w:sz w:val="22"/>
          <w:szCs w:val="22"/>
        </w:rPr>
        <w:t>, which includes a projected $</w:t>
      </w:r>
      <w:r w:rsidRPr="007F2D78" w:rsidR="007F2D78">
        <w:rPr>
          <w:sz w:val="22"/>
          <w:szCs w:val="22"/>
        </w:rPr>
        <w:t>6,280</w:t>
      </w:r>
      <w:r w:rsidRPr="00CD4D83" w:rsidR="00CD4D83">
        <w:rPr>
          <w:sz w:val="22"/>
          <w:szCs w:val="22"/>
        </w:rPr>
        <w:t xml:space="preserve"> </w:t>
      </w:r>
      <w:r w:rsidR="00F606CD">
        <w:rPr>
          <w:sz w:val="22"/>
          <w:szCs w:val="22"/>
        </w:rPr>
        <w:t xml:space="preserve">in </w:t>
      </w:r>
      <w:r w:rsidRPr="00CD4D83" w:rsidR="00CD4D83">
        <w:rPr>
          <w:sz w:val="22"/>
          <w:szCs w:val="22"/>
        </w:rPr>
        <w:t>averted training costs</w:t>
      </w:r>
      <w:r w:rsidRPr="00CD4D83">
        <w:rPr>
          <w:sz w:val="22"/>
          <w:szCs w:val="22"/>
        </w:rPr>
        <w:t>.</w:t>
      </w:r>
      <w:r w:rsidRPr="00CD4D83">
        <w:rPr>
          <w:rStyle w:val="FootnoteReference"/>
          <w:sz w:val="22"/>
          <w:szCs w:val="22"/>
        </w:rPr>
        <w:footnoteReference w:id="34"/>
      </w:r>
      <w:r w:rsidRPr="00CD4D83">
        <w:rPr>
          <w:sz w:val="22"/>
          <w:szCs w:val="22"/>
        </w:rPr>
        <w:t xml:space="preserve">  </w:t>
      </w:r>
      <w:r w:rsidRPr="00CD4D83" w:rsidR="004E5ACE">
        <w:rPr>
          <w:sz w:val="22"/>
          <w:szCs w:val="22"/>
        </w:rPr>
        <w:t>T</w:t>
      </w:r>
      <w:r w:rsidRPr="00CD4D83">
        <w:rPr>
          <w:sz w:val="22"/>
          <w:szCs w:val="22"/>
        </w:rPr>
        <w:t>he NRC</w:t>
      </w:r>
      <w:r w:rsidRPr="00D97250">
        <w:rPr>
          <w:sz w:val="22"/>
          <w:szCs w:val="22"/>
        </w:rPr>
        <w:t xml:space="preserve"> is </w:t>
      </w:r>
      <w:r w:rsidRPr="00D97250" w:rsidR="004E5ACE">
        <w:rPr>
          <w:sz w:val="22"/>
          <w:szCs w:val="22"/>
        </w:rPr>
        <w:t>not expected to incur any incremental costs</w:t>
      </w:r>
      <w:r w:rsidRPr="00D97250" w:rsidR="00F13BDC">
        <w:rPr>
          <w:sz w:val="22"/>
          <w:szCs w:val="22"/>
        </w:rPr>
        <w:t xml:space="preserve"> resulting from these rule changes.  NRC costs</w:t>
      </w:r>
      <w:r w:rsidRPr="00D97250">
        <w:rPr>
          <w:sz w:val="22"/>
          <w:szCs w:val="22"/>
        </w:rPr>
        <w:t xml:space="preserve"> to complete the final rule (i.e.</w:t>
      </w:r>
      <w:r w:rsidRPr="00D97250" w:rsidR="00646A79">
        <w:rPr>
          <w:sz w:val="22"/>
          <w:szCs w:val="22"/>
        </w:rPr>
        <w:t>,</w:t>
      </w:r>
      <w:r w:rsidRPr="00D97250">
        <w:rPr>
          <w:sz w:val="22"/>
          <w:szCs w:val="22"/>
        </w:rPr>
        <w:t> analyze public comments</w:t>
      </w:r>
      <w:r w:rsidRPr="00D97250" w:rsidR="00646A79">
        <w:rPr>
          <w:sz w:val="22"/>
          <w:szCs w:val="22"/>
        </w:rPr>
        <w:t>,</w:t>
      </w:r>
      <w:r w:rsidRPr="00D97250">
        <w:rPr>
          <w:sz w:val="22"/>
          <w:szCs w:val="22"/>
        </w:rPr>
        <w:t xml:space="preserve"> hold public meeting(s)</w:t>
      </w:r>
      <w:r w:rsidRPr="00D97250" w:rsidR="00646A79">
        <w:rPr>
          <w:sz w:val="22"/>
          <w:szCs w:val="22"/>
        </w:rPr>
        <w:t>,</w:t>
      </w:r>
      <w:r w:rsidRPr="00D97250">
        <w:rPr>
          <w:sz w:val="22"/>
          <w:szCs w:val="22"/>
        </w:rPr>
        <w:t xml:space="preserve"> and develop the final rule) and </w:t>
      </w:r>
      <w:r w:rsidRPr="00D97250" w:rsidR="00F13BDC">
        <w:rPr>
          <w:sz w:val="22"/>
          <w:szCs w:val="22"/>
        </w:rPr>
        <w:t xml:space="preserve">to </w:t>
      </w:r>
      <w:r w:rsidRPr="00D97250">
        <w:rPr>
          <w:sz w:val="22"/>
          <w:szCs w:val="22"/>
        </w:rPr>
        <w:t>issue regulatory guidance</w:t>
      </w:r>
      <w:r w:rsidRPr="00D97250" w:rsidR="00F13BDC">
        <w:rPr>
          <w:sz w:val="22"/>
          <w:szCs w:val="22"/>
        </w:rPr>
        <w:t xml:space="preserve"> are sunk costs and do not affect future decisions</w:t>
      </w:r>
      <w:r w:rsidRPr="00D97250">
        <w:rPr>
          <w:sz w:val="22"/>
          <w:szCs w:val="22"/>
        </w:rPr>
        <w:t>.</w:t>
      </w:r>
    </w:p>
    <w:p w:rsidR="00D520BD" w:rsidP="00D520BD" w:rsidRDefault="00D520BD" w14:paraId="5961CE43" w14:textId="4838D9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D520BD" w:rsidP="00D520BD" w:rsidRDefault="00D520BD" w14:paraId="1832D4DB" w14:textId="139F6CD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Because the </w:t>
      </w:r>
      <w:r w:rsidR="00287FA3">
        <w:rPr>
          <w:sz w:val="22"/>
          <w:szCs w:val="22"/>
        </w:rPr>
        <w:t>NRC</w:t>
      </w:r>
      <w:r>
        <w:rPr>
          <w:sz w:val="22"/>
          <w:szCs w:val="22"/>
        </w:rPr>
        <w:t xml:space="preserve"> staff cannot monetize the benefit of an </w:t>
      </w:r>
      <w:r w:rsidRPr="00CD4D83">
        <w:rPr>
          <w:sz w:val="22"/>
          <w:szCs w:val="22"/>
        </w:rPr>
        <w:t xml:space="preserve">additional </w:t>
      </w:r>
      <w:r w:rsidR="00CD2A1A">
        <w:rPr>
          <w:sz w:val="22"/>
          <w:szCs w:val="22"/>
        </w:rPr>
        <w:t>22</w:t>
      </w:r>
      <w:r w:rsidR="00277A0A">
        <w:rPr>
          <w:sz w:val="22"/>
          <w:szCs w:val="22"/>
        </w:rPr>
        <w:t>-</w:t>
      </w:r>
      <w:r w:rsidRPr="00CD4D83">
        <w:rPr>
          <w:sz w:val="22"/>
          <w:szCs w:val="22"/>
        </w:rPr>
        <w:t>percent increase</w:t>
      </w:r>
      <w:r w:rsidRPr="009A346B">
        <w:rPr>
          <w:sz w:val="22"/>
          <w:szCs w:val="22"/>
        </w:rPr>
        <w:t xml:space="preserve"> </w:t>
      </w:r>
      <w:r w:rsidRPr="00CD4D83" w:rsidR="00BB3B8C">
        <w:rPr>
          <w:sz w:val="22"/>
          <w:szCs w:val="22"/>
        </w:rPr>
        <w:t>(</w:t>
      </w:r>
      <w:r w:rsidR="00BB3B8C">
        <w:rPr>
          <w:sz w:val="22"/>
          <w:szCs w:val="22"/>
        </w:rPr>
        <w:t xml:space="preserve">by </w:t>
      </w:r>
      <w:r w:rsidRPr="00CD4D83" w:rsidR="00BB3B8C">
        <w:rPr>
          <w:sz w:val="22"/>
          <w:szCs w:val="22"/>
        </w:rPr>
        <w:t>approximately 1</w:t>
      </w:r>
      <w:r w:rsidR="00BB3B8C">
        <w:rPr>
          <w:sz w:val="22"/>
          <w:szCs w:val="22"/>
        </w:rPr>
        <w:t>76</w:t>
      </w:r>
      <w:r w:rsidR="00BD4284">
        <w:rPr>
          <w:sz w:val="22"/>
          <w:szCs w:val="22"/>
        </w:rPr>
        <w:t xml:space="preserve"> </w:t>
      </w:r>
      <w:r w:rsidR="006931EF">
        <w:rPr>
          <w:sz w:val="22"/>
          <w:szCs w:val="22"/>
        </w:rPr>
        <w:t>individuals</w:t>
      </w:r>
      <w:r w:rsidRPr="00CD4D83" w:rsidR="00BB3B8C">
        <w:rPr>
          <w:sz w:val="22"/>
          <w:szCs w:val="22"/>
        </w:rPr>
        <w:t>)</w:t>
      </w:r>
      <w:r w:rsidR="00BD4284">
        <w:rPr>
          <w:sz w:val="22"/>
          <w:szCs w:val="22"/>
        </w:rPr>
        <w:t xml:space="preserve"> </w:t>
      </w:r>
      <w:r w:rsidRPr="009A346B">
        <w:rPr>
          <w:sz w:val="22"/>
          <w:szCs w:val="22"/>
        </w:rPr>
        <w:t xml:space="preserve">each year in the number of </w:t>
      </w:r>
      <w:r w:rsidRPr="00CD4D83">
        <w:rPr>
          <w:sz w:val="22"/>
          <w:szCs w:val="22"/>
        </w:rPr>
        <w:t>individuals identified</w:t>
      </w:r>
      <w:r w:rsidRPr="009A346B">
        <w:rPr>
          <w:sz w:val="22"/>
          <w:szCs w:val="22"/>
        </w:rPr>
        <w:t xml:space="preserve"> as using illegal drugs</w:t>
      </w:r>
      <w:r w:rsidR="00646A79">
        <w:rPr>
          <w:sz w:val="22"/>
          <w:szCs w:val="22"/>
        </w:rPr>
        <w:t>,</w:t>
      </w:r>
      <w:r w:rsidRPr="009A346B">
        <w:rPr>
          <w:sz w:val="22"/>
          <w:szCs w:val="22"/>
        </w:rPr>
        <w:t xml:space="preserve"> misusing legal drugs</w:t>
      </w:r>
      <w:r w:rsidR="00646A79">
        <w:rPr>
          <w:sz w:val="22"/>
          <w:szCs w:val="22"/>
        </w:rPr>
        <w:t>,</w:t>
      </w:r>
      <w:r w:rsidRPr="009A346B">
        <w:rPr>
          <w:sz w:val="22"/>
          <w:szCs w:val="22"/>
        </w:rPr>
        <w:t xml:space="preserve"> or attempting to s</w:t>
      </w:r>
      <w:r>
        <w:rPr>
          <w:sz w:val="22"/>
          <w:szCs w:val="22"/>
        </w:rPr>
        <w:t>ubvert the drug testing process</w:t>
      </w:r>
      <w:r w:rsidR="00646A79">
        <w:rPr>
          <w:sz w:val="22"/>
          <w:szCs w:val="22"/>
        </w:rPr>
        <w:t>,</w:t>
      </w:r>
      <w:r>
        <w:rPr>
          <w:sz w:val="22"/>
          <w:szCs w:val="22"/>
        </w:rPr>
        <w:t xml:space="preserve"> a net cost</w:t>
      </w:r>
      <w:r w:rsidR="00BD4284">
        <w:rPr>
          <w:sz w:val="22"/>
          <w:szCs w:val="22"/>
        </w:rPr>
        <w:noBreakHyphen/>
      </w:r>
      <w:r>
        <w:rPr>
          <w:sz w:val="22"/>
          <w:szCs w:val="22"/>
        </w:rPr>
        <w:t>beneficial determination is not meaningful.  However</w:t>
      </w:r>
      <w:r w:rsidR="00646A79">
        <w:rPr>
          <w:sz w:val="22"/>
          <w:szCs w:val="22"/>
        </w:rPr>
        <w:t>,</w:t>
      </w:r>
      <w:r>
        <w:rPr>
          <w:sz w:val="22"/>
          <w:szCs w:val="22"/>
        </w:rPr>
        <w:t xml:space="preserve"> </w:t>
      </w:r>
      <w:r w:rsidRPr="005A5966">
        <w:rPr>
          <w:sz w:val="22"/>
          <w:szCs w:val="22"/>
        </w:rPr>
        <w:t xml:space="preserve">the </w:t>
      </w:r>
      <w:r>
        <w:rPr>
          <w:sz w:val="22"/>
          <w:szCs w:val="22"/>
        </w:rPr>
        <w:t>NRC staff</w:t>
      </w:r>
      <w:r w:rsidRPr="005A5966">
        <w:rPr>
          <w:sz w:val="22"/>
          <w:szCs w:val="22"/>
        </w:rPr>
        <w:t xml:space="preserve"> </w:t>
      </w:r>
      <w:r>
        <w:rPr>
          <w:sz w:val="22"/>
          <w:szCs w:val="22"/>
        </w:rPr>
        <w:t>concludes</w:t>
      </w:r>
      <w:r w:rsidRPr="005A5966">
        <w:rPr>
          <w:sz w:val="22"/>
          <w:szCs w:val="22"/>
        </w:rPr>
        <w:t xml:space="preserve"> that the </w:t>
      </w:r>
      <w:r w:rsidR="00B43B43">
        <w:rPr>
          <w:sz w:val="22"/>
          <w:szCs w:val="22"/>
        </w:rPr>
        <w:t xml:space="preserve">final </w:t>
      </w:r>
      <w:r w:rsidRPr="005A5966">
        <w:rPr>
          <w:sz w:val="22"/>
          <w:szCs w:val="22"/>
        </w:rPr>
        <w:t xml:space="preserve">rule </w:t>
      </w:r>
      <w:r>
        <w:rPr>
          <w:sz w:val="22"/>
          <w:szCs w:val="22"/>
        </w:rPr>
        <w:t xml:space="preserve">has merit </w:t>
      </w:r>
      <w:r w:rsidRPr="00D92E23">
        <w:rPr>
          <w:sz w:val="22"/>
          <w:szCs w:val="22"/>
        </w:rPr>
        <w:t xml:space="preserve">relative to the </w:t>
      </w:r>
      <w:r>
        <w:rPr>
          <w:sz w:val="22"/>
          <w:szCs w:val="22"/>
        </w:rPr>
        <w:t xml:space="preserve">nonmonetized </w:t>
      </w:r>
      <w:r w:rsidRPr="00D92E23">
        <w:rPr>
          <w:sz w:val="22"/>
          <w:szCs w:val="22"/>
        </w:rPr>
        <w:t>benefit of identifying</w:t>
      </w:r>
      <w:r>
        <w:rPr>
          <w:sz w:val="22"/>
          <w:szCs w:val="22"/>
        </w:rPr>
        <w:t xml:space="preserve"> </w:t>
      </w:r>
      <w:r w:rsidRPr="00D92E23">
        <w:rPr>
          <w:sz w:val="22"/>
          <w:szCs w:val="22"/>
        </w:rPr>
        <w:t xml:space="preserve">additional </w:t>
      </w:r>
      <w:r>
        <w:rPr>
          <w:sz w:val="22"/>
          <w:szCs w:val="22"/>
        </w:rPr>
        <w:t xml:space="preserve">individuals using </w:t>
      </w:r>
      <w:r w:rsidRPr="00D92E23">
        <w:rPr>
          <w:sz w:val="22"/>
          <w:szCs w:val="22"/>
        </w:rPr>
        <w:t>illegal drug</w:t>
      </w:r>
      <w:r>
        <w:rPr>
          <w:sz w:val="22"/>
          <w:szCs w:val="22"/>
        </w:rPr>
        <w:t>s</w:t>
      </w:r>
      <w:r w:rsidR="00646A79">
        <w:rPr>
          <w:sz w:val="22"/>
          <w:szCs w:val="22"/>
        </w:rPr>
        <w:t>,</w:t>
      </w:r>
      <w:r>
        <w:rPr>
          <w:sz w:val="22"/>
          <w:szCs w:val="22"/>
        </w:rPr>
        <w:t xml:space="preserve"> misusing</w:t>
      </w:r>
      <w:r w:rsidRPr="00D92E23">
        <w:rPr>
          <w:sz w:val="22"/>
          <w:szCs w:val="22"/>
        </w:rPr>
        <w:t xml:space="preserve"> legal drug</w:t>
      </w:r>
      <w:r>
        <w:rPr>
          <w:sz w:val="22"/>
          <w:szCs w:val="22"/>
        </w:rPr>
        <w:t>s</w:t>
      </w:r>
      <w:r w:rsidR="00646A79">
        <w:rPr>
          <w:sz w:val="22"/>
          <w:szCs w:val="22"/>
        </w:rPr>
        <w:t>,</w:t>
      </w:r>
      <w:r>
        <w:rPr>
          <w:sz w:val="22"/>
          <w:szCs w:val="22"/>
        </w:rPr>
        <w:t xml:space="preserve"> or attempting to subvert the drug testing process each year</w:t>
      </w:r>
      <w:r w:rsidRPr="00113A57">
        <w:rPr>
          <w:sz w:val="22"/>
          <w:szCs w:val="22"/>
        </w:rPr>
        <w:t>.</w:t>
      </w:r>
      <w:r w:rsidRPr="008F144D">
        <w:rPr>
          <w:sz w:val="22"/>
          <w:szCs w:val="22"/>
        </w:rPr>
        <w:t xml:space="preserve">  The rule benefit</w:t>
      </w:r>
      <w:r w:rsidR="005F1BCA">
        <w:rPr>
          <w:sz w:val="22"/>
          <w:szCs w:val="22"/>
        </w:rPr>
        <w:t>s</w:t>
      </w:r>
      <w:r w:rsidRPr="008F144D">
        <w:rPr>
          <w:sz w:val="22"/>
          <w:szCs w:val="22"/>
        </w:rPr>
        <w:t xml:space="preserve"> public health and safety and the common defense and security </w:t>
      </w:r>
      <w:r>
        <w:rPr>
          <w:sz w:val="22"/>
          <w:szCs w:val="22"/>
        </w:rPr>
        <w:t>at a low average cost per site</w:t>
      </w:r>
      <w:r>
        <w:rPr>
          <w:rStyle w:val="FootnoteReference"/>
          <w:sz w:val="22"/>
          <w:szCs w:val="22"/>
        </w:rPr>
        <w:footnoteReference w:id="35"/>
      </w:r>
      <w:r w:rsidRPr="00D3163A">
        <w:rPr>
          <w:sz w:val="22"/>
          <w:szCs w:val="22"/>
        </w:rPr>
        <w:t xml:space="preserve"> </w:t>
      </w:r>
      <w:r>
        <w:rPr>
          <w:sz w:val="22"/>
          <w:szCs w:val="22"/>
        </w:rPr>
        <w:t>for the following reasons:</w:t>
      </w:r>
    </w:p>
    <w:p w:rsidR="00D520BD" w:rsidP="00D520BD" w:rsidRDefault="00D520BD" w14:paraId="711C9A57" w14:textId="6CAEEBB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D520BD" w:rsidP="005C6BA3" w:rsidRDefault="00D520BD" w14:paraId="7159F210" w14:textId="569E40C9">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 w:val="22"/>
          <w:szCs w:val="22"/>
        </w:rPr>
      </w:pPr>
      <w:r>
        <w:rPr>
          <w:sz w:val="22"/>
          <w:szCs w:val="22"/>
        </w:rPr>
        <w:t xml:space="preserve">The </w:t>
      </w:r>
      <w:r w:rsidR="004856B2">
        <w:rPr>
          <w:sz w:val="22"/>
          <w:szCs w:val="22"/>
        </w:rPr>
        <w:t xml:space="preserve">final </w:t>
      </w:r>
      <w:r>
        <w:rPr>
          <w:sz w:val="22"/>
          <w:szCs w:val="22"/>
        </w:rPr>
        <w:t xml:space="preserve">rule </w:t>
      </w:r>
      <w:r w:rsidR="004856B2">
        <w:rPr>
          <w:sz w:val="22"/>
          <w:szCs w:val="22"/>
        </w:rPr>
        <w:t>will</w:t>
      </w:r>
      <w:r>
        <w:rPr>
          <w:sz w:val="22"/>
          <w:szCs w:val="22"/>
        </w:rPr>
        <w:t xml:space="preserve"> enhance</w:t>
      </w:r>
      <w:r w:rsidRPr="001E5242">
        <w:rPr>
          <w:sz w:val="22"/>
          <w:szCs w:val="22"/>
        </w:rPr>
        <w:t xml:space="preserve"> </w:t>
      </w:r>
      <w:r>
        <w:rPr>
          <w:sz w:val="22"/>
          <w:szCs w:val="22"/>
        </w:rPr>
        <w:t xml:space="preserve">FFD </w:t>
      </w:r>
      <w:r w:rsidRPr="001E5242">
        <w:rPr>
          <w:sz w:val="22"/>
          <w:szCs w:val="22"/>
        </w:rPr>
        <w:t xml:space="preserve">program effectiveness </w:t>
      </w:r>
      <w:r>
        <w:rPr>
          <w:sz w:val="22"/>
          <w:szCs w:val="22"/>
        </w:rPr>
        <w:t>(i.e.</w:t>
      </w:r>
      <w:r w:rsidR="00646A79">
        <w:rPr>
          <w:sz w:val="22"/>
          <w:szCs w:val="22"/>
        </w:rPr>
        <w:t>,</w:t>
      </w:r>
      <w:r>
        <w:rPr>
          <w:sz w:val="22"/>
          <w:szCs w:val="22"/>
        </w:rPr>
        <w:t xml:space="preserve"> detection) </w:t>
      </w:r>
      <w:r w:rsidRPr="001E5242">
        <w:rPr>
          <w:sz w:val="22"/>
          <w:szCs w:val="22"/>
        </w:rPr>
        <w:t>by identifying</w:t>
      </w:r>
      <w:r>
        <w:rPr>
          <w:sz w:val="22"/>
          <w:szCs w:val="22"/>
        </w:rPr>
        <w:t xml:space="preserve"> </w:t>
      </w:r>
      <w:r w:rsidRPr="001E5242">
        <w:rPr>
          <w:sz w:val="22"/>
          <w:szCs w:val="22"/>
        </w:rPr>
        <w:t xml:space="preserve">additional </w:t>
      </w:r>
      <w:r>
        <w:rPr>
          <w:sz w:val="22"/>
          <w:szCs w:val="22"/>
        </w:rPr>
        <w:t xml:space="preserve">individuals each year determined not to be </w:t>
      </w:r>
      <w:r w:rsidRPr="001E5242">
        <w:rPr>
          <w:sz w:val="22"/>
          <w:szCs w:val="22"/>
        </w:rPr>
        <w:t xml:space="preserve">fit for duty </w:t>
      </w:r>
      <w:r>
        <w:rPr>
          <w:sz w:val="22"/>
          <w:szCs w:val="22"/>
        </w:rPr>
        <w:t>or not to be trustworthy and reliable</w:t>
      </w:r>
      <w:r w:rsidR="00646A79">
        <w:rPr>
          <w:sz w:val="22"/>
          <w:szCs w:val="22"/>
        </w:rPr>
        <w:t>,</w:t>
      </w:r>
      <w:r>
        <w:rPr>
          <w:sz w:val="22"/>
          <w:szCs w:val="22"/>
        </w:rPr>
        <w:t xml:space="preserve"> or both</w:t>
      </w:r>
      <w:r w:rsidR="00646A79">
        <w:rPr>
          <w:sz w:val="22"/>
          <w:szCs w:val="22"/>
        </w:rPr>
        <w:t>,</w:t>
      </w:r>
      <w:r>
        <w:rPr>
          <w:sz w:val="22"/>
          <w:szCs w:val="22"/>
        </w:rPr>
        <w:t xml:space="preserve"> because of</w:t>
      </w:r>
      <w:r w:rsidRPr="001E5242">
        <w:rPr>
          <w:sz w:val="22"/>
          <w:szCs w:val="22"/>
        </w:rPr>
        <w:t xml:space="preserve"> illegal drug use</w:t>
      </w:r>
      <w:r w:rsidR="00646A79">
        <w:rPr>
          <w:sz w:val="22"/>
          <w:szCs w:val="22"/>
        </w:rPr>
        <w:t>,</w:t>
      </w:r>
      <w:r>
        <w:rPr>
          <w:sz w:val="22"/>
          <w:szCs w:val="22"/>
        </w:rPr>
        <w:t xml:space="preserve"> </w:t>
      </w:r>
      <w:r w:rsidRPr="001E5242">
        <w:rPr>
          <w:sz w:val="22"/>
          <w:szCs w:val="22"/>
        </w:rPr>
        <w:t>legal drug misuse</w:t>
      </w:r>
      <w:r w:rsidR="00646A79">
        <w:rPr>
          <w:sz w:val="22"/>
          <w:szCs w:val="22"/>
        </w:rPr>
        <w:t>,</w:t>
      </w:r>
      <w:r>
        <w:rPr>
          <w:sz w:val="22"/>
          <w:szCs w:val="22"/>
        </w:rPr>
        <w:t xml:space="preserve"> or attempts to subvert the drug testing process</w:t>
      </w:r>
      <w:r w:rsidR="00646A79">
        <w:rPr>
          <w:sz w:val="22"/>
          <w:szCs w:val="22"/>
        </w:rPr>
        <w:t>,</w:t>
      </w:r>
      <w:r w:rsidRPr="001E5242">
        <w:rPr>
          <w:sz w:val="22"/>
          <w:szCs w:val="22"/>
        </w:rPr>
        <w:t xml:space="preserve"> which benefit</w:t>
      </w:r>
      <w:r w:rsidR="005F1BCA">
        <w:rPr>
          <w:sz w:val="22"/>
          <w:szCs w:val="22"/>
        </w:rPr>
        <w:t>s</w:t>
      </w:r>
      <w:r w:rsidRPr="001E5242">
        <w:rPr>
          <w:sz w:val="22"/>
          <w:szCs w:val="22"/>
        </w:rPr>
        <w:t xml:space="preserve"> public health and safety and the common defense and security</w:t>
      </w:r>
      <w:r>
        <w:rPr>
          <w:sz w:val="22"/>
          <w:szCs w:val="22"/>
        </w:rPr>
        <w:t xml:space="preserve"> by reducing safety and security vulnerabilities</w:t>
      </w:r>
      <w:r w:rsidRPr="00BB7711">
        <w:rPr>
          <w:sz w:val="22"/>
          <w:szCs w:val="22"/>
        </w:rPr>
        <w:t>.</w:t>
      </w:r>
    </w:p>
    <w:p w:rsidR="00D520BD" w:rsidP="00D520BD" w:rsidRDefault="00D520BD" w14:paraId="22A856C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 w:val="22"/>
          <w:szCs w:val="22"/>
        </w:rPr>
      </w:pPr>
    </w:p>
    <w:p w:rsidR="00D520BD" w:rsidP="005C6BA3" w:rsidRDefault="00D520BD" w14:paraId="2F152F90" w14:textId="35B8C4D0">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 w:val="22"/>
          <w:szCs w:val="22"/>
        </w:rPr>
      </w:pPr>
      <w:r>
        <w:rPr>
          <w:sz w:val="22"/>
          <w:szCs w:val="22"/>
        </w:rPr>
        <w:t>T</w:t>
      </w:r>
      <w:r w:rsidRPr="001E5242">
        <w:rPr>
          <w:sz w:val="22"/>
          <w:szCs w:val="22"/>
        </w:rPr>
        <w:t xml:space="preserve">he </w:t>
      </w:r>
      <w:r w:rsidR="004856B2">
        <w:rPr>
          <w:sz w:val="22"/>
          <w:szCs w:val="22"/>
        </w:rPr>
        <w:t xml:space="preserve">final </w:t>
      </w:r>
      <w:r w:rsidRPr="001E5242">
        <w:rPr>
          <w:sz w:val="22"/>
          <w:szCs w:val="22"/>
        </w:rPr>
        <w:t xml:space="preserve">rule </w:t>
      </w:r>
      <w:r w:rsidR="004856B2">
        <w:rPr>
          <w:sz w:val="22"/>
          <w:szCs w:val="22"/>
        </w:rPr>
        <w:t>will</w:t>
      </w:r>
      <w:r w:rsidRPr="001E5242">
        <w:rPr>
          <w:sz w:val="22"/>
          <w:szCs w:val="22"/>
        </w:rPr>
        <w:t xml:space="preserve"> improve regulatory </w:t>
      </w:r>
      <w:r>
        <w:rPr>
          <w:sz w:val="22"/>
          <w:szCs w:val="22"/>
        </w:rPr>
        <w:t xml:space="preserve">effectiveness and </w:t>
      </w:r>
      <w:r w:rsidRPr="001E5242">
        <w:rPr>
          <w:sz w:val="22"/>
          <w:szCs w:val="22"/>
        </w:rPr>
        <w:t>efficiency through regulator</w:t>
      </w:r>
      <w:r w:rsidRPr="00BB7711">
        <w:rPr>
          <w:sz w:val="22"/>
          <w:szCs w:val="22"/>
        </w:rPr>
        <w:t>y and compliance improvements.</w:t>
      </w:r>
      <w:r>
        <w:rPr>
          <w:sz w:val="22"/>
          <w:szCs w:val="22"/>
        </w:rPr>
        <w:t xml:space="preserve">  </w:t>
      </w:r>
      <w:r w:rsidRPr="005A5966">
        <w:rPr>
          <w:rFonts w:cs="Arial"/>
          <w:sz w:val="22"/>
          <w:szCs w:val="22"/>
        </w:rPr>
        <w:t xml:space="preserve">Updating </w:t>
      </w:r>
      <w:r>
        <w:rPr>
          <w:rFonts w:cs="Arial"/>
          <w:sz w:val="22"/>
          <w:szCs w:val="22"/>
        </w:rPr>
        <w:t>10 CFR Part 26</w:t>
      </w:r>
      <w:r w:rsidRPr="005A5966">
        <w:rPr>
          <w:rFonts w:cs="Arial"/>
          <w:sz w:val="22"/>
          <w:szCs w:val="22"/>
        </w:rPr>
        <w:t xml:space="preserve"> to be consistent with the </w:t>
      </w:r>
      <w:r>
        <w:rPr>
          <w:rFonts w:cs="Arial"/>
          <w:sz w:val="22"/>
          <w:szCs w:val="22"/>
        </w:rPr>
        <w:t>20</w:t>
      </w:r>
      <w:r w:rsidR="001729D4">
        <w:rPr>
          <w:rFonts w:cs="Arial"/>
          <w:sz w:val="22"/>
          <w:szCs w:val="22"/>
        </w:rPr>
        <w:t>17</w:t>
      </w:r>
      <w:r>
        <w:rPr>
          <w:rFonts w:cs="Arial"/>
          <w:sz w:val="22"/>
          <w:szCs w:val="22"/>
        </w:rPr>
        <w:t> </w:t>
      </w:r>
      <w:r w:rsidRPr="00C3522D">
        <w:rPr>
          <w:rFonts w:cs="Arial"/>
          <w:sz w:val="22"/>
          <w:szCs w:val="22"/>
        </w:rPr>
        <w:t>HHS Guidelines</w:t>
      </w:r>
      <w:r>
        <w:rPr>
          <w:rFonts w:cs="Arial"/>
          <w:sz w:val="22"/>
          <w:szCs w:val="22"/>
        </w:rPr>
        <w:t xml:space="preserve"> (</w:t>
      </w:r>
      <w:r w:rsidR="009B72F4">
        <w:rPr>
          <w:rFonts w:cs="Arial"/>
          <w:sz w:val="22"/>
          <w:szCs w:val="22"/>
        </w:rPr>
        <w:t>82 FR 7920</w:t>
      </w:r>
      <w:r w:rsidR="00DA7596">
        <w:rPr>
          <w:rFonts w:cs="Arial"/>
          <w:sz w:val="22"/>
          <w:szCs w:val="22"/>
        </w:rPr>
        <w:t>;</w:t>
      </w:r>
      <w:r w:rsidR="009B72F4">
        <w:rPr>
          <w:rFonts w:cs="Arial"/>
          <w:sz w:val="22"/>
          <w:szCs w:val="22"/>
        </w:rPr>
        <w:t xml:space="preserve"> January 23</w:t>
      </w:r>
      <w:r w:rsidR="00646A79">
        <w:rPr>
          <w:rFonts w:cs="Arial"/>
          <w:sz w:val="22"/>
          <w:szCs w:val="22"/>
        </w:rPr>
        <w:t>,</w:t>
      </w:r>
      <w:r w:rsidR="009B72F4">
        <w:rPr>
          <w:rFonts w:cs="Arial"/>
          <w:sz w:val="22"/>
          <w:szCs w:val="22"/>
        </w:rPr>
        <w:t xml:space="preserve"> 2017</w:t>
      </w:r>
      <w:r>
        <w:rPr>
          <w:rFonts w:cs="Arial"/>
          <w:sz w:val="22"/>
          <w:szCs w:val="22"/>
        </w:rPr>
        <w:t>)</w:t>
      </w:r>
      <w:r w:rsidRPr="00C3522D">
        <w:rPr>
          <w:rFonts w:cs="Arial"/>
          <w:sz w:val="22"/>
          <w:szCs w:val="22"/>
        </w:rPr>
        <w:t xml:space="preserve"> </w:t>
      </w:r>
      <w:r w:rsidR="004856B2">
        <w:rPr>
          <w:rFonts w:cs="Arial"/>
          <w:sz w:val="22"/>
          <w:szCs w:val="22"/>
        </w:rPr>
        <w:t>will</w:t>
      </w:r>
      <w:r w:rsidRPr="00C3522D">
        <w:rPr>
          <w:rFonts w:cs="Arial"/>
          <w:sz w:val="22"/>
          <w:szCs w:val="22"/>
        </w:rPr>
        <w:t xml:space="preserve"> </w:t>
      </w:r>
      <w:r>
        <w:rPr>
          <w:rFonts w:cs="Arial"/>
          <w:sz w:val="22"/>
          <w:szCs w:val="22"/>
        </w:rPr>
        <w:t>improve the effectiveness of the 10 CFR Part 26</w:t>
      </w:r>
      <w:r w:rsidRPr="00C3522D">
        <w:rPr>
          <w:rFonts w:cs="Arial"/>
          <w:sz w:val="22"/>
          <w:szCs w:val="22"/>
        </w:rPr>
        <w:t xml:space="preserve"> drug testing provisions </w:t>
      </w:r>
      <w:r>
        <w:rPr>
          <w:rFonts w:cs="Arial"/>
          <w:sz w:val="22"/>
          <w:szCs w:val="22"/>
        </w:rPr>
        <w:t xml:space="preserve">by aligning it </w:t>
      </w:r>
      <w:r w:rsidRPr="00C3522D">
        <w:rPr>
          <w:rFonts w:cs="Arial"/>
          <w:sz w:val="22"/>
          <w:szCs w:val="22"/>
        </w:rPr>
        <w:t xml:space="preserve">with </w:t>
      </w:r>
      <w:r>
        <w:rPr>
          <w:rFonts w:cs="Arial"/>
          <w:sz w:val="22"/>
          <w:szCs w:val="22"/>
        </w:rPr>
        <w:t xml:space="preserve">a national drug testing standard used by all </w:t>
      </w:r>
      <w:r w:rsidRPr="00C3522D">
        <w:rPr>
          <w:rFonts w:cs="Arial"/>
          <w:sz w:val="22"/>
          <w:szCs w:val="22"/>
        </w:rPr>
        <w:t>Federal employee workplace drug testing programs (</w:t>
      </w:r>
      <w:r>
        <w:rPr>
          <w:rFonts w:cs="Arial"/>
          <w:sz w:val="22"/>
          <w:szCs w:val="22"/>
        </w:rPr>
        <w:t>more than 100 </w:t>
      </w:r>
      <w:r w:rsidRPr="00C3522D">
        <w:rPr>
          <w:rFonts w:cs="Arial"/>
          <w:sz w:val="22"/>
          <w:szCs w:val="22"/>
        </w:rPr>
        <w:t xml:space="preserve">Federal agencies) and </w:t>
      </w:r>
      <w:r>
        <w:rPr>
          <w:rFonts w:cs="Arial"/>
          <w:sz w:val="22"/>
          <w:szCs w:val="22"/>
        </w:rPr>
        <w:t xml:space="preserve">by </w:t>
      </w:r>
      <w:r w:rsidRPr="00C3522D">
        <w:rPr>
          <w:rFonts w:cs="Arial"/>
          <w:sz w:val="22"/>
          <w:szCs w:val="22"/>
        </w:rPr>
        <w:t xml:space="preserve">comparable Federal agency drug testing programs </w:t>
      </w:r>
      <w:r>
        <w:rPr>
          <w:rFonts w:cs="Arial"/>
          <w:sz w:val="22"/>
          <w:szCs w:val="22"/>
        </w:rPr>
        <w:t>that test civilians in safety- and security-sensitive positions.  Alignment with the 20</w:t>
      </w:r>
      <w:r w:rsidR="001729D4">
        <w:rPr>
          <w:rFonts w:cs="Arial"/>
          <w:sz w:val="22"/>
          <w:szCs w:val="22"/>
        </w:rPr>
        <w:t>17</w:t>
      </w:r>
      <w:r>
        <w:rPr>
          <w:rFonts w:cs="Arial"/>
          <w:sz w:val="22"/>
          <w:szCs w:val="22"/>
        </w:rPr>
        <w:t xml:space="preserve"> HHS Guidelines e</w:t>
      </w:r>
      <w:r w:rsidRPr="005A5966">
        <w:rPr>
          <w:rFonts w:cs="Arial"/>
          <w:sz w:val="22"/>
          <w:szCs w:val="22"/>
        </w:rPr>
        <w:t>nsur</w:t>
      </w:r>
      <w:r>
        <w:rPr>
          <w:rFonts w:cs="Arial"/>
          <w:sz w:val="22"/>
          <w:szCs w:val="22"/>
        </w:rPr>
        <w:t>e</w:t>
      </w:r>
      <w:r w:rsidR="004856B2">
        <w:rPr>
          <w:rFonts w:cs="Arial"/>
          <w:sz w:val="22"/>
          <w:szCs w:val="22"/>
        </w:rPr>
        <w:t>s</w:t>
      </w:r>
      <w:r w:rsidRPr="005A5966">
        <w:rPr>
          <w:rFonts w:cs="Arial"/>
          <w:sz w:val="22"/>
          <w:szCs w:val="22"/>
        </w:rPr>
        <w:t xml:space="preserve"> that </w:t>
      </w:r>
      <w:r w:rsidR="00C72AF6">
        <w:rPr>
          <w:rFonts w:cs="Arial"/>
          <w:sz w:val="22"/>
          <w:szCs w:val="22"/>
        </w:rPr>
        <w:t xml:space="preserve">the </w:t>
      </w:r>
      <w:r>
        <w:rPr>
          <w:rFonts w:cs="Arial"/>
          <w:sz w:val="22"/>
          <w:szCs w:val="22"/>
        </w:rPr>
        <w:t xml:space="preserve">drug testing provisions in 10 CFR Part 26 </w:t>
      </w:r>
      <w:r w:rsidRPr="005A5966">
        <w:rPr>
          <w:rFonts w:cs="Arial"/>
          <w:sz w:val="22"/>
          <w:szCs w:val="22"/>
        </w:rPr>
        <w:t>continue to be scientifically and te</w:t>
      </w:r>
      <w:r>
        <w:rPr>
          <w:rFonts w:cs="Arial"/>
          <w:sz w:val="22"/>
          <w:szCs w:val="22"/>
        </w:rPr>
        <w:t>chnically sound</w:t>
      </w:r>
      <w:r w:rsidR="00646A79">
        <w:rPr>
          <w:rFonts w:cs="Arial"/>
          <w:sz w:val="22"/>
          <w:szCs w:val="22"/>
        </w:rPr>
        <w:t>,</w:t>
      </w:r>
      <w:r>
        <w:rPr>
          <w:rFonts w:cs="Arial"/>
          <w:sz w:val="22"/>
          <w:szCs w:val="22"/>
        </w:rPr>
        <w:t xml:space="preserve"> reduce</w:t>
      </w:r>
      <w:r w:rsidR="0044189C">
        <w:rPr>
          <w:rFonts w:cs="Arial"/>
          <w:sz w:val="22"/>
          <w:szCs w:val="22"/>
        </w:rPr>
        <w:t>s</w:t>
      </w:r>
      <w:r>
        <w:rPr>
          <w:rFonts w:cs="Arial"/>
          <w:sz w:val="22"/>
          <w:szCs w:val="22"/>
        </w:rPr>
        <w:t xml:space="preserve"> administrative burden on licensees and HHS</w:t>
      </w:r>
      <w:r w:rsidR="001729D4">
        <w:rPr>
          <w:rFonts w:cs="Arial"/>
          <w:sz w:val="22"/>
          <w:szCs w:val="22"/>
        </w:rPr>
        <w:noBreakHyphen/>
      </w:r>
      <w:r>
        <w:rPr>
          <w:rFonts w:cs="Arial"/>
          <w:sz w:val="22"/>
          <w:szCs w:val="22"/>
        </w:rPr>
        <w:t>certified laboratories</w:t>
      </w:r>
      <w:r w:rsidR="00646A79">
        <w:rPr>
          <w:rFonts w:cs="Arial"/>
          <w:sz w:val="22"/>
          <w:szCs w:val="22"/>
        </w:rPr>
        <w:t>,</w:t>
      </w:r>
      <w:r>
        <w:rPr>
          <w:rFonts w:cs="Arial"/>
          <w:sz w:val="22"/>
          <w:szCs w:val="22"/>
        </w:rPr>
        <w:t xml:space="preserve"> and help</w:t>
      </w:r>
      <w:r w:rsidR="0044189C">
        <w:rPr>
          <w:rFonts w:cs="Arial"/>
          <w:sz w:val="22"/>
          <w:szCs w:val="22"/>
        </w:rPr>
        <w:t>s</w:t>
      </w:r>
      <w:r>
        <w:rPr>
          <w:rFonts w:cs="Arial"/>
          <w:sz w:val="22"/>
          <w:szCs w:val="22"/>
        </w:rPr>
        <w:t xml:space="preserve"> maintain the public trust.</w:t>
      </w:r>
    </w:p>
    <w:p w:rsidR="00D520BD" w:rsidP="00D520BD" w:rsidRDefault="00D520BD" w14:paraId="5ACE6E0B"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 w:val="22"/>
          <w:szCs w:val="22"/>
        </w:rPr>
      </w:pPr>
    </w:p>
    <w:p w:rsidR="00D520BD" w:rsidP="005C6BA3" w:rsidRDefault="00D520BD" w14:paraId="3C6087D2" w14:textId="77777777">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 w:val="22"/>
          <w:szCs w:val="22"/>
        </w:rPr>
      </w:pPr>
      <w:r>
        <w:rPr>
          <w:sz w:val="22"/>
          <w:szCs w:val="22"/>
        </w:rPr>
        <w:t>A</w:t>
      </w:r>
      <w:r w:rsidRPr="001E5242">
        <w:rPr>
          <w:sz w:val="22"/>
          <w:szCs w:val="22"/>
        </w:rPr>
        <w:t xml:space="preserve"> more robust drug testing program may deter individuals from se</w:t>
      </w:r>
      <w:r>
        <w:rPr>
          <w:sz w:val="22"/>
          <w:szCs w:val="22"/>
        </w:rPr>
        <w:t>eking employment in 10 CFR Part 26</w:t>
      </w:r>
      <w:r w:rsidRPr="001E5242">
        <w:rPr>
          <w:sz w:val="22"/>
          <w:szCs w:val="22"/>
        </w:rPr>
        <w:t xml:space="preserve"> regulated positions</w:t>
      </w:r>
      <w:r>
        <w:rPr>
          <w:sz w:val="22"/>
          <w:szCs w:val="22"/>
        </w:rPr>
        <w:t xml:space="preserve"> by doing the following:</w:t>
      </w:r>
    </w:p>
    <w:p w:rsidR="00D520BD" w:rsidP="00D520BD" w:rsidRDefault="00D520BD" w14:paraId="5E47456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D520BD" w:rsidP="005C6BA3" w:rsidRDefault="00D520BD" w14:paraId="6F3D55A7" w14:textId="7713885E">
      <w:pPr>
        <w:pStyle w:val="Level1"/>
        <w:numPr>
          <w:ilvl w:val="1"/>
          <w:numId w:val="35"/>
        </w:numPr>
        <w:tabs>
          <w:tab w:val="left" w:pos="720"/>
        </w:tabs>
        <w:ind w:hanging="720"/>
        <w:rPr>
          <w:sz w:val="22"/>
          <w:szCs w:val="22"/>
        </w:rPr>
      </w:pPr>
      <w:r w:rsidRPr="002D0AF4">
        <w:rPr>
          <w:i/>
          <w:sz w:val="22"/>
          <w:szCs w:val="22"/>
        </w:rPr>
        <w:t>Expanding</w:t>
      </w:r>
      <w:r w:rsidRPr="00FD6827">
        <w:rPr>
          <w:i/>
          <w:sz w:val="22"/>
        </w:rPr>
        <w:t xml:space="preserve"> the </w:t>
      </w:r>
      <w:r w:rsidRPr="002D0AF4">
        <w:rPr>
          <w:i/>
          <w:sz w:val="22"/>
          <w:szCs w:val="22"/>
        </w:rPr>
        <w:t xml:space="preserve">drug </w:t>
      </w:r>
      <w:r w:rsidRPr="00FD6827">
        <w:rPr>
          <w:i/>
          <w:sz w:val="22"/>
        </w:rPr>
        <w:t xml:space="preserve">testing </w:t>
      </w:r>
      <w:r w:rsidRPr="002D0AF4">
        <w:rPr>
          <w:i/>
          <w:sz w:val="22"/>
          <w:szCs w:val="22"/>
        </w:rPr>
        <w:t>panel and lowering the testing cutoff levels for select drugs</w:t>
      </w:r>
      <w:r>
        <w:rPr>
          <w:i/>
          <w:sz w:val="22"/>
        </w:rPr>
        <w:t>.</w:t>
      </w:r>
      <w:r w:rsidRPr="008F144D">
        <w:rPr>
          <w:sz w:val="22"/>
          <w:szCs w:val="22"/>
        </w:rPr>
        <w:t xml:space="preserve">  Lowering the testing cutoff levels for </w:t>
      </w:r>
      <w:r w:rsidRPr="002C091B">
        <w:rPr>
          <w:sz w:val="22"/>
          <w:szCs w:val="22"/>
        </w:rPr>
        <w:t>amphetamine</w:t>
      </w:r>
      <w:r w:rsidR="00646A79">
        <w:rPr>
          <w:sz w:val="22"/>
          <w:szCs w:val="22"/>
        </w:rPr>
        <w:t>,</w:t>
      </w:r>
      <w:r w:rsidRPr="008F144D">
        <w:rPr>
          <w:sz w:val="22"/>
          <w:szCs w:val="22"/>
        </w:rPr>
        <w:t xml:space="preserve"> cocaine metabolites</w:t>
      </w:r>
      <w:r w:rsidR="00646A79">
        <w:rPr>
          <w:sz w:val="22"/>
          <w:szCs w:val="22"/>
        </w:rPr>
        <w:t>,</w:t>
      </w:r>
      <w:r>
        <w:rPr>
          <w:sz w:val="22"/>
          <w:szCs w:val="22"/>
        </w:rPr>
        <w:t xml:space="preserve"> and </w:t>
      </w:r>
      <w:r w:rsidR="0014299B">
        <w:rPr>
          <w:sz w:val="22"/>
          <w:szCs w:val="22"/>
        </w:rPr>
        <w:t>methamphetamine</w:t>
      </w:r>
      <w:r w:rsidRPr="008F144D">
        <w:rPr>
          <w:sz w:val="22"/>
          <w:szCs w:val="22"/>
        </w:rPr>
        <w:t xml:space="preserve"> increase</w:t>
      </w:r>
      <w:r w:rsidR="005863C8">
        <w:rPr>
          <w:sz w:val="22"/>
          <w:szCs w:val="22"/>
        </w:rPr>
        <w:t>s</w:t>
      </w:r>
      <w:r w:rsidRPr="008F144D">
        <w:rPr>
          <w:sz w:val="22"/>
          <w:szCs w:val="22"/>
        </w:rPr>
        <w:t xml:space="preserve"> the time</w:t>
      </w:r>
      <w:r>
        <w:rPr>
          <w:sz w:val="22"/>
          <w:szCs w:val="22"/>
        </w:rPr>
        <w:t xml:space="preserve">frame </w:t>
      </w:r>
      <w:r w:rsidRPr="008F144D">
        <w:rPr>
          <w:sz w:val="22"/>
          <w:szCs w:val="22"/>
        </w:rPr>
        <w:t>(i.e.</w:t>
      </w:r>
      <w:r w:rsidR="00646A79">
        <w:rPr>
          <w:sz w:val="22"/>
          <w:szCs w:val="22"/>
        </w:rPr>
        <w:t>,</w:t>
      </w:r>
      <w:r>
        <w:rPr>
          <w:sz w:val="22"/>
          <w:szCs w:val="22"/>
        </w:rPr>
        <w:t> </w:t>
      </w:r>
      <w:r w:rsidRPr="008F144D">
        <w:rPr>
          <w:sz w:val="22"/>
          <w:szCs w:val="22"/>
        </w:rPr>
        <w:t>the window of detection)</w:t>
      </w:r>
      <w:r>
        <w:rPr>
          <w:sz w:val="22"/>
          <w:szCs w:val="22"/>
        </w:rPr>
        <w:t xml:space="preserve"> in which these drugs can be detected in an individual’s body after use</w:t>
      </w:r>
      <w:r w:rsidRPr="008F144D">
        <w:rPr>
          <w:sz w:val="22"/>
          <w:szCs w:val="22"/>
        </w:rPr>
        <w:t xml:space="preserve">. </w:t>
      </w:r>
      <w:r>
        <w:rPr>
          <w:sz w:val="22"/>
          <w:szCs w:val="22"/>
        </w:rPr>
        <w:t xml:space="preserve"> </w:t>
      </w:r>
      <w:r w:rsidRPr="008F144D">
        <w:rPr>
          <w:sz w:val="22"/>
          <w:szCs w:val="22"/>
        </w:rPr>
        <w:t>This reduce</w:t>
      </w:r>
      <w:r w:rsidR="005863C8">
        <w:rPr>
          <w:sz w:val="22"/>
          <w:szCs w:val="22"/>
        </w:rPr>
        <w:t>s</w:t>
      </w:r>
      <w:r w:rsidRPr="008F144D">
        <w:rPr>
          <w:sz w:val="22"/>
          <w:szCs w:val="22"/>
        </w:rPr>
        <w:t xml:space="preserve"> the likelihood that individuals </w:t>
      </w:r>
      <w:r w:rsidR="005863C8">
        <w:rPr>
          <w:sz w:val="22"/>
          <w:szCs w:val="22"/>
        </w:rPr>
        <w:t>can</w:t>
      </w:r>
      <w:r w:rsidRPr="008F144D">
        <w:rPr>
          <w:sz w:val="22"/>
          <w:szCs w:val="22"/>
        </w:rPr>
        <w:t xml:space="preserve"> subvert the testing process through temporary abstinence from a drug.  </w:t>
      </w:r>
      <w:r w:rsidR="00022595">
        <w:rPr>
          <w:sz w:val="22"/>
          <w:szCs w:val="22"/>
        </w:rPr>
        <w:t>Adding 6-AM to</w:t>
      </w:r>
      <w:r>
        <w:rPr>
          <w:sz w:val="22"/>
          <w:szCs w:val="22"/>
        </w:rPr>
        <w:t xml:space="preserve"> the initial testing panel </w:t>
      </w:r>
      <w:r w:rsidR="00B710D6">
        <w:rPr>
          <w:sz w:val="22"/>
          <w:szCs w:val="22"/>
        </w:rPr>
        <w:t xml:space="preserve">and </w:t>
      </w:r>
      <w:r w:rsidR="007863DA">
        <w:rPr>
          <w:sz w:val="22"/>
          <w:szCs w:val="22"/>
        </w:rPr>
        <w:t xml:space="preserve">revising </w:t>
      </w:r>
      <w:r>
        <w:rPr>
          <w:sz w:val="22"/>
          <w:szCs w:val="22"/>
        </w:rPr>
        <w:t xml:space="preserve">the confirmatory testing </w:t>
      </w:r>
      <w:r w:rsidR="007863DA">
        <w:rPr>
          <w:sz w:val="22"/>
          <w:szCs w:val="22"/>
        </w:rPr>
        <w:t xml:space="preserve">cutoff </w:t>
      </w:r>
      <w:r w:rsidR="00022595">
        <w:rPr>
          <w:sz w:val="22"/>
          <w:szCs w:val="22"/>
        </w:rPr>
        <w:t>improve</w:t>
      </w:r>
      <w:r w:rsidR="00552419">
        <w:rPr>
          <w:sz w:val="22"/>
          <w:szCs w:val="22"/>
        </w:rPr>
        <w:t>s</w:t>
      </w:r>
      <w:r w:rsidR="00022595">
        <w:rPr>
          <w:sz w:val="22"/>
          <w:szCs w:val="22"/>
        </w:rPr>
        <w:t xml:space="preserve"> the testing method</w:t>
      </w:r>
      <w:r>
        <w:rPr>
          <w:sz w:val="22"/>
          <w:szCs w:val="22"/>
        </w:rPr>
        <w:t xml:space="preserve"> to </w:t>
      </w:r>
      <w:r w:rsidR="00022595">
        <w:rPr>
          <w:sz w:val="22"/>
          <w:szCs w:val="22"/>
        </w:rPr>
        <w:t xml:space="preserve">identify </w:t>
      </w:r>
      <w:r w:rsidR="004256AA">
        <w:rPr>
          <w:sz w:val="22"/>
          <w:szCs w:val="22"/>
        </w:rPr>
        <w:t xml:space="preserve">use of the illegal drug heroin.  </w:t>
      </w:r>
      <w:r w:rsidRPr="002C091B">
        <w:rPr>
          <w:sz w:val="22"/>
          <w:szCs w:val="22"/>
        </w:rPr>
        <w:t xml:space="preserve">Expanding the initial </w:t>
      </w:r>
      <w:r w:rsidRPr="002C091B" w:rsidR="0068452D">
        <w:rPr>
          <w:sz w:val="22"/>
          <w:szCs w:val="22"/>
        </w:rPr>
        <w:t xml:space="preserve">and confirmatory </w:t>
      </w:r>
      <w:r w:rsidRPr="002C091B">
        <w:rPr>
          <w:sz w:val="22"/>
          <w:szCs w:val="22"/>
        </w:rPr>
        <w:t>testing panel</w:t>
      </w:r>
      <w:r w:rsidRPr="002C091B" w:rsidR="0068452D">
        <w:rPr>
          <w:sz w:val="22"/>
          <w:szCs w:val="22"/>
        </w:rPr>
        <w:t>s</w:t>
      </w:r>
      <w:r w:rsidRPr="002C091B">
        <w:rPr>
          <w:sz w:val="22"/>
          <w:szCs w:val="22"/>
        </w:rPr>
        <w:t xml:space="preserve"> to </w:t>
      </w:r>
      <w:r w:rsidR="005C3AA7">
        <w:rPr>
          <w:sz w:val="22"/>
          <w:szCs w:val="22"/>
        </w:rPr>
        <w:t xml:space="preserve">include </w:t>
      </w:r>
      <w:r w:rsidR="00B97089">
        <w:rPr>
          <w:sz w:val="22"/>
          <w:szCs w:val="22"/>
        </w:rPr>
        <w:t>hydrocodone</w:t>
      </w:r>
      <w:r w:rsidRPr="002C091B" w:rsidR="0068452D">
        <w:rPr>
          <w:sz w:val="22"/>
          <w:szCs w:val="22"/>
        </w:rPr>
        <w:t xml:space="preserve">, </w:t>
      </w:r>
      <w:r w:rsidR="00B97089">
        <w:rPr>
          <w:sz w:val="22"/>
          <w:szCs w:val="22"/>
        </w:rPr>
        <w:t>hydromorphone</w:t>
      </w:r>
      <w:r w:rsidRPr="002C091B" w:rsidR="0068452D">
        <w:rPr>
          <w:sz w:val="22"/>
          <w:szCs w:val="22"/>
        </w:rPr>
        <w:t xml:space="preserve">, </w:t>
      </w:r>
      <w:r w:rsidRPr="002C091B">
        <w:rPr>
          <w:sz w:val="22"/>
          <w:szCs w:val="22"/>
        </w:rPr>
        <w:t>MDMA</w:t>
      </w:r>
      <w:r w:rsidRPr="002C091B" w:rsidR="00646A79">
        <w:rPr>
          <w:sz w:val="22"/>
          <w:szCs w:val="22"/>
        </w:rPr>
        <w:t>,</w:t>
      </w:r>
      <w:r w:rsidRPr="002C091B">
        <w:rPr>
          <w:sz w:val="22"/>
          <w:szCs w:val="22"/>
        </w:rPr>
        <w:t xml:space="preserve"> </w:t>
      </w:r>
      <w:r w:rsidRPr="002C091B" w:rsidR="00B710D6">
        <w:rPr>
          <w:sz w:val="22"/>
          <w:szCs w:val="22"/>
        </w:rPr>
        <w:t>MDA</w:t>
      </w:r>
      <w:r w:rsidRPr="002C091B" w:rsidR="0068452D">
        <w:rPr>
          <w:sz w:val="22"/>
          <w:szCs w:val="22"/>
        </w:rPr>
        <w:t xml:space="preserve">, </w:t>
      </w:r>
      <w:r w:rsidR="0043084F">
        <w:rPr>
          <w:sz w:val="22"/>
          <w:szCs w:val="22"/>
        </w:rPr>
        <w:t>oxycodone</w:t>
      </w:r>
      <w:r w:rsidRPr="002C091B" w:rsidR="0068452D">
        <w:rPr>
          <w:sz w:val="22"/>
          <w:szCs w:val="22"/>
        </w:rPr>
        <w:t>,</w:t>
      </w:r>
      <w:r w:rsidR="00206963">
        <w:rPr>
          <w:sz w:val="22"/>
          <w:szCs w:val="22"/>
        </w:rPr>
        <w:t xml:space="preserve"> and</w:t>
      </w:r>
      <w:r>
        <w:rPr>
          <w:sz w:val="22"/>
          <w:szCs w:val="22"/>
        </w:rPr>
        <w:t xml:space="preserve"> </w:t>
      </w:r>
      <w:r w:rsidR="00BB1FB1">
        <w:rPr>
          <w:sz w:val="22"/>
          <w:szCs w:val="22"/>
        </w:rPr>
        <w:t>oxymorphone</w:t>
      </w:r>
      <w:r>
        <w:rPr>
          <w:sz w:val="22"/>
          <w:szCs w:val="22"/>
        </w:rPr>
        <w:t xml:space="preserve"> improve</w:t>
      </w:r>
      <w:r w:rsidR="00512757">
        <w:rPr>
          <w:sz w:val="22"/>
          <w:szCs w:val="22"/>
        </w:rPr>
        <w:t>s</w:t>
      </w:r>
      <w:r>
        <w:rPr>
          <w:sz w:val="22"/>
          <w:szCs w:val="22"/>
        </w:rPr>
        <w:t xml:space="preserve"> the trustworthiness and reliability of the workforce </w:t>
      </w:r>
      <w:r w:rsidR="002E1573">
        <w:rPr>
          <w:sz w:val="22"/>
          <w:szCs w:val="22"/>
        </w:rPr>
        <w:t>by enabling</w:t>
      </w:r>
      <w:r>
        <w:rPr>
          <w:sz w:val="22"/>
          <w:szCs w:val="22"/>
        </w:rPr>
        <w:t xml:space="preserve"> the identification of individuals using illegal drugs or misusing legal drugs </w:t>
      </w:r>
      <w:r w:rsidR="00512757">
        <w:rPr>
          <w:sz w:val="22"/>
          <w:szCs w:val="22"/>
        </w:rPr>
        <w:t xml:space="preserve">and the resulting </w:t>
      </w:r>
      <w:r>
        <w:rPr>
          <w:sz w:val="22"/>
          <w:szCs w:val="22"/>
        </w:rPr>
        <w:t>deni</w:t>
      </w:r>
      <w:r w:rsidR="00512757">
        <w:rPr>
          <w:sz w:val="22"/>
          <w:szCs w:val="22"/>
        </w:rPr>
        <w:t>al</w:t>
      </w:r>
      <w:r w:rsidR="00BB0B5F">
        <w:rPr>
          <w:sz w:val="22"/>
          <w:szCs w:val="22"/>
        </w:rPr>
        <w:t>s</w:t>
      </w:r>
      <w:r>
        <w:rPr>
          <w:sz w:val="22"/>
          <w:szCs w:val="22"/>
        </w:rPr>
        <w:t xml:space="preserve"> </w:t>
      </w:r>
      <w:r w:rsidR="00512757">
        <w:rPr>
          <w:sz w:val="22"/>
          <w:szCs w:val="22"/>
        </w:rPr>
        <w:t>of</w:t>
      </w:r>
      <w:r>
        <w:rPr>
          <w:sz w:val="22"/>
          <w:szCs w:val="22"/>
        </w:rPr>
        <w:t xml:space="preserve"> unescorted access authorization.</w:t>
      </w:r>
    </w:p>
    <w:p w:rsidR="00D520BD" w:rsidP="00D520BD" w:rsidRDefault="00D520BD" w14:paraId="1F0BE972" w14:textId="77777777">
      <w:pPr>
        <w:pStyle w:val="Level1"/>
        <w:tabs>
          <w:tab w:val="left" w:pos="720"/>
        </w:tabs>
        <w:ind w:hanging="720"/>
        <w:rPr>
          <w:sz w:val="22"/>
          <w:szCs w:val="22"/>
        </w:rPr>
      </w:pPr>
    </w:p>
    <w:p w:rsidRPr="00B10C2E" w:rsidR="00D520BD" w:rsidP="005C6BA3" w:rsidRDefault="00D520BD" w14:paraId="270784F8" w14:textId="00396A89">
      <w:pPr>
        <w:pStyle w:val="Level1"/>
        <w:numPr>
          <w:ilvl w:val="1"/>
          <w:numId w:val="35"/>
        </w:numPr>
        <w:tabs>
          <w:tab w:val="left" w:pos="720"/>
        </w:tabs>
        <w:ind w:hanging="720"/>
        <w:rPr>
          <w:sz w:val="22"/>
          <w:szCs w:val="22"/>
        </w:rPr>
      </w:pPr>
      <w:r w:rsidRPr="00595D7B">
        <w:rPr>
          <w:i/>
          <w:sz w:val="22"/>
          <w:szCs w:val="22"/>
        </w:rPr>
        <w:t>Requiring and expanding special analys</w:t>
      </w:r>
      <w:r>
        <w:rPr>
          <w:i/>
          <w:sz w:val="22"/>
          <w:szCs w:val="22"/>
        </w:rPr>
        <w:t>e</w:t>
      </w:r>
      <w:r w:rsidRPr="00595D7B">
        <w:rPr>
          <w:i/>
          <w:sz w:val="22"/>
          <w:szCs w:val="22"/>
        </w:rPr>
        <w:t>s testing</w:t>
      </w:r>
      <w:r>
        <w:rPr>
          <w:sz w:val="22"/>
          <w:szCs w:val="22"/>
        </w:rPr>
        <w:t>.</w:t>
      </w:r>
      <w:r w:rsidRPr="00595D7B">
        <w:rPr>
          <w:sz w:val="22"/>
          <w:szCs w:val="22"/>
        </w:rPr>
        <w:t xml:space="preserve"> </w:t>
      </w:r>
      <w:r>
        <w:rPr>
          <w:sz w:val="22"/>
          <w:szCs w:val="22"/>
        </w:rPr>
        <w:t xml:space="preserve"> </w:t>
      </w:r>
      <w:r w:rsidRPr="004A599F">
        <w:rPr>
          <w:sz w:val="22"/>
          <w:szCs w:val="22"/>
          <w:shd w:val="clear" w:color="auto" w:fill="FFFFFF" w:themeFill="background1"/>
        </w:rPr>
        <w:t xml:space="preserve">Requiring special analyses </w:t>
      </w:r>
      <w:r w:rsidRPr="0011452D">
        <w:rPr>
          <w:sz w:val="22"/>
          <w:szCs w:val="22"/>
        </w:rPr>
        <w:t>testing</w:t>
      </w:r>
      <w:r w:rsidRPr="008D4FED">
        <w:rPr>
          <w:sz w:val="22"/>
          <w:szCs w:val="22"/>
          <w:shd w:val="clear" w:color="auto" w:fill="FFFFFF" w:themeFill="background1"/>
        </w:rPr>
        <w:t xml:space="preserve"> on</w:t>
      </w:r>
      <w:r w:rsidRPr="004A599F">
        <w:rPr>
          <w:sz w:val="22"/>
          <w:szCs w:val="22"/>
          <w:shd w:val="clear" w:color="auto" w:fill="FFFFFF" w:themeFill="background1"/>
        </w:rPr>
        <w:t xml:space="preserve"> dilute specimens and expanding special analyses</w:t>
      </w:r>
      <w:r>
        <w:rPr>
          <w:sz w:val="22"/>
          <w:szCs w:val="22"/>
          <w:shd w:val="clear" w:color="auto" w:fill="FFFFFF" w:themeFill="background1"/>
        </w:rPr>
        <w:t xml:space="preserve"> testing</w:t>
      </w:r>
      <w:r w:rsidRPr="004A599F">
        <w:rPr>
          <w:sz w:val="22"/>
          <w:szCs w:val="22"/>
          <w:shd w:val="clear" w:color="auto" w:fill="FFFFFF" w:themeFill="background1"/>
        </w:rPr>
        <w:t xml:space="preserve"> </w:t>
      </w:r>
      <w:r w:rsidRPr="001A717D">
        <w:rPr>
          <w:sz w:val="22"/>
          <w:szCs w:val="22"/>
          <w:shd w:val="clear" w:color="auto" w:fill="FFFFFF" w:themeFill="background1"/>
        </w:rPr>
        <w:t xml:space="preserve">to specimens collected under direct observation </w:t>
      </w:r>
      <w:r w:rsidRPr="004A599F">
        <w:rPr>
          <w:sz w:val="22"/>
          <w:szCs w:val="22"/>
          <w:shd w:val="clear" w:color="auto" w:fill="FFFFFF" w:themeFill="background1"/>
        </w:rPr>
        <w:t>reduce</w:t>
      </w:r>
      <w:r w:rsidR="00E610DF">
        <w:rPr>
          <w:sz w:val="22"/>
          <w:szCs w:val="22"/>
          <w:shd w:val="clear" w:color="auto" w:fill="FFFFFF" w:themeFill="background1"/>
        </w:rPr>
        <w:t>s</w:t>
      </w:r>
      <w:r w:rsidRPr="004A599F">
        <w:rPr>
          <w:sz w:val="22"/>
          <w:szCs w:val="22"/>
          <w:shd w:val="clear" w:color="auto" w:fill="FFFFFF" w:themeFill="background1"/>
        </w:rPr>
        <w:t xml:space="preserve"> the likelihood that individuals </w:t>
      </w:r>
      <w:r w:rsidR="00E610DF">
        <w:rPr>
          <w:sz w:val="22"/>
          <w:szCs w:val="22"/>
          <w:shd w:val="clear" w:color="auto" w:fill="FFFFFF" w:themeFill="background1"/>
        </w:rPr>
        <w:t xml:space="preserve">can </w:t>
      </w:r>
      <w:r w:rsidRPr="004A599F">
        <w:rPr>
          <w:sz w:val="22"/>
          <w:szCs w:val="22"/>
          <w:shd w:val="clear" w:color="auto" w:fill="FFFFFF" w:themeFill="background1"/>
        </w:rPr>
        <w:t xml:space="preserve">subvert the testing process.  </w:t>
      </w:r>
      <w:r w:rsidR="006B728B">
        <w:rPr>
          <w:sz w:val="22"/>
          <w:szCs w:val="22"/>
          <w:shd w:val="clear" w:color="auto" w:fill="FFFFFF" w:themeFill="background1"/>
        </w:rPr>
        <w:t>Similarly</w:t>
      </w:r>
      <w:r w:rsidR="00646A79">
        <w:rPr>
          <w:sz w:val="22"/>
          <w:szCs w:val="22"/>
          <w:shd w:val="clear" w:color="auto" w:fill="FFFFFF" w:themeFill="background1"/>
        </w:rPr>
        <w:t>,</w:t>
      </w:r>
      <w:r w:rsidRPr="004A599F">
        <w:rPr>
          <w:sz w:val="22"/>
          <w:szCs w:val="22"/>
          <w:shd w:val="clear" w:color="auto" w:fill="FFFFFF" w:themeFill="background1"/>
        </w:rPr>
        <w:t xml:space="preserve"> </w:t>
      </w:r>
      <w:r w:rsidRPr="004A599F">
        <w:rPr>
          <w:rFonts w:cs="Arial"/>
          <w:sz w:val="22"/>
          <w:szCs w:val="22"/>
          <w:shd w:val="clear" w:color="auto" w:fill="FFFFFF" w:themeFill="background1"/>
        </w:rPr>
        <w:t xml:space="preserve">using the LOQ instead of </w:t>
      </w:r>
      <w:r>
        <w:rPr>
          <w:rFonts w:cs="Arial"/>
          <w:sz w:val="22"/>
          <w:szCs w:val="22"/>
          <w:shd w:val="clear" w:color="auto" w:fill="FFFFFF" w:themeFill="background1"/>
        </w:rPr>
        <w:t xml:space="preserve">the </w:t>
      </w:r>
      <w:r w:rsidRPr="004A599F">
        <w:rPr>
          <w:rFonts w:cs="Arial"/>
          <w:sz w:val="22"/>
          <w:szCs w:val="22"/>
          <w:shd w:val="clear" w:color="auto" w:fill="FFFFFF" w:themeFill="background1"/>
        </w:rPr>
        <w:t>LOD as the level at which confirmatory</w:t>
      </w:r>
      <w:r>
        <w:rPr>
          <w:rFonts w:cs="Arial"/>
          <w:sz w:val="22"/>
          <w:szCs w:val="22"/>
          <w:shd w:val="clear" w:color="auto" w:fill="FFFFFF" w:themeFill="background1"/>
        </w:rPr>
        <w:t xml:space="preserve"> drug</w:t>
      </w:r>
      <w:r w:rsidRPr="004A599F">
        <w:rPr>
          <w:rFonts w:cs="Arial"/>
          <w:sz w:val="22"/>
          <w:szCs w:val="22"/>
          <w:shd w:val="clear" w:color="auto" w:fill="FFFFFF" w:themeFill="background1"/>
        </w:rPr>
        <w:t xml:space="preserve"> testing is to be conducted increase</w:t>
      </w:r>
      <w:r w:rsidR="000303B5">
        <w:rPr>
          <w:rFonts w:cs="Arial"/>
          <w:sz w:val="22"/>
          <w:szCs w:val="22"/>
          <w:shd w:val="clear" w:color="auto" w:fill="FFFFFF" w:themeFill="background1"/>
        </w:rPr>
        <w:t>s</w:t>
      </w:r>
      <w:r w:rsidRPr="004A599F">
        <w:rPr>
          <w:rFonts w:cs="Arial"/>
          <w:sz w:val="22"/>
          <w:szCs w:val="22"/>
          <w:shd w:val="clear" w:color="auto" w:fill="FFFFFF" w:themeFill="background1"/>
        </w:rPr>
        <w:t xml:space="preserve"> the assurance </w:t>
      </w:r>
      <w:r>
        <w:rPr>
          <w:rFonts w:cs="Arial"/>
          <w:sz w:val="22"/>
          <w:szCs w:val="22"/>
          <w:shd w:val="clear" w:color="auto" w:fill="FFFFFF" w:themeFill="background1"/>
        </w:rPr>
        <w:t>provided by</w:t>
      </w:r>
      <w:r w:rsidRPr="004A599F">
        <w:rPr>
          <w:rFonts w:cs="Arial"/>
          <w:sz w:val="22"/>
          <w:szCs w:val="22"/>
          <w:shd w:val="clear" w:color="auto" w:fill="FFFFFF" w:themeFill="background1"/>
        </w:rPr>
        <w:t xml:space="preserve"> special analyses testing</w:t>
      </w:r>
      <w:r>
        <w:rPr>
          <w:rFonts w:cs="Arial"/>
          <w:sz w:val="22"/>
          <w:szCs w:val="22"/>
          <w:shd w:val="clear" w:color="auto" w:fill="FFFFFF" w:themeFill="background1"/>
        </w:rPr>
        <w:t xml:space="preserve"> by adding a level of precision to the testing method</w:t>
      </w:r>
      <w:r w:rsidRPr="004A599F">
        <w:rPr>
          <w:sz w:val="22"/>
          <w:szCs w:val="22"/>
          <w:shd w:val="clear" w:color="auto" w:fill="FFFFFF" w:themeFill="background1"/>
        </w:rPr>
        <w:t xml:space="preserve">. </w:t>
      </w:r>
      <w:r>
        <w:rPr>
          <w:sz w:val="22"/>
          <w:szCs w:val="22"/>
          <w:shd w:val="clear" w:color="auto" w:fill="FFFFFF" w:themeFill="background1"/>
        </w:rPr>
        <w:t xml:space="preserve"> </w:t>
      </w:r>
      <w:r w:rsidRPr="004A599F">
        <w:rPr>
          <w:rFonts w:cs="Arial"/>
          <w:sz w:val="22"/>
          <w:szCs w:val="22"/>
          <w:shd w:val="clear" w:color="auto" w:fill="FFFFFF" w:themeFill="background1"/>
        </w:rPr>
        <w:t xml:space="preserve">These changes enhance the detection </w:t>
      </w:r>
      <w:r>
        <w:rPr>
          <w:rFonts w:cs="Arial"/>
          <w:sz w:val="22"/>
          <w:szCs w:val="22"/>
          <w:shd w:val="clear" w:color="auto" w:fill="FFFFFF" w:themeFill="background1"/>
        </w:rPr>
        <w:t xml:space="preserve">of </w:t>
      </w:r>
      <w:r w:rsidRPr="004A599F">
        <w:rPr>
          <w:rFonts w:cs="Arial"/>
          <w:sz w:val="22"/>
          <w:szCs w:val="22"/>
          <w:shd w:val="clear" w:color="auto" w:fill="FFFFFF" w:themeFill="background1"/>
        </w:rPr>
        <w:t xml:space="preserve">drugs </w:t>
      </w:r>
      <w:r>
        <w:rPr>
          <w:rFonts w:cs="Arial"/>
          <w:sz w:val="22"/>
          <w:szCs w:val="22"/>
          <w:shd w:val="clear" w:color="auto" w:fill="FFFFFF" w:themeFill="background1"/>
        </w:rPr>
        <w:t xml:space="preserve">in </w:t>
      </w:r>
      <w:r w:rsidRPr="004A599F">
        <w:rPr>
          <w:rFonts w:cs="Arial"/>
          <w:sz w:val="22"/>
          <w:szCs w:val="22"/>
          <w:shd w:val="clear" w:color="auto" w:fill="FFFFFF" w:themeFill="background1"/>
        </w:rPr>
        <w:t xml:space="preserve">specimens </w:t>
      </w:r>
      <w:r>
        <w:rPr>
          <w:rFonts w:cs="Arial"/>
          <w:sz w:val="22"/>
          <w:szCs w:val="22"/>
          <w:shd w:val="clear" w:color="auto" w:fill="FFFFFF" w:themeFill="background1"/>
        </w:rPr>
        <w:t xml:space="preserve">that </w:t>
      </w:r>
      <w:r w:rsidRPr="004A599F">
        <w:rPr>
          <w:rFonts w:cs="Arial"/>
          <w:sz w:val="22"/>
          <w:szCs w:val="22"/>
          <w:shd w:val="clear" w:color="auto" w:fill="FFFFFF" w:themeFill="background1"/>
        </w:rPr>
        <w:t>do not present normal physiological characteristics.</w:t>
      </w:r>
      <w:r>
        <w:rPr>
          <w:sz w:val="22"/>
          <w:szCs w:val="22"/>
        </w:rPr>
        <w:t xml:space="preserve">  The i</w:t>
      </w:r>
      <w:r w:rsidRPr="00211BF4">
        <w:rPr>
          <w:sz w:val="22"/>
          <w:szCs w:val="22"/>
          <w:shd w:val="clear" w:color="auto" w:fill="FFFFFF" w:themeFill="background1"/>
        </w:rPr>
        <w:t>dentification of additional persons using illegal drugs</w:t>
      </w:r>
      <w:r w:rsidR="00646A79">
        <w:rPr>
          <w:sz w:val="22"/>
          <w:szCs w:val="22"/>
          <w:shd w:val="clear" w:color="auto" w:fill="FFFFFF" w:themeFill="background1"/>
        </w:rPr>
        <w:t>,</w:t>
      </w:r>
      <w:r w:rsidRPr="00211BF4">
        <w:rPr>
          <w:sz w:val="22"/>
          <w:szCs w:val="22"/>
          <w:shd w:val="clear" w:color="auto" w:fill="FFFFFF" w:themeFill="background1"/>
        </w:rPr>
        <w:t xml:space="preserve"> misusing legal drugs</w:t>
      </w:r>
      <w:r w:rsidR="00646A79">
        <w:rPr>
          <w:sz w:val="22"/>
          <w:szCs w:val="22"/>
          <w:shd w:val="clear" w:color="auto" w:fill="FFFFFF" w:themeFill="background1"/>
        </w:rPr>
        <w:t>,</w:t>
      </w:r>
      <w:r w:rsidRPr="00211BF4">
        <w:rPr>
          <w:sz w:val="22"/>
          <w:szCs w:val="22"/>
          <w:shd w:val="clear" w:color="auto" w:fill="FFFFFF" w:themeFill="background1"/>
        </w:rPr>
        <w:t xml:space="preserve"> or attempting to subvert the drug testing process </w:t>
      </w:r>
      <w:r>
        <w:rPr>
          <w:sz w:val="22"/>
          <w:szCs w:val="22"/>
          <w:shd w:val="clear" w:color="auto" w:fill="FFFFFF" w:themeFill="background1"/>
        </w:rPr>
        <w:t>improve</w:t>
      </w:r>
      <w:r w:rsidR="000303B5">
        <w:rPr>
          <w:sz w:val="22"/>
          <w:szCs w:val="22"/>
          <w:shd w:val="clear" w:color="auto" w:fill="FFFFFF" w:themeFill="background1"/>
        </w:rPr>
        <w:t>s</w:t>
      </w:r>
      <w:r w:rsidRPr="00211BF4">
        <w:rPr>
          <w:sz w:val="22"/>
          <w:szCs w:val="22"/>
          <w:shd w:val="clear" w:color="auto" w:fill="FFFFFF" w:themeFill="background1"/>
        </w:rPr>
        <w:t xml:space="preserve"> </w:t>
      </w:r>
      <w:r w:rsidRPr="00211BF4">
        <w:rPr>
          <w:sz w:val="22"/>
          <w:szCs w:val="22"/>
        </w:rPr>
        <w:t>the trustworthiness and reliability of the workforce by denying unescorted access authorization to these individuals.</w:t>
      </w:r>
    </w:p>
    <w:p w:rsidRPr="00211BF4" w:rsidR="00D520BD" w:rsidP="00D520BD" w:rsidRDefault="00D520BD" w14:paraId="6684EDAA" w14:textId="77777777">
      <w:pPr>
        <w:pStyle w:val="Level1"/>
        <w:tabs>
          <w:tab w:val="left" w:pos="720"/>
        </w:tabs>
        <w:ind w:left="1440"/>
        <w:rPr>
          <w:sz w:val="22"/>
          <w:szCs w:val="22"/>
        </w:rPr>
      </w:pPr>
    </w:p>
    <w:p w:rsidR="00D520BD" w:rsidP="005C6BA3" w:rsidRDefault="00D520BD" w14:paraId="149E8F37" w14:textId="3E8860BB">
      <w:pPr>
        <w:pStyle w:val="Level1"/>
        <w:numPr>
          <w:ilvl w:val="1"/>
          <w:numId w:val="35"/>
        </w:numPr>
        <w:tabs>
          <w:tab w:val="left" w:pos="720"/>
        </w:tabs>
        <w:spacing w:after="220"/>
        <w:ind w:hanging="720"/>
        <w:rPr>
          <w:sz w:val="22"/>
          <w:szCs w:val="22"/>
        </w:rPr>
      </w:pPr>
      <w:r>
        <w:rPr>
          <w:i/>
          <w:sz w:val="22"/>
        </w:rPr>
        <w:t xml:space="preserve">Enhancing FFD </w:t>
      </w:r>
      <w:r w:rsidRPr="00FD6827">
        <w:rPr>
          <w:i/>
          <w:sz w:val="22"/>
        </w:rPr>
        <w:t>program integrity and protection of individual rights</w:t>
      </w:r>
      <w:r>
        <w:rPr>
          <w:i/>
          <w:sz w:val="22"/>
        </w:rPr>
        <w:t>.</w:t>
      </w:r>
      <w:r w:rsidRPr="008F144D">
        <w:rPr>
          <w:sz w:val="22"/>
          <w:szCs w:val="22"/>
        </w:rPr>
        <w:t xml:space="preserve">  By </w:t>
      </w:r>
      <w:r>
        <w:rPr>
          <w:sz w:val="22"/>
          <w:szCs w:val="22"/>
        </w:rPr>
        <w:t xml:space="preserve">adding </w:t>
      </w:r>
      <w:r w:rsidRPr="008F144D">
        <w:rPr>
          <w:sz w:val="22"/>
          <w:szCs w:val="22"/>
        </w:rPr>
        <w:t xml:space="preserve">MRO </w:t>
      </w:r>
      <w:r>
        <w:rPr>
          <w:sz w:val="22"/>
          <w:szCs w:val="22"/>
        </w:rPr>
        <w:t xml:space="preserve">review </w:t>
      </w:r>
      <w:r w:rsidRPr="008F144D">
        <w:rPr>
          <w:sz w:val="22"/>
          <w:szCs w:val="22"/>
        </w:rPr>
        <w:t>procedures</w:t>
      </w:r>
      <w:r>
        <w:rPr>
          <w:sz w:val="22"/>
          <w:szCs w:val="22"/>
        </w:rPr>
        <w:t xml:space="preserve"> for invalid validity test results </w:t>
      </w:r>
      <w:r w:rsidR="00C63861">
        <w:rPr>
          <w:sz w:val="22"/>
          <w:szCs w:val="22"/>
        </w:rPr>
        <w:t xml:space="preserve">due to </w:t>
      </w:r>
      <w:r>
        <w:rPr>
          <w:sz w:val="22"/>
          <w:szCs w:val="22"/>
        </w:rPr>
        <w:t>high pH values and clarifying the requirements for MRO actions when a donor requests the testing of a Bottle B specimen or a retest of a single specimen</w:t>
      </w:r>
      <w:r w:rsidR="00646A79">
        <w:rPr>
          <w:sz w:val="22"/>
          <w:szCs w:val="22"/>
        </w:rPr>
        <w:t>,</w:t>
      </w:r>
      <w:r w:rsidRPr="008F144D">
        <w:rPr>
          <w:sz w:val="22"/>
          <w:szCs w:val="22"/>
        </w:rPr>
        <w:t xml:space="preserve"> the </w:t>
      </w:r>
      <w:r w:rsidR="004856B2">
        <w:rPr>
          <w:sz w:val="22"/>
          <w:szCs w:val="22"/>
        </w:rPr>
        <w:t xml:space="preserve">final </w:t>
      </w:r>
      <w:r w:rsidRPr="008F144D">
        <w:rPr>
          <w:sz w:val="22"/>
          <w:szCs w:val="22"/>
        </w:rPr>
        <w:t>rule enhance</w:t>
      </w:r>
      <w:r w:rsidR="000303B5">
        <w:rPr>
          <w:sz w:val="22"/>
          <w:szCs w:val="22"/>
        </w:rPr>
        <w:t>s</w:t>
      </w:r>
      <w:r w:rsidRPr="008F144D">
        <w:rPr>
          <w:sz w:val="22"/>
          <w:szCs w:val="22"/>
        </w:rPr>
        <w:t xml:space="preserve"> consistency </w:t>
      </w:r>
      <w:r>
        <w:rPr>
          <w:sz w:val="22"/>
          <w:szCs w:val="22"/>
        </w:rPr>
        <w:t>with the 2008 HHS Guidelines</w:t>
      </w:r>
      <w:r w:rsidR="00646A79">
        <w:rPr>
          <w:sz w:val="22"/>
          <w:szCs w:val="22"/>
        </w:rPr>
        <w:t>,</w:t>
      </w:r>
      <w:r w:rsidRPr="008F144D">
        <w:rPr>
          <w:sz w:val="22"/>
          <w:szCs w:val="22"/>
        </w:rPr>
        <w:t xml:space="preserve"> </w:t>
      </w:r>
      <w:r>
        <w:rPr>
          <w:sz w:val="22"/>
          <w:szCs w:val="22"/>
        </w:rPr>
        <w:t xml:space="preserve">FFD </w:t>
      </w:r>
      <w:r w:rsidRPr="008F144D">
        <w:rPr>
          <w:sz w:val="22"/>
          <w:szCs w:val="22"/>
        </w:rPr>
        <w:t>program integrity</w:t>
      </w:r>
      <w:r w:rsidR="00646A79">
        <w:rPr>
          <w:sz w:val="22"/>
          <w:szCs w:val="22"/>
        </w:rPr>
        <w:t>,</w:t>
      </w:r>
      <w:r w:rsidRPr="008F144D">
        <w:rPr>
          <w:sz w:val="22"/>
          <w:szCs w:val="22"/>
        </w:rPr>
        <w:t xml:space="preserve"> and </w:t>
      </w:r>
      <w:r>
        <w:rPr>
          <w:sz w:val="22"/>
          <w:szCs w:val="22"/>
        </w:rPr>
        <w:t xml:space="preserve">the </w:t>
      </w:r>
      <w:r w:rsidRPr="008F144D">
        <w:rPr>
          <w:sz w:val="22"/>
          <w:szCs w:val="22"/>
        </w:rPr>
        <w:t>protection of individual rights.</w:t>
      </w:r>
      <w:r>
        <w:rPr>
          <w:sz w:val="22"/>
          <w:szCs w:val="22"/>
        </w:rPr>
        <w:t xml:space="preserve">  Requiring the use of the LOQ instead of the LOD as the decision point for validity testing protocols for dilute and adulterated specimens also enhances the protection of individual rights because the LOQ adds a level of precision to the testing method.</w:t>
      </w:r>
    </w:p>
    <w:p w:rsidRPr="00801B94" w:rsidR="00F13BDC" w:rsidP="005C6BA3" w:rsidRDefault="00F13BDC" w14:paraId="31E6AC85" w14:textId="365CD4A6">
      <w:pPr>
        <w:pStyle w:val="Level1"/>
        <w:numPr>
          <w:ilvl w:val="1"/>
          <w:numId w:val="35"/>
        </w:numPr>
        <w:tabs>
          <w:tab w:val="left" w:pos="720"/>
        </w:tabs>
        <w:spacing w:after="220"/>
        <w:ind w:hanging="720"/>
        <w:rPr>
          <w:sz w:val="22"/>
          <w:szCs w:val="22"/>
        </w:rPr>
      </w:pPr>
      <w:r w:rsidRPr="00801B94">
        <w:rPr>
          <w:i/>
          <w:sz w:val="22"/>
          <w:szCs w:val="22"/>
        </w:rPr>
        <w:t xml:space="preserve">Enhancing protection of individual rights </w:t>
      </w:r>
      <w:r w:rsidRPr="00801B94" w:rsidR="00427A8C">
        <w:rPr>
          <w:i/>
          <w:sz w:val="22"/>
          <w:szCs w:val="22"/>
        </w:rPr>
        <w:t>by allowing for</w:t>
      </w:r>
      <w:r w:rsidRPr="00801B94">
        <w:rPr>
          <w:i/>
          <w:sz w:val="22"/>
          <w:szCs w:val="22"/>
        </w:rPr>
        <w:t xml:space="preserve"> alternative specimens.</w:t>
      </w:r>
      <w:r w:rsidRPr="00801B94">
        <w:rPr>
          <w:sz w:val="22"/>
          <w:szCs w:val="22"/>
        </w:rPr>
        <w:t xml:space="preserve">  </w:t>
      </w:r>
      <w:r w:rsidR="00666848">
        <w:rPr>
          <w:sz w:val="22"/>
          <w:szCs w:val="22"/>
        </w:rPr>
        <w:t>A</w:t>
      </w:r>
      <w:r w:rsidRPr="00801B94">
        <w:rPr>
          <w:sz w:val="22"/>
          <w:szCs w:val="22"/>
        </w:rPr>
        <w:t xml:space="preserve">llowing </w:t>
      </w:r>
      <w:r w:rsidRPr="00801B94">
        <w:rPr>
          <w:rFonts w:cs="Arial"/>
          <w:sz w:val="22"/>
          <w:szCs w:val="22"/>
        </w:rPr>
        <w:t xml:space="preserve">for the collection and testing of an </w:t>
      </w:r>
      <w:r w:rsidRPr="00801B94" w:rsidR="00235593">
        <w:rPr>
          <w:rFonts w:cs="Arial"/>
          <w:sz w:val="22"/>
          <w:szCs w:val="22"/>
        </w:rPr>
        <w:t>alternative</w:t>
      </w:r>
      <w:r w:rsidRPr="00801B94">
        <w:rPr>
          <w:rFonts w:cs="Arial"/>
          <w:sz w:val="22"/>
          <w:szCs w:val="22"/>
        </w:rPr>
        <w:t xml:space="preserve"> specimen (oral fluid) </w:t>
      </w:r>
      <w:r w:rsidR="007C3B7E">
        <w:rPr>
          <w:rFonts w:cs="Arial"/>
          <w:sz w:val="22"/>
          <w:szCs w:val="22"/>
        </w:rPr>
        <w:t>instead of</w:t>
      </w:r>
      <w:r w:rsidRPr="00801B94" w:rsidR="00A442D8">
        <w:rPr>
          <w:rFonts w:cs="Arial"/>
          <w:sz w:val="22"/>
          <w:szCs w:val="22"/>
        </w:rPr>
        <w:t xml:space="preserve"> the collection of an observed urine specimen </w:t>
      </w:r>
      <w:r w:rsidRPr="00801B94" w:rsidR="00427A8C">
        <w:rPr>
          <w:sz w:val="22"/>
          <w:szCs w:val="22"/>
        </w:rPr>
        <w:t>enhance</w:t>
      </w:r>
      <w:r w:rsidRPr="00801B94" w:rsidR="005F1BCA">
        <w:rPr>
          <w:sz w:val="22"/>
          <w:szCs w:val="22"/>
        </w:rPr>
        <w:t>s</w:t>
      </w:r>
      <w:r w:rsidR="007C3B7E">
        <w:rPr>
          <w:sz w:val="22"/>
          <w:szCs w:val="22"/>
        </w:rPr>
        <w:t xml:space="preserve"> the</w:t>
      </w:r>
      <w:r w:rsidRPr="00801B94" w:rsidR="00427A8C">
        <w:rPr>
          <w:sz w:val="22"/>
          <w:szCs w:val="22"/>
        </w:rPr>
        <w:t xml:space="preserve"> protection of individual rights by avoiding the practice of urine specimen collection under direct observation</w:t>
      </w:r>
      <w:r w:rsidRPr="00801B94" w:rsidR="00801B94">
        <w:rPr>
          <w:sz w:val="22"/>
          <w:szCs w:val="22"/>
        </w:rPr>
        <w:t xml:space="preserve"> </w:t>
      </w:r>
      <w:r w:rsidR="006104BB">
        <w:rPr>
          <w:sz w:val="22"/>
          <w:szCs w:val="22"/>
        </w:rPr>
        <w:t>and providing a method with</w:t>
      </w:r>
      <w:r w:rsidRPr="00801B94" w:rsidR="00801B94">
        <w:rPr>
          <w:sz w:val="22"/>
          <w:szCs w:val="22"/>
        </w:rPr>
        <w:t xml:space="preserve"> a lower cost than urine specimen testing</w:t>
      </w:r>
      <w:r w:rsidRPr="00801B94" w:rsidR="00427A8C">
        <w:rPr>
          <w:sz w:val="22"/>
          <w:szCs w:val="22"/>
        </w:rPr>
        <w:t>.</w:t>
      </w:r>
    </w:p>
    <w:p w:rsidR="00D520BD" w:rsidP="005C6BA3" w:rsidRDefault="00D520BD" w14:paraId="21E8FF82" w14:textId="7422AA9C">
      <w:pPr>
        <w:pStyle w:val="Level1"/>
        <w:numPr>
          <w:ilvl w:val="1"/>
          <w:numId w:val="35"/>
        </w:numPr>
        <w:tabs>
          <w:tab w:val="left" w:pos="720"/>
        </w:tabs>
        <w:ind w:hanging="720"/>
        <w:rPr>
          <w:sz w:val="22"/>
          <w:szCs w:val="22"/>
        </w:rPr>
      </w:pPr>
      <w:r>
        <w:rPr>
          <w:i/>
          <w:sz w:val="22"/>
        </w:rPr>
        <w:t>Improving r</w:t>
      </w:r>
      <w:r w:rsidRPr="00FD6827">
        <w:rPr>
          <w:i/>
          <w:sz w:val="22"/>
        </w:rPr>
        <w:t xml:space="preserve">egulatory efficiency between </w:t>
      </w:r>
      <w:r>
        <w:rPr>
          <w:i/>
          <w:sz w:val="22"/>
        </w:rPr>
        <w:t>10 CFR Part 26</w:t>
      </w:r>
      <w:r w:rsidRPr="00FD6827">
        <w:rPr>
          <w:i/>
          <w:sz w:val="22"/>
        </w:rPr>
        <w:t xml:space="preserve"> and other related Federal rules and </w:t>
      </w:r>
      <w:r w:rsidRPr="00870983">
        <w:rPr>
          <w:i/>
          <w:sz w:val="22"/>
        </w:rPr>
        <w:t>guidelines</w:t>
      </w:r>
      <w:r>
        <w:rPr>
          <w:i/>
          <w:sz w:val="22"/>
        </w:rPr>
        <w:t>.</w:t>
      </w:r>
      <w:r>
        <w:rPr>
          <w:sz w:val="22"/>
          <w:szCs w:val="22"/>
        </w:rPr>
        <w:t xml:space="preserve">  The </w:t>
      </w:r>
      <w:r w:rsidR="0052208D">
        <w:rPr>
          <w:sz w:val="22"/>
          <w:szCs w:val="22"/>
        </w:rPr>
        <w:t>final</w:t>
      </w:r>
      <w:r>
        <w:rPr>
          <w:sz w:val="22"/>
          <w:szCs w:val="22"/>
        </w:rPr>
        <w:t xml:space="preserve"> rule improve</w:t>
      </w:r>
      <w:r w:rsidR="00620F72">
        <w:rPr>
          <w:sz w:val="22"/>
          <w:szCs w:val="22"/>
        </w:rPr>
        <w:t>s</w:t>
      </w:r>
      <w:r>
        <w:rPr>
          <w:sz w:val="22"/>
          <w:szCs w:val="22"/>
        </w:rPr>
        <w:t xml:space="preserve"> regulatory efficiency by </w:t>
      </w:r>
      <w:r w:rsidRPr="008F144D">
        <w:rPr>
          <w:sz w:val="22"/>
          <w:szCs w:val="22"/>
        </w:rPr>
        <w:t>(1)</w:t>
      </w:r>
      <w:r w:rsidR="009B72F4">
        <w:rPr>
          <w:sz w:val="22"/>
          <w:szCs w:val="22"/>
        </w:rPr>
        <w:t> </w:t>
      </w:r>
      <w:r w:rsidRPr="008F144D">
        <w:rPr>
          <w:sz w:val="22"/>
          <w:szCs w:val="22"/>
        </w:rPr>
        <w:t xml:space="preserve">harmonizing select </w:t>
      </w:r>
      <w:r>
        <w:rPr>
          <w:sz w:val="22"/>
          <w:szCs w:val="22"/>
        </w:rPr>
        <w:t>10 CFR Part 26</w:t>
      </w:r>
      <w:r w:rsidRPr="008F144D">
        <w:rPr>
          <w:sz w:val="22"/>
          <w:szCs w:val="22"/>
        </w:rPr>
        <w:t xml:space="preserve"> definitions and drug testing procedures with those described in the </w:t>
      </w:r>
      <w:r>
        <w:rPr>
          <w:sz w:val="22"/>
          <w:szCs w:val="22"/>
        </w:rPr>
        <w:t xml:space="preserve">2008 </w:t>
      </w:r>
      <w:r w:rsidR="00620F72">
        <w:rPr>
          <w:sz w:val="22"/>
          <w:szCs w:val="22"/>
        </w:rPr>
        <w:t xml:space="preserve">and 2017 </w:t>
      </w:r>
      <w:r w:rsidRPr="008F144D">
        <w:rPr>
          <w:sz w:val="22"/>
          <w:szCs w:val="22"/>
        </w:rPr>
        <w:t>HHS Guidelines</w:t>
      </w:r>
      <w:r w:rsidR="006104BB">
        <w:rPr>
          <w:sz w:val="22"/>
          <w:szCs w:val="22"/>
        </w:rPr>
        <w:t>,</w:t>
      </w:r>
      <w:r w:rsidRPr="008F144D">
        <w:rPr>
          <w:sz w:val="22"/>
          <w:szCs w:val="22"/>
        </w:rPr>
        <w:t xml:space="preserve"> (2)</w:t>
      </w:r>
      <w:r>
        <w:rPr>
          <w:sz w:val="22"/>
          <w:szCs w:val="22"/>
        </w:rPr>
        <w:t> </w:t>
      </w:r>
      <w:r w:rsidRPr="008F144D">
        <w:rPr>
          <w:sz w:val="22"/>
          <w:szCs w:val="22"/>
        </w:rPr>
        <w:t xml:space="preserve">clarifying ambiguous or imprecise regulatory language in </w:t>
      </w:r>
      <w:r>
        <w:rPr>
          <w:sz w:val="22"/>
          <w:szCs w:val="22"/>
        </w:rPr>
        <w:t>10 CFR Part 26</w:t>
      </w:r>
      <w:r w:rsidR="00646A79">
        <w:rPr>
          <w:sz w:val="22"/>
          <w:szCs w:val="22"/>
        </w:rPr>
        <w:t>,</w:t>
      </w:r>
      <w:r w:rsidRPr="008F144D">
        <w:rPr>
          <w:sz w:val="22"/>
          <w:szCs w:val="22"/>
        </w:rPr>
        <w:t xml:space="preserve"> such as the terminology related to quality control samples</w:t>
      </w:r>
      <w:r w:rsidR="00646A79">
        <w:rPr>
          <w:sz w:val="22"/>
          <w:szCs w:val="22"/>
        </w:rPr>
        <w:t>,</w:t>
      </w:r>
      <w:r w:rsidRPr="008F144D">
        <w:rPr>
          <w:sz w:val="22"/>
          <w:szCs w:val="22"/>
        </w:rPr>
        <w:t xml:space="preserve"> </w:t>
      </w:r>
      <w:r w:rsidR="00522523">
        <w:rPr>
          <w:sz w:val="22"/>
          <w:szCs w:val="22"/>
        </w:rPr>
        <w:t xml:space="preserve">and </w:t>
      </w:r>
      <w:r>
        <w:rPr>
          <w:sz w:val="22"/>
          <w:szCs w:val="22"/>
        </w:rPr>
        <w:t>applying lessons learned during implementation of the 2008 FFD final rule</w:t>
      </w:r>
      <w:r w:rsidR="00522523">
        <w:rPr>
          <w:sz w:val="22"/>
          <w:szCs w:val="22"/>
        </w:rPr>
        <w:t>,</w:t>
      </w:r>
      <w:r>
        <w:rPr>
          <w:sz w:val="22"/>
          <w:szCs w:val="22"/>
        </w:rPr>
        <w:t xml:space="preserve"> and (3) eliminating dual regulation of HHS-certified laboratories (private entities) and reducing the regulatory burden on licensees by </w:t>
      </w:r>
      <w:r w:rsidRPr="008F144D">
        <w:rPr>
          <w:sz w:val="22"/>
          <w:szCs w:val="22"/>
        </w:rPr>
        <w:t xml:space="preserve">removing select </w:t>
      </w:r>
      <w:r>
        <w:rPr>
          <w:sz w:val="22"/>
          <w:szCs w:val="22"/>
        </w:rPr>
        <w:t>10 CFR Part 26</w:t>
      </w:r>
      <w:r w:rsidRPr="008F144D">
        <w:rPr>
          <w:sz w:val="22"/>
          <w:szCs w:val="22"/>
        </w:rPr>
        <w:t xml:space="preserve"> requirements </w:t>
      </w:r>
      <w:r>
        <w:rPr>
          <w:sz w:val="22"/>
          <w:szCs w:val="22"/>
        </w:rPr>
        <w:t xml:space="preserve">also included in the 2008 </w:t>
      </w:r>
      <w:r w:rsidR="00660E95">
        <w:rPr>
          <w:sz w:val="22"/>
          <w:szCs w:val="22"/>
        </w:rPr>
        <w:t xml:space="preserve">and 2017 </w:t>
      </w:r>
      <w:r>
        <w:rPr>
          <w:sz w:val="22"/>
          <w:szCs w:val="22"/>
        </w:rPr>
        <w:t>HHS Guidelines that the NLCP verifies in order for a laboratory to achieve and maintain HHS</w:t>
      </w:r>
      <w:r w:rsidR="00CD13BA">
        <w:rPr>
          <w:sz w:val="22"/>
          <w:szCs w:val="22"/>
        </w:rPr>
        <w:t xml:space="preserve"> </w:t>
      </w:r>
      <w:r>
        <w:rPr>
          <w:sz w:val="22"/>
          <w:szCs w:val="22"/>
        </w:rPr>
        <w:t>certification.</w:t>
      </w:r>
    </w:p>
    <w:p w:rsidR="00D520BD" w:rsidP="00D520BD" w:rsidRDefault="00D520BD" w14:paraId="029EDF7E" w14:textId="77777777">
      <w:pPr>
        <w:pStyle w:val="ListParagraph"/>
        <w:rPr>
          <w:sz w:val="22"/>
          <w:szCs w:val="22"/>
        </w:rPr>
      </w:pPr>
    </w:p>
    <w:p w:rsidR="00D520BD" w:rsidP="005C6BA3" w:rsidRDefault="00D520BD" w14:paraId="23F0A045" w14:textId="7BA0AEA2">
      <w:pPr>
        <w:pStyle w:val="Level1"/>
        <w:numPr>
          <w:ilvl w:val="1"/>
          <w:numId w:val="35"/>
        </w:numPr>
        <w:tabs>
          <w:tab w:val="left" w:pos="720"/>
        </w:tabs>
        <w:ind w:hanging="720"/>
        <w:rPr>
          <w:sz w:val="22"/>
        </w:rPr>
      </w:pPr>
      <w:r>
        <w:rPr>
          <w:i/>
          <w:sz w:val="22"/>
        </w:rPr>
        <w:t>Enhanc</w:t>
      </w:r>
      <w:r w:rsidRPr="00870983">
        <w:rPr>
          <w:i/>
          <w:sz w:val="22"/>
        </w:rPr>
        <w:t>ing root</w:t>
      </w:r>
      <w:r>
        <w:rPr>
          <w:i/>
          <w:sz w:val="22"/>
        </w:rPr>
        <w:noBreakHyphen/>
      </w:r>
      <w:r w:rsidRPr="00870983">
        <w:rPr>
          <w:i/>
          <w:sz w:val="22"/>
        </w:rPr>
        <w:t>cause analysis in post-event testing situations associat</w:t>
      </w:r>
      <w:r>
        <w:rPr>
          <w:i/>
          <w:sz w:val="22"/>
        </w:rPr>
        <w:t>ed</w:t>
      </w:r>
      <w:r w:rsidRPr="00870983">
        <w:rPr>
          <w:i/>
          <w:sz w:val="22"/>
        </w:rPr>
        <w:t xml:space="preserve"> with a refusal to test determination</w:t>
      </w:r>
      <w:r w:rsidRPr="003A0BD4">
        <w:rPr>
          <w:i/>
          <w:sz w:val="22"/>
        </w:rPr>
        <w:t xml:space="preserve"> at the collection site</w:t>
      </w:r>
      <w:r>
        <w:rPr>
          <w:sz w:val="22"/>
        </w:rPr>
        <w:t>.</w:t>
      </w:r>
      <w:r w:rsidRPr="00870983">
        <w:rPr>
          <w:sz w:val="22"/>
        </w:rPr>
        <w:t xml:space="preserve">  </w:t>
      </w:r>
      <w:r>
        <w:rPr>
          <w:sz w:val="22"/>
        </w:rPr>
        <w:t>Under the current rule</w:t>
      </w:r>
      <w:r w:rsidR="00646A79">
        <w:rPr>
          <w:sz w:val="22"/>
        </w:rPr>
        <w:t>,</w:t>
      </w:r>
      <w:r>
        <w:rPr>
          <w:sz w:val="22"/>
        </w:rPr>
        <w:t xml:space="preserve"> if</w:t>
      </w:r>
      <w:r w:rsidRPr="00870983">
        <w:rPr>
          <w:sz w:val="22"/>
        </w:rPr>
        <w:t xml:space="preserve"> a refusal to test is determined during the specimen collection process</w:t>
      </w:r>
      <w:r w:rsidR="00646A79">
        <w:rPr>
          <w:sz w:val="22"/>
        </w:rPr>
        <w:t>,</w:t>
      </w:r>
      <w:r w:rsidRPr="00870983">
        <w:rPr>
          <w:sz w:val="22"/>
        </w:rPr>
        <w:t xml:space="preserve"> </w:t>
      </w:r>
      <w:r w:rsidRPr="003A0BD4">
        <w:rPr>
          <w:sz w:val="22"/>
        </w:rPr>
        <w:t>any specimen(s) obtained from the donor</w:t>
      </w:r>
      <w:r>
        <w:rPr>
          <w:sz w:val="22"/>
        </w:rPr>
        <w:t xml:space="preserve"> are </w:t>
      </w:r>
      <w:r w:rsidRPr="003A0BD4">
        <w:rPr>
          <w:sz w:val="22"/>
        </w:rPr>
        <w:t xml:space="preserve">discarded.  The </w:t>
      </w:r>
      <w:r w:rsidR="00660E95">
        <w:rPr>
          <w:sz w:val="22"/>
        </w:rPr>
        <w:t>final</w:t>
      </w:r>
      <w:r w:rsidRPr="003A0BD4">
        <w:rPr>
          <w:sz w:val="22"/>
        </w:rPr>
        <w:t xml:space="preserve"> rule require</w:t>
      </w:r>
      <w:r w:rsidR="00660E95">
        <w:rPr>
          <w:sz w:val="22"/>
        </w:rPr>
        <w:t>s</w:t>
      </w:r>
      <w:r w:rsidRPr="003A0BD4">
        <w:rPr>
          <w:sz w:val="22"/>
        </w:rPr>
        <w:t xml:space="preserve"> the retention and testing of any specimen collected during post-event situations </w:t>
      </w:r>
      <w:r>
        <w:rPr>
          <w:sz w:val="22"/>
        </w:rPr>
        <w:t>in which</w:t>
      </w:r>
      <w:r w:rsidRPr="003A0BD4">
        <w:rPr>
          <w:sz w:val="22"/>
        </w:rPr>
        <w:t xml:space="preserve"> a refusal to test determination was made at the collection </w:t>
      </w:r>
      <w:r>
        <w:rPr>
          <w:sz w:val="22"/>
        </w:rPr>
        <w:t xml:space="preserve">site.  This change </w:t>
      </w:r>
      <w:r w:rsidR="004856B2">
        <w:rPr>
          <w:sz w:val="22"/>
        </w:rPr>
        <w:t>will</w:t>
      </w:r>
      <w:r>
        <w:rPr>
          <w:sz w:val="22"/>
        </w:rPr>
        <w:t xml:space="preserve"> enhance</w:t>
      </w:r>
      <w:r w:rsidRPr="003A0BD4">
        <w:rPr>
          <w:sz w:val="22"/>
        </w:rPr>
        <w:t xml:space="preserve"> the ability of the licensee or other entity to determine </w:t>
      </w:r>
      <w:r>
        <w:rPr>
          <w:sz w:val="22"/>
        </w:rPr>
        <w:t>whether</w:t>
      </w:r>
      <w:r w:rsidRPr="003A0BD4">
        <w:rPr>
          <w:sz w:val="22"/>
        </w:rPr>
        <w:t xml:space="preserve"> substance use could have been a contributing factor to an accident.</w:t>
      </w:r>
    </w:p>
    <w:p w:rsidR="00D520BD" w:rsidP="00D520BD" w:rsidRDefault="00D520BD" w14:paraId="61413316" w14:textId="77777777">
      <w:pPr>
        <w:pStyle w:val="ListParagraph"/>
        <w:rPr>
          <w:sz w:val="22"/>
        </w:rPr>
      </w:pPr>
    </w:p>
    <w:p w:rsidR="0071271F" w:rsidP="000626C2" w:rsidRDefault="0071271F" w14:paraId="1AE12F57" w14:textId="7C1931D2">
      <w:pPr>
        <w:pStyle w:val="ListParagraph"/>
        <w:numPr>
          <w:ilvl w:val="0"/>
          <w:numId w:val="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 w:val="22"/>
          <w:szCs w:val="22"/>
        </w:rPr>
      </w:pPr>
      <w:r w:rsidRPr="0071271F">
        <w:rPr>
          <w:sz w:val="22"/>
          <w:szCs w:val="22"/>
        </w:rPr>
        <w:t>The analysis of net benefits (i.e., benefits minus costs) shows that the final rule is cost</w:t>
      </w:r>
      <w:r w:rsidR="009C0817">
        <w:rPr>
          <w:sz w:val="22"/>
          <w:szCs w:val="22"/>
        </w:rPr>
        <w:noBreakHyphen/>
      </w:r>
      <w:r w:rsidRPr="0071271F">
        <w:rPr>
          <w:sz w:val="22"/>
          <w:szCs w:val="22"/>
        </w:rPr>
        <w:t>beneficial at $0.74 million using a 7-percent discount rate.  This net benefit is achieved because of averted training costs.  If the averted training savings are not included, then the remaining six of the seven regulatory initiatives that comprise the rule are not cost-beneficial because the benefits could not be fully quantified.  If the rule is adopted, the safety and security value that the Commission assigns to detecting 22</w:t>
      </w:r>
      <w:r w:rsidR="004D1DBD">
        <w:rPr>
          <w:sz w:val="22"/>
          <w:szCs w:val="22"/>
        </w:rPr>
        <w:noBreakHyphen/>
      </w:r>
      <w:r w:rsidRPr="0071271F">
        <w:rPr>
          <w:sz w:val="22"/>
          <w:szCs w:val="22"/>
        </w:rPr>
        <w:t>percent more individuals using drugs must be greater than ($3.90 million ) (mean value), using a 7 percent discount rate for the net costs for these six regulatory initiatives result to be positive.</w:t>
      </w:r>
    </w:p>
    <w:p w:rsidR="0071271F" w:rsidP="00A84527" w:rsidRDefault="0071271F" w14:paraId="30492F31" w14:textId="61E8838C">
      <w:pPr>
        <w:pStyle w:val="Level1"/>
        <w:tabs>
          <w:tab w:val="left" w:pos="720"/>
        </w:tabs>
        <w:ind w:left="0"/>
        <w:rPr>
          <w:sz w:val="22"/>
          <w:szCs w:val="22"/>
        </w:rPr>
      </w:pPr>
    </w:p>
    <w:p w:rsidRPr="00A84527" w:rsidR="003F207D" w:rsidP="00A84527" w:rsidRDefault="00D520BD" w14:paraId="18B93B49" w14:textId="4BE1CB83">
      <w:pPr>
        <w:pStyle w:val="Level1"/>
        <w:tabs>
          <w:tab w:val="left" w:pos="720"/>
        </w:tabs>
        <w:ind w:left="0"/>
        <w:rPr>
          <w:sz w:val="22"/>
        </w:rPr>
      </w:pPr>
      <w:r>
        <w:rPr>
          <w:sz w:val="22"/>
          <w:szCs w:val="22"/>
        </w:rPr>
        <w:t xml:space="preserve">The NRC staff concludes </w:t>
      </w:r>
      <w:r w:rsidRPr="007C30A0">
        <w:rPr>
          <w:sz w:val="22"/>
          <w:szCs w:val="22"/>
        </w:rPr>
        <w:t xml:space="preserve">that the benefit of the improvements </w:t>
      </w:r>
      <w:r w:rsidR="00BC5586">
        <w:rPr>
          <w:sz w:val="22"/>
          <w:szCs w:val="22"/>
        </w:rPr>
        <w:t xml:space="preserve">in the final rule </w:t>
      </w:r>
      <w:r>
        <w:rPr>
          <w:sz w:val="22"/>
          <w:szCs w:val="22"/>
        </w:rPr>
        <w:t xml:space="preserve">to </w:t>
      </w:r>
      <w:r w:rsidR="003F207D">
        <w:rPr>
          <w:sz w:val="22"/>
          <w:szCs w:val="22"/>
        </w:rPr>
        <w:t>maintain the FFD program performance objectives in 10 CFR 26.23(c), to “provide reasonable measures for the early detection of individuals who are not fit to perform the duties that require them to be subject to the FFD program,” and in 10 CFR 26.23(d), to “</w:t>
      </w:r>
      <w:r w:rsidRPr="007C30A0" w:rsidR="003F207D">
        <w:rPr>
          <w:sz w:val="22"/>
          <w:szCs w:val="22"/>
        </w:rPr>
        <w:t>provide reasonable assurance that the workplaces subject to this part are free from the presence and effects of illegal drugs</w:t>
      </w:r>
      <w:r w:rsidR="003F207D">
        <w:rPr>
          <w:sz w:val="22"/>
          <w:szCs w:val="22"/>
        </w:rPr>
        <w:t>”</w:t>
      </w:r>
      <w:r w:rsidRPr="00A84527" w:rsidR="00A84527">
        <w:rPr>
          <w:sz w:val="22"/>
          <w:szCs w:val="22"/>
        </w:rPr>
        <w:t xml:space="preserve"> </w:t>
      </w:r>
      <w:r w:rsidR="00A84527">
        <w:rPr>
          <w:sz w:val="22"/>
          <w:szCs w:val="22"/>
        </w:rPr>
        <w:t>outweighs</w:t>
      </w:r>
      <w:r w:rsidRPr="007C30A0" w:rsidR="00A84527">
        <w:rPr>
          <w:sz w:val="22"/>
          <w:szCs w:val="22"/>
        </w:rPr>
        <w:t xml:space="preserve"> the low cost of implementation.</w:t>
      </w:r>
    </w:p>
    <w:p w:rsidRPr="00B858DB" w:rsidR="00D520BD" w:rsidP="00D520BD" w:rsidRDefault="00D520BD" w14:paraId="3AB444AE" w14:textId="77777777">
      <w:pPr>
        <w:autoSpaceDE/>
        <w:autoSpaceDN/>
        <w:adjustRightInd/>
        <w:rPr>
          <w:rFonts w:cs="Arial"/>
          <w:b/>
          <w:bCs/>
          <w:kern w:val="32"/>
          <w:sz w:val="22"/>
          <w:szCs w:val="22"/>
        </w:rPr>
      </w:pPr>
      <w:bookmarkStart w:name="_Toc199932398" w:id="284"/>
      <w:bookmarkStart w:name="_Toc199932476" w:id="285"/>
      <w:bookmarkStart w:name="_Toc199932657" w:id="286"/>
      <w:bookmarkStart w:name="_Toc460412629" w:id="287"/>
      <w:r w:rsidRPr="00B858DB">
        <w:rPr>
          <w:sz w:val="22"/>
          <w:szCs w:val="22"/>
        </w:rPr>
        <w:br w:type="page"/>
      </w:r>
    </w:p>
    <w:p w:rsidRPr="005A5966" w:rsidR="00D520BD" w:rsidP="00D520BD" w:rsidRDefault="00D520BD" w14:paraId="30BB8780" w14:textId="77777777">
      <w:pPr>
        <w:pStyle w:val="Heading1"/>
      </w:pPr>
      <w:bookmarkStart w:name="_Toc72840046" w:id="288"/>
      <w:bookmarkStart w:name="_Toc105681519" w:id="289"/>
      <w:r>
        <w:t>7</w:t>
      </w:r>
      <w:r w:rsidRPr="005A5966">
        <w:t>.</w:t>
      </w:r>
      <w:r w:rsidRPr="005A5966">
        <w:tab/>
        <w:t>Implementation</w:t>
      </w:r>
      <w:bookmarkEnd w:id="284"/>
      <w:bookmarkEnd w:id="285"/>
      <w:bookmarkEnd w:id="286"/>
      <w:bookmarkEnd w:id="287"/>
      <w:bookmarkEnd w:id="288"/>
      <w:bookmarkEnd w:id="289"/>
    </w:p>
    <w:p w:rsidRPr="005A5966" w:rsidR="00D520BD" w:rsidP="00D520BD" w:rsidRDefault="00D520BD" w14:paraId="254A0D7F" w14:textId="77777777">
      <w:pPr>
        <w:keepN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5A5966" w:rsidR="00D520BD" w:rsidP="00D520BD" w:rsidRDefault="00D520BD" w14:paraId="24F48C5E" w14:textId="6C61A7C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A5966">
        <w:rPr>
          <w:sz w:val="22"/>
          <w:szCs w:val="22"/>
        </w:rPr>
        <w:t xml:space="preserve">The NRC </w:t>
      </w:r>
      <w:r>
        <w:rPr>
          <w:sz w:val="22"/>
          <w:szCs w:val="22"/>
        </w:rPr>
        <w:t xml:space="preserve">regulatory </w:t>
      </w:r>
      <w:r w:rsidRPr="005A5966">
        <w:rPr>
          <w:sz w:val="22"/>
          <w:szCs w:val="22"/>
        </w:rPr>
        <w:t xml:space="preserve">instrument for implementing the </w:t>
      </w:r>
      <w:r w:rsidR="00246197">
        <w:rPr>
          <w:sz w:val="22"/>
          <w:szCs w:val="22"/>
        </w:rPr>
        <w:t>recommended</w:t>
      </w:r>
      <w:r w:rsidRPr="005A5966" w:rsidR="00246197">
        <w:rPr>
          <w:sz w:val="22"/>
          <w:szCs w:val="22"/>
        </w:rPr>
        <w:t xml:space="preserve"> </w:t>
      </w:r>
      <w:r w:rsidRPr="005A5966">
        <w:rPr>
          <w:sz w:val="22"/>
          <w:szCs w:val="22"/>
        </w:rPr>
        <w:t xml:space="preserve">action is to amend select provisions of </w:t>
      </w:r>
      <w:r>
        <w:rPr>
          <w:sz w:val="22"/>
          <w:szCs w:val="22"/>
        </w:rPr>
        <w:t>10 CFR Part 26 through rulemaking</w:t>
      </w:r>
      <w:r w:rsidRPr="005A5966">
        <w:rPr>
          <w:sz w:val="22"/>
          <w:szCs w:val="22"/>
        </w:rPr>
        <w:t xml:space="preserve"> and </w:t>
      </w:r>
      <w:r>
        <w:rPr>
          <w:sz w:val="22"/>
          <w:szCs w:val="22"/>
        </w:rPr>
        <w:t xml:space="preserve">to develop </w:t>
      </w:r>
      <w:r w:rsidRPr="005A5966">
        <w:rPr>
          <w:sz w:val="22"/>
          <w:szCs w:val="22"/>
        </w:rPr>
        <w:t xml:space="preserve">a regulatory guide to describe a method that is acceptable to the NRC for </w:t>
      </w:r>
      <w:r>
        <w:rPr>
          <w:sz w:val="22"/>
          <w:szCs w:val="22"/>
        </w:rPr>
        <w:t>10 CFR Part 26</w:t>
      </w:r>
      <w:r w:rsidRPr="005A5966">
        <w:rPr>
          <w:sz w:val="22"/>
          <w:szCs w:val="22"/>
        </w:rPr>
        <w:t xml:space="preserve"> implementation.</w:t>
      </w:r>
    </w:p>
    <w:p w:rsidRPr="00646A79" w:rsidR="00D520BD" w:rsidP="00D520BD" w:rsidRDefault="00D520BD" w14:paraId="54B9B3B6" w14:textId="77777777">
      <w:pPr>
        <w:rPr>
          <w:sz w:val="22"/>
          <w:szCs w:val="22"/>
        </w:rPr>
      </w:pPr>
    </w:p>
    <w:p w:rsidRPr="0081495C" w:rsidR="00D520BD" w:rsidP="00D520BD" w:rsidRDefault="00AB3CD0" w14:paraId="2D6AF898" w14:textId="07ED534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Pr>
          <w:sz w:val="22"/>
          <w:szCs w:val="22"/>
        </w:rPr>
        <w:t xml:space="preserve">There are always concerns with </w:t>
      </w:r>
      <w:r w:rsidR="00D44C91">
        <w:rPr>
          <w:sz w:val="22"/>
          <w:szCs w:val="22"/>
        </w:rPr>
        <w:t xml:space="preserve">timing, especially during the </w:t>
      </w:r>
      <w:r w:rsidR="002F41CF">
        <w:rPr>
          <w:sz w:val="22"/>
          <w:szCs w:val="22"/>
        </w:rPr>
        <w:t>s</w:t>
      </w:r>
      <w:r w:rsidR="00D44C91">
        <w:rPr>
          <w:sz w:val="22"/>
          <w:szCs w:val="22"/>
        </w:rPr>
        <w:t xml:space="preserve">pring and </w:t>
      </w:r>
      <w:r w:rsidR="002F41CF">
        <w:rPr>
          <w:sz w:val="22"/>
          <w:szCs w:val="22"/>
        </w:rPr>
        <w:t>f</w:t>
      </w:r>
      <w:r w:rsidR="00D44C91">
        <w:rPr>
          <w:sz w:val="22"/>
          <w:szCs w:val="22"/>
        </w:rPr>
        <w:t xml:space="preserve">all </w:t>
      </w:r>
      <w:r w:rsidR="00752D2E">
        <w:rPr>
          <w:sz w:val="22"/>
          <w:szCs w:val="22"/>
        </w:rPr>
        <w:t xml:space="preserve">when power plants process </w:t>
      </w:r>
      <w:r w:rsidR="00D42581">
        <w:rPr>
          <w:sz w:val="22"/>
          <w:szCs w:val="22"/>
        </w:rPr>
        <w:t xml:space="preserve">approximately </w:t>
      </w:r>
      <w:r w:rsidR="00752D2E">
        <w:rPr>
          <w:sz w:val="22"/>
          <w:szCs w:val="22"/>
        </w:rPr>
        <w:t xml:space="preserve">800 to 1,200 </w:t>
      </w:r>
      <w:r w:rsidR="00724B14">
        <w:rPr>
          <w:sz w:val="22"/>
          <w:szCs w:val="22"/>
        </w:rPr>
        <w:t xml:space="preserve">workers to support their outages.  Typically, </w:t>
      </w:r>
      <w:r w:rsidR="008B0714">
        <w:rPr>
          <w:sz w:val="22"/>
          <w:szCs w:val="22"/>
        </w:rPr>
        <w:t xml:space="preserve">a </w:t>
      </w:r>
      <w:r w:rsidR="00BB6249">
        <w:rPr>
          <w:sz w:val="22"/>
          <w:szCs w:val="22"/>
        </w:rPr>
        <w:t xml:space="preserve">nuclear </w:t>
      </w:r>
      <w:r w:rsidR="007C68E1">
        <w:rPr>
          <w:sz w:val="22"/>
          <w:szCs w:val="22"/>
        </w:rPr>
        <w:t xml:space="preserve">power plant </w:t>
      </w:r>
      <w:r w:rsidR="00BB6249">
        <w:rPr>
          <w:sz w:val="22"/>
          <w:szCs w:val="22"/>
        </w:rPr>
        <w:t xml:space="preserve">licensee </w:t>
      </w:r>
      <w:r w:rsidR="00EF6F02">
        <w:rPr>
          <w:sz w:val="22"/>
          <w:szCs w:val="22"/>
        </w:rPr>
        <w:t xml:space="preserve">establishes </w:t>
      </w:r>
      <w:r w:rsidR="007C68E1">
        <w:rPr>
          <w:sz w:val="22"/>
          <w:szCs w:val="22"/>
        </w:rPr>
        <w:t xml:space="preserve">a </w:t>
      </w:r>
      <w:r w:rsidR="00B26EFD">
        <w:rPr>
          <w:sz w:val="22"/>
          <w:szCs w:val="22"/>
        </w:rPr>
        <w:t xml:space="preserve">blackout </w:t>
      </w:r>
      <w:r w:rsidR="00462931">
        <w:rPr>
          <w:sz w:val="22"/>
          <w:szCs w:val="22"/>
        </w:rPr>
        <w:t>period</w:t>
      </w:r>
      <w:r w:rsidR="00B26EFD">
        <w:rPr>
          <w:sz w:val="22"/>
          <w:szCs w:val="22"/>
        </w:rPr>
        <w:t xml:space="preserve"> for the </w:t>
      </w:r>
      <w:r w:rsidR="002F41CF">
        <w:rPr>
          <w:sz w:val="22"/>
          <w:szCs w:val="22"/>
        </w:rPr>
        <w:t>2</w:t>
      </w:r>
      <w:r w:rsidR="00B26EFD">
        <w:rPr>
          <w:sz w:val="22"/>
          <w:szCs w:val="22"/>
        </w:rPr>
        <w:t xml:space="preserve"> months before and after an outage </w:t>
      </w:r>
      <w:r w:rsidR="00462931">
        <w:rPr>
          <w:sz w:val="22"/>
          <w:szCs w:val="22"/>
        </w:rPr>
        <w:t xml:space="preserve">to provide plant personnel time to prepare for and recover from the </w:t>
      </w:r>
      <w:r w:rsidR="001B5217">
        <w:rPr>
          <w:sz w:val="22"/>
          <w:szCs w:val="22"/>
        </w:rPr>
        <w:t xml:space="preserve">significant surge in activity to support an </w:t>
      </w:r>
      <w:r w:rsidR="00462931">
        <w:rPr>
          <w:sz w:val="22"/>
          <w:szCs w:val="22"/>
        </w:rPr>
        <w:t>outage</w:t>
      </w:r>
      <w:r w:rsidR="00EF6F02">
        <w:rPr>
          <w:sz w:val="22"/>
          <w:szCs w:val="22"/>
        </w:rPr>
        <w:t xml:space="preserve"> (</w:t>
      </w:r>
      <w:r w:rsidRPr="00EF6F02" w:rsidR="00EF6F02">
        <w:rPr>
          <w:sz w:val="22"/>
          <w:szCs w:val="22"/>
        </w:rPr>
        <w:t>e.g., no policy or procedure changes, no training)</w:t>
      </w:r>
      <w:r w:rsidR="00462931">
        <w:rPr>
          <w:sz w:val="22"/>
          <w:szCs w:val="22"/>
        </w:rPr>
        <w:t xml:space="preserve">.  </w:t>
      </w:r>
      <w:r w:rsidR="000B7CBF">
        <w:rPr>
          <w:sz w:val="22"/>
          <w:szCs w:val="22"/>
        </w:rPr>
        <w:t>As such,</w:t>
      </w:r>
      <w:r w:rsidR="00744654">
        <w:rPr>
          <w:sz w:val="22"/>
          <w:szCs w:val="22"/>
        </w:rPr>
        <w:t xml:space="preserve"> </w:t>
      </w:r>
      <w:r w:rsidR="00AB53F4">
        <w:rPr>
          <w:sz w:val="22"/>
          <w:szCs w:val="22"/>
        </w:rPr>
        <w:t>licensees and other entities</w:t>
      </w:r>
      <w:r w:rsidR="00EA51A3">
        <w:rPr>
          <w:sz w:val="22"/>
          <w:szCs w:val="22"/>
        </w:rPr>
        <w:t xml:space="preserve"> </w:t>
      </w:r>
      <w:r w:rsidR="000B7CBF">
        <w:rPr>
          <w:sz w:val="22"/>
          <w:szCs w:val="22"/>
        </w:rPr>
        <w:t xml:space="preserve">need to have </w:t>
      </w:r>
      <w:r w:rsidR="00EA51A3">
        <w:rPr>
          <w:sz w:val="22"/>
          <w:szCs w:val="22"/>
        </w:rPr>
        <w:t xml:space="preserve">sufficient time to </w:t>
      </w:r>
      <w:r w:rsidRPr="0081495C" w:rsidR="00D520BD">
        <w:rPr>
          <w:sz w:val="22"/>
          <w:szCs w:val="22"/>
        </w:rPr>
        <w:t>revise site policies and procedures</w:t>
      </w:r>
      <w:r w:rsidR="002F41CF">
        <w:rPr>
          <w:sz w:val="22"/>
          <w:szCs w:val="22"/>
        </w:rPr>
        <w:t>;</w:t>
      </w:r>
      <w:r w:rsidRPr="0081495C" w:rsidR="00D520BD">
        <w:rPr>
          <w:sz w:val="22"/>
          <w:szCs w:val="22"/>
        </w:rPr>
        <w:t xml:space="preserve"> conduct training</w:t>
      </w:r>
      <w:r w:rsidR="002F41CF">
        <w:rPr>
          <w:sz w:val="22"/>
          <w:szCs w:val="22"/>
        </w:rPr>
        <w:t>;</w:t>
      </w:r>
      <w:r w:rsidRPr="0081495C" w:rsidR="00D520BD">
        <w:rPr>
          <w:sz w:val="22"/>
          <w:szCs w:val="22"/>
        </w:rPr>
        <w:t xml:space="preserve"> revise contracts with HHS-certified laboratories and BPTS suppliers</w:t>
      </w:r>
      <w:r w:rsidR="002F41CF">
        <w:rPr>
          <w:sz w:val="22"/>
          <w:szCs w:val="22"/>
        </w:rPr>
        <w:t>;</w:t>
      </w:r>
      <w:r w:rsidR="00AB53F4">
        <w:rPr>
          <w:sz w:val="22"/>
          <w:szCs w:val="22"/>
        </w:rPr>
        <w:t xml:space="preserve"> </w:t>
      </w:r>
      <w:r w:rsidR="00474CCD">
        <w:rPr>
          <w:sz w:val="22"/>
          <w:szCs w:val="22"/>
        </w:rPr>
        <w:t xml:space="preserve">provide input and revise the </w:t>
      </w:r>
      <w:r w:rsidR="00351172">
        <w:rPr>
          <w:sz w:val="22"/>
          <w:szCs w:val="22"/>
        </w:rPr>
        <w:t xml:space="preserve">training </w:t>
      </w:r>
      <w:r w:rsidR="0056419B">
        <w:rPr>
          <w:sz w:val="22"/>
          <w:szCs w:val="22"/>
        </w:rPr>
        <w:t>course used industrywide</w:t>
      </w:r>
      <w:r w:rsidR="002F41CF">
        <w:rPr>
          <w:sz w:val="22"/>
          <w:szCs w:val="22"/>
        </w:rPr>
        <w:t>;</w:t>
      </w:r>
      <w:r w:rsidR="0056419B">
        <w:rPr>
          <w:sz w:val="22"/>
          <w:szCs w:val="22"/>
        </w:rPr>
        <w:t xml:space="preserve"> </w:t>
      </w:r>
      <w:r w:rsidR="0031447F">
        <w:rPr>
          <w:sz w:val="22"/>
          <w:szCs w:val="22"/>
        </w:rPr>
        <w:t>and modify, test, and i</w:t>
      </w:r>
      <w:r w:rsidR="003C6760">
        <w:rPr>
          <w:sz w:val="22"/>
          <w:szCs w:val="22"/>
        </w:rPr>
        <w:t>nstall updates to licensee’s FFD</w:t>
      </w:r>
      <w:r w:rsidR="00BA0126">
        <w:rPr>
          <w:sz w:val="22"/>
          <w:szCs w:val="22"/>
        </w:rPr>
        <w:t xml:space="preserve"> software</w:t>
      </w:r>
      <w:r w:rsidR="00C07931">
        <w:rPr>
          <w:sz w:val="22"/>
          <w:szCs w:val="22"/>
        </w:rPr>
        <w:t xml:space="preserve"> </w:t>
      </w:r>
      <w:r w:rsidR="00062585">
        <w:rPr>
          <w:sz w:val="22"/>
          <w:szCs w:val="22"/>
        </w:rPr>
        <w:t>that incorporates</w:t>
      </w:r>
      <w:r w:rsidR="00C07931">
        <w:rPr>
          <w:sz w:val="22"/>
          <w:szCs w:val="22"/>
        </w:rPr>
        <w:t xml:space="preserve"> data fields for expanded panels </w:t>
      </w:r>
      <w:r w:rsidR="00062585">
        <w:rPr>
          <w:sz w:val="22"/>
          <w:szCs w:val="22"/>
        </w:rPr>
        <w:t xml:space="preserve">and other </w:t>
      </w:r>
      <w:r w:rsidR="000B7CBF">
        <w:rPr>
          <w:sz w:val="22"/>
          <w:szCs w:val="22"/>
        </w:rPr>
        <w:t>modifications</w:t>
      </w:r>
      <w:r w:rsidR="00116D2F">
        <w:rPr>
          <w:sz w:val="22"/>
          <w:szCs w:val="22"/>
        </w:rPr>
        <w:t xml:space="preserve"> </w:t>
      </w:r>
      <w:r w:rsidR="004556BC">
        <w:rPr>
          <w:sz w:val="22"/>
          <w:szCs w:val="22"/>
        </w:rPr>
        <w:t>in order to meet the amended requirements of this rule</w:t>
      </w:r>
      <w:r w:rsidRPr="0081495C" w:rsidR="00D520BD">
        <w:rPr>
          <w:sz w:val="22"/>
          <w:szCs w:val="22"/>
        </w:rPr>
        <w:t>.</w:t>
      </w:r>
      <w:r w:rsidR="00B232AC">
        <w:rPr>
          <w:sz w:val="22"/>
          <w:szCs w:val="22"/>
        </w:rPr>
        <w:t xml:space="preserve">  Based on </w:t>
      </w:r>
      <w:r w:rsidR="00062AF6">
        <w:rPr>
          <w:sz w:val="22"/>
          <w:szCs w:val="22"/>
        </w:rPr>
        <w:t xml:space="preserve">these schedule restrictions and the </w:t>
      </w:r>
      <w:r w:rsidR="00A173A4">
        <w:rPr>
          <w:sz w:val="22"/>
          <w:szCs w:val="22"/>
        </w:rPr>
        <w:t xml:space="preserve">work </w:t>
      </w:r>
      <w:r w:rsidR="00190E20">
        <w:rPr>
          <w:sz w:val="22"/>
          <w:szCs w:val="22"/>
        </w:rPr>
        <w:t>necessary</w:t>
      </w:r>
      <w:r w:rsidR="00A173A4">
        <w:rPr>
          <w:sz w:val="22"/>
          <w:szCs w:val="22"/>
        </w:rPr>
        <w:t xml:space="preserve"> to comply with this final rule, </w:t>
      </w:r>
      <w:r w:rsidRPr="002A2459" w:rsidR="00A173A4">
        <w:rPr>
          <w:sz w:val="22"/>
          <w:szCs w:val="22"/>
        </w:rPr>
        <w:t xml:space="preserve">the </w:t>
      </w:r>
      <w:r w:rsidRPr="002A2459" w:rsidR="003C747B">
        <w:rPr>
          <w:sz w:val="22"/>
          <w:szCs w:val="22"/>
        </w:rPr>
        <w:t xml:space="preserve">NRC </w:t>
      </w:r>
      <w:r w:rsidRPr="002A2459" w:rsidR="00A173A4">
        <w:rPr>
          <w:sz w:val="22"/>
          <w:szCs w:val="22"/>
        </w:rPr>
        <w:t xml:space="preserve">staff </w:t>
      </w:r>
      <w:r w:rsidRPr="002A2459" w:rsidR="0061775B">
        <w:rPr>
          <w:sz w:val="22"/>
          <w:szCs w:val="22"/>
        </w:rPr>
        <w:t xml:space="preserve">proposes </w:t>
      </w:r>
      <w:r w:rsidRPr="002A2459" w:rsidR="00C43D75">
        <w:rPr>
          <w:sz w:val="22"/>
          <w:szCs w:val="22"/>
        </w:rPr>
        <w:t>the following schedule:</w:t>
      </w:r>
    </w:p>
    <w:p w:rsidR="00D520BD" w:rsidP="00D520BD" w:rsidRDefault="00D520BD" w14:paraId="7BCFB2A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Pr="00787F8D" w:rsidR="00787F8D" w:rsidP="00787F8D" w:rsidRDefault="000C7F79" w14:paraId="6BF4EF35" w14:textId="5B2EC7C5">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contextualSpacing w:val="0"/>
        <w:rPr>
          <w:sz w:val="22"/>
          <w:szCs w:val="22"/>
        </w:rPr>
      </w:pPr>
      <w:r>
        <w:rPr>
          <w:sz w:val="22"/>
          <w:szCs w:val="22"/>
        </w:rPr>
        <w:t>P</w:t>
      </w:r>
      <w:r w:rsidRPr="00AC3615" w:rsidR="00855D76">
        <w:rPr>
          <w:sz w:val="22"/>
          <w:szCs w:val="22"/>
        </w:rPr>
        <w:t>ublication of the final rule and associated guidance:  CY 2022</w:t>
      </w:r>
    </w:p>
    <w:p w:rsidRPr="00AC3615" w:rsidR="00B402D7" w:rsidP="00A65788" w:rsidRDefault="00B402D7" w14:paraId="7117918C" w14:textId="43936EAC">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contextualSpacing w:val="0"/>
        <w:rPr>
          <w:sz w:val="22"/>
          <w:szCs w:val="22"/>
        </w:rPr>
      </w:pPr>
      <w:r>
        <w:rPr>
          <w:sz w:val="22"/>
          <w:szCs w:val="22"/>
        </w:rPr>
        <w:t xml:space="preserve">Effective date of the final rule: </w:t>
      </w:r>
      <w:r w:rsidR="000B302D">
        <w:rPr>
          <w:sz w:val="22"/>
          <w:szCs w:val="22"/>
        </w:rPr>
        <w:t xml:space="preserve"> </w:t>
      </w:r>
      <w:r w:rsidR="00657471">
        <w:rPr>
          <w:sz w:val="22"/>
          <w:szCs w:val="22"/>
        </w:rPr>
        <w:t xml:space="preserve">30 days after </w:t>
      </w:r>
      <w:r w:rsidR="00A72B06">
        <w:rPr>
          <w:sz w:val="22"/>
          <w:szCs w:val="22"/>
        </w:rPr>
        <w:t xml:space="preserve">publication </w:t>
      </w:r>
      <w:r w:rsidR="00F34E3E">
        <w:rPr>
          <w:sz w:val="22"/>
          <w:szCs w:val="22"/>
        </w:rPr>
        <w:t xml:space="preserve">in </w:t>
      </w:r>
      <w:r w:rsidR="00E90980">
        <w:rPr>
          <w:sz w:val="22"/>
          <w:szCs w:val="22"/>
        </w:rPr>
        <w:t xml:space="preserve">the </w:t>
      </w:r>
      <w:r w:rsidRPr="00F34E3E" w:rsidR="00F34E3E">
        <w:rPr>
          <w:i/>
          <w:iCs/>
          <w:sz w:val="22"/>
          <w:szCs w:val="22"/>
        </w:rPr>
        <w:t>Federal Register</w:t>
      </w:r>
    </w:p>
    <w:p w:rsidR="00855D76" w:rsidP="00A65788" w:rsidRDefault="00EF5D88" w14:paraId="7331D1A1" w14:textId="78AA0DFF">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sz w:val="22"/>
          <w:szCs w:val="22"/>
        </w:rPr>
      </w:pPr>
      <w:r>
        <w:rPr>
          <w:sz w:val="22"/>
          <w:szCs w:val="22"/>
        </w:rPr>
        <w:t>C</w:t>
      </w:r>
      <w:r w:rsidRPr="00AC3615" w:rsidR="00855D76">
        <w:rPr>
          <w:sz w:val="22"/>
          <w:szCs w:val="22"/>
        </w:rPr>
        <w:t>ompliance date of the final rule:  CY 202</w:t>
      </w:r>
      <w:r w:rsidR="00855D76">
        <w:rPr>
          <w:sz w:val="22"/>
          <w:szCs w:val="22"/>
        </w:rPr>
        <w:t>3</w:t>
      </w:r>
      <w:r w:rsidRPr="00AC3615" w:rsidR="00855D76">
        <w:rPr>
          <w:sz w:val="22"/>
          <w:szCs w:val="22"/>
        </w:rPr>
        <w:t xml:space="preserve"> (</w:t>
      </w:r>
      <w:r w:rsidR="00855D76">
        <w:rPr>
          <w:sz w:val="22"/>
          <w:szCs w:val="22"/>
        </w:rPr>
        <w:t>1 year</w:t>
      </w:r>
      <w:r w:rsidRPr="00AC3615" w:rsidR="00855D76">
        <w:rPr>
          <w:sz w:val="22"/>
          <w:szCs w:val="22"/>
        </w:rPr>
        <w:t xml:space="preserve"> </w:t>
      </w:r>
      <w:r w:rsidR="00593EDD">
        <w:rPr>
          <w:sz w:val="22"/>
          <w:szCs w:val="22"/>
        </w:rPr>
        <w:t xml:space="preserve">from the </w:t>
      </w:r>
      <w:r w:rsidRPr="00AC3615" w:rsidR="00855D76">
        <w:rPr>
          <w:sz w:val="22"/>
          <w:szCs w:val="22"/>
        </w:rPr>
        <w:t>publication date of the final</w:t>
      </w:r>
      <w:r w:rsidRPr="008222E0" w:rsidR="00855D76">
        <w:rPr>
          <w:sz w:val="22"/>
          <w:szCs w:val="22"/>
        </w:rPr>
        <w:t xml:space="preserve"> rule)</w:t>
      </w:r>
    </w:p>
    <w:p w:rsidR="00855D76" w:rsidP="00855D76" w:rsidRDefault="00855D76" w14:paraId="5944015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D520BD" w:rsidP="00D520BD" w:rsidRDefault="00D520BD" w14:paraId="6A06F11D" w14:textId="54E4BAD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r w:rsidRPr="005A5966">
        <w:rPr>
          <w:sz w:val="22"/>
          <w:szCs w:val="22"/>
        </w:rPr>
        <w:t>Th</w:t>
      </w:r>
      <w:r>
        <w:rPr>
          <w:sz w:val="22"/>
          <w:szCs w:val="22"/>
        </w:rPr>
        <w:t xml:space="preserve">e </w:t>
      </w:r>
      <w:r w:rsidR="003C747B">
        <w:rPr>
          <w:sz w:val="22"/>
          <w:szCs w:val="22"/>
        </w:rPr>
        <w:t>NRC</w:t>
      </w:r>
      <w:r>
        <w:rPr>
          <w:sz w:val="22"/>
          <w:szCs w:val="22"/>
        </w:rPr>
        <w:t xml:space="preserve"> staff does not expect the implementation schedule</w:t>
      </w:r>
      <w:r w:rsidRPr="005A5966">
        <w:rPr>
          <w:sz w:val="22"/>
          <w:szCs w:val="22"/>
        </w:rPr>
        <w:t xml:space="preserve"> to result in a cumulative impact on affected </w:t>
      </w:r>
      <w:r>
        <w:rPr>
          <w:sz w:val="22"/>
          <w:szCs w:val="22"/>
        </w:rPr>
        <w:t>entitie</w:t>
      </w:r>
      <w:r w:rsidRPr="005A5966">
        <w:rPr>
          <w:sz w:val="22"/>
          <w:szCs w:val="22"/>
        </w:rPr>
        <w:t>s because</w:t>
      </w:r>
      <w:r>
        <w:rPr>
          <w:sz w:val="22"/>
          <w:szCs w:val="22"/>
        </w:rPr>
        <w:t xml:space="preserve"> </w:t>
      </w:r>
      <w:r w:rsidRPr="005A5966">
        <w:rPr>
          <w:sz w:val="22"/>
          <w:szCs w:val="22"/>
        </w:rPr>
        <w:t>(1)</w:t>
      </w:r>
      <w:r>
        <w:rPr>
          <w:sz w:val="22"/>
          <w:szCs w:val="22"/>
        </w:rPr>
        <w:t> </w:t>
      </w:r>
      <w:r w:rsidRPr="005A5966">
        <w:rPr>
          <w:sz w:val="22"/>
          <w:szCs w:val="22"/>
        </w:rPr>
        <w:t xml:space="preserve">no other pending </w:t>
      </w:r>
      <w:r>
        <w:rPr>
          <w:sz w:val="22"/>
          <w:szCs w:val="22"/>
        </w:rPr>
        <w:t xml:space="preserve">10 CFR Part 26 </w:t>
      </w:r>
      <w:r w:rsidRPr="005A5966">
        <w:rPr>
          <w:sz w:val="22"/>
          <w:szCs w:val="22"/>
        </w:rPr>
        <w:t>regulatory actions</w:t>
      </w:r>
      <w:r>
        <w:rPr>
          <w:sz w:val="22"/>
          <w:szCs w:val="22"/>
        </w:rPr>
        <w:t xml:space="preserve"> exist</w:t>
      </w:r>
      <w:r w:rsidRPr="005A5966">
        <w:rPr>
          <w:sz w:val="22"/>
          <w:szCs w:val="22"/>
        </w:rPr>
        <w:t xml:space="preserve"> that impact the site professionals responsible for implementing the </w:t>
      </w:r>
      <w:r w:rsidR="00C82438">
        <w:rPr>
          <w:sz w:val="22"/>
          <w:szCs w:val="22"/>
        </w:rPr>
        <w:t>rule</w:t>
      </w:r>
      <w:r w:rsidRPr="005A5966">
        <w:rPr>
          <w:sz w:val="22"/>
          <w:szCs w:val="22"/>
        </w:rPr>
        <w:t xml:space="preserve"> requirements and (2)</w:t>
      </w:r>
      <w:r>
        <w:rPr>
          <w:sz w:val="22"/>
          <w:szCs w:val="22"/>
        </w:rPr>
        <w:t> </w:t>
      </w:r>
      <w:r w:rsidR="00B31780">
        <w:rPr>
          <w:sz w:val="22"/>
          <w:szCs w:val="22"/>
        </w:rPr>
        <w:t xml:space="preserve">the schedule provides </w:t>
      </w:r>
      <w:r w:rsidR="00C74A04">
        <w:rPr>
          <w:sz w:val="22"/>
          <w:szCs w:val="22"/>
        </w:rPr>
        <w:t>adequate time to modify</w:t>
      </w:r>
      <w:r w:rsidRPr="005A5966">
        <w:rPr>
          <w:sz w:val="22"/>
          <w:szCs w:val="22"/>
        </w:rPr>
        <w:t xml:space="preserve"> FFD policy</w:t>
      </w:r>
      <w:r w:rsidR="00646A79">
        <w:rPr>
          <w:sz w:val="22"/>
          <w:szCs w:val="22"/>
        </w:rPr>
        <w:t>,</w:t>
      </w:r>
      <w:r w:rsidRPr="005A5966">
        <w:rPr>
          <w:sz w:val="22"/>
          <w:szCs w:val="22"/>
        </w:rPr>
        <w:t xml:space="preserve"> procedures</w:t>
      </w:r>
      <w:r w:rsidR="00646A79">
        <w:rPr>
          <w:sz w:val="22"/>
          <w:szCs w:val="22"/>
        </w:rPr>
        <w:t>,</w:t>
      </w:r>
      <w:r w:rsidRPr="005A5966">
        <w:rPr>
          <w:sz w:val="22"/>
          <w:szCs w:val="22"/>
        </w:rPr>
        <w:t xml:space="preserve"> </w:t>
      </w:r>
      <w:r>
        <w:rPr>
          <w:sz w:val="22"/>
          <w:szCs w:val="22"/>
        </w:rPr>
        <w:t>contracts</w:t>
      </w:r>
      <w:r w:rsidR="00646A79">
        <w:rPr>
          <w:sz w:val="22"/>
          <w:szCs w:val="22"/>
        </w:rPr>
        <w:t>,</w:t>
      </w:r>
      <w:r>
        <w:rPr>
          <w:sz w:val="22"/>
          <w:szCs w:val="22"/>
        </w:rPr>
        <w:t xml:space="preserve"> </w:t>
      </w:r>
      <w:r w:rsidR="008D0AEC">
        <w:rPr>
          <w:sz w:val="22"/>
          <w:szCs w:val="22"/>
        </w:rPr>
        <w:t>training, and FFD</w:t>
      </w:r>
      <w:r w:rsidR="00231799">
        <w:rPr>
          <w:sz w:val="22"/>
          <w:szCs w:val="22"/>
        </w:rPr>
        <w:noBreakHyphen/>
      </w:r>
      <w:r w:rsidR="008D0AEC">
        <w:rPr>
          <w:sz w:val="22"/>
          <w:szCs w:val="22"/>
        </w:rPr>
        <w:t>related software systems</w:t>
      </w:r>
      <w:r w:rsidRPr="005A5966">
        <w:rPr>
          <w:sz w:val="22"/>
          <w:szCs w:val="22"/>
        </w:rPr>
        <w:t xml:space="preserve">.  This implementation schedule also enables the NRC </w:t>
      </w:r>
      <w:r>
        <w:rPr>
          <w:sz w:val="22"/>
          <w:szCs w:val="22"/>
        </w:rPr>
        <w:t xml:space="preserve">staff </w:t>
      </w:r>
      <w:r w:rsidRPr="005A5966">
        <w:rPr>
          <w:sz w:val="22"/>
          <w:szCs w:val="22"/>
        </w:rPr>
        <w:t xml:space="preserve">to finalize </w:t>
      </w:r>
      <w:r>
        <w:rPr>
          <w:sz w:val="22"/>
          <w:szCs w:val="22"/>
        </w:rPr>
        <w:t xml:space="preserve">updates to </w:t>
      </w:r>
      <w:r w:rsidRPr="005A5966">
        <w:rPr>
          <w:sz w:val="22"/>
          <w:szCs w:val="22"/>
        </w:rPr>
        <w:t>NRC inspector guidance.</w:t>
      </w:r>
    </w:p>
    <w:p w:rsidR="00D520BD" w:rsidP="00D520BD" w:rsidRDefault="00D520BD" w14:paraId="275CC406" w14:textId="7F21BF0F">
      <w:pPr>
        <w:autoSpaceDE/>
        <w:autoSpaceDN/>
        <w:adjustRightInd/>
        <w:rPr>
          <w:sz w:val="22"/>
          <w:szCs w:val="22"/>
        </w:rPr>
      </w:pPr>
    </w:p>
    <w:p w:rsidRPr="00B858DB" w:rsidR="00D520BD" w:rsidP="00D520BD" w:rsidRDefault="00D520BD" w14:paraId="2CD8CF88" w14:textId="77777777">
      <w:pPr>
        <w:autoSpaceDE/>
        <w:autoSpaceDN/>
        <w:adjustRightInd/>
        <w:rPr>
          <w:rFonts w:cs="Arial"/>
          <w:b/>
          <w:bCs/>
          <w:kern w:val="32"/>
          <w:sz w:val="22"/>
          <w:szCs w:val="22"/>
        </w:rPr>
      </w:pPr>
      <w:bookmarkStart w:name="_Toc460412630" w:id="290"/>
      <w:r w:rsidRPr="00B858DB">
        <w:rPr>
          <w:sz w:val="22"/>
          <w:szCs w:val="22"/>
        </w:rPr>
        <w:br w:type="page"/>
      </w:r>
    </w:p>
    <w:p w:rsidR="00D520BD" w:rsidP="00D520BD" w:rsidRDefault="00D520BD" w14:paraId="149E5479" w14:textId="77777777">
      <w:pPr>
        <w:pStyle w:val="Heading1"/>
      </w:pPr>
      <w:bookmarkStart w:name="_Toc72840047" w:id="291"/>
      <w:bookmarkStart w:name="_Toc105681520" w:id="292"/>
      <w:r>
        <w:t>8.</w:t>
      </w:r>
      <w:r>
        <w:tab/>
      </w:r>
      <w:bookmarkStart w:name="_Toc370806856" w:id="293"/>
      <w:r>
        <w:t>References</w:t>
      </w:r>
      <w:bookmarkEnd w:id="290"/>
      <w:bookmarkEnd w:id="291"/>
      <w:bookmarkEnd w:id="293"/>
      <w:bookmarkEnd w:id="292"/>
    </w:p>
    <w:p w:rsidRPr="001E5242" w:rsidR="00D520BD" w:rsidP="00D520BD" w:rsidRDefault="00D520BD" w14:paraId="191B650D" w14:textId="77777777">
      <w:pPr>
        <w:keepNext/>
        <w:keepLines/>
        <w:rPr>
          <w:rFonts w:cs="Arial"/>
          <w:sz w:val="22"/>
          <w:szCs w:val="22"/>
        </w:rPr>
      </w:pPr>
    </w:p>
    <w:p w:rsidRPr="00E77524" w:rsidR="009C638A" w:rsidP="009C638A" w:rsidRDefault="009C638A" w14:paraId="38A5136F" w14:textId="654D82BF">
      <w:pPr>
        <w:ind w:left="-4"/>
        <w:rPr>
          <w:rFonts w:cs="Arial"/>
          <w:sz w:val="22"/>
          <w:szCs w:val="22"/>
        </w:rPr>
      </w:pPr>
      <w:r w:rsidRPr="00E77524">
        <w:rPr>
          <w:rFonts w:cs="Arial"/>
          <w:sz w:val="22"/>
          <w:szCs w:val="22"/>
        </w:rPr>
        <w:t xml:space="preserve">10 CFR Part 26.  </w:t>
      </w:r>
      <w:r w:rsidRPr="00E77524">
        <w:rPr>
          <w:rFonts w:cs="Arial"/>
          <w:i/>
          <w:iCs/>
          <w:sz w:val="22"/>
          <w:szCs w:val="22"/>
        </w:rPr>
        <w:t>Code of Federal Regulations</w:t>
      </w:r>
      <w:r w:rsidRPr="00E77524" w:rsidR="00646A79">
        <w:rPr>
          <w:rFonts w:cs="Arial"/>
          <w:sz w:val="22"/>
          <w:szCs w:val="22"/>
        </w:rPr>
        <w:t>,</w:t>
      </w:r>
      <w:r w:rsidRPr="00E77524">
        <w:rPr>
          <w:rFonts w:cs="Arial"/>
          <w:sz w:val="22"/>
          <w:szCs w:val="22"/>
        </w:rPr>
        <w:t xml:space="preserve"> Title 10</w:t>
      </w:r>
      <w:r w:rsidRPr="00E77524" w:rsidR="00646A79">
        <w:rPr>
          <w:rFonts w:cs="Arial"/>
          <w:sz w:val="22"/>
          <w:szCs w:val="22"/>
        </w:rPr>
        <w:t>,</w:t>
      </w:r>
      <w:r w:rsidRPr="00E77524">
        <w:rPr>
          <w:rFonts w:cs="Arial"/>
          <w:sz w:val="22"/>
          <w:szCs w:val="22"/>
        </w:rPr>
        <w:t xml:space="preserve"> </w:t>
      </w:r>
      <w:r w:rsidRPr="00E77524" w:rsidR="004F0AC4">
        <w:rPr>
          <w:rFonts w:cs="Arial"/>
          <w:sz w:val="22"/>
          <w:szCs w:val="22"/>
        </w:rPr>
        <w:t>“</w:t>
      </w:r>
      <w:r w:rsidRPr="00907283">
        <w:rPr>
          <w:sz w:val="22"/>
        </w:rPr>
        <w:t>Energy</w:t>
      </w:r>
      <w:r w:rsidRPr="00E77524" w:rsidR="00646A79">
        <w:rPr>
          <w:rFonts w:cs="Arial"/>
          <w:sz w:val="22"/>
          <w:szCs w:val="22"/>
        </w:rPr>
        <w:t>,</w:t>
      </w:r>
      <w:r w:rsidRPr="00E77524" w:rsidR="004F0AC4">
        <w:rPr>
          <w:rFonts w:cs="Arial"/>
          <w:sz w:val="22"/>
          <w:szCs w:val="22"/>
        </w:rPr>
        <w:t>”</w:t>
      </w:r>
      <w:r w:rsidRPr="00E77524">
        <w:rPr>
          <w:rFonts w:cs="Arial"/>
          <w:sz w:val="22"/>
          <w:szCs w:val="22"/>
        </w:rPr>
        <w:t xml:space="preserve"> Part 26</w:t>
      </w:r>
      <w:r w:rsidRPr="00E77524" w:rsidR="00646A79">
        <w:rPr>
          <w:rFonts w:cs="Arial"/>
          <w:sz w:val="22"/>
          <w:szCs w:val="22"/>
        </w:rPr>
        <w:t>,</w:t>
      </w:r>
      <w:r w:rsidRPr="00E77524">
        <w:rPr>
          <w:rFonts w:cs="Arial"/>
          <w:sz w:val="22"/>
          <w:szCs w:val="22"/>
        </w:rPr>
        <w:t xml:space="preserve"> </w:t>
      </w:r>
      <w:r w:rsidRPr="00E77524" w:rsidR="00646A79">
        <w:rPr>
          <w:rFonts w:cs="Arial"/>
          <w:sz w:val="22"/>
          <w:szCs w:val="22"/>
        </w:rPr>
        <w:t>“</w:t>
      </w:r>
      <w:r w:rsidRPr="00E77524">
        <w:rPr>
          <w:rFonts w:cs="Arial"/>
          <w:sz w:val="22"/>
          <w:szCs w:val="22"/>
        </w:rPr>
        <w:t xml:space="preserve">Fitness for </w:t>
      </w:r>
      <w:r w:rsidRPr="00E77524" w:rsidR="00B13160">
        <w:rPr>
          <w:rFonts w:cs="Arial"/>
          <w:sz w:val="22"/>
          <w:szCs w:val="22"/>
        </w:rPr>
        <w:t>d</w:t>
      </w:r>
      <w:r w:rsidRPr="00E77524">
        <w:rPr>
          <w:rFonts w:cs="Arial"/>
          <w:sz w:val="22"/>
          <w:szCs w:val="22"/>
        </w:rPr>
        <w:t xml:space="preserve">uty </w:t>
      </w:r>
      <w:r w:rsidRPr="00E77524" w:rsidR="00B13160">
        <w:rPr>
          <w:rFonts w:cs="Arial"/>
          <w:sz w:val="22"/>
          <w:szCs w:val="22"/>
        </w:rPr>
        <w:t>p</w:t>
      </w:r>
      <w:r w:rsidRPr="00E77524">
        <w:rPr>
          <w:rFonts w:cs="Arial"/>
          <w:sz w:val="22"/>
          <w:szCs w:val="22"/>
        </w:rPr>
        <w:t>rograms.</w:t>
      </w:r>
      <w:r w:rsidRPr="00E77524" w:rsidR="00646A79">
        <w:rPr>
          <w:rFonts w:cs="Arial"/>
          <w:sz w:val="22"/>
          <w:szCs w:val="22"/>
        </w:rPr>
        <w:t>”</w:t>
      </w:r>
    </w:p>
    <w:p w:rsidRPr="00E77524" w:rsidR="009C638A" w:rsidP="009C638A" w:rsidRDefault="009C638A" w14:paraId="2FE75F6B" w14:textId="77777777">
      <w:pPr>
        <w:pStyle w:val="ListParagraph"/>
        <w:ind w:left="-4"/>
        <w:rPr>
          <w:rFonts w:cs="Arial"/>
          <w:sz w:val="22"/>
          <w:szCs w:val="22"/>
        </w:rPr>
      </w:pPr>
    </w:p>
    <w:p w:rsidRPr="00E77524" w:rsidR="009C638A" w:rsidP="009C638A" w:rsidRDefault="009C638A" w14:paraId="5A445A65" w14:textId="3BEA614E">
      <w:pPr>
        <w:ind w:left="-4"/>
        <w:rPr>
          <w:rFonts w:cs="Arial"/>
          <w:sz w:val="22"/>
          <w:szCs w:val="22"/>
        </w:rPr>
      </w:pPr>
      <w:r w:rsidRPr="00E77524">
        <w:rPr>
          <w:rFonts w:cs="Arial"/>
          <w:sz w:val="22"/>
          <w:szCs w:val="22"/>
        </w:rPr>
        <w:t xml:space="preserve">10 CFR Part 50.  </w:t>
      </w:r>
      <w:r w:rsidRPr="00E77524">
        <w:rPr>
          <w:rFonts w:cs="Arial"/>
          <w:i/>
          <w:iCs/>
          <w:sz w:val="22"/>
          <w:szCs w:val="22"/>
        </w:rPr>
        <w:t>Code of Federal Regulations</w:t>
      </w:r>
      <w:r w:rsidRPr="00E77524" w:rsidR="00646A79">
        <w:rPr>
          <w:rFonts w:cs="Arial"/>
          <w:sz w:val="22"/>
          <w:szCs w:val="22"/>
        </w:rPr>
        <w:t>,</w:t>
      </w:r>
      <w:r w:rsidRPr="00E77524">
        <w:rPr>
          <w:rFonts w:cs="Arial"/>
          <w:sz w:val="22"/>
          <w:szCs w:val="22"/>
        </w:rPr>
        <w:t xml:space="preserve"> Title 10</w:t>
      </w:r>
      <w:r w:rsidRPr="00E77524" w:rsidR="00646A79">
        <w:rPr>
          <w:rFonts w:cs="Arial"/>
          <w:sz w:val="22"/>
          <w:szCs w:val="22"/>
        </w:rPr>
        <w:t>,</w:t>
      </w:r>
      <w:r w:rsidRPr="00E77524">
        <w:rPr>
          <w:rFonts w:cs="Arial"/>
          <w:sz w:val="22"/>
          <w:szCs w:val="22"/>
        </w:rPr>
        <w:t xml:space="preserve"> </w:t>
      </w:r>
      <w:r w:rsidRPr="00E77524" w:rsidR="004F0AC4">
        <w:rPr>
          <w:rFonts w:cs="Arial"/>
          <w:sz w:val="22"/>
          <w:szCs w:val="22"/>
        </w:rPr>
        <w:t>“</w:t>
      </w:r>
      <w:r w:rsidRPr="00907283">
        <w:rPr>
          <w:sz w:val="22"/>
        </w:rPr>
        <w:t>Energy</w:t>
      </w:r>
      <w:r w:rsidRPr="00E77524" w:rsidR="00646A79">
        <w:rPr>
          <w:rFonts w:cs="Arial"/>
          <w:sz w:val="22"/>
          <w:szCs w:val="22"/>
        </w:rPr>
        <w:t>,</w:t>
      </w:r>
      <w:r w:rsidRPr="00E77524" w:rsidR="004F0AC4">
        <w:rPr>
          <w:rFonts w:cs="Arial"/>
          <w:sz w:val="22"/>
          <w:szCs w:val="22"/>
        </w:rPr>
        <w:t>”</w:t>
      </w:r>
      <w:r w:rsidRPr="00E77524">
        <w:rPr>
          <w:rFonts w:cs="Arial"/>
          <w:sz w:val="22"/>
          <w:szCs w:val="22"/>
        </w:rPr>
        <w:t xml:space="preserve"> Part 50</w:t>
      </w:r>
      <w:r w:rsidRPr="00E77524" w:rsidR="00646A79">
        <w:rPr>
          <w:rFonts w:cs="Arial"/>
          <w:sz w:val="22"/>
          <w:szCs w:val="22"/>
        </w:rPr>
        <w:t>,</w:t>
      </w:r>
      <w:r w:rsidRPr="00E77524">
        <w:rPr>
          <w:rFonts w:cs="Arial"/>
          <w:sz w:val="22"/>
          <w:szCs w:val="22"/>
        </w:rPr>
        <w:t xml:space="preserve"> </w:t>
      </w:r>
      <w:r w:rsidRPr="00E77524" w:rsidR="00646A79">
        <w:rPr>
          <w:rFonts w:cs="Arial"/>
          <w:sz w:val="22"/>
          <w:szCs w:val="22"/>
        </w:rPr>
        <w:t>“</w:t>
      </w:r>
      <w:r w:rsidRPr="00E77524">
        <w:rPr>
          <w:rFonts w:cs="Arial"/>
          <w:sz w:val="22"/>
          <w:szCs w:val="22"/>
        </w:rPr>
        <w:t xml:space="preserve">Domestic </w:t>
      </w:r>
      <w:r w:rsidRPr="00E77524" w:rsidR="00B13160">
        <w:rPr>
          <w:rFonts w:cs="Arial"/>
          <w:sz w:val="22"/>
          <w:szCs w:val="22"/>
        </w:rPr>
        <w:t>l</w:t>
      </w:r>
      <w:r w:rsidRPr="00E77524">
        <w:rPr>
          <w:rFonts w:cs="Arial"/>
          <w:sz w:val="22"/>
          <w:szCs w:val="22"/>
        </w:rPr>
        <w:t xml:space="preserve">icensing of </w:t>
      </w:r>
      <w:r w:rsidRPr="00E77524" w:rsidR="00B13160">
        <w:rPr>
          <w:rFonts w:cs="Arial"/>
          <w:sz w:val="22"/>
          <w:szCs w:val="22"/>
        </w:rPr>
        <w:t>p</w:t>
      </w:r>
      <w:r w:rsidRPr="00E77524">
        <w:rPr>
          <w:rFonts w:cs="Arial"/>
          <w:sz w:val="22"/>
          <w:szCs w:val="22"/>
        </w:rPr>
        <w:t xml:space="preserve">roduction and </w:t>
      </w:r>
      <w:r w:rsidRPr="00E77524" w:rsidR="00B13160">
        <w:rPr>
          <w:rFonts w:cs="Arial"/>
          <w:sz w:val="22"/>
          <w:szCs w:val="22"/>
        </w:rPr>
        <w:t>u</w:t>
      </w:r>
      <w:r w:rsidRPr="00E77524">
        <w:rPr>
          <w:rFonts w:cs="Arial"/>
          <w:sz w:val="22"/>
          <w:szCs w:val="22"/>
        </w:rPr>
        <w:t xml:space="preserve">tilization </w:t>
      </w:r>
      <w:r w:rsidRPr="00E77524" w:rsidR="00B13160">
        <w:rPr>
          <w:rFonts w:cs="Arial"/>
          <w:sz w:val="22"/>
          <w:szCs w:val="22"/>
        </w:rPr>
        <w:t>f</w:t>
      </w:r>
      <w:r w:rsidRPr="00E77524">
        <w:rPr>
          <w:rFonts w:cs="Arial"/>
          <w:sz w:val="22"/>
          <w:szCs w:val="22"/>
        </w:rPr>
        <w:t>acilities.</w:t>
      </w:r>
      <w:r w:rsidRPr="00E77524" w:rsidR="00646A79">
        <w:rPr>
          <w:rFonts w:cs="Arial"/>
          <w:sz w:val="22"/>
          <w:szCs w:val="22"/>
        </w:rPr>
        <w:t>”</w:t>
      </w:r>
    </w:p>
    <w:p w:rsidRPr="00E77524" w:rsidR="009C638A" w:rsidP="00441B85" w:rsidRDefault="009C638A" w14:paraId="0B4CBC52" w14:textId="77777777">
      <w:pPr>
        <w:rPr>
          <w:rFonts w:cs="Arial"/>
          <w:sz w:val="22"/>
          <w:szCs w:val="22"/>
        </w:rPr>
      </w:pPr>
    </w:p>
    <w:p w:rsidRPr="00E77524" w:rsidR="009C638A" w:rsidP="00907283" w:rsidRDefault="009C638A" w14:paraId="19E15149" w14:textId="19F71352">
      <w:pPr>
        <w:widowControl w:val="0"/>
        <w:ind w:left="-4"/>
        <w:rPr>
          <w:rFonts w:cs="Arial"/>
          <w:sz w:val="22"/>
          <w:szCs w:val="22"/>
        </w:rPr>
      </w:pPr>
      <w:r w:rsidRPr="00E77524">
        <w:rPr>
          <w:rFonts w:cs="Arial"/>
          <w:sz w:val="22"/>
          <w:szCs w:val="22"/>
        </w:rPr>
        <w:t xml:space="preserve">10 CFR Part 52.  </w:t>
      </w:r>
      <w:r w:rsidRPr="00E77524">
        <w:rPr>
          <w:rFonts w:cs="Arial"/>
          <w:i/>
          <w:iCs/>
          <w:sz w:val="22"/>
          <w:szCs w:val="22"/>
        </w:rPr>
        <w:t>Code of Federal Regulations</w:t>
      </w:r>
      <w:r w:rsidRPr="00E77524" w:rsidR="00646A79">
        <w:rPr>
          <w:rFonts w:cs="Arial"/>
          <w:sz w:val="22"/>
          <w:szCs w:val="22"/>
        </w:rPr>
        <w:t>,</w:t>
      </w:r>
      <w:r w:rsidRPr="00E77524">
        <w:rPr>
          <w:rFonts w:cs="Arial"/>
          <w:sz w:val="22"/>
          <w:szCs w:val="22"/>
        </w:rPr>
        <w:t xml:space="preserve"> Title 10</w:t>
      </w:r>
      <w:r w:rsidRPr="00E77524" w:rsidR="00646A79">
        <w:rPr>
          <w:rFonts w:cs="Arial"/>
          <w:sz w:val="22"/>
          <w:szCs w:val="22"/>
        </w:rPr>
        <w:t>,</w:t>
      </w:r>
      <w:r w:rsidRPr="00E77524">
        <w:rPr>
          <w:rFonts w:cs="Arial"/>
          <w:sz w:val="22"/>
          <w:szCs w:val="22"/>
        </w:rPr>
        <w:t xml:space="preserve"> </w:t>
      </w:r>
      <w:r w:rsidRPr="00E77524" w:rsidR="004F0AC4">
        <w:rPr>
          <w:rFonts w:cs="Arial"/>
          <w:sz w:val="22"/>
          <w:szCs w:val="22"/>
        </w:rPr>
        <w:t>“</w:t>
      </w:r>
      <w:r w:rsidRPr="00907283">
        <w:rPr>
          <w:sz w:val="22"/>
        </w:rPr>
        <w:t>Energy</w:t>
      </w:r>
      <w:r w:rsidRPr="00E77524" w:rsidR="00646A79">
        <w:rPr>
          <w:rFonts w:cs="Arial"/>
          <w:sz w:val="22"/>
          <w:szCs w:val="22"/>
        </w:rPr>
        <w:t>,</w:t>
      </w:r>
      <w:r w:rsidRPr="00E77524" w:rsidR="004F0AC4">
        <w:rPr>
          <w:rFonts w:cs="Arial"/>
          <w:sz w:val="22"/>
          <w:szCs w:val="22"/>
        </w:rPr>
        <w:t>”</w:t>
      </w:r>
      <w:r w:rsidRPr="00E77524">
        <w:rPr>
          <w:rFonts w:cs="Arial"/>
          <w:sz w:val="22"/>
          <w:szCs w:val="22"/>
        </w:rPr>
        <w:t xml:space="preserve"> Part 52</w:t>
      </w:r>
      <w:r w:rsidRPr="00E77524" w:rsidR="00646A79">
        <w:rPr>
          <w:rFonts w:cs="Arial"/>
          <w:sz w:val="22"/>
          <w:szCs w:val="22"/>
        </w:rPr>
        <w:t>,</w:t>
      </w:r>
      <w:r w:rsidRPr="00E77524">
        <w:rPr>
          <w:rFonts w:cs="Arial"/>
          <w:sz w:val="22"/>
          <w:szCs w:val="22"/>
        </w:rPr>
        <w:t xml:space="preserve"> </w:t>
      </w:r>
      <w:r w:rsidRPr="00E77524" w:rsidR="00646A79">
        <w:rPr>
          <w:rFonts w:cs="Arial"/>
          <w:sz w:val="22"/>
          <w:szCs w:val="22"/>
        </w:rPr>
        <w:t>“</w:t>
      </w:r>
      <w:r w:rsidRPr="00E77524">
        <w:rPr>
          <w:rFonts w:cs="Arial"/>
          <w:sz w:val="22"/>
          <w:szCs w:val="22"/>
        </w:rPr>
        <w:t>Licenses</w:t>
      </w:r>
      <w:r w:rsidRPr="00E77524" w:rsidR="00646A79">
        <w:rPr>
          <w:rFonts w:cs="Arial"/>
          <w:sz w:val="22"/>
          <w:szCs w:val="22"/>
        </w:rPr>
        <w:t>,</w:t>
      </w:r>
      <w:r w:rsidRPr="00E77524">
        <w:rPr>
          <w:rFonts w:cs="Arial"/>
          <w:sz w:val="22"/>
          <w:szCs w:val="22"/>
        </w:rPr>
        <w:t xml:space="preserve"> </w:t>
      </w:r>
      <w:r w:rsidRPr="00E77524" w:rsidR="00B13160">
        <w:rPr>
          <w:rFonts w:cs="Arial"/>
          <w:sz w:val="22"/>
          <w:szCs w:val="22"/>
        </w:rPr>
        <w:t>c</w:t>
      </w:r>
      <w:r w:rsidRPr="00E77524">
        <w:rPr>
          <w:rFonts w:cs="Arial"/>
          <w:sz w:val="22"/>
          <w:szCs w:val="22"/>
        </w:rPr>
        <w:t>ertifications</w:t>
      </w:r>
      <w:r w:rsidRPr="00E77524" w:rsidR="00646A79">
        <w:rPr>
          <w:rFonts w:cs="Arial"/>
          <w:sz w:val="22"/>
          <w:szCs w:val="22"/>
        </w:rPr>
        <w:t>,</w:t>
      </w:r>
      <w:r w:rsidRPr="00E77524">
        <w:rPr>
          <w:rFonts w:cs="Arial"/>
          <w:sz w:val="22"/>
          <w:szCs w:val="22"/>
        </w:rPr>
        <w:t xml:space="preserve"> and </w:t>
      </w:r>
      <w:r w:rsidRPr="00E77524" w:rsidR="00B13160">
        <w:rPr>
          <w:rFonts w:cs="Arial"/>
          <w:sz w:val="22"/>
          <w:szCs w:val="22"/>
        </w:rPr>
        <w:t>a</w:t>
      </w:r>
      <w:r w:rsidRPr="00E77524">
        <w:rPr>
          <w:rFonts w:cs="Arial"/>
          <w:sz w:val="22"/>
          <w:szCs w:val="22"/>
        </w:rPr>
        <w:t xml:space="preserve">pprovals for </w:t>
      </w:r>
      <w:r w:rsidRPr="00E77524" w:rsidR="00B13160">
        <w:rPr>
          <w:rFonts w:cs="Arial"/>
          <w:sz w:val="22"/>
          <w:szCs w:val="22"/>
        </w:rPr>
        <w:t>n</w:t>
      </w:r>
      <w:r w:rsidRPr="00E77524">
        <w:rPr>
          <w:rFonts w:cs="Arial"/>
          <w:sz w:val="22"/>
          <w:szCs w:val="22"/>
        </w:rPr>
        <w:t xml:space="preserve">uclear </w:t>
      </w:r>
      <w:r w:rsidRPr="00E77524" w:rsidR="00B13160">
        <w:rPr>
          <w:rFonts w:cs="Arial"/>
          <w:sz w:val="22"/>
          <w:szCs w:val="22"/>
        </w:rPr>
        <w:t>p</w:t>
      </w:r>
      <w:r w:rsidRPr="00E77524">
        <w:rPr>
          <w:rFonts w:cs="Arial"/>
          <w:sz w:val="22"/>
          <w:szCs w:val="22"/>
        </w:rPr>
        <w:t xml:space="preserve">ower </w:t>
      </w:r>
      <w:r w:rsidRPr="00E77524" w:rsidR="00B13160">
        <w:rPr>
          <w:rFonts w:cs="Arial"/>
          <w:sz w:val="22"/>
          <w:szCs w:val="22"/>
        </w:rPr>
        <w:t>p</w:t>
      </w:r>
      <w:r w:rsidRPr="00E77524">
        <w:rPr>
          <w:rFonts w:cs="Arial"/>
          <w:sz w:val="22"/>
          <w:szCs w:val="22"/>
        </w:rPr>
        <w:t>lants.</w:t>
      </w:r>
      <w:r w:rsidRPr="00E77524" w:rsidR="00646A79">
        <w:rPr>
          <w:rFonts w:cs="Arial"/>
          <w:sz w:val="22"/>
          <w:szCs w:val="22"/>
        </w:rPr>
        <w:t>”</w:t>
      </w:r>
    </w:p>
    <w:p w:rsidRPr="00E77524" w:rsidR="009C638A" w:rsidP="00441B85" w:rsidRDefault="009C638A" w14:paraId="73F81989" w14:textId="77777777">
      <w:pPr>
        <w:widowControl w:val="0"/>
        <w:rPr>
          <w:rFonts w:cs="Arial"/>
          <w:color w:val="000000" w:themeColor="text1"/>
          <w:sz w:val="22"/>
          <w:szCs w:val="22"/>
        </w:rPr>
      </w:pPr>
    </w:p>
    <w:p w:rsidRPr="00E77524" w:rsidR="009C638A" w:rsidP="009C638A" w:rsidRDefault="009C638A" w14:paraId="55757FB2" w14:textId="4395E236">
      <w:pPr>
        <w:autoSpaceDE/>
        <w:autoSpaceDN/>
        <w:adjustRightInd/>
        <w:ind w:left="-4"/>
        <w:rPr>
          <w:rFonts w:cs="Arial"/>
          <w:color w:val="000000" w:themeColor="text1"/>
          <w:sz w:val="22"/>
          <w:szCs w:val="22"/>
        </w:rPr>
      </w:pPr>
      <w:r w:rsidRPr="00E77524">
        <w:rPr>
          <w:rFonts w:cs="Arial"/>
          <w:sz w:val="22"/>
          <w:szCs w:val="22"/>
        </w:rPr>
        <w:t xml:space="preserve">10 CFR Part 73.  </w:t>
      </w:r>
      <w:r w:rsidRPr="00E77524">
        <w:rPr>
          <w:rFonts w:cs="Arial"/>
          <w:i/>
          <w:iCs/>
          <w:sz w:val="22"/>
          <w:szCs w:val="22"/>
        </w:rPr>
        <w:t>Code of Federal Regulations</w:t>
      </w:r>
      <w:r w:rsidRPr="00E77524" w:rsidR="00646A79">
        <w:rPr>
          <w:rFonts w:cs="Arial"/>
          <w:sz w:val="22"/>
          <w:szCs w:val="22"/>
        </w:rPr>
        <w:t>,</w:t>
      </w:r>
      <w:r w:rsidRPr="00E77524">
        <w:rPr>
          <w:rFonts w:cs="Arial"/>
          <w:sz w:val="22"/>
          <w:szCs w:val="22"/>
        </w:rPr>
        <w:t xml:space="preserve"> Title 10</w:t>
      </w:r>
      <w:r w:rsidRPr="00E77524" w:rsidR="00646A79">
        <w:rPr>
          <w:rFonts w:cs="Arial"/>
          <w:sz w:val="22"/>
          <w:szCs w:val="22"/>
        </w:rPr>
        <w:t>,</w:t>
      </w:r>
      <w:r w:rsidRPr="00E77524">
        <w:rPr>
          <w:rFonts w:cs="Arial"/>
          <w:sz w:val="22"/>
          <w:szCs w:val="22"/>
        </w:rPr>
        <w:t xml:space="preserve"> </w:t>
      </w:r>
      <w:r w:rsidRPr="00E77524" w:rsidR="004F0AC4">
        <w:rPr>
          <w:rFonts w:cs="Arial"/>
          <w:sz w:val="22"/>
          <w:szCs w:val="22"/>
        </w:rPr>
        <w:t>“</w:t>
      </w:r>
      <w:r w:rsidRPr="00907283">
        <w:rPr>
          <w:sz w:val="22"/>
        </w:rPr>
        <w:t>Energy</w:t>
      </w:r>
      <w:r w:rsidRPr="00E77524" w:rsidR="00646A79">
        <w:rPr>
          <w:rFonts w:cs="Arial"/>
          <w:sz w:val="22"/>
          <w:szCs w:val="22"/>
        </w:rPr>
        <w:t>,</w:t>
      </w:r>
      <w:r w:rsidRPr="00E77524" w:rsidR="004F0AC4">
        <w:rPr>
          <w:rFonts w:cs="Arial"/>
          <w:sz w:val="22"/>
          <w:szCs w:val="22"/>
        </w:rPr>
        <w:t>”</w:t>
      </w:r>
      <w:r w:rsidRPr="00E77524">
        <w:rPr>
          <w:rFonts w:cs="Arial"/>
          <w:sz w:val="22"/>
          <w:szCs w:val="22"/>
        </w:rPr>
        <w:t xml:space="preserve"> Part 73</w:t>
      </w:r>
      <w:r w:rsidRPr="00E77524" w:rsidR="00646A79">
        <w:rPr>
          <w:rFonts w:cs="Arial"/>
          <w:sz w:val="22"/>
          <w:szCs w:val="22"/>
        </w:rPr>
        <w:t>,</w:t>
      </w:r>
      <w:r w:rsidRPr="00E77524">
        <w:rPr>
          <w:rFonts w:cs="Arial"/>
          <w:sz w:val="22"/>
          <w:szCs w:val="22"/>
        </w:rPr>
        <w:t xml:space="preserve"> </w:t>
      </w:r>
      <w:r w:rsidRPr="00E77524" w:rsidR="00646A79">
        <w:rPr>
          <w:rFonts w:cs="Arial"/>
          <w:sz w:val="22"/>
          <w:szCs w:val="22"/>
        </w:rPr>
        <w:t>“</w:t>
      </w:r>
      <w:r w:rsidRPr="00E77524">
        <w:rPr>
          <w:rFonts w:cs="Arial"/>
          <w:sz w:val="22"/>
          <w:szCs w:val="22"/>
        </w:rPr>
        <w:t xml:space="preserve">Physical </w:t>
      </w:r>
      <w:r w:rsidRPr="00E77524" w:rsidR="00B13160">
        <w:rPr>
          <w:rFonts w:cs="Arial"/>
          <w:sz w:val="22"/>
          <w:szCs w:val="22"/>
        </w:rPr>
        <w:t>p</w:t>
      </w:r>
      <w:r w:rsidRPr="00E77524">
        <w:rPr>
          <w:rFonts w:cs="Arial"/>
          <w:sz w:val="22"/>
          <w:szCs w:val="22"/>
        </w:rPr>
        <w:t xml:space="preserve">rotection of </w:t>
      </w:r>
      <w:r w:rsidRPr="00E77524" w:rsidR="00B13160">
        <w:rPr>
          <w:rFonts w:cs="Arial"/>
          <w:sz w:val="22"/>
          <w:szCs w:val="22"/>
        </w:rPr>
        <w:t>p</w:t>
      </w:r>
      <w:r w:rsidRPr="00E77524">
        <w:rPr>
          <w:rFonts w:cs="Arial"/>
          <w:sz w:val="22"/>
          <w:szCs w:val="22"/>
        </w:rPr>
        <w:t xml:space="preserve">lants and </w:t>
      </w:r>
      <w:r w:rsidRPr="00E77524" w:rsidR="00B13160">
        <w:rPr>
          <w:rFonts w:cs="Arial"/>
          <w:sz w:val="22"/>
          <w:szCs w:val="22"/>
        </w:rPr>
        <w:t>m</w:t>
      </w:r>
      <w:r w:rsidRPr="00E77524">
        <w:rPr>
          <w:rFonts w:cs="Arial"/>
          <w:sz w:val="22"/>
          <w:szCs w:val="22"/>
        </w:rPr>
        <w:t>aterials.</w:t>
      </w:r>
      <w:r w:rsidRPr="00E77524" w:rsidR="00646A79">
        <w:rPr>
          <w:rFonts w:cs="Arial"/>
          <w:sz w:val="22"/>
          <w:szCs w:val="22"/>
        </w:rPr>
        <w:t>”</w:t>
      </w:r>
    </w:p>
    <w:p w:rsidRPr="00907283" w:rsidR="009C638A" w:rsidP="00441B85" w:rsidRDefault="009C638A" w14:paraId="17B0AFF3" w14:textId="77777777">
      <w:pPr>
        <w:rPr>
          <w:color w:val="000000" w:themeColor="text1"/>
          <w:sz w:val="22"/>
          <w:highlight w:val="yellow"/>
        </w:rPr>
      </w:pPr>
    </w:p>
    <w:p w:rsidRPr="00CA143C" w:rsidR="009C638A" w:rsidP="009C638A" w:rsidRDefault="009C638A" w14:paraId="705AC069" w14:textId="5C65902E">
      <w:pPr>
        <w:ind w:left="-4"/>
        <w:rPr>
          <w:rFonts w:cs="Arial"/>
          <w:sz w:val="22"/>
          <w:szCs w:val="22"/>
        </w:rPr>
      </w:pPr>
      <w:r w:rsidRPr="00CA143C">
        <w:rPr>
          <w:rFonts w:cs="Arial"/>
          <w:sz w:val="22"/>
          <w:szCs w:val="22"/>
        </w:rPr>
        <w:t xml:space="preserve">49 CFR Part 40.  </w:t>
      </w:r>
      <w:r w:rsidRPr="00CA143C">
        <w:rPr>
          <w:rFonts w:cs="Arial"/>
          <w:i/>
          <w:iCs/>
          <w:sz w:val="22"/>
          <w:szCs w:val="22"/>
        </w:rPr>
        <w:t>Code of Federal Regulations</w:t>
      </w:r>
      <w:r w:rsidRPr="00CA143C" w:rsidR="00646A79">
        <w:rPr>
          <w:rFonts w:cs="Arial"/>
          <w:sz w:val="22"/>
          <w:szCs w:val="22"/>
        </w:rPr>
        <w:t>,</w:t>
      </w:r>
      <w:r w:rsidRPr="00CA143C">
        <w:rPr>
          <w:rFonts w:cs="Arial"/>
          <w:sz w:val="22"/>
          <w:szCs w:val="22"/>
        </w:rPr>
        <w:t xml:space="preserve"> Title 49</w:t>
      </w:r>
      <w:r w:rsidRPr="00CA143C" w:rsidR="00646A79">
        <w:rPr>
          <w:rFonts w:cs="Arial"/>
          <w:sz w:val="22"/>
          <w:szCs w:val="22"/>
        </w:rPr>
        <w:t>,</w:t>
      </w:r>
      <w:r w:rsidRPr="00CA143C">
        <w:rPr>
          <w:rFonts w:cs="Arial"/>
          <w:sz w:val="22"/>
          <w:szCs w:val="22"/>
        </w:rPr>
        <w:t xml:space="preserve"> </w:t>
      </w:r>
      <w:r w:rsidRPr="00CA143C" w:rsidR="004F0AC4">
        <w:rPr>
          <w:rFonts w:cs="Arial"/>
          <w:sz w:val="22"/>
          <w:szCs w:val="22"/>
        </w:rPr>
        <w:t>“</w:t>
      </w:r>
      <w:r w:rsidRPr="00907283">
        <w:rPr>
          <w:sz w:val="22"/>
        </w:rPr>
        <w:t>Transportation</w:t>
      </w:r>
      <w:r w:rsidRPr="00CA143C" w:rsidR="00646A79">
        <w:rPr>
          <w:rFonts w:cs="Arial"/>
          <w:sz w:val="22"/>
          <w:szCs w:val="22"/>
        </w:rPr>
        <w:t>,</w:t>
      </w:r>
      <w:r w:rsidRPr="00CA143C" w:rsidR="004F0AC4">
        <w:rPr>
          <w:rFonts w:cs="Arial"/>
          <w:sz w:val="22"/>
          <w:szCs w:val="22"/>
        </w:rPr>
        <w:t>”</w:t>
      </w:r>
      <w:r w:rsidRPr="00CA143C">
        <w:rPr>
          <w:rFonts w:cs="Arial"/>
          <w:sz w:val="22"/>
          <w:szCs w:val="22"/>
        </w:rPr>
        <w:t xml:space="preserve"> Part 40</w:t>
      </w:r>
      <w:r w:rsidRPr="00CA143C" w:rsidR="00646A79">
        <w:rPr>
          <w:rFonts w:cs="Arial"/>
          <w:sz w:val="22"/>
          <w:szCs w:val="22"/>
        </w:rPr>
        <w:t>,</w:t>
      </w:r>
      <w:r w:rsidRPr="00CA143C">
        <w:rPr>
          <w:rFonts w:cs="Arial"/>
          <w:sz w:val="22"/>
          <w:szCs w:val="22"/>
        </w:rPr>
        <w:t xml:space="preserve"> </w:t>
      </w:r>
      <w:r w:rsidRPr="00CA143C" w:rsidR="00646A79">
        <w:rPr>
          <w:rFonts w:cs="Arial"/>
          <w:sz w:val="22"/>
          <w:szCs w:val="22"/>
        </w:rPr>
        <w:t>“</w:t>
      </w:r>
      <w:r w:rsidRPr="00CA143C">
        <w:rPr>
          <w:rFonts w:cs="Arial"/>
          <w:sz w:val="22"/>
          <w:szCs w:val="22"/>
        </w:rPr>
        <w:t xml:space="preserve">Procedures for </w:t>
      </w:r>
      <w:r w:rsidR="00E073C8">
        <w:rPr>
          <w:rFonts w:cs="Arial"/>
          <w:sz w:val="22"/>
          <w:szCs w:val="22"/>
        </w:rPr>
        <w:t>t</w:t>
      </w:r>
      <w:r w:rsidRPr="00CA143C">
        <w:rPr>
          <w:rFonts w:cs="Arial"/>
          <w:sz w:val="22"/>
          <w:szCs w:val="22"/>
        </w:rPr>
        <w:t xml:space="preserve">ransportation </w:t>
      </w:r>
      <w:r w:rsidR="00E073C8">
        <w:rPr>
          <w:rFonts w:cs="Arial"/>
          <w:sz w:val="22"/>
          <w:szCs w:val="22"/>
        </w:rPr>
        <w:t>w</w:t>
      </w:r>
      <w:r w:rsidRPr="00CA143C">
        <w:rPr>
          <w:rFonts w:cs="Arial"/>
          <w:sz w:val="22"/>
          <w:szCs w:val="22"/>
        </w:rPr>
        <w:t xml:space="preserve">orkplace </w:t>
      </w:r>
      <w:r w:rsidR="00E073C8">
        <w:rPr>
          <w:rFonts w:cs="Arial"/>
          <w:sz w:val="22"/>
          <w:szCs w:val="22"/>
        </w:rPr>
        <w:t>d</w:t>
      </w:r>
      <w:r w:rsidRPr="00CA143C">
        <w:rPr>
          <w:rFonts w:cs="Arial"/>
          <w:sz w:val="22"/>
          <w:szCs w:val="22"/>
        </w:rPr>
        <w:t xml:space="preserve">rug and </w:t>
      </w:r>
      <w:r w:rsidR="00E073C8">
        <w:rPr>
          <w:rFonts w:cs="Arial"/>
          <w:sz w:val="22"/>
          <w:szCs w:val="22"/>
        </w:rPr>
        <w:t>a</w:t>
      </w:r>
      <w:r w:rsidRPr="00CA143C">
        <w:rPr>
          <w:rFonts w:cs="Arial"/>
          <w:sz w:val="22"/>
          <w:szCs w:val="22"/>
        </w:rPr>
        <w:t xml:space="preserve">lcohol </w:t>
      </w:r>
      <w:r w:rsidR="00E073C8">
        <w:rPr>
          <w:rFonts w:cs="Arial"/>
          <w:sz w:val="22"/>
          <w:szCs w:val="22"/>
        </w:rPr>
        <w:t>t</w:t>
      </w:r>
      <w:r w:rsidRPr="00CA143C">
        <w:rPr>
          <w:rFonts w:cs="Arial"/>
          <w:sz w:val="22"/>
          <w:szCs w:val="22"/>
        </w:rPr>
        <w:t xml:space="preserve">esting </w:t>
      </w:r>
      <w:r w:rsidR="00E073C8">
        <w:rPr>
          <w:rFonts w:cs="Arial"/>
          <w:sz w:val="22"/>
          <w:szCs w:val="22"/>
        </w:rPr>
        <w:t>p</w:t>
      </w:r>
      <w:r w:rsidRPr="00CA143C">
        <w:rPr>
          <w:rFonts w:cs="Arial"/>
          <w:sz w:val="22"/>
          <w:szCs w:val="22"/>
        </w:rPr>
        <w:t>rograms.</w:t>
      </w:r>
      <w:r w:rsidRPr="00CA143C" w:rsidR="00646A79">
        <w:rPr>
          <w:rFonts w:cs="Arial"/>
          <w:sz w:val="22"/>
          <w:szCs w:val="22"/>
        </w:rPr>
        <w:t>”</w:t>
      </w:r>
      <w:r w:rsidR="0029717A">
        <w:rPr>
          <w:rFonts w:cs="Arial"/>
          <w:sz w:val="22"/>
          <w:szCs w:val="22"/>
        </w:rPr>
        <w:t xml:space="preserve"> </w:t>
      </w:r>
      <w:r w:rsidRPr="00CA143C" w:rsidR="00A744CB">
        <w:rPr>
          <w:rFonts w:cs="Arial"/>
          <w:sz w:val="22"/>
          <w:szCs w:val="22"/>
        </w:rPr>
        <w:t>transportation workplace drug and alcohol testing programs</w:t>
      </w:r>
      <w:r w:rsidRPr="00CA143C">
        <w:rPr>
          <w:rFonts w:cs="Arial"/>
          <w:sz w:val="22"/>
          <w:szCs w:val="22"/>
        </w:rPr>
        <w:t>.</w:t>
      </w:r>
      <w:r w:rsidRPr="00CA143C" w:rsidR="00646A79">
        <w:rPr>
          <w:rFonts w:cs="Arial"/>
          <w:sz w:val="22"/>
          <w:szCs w:val="22"/>
        </w:rPr>
        <w:t>”</w:t>
      </w:r>
    </w:p>
    <w:p w:rsidRPr="00907283" w:rsidR="009C638A" w:rsidP="00441B85" w:rsidRDefault="009C638A" w14:paraId="649472C1" w14:textId="77777777">
      <w:pPr>
        <w:rPr>
          <w:sz w:val="22"/>
          <w:highlight w:val="yellow"/>
        </w:rPr>
      </w:pPr>
    </w:p>
    <w:p w:rsidRPr="00CD4612" w:rsidR="00717FBA" w:rsidP="00717FBA" w:rsidRDefault="00717FBA" w14:paraId="56D24509" w14:textId="749873C6">
      <w:pPr>
        <w:autoSpaceDE/>
        <w:autoSpaceDN/>
        <w:adjustRightInd/>
        <w:ind w:left="-4"/>
        <w:rPr>
          <w:rFonts w:cs="Arial"/>
          <w:color w:val="000000" w:themeColor="text1"/>
          <w:sz w:val="22"/>
          <w:szCs w:val="22"/>
        </w:rPr>
      </w:pPr>
      <w:r w:rsidRPr="00CD4612">
        <w:rPr>
          <w:rFonts w:cs="Arial"/>
          <w:color w:val="000000" w:themeColor="text1"/>
          <w:sz w:val="22"/>
          <w:szCs w:val="22"/>
        </w:rPr>
        <w:t>51 FR 30028</w:t>
      </w:r>
      <w:r w:rsidRPr="00CD4612" w:rsidR="00646A79">
        <w:rPr>
          <w:rFonts w:cs="Arial"/>
          <w:color w:val="000000" w:themeColor="text1"/>
          <w:sz w:val="22"/>
          <w:szCs w:val="22"/>
        </w:rPr>
        <w:t>,</w:t>
      </w:r>
      <w:r w:rsidRPr="00CD4612">
        <w:rPr>
          <w:rFonts w:cs="Arial"/>
          <w:color w:val="000000" w:themeColor="text1"/>
          <w:sz w:val="22"/>
          <w:szCs w:val="22"/>
        </w:rPr>
        <w:t xml:space="preserve"> August 21</w:t>
      </w:r>
      <w:r w:rsidRPr="00CD4612" w:rsidR="00646A79">
        <w:rPr>
          <w:rFonts w:cs="Arial"/>
          <w:color w:val="000000" w:themeColor="text1"/>
          <w:sz w:val="22"/>
          <w:szCs w:val="22"/>
        </w:rPr>
        <w:t>,</w:t>
      </w:r>
      <w:r w:rsidRPr="00CD4612">
        <w:rPr>
          <w:rFonts w:cs="Arial"/>
          <w:color w:val="000000" w:themeColor="text1"/>
          <w:sz w:val="22"/>
          <w:szCs w:val="22"/>
        </w:rPr>
        <w:t xml:space="preserve"> 1986.  U.S. Nuclear Regulatory Commission</w:t>
      </w:r>
      <w:r w:rsidRPr="00CD4612" w:rsidR="00646A79">
        <w:rPr>
          <w:rFonts w:cs="Arial"/>
          <w:color w:val="000000" w:themeColor="text1"/>
          <w:sz w:val="22"/>
          <w:szCs w:val="22"/>
        </w:rPr>
        <w:t>,</w:t>
      </w:r>
      <w:r w:rsidRPr="00CD4612">
        <w:rPr>
          <w:rFonts w:cs="Arial"/>
          <w:color w:val="000000" w:themeColor="text1"/>
          <w:sz w:val="22"/>
          <w:szCs w:val="22"/>
        </w:rPr>
        <w:t xml:space="preserve"> </w:t>
      </w:r>
      <w:r w:rsidRPr="00CD4612" w:rsidR="00646A79">
        <w:rPr>
          <w:rFonts w:cs="Arial"/>
          <w:color w:val="000000" w:themeColor="text1"/>
          <w:sz w:val="22"/>
          <w:szCs w:val="22"/>
        </w:rPr>
        <w:t>“</w:t>
      </w:r>
      <w:r w:rsidRPr="00CD4612">
        <w:rPr>
          <w:rFonts w:cs="Arial"/>
          <w:color w:val="000000" w:themeColor="text1"/>
          <w:sz w:val="22"/>
          <w:szCs w:val="22"/>
        </w:rPr>
        <w:t>Policy Statement on Safety Goals for the Operation of Nuclear Power Plants</w:t>
      </w:r>
      <w:r w:rsidRPr="00CD4612" w:rsidR="00646A79">
        <w:rPr>
          <w:rFonts w:cs="Arial"/>
          <w:color w:val="000000" w:themeColor="text1"/>
          <w:sz w:val="22"/>
          <w:szCs w:val="22"/>
        </w:rPr>
        <w:t>,”</w:t>
      </w:r>
      <w:r w:rsidRPr="00CD4612">
        <w:rPr>
          <w:rFonts w:cs="Arial"/>
          <w:color w:val="000000" w:themeColor="text1"/>
          <w:sz w:val="22"/>
          <w:szCs w:val="22"/>
        </w:rPr>
        <w:t xml:space="preserve"> August 4</w:t>
      </w:r>
      <w:r w:rsidRPr="00CD4612" w:rsidR="00646A79">
        <w:rPr>
          <w:rFonts w:cs="Arial"/>
          <w:color w:val="000000" w:themeColor="text1"/>
          <w:sz w:val="22"/>
          <w:szCs w:val="22"/>
        </w:rPr>
        <w:t>,</w:t>
      </w:r>
      <w:r w:rsidRPr="00CD4612">
        <w:rPr>
          <w:rFonts w:cs="Arial"/>
          <w:color w:val="000000" w:themeColor="text1"/>
          <w:sz w:val="22"/>
          <w:szCs w:val="22"/>
        </w:rPr>
        <w:t xml:space="preserve"> 1986.  Corrected and reprinted at </w:t>
      </w:r>
      <w:r w:rsidRPr="00CD4612">
        <w:rPr>
          <w:i/>
          <w:color w:val="000000" w:themeColor="text1"/>
          <w:sz w:val="22"/>
        </w:rPr>
        <w:t>Federal Register</w:t>
      </w:r>
      <w:r w:rsidRPr="00CD4612" w:rsidR="00646A79">
        <w:rPr>
          <w:rFonts w:cs="Arial"/>
          <w:color w:val="000000" w:themeColor="text1"/>
          <w:sz w:val="22"/>
          <w:szCs w:val="22"/>
        </w:rPr>
        <w:t>,</w:t>
      </w:r>
      <w:r w:rsidRPr="00CD4612">
        <w:rPr>
          <w:rFonts w:cs="Arial"/>
          <w:color w:val="000000" w:themeColor="text1"/>
          <w:sz w:val="22"/>
          <w:szCs w:val="22"/>
        </w:rPr>
        <w:t xml:space="preserve"> Vol. 51</w:t>
      </w:r>
      <w:r w:rsidRPr="00CD4612" w:rsidR="00646A79">
        <w:rPr>
          <w:rFonts w:cs="Arial"/>
          <w:color w:val="000000" w:themeColor="text1"/>
          <w:sz w:val="22"/>
          <w:szCs w:val="22"/>
        </w:rPr>
        <w:t>,</w:t>
      </w:r>
      <w:r w:rsidRPr="00CD4612">
        <w:rPr>
          <w:rFonts w:cs="Arial"/>
          <w:color w:val="000000" w:themeColor="text1"/>
          <w:sz w:val="22"/>
          <w:szCs w:val="22"/>
        </w:rPr>
        <w:t xml:space="preserve"> No. 162</w:t>
      </w:r>
      <w:r w:rsidRPr="00CD4612" w:rsidR="00646A79">
        <w:rPr>
          <w:rFonts w:cs="Arial"/>
          <w:color w:val="000000" w:themeColor="text1"/>
          <w:sz w:val="22"/>
          <w:szCs w:val="22"/>
        </w:rPr>
        <w:t>,</w:t>
      </w:r>
      <w:r w:rsidRPr="00CD4612">
        <w:rPr>
          <w:rFonts w:cs="Arial"/>
          <w:color w:val="000000" w:themeColor="text1"/>
          <w:sz w:val="22"/>
          <w:szCs w:val="22"/>
        </w:rPr>
        <w:t xml:space="preserve"> pp. 30028–30035</w:t>
      </w:r>
      <w:r w:rsidRPr="00CD4612" w:rsidR="00646A79">
        <w:rPr>
          <w:rFonts w:cs="Arial"/>
          <w:color w:val="000000" w:themeColor="text1"/>
          <w:sz w:val="22"/>
          <w:szCs w:val="22"/>
        </w:rPr>
        <w:t>,</w:t>
      </w:r>
      <w:r w:rsidRPr="00CD4612">
        <w:rPr>
          <w:rFonts w:cs="Arial"/>
          <w:color w:val="000000" w:themeColor="text1"/>
          <w:sz w:val="22"/>
          <w:szCs w:val="22"/>
        </w:rPr>
        <w:t xml:space="preserve"> </w:t>
      </w:r>
      <w:hyperlink w:history="1" r:id="rId26">
        <w:r w:rsidRPr="00CD4612">
          <w:rPr>
            <w:rStyle w:val="Hyperlink"/>
            <w:rFonts w:cs="Arial"/>
            <w:sz w:val="22"/>
            <w:szCs w:val="22"/>
          </w:rPr>
          <w:t>http://www.nrc.gov/reading-rm/doc-collections/commission/policy/51fr30028.pdf</w:t>
        </w:r>
      </w:hyperlink>
      <w:r w:rsidRPr="00CD4612">
        <w:rPr>
          <w:rFonts w:cs="Arial"/>
          <w:color w:val="000000" w:themeColor="text1"/>
          <w:sz w:val="22"/>
          <w:szCs w:val="22"/>
        </w:rPr>
        <w:t>.</w:t>
      </w:r>
    </w:p>
    <w:p w:rsidRPr="00E0565B" w:rsidR="00717FBA" w:rsidP="00717FBA" w:rsidRDefault="00717FBA" w14:paraId="5BAF4036" w14:textId="77777777">
      <w:pPr>
        <w:autoSpaceDE/>
        <w:autoSpaceDN/>
        <w:adjustRightInd/>
        <w:ind w:left="-4"/>
        <w:rPr>
          <w:rFonts w:cs="Arial"/>
          <w:sz w:val="22"/>
          <w:szCs w:val="22"/>
        </w:rPr>
      </w:pPr>
    </w:p>
    <w:p w:rsidRPr="00E0565B" w:rsidR="00EE7D4E" w:rsidP="00717FBA" w:rsidRDefault="00EE7D4E" w14:paraId="4D317E4D" w14:textId="3140A720">
      <w:pPr>
        <w:autoSpaceDE/>
        <w:autoSpaceDN/>
        <w:adjustRightInd/>
        <w:ind w:left="-4"/>
        <w:rPr>
          <w:rFonts w:cs="Arial"/>
          <w:sz w:val="22"/>
          <w:szCs w:val="22"/>
        </w:rPr>
      </w:pPr>
      <w:r w:rsidRPr="00E0565B">
        <w:rPr>
          <w:rFonts w:cs="Arial"/>
          <w:sz w:val="22"/>
          <w:szCs w:val="22"/>
        </w:rPr>
        <w:t xml:space="preserve">52 FR 38077, October 14, 1987.  </w:t>
      </w:r>
      <w:r w:rsidRPr="00E0565B" w:rsidR="00B21A70">
        <w:rPr>
          <w:rFonts w:cs="Arial"/>
          <w:sz w:val="22"/>
          <w:szCs w:val="22"/>
        </w:rPr>
        <w:t xml:space="preserve">U.S. Nuclear Regulatory Commission, “Commission Policy Statement on Deferred Plants,” </w:t>
      </w:r>
      <w:r w:rsidRPr="00E0565B" w:rsidR="00B21A70">
        <w:rPr>
          <w:rFonts w:cs="Arial"/>
          <w:i/>
          <w:sz w:val="22"/>
          <w:szCs w:val="22"/>
        </w:rPr>
        <w:t>Federal Register</w:t>
      </w:r>
      <w:r w:rsidRPr="00E0565B" w:rsidR="00B21A70">
        <w:rPr>
          <w:rFonts w:cs="Arial"/>
          <w:sz w:val="22"/>
          <w:szCs w:val="22"/>
        </w:rPr>
        <w:t>, Vol. 52, No. 1</w:t>
      </w:r>
      <w:r w:rsidRPr="00E0565B" w:rsidR="008828DB">
        <w:rPr>
          <w:rFonts w:cs="Arial"/>
          <w:sz w:val="22"/>
          <w:szCs w:val="22"/>
        </w:rPr>
        <w:t>9</w:t>
      </w:r>
      <w:r w:rsidRPr="00E0565B" w:rsidR="00B21A70">
        <w:rPr>
          <w:rFonts w:cs="Arial"/>
          <w:sz w:val="22"/>
          <w:szCs w:val="22"/>
        </w:rPr>
        <w:t xml:space="preserve">8, pp. </w:t>
      </w:r>
      <w:r w:rsidRPr="00E0565B" w:rsidR="008828DB">
        <w:rPr>
          <w:rFonts w:cs="Arial"/>
          <w:sz w:val="22"/>
          <w:szCs w:val="22"/>
        </w:rPr>
        <w:t>38077</w:t>
      </w:r>
      <w:r w:rsidRPr="00E0565B" w:rsidR="00B21A70">
        <w:rPr>
          <w:rFonts w:cs="Arial"/>
          <w:sz w:val="22"/>
          <w:szCs w:val="22"/>
        </w:rPr>
        <w:t>–</w:t>
      </w:r>
      <w:r w:rsidRPr="00E0565B" w:rsidR="00066FDE">
        <w:rPr>
          <w:rFonts w:cs="Arial"/>
          <w:sz w:val="22"/>
          <w:szCs w:val="22"/>
        </w:rPr>
        <w:t>38080</w:t>
      </w:r>
      <w:r w:rsidRPr="00E0565B" w:rsidR="00B21A70">
        <w:rPr>
          <w:rFonts w:cs="Arial"/>
          <w:sz w:val="22"/>
          <w:szCs w:val="22"/>
        </w:rPr>
        <w:t>.</w:t>
      </w:r>
    </w:p>
    <w:p w:rsidRPr="00DA69DA" w:rsidR="00EE7D4E" w:rsidP="00717FBA" w:rsidRDefault="00EE7D4E" w14:paraId="3A81D7E4" w14:textId="77777777">
      <w:pPr>
        <w:autoSpaceDE/>
        <w:autoSpaceDN/>
        <w:adjustRightInd/>
        <w:ind w:left="-4"/>
        <w:rPr>
          <w:sz w:val="22"/>
          <w:highlight w:val="yellow"/>
        </w:rPr>
      </w:pPr>
    </w:p>
    <w:p w:rsidRPr="00360BDC" w:rsidR="00717FBA" w:rsidP="00717FBA" w:rsidRDefault="00717FBA" w14:paraId="6D3F3E91" w14:textId="5673F517">
      <w:pPr>
        <w:autoSpaceDE/>
        <w:autoSpaceDN/>
        <w:adjustRightInd/>
        <w:ind w:left="-4"/>
        <w:rPr>
          <w:rFonts w:cs="Arial"/>
          <w:sz w:val="22"/>
          <w:szCs w:val="22"/>
        </w:rPr>
      </w:pPr>
      <w:r w:rsidRPr="00360BDC">
        <w:rPr>
          <w:rFonts w:cs="Arial"/>
          <w:sz w:val="22"/>
          <w:szCs w:val="22"/>
        </w:rPr>
        <w:t>54 FR 24468</w:t>
      </w:r>
      <w:r w:rsidRPr="00360BDC" w:rsidR="00646A79">
        <w:rPr>
          <w:rFonts w:cs="Arial"/>
          <w:sz w:val="22"/>
          <w:szCs w:val="22"/>
        </w:rPr>
        <w:t>,</w:t>
      </w:r>
      <w:r w:rsidRPr="00360BDC">
        <w:rPr>
          <w:rFonts w:cs="Arial"/>
          <w:sz w:val="22"/>
          <w:szCs w:val="22"/>
        </w:rPr>
        <w:t xml:space="preserve"> June 7</w:t>
      </w:r>
      <w:r w:rsidRPr="00360BDC" w:rsidR="00646A79">
        <w:rPr>
          <w:rFonts w:cs="Arial"/>
          <w:sz w:val="22"/>
          <w:szCs w:val="22"/>
        </w:rPr>
        <w:t>,</w:t>
      </w:r>
      <w:r w:rsidRPr="00360BDC">
        <w:rPr>
          <w:rFonts w:cs="Arial"/>
          <w:sz w:val="22"/>
          <w:szCs w:val="22"/>
        </w:rPr>
        <w:t xml:space="preserve"> 1989.  U.S. Nuclear Regulatory Commission</w:t>
      </w:r>
      <w:r w:rsidRPr="00360BDC" w:rsidR="00646A79">
        <w:rPr>
          <w:rFonts w:cs="Arial"/>
          <w:sz w:val="22"/>
          <w:szCs w:val="22"/>
        </w:rPr>
        <w:t>,</w:t>
      </w:r>
      <w:r w:rsidRPr="00360BDC">
        <w:rPr>
          <w:rFonts w:cs="Arial"/>
          <w:sz w:val="22"/>
          <w:szCs w:val="22"/>
        </w:rPr>
        <w:t xml:space="preserve"> </w:t>
      </w:r>
      <w:r w:rsidRPr="00360BDC" w:rsidR="00646A79">
        <w:rPr>
          <w:rFonts w:cs="Arial"/>
          <w:sz w:val="22"/>
          <w:szCs w:val="22"/>
        </w:rPr>
        <w:t>“</w:t>
      </w:r>
      <w:r w:rsidRPr="00360BDC">
        <w:rPr>
          <w:rFonts w:cs="Arial"/>
          <w:sz w:val="22"/>
          <w:szCs w:val="22"/>
        </w:rPr>
        <w:t>Fitness for Duty Programs</w:t>
      </w:r>
      <w:r w:rsidRPr="00360BDC" w:rsidR="00646A79">
        <w:rPr>
          <w:rFonts w:cs="Arial"/>
          <w:sz w:val="22"/>
          <w:szCs w:val="22"/>
        </w:rPr>
        <w:t>,”</w:t>
      </w:r>
      <w:r w:rsidRPr="00360BDC">
        <w:rPr>
          <w:rFonts w:cs="Arial"/>
          <w:sz w:val="22"/>
          <w:szCs w:val="22"/>
        </w:rPr>
        <w:t xml:space="preserve"> </w:t>
      </w:r>
      <w:r w:rsidRPr="00360BDC">
        <w:rPr>
          <w:rFonts w:cs="Arial"/>
          <w:i/>
          <w:sz w:val="22"/>
          <w:szCs w:val="22"/>
        </w:rPr>
        <w:t>Federal Register</w:t>
      </w:r>
      <w:r w:rsidRPr="00360BDC" w:rsidR="00646A79">
        <w:rPr>
          <w:rFonts w:cs="Arial"/>
          <w:sz w:val="22"/>
          <w:szCs w:val="22"/>
        </w:rPr>
        <w:t>,</w:t>
      </w:r>
      <w:r w:rsidRPr="00360BDC">
        <w:rPr>
          <w:rFonts w:cs="Arial"/>
          <w:sz w:val="22"/>
          <w:szCs w:val="22"/>
        </w:rPr>
        <w:t xml:space="preserve"> Vol. 54</w:t>
      </w:r>
      <w:r w:rsidRPr="00360BDC" w:rsidR="00646A79">
        <w:rPr>
          <w:rFonts w:cs="Arial"/>
          <w:sz w:val="22"/>
          <w:szCs w:val="22"/>
        </w:rPr>
        <w:t>,</w:t>
      </w:r>
      <w:r w:rsidRPr="00360BDC">
        <w:rPr>
          <w:rFonts w:cs="Arial"/>
          <w:sz w:val="22"/>
          <w:szCs w:val="22"/>
        </w:rPr>
        <w:t xml:space="preserve"> No. 108</w:t>
      </w:r>
      <w:r w:rsidRPr="00360BDC" w:rsidR="00646A79">
        <w:rPr>
          <w:rFonts w:cs="Arial"/>
          <w:sz w:val="22"/>
          <w:szCs w:val="22"/>
        </w:rPr>
        <w:t>,</w:t>
      </w:r>
      <w:r w:rsidRPr="00360BDC">
        <w:rPr>
          <w:rFonts w:cs="Arial"/>
          <w:sz w:val="22"/>
          <w:szCs w:val="22"/>
        </w:rPr>
        <w:t xml:space="preserve"> pp. 24468–24508.</w:t>
      </w:r>
    </w:p>
    <w:p w:rsidRPr="00DA69DA" w:rsidR="00717FBA" w:rsidP="00717FBA" w:rsidRDefault="00717FBA" w14:paraId="2E50308C" w14:textId="77777777">
      <w:pPr>
        <w:autoSpaceDE/>
        <w:autoSpaceDN/>
        <w:adjustRightInd/>
        <w:rPr>
          <w:sz w:val="22"/>
          <w:highlight w:val="yellow"/>
        </w:rPr>
      </w:pPr>
    </w:p>
    <w:p w:rsidRPr="00360BDC" w:rsidR="00AD3469" w:rsidP="00717FBA" w:rsidRDefault="00C16481" w14:paraId="376C3AB1" w14:textId="5349F336">
      <w:pPr>
        <w:autoSpaceDE/>
        <w:autoSpaceDN/>
        <w:adjustRightInd/>
        <w:rPr>
          <w:sz w:val="22"/>
          <w:szCs w:val="22"/>
        </w:rPr>
      </w:pPr>
      <w:r w:rsidRPr="00360BDC">
        <w:rPr>
          <w:rFonts w:cs="Arial"/>
          <w:sz w:val="22"/>
          <w:szCs w:val="22"/>
        </w:rPr>
        <w:t>69</w:t>
      </w:r>
      <w:r w:rsidRPr="00360BDC" w:rsidR="00AD3469">
        <w:rPr>
          <w:rFonts w:cs="Arial"/>
          <w:sz w:val="22"/>
          <w:szCs w:val="22"/>
        </w:rPr>
        <w:t> FR </w:t>
      </w:r>
      <w:r w:rsidRPr="00360BDC">
        <w:rPr>
          <w:rFonts w:cs="Arial"/>
          <w:sz w:val="22"/>
          <w:szCs w:val="22"/>
        </w:rPr>
        <w:t>19643</w:t>
      </w:r>
      <w:r w:rsidRPr="00360BDC" w:rsidR="00AD3469">
        <w:rPr>
          <w:rFonts w:cs="Arial"/>
          <w:sz w:val="22"/>
          <w:szCs w:val="22"/>
        </w:rPr>
        <w:t xml:space="preserve">, </w:t>
      </w:r>
      <w:r w:rsidRPr="00360BDC">
        <w:rPr>
          <w:rFonts w:cs="Arial"/>
          <w:sz w:val="22"/>
          <w:szCs w:val="22"/>
        </w:rPr>
        <w:t>April 13, 2004</w:t>
      </w:r>
      <w:r w:rsidRPr="00360BDC" w:rsidR="00AD3469">
        <w:rPr>
          <w:rFonts w:cs="Arial"/>
          <w:sz w:val="22"/>
          <w:szCs w:val="22"/>
        </w:rPr>
        <w:t xml:space="preserve">.  U.S. Department of Health and Human Services, Substance Abuse and Mental Health Services Administration, “Mandatory Guidelines for Federal Workplace Drug Testing Programs,” </w:t>
      </w:r>
      <w:r w:rsidRPr="00360BDC" w:rsidR="00AD3469">
        <w:rPr>
          <w:rFonts w:cs="Arial"/>
          <w:i/>
          <w:sz w:val="22"/>
          <w:szCs w:val="22"/>
        </w:rPr>
        <w:t>Federal Register</w:t>
      </w:r>
      <w:r w:rsidRPr="00360BDC" w:rsidR="00AD3469">
        <w:rPr>
          <w:rFonts w:cs="Arial"/>
          <w:sz w:val="22"/>
          <w:szCs w:val="22"/>
        </w:rPr>
        <w:t xml:space="preserve">, Vol. </w:t>
      </w:r>
      <w:r w:rsidRPr="00360BDC" w:rsidR="00554E44">
        <w:rPr>
          <w:rFonts w:cs="Arial"/>
          <w:sz w:val="22"/>
          <w:szCs w:val="22"/>
        </w:rPr>
        <w:t>69</w:t>
      </w:r>
      <w:r w:rsidRPr="00360BDC" w:rsidR="00AD3469">
        <w:rPr>
          <w:rFonts w:cs="Arial"/>
          <w:sz w:val="22"/>
          <w:szCs w:val="22"/>
        </w:rPr>
        <w:t xml:space="preserve">, No. </w:t>
      </w:r>
      <w:r w:rsidRPr="00360BDC" w:rsidR="00554E44">
        <w:rPr>
          <w:rFonts w:cs="Arial"/>
          <w:sz w:val="22"/>
          <w:szCs w:val="22"/>
        </w:rPr>
        <w:t>71</w:t>
      </w:r>
      <w:r w:rsidRPr="00360BDC" w:rsidR="00AD3469">
        <w:rPr>
          <w:rFonts w:cs="Arial"/>
          <w:sz w:val="22"/>
          <w:szCs w:val="22"/>
        </w:rPr>
        <w:t>, pp. </w:t>
      </w:r>
      <w:r w:rsidRPr="00360BDC" w:rsidR="00554E44">
        <w:rPr>
          <w:rFonts w:cs="Arial"/>
          <w:sz w:val="22"/>
          <w:szCs w:val="22"/>
        </w:rPr>
        <w:t>19643</w:t>
      </w:r>
      <w:r w:rsidRPr="00360BDC" w:rsidR="00AD3469">
        <w:rPr>
          <w:rFonts w:cs="Arial"/>
          <w:sz w:val="22"/>
          <w:szCs w:val="22"/>
        </w:rPr>
        <w:t>–</w:t>
      </w:r>
      <w:r w:rsidRPr="00360BDC" w:rsidR="006919F2">
        <w:rPr>
          <w:rFonts w:cs="Arial"/>
          <w:sz w:val="22"/>
          <w:szCs w:val="22"/>
        </w:rPr>
        <w:t>19673</w:t>
      </w:r>
      <w:r w:rsidRPr="00360BDC" w:rsidR="0001296C">
        <w:rPr>
          <w:rFonts w:cs="Arial"/>
          <w:sz w:val="22"/>
          <w:szCs w:val="22"/>
        </w:rPr>
        <w:t>.</w:t>
      </w:r>
    </w:p>
    <w:p w:rsidRPr="00360BDC" w:rsidR="00AD3469" w:rsidP="00717FBA" w:rsidRDefault="00AD3469" w14:paraId="7D948CFA" w14:textId="77777777">
      <w:pPr>
        <w:autoSpaceDE/>
        <w:autoSpaceDN/>
        <w:adjustRightInd/>
        <w:rPr>
          <w:sz w:val="22"/>
          <w:szCs w:val="22"/>
        </w:rPr>
      </w:pPr>
    </w:p>
    <w:p w:rsidRPr="00360BDC" w:rsidR="00717FBA" w:rsidP="00717FBA" w:rsidRDefault="00717FBA" w14:paraId="161B5BB2" w14:textId="1EE0B9D1">
      <w:pPr>
        <w:autoSpaceDE/>
        <w:autoSpaceDN/>
        <w:adjustRightInd/>
        <w:ind w:left="-4"/>
        <w:rPr>
          <w:rFonts w:cs="Arial"/>
          <w:sz w:val="22"/>
          <w:szCs w:val="22"/>
        </w:rPr>
      </w:pPr>
      <w:r w:rsidRPr="00360BDC">
        <w:rPr>
          <w:rFonts w:cs="Arial"/>
          <w:sz w:val="22"/>
          <w:szCs w:val="22"/>
        </w:rPr>
        <w:t>73 FR 16966</w:t>
      </w:r>
      <w:r w:rsidRPr="00360BDC" w:rsidR="00646A79">
        <w:rPr>
          <w:rFonts w:cs="Arial"/>
          <w:sz w:val="22"/>
          <w:szCs w:val="22"/>
        </w:rPr>
        <w:t>,</w:t>
      </w:r>
      <w:r w:rsidRPr="00360BDC">
        <w:rPr>
          <w:rFonts w:cs="Arial"/>
          <w:sz w:val="22"/>
          <w:szCs w:val="22"/>
        </w:rPr>
        <w:t xml:space="preserve"> March 31</w:t>
      </w:r>
      <w:r w:rsidRPr="00360BDC" w:rsidR="00646A79">
        <w:rPr>
          <w:rFonts w:cs="Arial"/>
          <w:sz w:val="22"/>
          <w:szCs w:val="22"/>
        </w:rPr>
        <w:t>,</w:t>
      </w:r>
      <w:r w:rsidRPr="00360BDC">
        <w:rPr>
          <w:rFonts w:cs="Arial"/>
          <w:sz w:val="22"/>
          <w:szCs w:val="22"/>
        </w:rPr>
        <w:t xml:space="preserve"> 2008.  U.S. Nuclear Regulatory Commission</w:t>
      </w:r>
      <w:r w:rsidRPr="00360BDC" w:rsidR="00646A79">
        <w:rPr>
          <w:rFonts w:cs="Arial"/>
          <w:sz w:val="22"/>
          <w:szCs w:val="22"/>
        </w:rPr>
        <w:t>,</w:t>
      </w:r>
      <w:r w:rsidRPr="00360BDC">
        <w:rPr>
          <w:rFonts w:cs="Arial"/>
          <w:sz w:val="22"/>
          <w:szCs w:val="22"/>
        </w:rPr>
        <w:t xml:space="preserve"> </w:t>
      </w:r>
      <w:r w:rsidRPr="00360BDC" w:rsidR="00646A79">
        <w:rPr>
          <w:rFonts w:cs="Arial"/>
          <w:sz w:val="22"/>
          <w:szCs w:val="22"/>
        </w:rPr>
        <w:t>“</w:t>
      </w:r>
      <w:r w:rsidRPr="00360BDC">
        <w:rPr>
          <w:rFonts w:cs="Arial"/>
          <w:sz w:val="22"/>
          <w:szCs w:val="22"/>
        </w:rPr>
        <w:t>Fitness for Duty Programs</w:t>
      </w:r>
      <w:r w:rsidRPr="00360BDC" w:rsidR="00646A79">
        <w:rPr>
          <w:rFonts w:cs="Arial"/>
          <w:sz w:val="22"/>
          <w:szCs w:val="22"/>
        </w:rPr>
        <w:t>,”</w:t>
      </w:r>
      <w:r w:rsidRPr="00360BDC">
        <w:rPr>
          <w:rFonts w:cs="Arial"/>
          <w:sz w:val="22"/>
          <w:szCs w:val="22"/>
        </w:rPr>
        <w:t xml:space="preserve"> </w:t>
      </w:r>
      <w:r w:rsidRPr="00360BDC">
        <w:rPr>
          <w:rFonts w:cs="Arial"/>
          <w:i/>
          <w:sz w:val="22"/>
          <w:szCs w:val="22"/>
        </w:rPr>
        <w:t>Federal Register</w:t>
      </w:r>
      <w:r w:rsidRPr="00360BDC" w:rsidR="00646A79">
        <w:rPr>
          <w:rFonts w:cs="Arial"/>
          <w:sz w:val="22"/>
          <w:szCs w:val="22"/>
        </w:rPr>
        <w:t>,</w:t>
      </w:r>
      <w:r w:rsidRPr="00360BDC">
        <w:rPr>
          <w:rFonts w:cs="Arial"/>
          <w:sz w:val="22"/>
          <w:szCs w:val="22"/>
        </w:rPr>
        <w:t xml:space="preserve"> Vol. 73</w:t>
      </w:r>
      <w:r w:rsidRPr="00360BDC" w:rsidR="00646A79">
        <w:rPr>
          <w:rFonts w:cs="Arial"/>
          <w:sz w:val="22"/>
          <w:szCs w:val="22"/>
        </w:rPr>
        <w:t>,</w:t>
      </w:r>
      <w:r w:rsidRPr="00360BDC">
        <w:rPr>
          <w:rFonts w:cs="Arial"/>
          <w:sz w:val="22"/>
          <w:szCs w:val="22"/>
        </w:rPr>
        <w:t xml:space="preserve"> No. 62</w:t>
      </w:r>
      <w:r w:rsidRPr="00360BDC" w:rsidR="00646A79">
        <w:rPr>
          <w:rFonts w:cs="Arial"/>
          <w:sz w:val="22"/>
          <w:szCs w:val="22"/>
        </w:rPr>
        <w:t>,</w:t>
      </w:r>
      <w:r w:rsidRPr="00360BDC">
        <w:rPr>
          <w:rFonts w:cs="Arial"/>
          <w:sz w:val="22"/>
          <w:szCs w:val="22"/>
        </w:rPr>
        <w:t xml:space="preserve"> pp. 16966–17235.</w:t>
      </w:r>
    </w:p>
    <w:p w:rsidRPr="00DA69DA" w:rsidR="00717FBA" w:rsidP="00717FBA" w:rsidRDefault="00717FBA" w14:paraId="3299895E" w14:textId="77777777">
      <w:pPr>
        <w:rPr>
          <w:sz w:val="22"/>
          <w:highlight w:val="yellow"/>
        </w:rPr>
      </w:pPr>
    </w:p>
    <w:p w:rsidRPr="0011281E" w:rsidR="00717FBA" w:rsidP="00717FBA" w:rsidRDefault="00717FBA" w14:paraId="7726F21C" w14:textId="4AEA89C4">
      <w:pPr>
        <w:autoSpaceDE/>
        <w:autoSpaceDN/>
        <w:adjustRightInd/>
        <w:rPr>
          <w:rFonts w:cs="Arial"/>
          <w:sz w:val="22"/>
          <w:szCs w:val="22"/>
        </w:rPr>
      </w:pPr>
      <w:r w:rsidRPr="0011281E">
        <w:rPr>
          <w:rFonts w:cs="Arial"/>
          <w:sz w:val="22"/>
          <w:szCs w:val="22"/>
        </w:rPr>
        <w:t>73 FR 71858</w:t>
      </w:r>
      <w:r w:rsidRPr="0011281E" w:rsidR="00646A79">
        <w:rPr>
          <w:rFonts w:cs="Arial"/>
          <w:sz w:val="22"/>
          <w:szCs w:val="22"/>
        </w:rPr>
        <w:t>,</w:t>
      </w:r>
      <w:r w:rsidRPr="0011281E">
        <w:rPr>
          <w:rFonts w:cs="Arial"/>
          <w:sz w:val="22"/>
          <w:szCs w:val="22"/>
        </w:rPr>
        <w:t xml:space="preserve"> November 25</w:t>
      </w:r>
      <w:r w:rsidRPr="0011281E" w:rsidR="00646A79">
        <w:rPr>
          <w:rFonts w:cs="Arial"/>
          <w:sz w:val="22"/>
          <w:szCs w:val="22"/>
        </w:rPr>
        <w:t>,</w:t>
      </w:r>
      <w:r w:rsidRPr="0011281E">
        <w:rPr>
          <w:rFonts w:cs="Arial"/>
          <w:sz w:val="22"/>
          <w:szCs w:val="22"/>
        </w:rPr>
        <w:t xml:space="preserve"> 2008.  U.S. Department of Health and Human Services</w:t>
      </w:r>
      <w:r w:rsidRPr="0011281E" w:rsidR="00646A79">
        <w:rPr>
          <w:rFonts w:cs="Arial"/>
          <w:sz w:val="22"/>
          <w:szCs w:val="22"/>
        </w:rPr>
        <w:t>,</w:t>
      </w:r>
      <w:r w:rsidRPr="0011281E">
        <w:rPr>
          <w:rFonts w:cs="Arial"/>
          <w:sz w:val="22"/>
          <w:szCs w:val="22"/>
        </w:rPr>
        <w:t xml:space="preserve"> Substance Abuse and Mental Health Services Administration</w:t>
      </w:r>
      <w:r w:rsidRPr="0011281E" w:rsidR="00646A79">
        <w:rPr>
          <w:rFonts w:cs="Arial"/>
          <w:sz w:val="22"/>
          <w:szCs w:val="22"/>
        </w:rPr>
        <w:t>,</w:t>
      </w:r>
      <w:r w:rsidRPr="0011281E">
        <w:rPr>
          <w:rFonts w:cs="Arial"/>
          <w:sz w:val="22"/>
          <w:szCs w:val="22"/>
        </w:rPr>
        <w:t xml:space="preserve"> </w:t>
      </w:r>
      <w:r w:rsidRPr="0011281E" w:rsidR="00646A79">
        <w:rPr>
          <w:rFonts w:cs="Arial"/>
          <w:sz w:val="22"/>
          <w:szCs w:val="22"/>
        </w:rPr>
        <w:t>“</w:t>
      </w:r>
      <w:r w:rsidRPr="0011281E">
        <w:rPr>
          <w:rFonts w:cs="Arial"/>
          <w:sz w:val="22"/>
          <w:szCs w:val="22"/>
        </w:rPr>
        <w:t>Mandatory Guidelines for Federal Workplace Drug Testing Programs</w:t>
      </w:r>
      <w:r w:rsidRPr="0011281E" w:rsidR="00646A79">
        <w:rPr>
          <w:rFonts w:cs="Arial"/>
          <w:sz w:val="22"/>
          <w:szCs w:val="22"/>
        </w:rPr>
        <w:t>,”</w:t>
      </w:r>
      <w:r w:rsidRPr="0011281E">
        <w:rPr>
          <w:rFonts w:cs="Arial"/>
          <w:sz w:val="22"/>
          <w:szCs w:val="22"/>
        </w:rPr>
        <w:t xml:space="preserve"> </w:t>
      </w:r>
      <w:r w:rsidRPr="0011281E">
        <w:rPr>
          <w:rFonts w:cs="Arial"/>
          <w:i/>
          <w:sz w:val="22"/>
          <w:szCs w:val="22"/>
        </w:rPr>
        <w:t>Federal Register</w:t>
      </w:r>
      <w:r w:rsidRPr="0011281E" w:rsidR="00646A79">
        <w:rPr>
          <w:rFonts w:cs="Arial"/>
          <w:sz w:val="22"/>
          <w:szCs w:val="22"/>
        </w:rPr>
        <w:t>,</w:t>
      </w:r>
      <w:r w:rsidRPr="0011281E">
        <w:rPr>
          <w:rFonts w:cs="Arial"/>
          <w:sz w:val="22"/>
          <w:szCs w:val="22"/>
        </w:rPr>
        <w:t xml:space="preserve"> Vol. 73</w:t>
      </w:r>
      <w:r w:rsidRPr="0011281E" w:rsidR="00646A79">
        <w:rPr>
          <w:rFonts w:cs="Arial"/>
          <w:sz w:val="22"/>
          <w:szCs w:val="22"/>
        </w:rPr>
        <w:t>,</w:t>
      </w:r>
      <w:r w:rsidRPr="0011281E">
        <w:rPr>
          <w:rFonts w:cs="Arial"/>
          <w:sz w:val="22"/>
          <w:szCs w:val="22"/>
        </w:rPr>
        <w:t xml:space="preserve"> No. 228</w:t>
      </w:r>
      <w:r w:rsidRPr="0011281E" w:rsidR="00646A79">
        <w:rPr>
          <w:rFonts w:cs="Arial"/>
          <w:sz w:val="22"/>
          <w:szCs w:val="22"/>
        </w:rPr>
        <w:t>,</w:t>
      </w:r>
      <w:r w:rsidRPr="0011281E">
        <w:rPr>
          <w:rFonts w:cs="Arial"/>
          <w:sz w:val="22"/>
          <w:szCs w:val="22"/>
        </w:rPr>
        <w:t xml:space="preserve"> pp. 71858–71907.</w:t>
      </w:r>
    </w:p>
    <w:p w:rsidRPr="0011281E" w:rsidR="00717FBA" w:rsidP="00717FBA" w:rsidRDefault="00717FBA" w14:paraId="2C2301C7" w14:textId="77777777">
      <w:pPr>
        <w:autoSpaceDE/>
        <w:autoSpaceDN/>
        <w:adjustRightInd/>
        <w:rPr>
          <w:sz w:val="22"/>
          <w:szCs w:val="22"/>
        </w:rPr>
      </w:pPr>
    </w:p>
    <w:p w:rsidRPr="00E0565B" w:rsidR="00717FBA" w:rsidP="00717FBA" w:rsidRDefault="00717FBA" w14:paraId="7154917E" w14:textId="15CD9D51">
      <w:pPr>
        <w:autoSpaceDE/>
        <w:autoSpaceDN/>
        <w:adjustRightInd/>
        <w:ind w:left="-4"/>
        <w:rPr>
          <w:rFonts w:cs="Arial"/>
          <w:color w:val="000000" w:themeColor="text1"/>
          <w:sz w:val="22"/>
          <w:szCs w:val="22"/>
        </w:rPr>
      </w:pPr>
      <w:r w:rsidRPr="00E0565B">
        <w:rPr>
          <w:rFonts w:cs="Arial"/>
          <w:sz w:val="22"/>
          <w:szCs w:val="22"/>
        </w:rPr>
        <w:t>75 FR 49850</w:t>
      </w:r>
      <w:r w:rsidRPr="00E0565B" w:rsidR="00646A79">
        <w:rPr>
          <w:rFonts w:cs="Arial"/>
          <w:sz w:val="22"/>
          <w:szCs w:val="22"/>
        </w:rPr>
        <w:t>,</w:t>
      </w:r>
      <w:r w:rsidRPr="00E0565B">
        <w:rPr>
          <w:rFonts w:cs="Arial"/>
          <w:sz w:val="22"/>
          <w:szCs w:val="22"/>
        </w:rPr>
        <w:t xml:space="preserve"> August 16</w:t>
      </w:r>
      <w:r w:rsidRPr="00E0565B" w:rsidR="00646A79">
        <w:rPr>
          <w:rFonts w:cs="Arial"/>
          <w:sz w:val="22"/>
          <w:szCs w:val="22"/>
        </w:rPr>
        <w:t>,</w:t>
      </w:r>
      <w:r w:rsidRPr="00E0565B">
        <w:rPr>
          <w:rFonts w:cs="Arial"/>
          <w:sz w:val="22"/>
          <w:szCs w:val="22"/>
        </w:rPr>
        <w:t xml:space="preserve"> 2010.  </w:t>
      </w:r>
      <w:r w:rsidRPr="00E0565B">
        <w:rPr>
          <w:rFonts w:cs="Arial"/>
          <w:color w:val="000000" w:themeColor="text1"/>
          <w:sz w:val="22"/>
          <w:szCs w:val="22"/>
        </w:rPr>
        <w:t>U</w:t>
      </w:r>
      <w:r w:rsidRPr="00E0565B">
        <w:rPr>
          <w:sz w:val="22"/>
        </w:rPr>
        <w:t>.S. Department of Transportation</w:t>
      </w:r>
      <w:r w:rsidRPr="00E0565B" w:rsidR="00646A79">
        <w:rPr>
          <w:sz w:val="22"/>
        </w:rPr>
        <w:t>,</w:t>
      </w:r>
      <w:r w:rsidRPr="00E0565B">
        <w:rPr>
          <w:sz w:val="22"/>
        </w:rPr>
        <w:t xml:space="preserve"> </w:t>
      </w:r>
      <w:r w:rsidRPr="00E0565B" w:rsidR="00646A79">
        <w:rPr>
          <w:sz w:val="22"/>
        </w:rPr>
        <w:t>“</w:t>
      </w:r>
      <w:r w:rsidRPr="00E0565B">
        <w:rPr>
          <w:sz w:val="22"/>
        </w:rPr>
        <w:t>Procedures for Transportation Workplace Drug and Alcohol Testing Programs</w:t>
      </w:r>
      <w:r w:rsidRPr="00E0565B" w:rsidR="00646A79">
        <w:rPr>
          <w:sz w:val="22"/>
        </w:rPr>
        <w:t>,”</w:t>
      </w:r>
      <w:r w:rsidRPr="00E0565B">
        <w:rPr>
          <w:sz w:val="22"/>
        </w:rPr>
        <w:t xml:space="preserve"> </w:t>
      </w:r>
      <w:r w:rsidRPr="00E0565B">
        <w:rPr>
          <w:i/>
          <w:sz w:val="22"/>
        </w:rPr>
        <w:t>Federal Register</w:t>
      </w:r>
      <w:r w:rsidRPr="00E0565B" w:rsidR="00646A79">
        <w:rPr>
          <w:sz w:val="22"/>
        </w:rPr>
        <w:t>,</w:t>
      </w:r>
      <w:r w:rsidRPr="00E0565B">
        <w:rPr>
          <w:sz w:val="22"/>
        </w:rPr>
        <w:t xml:space="preserve"> Vol. 75</w:t>
      </w:r>
      <w:r w:rsidRPr="00E0565B" w:rsidR="00646A79">
        <w:rPr>
          <w:sz w:val="22"/>
        </w:rPr>
        <w:t>,</w:t>
      </w:r>
      <w:r w:rsidRPr="00E0565B">
        <w:rPr>
          <w:sz w:val="22"/>
        </w:rPr>
        <w:t xml:space="preserve"> No. 157</w:t>
      </w:r>
      <w:r w:rsidRPr="00E0565B" w:rsidR="00646A79">
        <w:rPr>
          <w:sz w:val="22"/>
        </w:rPr>
        <w:t>,</w:t>
      </w:r>
      <w:r w:rsidRPr="00E0565B">
        <w:rPr>
          <w:sz w:val="22"/>
        </w:rPr>
        <w:t xml:space="preserve"> pp. 49850</w:t>
      </w:r>
      <w:r w:rsidR="000C6B60">
        <w:rPr>
          <w:rFonts w:cs="Arial"/>
          <w:sz w:val="22"/>
        </w:rPr>
        <w:t>–</w:t>
      </w:r>
      <w:r w:rsidRPr="00E0565B">
        <w:rPr>
          <w:sz w:val="22"/>
        </w:rPr>
        <w:t>49864.</w:t>
      </w:r>
    </w:p>
    <w:p w:rsidRPr="00DA69DA" w:rsidR="00717FBA" w:rsidP="00441B85" w:rsidRDefault="00717FBA" w14:paraId="545E7114" w14:textId="77777777">
      <w:pPr>
        <w:rPr>
          <w:sz w:val="22"/>
          <w:highlight w:val="yellow"/>
        </w:rPr>
      </w:pPr>
    </w:p>
    <w:p w:rsidRPr="0011281E" w:rsidR="00717FBA" w:rsidP="00717FBA" w:rsidRDefault="00717FBA" w14:paraId="73C66DC7" w14:textId="6E5BCC98">
      <w:pPr>
        <w:autoSpaceDE/>
        <w:autoSpaceDN/>
        <w:adjustRightInd/>
        <w:rPr>
          <w:rFonts w:cs="Arial"/>
          <w:sz w:val="22"/>
          <w:szCs w:val="22"/>
        </w:rPr>
      </w:pPr>
      <w:r w:rsidRPr="0011281E">
        <w:rPr>
          <w:rFonts w:cs="Arial"/>
          <w:sz w:val="22"/>
          <w:szCs w:val="22"/>
        </w:rPr>
        <w:t>82 FR 7920</w:t>
      </w:r>
      <w:r w:rsidRPr="0011281E" w:rsidR="00646A79">
        <w:rPr>
          <w:rFonts w:cs="Arial"/>
          <w:sz w:val="22"/>
          <w:szCs w:val="22"/>
        </w:rPr>
        <w:t>,</w:t>
      </w:r>
      <w:r w:rsidRPr="0011281E">
        <w:rPr>
          <w:rFonts w:cs="Arial"/>
          <w:sz w:val="22"/>
          <w:szCs w:val="22"/>
        </w:rPr>
        <w:t xml:space="preserve"> January 23</w:t>
      </w:r>
      <w:r w:rsidRPr="0011281E" w:rsidR="00646A79">
        <w:rPr>
          <w:rFonts w:cs="Arial"/>
          <w:sz w:val="22"/>
          <w:szCs w:val="22"/>
        </w:rPr>
        <w:t>,</w:t>
      </w:r>
      <w:r w:rsidRPr="0011281E">
        <w:rPr>
          <w:rFonts w:cs="Arial"/>
          <w:sz w:val="22"/>
          <w:szCs w:val="22"/>
        </w:rPr>
        <w:t xml:space="preserve"> 2017.  U.S. Department of Health and Human Services</w:t>
      </w:r>
      <w:r w:rsidRPr="0011281E" w:rsidR="00646A79">
        <w:rPr>
          <w:rFonts w:cs="Arial"/>
          <w:sz w:val="22"/>
          <w:szCs w:val="22"/>
        </w:rPr>
        <w:t>,</w:t>
      </w:r>
      <w:r w:rsidRPr="0011281E">
        <w:rPr>
          <w:rFonts w:cs="Arial"/>
          <w:sz w:val="22"/>
          <w:szCs w:val="22"/>
        </w:rPr>
        <w:t xml:space="preserve"> Substance Abuse and Mental Health Services Administration</w:t>
      </w:r>
      <w:r w:rsidRPr="0011281E" w:rsidR="00646A79">
        <w:rPr>
          <w:rFonts w:cs="Arial"/>
          <w:sz w:val="22"/>
          <w:szCs w:val="22"/>
        </w:rPr>
        <w:t>,</w:t>
      </w:r>
      <w:r w:rsidRPr="0011281E">
        <w:rPr>
          <w:rFonts w:cs="Arial"/>
          <w:sz w:val="22"/>
          <w:szCs w:val="22"/>
        </w:rPr>
        <w:t xml:space="preserve"> </w:t>
      </w:r>
      <w:r w:rsidRPr="0011281E" w:rsidR="00646A79">
        <w:rPr>
          <w:rFonts w:cs="Arial"/>
          <w:sz w:val="22"/>
          <w:szCs w:val="22"/>
        </w:rPr>
        <w:t>“</w:t>
      </w:r>
      <w:r w:rsidRPr="0011281E">
        <w:rPr>
          <w:rFonts w:cs="Arial"/>
          <w:sz w:val="22"/>
          <w:szCs w:val="22"/>
        </w:rPr>
        <w:t>Mandatory Guidelines for Federal Workplace Drug Testing Programs</w:t>
      </w:r>
      <w:r w:rsidRPr="0011281E" w:rsidR="00646A79">
        <w:rPr>
          <w:rFonts w:cs="Arial"/>
          <w:sz w:val="22"/>
          <w:szCs w:val="22"/>
        </w:rPr>
        <w:t>,”</w:t>
      </w:r>
      <w:r w:rsidRPr="0011281E">
        <w:rPr>
          <w:rFonts w:cs="Arial"/>
          <w:sz w:val="22"/>
          <w:szCs w:val="22"/>
        </w:rPr>
        <w:t xml:space="preserve"> </w:t>
      </w:r>
      <w:r w:rsidRPr="0011281E">
        <w:rPr>
          <w:rFonts w:cs="Arial"/>
          <w:i/>
          <w:sz w:val="22"/>
          <w:szCs w:val="22"/>
        </w:rPr>
        <w:t>Federal Register</w:t>
      </w:r>
      <w:r w:rsidRPr="0011281E" w:rsidR="00646A79">
        <w:rPr>
          <w:rFonts w:cs="Arial"/>
          <w:sz w:val="22"/>
          <w:szCs w:val="22"/>
        </w:rPr>
        <w:t>,</w:t>
      </w:r>
      <w:r w:rsidRPr="0011281E">
        <w:rPr>
          <w:rFonts w:cs="Arial"/>
          <w:sz w:val="22"/>
          <w:szCs w:val="22"/>
        </w:rPr>
        <w:t xml:space="preserve"> Vol. 82</w:t>
      </w:r>
      <w:r w:rsidRPr="0011281E" w:rsidR="00646A79">
        <w:rPr>
          <w:rFonts w:cs="Arial"/>
          <w:sz w:val="22"/>
          <w:szCs w:val="22"/>
        </w:rPr>
        <w:t>,</w:t>
      </w:r>
      <w:r w:rsidRPr="0011281E">
        <w:rPr>
          <w:rFonts w:cs="Arial"/>
          <w:sz w:val="22"/>
          <w:szCs w:val="22"/>
        </w:rPr>
        <w:t xml:space="preserve"> No. 13</w:t>
      </w:r>
      <w:r w:rsidRPr="0011281E" w:rsidR="00646A79">
        <w:rPr>
          <w:rFonts w:cs="Arial"/>
          <w:sz w:val="22"/>
          <w:szCs w:val="22"/>
        </w:rPr>
        <w:t>,</w:t>
      </w:r>
      <w:r w:rsidRPr="0011281E">
        <w:rPr>
          <w:rFonts w:cs="Arial"/>
          <w:sz w:val="22"/>
          <w:szCs w:val="22"/>
        </w:rPr>
        <w:t xml:space="preserve"> pp. 7920–7970.</w:t>
      </w:r>
    </w:p>
    <w:p w:rsidRPr="00DA69DA" w:rsidR="00717FBA" w:rsidP="00717FBA" w:rsidRDefault="00717FBA" w14:paraId="1E6E66ED" w14:textId="77777777">
      <w:pPr>
        <w:autoSpaceDE/>
        <w:autoSpaceDN/>
        <w:adjustRightInd/>
        <w:rPr>
          <w:sz w:val="22"/>
          <w:highlight w:val="yellow"/>
        </w:rPr>
      </w:pPr>
    </w:p>
    <w:p w:rsidRPr="003F4791" w:rsidR="00EE7D4E" w:rsidP="00763C23" w:rsidRDefault="00EE7D4E" w14:paraId="071870D2" w14:textId="3CF3740E">
      <w:pPr>
        <w:keepNext/>
        <w:keepLines/>
        <w:autoSpaceDE/>
        <w:autoSpaceDN/>
        <w:adjustRightInd/>
        <w:rPr>
          <w:sz w:val="22"/>
          <w:szCs w:val="22"/>
        </w:rPr>
      </w:pPr>
      <w:r w:rsidRPr="003F4791">
        <w:rPr>
          <w:sz w:val="22"/>
          <w:szCs w:val="22"/>
        </w:rPr>
        <w:t xml:space="preserve">84 FR 57554, October 25, 2019.  U.S. Department of Health and Human Services, </w:t>
      </w:r>
      <w:r w:rsidRPr="003F4791">
        <w:rPr>
          <w:rFonts w:cs="Arial"/>
          <w:sz w:val="22"/>
          <w:szCs w:val="22"/>
        </w:rPr>
        <w:t xml:space="preserve">Substance Abuse and Mental Health Services Administration, “Mandatory Guidelines for Federal Workplace Drug Testing Programs—Oral/Fluid,” </w:t>
      </w:r>
      <w:r w:rsidRPr="003F4791">
        <w:rPr>
          <w:rFonts w:cs="Arial"/>
          <w:i/>
          <w:sz w:val="22"/>
          <w:szCs w:val="22"/>
        </w:rPr>
        <w:t>Federal Register</w:t>
      </w:r>
      <w:r w:rsidRPr="003F4791">
        <w:rPr>
          <w:rFonts w:cs="Arial"/>
          <w:sz w:val="22"/>
          <w:szCs w:val="22"/>
        </w:rPr>
        <w:t>, Vol. 84, No. 207, pp. 57554–57600.</w:t>
      </w:r>
    </w:p>
    <w:p w:rsidRPr="00DA69DA" w:rsidR="00EE7D4E" w:rsidP="00717FBA" w:rsidRDefault="00EE7D4E" w14:paraId="352FE31C" w14:textId="77777777">
      <w:pPr>
        <w:autoSpaceDE/>
        <w:autoSpaceDN/>
        <w:adjustRightInd/>
        <w:rPr>
          <w:sz w:val="22"/>
          <w:highlight w:val="yellow"/>
        </w:rPr>
      </w:pPr>
    </w:p>
    <w:p w:rsidRPr="00DC3EB5" w:rsidR="00236980" w:rsidP="00236980" w:rsidRDefault="00236980" w14:paraId="0C161CAD" w14:textId="231F45F1">
      <w:pPr>
        <w:autoSpaceDE/>
        <w:autoSpaceDN/>
        <w:adjustRightInd/>
        <w:ind w:left="-4"/>
        <w:rPr>
          <w:rFonts w:cs="Arial"/>
          <w:color w:val="000000" w:themeColor="text1"/>
          <w:sz w:val="22"/>
          <w:szCs w:val="22"/>
        </w:rPr>
      </w:pPr>
      <w:r w:rsidRPr="00DC3EB5">
        <w:rPr>
          <w:rFonts w:cs="Arial"/>
          <w:color w:val="000000" w:themeColor="text1"/>
          <w:sz w:val="22"/>
          <w:szCs w:val="22"/>
        </w:rPr>
        <w:t>Boushey</w:t>
      </w:r>
      <w:r w:rsidRPr="00DC3EB5" w:rsidR="00646A79">
        <w:rPr>
          <w:rFonts w:cs="Arial"/>
          <w:color w:val="000000" w:themeColor="text1"/>
          <w:sz w:val="22"/>
          <w:szCs w:val="22"/>
        </w:rPr>
        <w:t>,</w:t>
      </w:r>
      <w:r w:rsidRPr="00DC3EB5">
        <w:rPr>
          <w:rFonts w:cs="Arial"/>
          <w:color w:val="000000" w:themeColor="text1"/>
          <w:sz w:val="22"/>
          <w:szCs w:val="22"/>
        </w:rPr>
        <w:t xml:space="preserve"> H.</w:t>
      </w:r>
      <w:r w:rsidRPr="00DC3EB5" w:rsidR="00646A79">
        <w:rPr>
          <w:rFonts w:cs="Arial"/>
          <w:color w:val="000000" w:themeColor="text1"/>
          <w:sz w:val="22"/>
          <w:szCs w:val="22"/>
        </w:rPr>
        <w:t>,</w:t>
      </w:r>
      <w:r w:rsidRPr="00DC3EB5">
        <w:rPr>
          <w:rFonts w:cs="Arial"/>
          <w:color w:val="000000" w:themeColor="text1"/>
          <w:sz w:val="22"/>
          <w:szCs w:val="22"/>
        </w:rPr>
        <w:t xml:space="preserve"> and Glynn</w:t>
      </w:r>
      <w:r w:rsidRPr="00DC3EB5" w:rsidR="00646A79">
        <w:rPr>
          <w:rFonts w:cs="Arial"/>
          <w:color w:val="000000" w:themeColor="text1"/>
          <w:sz w:val="22"/>
          <w:szCs w:val="22"/>
        </w:rPr>
        <w:t>,</w:t>
      </w:r>
      <w:r w:rsidRPr="00DC3EB5">
        <w:rPr>
          <w:rFonts w:cs="Arial"/>
          <w:color w:val="000000" w:themeColor="text1"/>
          <w:sz w:val="22"/>
          <w:szCs w:val="22"/>
        </w:rPr>
        <w:t xml:space="preserve"> S.J.</w:t>
      </w:r>
      <w:r w:rsidRPr="00DC3EB5" w:rsidR="00ED66A3">
        <w:rPr>
          <w:rFonts w:cs="Arial"/>
          <w:color w:val="000000" w:themeColor="text1"/>
          <w:sz w:val="22"/>
          <w:szCs w:val="22"/>
        </w:rPr>
        <w:t xml:space="preserve"> (Boushey</w:t>
      </w:r>
      <w:r w:rsidR="000C6B60">
        <w:rPr>
          <w:rFonts w:cs="Arial"/>
          <w:color w:val="000000" w:themeColor="text1"/>
          <w:sz w:val="22"/>
          <w:szCs w:val="22"/>
        </w:rPr>
        <w:t xml:space="preserve"> and Glynn</w:t>
      </w:r>
      <w:r w:rsidRPr="00DC3EB5" w:rsidR="00646A79">
        <w:rPr>
          <w:rFonts w:cs="Arial"/>
          <w:color w:val="000000" w:themeColor="text1"/>
          <w:sz w:val="22"/>
          <w:szCs w:val="22"/>
        </w:rPr>
        <w:t>,</w:t>
      </w:r>
      <w:r w:rsidRPr="00DC3EB5" w:rsidR="00ED66A3">
        <w:rPr>
          <w:rFonts w:cs="Arial"/>
          <w:color w:val="000000" w:themeColor="text1"/>
          <w:sz w:val="22"/>
          <w:szCs w:val="22"/>
        </w:rPr>
        <w:t xml:space="preserve"> 2012)</w:t>
      </w:r>
      <w:r w:rsidRPr="00DC3EB5" w:rsidR="00646A79">
        <w:rPr>
          <w:rFonts w:cs="Arial"/>
          <w:color w:val="000000" w:themeColor="text1"/>
          <w:sz w:val="22"/>
          <w:szCs w:val="22"/>
        </w:rPr>
        <w:t>,</w:t>
      </w:r>
      <w:r w:rsidRPr="00DC3EB5">
        <w:rPr>
          <w:rFonts w:cs="Arial"/>
          <w:color w:val="000000" w:themeColor="text1"/>
          <w:sz w:val="22"/>
          <w:szCs w:val="22"/>
        </w:rPr>
        <w:t xml:space="preserve"> Center for American Progress</w:t>
      </w:r>
      <w:r w:rsidRPr="00DC3EB5" w:rsidR="00646A79">
        <w:rPr>
          <w:rFonts w:cs="Arial"/>
          <w:color w:val="000000" w:themeColor="text1"/>
          <w:sz w:val="22"/>
          <w:szCs w:val="22"/>
        </w:rPr>
        <w:t>,</w:t>
      </w:r>
      <w:r w:rsidRPr="00DC3EB5">
        <w:rPr>
          <w:rFonts w:cs="Arial"/>
          <w:color w:val="000000" w:themeColor="text1"/>
          <w:sz w:val="22"/>
          <w:szCs w:val="22"/>
        </w:rPr>
        <w:t xml:space="preserve"> </w:t>
      </w:r>
      <w:r w:rsidRPr="00DC3EB5" w:rsidR="00646A79">
        <w:rPr>
          <w:rFonts w:cs="Arial"/>
          <w:color w:val="000000" w:themeColor="text1"/>
          <w:sz w:val="22"/>
          <w:szCs w:val="22"/>
        </w:rPr>
        <w:t>“</w:t>
      </w:r>
      <w:r w:rsidRPr="00DC3EB5">
        <w:rPr>
          <w:rFonts w:cs="Arial"/>
          <w:color w:val="000000" w:themeColor="text1"/>
          <w:sz w:val="22"/>
          <w:szCs w:val="22"/>
        </w:rPr>
        <w:t xml:space="preserve">There </w:t>
      </w:r>
      <w:r w:rsidR="00EA312B">
        <w:rPr>
          <w:rFonts w:cs="Arial"/>
          <w:color w:val="000000" w:themeColor="text1"/>
          <w:sz w:val="22"/>
          <w:szCs w:val="22"/>
        </w:rPr>
        <w:t>A</w:t>
      </w:r>
      <w:r w:rsidRPr="00DC3EB5">
        <w:rPr>
          <w:rFonts w:cs="Arial"/>
          <w:color w:val="000000" w:themeColor="text1"/>
          <w:sz w:val="22"/>
          <w:szCs w:val="22"/>
        </w:rPr>
        <w:t>re Significant Business Costs to Replacing Employees</w:t>
      </w:r>
      <w:r w:rsidRPr="00DC3EB5" w:rsidR="00646A79">
        <w:rPr>
          <w:rFonts w:cs="Arial"/>
          <w:color w:val="000000" w:themeColor="text1"/>
          <w:sz w:val="22"/>
          <w:szCs w:val="22"/>
        </w:rPr>
        <w:t>,”</w:t>
      </w:r>
      <w:r w:rsidRPr="00DC3EB5">
        <w:rPr>
          <w:rFonts w:cs="Arial"/>
          <w:color w:val="000000" w:themeColor="text1"/>
          <w:sz w:val="22"/>
          <w:szCs w:val="22"/>
        </w:rPr>
        <w:t xml:space="preserve"> Washington DC</w:t>
      </w:r>
      <w:r w:rsidRPr="00DC3EB5" w:rsidR="00646A79">
        <w:rPr>
          <w:rFonts w:cs="Arial"/>
          <w:color w:val="000000" w:themeColor="text1"/>
          <w:sz w:val="22"/>
          <w:szCs w:val="22"/>
        </w:rPr>
        <w:t>,</w:t>
      </w:r>
      <w:r w:rsidRPr="00DC3EB5">
        <w:rPr>
          <w:rFonts w:cs="Arial"/>
          <w:color w:val="000000" w:themeColor="text1"/>
          <w:sz w:val="22"/>
          <w:szCs w:val="22"/>
        </w:rPr>
        <w:t xml:space="preserve"> November</w:t>
      </w:r>
      <w:r w:rsidR="00626B4B">
        <w:rPr>
          <w:rFonts w:cs="Arial"/>
          <w:color w:val="000000" w:themeColor="text1"/>
          <w:sz w:val="22"/>
          <w:szCs w:val="22"/>
        </w:rPr>
        <w:t> </w:t>
      </w:r>
      <w:r w:rsidRPr="00DC3EB5">
        <w:rPr>
          <w:rFonts w:cs="Arial"/>
          <w:color w:val="000000" w:themeColor="text1"/>
          <w:sz w:val="22"/>
          <w:szCs w:val="22"/>
        </w:rPr>
        <w:t>16</w:t>
      </w:r>
      <w:r w:rsidRPr="00DC3EB5" w:rsidR="00646A79">
        <w:rPr>
          <w:rFonts w:cs="Arial"/>
          <w:color w:val="000000" w:themeColor="text1"/>
          <w:sz w:val="22"/>
          <w:szCs w:val="22"/>
        </w:rPr>
        <w:t>,</w:t>
      </w:r>
      <w:r w:rsidR="00626B4B">
        <w:rPr>
          <w:rFonts w:cs="Arial"/>
          <w:color w:val="000000" w:themeColor="text1"/>
          <w:sz w:val="22"/>
          <w:szCs w:val="22"/>
        </w:rPr>
        <w:t> </w:t>
      </w:r>
      <w:r w:rsidRPr="00DC3EB5">
        <w:rPr>
          <w:rFonts w:cs="Arial"/>
          <w:color w:val="000000" w:themeColor="text1"/>
          <w:sz w:val="22"/>
          <w:szCs w:val="22"/>
        </w:rPr>
        <w:t>2012</w:t>
      </w:r>
      <w:r w:rsidRPr="00DC3EB5" w:rsidR="00646A79">
        <w:rPr>
          <w:rFonts w:cs="Arial"/>
          <w:color w:val="000000" w:themeColor="text1"/>
          <w:sz w:val="22"/>
          <w:szCs w:val="22"/>
        </w:rPr>
        <w:t>,</w:t>
      </w:r>
      <w:r w:rsidRPr="00DC3EB5">
        <w:rPr>
          <w:rFonts w:cs="Arial"/>
          <w:color w:val="000000" w:themeColor="text1"/>
          <w:sz w:val="22"/>
          <w:szCs w:val="22"/>
        </w:rPr>
        <w:t xml:space="preserve"> </w:t>
      </w:r>
      <w:hyperlink w:history="1" r:id="rId27">
        <w:r w:rsidRPr="00DC3EB5">
          <w:rPr>
            <w:rStyle w:val="Hyperlink"/>
            <w:rFonts w:cs="Arial"/>
            <w:sz w:val="22"/>
            <w:szCs w:val="22"/>
          </w:rPr>
          <w:t>https://cdn.americanprogress.org/wp-content/uploads/2012/11/16084443/CostofTurnover0815.pdf</w:t>
        </w:r>
      </w:hyperlink>
      <w:r w:rsidRPr="00DC3EB5">
        <w:rPr>
          <w:rFonts w:cs="Arial"/>
          <w:color w:val="000000" w:themeColor="text1"/>
          <w:sz w:val="22"/>
          <w:szCs w:val="22"/>
        </w:rPr>
        <w:t>.</w:t>
      </w:r>
    </w:p>
    <w:p w:rsidRPr="00DA69DA" w:rsidR="00236980" w:rsidP="00441B85" w:rsidRDefault="00236980" w14:paraId="4756DBF2" w14:textId="77777777">
      <w:pPr>
        <w:rPr>
          <w:color w:val="000000" w:themeColor="text1"/>
          <w:sz w:val="22"/>
          <w:highlight w:val="yellow"/>
        </w:rPr>
      </w:pPr>
    </w:p>
    <w:p w:rsidRPr="000D0F07" w:rsidR="00236980" w:rsidP="00236980" w:rsidRDefault="00236980" w14:paraId="3ED0EC13" w14:textId="20D6C039">
      <w:pPr>
        <w:autoSpaceDE/>
        <w:autoSpaceDN/>
        <w:adjustRightInd/>
        <w:ind w:left="-4"/>
        <w:rPr>
          <w:color w:val="000000" w:themeColor="text1"/>
          <w:sz w:val="22"/>
          <w:highlight w:val="yellow"/>
        </w:rPr>
      </w:pPr>
      <w:r w:rsidRPr="000D0F07">
        <w:rPr>
          <w:color w:val="000000" w:themeColor="text1"/>
          <w:sz w:val="22"/>
        </w:rPr>
        <w:t>Controlled Substances Act</w:t>
      </w:r>
      <w:r w:rsidRPr="00785EF4" w:rsidR="00646A79">
        <w:rPr>
          <w:rFonts w:cs="Arial"/>
          <w:color w:val="000000" w:themeColor="text1"/>
          <w:sz w:val="22"/>
          <w:szCs w:val="22"/>
          <w:shd w:val="clear" w:color="auto" w:fill="FFFFFF"/>
        </w:rPr>
        <w:t>,</w:t>
      </w:r>
      <w:r w:rsidRPr="00785EF4">
        <w:rPr>
          <w:rFonts w:cs="Arial"/>
          <w:color w:val="000000" w:themeColor="text1"/>
          <w:sz w:val="22"/>
          <w:szCs w:val="22"/>
          <w:shd w:val="clear" w:color="auto" w:fill="FFFFFF"/>
        </w:rPr>
        <w:t xml:space="preserve"> </w:t>
      </w:r>
      <w:r w:rsidR="00DD131A">
        <w:rPr>
          <w:rFonts w:cs="Arial"/>
          <w:color w:val="000000" w:themeColor="text1"/>
          <w:sz w:val="22"/>
          <w:szCs w:val="22"/>
          <w:shd w:val="clear" w:color="auto" w:fill="FFFFFF"/>
        </w:rPr>
        <w:t>Pub. L. No. </w:t>
      </w:r>
      <w:r w:rsidR="00D07809">
        <w:rPr>
          <w:rFonts w:cs="Arial"/>
          <w:color w:val="000000" w:themeColor="text1"/>
          <w:sz w:val="22"/>
          <w:szCs w:val="22"/>
          <w:shd w:val="clear" w:color="auto" w:fill="FFFFFF"/>
        </w:rPr>
        <w:t xml:space="preserve">91-513, 84 Stat. 1236, </w:t>
      </w:r>
      <w:r w:rsidRPr="00785EF4">
        <w:rPr>
          <w:rFonts w:cs="Arial"/>
          <w:color w:val="000000" w:themeColor="text1"/>
          <w:sz w:val="22"/>
          <w:szCs w:val="22"/>
        </w:rPr>
        <w:t>21 U.S.C</w:t>
      </w:r>
      <w:r w:rsidR="00FE485E">
        <w:rPr>
          <w:rFonts w:cs="Arial"/>
          <w:color w:val="000000" w:themeColor="text1"/>
          <w:sz w:val="22"/>
          <w:szCs w:val="22"/>
        </w:rPr>
        <w:t>.</w:t>
      </w:r>
      <w:r w:rsidRPr="00785EF4">
        <w:rPr>
          <w:rFonts w:cs="Arial"/>
          <w:color w:val="000000" w:themeColor="text1"/>
          <w:sz w:val="22"/>
          <w:szCs w:val="22"/>
        </w:rPr>
        <w:t xml:space="preserve"> </w:t>
      </w:r>
      <w:r w:rsidRPr="00785EF4">
        <w:rPr>
          <w:rFonts w:cs="Arial"/>
          <w:color w:val="000000" w:themeColor="text1"/>
          <w:sz w:val="22"/>
          <w:szCs w:val="22"/>
          <w:shd w:val="clear" w:color="auto" w:fill="FFFFFF"/>
        </w:rPr>
        <w:t>§ 812</w:t>
      </w:r>
      <w:r w:rsidR="00D07809">
        <w:rPr>
          <w:rFonts w:cs="Arial"/>
          <w:color w:val="000000" w:themeColor="text1"/>
          <w:sz w:val="22"/>
          <w:szCs w:val="22"/>
          <w:shd w:val="clear" w:color="auto" w:fill="FFFFFF"/>
        </w:rPr>
        <w:t>, October 27, 1970</w:t>
      </w:r>
      <w:r w:rsidRPr="00785EF4">
        <w:rPr>
          <w:rFonts w:cs="Arial"/>
          <w:color w:val="000000" w:themeColor="text1"/>
          <w:sz w:val="22"/>
          <w:szCs w:val="22"/>
          <w:shd w:val="clear" w:color="auto" w:fill="FFFFFF"/>
        </w:rPr>
        <w:t>.</w:t>
      </w:r>
    </w:p>
    <w:p w:rsidRPr="00D07809" w:rsidR="00236980" w:rsidP="00236980" w:rsidRDefault="00236980" w14:paraId="6FFD6A78" w14:textId="77777777">
      <w:pPr>
        <w:rPr>
          <w:rFonts w:cs="Arial"/>
          <w:color w:val="000000" w:themeColor="text1"/>
          <w:sz w:val="22"/>
          <w:szCs w:val="22"/>
        </w:rPr>
      </w:pPr>
    </w:p>
    <w:p w:rsidRPr="00E0565B" w:rsidR="00CD37ED" w:rsidP="00441B85" w:rsidRDefault="00CD37ED" w14:paraId="5C0DD6E5" w14:textId="4A728287">
      <w:pPr>
        <w:rPr>
          <w:rFonts w:cs="Arial"/>
          <w:color w:val="000000" w:themeColor="text1"/>
          <w:sz w:val="22"/>
          <w:szCs w:val="22"/>
        </w:rPr>
      </w:pPr>
      <w:r w:rsidRPr="00E0565B">
        <w:rPr>
          <w:rFonts w:cs="Arial"/>
          <w:color w:val="000000" w:themeColor="text1"/>
          <w:sz w:val="22"/>
          <w:szCs w:val="22"/>
        </w:rPr>
        <w:t>International Atomic Energy Agency (</w:t>
      </w:r>
      <w:r w:rsidRPr="00E0565B" w:rsidR="004E15E5">
        <w:rPr>
          <w:rFonts w:cs="Arial"/>
          <w:color w:val="000000" w:themeColor="text1"/>
          <w:sz w:val="22"/>
          <w:szCs w:val="22"/>
        </w:rPr>
        <w:t xml:space="preserve">IAEA, 2001), </w:t>
      </w:r>
      <w:r w:rsidRPr="00E0565B" w:rsidR="002F295C">
        <w:rPr>
          <w:rFonts w:cs="Arial"/>
          <w:color w:val="000000" w:themeColor="text1"/>
          <w:sz w:val="22"/>
          <w:szCs w:val="22"/>
        </w:rPr>
        <w:t>“Staffing Requirements for Future Small and Medium Reactors (SMRs) Based on Operating Experience and Projections,”</w:t>
      </w:r>
      <w:r w:rsidRPr="00E0565B" w:rsidR="00E17454">
        <w:rPr>
          <w:rFonts w:cs="Arial"/>
          <w:color w:val="000000" w:themeColor="text1"/>
          <w:sz w:val="22"/>
          <w:szCs w:val="22"/>
        </w:rPr>
        <w:t xml:space="preserve"> IAEA</w:t>
      </w:r>
      <w:r w:rsidRPr="00E0565B" w:rsidR="00B11ABB">
        <w:rPr>
          <w:rFonts w:cs="Arial"/>
          <w:color w:val="000000" w:themeColor="text1"/>
          <w:sz w:val="22"/>
          <w:szCs w:val="22"/>
        </w:rPr>
        <w:noBreakHyphen/>
      </w:r>
      <w:r w:rsidRPr="00E0565B" w:rsidR="00E17454">
        <w:rPr>
          <w:rFonts w:cs="Arial"/>
          <w:color w:val="000000" w:themeColor="text1"/>
          <w:sz w:val="22"/>
          <w:szCs w:val="22"/>
        </w:rPr>
        <w:t>TECDOC</w:t>
      </w:r>
      <w:r w:rsidRPr="00E0565B" w:rsidR="00B11ABB">
        <w:rPr>
          <w:rFonts w:cs="Arial"/>
          <w:color w:val="000000" w:themeColor="text1"/>
          <w:sz w:val="22"/>
          <w:szCs w:val="22"/>
        </w:rPr>
        <w:noBreakHyphen/>
      </w:r>
      <w:r w:rsidRPr="00E0565B" w:rsidR="00E17454">
        <w:rPr>
          <w:rFonts w:cs="Arial"/>
          <w:color w:val="000000" w:themeColor="text1"/>
          <w:sz w:val="22"/>
          <w:szCs w:val="22"/>
        </w:rPr>
        <w:t>1193, January 2001</w:t>
      </w:r>
      <w:r w:rsidRPr="00E0565B" w:rsidR="00B11ABB">
        <w:rPr>
          <w:rFonts w:cs="Arial"/>
          <w:color w:val="000000" w:themeColor="text1"/>
          <w:sz w:val="22"/>
          <w:szCs w:val="22"/>
        </w:rPr>
        <w:t>.</w:t>
      </w:r>
    </w:p>
    <w:p w:rsidRPr="000D0F07" w:rsidR="00CD37ED" w:rsidP="00441B85" w:rsidRDefault="00CD37ED" w14:paraId="25D1EE09" w14:textId="77777777">
      <w:pPr>
        <w:rPr>
          <w:color w:val="000000" w:themeColor="text1"/>
          <w:sz w:val="22"/>
          <w:highlight w:val="yellow"/>
        </w:rPr>
      </w:pPr>
    </w:p>
    <w:p w:rsidRPr="00DC3EB5" w:rsidR="00377B95" w:rsidP="00236980" w:rsidRDefault="00236980" w14:paraId="07232725" w14:textId="2F4329C2">
      <w:pPr>
        <w:autoSpaceDE/>
        <w:autoSpaceDN/>
        <w:adjustRightInd/>
        <w:rPr>
          <w:sz w:val="22"/>
          <w:szCs w:val="22"/>
        </w:rPr>
      </w:pPr>
      <w:r w:rsidRPr="00DC3EB5">
        <w:rPr>
          <w:rFonts w:cs="Arial"/>
          <w:color w:val="000000" w:themeColor="text1"/>
          <w:sz w:val="22"/>
          <w:szCs w:val="22"/>
        </w:rPr>
        <w:t>Office of National Drug Control Policy</w:t>
      </w:r>
      <w:r w:rsidRPr="00DC3EB5" w:rsidR="00ED66A3">
        <w:rPr>
          <w:rFonts w:cs="Arial"/>
          <w:color w:val="000000" w:themeColor="text1"/>
          <w:sz w:val="22"/>
          <w:szCs w:val="22"/>
        </w:rPr>
        <w:t xml:space="preserve"> (ONDCP</w:t>
      </w:r>
      <w:r w:rsidRPr="00DC3EB5" w:rsidR="00646A79">
        <w:rPr>
          <w:rFonts w:cs="Arial"/>
          <w:color w:val="000000" w:themeColor="text1"/>
          <w:sz w:val="22"/>
          <w:szCs w:val="22"/>
        </w:rPr>
        <w:t>,</w:t>
      </w:r>
      <w:r w:rsidRPr="00DC3EB5" w:rsidR="00ED66A3">
        <w:rPr>
          <w:rFonts w:cs="Arial"/>
          <w:color w:val="000000" w:themeColor="text1"/>
          <w:sz w:val="22"/>
          <w:szCs w:val="22"/>
        </w:rPr>
        <w:t xml:space="preserve"> 2011)</w:t>
      </w:r>
      <w:r w:rsidRPr="00DC3EB5" w:rsidR="00646A79">
        <w:rPr>
          <w:rFonts w:cs="Arial"/>
          <w:color w:val="000000" w:themeColor="text1"/>
          <w:sz w:val="22"/>
          <w:szCs w:val="22"/>
        </w:rPr>
        <w:t>,</w:t>
      </w:r>
      <w:r w:rsidRPr="00DC3EB5">
        <w:rPr>
          <w:rFonts w:cs="Arial"/>
          <w:color w:val="000000" w:themeColor="text1"/>
          <w:sz w:val="22"/>
          <w:szCs w:val="22"/>
        </w:rPr>
        <w:t xml:space="preserve"> </w:t>
      </w:r>
      <w:r w:rsidRPr="00DC3EB5" w:rsidR="00646A79">
        <w:rPr>
          <w:rFonts w:cs="Arial"/>
          <w:color w:val="000000" w:themeColor="text1"/>
          <w:sz w:val="22"/>
          <w:szCs w:val="22"/>
        </w:rPr>
        <w:t>“</w:t>
      </w:r>
      <w:r w:rsidRPr="00DC3EB5">
        <w:rPr>
          <w:rFonts w:cs="Arial"/>
          <w:color w:val="000000" w:themeColor="text1"/>
          <w:sz w:val="22"/>
          <w:szCs w:val="22"/>
        </w:rPr>
        <w:t>How Illicit Drug Use Affects Business and the Economy</w:t>
      </w:r>
      <w:r w:rsidRPr="00DC3EB5" w:rsidR="00646A79">
        <w:rPr>
          <w:rFonts w:cs="Arial"/>
          <w:color w:val="000000" w:themeColor="text1"/>
          <w:sz w:val="22"/>
          <w:szCs w:val="22"/>
        </w:rPr>
        <w:t>,”</w:t>
      </w:r>
      <w:r w:rsidRPr="00DC3EB5">
        <w:rPr>
          <w:rFonts w:cs="Arial"/>
          <w:color w:val="000000" w:themeColor="text1"/>
          <w:sz w:val="22"/>
          <w:szCs w:val="22"/>
        </w:rPr>
        <w:t xml:space="preserve"> </w:t>
      </w:r>
      <w:r w:rsidRPr="00DC3EB5" w:rsidR="00DC4A83">
        <w:rPr>
          <w:rFonts w:cs="Arial"/>
          <w:color w:val="000000" w:themeColor="text1"/>
          <w:sz w:val="22"/>
          <w:szCs w:val="22"/>
        </w:rPr>
        <w:t xml:space="preserve">Executive Office of the President, </w:t>
      </w:r>
      <w:r w:rsidRPr="00DC3EB5">
        <w:rPr>
          <w:rFonts w:cs="Arial"/>
          <w:color w:val="000000" w:themeColor="text1"/>
          <w:sz w:val="22"/>
          <w:szCs w:val="22"/>
        </w:rPr>
        <w:t>May 24</w:t>
      </w:r>
      <w:r w:rsidRPr="00DC3EB5" w:rsidR="00646A79">
        <w:rPr>
          <w:rFonts w:cs="Arial"/>
          <w:color w:val="000000" w:themeColor="text1"/>
          <w:sz w:val="22"/>
          <w:szCs w:val="22"/>
        </w:rPr>
        <w:t>,</w:t>
      </w:r>
      <w:r w:rsidRPr="00DC3EB5">
        <w:rPr>
          <w:rFonts w:cs="Arial"/>
          <w:color w:val="000000" w:themeColor="text1"/>
          <w:sz w:val="22"/>
          <w:szCs w:val="22"/>
        </w:rPr>
        <w:t xml:space="preserve"> 2011</w:t>
      </w:r>
      <w:r w:rsidRPr="00DC3EB5" w:rsidR="00646A79">
        <w:rPr>
          <w:rFonts w:cs="Arial"/>
          <w:color w:val="000000" w:themeColor="text1"/>
          <w:sz w:val="22"/>
          <w:szCs w:val="22"/>
        </w:rPr>
        <w:t>,</w:t>
      </w:r>
      <w:r w:rsidRPr="00DC3EB5">
        <w:rPr>
          <w:sz w:val="22"/>
          <w:szCs w:val="22"/>
        </w:rPr>
        <w:t xml:space="preserve"> </w:t>
      </w:r>
      <w:hyperlink w:history="1" r:id="rId28">
        <w:r w:rsidRPr="00B77697" w:rsidR="005D3013">
          <w:rPr>
            <w:rStyle w:val="Hyperlink"/>
            <w:sz w:val="22"/>
            <w:szCs w:val="22"/>
          </w:rPr>
          <w:t>https://obamawhitehouse.archives.gov/sites/default/files/ondcp/Fact_Sheets/effects_of_drugs_on_economy_jw_5-24-11_0.pdf</w:t>
        </w:r>
      </w:hyperlink>
      <w:r w:rsidRPr="00DC3EB5" w:rsidR="00377B95">
        <w:rPr>
          <w:rStyle w:val="Hyperlink"/>
          <w:color w:val="auto"/>
          <w:sz w:val="22"/>
          <w:szCs w:val="22"/>
          <w:u w:val="none"/>
        </w:rPr>
        <w:t>.</w:t>
      </w:r>
    </w:p>
    <w:p w:rsidRPr="000D0F07" w:rsidR="00236980" w:rsidP="00441B85" w:rsidRDefault="00236980" w14:paraId="5ED7B22D" w14:textId="77777777">
      <w:pPr>
        <w:rPr>
          <w:color w:val="000000" w:themeColor="text1"/>
          <w:sz w:val="22"/>
          <w:highlight w:val="yellow"/>
        </w:rPr>
      </w:pPr>
    </w:p>
    <w:p w:rsidRPr="007C0F70" w:rsidR="00377B95" w:rsidP="00441B85" w:rsidRDefault="00377B95" w14:paraId="30291907" w14:textId="77B8DF9A">
      <w:pPr>
        <w:rPr>
          <w:rFonts w:cs="Arial"/>
          <w:color w:val="000000" w:themeColor="text1"/>
          <w:sz w:val="22"/>
          <w:szCs w:val="22"/>
        </w:rPr>
      </w:pPr>
      <w:r w:rsidRPr="007C0F70">
        <w:rPr>
          <w:rFonts w:cs="Arial"/>
          <w:color w:val="000000" w:themeColor="text1"/>
          <w:sz w:val="22"/>
          <w:szCs w:val="22"/>
        </w:rPr>
        <w:t xml:space="preserve">Reuters Events (Reuters, 2018), “NuScale Targets SMR Staff Costs Below Nuclear Industry Average,” </w:t>
      </w:r>
      <w:r w:rsidRPr="00D746C2">
        <w:rPr>
          <w:i/>
          <w:color w:val="000000" w:themeColor="text1"/>
          <w:sz w:val="22"/>
        </w:rPr>
        <w:t>Nuclear Energy Insider</w:t>
      </w:r>
      <w:r w:rsidRPr="007C0F70">
        <w:rPr>
          <w:rFonts w:cs="Arial"/>
          <w:color w:val="000000" w:themeColor="text1"/>
          <w:sz w:val="22"/>
          <w:szCs w:val="22"/>
        </w:rPr>
        <w:t>, May 2, 2018,</w:t>
      </w:r>
      <w:r w:rsidRPr="00D746C2" w:rsidR="009B050A">
        <w:rPr>
          <w:rStyle w:val="Hyperlink"/>
        </w:rPr>
        <w:t xml:space="preserve"> </w:t>
      </w:r>
      <w:hyperlink w:history="1" r:id="rId29">
        <w:r w:rsidRPr="00FE6C35" w:rsidR="009B050A">
          <w:rPr>
            <w:rStyle w:val="Hyperlink"/>
            <w:sz w:val="22"/>
            <w:szCs w:val="22"/>
          </w:rPr>
          <w:t>https://www.reutersevents.com/nuclear/nuscale-targets-smr-staff-costs-below-nuclear-industry-average</w:t>
        </w:r>
      </w:hyperlink>
      <w:r w:rsidRPr="007C0F70">
        <w:rPr>
          <w:sz w:val="22"/>
          <w:szCs w:val="22"/>
        </w:rPr>
        <w:t>.</w:t>
      </w:r>
    </w:p>
    <w:p w:rsidRPr="00D746C2" w:rsidR="00377B95" w:rsidP="00441B85" w:rsidRDefault="00377B95" w14:paraId="4AD55500" w14:textId="77777777">
      <w:pPr>
        <w:rPr>
          <w:color w:val="000000" w:themeColor="text1"/>
          <w:sz w:val="22"/>
          <w:highlight w:val="yellow"/>
        </w:rPr>
      </w:pPr>
    </w:p>
    <w:p w:rsidRPr="00983D82" w:rsidR="00236980" w:rsidP="00236980" w:rsidRDefault="00236980" w14:paraId="13DB52F9" w14:textId="30B9C44F">
      <w:pPr>
        <w:autoSpaceDE/>
        <w:autoSpaceDN/>
        <w:adjustRightInd/>
        <w:ind w:left="-4"/>
        <w:rPr>
          <w:rFonts w:cs="Arial"/>
          <w:color w:val="000000" w:themeColor="text1"/>
          <w:sz w:val="22"/>
          <w:szCs w:val="22"/>
        </w:rPr>
      </w:pPr>
      <w:r w:rsidRPr="00983D82">
        <w:rPr>
          <w:rFonts w:cs="Arial"/>
          <w:color w:val="000000" w:themeColor="text1"/>
          <w:sz w:val="22"/>
          <w:szCs w:val="22"/>
        </w:rPr>
        <w:t>Tracey</w:t>
      </w:r>
      <w:r w:rsidRPr="00983D82" w:rsidR="00646A79">
        <w:rPr>
          <w:rFonts w:cs="Arial"/>
          <w:color w:val="000000" w:themeColor="text1"/>
          <w:sz w:val="22"/>
          <w:szCs w:val="22"/>
        </w:rPr>
        <w:t>,</w:t>
      </w:r>
      <w:r w:rsidRPr="00983D82">
        <w:rPr>
          <w:rFonts w:cs="Arial"/>
          <w:color w:val="000000" w:themeColor="text1"/>
          <w:sz w:val="22"/>
          <w:szCs w:val="22"/>
        </w:rPr>
        <w:t xml:space="preserve"> J.B.</w:t>
      </w:r>
      <w:r w:rsidRPr="00983D82" w:rsidR="00646A79">
        <w:rPr>
          <w:rFonts w:cs="Arial"/>
          <w:color w:val="000000" w:themeColor="text1"/>
          <w:sz w:val="22"/>
          <w:szCs w:val="22"/>
        </w:rPr>
        <w:t>,</w:t>
      </w:r>
      <w:r w:rsidRPr="00983D82">
        <w:rPr>
          <w:rFonts w:cs="Arial"/>
          <w:color w:val="000000" w:themeColor="text1"/>
          <w:sz w:val="22"/>
          <w:szCs w:val="22"/>
        </w:rPr>
        <w:t xml:space="preserve"> and Hinkin</w:t>
      </w:r>
      <w:r w:rsidRPr="00983D82" w:rsidR="00646A79">
        <w:rPr>
          <w:rFonts w:cs="Arial"/>
          <w:color w:val="000000" w:themeColor="text1"/>
          <w:sz w:val="22"/>
          <w:szCs w:val="22"/>
        </w:rPr>
        <w:t>,</w:t>
      </w:r>
      <w:r w:rsidRPr="00983D82">
        <w:rPr>
          <w:rFonts w:cs="Arial"/>
          <w:color w:val="000000" w:themeColor="text1"/>
          <w:sz w:val="22"/>
          <w:szCs w:val="22"/>
        </w:rPr>
        <w:t xml:space="preserve"> T.R.</w:t>
      </w:r>
      <w:r w:rsidRPr="00983D82" w:rsidR="00ED66A3">
        <w:rPr>
          <w:rFonts w:cs="Arial"/>
          <w:color w:val="000000" w:themeColor="text1"/>
          <w:sz w:val="22"/>
          <w:szCs w:val="22"/>
        </w:rPr>
        <w:t xml:space="preserve"> (Tracey</w:t>
      </w:r>
      <w:r w:rsidR="00950293">
        <w:rPr>
          <w:rFonts w:cs="Arial"/>
          <w:color w:val="000000" w:themeColor="text1"/>
          <w:sz w:val="22"/>
          <w:szCs w:val="22"/>
        </w:rPr>
        <w:t xml:space="preserve"> and Hinkin</w:t>
      </w:r>
      <w:r w:rsidRPr="00983D82" w:rsidR="00646A79">
        <w:rPr>
          <w:rFonts w:cs="Arial"/>
          <w:color w:val="000000" w:themeColor="text1"/>
          <w:sz w:val="22"/>
          <w:szCs w:val="22"/>
        </w:rPr>
        <w:t>,</w:t>
      </w:r>
      <w:r w:rsidRPr="00983D82" w:rsidR="00ED66A3">
        <w:rPr>
          <w:rFonts w:cs="Arial"/>
          <w:color w:val="000000" w:themeColor="text1"/>
          <w:sz w:val="22"/>
          <w:szCs w:val="22"/>
        </w:rPr>
        <w:t xml:space="preserve"> 2008)</w:t>
      </w:r>
      <w:r w:rsidRPr="00983D82" w:rsidR="00646A79">
        <w:rPr>
          <w:rFonts w:cs="Arial"/>
          <w:color w:val="000000" w:themeColor="text1"/>
          <w:sz w:val="22"/>
          <w:szCs w:val="22"/>
        </w:rPr>
        <w:t>,</w:t>
      </w:r>
      <w:r w:rsidRPr="00983D82">
        <w:rPr>
          <w:rFonts w:cs="Arial"/>
          <w:color w:val="000000" w:themeColor="text1"/>
          <w:sz w:val="22"/>
          <w:szCs w:val="22"/>
        </w:rPr>
        <w:t xml:space="preserve"> </w:t>
      </w:r>
      <w:r w:rsidRPr="00983D82" w:rsidR="00646A79">
        <w:rPr>
          <w:rFonts w:cs="Arial"/>
          <w:color w:val="000000" w:themeColor="text1"/>
          <w:sz w:val="22"/>
          <w:szCs w:val="22"/>
        </w:rPr>
        <w:t>“</w:t>
      </w:r>
      <w:r w:rsidRPr="00983D82">
        <w:rPr>
          <w:rFonts w:cs="Arial"/>
          <w:color w:val="000000" w:themeColor="text1"/>
          <w:sz w:val="22"/>
          <w:szCs w:val="22"/>
        </w:rPr>
        <w:t>Contextual Factors and Cost Profiles Associated with Employee Turnover</w:t>
      </w:r>
      <w:r w:rsidRPr="00983D82" w:rsidR="00646A79">
        <w:rPr>
          <w:rFonts w:cs="Arial"/>
          <w:color w:val="000000" w:themeColor="text1"/>
          <w:sz w:val="22"/>
          <w:szCs w:val="22"/>
        </w:rPr>
        <w:t>,”</w:t>
      </w:r>
      <w:r w:rsidRPr="00983D82">
        <w:rPr>
          <w:rFonts w:cs="Arial"/>
          <w:color w:val="000000" w:themeColor="text1"/>
          <w:sz w:val="22"/>
          <w:szCs w:val="22"/>
        </w:rPr>
        <w:t xml:space="preserve"> </w:t>
      </w:r>
      <w:r w:rsidRPr="00983D82" w:rsidR="00950293">
        <w:rPr>
          <w:rFonts w:cs="Arial"/>
          <w:color w:val="000000" w:themeColor="text1"/>
          <w:sz w:val="22"/>
          <w:szCs w:val="22"/>
        </w:rPr>
        <w:t xml:space="preserve">Cornell University School of Hotel Administration, The Scholarly Commons, </w:t>
      </w:r>
      <w:r w:rsidRPr="00983D82">
        <w:rPr>
          <w:rFonts w:cs="Arial"/>
          <w:color w:val="000000" w:themeColor="text1"/>
          <w:sz w:val="22"/>
          <w:szCs w:val="22"/>
        </w:rPr>
        <w:t>Ithaca</w:t>
      </w:r>
      <w:r w:rsidRPr="00983D82" w:rsidR="00646A79">
        <w:rPr>
          <w:rFonts w:cs="Arial"/>
          <w:color w:val="000000" w:themeColor="text1"/>
          <w:sz w:val="22"/>
          <w:szCs w:val="22"/>
        </w:rPr>
        <w:t>,</w:t>
      </w:r>
      <w:r w:rsidRPr="00983D82">
        <w:rPr>
          <w:rFonts w:cs="Arial"/>
          <w:color w:val="000000" w:themeColor="text1"/>
          <w:sz w:val="22"/>
          <w:szCs w:val="22"/>
        </w:rPr>
        <w:t xml:space="preserve"> NY</w:t>
      </w:r>
      <w:r w:rsidRPr="00983D82" w:rsidR="00646A79">
        <w:rPr>
          <w:rFonts w:cs="Arial"/>
          <w:color w:val="000000" w:themeColor="text1"/>
          <w:sz w:val="22"/>
          <w:szCs w:val="22"/>
        </w:rPr>
        <w:t>,</w:t>
      </w:r>
      <w:r w:rsidRPr="00983D82">
        <w:rPr>
          <w:rFonts w:cs="Arial"/>
          <w:color w:val="000000" w:themeColor="text1"/>
          <w:sz w:val="22"/>
          <w:szCs w:val="22"/>
        </w:rPr>
        <w:t xml:space="preserve"> February 2008</w:t>
      </w:r>
      <w:r w:rsidRPr="00983D82" w:rsidR="00646A79">
        <w:rPr>
          <w:rFonts w:cs="Arial"/>
          <w:color w:val="000000" w:themeColor="text1"/>
          <w:sz w:val="22"/>
          <w:szCs w:val="22"/>
        </w:rPr>
        <w:t>,</w:t>
      </w:r>
      <w:r w:rsidRPr="00983D82">
        <w:rPr>
          <w:rFonts w:cs="Arial"/>
          <w:color w:val="000000" w:themeColor="text1"/>
          <w:sz w:val="22"/>
          <w:szCs w:val="22"/>
        </w:rPr>
        <w:t xml:space="preserve"> </w:t>
      </w:r>
    </w:p>
    <w:p w:rsidR="00236980" w:rsidP="00236980" w:rsidRDefault="00C96E7A" w14:paraId="600AE024" w14:textId="188445AB">
      <w:pPr>
        <w:autoSpaceDE/>
        <w:autoSpaceDN/>
        <w:adjustRightInd/>
        <w:rPr>
          <w:color w:val="000000" w:themeColor="text1"/>
          <w:sz w:val="22"/>
        </w:rPr>
      </w:pPr>
      <w:hyperlink w:history="1" r:id="rId30">
        <w:r w:rsidRPr="00B30CA0" w:rsidR="004F248A">
          <w:rPr>
            <w:rStyle w:val="Hyperlink"/>
            <w:sz w:val="22"/>
          </w:rPr>
          <w:t>https://ecommons.cornell.edu/bitstream/handle/1813/72391/Hinkin59_Contextual_Factors_and_Cost_Profiles_Associated_with_Employee_Turnover.pdf?sequence=1</w:t>
        </w:r>
      </w:hyperlink>
      <w:r w:rsidR="0032275F">
        <w:rPr>
          <w:color w:val="000000" w:themeColor="text1"/>
          <w:sz w:val="22"/>
        </w:rPr>
        <w:t>.</w:t>
      </w:r>
    </w:p>
    <w:p w:rsidRPr="00D746C2" w:rsidR="004F248A" w:rsidP="00236980" w:rsidRDefault="004F248A" w14:paraId="3E83ADEE" w14:textId="77777777">
      <w:pPr>
        <w:autoSpaceDE/>
        <w:autoSpaceDN/>
        <w:adjustRightInd/>
        <w:rPr>
          <w:color w:val="000000" w:themeColor="text1"/>
          <w:sz w:val="22"/>
          <w:highlight w:val="yellow"/>
        </w:rPr>
      </w:pPr>
    </w:p>
    <w:p w:rsidRPr="00FE3789" w:rsidR="00236980" w:rsidP="00236980" w:rsidRDefault="00236980" w14:paraId="124C7AA5" w14:textId="30FCA140">
      <w:pPr>
        <w:autoSpaceDE/>
        <w:autoSpaceDN/>
        <w:adjustRightInd/>
        <w:ind w:left="-4"/>
        <w:rPr>
          <w:rFonts w:cs="Arial"/>
          <w:color w:val="000000" w:themeColor="text1"/>
          <w:sz w:val="22"/>
          <w:szCs w:val="22"/>
        </w:rPr>
      </w:pPr>
      <w:r w:rsidRPr="00FE3789">
        <w:rPr>
          <w:rFonts w:cs="Arial"/>
          <w:color w:val="000000" w:themeColor="text1"/>
          <w:sz w:val="22"/>
          <w:szCs w:val="22"/>
        </w:rPr>
        <w:t>U.S. Nuclear Regulatory Commission</w:t>
      </w:r>
      <w:r w:rsidRPr="00FE3789" w:rsidR="00717FBA">
        <w:rPr>
          <w:rFonts w:cs="Arial"/>
          <w:color w:val="000000" w:themeColor="text1"/>
          <w:sz w:val="22"/>
          <w:szCs w:val="22"/>
        </w:rPr>
        <w:t xml:space="preserve"> (NRC</w:t>
      </w:r>
      <w:r w:rsidRPr="00FE3789" w:rsidR="00646A79">
        <w:rPr>
          <w:rFonts w:cs="Arial"/>
          <w:color w:val="000000" w:themeColor="text1"/>
          <w:sz w:val="22"/>
          <w:szCs w:val="22"/>
        </w:rPr>
        <w:t>,</w:t>
      </w:r>
      <w:r w:rsidRPr="00FE3789" w:rsidR="00717FBA">
        <w:rPr>
          <w:rFonts w:cs="Arial"/>
          <w:color w:val="000000" w:themeColor="text1"/>
          <w:sz w:val="22"/>
          <w:szCs w:val="22"/>
        </w:rPr>
        <w:t xml:space="preserve"> 2009a)</w:t>
      </w:r>
      <w:r w:rsidRPr="00FE3789" w:rsidR="00646A79">
        <w:rPr>
          <w:rFonts w:cs="Arial"/>
          <w:color w:val="000000" w:themeColor="text1"/>
          <w:sz w:val="22"/>
          <w:szCs w:val="22"/>
        </w:rPr>
        <w:t>,</w:t>
      </w:r>
      <w:r w:rsidRPr="00FE3789">
        <w:rPr>
          <w:rFonts w:cs="Arial"/>
          <w:color w:val="000000" w:themeColor="text1"/>
          <w:sz w:val="22"/>
          <w:szCs w:val="22"/>
        </w:rPr>
        <w:t xml:space="preserve"> </w:t>
      </w:r>
      <w:r w:rsidRPr="00FE3789" w:rsidR="00646A79">
        <w:rPr>
          <w:rFonts w:cs="Arial"/>
          <w:color w:val="000000" w:themeColor="text1"/>
          <w:sz w:val="22"/>
          <w:szCs w:val="22"/>
        </w:rPr>
        <w:t>“</w:t>
      </w:r>
      <w:r w:rsidRPr="00FE3789">
        <w:rPr>
          <w:rFonts w:cs="Arial"/>
          <w:color w:val="000000" w:themeColor="text1"/>
          <w:sz w:val="22"/>
          <w:szCs w:val="22"/>
        </w:rPr>
        <w:t xml:space="preserve">Meeting Summary of a Public Meeting to Discuss the Impact of New Department of Health and Human Services Guidelines on </w:t>
      </w:r>
      <w:r w:rsidRPr="00FE3789">
        <w:rPr>
          <w:rFonts w:cs="Arial"/>
          <w:i/>
          <w:color w:val="000000" w:themeColor="text1"/>
          <w:sz w:val="22"/>
          <w:szCs w:val="22"/>
        </w:rPr>
        <w:t xml:space="preserve">Title 10 Code of Federal Regulations </w:t>
      </w:r>
      <w:r w:rsidRPr="00FE3789">
        <w:rPr>
          <w:rFonts w:cs="Arial"/>
          <w:color w:val="000000" w:themeColor="text1"/>
          <w:sz w:val="22"/>
          <w:szCs w:val="22"/>
        </w:rPr>
        <w:t>Part 26</w:t>
      </w:r>
      <w:r w:rsidRPr="00FE3789" w:rsidR="00646A79">
        <w:rPr>
          <w:rFonts w:cs="Arial"/>
          <w:color w:val="000000" w:themeColor="text1"/>
          <w:sz w:val="22"/>
          <w:szCs w:val="22"/>
        </w:rPr>
        <w:t>,”</w:t>
      </w:r>
      <w:r w:rsidRPr="00FE3789">
        <w:rPr>
          <w:rFonts w:cs="Arial"/>
          <w:color w:val="000000" w:themeColor="text1"/>
          <w:sz w:val="22"/>
          <w:szCs w:val="22"/>
        </w:rPr>
        <w:t xml:space="preserve"> summary of public meeting held February 24</w:t>
      </w:r>
      <w:r w:rsidRPr="00FE3789" w:rsidR="00646A79">
        <w:rPr>
          <w:rFonts w:cs="Arial"/>
          <w:color w:val="000000" w:themeColor="text1"/>
          <w:sz w:val="22"/>
          <w:szCs w:val="22"/>
        </w:rPr>
        <w:t>,</w:t>
      </w:r>
      <w:r w:rsidRPr="00FE3789">
        <w:rPr>
          <w:rFonts w:cs="Arial"/>
          <w:color w:val="000000" w:themeColor="text1"/>
          <w:sz w:val="22"/>
          <w:szCs w:val="22"/>
        </w:rPr>
        <w:t> 2009</w:t>
      </w:r>
      <w:r w:rsidRPr="00FE3789" w:rsidR="00646A79">
        <w:rPr>
          <w:rFonts w:cs="Arial"/>
          <w:color w:val="000000" w:themeColor="text1"/>
          <w:sz w:val="22"/>
          <w:szCs w:val="22"/>
        </w:rPr>
        <w:t>,</w:t>
      </w:r>
      <w:r w:rsidRPr="00FE3789">
        <w:rPr>
          <w:rFonts w:cs="Arial"/>
          <w:color w:val="000000" w:themeColor="text1"/>
          <w:sz w:val="22"/>
          <w:szCs w:val="22"/>
        </w:rPr>
        <w:t xml:space="preserve"> summary dated March 17</w:t>
      </w:r>
      <w:r w:rsidRPr="00FE3789" w:rsidR="00646A79">
        <w:rPr>
          <w:rFonts w:cs="Arial"/>
          <w:color w:val="000000" w:themeColor="text1"/>
          <w:sz w:val="22"/>
          <w:szCs w:val="22"/>
        </w:rPr>
        <w:t>,</w:t>
      </w:r>
      <w:r w:rsidRPr="00FE3789">
        <w:rPr>
          <w:rFonts w:cs="Arial"/>
          <w:color w:val="000000" w:themeColor="text1"/>
          <w:sz w:val="22"/>
          <w:szCs w:val="22"/>
        </w:rPr>
        <w:t> 2009</w:t>
      </w:r>
      <w:r w:rsidRPr="00FE3789" w:rsidR="00646A79">
        <w:rPr>
          <w:rFonts w:cs="Arial"/>
          <w:color w:val="000000" w:themeColor="text1"/>
          <w:sz w:val="22"/>
          <w:szCs w:val="22"/>
        </w:rPr>
        <w:t>,</w:t>
      </w:r>
      <w:r w:rsidRPr="00FE3789">
        <w:rPr>
          <w:rFonts w:cs="Arial"/>
          <w:color w:val="000000" w:themeColor="text1"/>
          <w:sz w:val="22"/>
          <w:szCs w:val="22"/>
        </w:rPr>
        <w:t xml:space="preserve"> ADAMS Accession No. </w:t>
      </w:r>
      <w:r w:rsidRPr="00FE3789">
        <w:rPr>
          <w:rFonts w:cs="Arial"/>
          <w:sz w:val="22"/>
          <w:szCs w:val="22"/>
        </w:rPr>
        <w:t>ML090771060.</w:t>
      </w:r>
    </w:p>
    <w:p w:rsidRPr="00FE3789" w:rsidR="00236980" w:rsidP="00441B85" w:rsidRDefault="00236980" w14:paraId="1B09CE1B" w14:textId="77777777">
      <w:pPr>
        <w:rPr>
          <w:rFonts w:cs="Arial"/>
          <w:color w:val="000000" w:themeColor="text1"/>
          <w:sz w:val="22"/>
          <w:szCs w:val="22"/>
        </w:rPr>
      </w:pPr>
    </w:p>
    <w:p w:rsidR="00256ABD" w:rsidP="00256ABD" w:rsidRDefault="00256ABD" w14:paraId="02B0685C" w14:textId="5234A6DB">
      <w:pPr>
        <w:autoSpaceDE/>
        <w:autoSpaceDN/>
        <w:adjustRightInd/>
        <w:ind w:left="-4"/>
        <w:rPr>
          <w:rFonts w:cs="Arial"/>
          <w:color w:val="000000" w:themeColor="text1"/>
          <w:sz w:val="22"/>
          <w:szCs w:val="22"/>
        </w:rPr>
      </w:pPr>
      <w:r w:rsidRPr="000838A0">
        <w:rPr>
          <w:rFonts w:cs="Arial"/>
          <w:color w:val="000000" w:themeColor="text1"/>
          <w:sz w:val="22"/>
          <w:szCs w:val="22"/>
        </w:rPr>
        <w:t>U.S. Nuclear Regulatory Commission</w:t>
      </w:r>
      <w:r>
        <w:rPr>
          <w:rFonts w:cs="Arial"/>
          <w:color w:val="000000" w:themeColor="text1"/>
          <w:sz w:val="22"/>
          <w:szCs w:val="22"/>
        </w:rPr>
        <w:t xml:space="preserve"> (NRC, 2009</w:t>
      </w:r>
      <w:r w:rsidR="00235AFC">
        <w:rPr>
          <w:rFonts w:cs="Arial"/>
          <w:color w:val="000000" w:themeColor="text1"/>
          <w:sz w:val="22"/>
          <w:szCs w:val="22"/>
        </w:rPr>
        <w:t>b</w:t>
      </w:r>
      <w:r>
        <w:rPr>
          <w:rFonts w:cs="Arial"/>
          <w:color w:val="000000" w:themeColor="text1"/>
          <w:sz w:val="22"/>
          <w:szCs w:val="22"/>
        </w:rPr>
        <w:t>)</w:t>
      </w:r>
      <w:r w:rsidRPr="000838A0">
        <w:rPr>
          <w:rFonts w:cs="Arial"/>
          <w:color w:val="000000" w:themeColor="text1"/>
          <w:sz w:val="22"/>
          <w:szCs w:val="22"/>
        </w:rPr>
        <w:t xml:space="preserve">, “Insider Mitigation Program,” Regulatory Guide 5.77, </w:t>
      </w:r>
      <w:r>
        <w:rPr>
          <w:rFonts w:cs="Arial"/>
          <w:color w:val="000000" w:themeColor="text1"/>
          <w:sz w:val="22"/>
          <w:szCs w:val="22"/>
        </w:rPr>
        <w:t xml:space="preserve">March 2009, ADAMS Accession No. </w:t>
      </w:r>
      <w:r w:rsidRPr="00256ABD">
        <w:rPr>
          <w:rFonts w:cs="Arial"/>
          <w:color w:val="000000" w:themeColor="text1"/>
          <w:sz w:val="22"/>
          <w:szCs w:val="22"/>
        </w:rPr>
        <w:t>ML15219A609</w:t>
      </w:r>
      <w:r w:rsidRPr="000838A0">
        <w:rPr>
          <w:rFonts w:cs="Arial"/>
          <w:color w:val="000000" w:themeColor="text1"/>
          <w:sz w:val="22"/>
          <w:szCs w:val="22"/>
        </w:rPr>
        <w:t>.</w:t>
      </w:r>
    </w:p>
    <w:p w:rsidR="00256ABD" w:rsidP="00256ABD" w:rsidRDefault="00256ABD" w14:paraId="52AE26AB" w14:textId="77777777">
      <w:pPr>
        <w:autoSpaceDE/>
        <w:autoSpaceDN/>
        <w:adjustRightInd/>
        <w:ind w:left="-4"/>
        <w:rPr>
          <w:rFonts w:cs="Arial"/>
          <w:color w:val="000000" w:themeColor="text1"/>
          <w:sz w:val="22"/>
          <w:szCs w:val="22"/>
        </w:rPr>
      </w:pPr>
    </w:p>
    <w:p w:rsidRPr="003F4791" w:rsidR="00236980" w:rsidP="00236980" w:rsidRDefault="00236980" w14:paraId="09782E5C" w14:textId="654F2B0A">
      <w:pPr>
        <w:ind w:left="-4"/>
        <w:rPr>
          <w:rFonts w:cs="Arial"/>
          <w:sz w:val="22"/>
          <w:szCs w:val="22"/>
        </w:rPr>
      </w:pPr>
      <w:r w:rsidRPr="003F4791">
        <w:rPr>
          <w:rFonts w:cs="Arial"/>
          <w:sz w:val="22"/>
          <w:szCs w:val="22"/>
        </w:rPr>
        <w:t>U.S. Nuclear Regulatory Commission</w:t>
      </w:r>
      <w:r w:rsidRPr="003F4791" w:rsidR="00717FBA">
        <w:rPr>
          <w:rFonts w:cs="Arial"/>
          <w:sz w:val="22"/>
          <w:szCs w:val="22"/>
        </w:rPr>
        <w:t xml:space="preserve"> (NRC</w:t>
      </w:r>
      <w:r w:rsidRPr="003F4791" w:rsidR="00646A79">
        <w:rPr>
          <w:rFonts w:cs="Arial"/>
          <w:sz w:val="22"/>
          <w:szCs w:val="22"/>
        </w:rPr>
        <w:t>,</w:t>
      </w:r>
      <w:r w:rsidRPr="003F4791" w:rsidR="00717FBA">
        <w:rPr>
          <w:rFonts w:cs="Arial"/>
          <w:sz w:val="22"/>
          <w:szCs w:val="22"/>
        </w:rPr>
        <w:t xml:space="preserve"> 2009</w:t>
      </w:r>
      <w:r w:rsidR="001B382F">
        <w:rPr>
          <w:rFonts w:cs="Arial"/>
          <w:sz w:val="22"/>
          <w:szCs w:val="22"/>
        </w:rPr>
        <w:t>c</w:t>
      </w:r>
      <w:r w:rsidRPr="003F4791" w:rsidR="00717FBA">
        <w:rPr>
          <w:rFonts w:cs="Arial"/>
          <w:sz w:val="22"/>
          <w:szCs w:val="22"/>
        </w:rPr>
        <w:t>)</w:t>
      </w:r>
      <w:r w:rsidRPr="003F4791" w:rsidR="00646A79">
        <w:rPr>
          <w:rFonts w:cs="Arial"/>
          <w:sz w:val="22"/>
          <w:szCs w:val="22"/>
        </w:rPr>
        <w:t>,</w:t>
      </w:r>
      <w:r w:rsidRPr="003F4791">
        <w:rPr>
          <w:rFonts w:cs="Arial"/>
          <w:sz w:val="22"/>
          <w:szCs w:val="22"/>
        </w:rPr>
        <w:t xml:space="preserve"> </w:t>
      </w:r>
      <w:r w:rsidRPr="003F4791" w:rsidR="00646A79">
        <w:rPr>
          <w:rFonts w:cs="Arial"/>
          <w:sz w:val="22"/>
          <w:szCs w:val="22"/>
        </w:rPr>
        <w:t>“</w:t>
      </w:r>
      <w:r w:rsidRPr="003F4791">
        <w:rPr>
          <w:rFonts w:cs="Arial"/>
          <w:sz w:val="22"/>
          <w:szCs w:val="22"/>
        </w:rPr>
        <w:t>Enforcement Guidance Memorandum—Dispositioning Violations of NRC Requirements for Initial Validity and Drug Tests at Licensee Testing Facilities</w:t>
      </w:r>
      <w:r w:rsidRPr="003F4791" w:rsidR="00646A79">
        <w:rPr>
          <w:rFonts w:cs="Arial"/>
          <w:sz w:val="22"/>
          <w:szCs w:val="22"/>
        </w:rPr>
        <w:t>,”</w:t>
      </w:r>
      <w:r w:rsidRPr="003F4791">
        <w:rPr>
          <w:rFonts w:cs="Arial"/>
          <w:sz w:val="22"/>
          <w:szCs w:val="22"/>
        </w:rPr>
        <w:t xml:space="preserve"> EGM</w:t>
      </w:r>
      <w:r w:rsidR="0012349B">
        <w:rPr>
          <w:rFonts w:cs="Arial"/>
          <w:sz w:val="22"/>
          <w:szCs w:val="22"/>
        </w:rPr>
        <w:t> </w:t>
      </w:r>
      <w:r w:rsidRPr="003F4791">
        <w:rPr>
          <w:rFonts w:cs="Arial"/>
          <w:sz w:val="22"/>
          <w:szCs w:val="22"/>
        </w:rPr>
        <w:t>09</w:t>
      </w:r>
      <w:r w:rsidR="0012349B">
        <w:rPr>
          <w:rFonts w:cs="Arial"/>
          <w:sz w:val="22"/>
          <w:szCs w:val="22"/>
        </w:rPr>
        <w:noBreakHyphen/>
      </w:r>
      <w:r w:rsidRPr="003F4791">
        <w:rPr>
          <w:rFonts w:cs="Arial"/>
          <w:sz w:val="22"/>
          <w:szCs w:val="22"/>
        </w:rPr>
        <w:t>003</w:t>
      </w:r>
      <w:r w:rsidRPr="003F4791" w:rsidR="00646A79">
        <w:rPr>
          <w:rFonts w:cs="Arial"/>
          <w:sz w:val="22"/>
          <w:szCs w:val="22"/>
        </w:rPr>
        <w:t>,</w:t>
      </w:r>
      <w:r w:rsidRPr="003F4791">
        <w:rPr>
          <w:rFonts w:cs="Arial"/>
          <w:sz w:val="22"/>
          <w:szCs w:val="22"/>
        </w:rPr>
        <w:t xml:space="preserve"> March 31</w:t>
      </w:r>
      <w:r w:rsidRPr="003F4791" w:rsidR="00646A79">
        <w:rPr>
          <w:rFonts w:cs="Arial"/>
          <w:sz w:val="22"/>
          <w:szCs w:val="22"/>
        </w:rPr>
        <w:t>,</w:t>
      </w:r>
      <w:r w:rsidRPr="003F4791">
        <w:rPr>
          <w:rFonts w:cs="Arial"/>
          <w:sz w:val="22"/>
          <w:szCs w:val="22"/>
        </w:rPr>
        <w:t> 2009</w:t>
      </w:r>
      <w:r w:rsidRPr="003F4791" w:rsidR="00646A79">
        <w:rPr>
          <w:rFonts w:cs="Arial"/>
          <w:sz w:val="22"/>
          <w:szCs w:val="22"/>
        </w:rPr>
        <w:t>,</w:t>
      </w:r>
      <w:r w:rsidRPr="003F4791">
        <w:rPr>
          <w:rFonts w:cs="Arial"/>
          <w:sz w:val="22"/>
          <w:szCs w:val="22"/>
        </w:rPr>
        <w:t xml:space="preserve"> ADAMS Accession No. ML090760728.</w:t>
      </w:r>
    </w:p>
    <w:p w:rsidRPr="00D746C2" w:rsidR="00236980" w:rsidP="00441B85" w:rsidRDefault="00236980" w14:paraId="629743E8" w14:textId="77777777">
      <w:pPr>
        <w:rPr>
          <w:sz w:val="22"/>
          <w:highlight w:val="yellow"/>
        </w:rPr>
      </w:pPr>
    </w:p>
    <w:p w:rsidRPr="00FE3789" w:rsidR="00236980" w:rsidP="00236980" w:rsidRDefault="00236980" w14:paraId="6234A431" w14:textId="3C168139">
      <w:pPr>
        <w:autoSpaceDE/>
        <w:autoSpaceDN/>
        <w:adjustRightInd/>
        <w:ind w:left="-4"/>
        <w:rPr>
          <w:rFonts w:cs="Arial"/>
          <w:color w:val="000000" w:themeColor="text1"/>
          <w:sz w:val="22"/>
          <w:szCs w:val="22"/>
        </w:rPr>
      </w:pPr>
      <w:r w:rsidRPr="00FE3789">
        <w:rPr>
          <w:rFonts w:cs="Arial"/>
          <w:color w:val="000000" w:themeColor="text1"/>
          <w:sz w:val="22"/>
          <w:szCs w:val="22"/>
        </w:rPr>
        <w:t>U.S. Nuclear Regulatory Commission</w:t>
      </w:r>
      <w:r w:rsidRPr="00FE3789" w:rsidR="00717FBA">
        <w:rPr>
          <w:rFonts w:cs="Arial"/>
          <w:color w:val="000000" w:themeColor="text1"/>
          <w:sz w:val="22"/>
          <w:szCs w:val="22"/>
        </w:rPr>
        <w:t xml:space="preserve"> (NRC</w:t>
      </w:r>
      <w:r w:rsidRPr="00FE3789" w:rsidR="00646A79">
        <w:rPr>
          <w:rFonts w:cs="Arial"/>
          <w:color w:val="000000" w:themeColor="text1"/>
          <w:sz w:val="22"/>
          <w:szCs w:val="22"/>
        </w:rPr>
        <w:t>,</w:t>
      </w:r>
      <w:r w:rsidRPr="00FE3789" w:rsidR="00717FBA">
        <w:rPr>
          <w:rFonts w:cs="Arial"/>
          <w:color w:val="000000" w:themeColor="text1"/>
          <w:sz w:val="22"/>
          <w:szCs w:val="22"/>
        </w:rPr>
        <w:t xml:space="preserve"> 2009</w:t>
      </w:r>
      <w:r w:rsidR="00082C4F">
        <w:rPr>
          <w:rFonts w:cs="Arial"/>
          <w:color w:val="000000" w:themeColor="text1"/>
          <w:sz w:val="22"/>
          <w:szCs w:val="22"/>
        </w:rPr>
        <w:t>d</w:t>
      </w:r>
      <w:r w:rsidRPr="00FE3789" w:rsidR="00717FBA">
        <w:rPr>
          <w:rFonts w:cs="Arial"/>
          <w:color w:val="000000" w:themeColor="text1"/>
          <w:sz w:val="22"/>
          <w:szCs w:val="22"/>
        </w:rPr>
        <w:t>)</w:t>
      </w:r>
      <w:r w:rsidRPr="00FE3789" w:rsidR="00646A79">
        <w:rPr>
          <w:rFonts w:cs="Arial"/>
          <w:color w:val="000000" w:themeColor="text1"/>
          <w:sz w:val="22"/>
          <w:szCs w:val="22"/>
        </w:rPr>
        <w:t>,</w:t>
      </w:r>
      <w:r w:rsidRPr="00FE3789">
        <w:rPr>
          <w:rFonts w:cs="Arial"/>
          <w:color w:val="000000" w:themeColor="text1"/>
          <w:sz w:val="22"/>
          <w:szCs w:val="22"/>
        </w:rPr>
        <w:t xml:space="preserve"> </w:t>
      </w:r>
      <w:r w:rsidRPr="00FE3789" w:rsidR="00646A79">
        <w:rPr>
          <w:rFonts w:cs="Arial"/>
          <w:color w:val="000000" w:themeColor="text1"/>
          <w:sz w:val="22"/>
          <w:szCs w:val="22"/>
        </w:rPr>
        <w:t>“</w:t>
      </w:r>
      <w:r w:rsidRPr="00FE3789">
        <w:rPr>
          <w:rFonts w:cs="Arial"/>
          <w:color w:val="000000" w:themeColor="text1"/>
          <w:sz w:val="22"/>
          <w:szCs w:val="22"/>
        </w:rPr>
        <w:t>Summary of Public Meeting to Discuss the Potential Impact of the Revised U.S. Department of Health and Human Services Drug Testing Guidelines on U.S. Nuclear Regulatory Commission Fitness for Duty Requirements</w:t>
      </w:r>
      <w:r w:rsidRPr="00FE3789" w:rsidR="00646A79">
        <w:rPr>
          <w:rFonts w:cs="Arial"/>
          <w:color w:val="000000" w:themeColor="text1"/>
          <w:sz w:val="22"/>
          <w:szCs w:val="22"/>
        </w:rPr>
        <w:t>,”</w:t>
      </w:r>
      <w:r w:rsidRPr="00FE3789">
        <w:rPr>
          <w:rFonts w:cs="Arial"/>
          <w:color w:val="000000" w:themeColor="text1"/>
          <w:sz w:val="22"/>
          <w:szCs w:val="22"/>
        </w:rPr>
        <w:t xml:space="preserve"> summary of public meeting held June 24</w:t>
      </w:r>
      <w:r w:rsidRPr="00FE3789" w:rsidR="00646A79">
        <w:rPr>
          <w:rFonts w:cs="Arial"/>
          <w:color w:val="000000" w:themeColor="text1"/>
          <w:sz w:val="22"/>
          <w:szCs w:val="22"/>
        </w:rPr>
        <w:t>,</w:t>
      </w:r>
      <w:r w:rsidRPr="00FE3789">
        <w:rPr>
          <w:rFonts w:cs="Arial"/>
          <w:color w:val="000000" w:themeColor="text1"/>
          <w:sz w:val="22"/>
          <w:szCs w:val="22"/>
        </w:rPr>
        <w:t> 2009</w:t>
      </w:r>
      <w:r w:rsidRPr="00FE3789" w:rsidR="00646A79">
        <w:rPr>
          <w:rFonts w:cs="Arial"/>
          <w:color w:val="000000" w:themeColor="text1"/>
          <w:sz w:val="22"/>
          <w:szCs w:val="22"/>
        </w:rPr>
        <w:t>,</w:t>
      </w:r>
      <w:r w:rsidRPr="00FE3789">
        <w:rPr>
          <w:rFonts w:cs="Arial"/>
          <w:color w:val="000000" w:themeColor="text1"/>
          <w:sz w:val="22"/>
          <w:szCs w:val="22"/>
        </w:rPr>
        <w:t xml:space="preserve"> summary dated July 14</w:t>
      </w:r>
      <w:r w:rsidRPr="00FE3789" w:rsidR="00646A79">
        <w:rPr>
          <w:rFonts w:cs="Arial"/>
          <w:color w:val="000000" w:themeColor="text1"/>
          <w:sz w:val="22"/>
          <w:szCs w:val="22"/>
        </w:rPr>
        <w:t>,</w:t>
      </w:r>
      <w:r w:rsidRPr="00FE3789">
        <w:rPr>
          <w:rFonts w:cs="Arial"/>
          <w:color w:val="000000" w:themeColor="text1"/>
          <w:sz w:val="22"/>
          <w:szCs w:val="22"/>
        </w:rPr>
        <w:t> 2009</w:t>
      </w:r>
      <w:r w:rsidRPr="00FE3789" w:rsidR="00646A79">
        <w:rPr>
          <w:rFonts w:cs="Arial"/>
          <w:color w:val="000000" w:themeColor="text1"/>
          <w:sz w:val="22"/>
          <w:szCs w:val="22"/>
        </w:rPr>
        <w:t>,</w:t>
      </w:r>
      <w:r w:rsidRPr="00FE3789">
        <w:rPr>
          <w:rFonts w:cs="Arial"/>
          <w:color w:val="000000" w:themeColor="text1"/>
          <w:sz w:val="22"/>
          <w:szCs w:val="22"/>
        </w:rPr>
        <w:t xml:space="preserve"> ADAMS Accession No. </w:t>
      </w:r>
      <w:r w:rsidRPr="00FE3789">
        <w:rPr>
          <w:rFonts w:cs="Arial"/>
          <w:sz w:val="22"/>
          <w:szCs w:val="22"/>
        </w:rPr>
        <w:t>ML091910511.</w:t>
      </w:r>
    </w:p>
    <w:p w:rsidRPr="00D746C2" w:rsidR="00236980" w:rsidP="00441B85" w:rsidRDefault="00236980" w14:paraId="188BE975" w14:textId="221B5F28">
      <w:pPr>
        <w:rPr>
          <w:color w:val="000000" w:themeColor="text1"/>
          <w:sz w:val="22"/>
          <w:highlight w:val="yellow"/>
        </w:rPr>
      </w:pPr>
    </w:p>
    <w:p w:rsidRPr="003F4791" w:rsidR="00236980" w:rsidP="00236980" w:rsidRDefault="00236980" w14:paraId="171D85CB" w14:textId="2070C715">
      <w:pPr>
        <w:autoSpaceDE/>
        <w:autoSpaceDN/>
        <w:adjustRightInd/>
        <w:ind w:left="-4"/>
        <w:rPr>
          <w:rFonts w:cs="Arial"/>
          <w:color w:val="000000" w:themeColor="text1"/>
          <w:sz w:val="22"/>
          <w:szCs w:val="22"/>
        </w:rPr>
      </w:pPr>
      <w:r w:rsidRPr="003F4791">
        <w:rPr>
          <w:rFonts w:cs="Arial"/>
          <w:sz w:val="22"/>
          <w:szCs w:val="22"/>
        </w:rPr>
        <w:t>U.S. Nuclear Regulatory Commission</w:t>
      </w:r>
      <w:r w:rsidRPr="003F4791" w:rsidR="00717FBA">
        <w:rPr>
          <w:rFonts w:cs="Arial"/>
          <w:sz w:val="22"/>
          <w:szCs w:val="22"/>
        </w:rPr>
        <w:t xml:space="preserve"> (NRC</w:t>
      </w:r>
      <w:r w:rsidRPr="003F4791" w:rsidR="00646A79">
        <w:rPr>
          <w:rFonts w:cs="Arial"/>
          <w:sz w:val="22"/>
          <w:szCs w:val="22"/>
        </w:rPr>
        <w:t>,</w:t>
      </w:r>
      <w:r w:rsidRPr="003F4791" w:rsidR="00717FBA">
        <w:rPr>
          <w:rFonts w:cs="Arial"/>
          <w:sz w:val="22"/>
          <w:szCs w:val="22"/>
        </w:rPr>
        <w:t xml:space="preserve"> 2009</w:t>
      </w:r>
      <w:r w:rsidR="0065747F">
        <w:rPr>
          <w:rFonts w:cs="Arial"/>
          <w:sz w:val="22"/>
          <w:szCs w:val="22"/>
        </w:rPr>
        <w:t>e</w:t>
      </w:r>
      <w:r w:rsidRPr="003F4791" w:rsidR="00717FBA">
        <w:rPr>
          <w:rFonts w:cs="Arial"/>
          <w:sz w:val="22"/>
          <w:szCs w:val="22"/>
        </w:rPr>
        <w:t>)</w:t>
      </w:r>
      <w:r w:rsidRPr="003F4791" w:rsidR="00646A79">
        <w:rPr>
          <w:rFonts w:cs="Arial"/>
          <w:sz w:val="22"/>
          <w:szCs w:val="22"/>
        </w:rPr>
        <w:t>,</w:t>
      </w:r>
      <w:r w:rsidRPr="003F4791">
        <w:rPr>
          <w:rFonts w:cs="Arial"/>
          <w:sz w:val="22"/>
          <w:szCs w:val="22"/>
        </w:rPr>
        <w:t xml:space="preserve"> </w:t>
      </w:r>
      <w:r w:rsidRPr="003F4791" w:rsidR="00646A79">
        <w:rPr>
          <w:rFonts w:cs="Arial"/>
          <w:sz w:val="22"/>
          <w:szCs w:val="22"/>
        </w:rPr>
        <w:t>“</w:t>
      </w:r>
      <w:r w:rsidRPr="003F4791">
        <w:rPr>
          <w:rFonts w:cs="Arial"/>
          <w:sz w:val="22"/>
          <w:szCs w:val="22"/>
        </w:rPr>
        <w:t xml:space="preserve">Summary of Public Meeting to Discuss the Potential Impact of the Revised U.S. Department of Health and Human Services Drug Testing </w:t>
      </w:r>
      <w:r w:rsidRPr="003F4791">
        <w:rPr>
          <w:rFonts w:cs="Arial"/>
          <w:color w:val="000000" w:themeColor="text1"/>
          <w:sz w:val="22"/>
          <w:szCs w:val="22"/>
        </w:rPr>
        <w:t>Guidelines on U.S. Nuclear Regulatory Commission Fitness for Duty Requirements</w:t>
      </w:r>
      <w:r w:rsidRPr="003F4791" w:rsidR="00646A79">
        <w:rPr>
          <w:rFonts w:cs="Arial"/>
          <w:color w:val="000000" w:themeColor="text1"/>
          <w:sz w:val="22"/>
          <w:szCs w:val="22"/>
        </w:rPr>
        <w:t>,”</w:t>
      </w:r>
      <w:r w:rsidRPr="003F4791">
        <w:rPr>
          <w:rFonts w:cs="Arial"/>
          <w:color w:val="000000" w:themeColor="text1"/>
          <w:sz w:val="22"/>
          <w:szCs w:val="22"/>
        </w:rPr>
        <w:t xml:space="preserve"> Enclosure C</w:t>
      </w:r>
      <w:r w:rsidRPr="003F4791" w:rsidR="00646A79">
        <w:rPr>
          <w:rFonts w:cs="Arial"/>
          <w:color w:val="000000" w:themeColor="text1"/>
          <w:sz w:val="22"/>
          <w:szCs w:val="22"/>
        </w:rPr>
        <w:t>,</w:t>
      </w:r>
      <w:r w:rsidRPr="003F4791">
        <w:rPr>
          <w:rFonts w:cs="Arial"/>
          <w:color w:val="000000" w:themeColor="text1"/>
          <w:sz w:val="22"/>
          <w:szCs w:val="22"/>
        </w:rPr>
        <w:t xml:space="preserve"> </w:t>
      </w:r>
      <w:r w:rsidRPr="003F4791" w:rsidR="00646A79">
        <w:rPr>
          <w:rFonts w:cs="Arial"/>
          <w:color w:val="000000" w:themeColor="text1"/>
          <w:sz w:val="22"/>
          <w:szCs w:val="22"/>
        </w:rPr>
        <w:t>“</w:t>
      </w:r>
      <w:r w:rsidRPr="003F4791">
        <w:rPr>
          <w:rFonts w:cs="Arial"/>
          <w:color w:val="000000" w:themeColor="text1"/>
          <w:sz w:val="22"/>
          <w:szCs w:val="22"/>
        </w:rPr>
        <w:t>NEI Memo Containing Results of Industry Survey</w:t>
      </w:r>
      <w:r w:rsidRPr="003F4791" w:rsidR="00646A79">
        <w:rPr>
          <w:rFonts w:cs="Arial"/>
          <w:color w:val="000000" w:themeColor="text1"/>
          <w:sz w:val="22"/>
          <w:szCs w:val="22"/>
        </w:rPr>
        <w:t>,”</w:t>
      </w:r>
      <w:r w:rsidRPr="003F4791">
        <w:rPr>
          <w:rFonts w:cs="Arial"/>
          <w:color w:val="000000" w:themeColor="text1"/>
          <w:sz w:val="22"/>
          <w:szCs w:val="22"/>
        </w:rPr>
        <w:t xml:space="preserve"> enclosure dated May 31</w:t>
      </w:r>
      <w:r w:rsidRPr="003F4791" w:rsidR="00646A79">
        <w:rPr>
          <w:rFonts w:cs="Arial"/>
          <w:color w:val="000000" w:themeColor="text1"/>
          <w:sz w:val="22"/>
          <w:szCs w:val="22"/>
        </w:rPr>
        <w:t>,</w:t>
      </w:r>
      <w:r w:rsidRPr="003F4791">
        <w:rPr>
          <w:rFonts w:cs="Arial"/>
          <w:color w:val="000000" w:themeColor="text1"/>
          <w:sz w:val="22"/>
          <w:szCs w:val="22"/>
        </w:rPr>
        <w:t> 2009</w:t>
      </w:r>
      <w:r w:rsidRPr="003F4791" w:rsidR="00646A79">
        <w:rPr>
          <w:rFonts w:cs="Arial"/>
          <w:color w:val="000000" w:themeColor="text1"/>
          <w:sz w:val="22"/>
          <w:szCs w:val="22"/>
        </w:rPr>
        <w:t>,</w:t>
      </w:r>
      <w:r w:rsidRPr="003F4791">
        <w:rPr>
          <w:rFonts w:cs="Arial"/>
          <w:color w:val="000000" w:themeColor="text1"/>
          <w:sz w:val="22"/>
          <w:szCs w:val="22"/>
        </w:rPr>
        <w:t xml:space="preserve"> summary dated July 14</w:t>
      </w:r>
      <w:r w:rsidRPr="003F4791" w:rsidR="00646A79">
        <w:rPr>
          <w:rFonts w:cs="Arial"/>
          <w:color w:val="000000" w:themeColor="text1"/>
          <w:sz w:val="22"/>
          <w:szCs w:val="22"/>
        </w:rPr>
        <w:t>,</w:t>
      </w:r>
      <w:r w:rsidRPr="003F4791">
        <w:rPr>
          <w:rFonts w:cs="Arial"/>
          <w:color w:val="000000" w:themeColor="text1"/>
          <w:sz w:val="22"/>
          <w:szCs w:val="22"/>
        </w:rPr>
        <w:t> 2009</w:t>
      </w:r>
      <w:r w:rsidRPr="003F4791" w:rsidR="00646A79">
        <w:rPr>
          <w:rFonts w:cs="Arial"/>
          <w:color w:val="000000" w:themeColor="text1"/>
          <w:sz w:val="22"/>
          <w:szCs w:val="22"/>
        </w:rPr>
        <w:t>,</w:t>
      </w:r>
      <w:r w:rsidRPr="003F4791">
        <w:rPr>
          <w:rFonts w:cs="Arial"/>
          <w:color w:val="000000" w:themeColor="text1"/>
          <w:sz w:val="22"/>
          <w:szCs w:val="22"/>
        </w:rPr>
        <w:t xml:space="preserve"> ADAMS Accession No. </w:t>
      </w:r>
      <w:r w:rsidRPr="00983704" w:rsidR="00983704">
        <w:rPr>
          <w:rFonts w:cs="Arial"/>
          <w:color w:val="000000" w:themeColor="text1"/>
          <w:sz w:val="22"/>
          <w:szCs w:val="22"/>
        </w:rPr>
        <w:t>ML091910511</w:t>
      </w:r>
      <w:r w:rsidRPr="003F4791">
        <w:rPr>
          <w:rFonts w:cs="Arial"/>
          <w:color w:val="000000" w:themeColor="text1"/>
          <w:sz w:val="22"/>
          <w:szCs w:val="22"/>
        </w:rPr>
        <w:t>.</w:t>
      </w:r>
    </w:p>
    <w:p w:rsidRPr="003F4791" w:rsidR="00441B85" w:rsidP="00236980" w:rsidRDefault="00441B85" w14:paraId="33DF524B" w14:textId="77777777">
      <w:pPr>
        <w:autoSpaceDE/>
        <w:autoSpaceDN/>
        <w:adjustRightInd/>
        <w:ind w:left="-4"/>
        <w:rPr>
          <w:rFonts w:cs="Arial"/>
          <w:sz w:val="22"/>
          <w:szCs w:val="22"/>
        </w:rPr>
      </w:pPr>
    </w:p>
    <w:p w:rsidRPr="003F4791" w:rsidR="00236980" w:rsidP="00236980" w:rsidRDefault="00236980" w14:paraId="13B43F56" w14:textId="71F09DB0">
      <w:pPr>
        <w:autoSpaceDE/>
        <w:autoSpaceDN/>
        <w:adjustRightInd/>
        <w:ind w:left="-4"/>
        <w:rPr>
          <w:rFonts w:cs="Arial"/>
          <w:color w:val="000000" w:themeColor="text1"/>
          <w:sz w:val="22"/>
          <w:szCs w:val="22"/>
        </w:rPr>
      </w:pPr>
      <w:r w:rsidRPr="003F4791">
        <w:rPr>
          <w:rFonts w:cs="Arial"/>
          <w:sz w:val="22"/>
          <w:szCs w:val="22"/>
        </w:rPr>
        <w:t>U.S. Nuclear Regulatory Commission</w:t>
      </w:r>
      <w:r w:rsidRPr="003F4791" w:rsidR="00717FBA">
        <w:rPr>
          <w:rFonts w:cs="Arial"/>
          <w:sz w:val="22"/>
          <w:szCs w:val="22"/>
        </w:rPr>
        <w:t xml:space="preserve"> (NRC</w:t>
      </w:r>
      <w:r w:rsidRPr="003F4791" w:rsidR="00646A79">
        <w:rPr>
          <w:rFonts w:cs="Arial"/>
          <w:sz w:val="22"/>
          <w:szCs w:val="22"/>
        </w:rPr>
        <w:t>,</w:t>
      </w:r>
      <w:r w:rsidRPr="003F4791" w:rsidR="00717FBA">
        <w:rPr>
          <w:rFonts w:cs="Arial"/>
          <w:sz w:val="22"/>
          <w:szCs w:val="22"/>
        </w:rPr>
        <w:t xml:space="preserve"> 2011a)</w:t>
      </w:r>
      <w:r w:rsidRPr="003F4791" w:rsidR="00646A79">
        <w:rPr>
          <w:rFonts w:cs="Arial"/>
          <w:sz w:val="22"/>
          <w:szCs w:val="22"/>
        </w:rPr>
        <w:t>,</w:t>
      </w:r>
      <w:r w:rsidRPr="003F4791">
        <w:rPr>
          <w:rFonts w:cs="Arial"/>
          <w:sz w:val="22"/>
          <w:szCs w:val="22"/>
        </w:rPr>
        <w:t xml:space="preserve"> </w:t>
      </w:r>
      <w:r w:rsidRPr="003F4791" w:rsidR="00646A79">
        <w:rPr>
          <w:rFonts w:cs="Arial"/>
          <w:sz w:val="22"/>
          <w:szCs w:val="22"/>
        </w:rPr>
        <w:t>“</w:t>
      </w:r>
      <w:r w:rsidRPr="003F4791">
        <w:rPr>
          <w:rFonts w:cs="Arial"/>
          <w:sz w:val="22"/>
          <w:szCs w:val="22"/>
        </w:rPr>
        <w:t>NRC Staff-Proposed Changes for Direct Final Rulemaking 10 CFR Part 26</w:t>
      </w:r>
      <w:r w:rsidR="00FF2208">
        <w:rPr>
          <w:rFonts w:cs="Arial"/>
          <w:sz w:val="22"/>
          <w:szCs w:val="22"/>
        </w:rPr>
        <w:t xml:space="preserve">: </w:t>
      </w:r>
      <w:r w:rsidR="00D4597E">
        <w:rPr>
          <w:rFonts w:cs="Arial"/>
          <w:sz w:val="22"/>
          <w:szCs w:val="22"/>
        </w:rPr>
        <w:t xml:space="preserve"> </w:t>
      </w:r>
      <w:r w:rsidR="00FF2208">
        <w:rPr>
          <w:rFonts w:cs="Arial"/>
          <w:sz w:val="22"/>
          <w:szCs w:val="22"/>
        </w:rPr>
        <w:t xml:space="preserve">Proposed Amendment </w:t>
      </w:r>
      <w:r w:rsidR="00023444">
        <w:rPr>
          <w:rFonts w:cs="Arial"/>
          <w:sz w:val="22"/>
          <w:szCs w:val="22"/>
        </w:rPr>
        <w:t>to Incorporate Selected Provisions of the November 25, 2008, U.S. Department of Health and Human Services’ Mandatory Guidelines for Federal Workplace Drug Testing (i.e., HHS Guidelines)</w:t>
      </w:r>
      <w:r w:rsidRPr="003F4791" w:rsidR="00646A79">
        <w:rPr>
          <w:rFonts w:cs="Arial"/>
          <w:sz w:val="22"/>
          <w:szCs w:val="22"/>
        </w:rPr>
        <w:t>,”</w:t>
      </w:r>
      <w:r w:rsidRPr="003F4791">
        <w:rPr>
          <w:rFonts w:cs="Arial"/>
          <w:sz w:val="22"/>
          <w:szCs w:val="22"/>
        </w:rPr>
        <w:t xml:space="preserve"> October 10</w:t>
      </w:r>
      <w:r w:rsidRPr="003F4791" w:rsidR="00646A79">
        <w:rPr>
          <w:rFonts w:cs="Arial"/>
          <w:sz w:val="22"/>
          <w:szCs w:val="22"/>
        </w:rPr>
        <w:t>,</w:t>
      </w:r>
      <w:r w:rsidRPr="003F4791">
        <w:rPr>
          <w:rFonts w:cs="Arial"/>
          <w:sz w:val="22"/>
          <w:szCs w:val="22"/>
        </w:rPr>
        <w:t> 2011</w:t>
      </w:r>
      <w:r w:rsidRPr="003F4791" w:rsidR="00646A79">
        <w:rPr>
          <w:rFonts w:cs="Arial"/>
          <w:sz w:val="22"/>
          <w:szCs w:val="22"/>
        </w:rPr>
        <w:t>,</w:t>
      </w:r>
      <w:r w:rsidRPr="003F4791">
        <w:rPr>
          <w:rFonts w:cs="Arial"/>
          <w:sz w:val="22"/>
          <w:szCs w:val="22"/>
        </w:rPr>
        <w:t xml:space="preserve"> ADAMS Accession No. </w:t>
      </w:r>
      <w:r w:rsidRPr="003F4791">
        <w:rPr>
          <w:rFonts w:cs="Arial" w:eastAsiaTheme="minorHAnsi"/>
          <w:sz w:val="22"/>
          <w:szCs w:val="22"/>
        </w:rPr>
        <w:t>ML</w:t>
      </w:r>
      <w:r w:rsidRPr="003F4791">
        <w:rPr>
          <w:rFonts w:cs="Arial"/>
          <w:sz w:val="22"/>
          <w:szCs w:val="22"/>
        </w:rPr>
        <w:t>112980140.</w:t>
      </w:r>
    </w:p>
    <w:p w:rsidRPr="00944B17" w:rsidR="00236980" w:rsidP="00236980" w:rsidRDefault="00236980" w14:paraId="10F7F665" w14:textId="77777777">
      <w:pPr>
        <w:autoSpaceDE/>
        <w:autoSpaceDN/>
        <w:adjustRightInd/>
        <w:ind w:left="-4"/>
        <w:rPr>
          <w:color w:val="000000" w:themeColor="text1"/>
          <w:sz w:val="22"/>
          <w:highlight w:val="yellow"/>
        </w:rPr>
      </w:pPr>
    </w:p>
    <w:p w:rsidRPr="00FE3789" w:rsidR="00236980" w:rsidP="00236980" w:rsidRDefault="00236980" w14:paraId="4A87F86F" w14:textId="36DE6FCF">
      <w:pPr>
        <w:autoSpaceDE/>
        <w:autoSpaceDN/>
        <w:adjustRightInd/>
        <w:ind w:left="-4"/>
        <w:rPr>
          <w:rFonts w:cs="Arial"/>
          <w:color w:val="000000" w:themeColor="text1"/>
          <w:sz w:val="22"/>
          <w:szCs w:val="22"/>
        </w:rPr>
      </w:pPr>
      <w:r w:rsidRPr="00FE3789">
        <w:rPr>
          <w:rFonts w:cs="Arial"/>
          <w:color w:val="000000" w:themeColor="text1"/>
          <w:sz w:val="22"/>
          <w:szCs w:val="22"/>
        </w:rPr>
        <w:t>U.S. Nuclear Regulatory Commission</w:t>
      </w:r>
      <w:r w:rsidRPr="00FE3789" w:rsidR="00717FBA">
        <w:rPr>
          <w:rFonts w:cs="Arial"/>
          <w:color w:val="000000" w:themeColor="text1"/>
          <w:sz w:val="22"/>
          <w:szCs w:val="22"/>
        </w:rPr>
        <w:t xml:space="preserve"> (NRC</w:t>
      </w:r>
      <w:r w:rsidRPr="00FE3789" w:rsidR="00646A79">
        <w:rPr>
          <w:rFonts w:cs="Arial"/>
          <w:color w:val="000000" w:themeColor="text1"/>
          <w:sz w:val="22"/>
          <w:szCs w:val="22"/>
        </w:rPr>
        <w:t>,</w:t>
      </w:r>
      <w:r w:rsidRPr="00FE3789" w:rsidR="00717FBA">
        <w:rPr>
          <w:rFonts w:cs="Arial"/>
          <w:color w:val="000000" w:themeColor="text1"/>
          <w:sz w:val="22"/>
          <w:szCs w:val="22"/>
        </w:rPr>
        <w:t xml:space="preserve"> 2011b)</w:t>
      </w:r>
      <w:r w:rsidRPr="00FE3789" w:rsidR="00646A79">
        <w:rPr>
          <w:rFonts w:cs="Arial"/>
          <w:color w:val="000000" w:themeColor="text1"/>
          <w:sz w:val="22"/>
          <w:szCs w:val="22"/>
        </w:rPr>
        <w:t>,</w:t>
      </w:r>
      <w:r w:rsidRPr="00FE3789">
        <w:rPr>
          <w:rFonts w:cs="Arial"/>
          <w:color w:val="000000" w:themeColor="text1"/>
          <w:sz w:val="22"/>
          <w:szCs w:val="22"/>
        </w:rPr>
        <w:t xml:space="preserve"> </w:t>
      </w:r>
      <w:r w:rsidRPr="00FE3789" w:rsidR="00646A79">
        <w:rPr>
          <w:rFonts w:cs="Arial"/>
          <w:color w:val="000000" w:themeColor="text1"/>
          <w:sz w:val="22"/>
          <w:szCs w:val="22"/>
        </w:rPr>
        <w:t>“</w:t>
      </w:r>
      <w:r w:rsidRPr="00FE3789">
        <w:rPr>
          <w:rFonts w:cs="Arial"/>
          <w:color w:val="000000" w:themeColor="text1"/>
          <w:sz w:val="22"/>
          <w:szCs w:val="22"/>
        </w:rPr>
        <w:t>Summary of the October 11</w:t>
      </w:r>
      <w:r w:rsidRPr="00FE3789" w:rsidR="00646A79">
        <w:rPr>
          <w:rFonts w:cs="Arial"/>
          <w:color w:val="000000" w:themeColor="text1"/>
          <w:sz w:val="22"/>
          <w:szCs w:val="22"/>
        </w:rPr>
        <w:t>,</w:t>
      </w:r>
      <w:r w:rsidRPr="00FE3789">
        <w:rPr>
          <w:rFonts w:cs="Arial"/>
          <w:color w:val="000000" w:themeColor="text1"/>
          <w:sz w:val="22"/>
          <w:szCs w:val="22"/>
        </w:rPr>
        <w:t xml:space="preserve"> 2011</w:t>
      </w:r>
      <w:r w:rsidRPr="00FE3789" w:rsidR="00646A79">
        <w:rPr>
          <w:rFonts w:cs="Arial"/>
          <w:color w:val="000000" w:themeColor="text1"/>
          <w:sz w:val="22"/>
          <w:szCs w:val="22"/>
        </w:rPr>
        <w:t>,</w:t>
      </w:r>
      <w:r w:rsidRPr="00FE3789">
        <w:rPr>
          <w:rFonts w:cs="Arial"/>
          <w:color w:val="000000" w:themeColor="text1"/>
          <w:sz w:val="22"/>
          <w:szCs w:val="22"/>
        </w:rPr>
        <w:t xml:space="preserve"> Public Meeting to Discuss Staff Proposed Changes to Title 10 of the </w:t>
      </w:r>
      <w:r w:rsidRPr="00FE3789">
        <w:rPr>
          <w:rFonts w:cs="Arial"/>
          <w:i/>
          <w:color w:val="000000" w:themeColor="text1"/>
          <w:sz w:val="22"/>
          <w:szCs w:val="22"/>
        </w:rPr>
        <w:t>Code of Federal Regulations</w:t>
      </w:r>
      <w:r w:rsidRPr="00FE3789" w:rsidR="00646A79">
        <w:rPr>
          <w:rFonts w:cs="Arial"/>
          <w:color w:val="000000" w:themeColor="text1"/>
          <w:sz w:val="22"/>
          <w:szCs w:val="22"/>
        </w:rPr>
        <w:t>,</w:t>
      </w:r>
      <w:r w:rsidRPr="00FE3789">
        <w:rPr>
          <w:rFonts w:cs="Arial"/>
          <w:color w:val="000000" w:themeColor="text1"/>
          <w:sz w:val="22"/>
          <w:szCs w:val="22"/>
        </w:rPr>
        <w:t xml:space="preserve"> Part</w:t>
      </w:r>
      <w:r w:rsidR="00072CFB">
        <w:rPr>
          <w:rFonts w:cs="Arial"/>
          <w:color w:val="000000" w:themeColor="text1"/>
          <w:sz w:val="22"/>
          <w:szCs w:val="22"/>
        </w:rPr>
        <w:t> </w:t>
      </w:r>
      <w:r w:rsidRPr="00FE3789">
        <w:rPr>
          <w:rFonts w:cs="Arial"/>
          <w:color w:val="000000" w:themeColor="text1"/>
          <w:sz w:val="22"/>
          <w:szCs w:val="22"/>
        </w:rPr>
        <w:t>26</w:t>
      </w:r>
      <w:r w:rsidRPr="00FE3789" w:rsidR="00646A79">
        <w:rPr>
          <w:rFonts w:cs="Arial"/>
          <w:color w:val="000000" w:themeColor="text1"/>
          <w:sz w:val="22"/>
          <w:szCs w:val="22"/>
        </w:rPr>
        <w:t>,</w:t>
      </w:r>
      <w:r w:rsidRPr="00FE3789">
        <w:rPr>
          <w:rFonts w:cs="Arial"/>
          <w:color w:val="000000" w:themeColor="text1"/>
          <w:sz w:val="22"/>
          <w:szCs w:val="22"/>
        </w:rPr>
        <w:t xml:space="preserve"> Based on the U.S. Department of Health and Human Services Guidelines for Drug Testing</w:t>
      </w:r>
      <w:r w:rsidRPr="00FE3789" w:rsidR="00646A79">
        <w:rPr>
          <w:rFonts w:cs="Arial"/>
          <w:color w:val="000000" w:themeColor="text1"/>
          <w:sz w:val="22"/>
          <w:szCs w:val="22"/>
        </w:rPr>
        <w:t>,”</w:t>
      </w:r>
      <w:r w:rsidRPr="00FE3789">
        <w:rPr>
          <w:rFonts w:cs="Arial"/>
          <w:color w:val="000000" w:themeColor="text1"/>
          <w:sz w:val="22"/>
          <w:szCs w:val="22"/>
        </w:rPr>
        <w:t xml:space="preserve"> summary of public meeting held October 11</w:t>
      </w:r>
      <w:r w:rsidRPr="00FE3789" w:rsidR="00646A79">
        <w:rPr>
          <w:rFonts w:cs="Arial"/>
          <w:color w:val="000000" w:themeColor="text1"/>
          <w:sz w:val="22"/>
          <w:szCs w:val="22"/>
        </w:rPr>
        <w:t>,</w:t>
      </w:r>
      <w:r w:rsidRPr="00FE3789">
        <w:rPr>
          <w:rFonts w:cs="Arial"/>
          <w:color w:val="000000" w:themeColor="text1"/>
          <w:sz w:val="22"/>
          <w:szCs w:val="22"/>
        </w:rPr>
        <w:t> 2011</w:t>
      </w:r>
      <w:r w:rsidRPr="00FE3789" w:rsidR="00646A79">
        <w:rPr>
          <w:rFonts w:cs="Arial"/>
          <w:color w:val="000000" w:themeColor="text1"/>
          <w:sz w:val="22"/>
          <w:szCs w:val="22"/>
        </w:rPr>
        <w:t>,</w:t>
      </w:r>
      <w:r w:rsidRPr="00FE3789">
        <w:rPr>
          <w:rFonts w:cs="Arial"/>
          <w:color w:val="000000" w:themeColor="text1"/>
          <w:sz w:val="22"/>
          <w:szCs w:val="22"/>
        </w:rPr>
        <w:t xml:space="preserve"> summary dated November 14</w:t>
      </w:r>
      <w:r w:rsidRPr="00FE3789" w:rsidR="00646A79">
        <w:rPr>
          <w:rFonts w:cs="Arial"/>
          <w:color w:val="000000" w:themeColor="text1"/>
          <w:sz w:val="22"/>
          <w:szCs w:val="22"/>
        </w:rPr>
        <w:t>,</w:t>
      </w:r>
      <w:r w:rsidRPr="00FE3789">
        <w:rPr>
          <w:rFonts w:cs="Arial"/>
          <w:color w:val="000000" w:themeColor="text1"/>
          <w:sz w:val="22"/>
          <w:szCs w:val="22"/>
        </w:rPr>
        <w:t> 2011</w:t>
      </w:r>
      <w:r w:rsidRPr="00FE3789" w:rsidR="00646A79">
        <w:rPr>
          <w:rFonts w:cs="Arial"/>
          <w:color w:val="000000" w:themeColor="text1"/>
          <w:sz w:val="22"/>
          <w:szCs w:val="22"/>
        </w:rPr>
        <w:t>,</w:t>
      </w:r>
      <w:r w:rsidRPr="00FE3789">
        <w:rPr>
          <w:rFonts w:cs="Arial"/>
          <w:color w:val="000000" w:themeColor="text1"/>
          <w:sz w:val="22"/>
          <w:szCs w:val="22"/>
        </w:rPr>
        <w:t xml:space="preserve"> ADAMS Accession No. ML112980110.</w:t>
      </w:r>
    </w:p>
    <w:p w:rsidRPr="00FE3789" w:rsidR="00236980" w:rsidP="00441B85" w:rsidRDefault="00236980" w14:paraId="5D528660" w14:textId="77777777">
      <w:pPr>
        <w:rPr>
          <w:rFonts w:cs="Arial"/>
          <w:color w:val="000000" w:themeColor="text1"/>
          <w:sz w:val="22"/>
          <w:szCs w:val="22"/>
        </w:rPr>
      </w:pPr>
    </w:p>
    <w:p w:rsidRPr="007C0F70" w:rsidR="00236980" w:rsidP="00236980" w:rsidRDefault="00236980" w14:paraId="20483AB2" w14:textId="28DD4B5A">
      <w:pPr>
        <w:autoSpaceDE/>
        <w:autoSpaceDN/>
        <w:adjustRightInd/>
        <w:ind w:left="-4"/>
        <w:rPr>
          <w:rFonts w:cs="Arial"/>
          <w:sz w:val="22"/>
          <w:szCs w:val="22"/>
        </w:rPr>
      </w:pPr>
      <w:r w:rsidRPr="007C0F70">
        <w:rPr>
          <w:rFonts w:cs="Arial"/>
          <w:sz w:val="22"/>
          <w:szCs w:val="22"/>
        </w:rPr>
        <w:t>U.S. Nuclear Regulatory Commission</w:t>
      </w:r>
      <w:r w:rsidRPr="007C0F70" w:rsidR="00717FBA">
        <w:rPr>
          <w:rFonts w:cs="Arial"/>
          <w:sz w:val="22"/>
          <w:szCs w:val="22"/>
        </w:rPr>
        <w:t xml:space="preserve"> (NRC</w:t>
      </w:r>
      <w:r w:rsidRPr="007C0F70" w:rsidR="00646A79">
        <w:rPr>
          <w:rFonts w:cs="Arial"/>
          <w:sz w:val="22"/>
          <w:szCs w:val="22"/>
        </w:rPr>
        <w:t>,</w:t>
      </w:r>
      <w:r w:rsidRPr="007C0F70" w:rsidR="00717FBA">
        <w:rPr>
          <w:rFonts w:cs="Arial"/>
          <w:sz w:val="22"/>
          <w:szCs w:val="22"/>
        </w:rPr>
        <w:t xml:space="preserve"> 2013a)</w:t>
      </w:r>
      <w:r w:rsidRPr="007C0F70" w:rsidR="00646A79">
        <w:rPr>
          <w:rFonts w:cs="Arial"/>
          <w:sz w:val="22"/>
          <w:szCs w:val="22"/>
        </w:rPr>
        <w:t>,</w:t>
      </w:r>
      <w:r w:rsidRPr="007C0F70">
        <w:rPr>
          <w:rFonts w:cs="Arial"/>
          <w:sz w:val="22"/>
          <w:szCs w:val="22"/>
        </w:rPr>
        <w:t xml:space="preserve"> </w:t>
      </w:r>
      <w:r w:rsidRPr="007C0F70" w:rsidR="00646A79">
        <w:rPr>
          <w:rFonts w:cs="Arial"/>
          <w:sz w:val="22"/>
          <w:szCs w:val="22"/>
        </w:rPr>
        <w:t>“</w:t>
      </w:r>
      <w:r w:rsidR="001A452E">
        <w:rPr>
          <w:rFonts w:cs="Arial"/>
          <w:sz w:val="22"/>
          <w:szCs w:val="22"/>
        </w:rPr>
        <w:t xml:space="preserve">Regulatory Basis: </w:t>
      </w:r>
      <w:r w:rsidR="004237B6">
        <w:rPr>
          <w:rFonts w:cs="Arial"/>
          <w:sz w:val="22"/>
          <w:szCs w:val="22"/>
        </w:rPr>
        <w:t xml:space="preserve"> </w:t>
      </w:r>
      <w:r w:rsidRPr="007C0F70">
        <w:rPr>
          <w:rFonts w:cs="Arial"/>
          <w:sz w:val="22"/>
          <w:szCs w:val="22"/>
        </w:rPr>
        <w:t>Proposed Rulemaking to Amend 10 CFR Part 26</w:t>
      </w:r>
      <w:r w:rsidRPr="007C0F70" w:rsidR="00646A79">
        <w:rPr>
          <w:rFonts w:cs="Arial"/>
          <w:sz w:val="22"/>
          <w:szCs w:val="22"/>
        </w:rPr>
        <w:t>,</w:t>
      </w:r>
      <w:r w:rsidRPr="007C0F70">
        <w:rPr>
          <w:rFonts w:cs="Arial"/>
          <w:sz w:val="22"/>
          <w:szCs w:val="22"/>
        </w:rPr>
        <w:t xml:space="preserve"> ‘Fitness for Duty Programs</w:t>
      </w:r>
      <w:r w:rsidRPr="007C0F70" w:rsidR="00646A79">
        <w:rPr>
          <w:rFonts w:cs="Arial"/>
          <w:sz w:val="22"/>
          <w:szCs w:val="22"/>
        </w:rPr>
        <w:t>,</w:t>
      </w:r>
      <w:r w:rsidRPr="007C0F70">
        <w:rPr>
          <w:rFonts w:cs="Arial"/>
          <w:sz w:val="22"/>
          <w:szCs w:val="22"/>
        </w:rPr>
        <w:t>’ based on Select Provisions of the 2008 HHS Guidelines</w:t>
      </w:r>
      <w:r w:rsidRPr="007C0F70" w:rsidR="00646A79">
        <w:rPr>
          <w:rFonts w:cs="Arial"/>
          <w:sz w:val="22"/>
          <w:szCs w:val="22"/>
        </w:rPr>
        <w:t>,”</w:t>
      </w:r>
      <w:r w:rsidRPr="007C0F70">
        <w:rPr>
          <w:rFonts w:cs="Arial"/>
          <w:sz w:val="22"/>
          <w:szCs w:val="22"/>
        </w:rPr>
        <w:t xml:space="preserve"> May 3</w:t>
      </w:r>
      <w:r w:rsidRPr="007C0F70" w:rsidR="00646A79">
        <w:rPr>
          <w:rFonts w:cs="Arial"/>
          <w:sz w:val="22"/>
          <w:szCs w:val="22"/>
        </w:rPr>
        <w:t>,</w:t>
      </w:r>
      <w:r w:rsidRPr="007C0F70">
        <w:rPr>
          <w:rFonts w:cs="Arial"/>
          <w:sz w:val="22"/>
          <w:szCs w:val="22"/>
        </w:rPr>
        <w:t> 2013</w:t>
      </w:r>
      <w:r w:rsidRPr="007C0F70" w:rsidR="00646A79">
        <w:rPr>
          <w:rFonts w:cs="Arial"/>
          <w:sz w:val="22"/>
          <w:szCs w:val="22"/>
        </w:rPr>
        <w:t>,</w:t>
      </w:r>
      <w:r w:rsidRPr="007C0F70">
        <w:rPr>
          <w:rFonts w:cs="Arial"/>
          <w:sz w:val="22"/>
          <w:szCs w:val="22"/>
        </w:rPr>
        <w:t xml:space="preserve"> ADAMS Accession No. ML13066A703.</w:t>
      </w:r>
    </w:p>
    <w:p w:rsidRPr="00944B17" w:rsidR="00236980" w:rsidP="00441B85" w:rsidRDefault="00236980" w14:paraId="0E0093B6" w14:textId="77777777">
      <w:pPr>
        <w:rPr>
          <w:sz w:val="22"/>
          <w:highlight w:val="yellow"/>
        </w:rPr>
      </w:pPr>
    </w:p>
    <w:p w:rsidRPr="00FE3789" w:rsidR="00236980" w:rsidP="00236980" w:rsidRDefault="00236980" w14:paraId="41F9F8BA" w14:textId="369CDDEC">
      <w:pPr>
        <w:autoSpaceDE/>
        <w:autoSpaceDN/>
        <w:adjustRightInd/>
        <w:ind w:left="-4"/>
        <w:rPr>
          <w:rFonts w:cs="Arial"/>
          <w:color w:val="000000" w:themeColor="text1"/>
          <w:sz w:val="22"/>
          <w:szCs w:val="22"/>
        </w:rPr>
      </w:pPr>
      <w:r w:rsidRPr="00FE3789">
        <w:rPr>
          <w:rFonts w:cs="Arial"/>
          <w:color w:val="000000" w:themeColor="text1"/>
          <w:sz w:val="22"/>
          <w:szCs w:val="22"/>
        </w:rPr>
        <w:t>U.S. Nuclear Regulatory Commission</w:t>
      </w:r>
      <w:r w:rsidRPr="00FE3789" w:rsidR="00717FBA">
        <w:rPr>
          <w:rFonts w:cs="Arial"/>
          <w:color w:val="000000" w:themeColor="text1"/>
          <w:sz w:val="22"/>
          <w:szCs w:val="22"/>
        </w:rPr>
        <w:t xml:space="preserve"> (NRC</w:t>
      </w:r>
      <w:r w:rsidRPr="00FE3789" w:rsidR="00646A79">
        <w:rPr>
          <w:rFonts w:cs="Arial"/>
          <w:color w:val="000000" w:themeColor="text1"/>
          <w:sz w:val="22"/>
          <w:szCs w:val="22"/>
        </w:rPr>
        <w:t>,</w:t>
      </w:r>
      <w:r w:rsidRPr="00FE3789" w:rsidR="00717FBA">
        <w:rPr>
          <w:rFonts w:cs="Arial"/>
          <w:color w:val="000000" w:themeColor="text1"/>
          <w:sz w:val="22"/>
          <w:szCs w:val="22"/>
        </w:rPr>
        <w:t xml:space="preserve"> 2013b)</w:t>
      </w:r>
      <w:r w:rsidRPr="00FE3789" w:rsidR="00646A79">
        <w:rPr>
          <w:rFonts w:cs="Arial"/>
          <w:color w:val="000000" w:themeColor="text1"/>
          <w:sz w:val="22"/>
          <w:szCs w:val="22"/>
        </w:rPr>
        <w:t>,</w:t>
      </w:r>
      <w:r w:rsidRPr="00FE3789">
        <w:rPr>
          <w:rFonts w:cs="Arial"/>
          <w:color w:val="000000" w:themeColor="text1"/>
          <w:sz w:val="22"/>
          <w:szCs w:val="22"/>
        </w:rPr>
        <w:t xml:space="preserve"> </w:t>
      </w:r>
      <w:r w:rsidRPr="00FE3789" w:rsidR="00646A79">
        <w:rPr>
          <w:rFonts w:cs="Arial"/>
          <w:color w:val="000000" w:themeColor="text1"/>
          <w:sz w:val="22"/>
          <w:szCs w:val="22"/>
        </w:rPr>
        <w:t>“</w:t>
      </w:r>
      <w:r w:rsidRPr="00FE3789">
        <w:rPr>
          <w:rFonts w:cs="Arial"/>
          <w:color w:val="000000" w:themeColor="text1"/>
          <w:sz w:val="22"/>
          <w:szCs w:val="22"/>
        </w:rPr>
        <w:t>Summary of the September 11</w:t>
      </w:r>
      <w:r w:rsidRPr="00FE3789" w:rsidR="00646A79">
        <w:rPr>
          <w:rFonts w:cs="Arial"/>
          <w:color w:val="000000" w:themeColor="text1"/>
          <w:sz w:val="22"/>
          <w:szCs w:val="22"/>
        </w:rPr>
        <w:t>,</w:t>
      </w:r>
      <w:r w:rsidRPr="00FE3789">
        <w:rPr>
          <w:rFonts w:cs="Arial"/>
          <w:color w:val="000000" w:themeColor="text1"/>
          <w:sz w:val="22"/>
          <w:szCs w:val="22"/>
        </w:rPr>
        <w:t> 2013</w:t>
      </w:r>
      <w:r w:rsidRPr="00FE3789" w:rsidR="00646A79">
        <w:rPr>
          <w:rFonts w:cs="Arial"/>
          <w:color w:val="000000" w:themeColor="text1"/>
          <w:sz w:val="22"/>
          <w:szCs w:val="22"/>
        </w:rPr>
        <w:t>,</w:t>
      </w:r>
      <w:r w:rsidRPr="00FE3789">
        <w:rPr>
          <w:rFonts w:cs="Arial"/>
          <w:color w:val="000000" w:themeColor="text1"/>
          <w:sz w:val="22"/>
          <w:szCs w:val="22"/>
        </w:rPr>
        <w:t xml:space="preserve"> Category 2 Public Meeting to Discuss NRC Staff-Proposed Changes to Title 10 of the </w:t>
      </w:r>
      <w:r w:rsidRPr="00FE3789">
        <w:rPr>
          <w:rFonts w:cs="Arial"/>
          <w:i/>
          <w:color w:val="000000" w:themeColor="text1"/>
          <w:sz w:val="22"/>
          <w:szCs w:val="22"/>
        </w:rPr>
        <w:t>Code of Federal Regulations</w:t>
      </w:r>
      <w:r w:rsidRPr="00FE3789" w:rsidR="00646A79">
        <w:rPr>
          <w:rFonts w:cs="Arial"/>
          <w:color w:val="000000" w:themeColor="text1"/>
          <w:sz w:val="22"/>
          <w:szCs w:val="22"/>
        </w:rPr>
        <w:t>,</w:t>
      </w:r>
      <w:r w:rsidRPr="00FE3789">
        <w:rPr>
          <w:rFonts w:cs="Arial"/>
          <w:color w:val="000000" w:themeColor="text1"/>
          <w:sz w:val="22"/>
          <w:szCs w:val="22"/>
        </w:rPr>
        <w:t xml:space="preserve"> Part 26</w:t>
      </w:r>
      <w:r w:rsidRPr="00FE3789" w:rsidR="00646A79">
        <w:rPr>
          <w:rFonts w:cs="Arial"/>
          <w:color w:val="000000" w:themeColor="text1"/>
          <w:sz w:val="22"/>
          <w:szCs w:val="22"/>
        </w:rPr>
        <w:t>,</w:t>
      </w:r>
      <w:r w:rsidRPr="00FE3789">
        <w:rPr>
          <w:rFonts w:cs="Arial"/>
          <w:color w:val="000000" w:themeColor="text1"/>
          <w:sz w:val="22"/>
          <w:szCs w:val="22"/>
        </w:rPr>
        <w:t xml:space="preserve"> Based on the U.S. Department of Health and Human Services’ Guidelines for Drug Testing</w:t>
      </w:r>
      <w:r w:rsidRPr="00FE3789" w:rsidR="00646A79">
        <w:rPr>
          <w:rFonts w:cs="Arial"/>
          <w:color w:val="000000" w:themeColor="text1"/>
          <w:sz w:val="22"/>
          <w:szCs w:val="22"/>
        </w:rPr>
        <w:t>,”</w:t>
      </w:r>
      <w:r w:rsidRPr="00FE3789">
        <w:rPr>
          <w:rFonts w:cs="Arial"/>
          <w:color w:val="000000" w:themeColor="text1"/>
          <w:sz w:val="22"/>
          <w:szCs w:val="22"/>
        </w:rPr>
        <w:t xml:space="preserve"> summary of public meeting held September 11</w:t>
      </w:r>
      <w:r w:rsidRPr="00FE3789" w:rsidR="00646A79">
        <w:rPr>
          <w:rFonts w:cs="Arial"/>
          <w:color w:val="000000" w:themeColor="text1"/>
          <w:sz w:val="22"/>
          <w:szCs w:val="22"/>
        </w:rPr>
        <w:t>,</w:t>
      </w:r>
      <w:r w:rsidRPr="00FE3789">
        <w:rPr>
          <w:rFonts w:cs="Arial"/>
          <w:color w:val="000000" w:themeColor="text1"/>
          <w:sz w:val="22"/>
          <w:szCs w:val="22"/>
        </w:rPr>
        <w:t> 2013</w:t>
      </w:r>
      <w:r w:rsidRPr="00FE3789" w:rsidR="00646A79">
        <w:rPr>
          <w:rFonts w:cs="Arial"/>
          <w:color w:val="000000" w:themeColor="text1"/>
          <w:sz w:val="22"/>
          <w:szCs w:val="22"/>
        </w:rPr>
        <w:t>,</w:t>
      </w:r>
      <w:r w:rsidRPr="00FE3789">
        <w:rPr>
          <w:rFonts w:cs="Arial"/>
          <w:color w:val="000000" w:themeColor="text1"/>
          <w:sz w:val="22"/>
          <w:szCs w:val="22"/>
        </w:rPr>
        <w:t xml:space="preserve"> summary dated October 29</w:t>
      </w:r>
      <w:r w:rsidRPr="00FE3789" w:rsidR="00646A79">
        <w:rPr>
          <w:rFonts w:cs="Arial"/>
          <w:color w:val="000000" w:themeColor="text1"/>
          <w:sz w:val="22"/>
          <w:szCs w:val="22"/>
        </w:rPr>
        <w:t>,</w:t>
      </w:r>
      <w:r w:rsidRPr="00FE3789">
        <w:rPr>
          <w:rFonts w:cs="Arial"/>
          <w:color w:val="000000" w:themeColor="text1"/>
          <w:sz w:val="22"/>
          <w:szCs w:val="22"/>
        </w:rPr>
        <w:t> 2013</w:t>
      </w:r>
      <w:r w:rsidRPr="00FE3789" w:rsidR="00646A79">
        <w:rPr>
          <w:rFonts w:cs="Arial"/>
          <w:color w:val="000000" w:themeColor="text1"/>
          <w:sz w:val="22"/>
          <w:szCs w:val="22"/>
        </w:rPr>
        <w:t>,</w:t>
      </w:r>
      <w:r w:rsidRPr="00FE3789">
        <w:rPr>
          <w:rFonts w:cs="Arial"/>
          <w:color w:val="000000" w:themeColor="text1"/>
          <w:sz w:val="22"/>
          <w:szCs w:val="22"/>
        </w:rPr>
        <w:t xml:space="preserve"> ADAMS Accession No. ML13290A236</w:t>
      </w:r>
      <w:r w:rsidRPr="00FE3789">
        <w:rPr>
          <w:rFonts w:cs="Arial"/>
          <w:sz w:val="22"/>
          <w:szCs w:val="22"/>
        </w:rPr>
        <w:t>.</w:t>
      </w:r>
    </w:p>
    <w:p w:rsidRPr="00944B17" w:rsidR="00441B85" w:rsidP="009C638A" w:rsidRDefault="00441B85" w14:paraId="341B2CFB" w14:textId="5DE94AC6">
      <w:pPr>
        <w:autoSpaceDE/>
        <w:autoSpaceDN/>
        <w:adjustRightInd/>
        <w:ind w:left="-4"/>
        <w:rPr>
          <w:sz w:val="22"/>
          <w:highlight w:val="yellow"/>
        </w:rPr>
      </w:pPr>
    </w:p>
    <w:p w:rsidR="00FE3789" w:rsidP="00FE3789" w:rsidRDefault="007D51AE" w14:paraId="1A54EFA0" w14:textId="2BE46570">
      <w:pPr>
        <w:autoSpaceDE/>
        <w:autoSpaceDN/>
        <w:adjustRightInd/>
        <w:ind w:left="-4"/>
        <w:rPr>
          <w:sz w:val="22"/>
          <w:szCs w:val="22"/>
        </w:rPr>
      </w:pPr>
      <w:r w:rsidRPr="00E10378">
        <w:rPr>
          <w:rFonts w:cs="Arial"/>
          <w:sz w:val="22"/>
          <w:szCs w:val="22"/>
        </w:rPr>
        <w:t xml:space="preserve">U.S. Nuclear Regulatory Commission (NRC, </w:t>
      </w:r>
      <w:r w:rsidRPr="00E10378" w:rsidR="00125787">
        <w:rPr>
          <w:rFonts w:cs="Arial"/>
          <w:sz w:val="22"/>
          <w:szCs w:val="22"/>
        </w:rPr>
        <w:t>2014</w:t>
      </w:r>
      <w:r w:rsidRPr="00E10378" w:rsidR="00FE3789">
        <w:rPr>
          <w:rFonts w:cs="Arial"/>
          <w:sz w:val="22"/>
          <w:szCs w:val="22"/>
        </w:rPr>
        <w:t>),</w:t>
      </w:r>
      <w:r w:rsidRPr="00CD4612" w:rsidR="00FE3789">
        <w:rPr>
          <w:rFonts w:cs="Arial"/>
          <w:sz w:val="22"/>
          <w:szCs w:val="22"/>
        </w:rPr>
        <w:t xml:space="preserve"> “Summary of Fitness for Duty Program Performance Reports for Calendar Year 2013,” September 3, 2014, ADAMS Accession No. ML14246A440.  </w:t>
      </w:r>
    </w:p>
    <w:p w:rsidR="00FE3789" w:rsidP="00B248C3" w:rsidRDefault="00FE3789" w14:paraId="1A672FB5" w14:textId="77777777">
      <w:pPr>
        <w:autoSpaceDE/>
        <w:autoSpaceDN/>
        <w:adjustRightInd/>
        <w:ind w:left="-4"/>
        <w:rPr>
          <w:rFonts w:cs="Arial"/>
          <w:color w:val="000000" w:themeColor="text1"/>
          <w:sz w:val="22"/>
          <w:szCs w:val="22"/>
          <w:highlight w:val="yellow"/>
        </w:rPr>
      </w:pPr>
    </w:p>
    <w:p w:rsidR="00B248C3" w:rsidP="00B248C3" w:rsidRDefault="00B248C3" w14:paraId="778509FF" w14:textId="4858B5BD">
      <w:pPr>
        <w:autoSpaceDE/>
        <w:autoSpaceDN/>
        <w:adjustRightInd/>
        <w:ind w:left="-4"/>
        <w:rPr>
          <w:rFonts w:cs="Arial"/>
          <w:sz w:val="22"/>
          <w:szCs w:val="22"/>
        </w:rPr>
      </w:pPr>
      <w:r w:rsidRPr="000838A0">
        <w:rPr>
          <w:rFonts w:cs="Arial"/>
          <w:color w:val="000000" w:themeColor="text1"/>
          <w:sz w:val="22"/>
          <w:szCs w:val="22"/>
        </w:rPr>
        <w:t>U.S. Nuclear Regulatory Commission</w:t>
      </w:r>
      <w:r w:rsidRPr="000838A0" w:rsidR="00717FBA">
        <w:rPr>
          <w:rFonts w:cs="Arial"/>
          <w:color w:val="000000" w:themeColor="text1"/>
          <w:sz w:val="22"/>
          <w:szCs w:val="22"/>
        </w:rPr>
        <w:t xml:space="preserve"> (NRC</w:t>
      </w:r>
      <w:r w:rsidRPr="000838A0" w:rsidR="00646A79">
        <w:rPr>
          <w:rFonts w:cs="Arial"/>
          <w:color w:val="000000" w:themeColor="text1"/>
          <w:sz w:val="22"/>
          <w:szCs w:val="22"/>
        </w:rPr>
        <w:t>,</w:t>
      </w:r>
      <w:r w:rsidRPr="000838A0" w:rsidR="00717FBA">
        <w:rPr>
          <w:rFonts w:cs="Arial"/>
          <w:color w:val="000000" w:themeColor="text1"/>
          <w:sz w:val="22"/>
          <w:szCs w:val="22"/>
        </w:rPr>
        <w:t xml:space="preserve"> 2015)</w:t>
      </w:r>
      <w:r w:rsidRPr="000838A0" w:rsidR="00646A79">
        <w:rPr>
          <w:rFonts w:cs="Arial"/>
          <w:color w:val="000000" w:themeColor="text1"/>
          <w:sz w:val="22"/>
          <w:szCs w:val="22"/>
        </w:rPr>
        <w:t>,</w:t>
      </w:r>
      <w:r w:rsidRPr="000838A0">
        <w:rPr>
          <w:rFonts w:cs="Arial"/>
          <w:color w:val="000000" w:themeColor="text1"/>
          <w:sz w:val="22"/>
          <w:szCs w:val="22"/>
        </w:rPr>
        <w:t xml:space="preserve"> </w:t>
      </w:r>
      <w:r w:rsidRPr="000838A0" w:rsidR="00646A79">
        <w:rPr>
          <w:rFonts w:cs="Arial"/>
          <w:color w:val="000000" w:themeColor="text1"/>
          <w:sz w:val="22"/>
          <w:szCs w:val="22"/>
        </w:rPr>
        <w:t>“</w:t>
      </w:r>
      <w:r w:rsidR="00F033B5">
        <w:rPr>
          <w:rFonts w:cs="Arial"/>
          <w:color w:val="000000" w:themeColor="text1"/>
          <w:sz w:val="22"/>
          <w:szCs w:val="22"/>
        </w:rPr>
        <w:t>Staff Requirements—SECY</w:t>
      </w:r>
      <w:r w:rsidR="00F033B5">
        <w:rPr>
          <w:rFonts w:cs="Arial"/>
          <w:color w:val="000000" w:themeColor="text1"/>
          <w:sz w:val="22"/>
          <w:szCs w:val="22"/>
        </w:rPr>
        <w:noBreakHyphen/>
        <w:t>14</w:t>
      </w:r>
      <w:r w:rsidR="00F033B5">
        <w:rPr>
          <w:rFonts w:cs="Arial"/>
          <w:color w:val="000000" w:themeColor="text1"/>
          <w:sz w:val="22"/>
          <w:szCs w:val="22"/>
        </w:rPr>
        <w:noBreakHyphen/>
        <w:t>0087—</w:t>
      </w:r>
      <w:r w:rsidRPr="000838A0">
        <w:rPr>
          <w:rFonts w:cs="Arial"/>
          <w:sz w:val="22"/>
          <w:szCs w:val="22"/>
        </w:rPr>
        <w:t>Qualitative Consideration of Factors in the Development of Regulatory Analyses and Backfit Analyses</w:t>
      </w:r>
      <w:r w:rsidRPr="000838A0" w:rsidR="00646A79">
        <w:rPr>
          <w:rFonts w:cs="Arial"/>
          <w:sz w:val="22"/>
          <w:szCs w:val="22"/>
        </w:rPr>
        <w:t>,”</w:t>
      </w:r>
      <w:r w:rsidRPr="000838A0">
        <w:rPr>
          <w:rFonts w:cs="Arial"/>
          <w:sz w:val="22"/>
          <w:szCs w:val="22"/>
        </w:rPr>
        <w:t xml:space="preserve"> </w:t>
      </w:r>
      <w:r w:rsidRPr="000838A0">
        <w:rPr>
          <w:rFonts w:cs="Arial"/>
          <w:color w:val="000000" w:themeColor="text1"/>
          <w:sz w:val="22"/>
          <w:szCs w:val="22"/>
        </w:rPr>
        <w:t>SRM-SECY-14-0087</w:t>
      </w:r>
      <w:r w:rsidRPr="000838A0" w:rsidR="00646A79">
        <w:rPr>
          <w:rFonts w:cs="Arial"/>
          <w:color w:val="000000" w:themeColor="text1"/>
          <w:sz w:val="22"/>
          <w:szCs w:val="22"/>
        </w:rPr>
        <w:t>,</w:t>
      </w:r>
      <w:r w:rsidRPr="000838A0">
        <w:rPr>
          <w:rFonts w:cs="Arial"/>
          <w:color w:val="000000" w:themeColor="text1"/>
          <w:sz w:val="22"/>
          <w:szCs w:val="22"/>
        </w:rPr>
        <w:t xml:space="preserve"> </w:t>
      </w:r>
      <w:r w:rsidRPr="000838A0">
        <w:rPr>
          <w:rFonts w:cs="Arial"/>
          <w:sz w:val="22"/>
          <w:szCs w:val="22"/>
        </w:rPr>
        <w:t>March 4</w:t>
      </w:r>
      <w:r w:rsidRPr="000838A0" w:rsidR="00646A79">
        <w:rPr>
          <w:rFonts w:cs="Arial"/>
          <w:sz w:val="22"/>
          <w:szCs w:val="22"/>
        </w:rPr>
        <w:t>,</w:t>
      </w:r>
      <w:r w:rsidRPr="000838A0">
        <w:rPr>
          <w:rFonts w:cs="Arial"/>
          <w:sz w:val="22"/>
          <w:szCs w:val="22"/>
        </w:rPr>
        <w:t> 2015</w:t>
      </w:r>
      <w:r w:rsidRPr="000838A0" w:rsidR="00646A79">
        <w:rPr>
          <w:rFonts w:cs="Arial"/>
          <w:sz w:val="22"/>
          <w:szCs w:val="22"/>
        </w:rPr>
        <w:t>,</w:t>
      </w:r>
      <w:r w:rsidRPr="000838A0">
        <w:rPr>
          <w:rFonts w:cs="Arial"/>
          <w:sz w:val="22"/>
          <w:szCs w:val="22"/>
        </w:rPr>
        <w:t xml:space="preserve"> ADAMS Accession No. ML15063A568.</w:t>
      </w:r>
    </w:p>
    <w:p w:rsidRPr="000838A0" w:rsidR="0075072B" w:rsidP="00B248C3" w:rsidRDefault="0075072B" w14:paraId="12A19196" w14:textId="77777777">
      <w:pPr>
        <w:autoSpaceDE/>
        <w:autoSpaceDN/>
        <w:adjustRightInd/>
        <w:ind w:left="-4"/>
        <w:rPr>
          <w:rFonts w:cs="Arial"/>
          <w:color w:val="000000" w:themeColor="text1"/>
          <w:sz w:val="22"/>
          <w:szCs w:val="22"/>
        </w:rPr>
      </w:pPr>
    </w:p>
    <w:p w:rsidRPr="00CD4612" w:rsidR="00125787" w:rsidP="00125787" w:rsidRDefault="00125787" w14:paraId="079F984E" w14:textId="0C27C970">
      <w:pPr>
        <w:autoSpaceDE/>
        <w:autoSpaceDN/>
        <w:adjustRightInd/>
        <w:ind w:left="-4"/>
        <w:rPr>
          <w:sz w:val="22"/>
          <w:szCs w:val="22"/>
        </w:rPr>
      </w:pPr>
      <w:r>
        <w:rPr>
          <w:sz w:val="22"/>
          <w:szCs w:val="22"/>
        </w:rPr>
        <w:t xml:space="preserve">U.S. Nuclear Regulatory Commission (NRC, 2017), </w:t>
      </w:r>
      <w:r w:rsidRPr="00344642">
        <w:rPr>
          <w:sz w:val="22"/>
          <w:szCs w:val="22"/>
        </w:rPr>
        <w:t>“Summary of Fitness for Duty Program Performance Reports for Calendar Year 2015</w:t>
      </w:r>
      <w:r>
        <w:rPr>
          <w:sz w:val="22"/>
          <w:szCs w:val="22"/>
        </w:rPr>
        <w:t>,</w:t>
      </w:r>
      <w:r w:rsidRPr="00344642">
        <w:rPr>
          <w:sz w:val="22"/>
          <w:szCs w:val="22"/>
        </w:rPr>
        <w:t>” November 13, 2017</w:t>
      </w:r>
      <w:r>
        <w:rPr>
          <w:sz w:val="22"/>
          <w:szCs w:val="22"/>
        </w:rPr>
        <w:t>, ADAMS Accession No.</w:t>
      </w:r>
      <w:r w:rsidRPr="00344642">
        <w:rPr>
          <w:sz w:val="22"/>
          <w:szCs w:val="22"/>
        </w:rPr>
        <w:tab/>
        <w:t>ML17313A337</w:t>
      </w:r>
      <w:r>
        <w:rPr>
          <w:sz w:val="22"/>
          <w:szCs w:val="22"/>
        </w:rPr>
        <w:t>.</w:t>
      </w:r>
      <w:r w:rsidR="00CA4586">
        <w:rPr>
          <w:sz w:val="22"/>
          <w:szCs w:val="22"/>
        </w:rPr>
        <w:t xml:space="preserve">  This report is the most recent available; it and the reports for </w:t>
      </w:r>
      <w:r w:rsidRPr="00CD4612" w:rsidR="00CA4586">
        <w:rPr>
          <w:rFonts w:cs="Arial"/>
          <w:sz w:val="22"/>
          <w:szCs w:val="22"/>
        </w:rPr>
        <w:t xml:space="preserve">previous years are available at </w:t>
      </w:r>
      <w:hyperlink w:history="1" r:id="rId31">
        <w:r w:rsidRPr="00CD4612" w:rsidR="00CA4586">
          <w:rPr>
            <w:rStyle w:val="Hyperlink"/>
            <w:rFonts w:cs="Arial"/>
            <w:sz w:val="22"/>
            <w:szCs w:val="22"/>
          </w:rPr>
          <w:t>http://www.nrc.gov/reactors/operating/ops-experience/fitness-for-duty-programs/performance-reports.html</w:t>
        </w:r>
      </w:hyperlink>
      <w:r w:rsidRPr="00CD4612" w:rsidR="00CA4586">
        <w:rPr>
          <w:sz w:val="22"/>
          <w:szCs w:val="22"/>
        </w:rPr>
        <w:t>.</w:t>
      </w:r>
    </w:p>
    <w:p w:rsidRPr="00CD4612" w:rsidR="007D51AE" w:rsidP="007D51AE" w:rsidRDefault="007D51AE" w14:paraId="13BD6DBD" w14:textId="77777777">
      <w:pPr>
        <w:autoSpaceDE/>
        <w:autoSpaceDN/>
        <w:adjustRightInd/>
        <w:ind w:left="-4"/>
        <w:rPr>
          <w:rFonts w:cs="Arial"/>
          <w:color w:val="000000" w:themeColor="text1"/>
          <w:sz w:val="22"/>
          <w:szCs w:val="22"/>
        </w:rPr>
      </w:pPr>
    </w:p>
    <w:p w:rsidRPr="00CD4612" w:rsidR="00B248C3" w:rsidP="00B248C3" w:rsidRDefault="00B248C3" w14:paraId="29F39442" w14:textId="45EECCB6">
      <w:pPr>
        <w:autoSpaceDE/>
        <w:autoSpaceDN/>
        <w:adjustRightInd/>
        <w:ind w:left="-4"/>
        <w:rPr>
          <w:rFonts w:cs="Arial"/>
          <w:sz w:val="22"/>
          <w:szCs w:val="22"/>
        </w:rPr>
      </w:pPr>
      <w:r w:rsidRPr="00CD4612">
        <w:rPr>
          <w:rFonts w:cs="Arial"/>
          <w:color w:val="000000" w:themeColor="text1"/>
          <w:sz w:val="22"/>
          <w:szCs w:val="22"/>
        </w:rPr>
        <w:t>U.S. Nuclear Regulatory Commission</w:t>
      </w:r>
      <w:r w:rsidRPr="00CD4612" w:rsidR="00717FBA">
        <w:rPr>
          <w:rFonts w:cs="Arial"/>
          <w:color w:val="000000" w:themeColor="text1"/>
          <w:sz w:val="22"/>
          <w:szCs w:val="22"/>
        </w:rPr>
        <w:t xml:space="preserve"> (NRC</w:t>
      </w:r>
      <w:r w:rsidRPr="00CD4612" w:rsidR="00646A79">
        <w:rPr>
          <w:rFonts w:cs="Arial"/>
          <w:color w:val="000000" w:themeColor="text1"/>
          <w:sz w:val="22"/>
          <w:szCs w:val="22"/>
        </w:rPr>
        <w:t>,</w:t>
      </w:r>
      <w:r w:rsidRPr="00CD4612" w:rsidR="00717FBA">
        <w:rPr>
          <w:rFonts w:cs="Arial"/>
          <w:color w:val="000000" w:themeColor="text1"/>
          <w:sz w:val="22"/>
          <w:szCs w:val="22"/>
        </w:rPr>
        <w:t xml:space="preserve"> 2018</w:t>
      </w:r>
      <w:r w:rsidRPr="00CD4612" w:rsidR="00ED66A3">
        <w:rPr>
          <w:rFonts w:cs="Arial"/>
          <w:color w:val="000000" w:themeColor="text1"/>
          <w:sz w:val="22"/>
          <w:szCs w:val="22"/>
        </w:rPr>
        <w:t>a</w:t>
      </w:r>
      <w:r w:rsidRPr="00CD4612" w:rsidR="00717FBA">
        <w:rPr>
          <w:rFonts w:cs="Arial"/>
          <w:color w:val="000000" w:themeColor="text1"/>
          <w:sz w:val="22"/>
          <w:szCs w:val="22"/>
        </w:rPr>
        <w:t>)</w:t>
      </w:r>
      <w:r w:rsidRPr="00CD4612" w:rsidR="00646A79">
        <w:rPr>
          <w:rFonts w:cs="Arial"/>
          <w:color w:val="000000" w:themeColor="text1"/>
          <w:sz w:val="22"/>
          <w:szCs w:val="22"/>
        </w:rPr>
        <w:t>,</w:t>
      </w:r>
      <w:r w:rsidRPr="00CD4612">
        <w:rPr>
          <w:rFonts w:cs="Arial"/>
          <w:color w:val="000000" w:themeColor="text1"/>
          <w:sz w:val="22"/>
          <w:szCs w:val="22"/>
        </w:rPr>
        <w:t xml:space="preserve"> </w:t>
      </w:r>
      <w:r w:rsidRPr="00CD4612" w:rsidR="00646A79">
        <w:rPr>
          <w:rFonts w:cs="Arial"/>
          <w:color w:val="000000" w:themeColor="text1"/>
          <w:sz w:val="22"/>
          <w:szCs w:val="22"/>
        </w:rPr>
        <w:t>“</w:t>
      </w:r>
      <w:r w:rsidRPr="00CD4612">
        <w:rPr>
          <w:rFonts w:cs="Arial"/>
          <w:color w:val="000000" w:themeColor="text1"/>
          <w:sz w:val="22"/>
          <w:szCs w:val="22"/>
        </w:rPr>
        <w:t>Charter:  Committee to Review Generic Requirements</w:t>
      </w:r>
      <w:r w:rsidRPr="00CD4612" w:rsidR="00646A79">
        <w:rPr>
          <w:rFonts w:cs="Arial"/>
          <w:color w:val="000000" w:themeColor="text1"/>
          <w:sz w:val="22"/>
          <w:szCs w:val="22"/>
        </w:rPr>
        <w:t>,”</w:t>
      </w:r>
      <w:r w:rsidRPr="00CD4612">
        <w:rPr>
          <w:rFonts w:cs="Arial"/>
          <w:color w:val="000000" w:themeColor="text1"/>
          <w:sz w:val="22"/>
          <w:szCs w:val="22"/>
        </w:rPr>
        <w:t xml:space="preserve"> Revision 9</w:t>
      </w:r>
      <w:r w:rsidRPr="00CD4612" w:rsidR="00646A79">
        <w:rPr>
          <w:rFonts w:cs="Arial"/>
          <w:color w:val="000000" w:themeColor="text1"/>
          <w:sz w:val="22"/>
          <w:szCs w:val="22"/>
        </w:rPr>
        <w:t>,</w:t>
      </w:r>
      <w:r w:rsidRPr="00CD4612">
        <w:rPr>
          <w:rFonts w:cs="Arial"/>
          <w:color w:val="000000" w:themeColor="text1"/>
          <w:sz w:val="22"/>
          <w:szCs w:val="22"/>
        </w:rPr>
        <w:t xml:space="preserve"> June 2018</w:t>
      </w:r>
      <w:r w:rsidRPr="00CD4612" w:rsidR="00646A79">
        <w:rPr>
          <w:rFonts w:cs="Arial"/>
          <w:color w:val="000000" w:themeColor="text1"/>
          <w:sz w:val="22"/>
          <w:szCs w:val="22"/>
        </w:rPr>
        <w:t>,</w:t>
      </w:r>
      <w:r w:rsidRPr="00CD4612">
        <w:rPr>
          <w:rFonts w:cs="Arial"/>
          <w:color w:val="000000" w:themeColor="text1"/>
          <w:sz w:val="22"/>
          <w:szCs w:val="22"/>
        </w:rPr>
        <w:t xml:space="preserve"> </w:t>
      </w:r>
      <w:hyperlink w:history="1" r:id="rId32">
        <w:r w:rsidRPr="00CD4612">
          <w:rPr>
            <w:rStyle w:val="Hyperlink"/>
            <w:rFonts w:cs="Arial"/>
            <w:color w:val="000000" w:themeColor="text1"/>
            <w:sz w:val="22"/>
            <w:szCs w:val="22"/>
            <w:u w:val="none"/>
          </w:rPr>
          <w:t>ADAMS</w:t>
        </w:r>
      </w:hyperlink>
      <w:r w:rsidRPr="00CD4612">
        <w:rPr>
          <w:rFonts w:cs="Arial"/>
          <w:color w:val="000000" w:themeColor="text1"/>
          <w:sz w:val="22"/>
          <w:szCs w:val="22"/>
        </w:rPr>
        <w:t xml:space="preserve"> Accession No. ML17355A532.</w:t>
      </w:r>
    </w:p>
    <w:p w:rsidRPr="00944B17" w:rsidR="00236980" w:rsidP="00441B85" w:rsidRDefault="00236980" w14:paraId="61D23809" w14:textId="77777777">
      <w:pPr>
        <w:autoSpaceDE/>
        <w:autoSpaceDN/>
        <w:adjustRightInd/>
        <w:rPr>
          <w:color w:val="000000" w:themeColor="text1"/>
          <w:sz w:val="22"/>
          <w:highlight w:val="yellow"/>
        </w:rPr>
      </w:pPr>
    </w:p>
    <w:p w:rsidRPr="00CD4612" w:rsidR="00A54A18" w:rsidP="00A54A18" w:rsidRDefault="00A54A18" w14:paraId="53CF4892" w14:textId="52E3C7E1">
      <w:pPr>
        <w:autoSpaceDE/>
        <w:autoSpaceDN/>
        <w:adjustRightInd/>
        <w:ind w:left="-4"/>
        <w:rPr>
          <w:rFonts w:cs="Arial"/>
          <w:sz w:val="22"/>
          <w:szCs w:val="22"/>
        </w:rPr>
      </w:pPr>
      <w:r w:rsidRPr="00CD4612">
        <w:rPr>
          <w:rFonts w:cs="Arial"/>
          <w:color w:val="000000" w:themeColor="text1"/>
          <w:sz w:val="22"/>
          <w:szCs w:val="22"/>
        </w:rPr>
        <w:t>U.S. Nuclear Regulatory Commission (NRC, 2018</w:t>
      </w:r>
      <w:r>
        <w:rPr>
          <w:rFonts w:cs="Arial"/>
          <w:color w:val="000000" w:themeColor="text1"/>
          <w:sz w:val="22"/>
          <w:szCs w:val="22"/>
        </w:rPr>
        <w:t>b</w:t>
      </w:r>
      <w:r w:rsidRPr="00CD4612">
        <w:rPr>
          <w:rFonts w:cs="Arial"/>
          <w:color w:val="000000" w:themeColor="text1"/>
          <w:sz w:val="22"/>
          <w:szCs w:val="22"/>
        </w:rPr>
        <w:t>), “</w:t>
      </w:r>
      <w:r w:rsidRPr="00CD4612" w:rsidR="00A531AD">
        <w:rPr>
          <w:rFonts w:cs="Arial"/>
          <w:color w:val="000000" w:themeColor="text1"/>
          <w:sz w:val="22"/>
          <w:szCs w:val="22"/>
        </w:rPr>
        <w:t>Committee to Review Generic Requirements</w:t>
      </w:r>
      <w:r w:rsidR="00A531AD">
        <w:rPr>
          <w:rFonts w:cs="Arial"/>
          <w:color w:val="000000" w:themeColor="text1"/>
          <w:sz w:val="22"/>
          <w:szCs w:val="22"/>
        </w:rPr>
        <w:t xml:space="preserve"> </w:t>
      </w:r>
      <w:r w:rsidR="00EE1E39">
        <w:rPr>
          <w:rFonts w:cs="Arial"/>
          <w:color w:val="000000" w:themeColor="text1"/>
          <w:sz w:val="22"/>
          <w:szCs w:val="22"/>
        </w:rPr>
        <w:t xml:space="preserve">Procedures </w:t>
      </w:r>
      <w:r w:rsidR="00A531AD">
        <w:rPr>
          <w:rFonts w:cs="Arial"/>
          <w:color w:val="000000" w:themeColor="text1"/>
          <w:sz w:val="22"/>
          <w:szCs w:val="22"/>
        </w:rPr>
        <w:t xml:space="preserve">and Internal </w:t>
      </w:r>
      <w:r w:rsidR="007E19BE">
        <w:rPr>
          <w:rFonts w:cs="Arial"/>
          <w:color w:val="000000" w:themeColor="text1"/>
          <w:sz w:val="22"/>
          <w:szCs w:val="22"/>
        </w:rPr>
        <w:t>A</w:t>
      </w:r>
      <w:r w:rsidR="00A531AD">
        <w:rPr>
          <w:rFonts w:cs="Arial"/>
          <w:color w:val="000000" w:themeColor="text1"/>
          <w:sz w:val="22"/>
          <w:szCs w:val="22"/>
        </w:rPr>
        <w:t>dministrative Process</w:t>
      </w:r>
      <w:r w:rsidRPr="00CD4612">
        <w:rPr>
          <w:rFonts w:cs="Arial"/>
          <w:color w:val="000000" w:themeColor="text1"/>
          <w:sz w:val="22"/>
          <w:szCs w:val="22"/>
        </w:rPr>
        <w:t>, Revision 9,</w:t>
      </w:r>
      <w:r w:rsidR="00710265">
        <w:rPr>
          <w:rFonts w:cs="Arial"/>
          <w:color w:val="000000" w:themeColor="text1"/>
          <w:sz w:val="22"/>
          <w:szCs w:val="22"/>
        </w:rPr>
        <w:t>”</w:t>
      </w:r>
      <w:r w:rsidRPr="00CD4612">
        <w:rPr>
          <w:rFonts w:cs="Arial"/>
          <w:color w:val="000000" w:themeColor="text1"/>
          <w:sz w:val="22"/>
          <w:szCs w:val="22"/>
        </w:rPr>
        <w:t xml:space="preserve"> June 2018, </w:t>
      </w:r>
      <w:hyperlink w:history="1" r:id="rId33">
        <w:r w:rsidRPr="00CD4612">
          <w:rPr>
            <w:rStyle w:val="Hyperlink"/>
            <w:rFonts w:cs="Arial"/>
            <w:color w:val="000000" w:themeColor="text1"/>
            <w:sz w:val="22"/>
            <w:szCs w:val="22"/>
            <w:u w:val="none"/>
          </w:rPr>
          <w:t>ADAMS</w:t>
        </w:r>
      </w:hyperlink>
      <w:r w:rsidRPr="00CD4612">
        <w:rPr>
          <w:rFonts w:cs="Arial"/>
          <w:color w:val="000000" w:themeColor="text1"/>
          <w:sz w:val="22"/>
          <w:szCs w:val="22"/>
        </w:rPr>
        <w:t xml:space="preserve"> Accession No. ML17355A53</w:t>
      </w:r>
      <w:r w:rsidR="00710265">
        <w:rPr>
          <w:rFonts w:cs="Arial"/>
          <w:color w:val="000000" w:themeColor="text1"/>
          <w:sz w:val="22"/>
          <w:szCs w:val="22"/>
        </w:rPr>
        <w:t>3</w:t>
      </w:r>
      <w:r w:rsidRPr="00CD4612">
        <w:rPr>
          <w:rFonts w:cs="Arial"/>
          <w:color w:val="000000" w:themeColor="text1"/>
          <w:sz w:val="22"/>
          <w:szCs w:val="22"/>
        </w:rPr>
        <w:t>.</w:t>
      </w:r>
    </w:p>
    <w:p w:rsidR="00A54A18" w:rsidP="00ED66A3" w:rsidRDefault="00A54A18" w14:paraId="58EE6917" w14:textId="77777777">
      <w:pPr>
        <w:pStyle w:val="BodyText"/>
        <w:spacing w:line="240" w:lineRule="auto"/>
        <w:rPr>
          <w:color w:val="000000" w:themeColor="text1"/>
        </w:rPr>
      </w:pPr>
    </w:p>
    <w:p w:rsidR="0014543A" w:rsidP="0014543A" w:rsidRDefault="0014543A" w14:paraId="73D455D9" w14:textId="74E58D33">
      <w:pPr>
        <w:autoSpaceDE/>
        <w:autoSpaceDN/>
        <w:adjustRightInd/>
        <w:ind w:left="-4"/>
        <w:rPr>
          <w:rFonts w:cs="Arial"/>
          <w:sz w:val="22"/>
          <w:szCs w:val="22"/>
        </w:rPr>
      </w:pPr>
      <w:r w:rsidRPr="00FE3789">
        <w:rPr>
          <w:rFonts w:cs="Arial"/>
          <w:color w:val="000000" w:themeColor="text1"/>
          <w:sz w:val="22"/>
          <w:szCs w:val="22"/>
        </w:rPr>
        <w:t xml:space="preserve">U.S. Nuclear Regulatory Commission (NRC, 2019), “Public Meeting </w:t>
      </w:r>
      <w:r>
        <w:rPr>
          <w:rFonts w:cs="Arial"/>
          <w:color w:val="000000" w:themeColor="text1"/>
          <w:sz w:val="22"/>
          <w:szCs w:val="22"/>
        </w:rPr>
        <w:t>to Discuss the Proposed Rule Associated with the</w:t>
      </w:r>
      <w:r w:rsidRPr="00FE3789">
        <w:rPr>
          <w:rFonts w:cs="Arial"/>
          <w:color w:val="000000" w:themeColor="text1"/>
          <w:sz w:val="22"/>
          <w:szCs w:val="22"/>
        </w:rPr>
        <w:t xml:space="preserve"> Fitness for Duty Drug Testing Requirements Rulemaking,” </w:t>
      </w:r>
      <w:r>
        <w:rPr>
          <w:rFonts w:cs="Arial"/>
          <w:color w:val="000000" w:themeColor="text1"/>
          <w:sz w:val="22"/>
          <w:szCs w:val="22"/>
        </w:rPr>
        <w:t xml:space="preserve">summary of public meeting held November 7, 2019, summary dated </w:t>
      </w:r>
      <w:r w:rsidRPr="00FE3789">
        <w:rPr>
          <w:rFonts w:cs="Arial"/>
          <w:color w:val="000000" w:themeColor="text1"/>
          <w:sz w:val="22"/>
          <w:szCs w:val="22"/>
        </w:rPr>
        <w:t>December 5, 2019, ADAMS Accession No. </w:t>
      </w:r>
      <w:r w:rsidRPr="00FE3789">
        <w:rPr>
          <w:rStyle w:val="normaltextrun"/>
          <w:rFonts w:cs="Arial"/>
          <w:color w:val="000000"/>
          <w:sz w:val="22"/>
          <w:szCs w:val="22"/>
          <w:shd w:val="clear" w:color="auto" w:fill="FFFFFF"/>
        </w:rPr>
        <w:t>ML19336A003</w:t>
      </w:r>
      <w:r w:rsidRPr="00FE3789">
        <w:rPr>
          <w:rFonts w:cs="Arial"/>
          <w:sz w:val="22"/>
          <w:szCs w:val="22"/>
        </w:rPr>
        <w:t>.</w:t>
      </w:r>
    </w:p>
    <w:p w:rsidRPr="00FE3789" w:rsidR="0014543A" w:rsidP="0014543A" w:rsidRDefault="0014543A" w14:paraId="2566DCD5" w14:textId="77777777">
      <w:pPr>
        <w:autoSpaceDE/>
        <w:autoSpaceDN/>
        <w:adjustRightInd/>
        <w:ind w:left="-4"/>
        <w:rPr>
          <w:rFonts w:cs="Arial"/>
          <w:color w:val="000000" w:themeColor="text1"/>
          <w:sz w:val="22"/>
          <w:szCs w:val="22"/>
        </w:rPr>
      </w:pPr>
    </w:p>
    <w:p w:rsidRPr="00C422B7" w:rsidR="00ED66A3" w:rsidP="00ED66A3" w:rsidRDefault="00ED66A3" w14:paraId="242D3E3C" w14:textId="4C03BD71">
      <w:pPr>
        <w:pStyle w:val="BodyText"/>
        <w:spacing w:line="240" w:lineRule="auto"/>
      </w:pPr>
      <w:r w:rsidRPr="00C422B7">
        <w:rPr>
          <w:color w:val="000000" w:themeColor="text1"/>
        </w:rPr>
        <w:t>U.S. Nuclear Regulatory Commission (</w:t>
      </w:r>
      <w:r w:rsidRPr="00C422B7">
        <w:t>NRC</w:t>
      </w:r>
      <w:r w:rsidRPr="00C422B7" w:rsidR="00646A79">
        <w:t>,</w:t>
      </w:r>
      <w:r w:rsidRPr="00C422B7">
        <w:t xml:space="preserve"> </w:t>
      </w:r>
      <w:r w:rsidR="005E1A10">
        <w:t>2020a</w:t>
      </w:r>
      <w:r w:rsidRPr="00C422B7">
        <w:t>)</w:t>
      </w:r>
      <w:r w:rsidRPr="00C422B7" w:rsidR="00646A79">
        <w:t>,</w:t>
      </w:r>
      <w:r w:rsidRPr="00C422B7">
        <w:t xml:space="preserve"> </w:t>
      </w:r>
      <w:r w:rsidRPr="00C422B7" w:rsidR="00646A79">
        <w:t>“</w:t>
      </w:r>
      <w:r w:rsidRPr="00C422B7">
        <w:t>Regulatory Analysis Guidelines of the U.S. Nuclear Regulatory Commission</w:t>
      </w:r>
      <w:r w:rsidRPr="00C422B7" w:rsidR="00646A79">
        <w:t>,”</w:t>
      </w:r>
      <w:r w:rsidRPr="00C422B7">
        <w:t xml:space="preserve"> NUREG/BR-0058</w:t>
      </w:r>
      <w:r w:rsidRPr="00C422B7" w:rsidR="00646A79">
        <w:t>,</w:t>
      </w:r>
      <w:r w:rsidRPr="00C422B7">
        <w:t xml:space="preserve"> draft Rev</w:t>
      </w:r>
      <w:r w:rsidRPr="00C422B7" w:rsidR="00C44124">
        <w:t>ision</w:t>
      </w:r>
      <w:r w:rsidRPr="00C422B7">
        <w:t xml:space="preserve"> 5</w:t>
      </w:r>
      <w:r w:rsidRPr="00C422B7" w:rsidR="00646A79">
        <w:t>,</w:t>
      </w:r>
      <w:r w:rsidRPr="00C422B7">
        <w:t xml:space="preserve"> </w:t>
      </w:r>
      <w:r w:rsidR="00D344C4">
        <w:t>February 13, 2020</w:t>
      </w:r>
      <w:r w:rsidRPr="00C422B7" w:rsidR="00646A79">
        <w:t>,</w:t>
      </w:r>
      <w:r w:rsidRPr="00C422B7">
        <w:t xml:space="preserve"> ADAMS Accession No.</w:t>
      </w:r>
      <w:r w:rsidRPr="00C422B7" w:rsidR="004D7CD6">
        <w:t> </w:t>
      </w:r>
      <w:r w:rsidRPr="00C422B7">
        <w:t>ML</w:t>
      </w:r>
      <w:r w:rsidR="00033F55">
        <w:t>19261A277</w:t>
      </w:r>
      <w:r w:rsidRPr="00C422B7">
        <w:t>.</w:t>
      </w:r>
    </w:p>
    <w:p w:rsidRPr="00944B17" w:rsidR="00ED66A3" w:rsidP="00ED66A3" w:rsidRDefault="00ED66A3" w14:paraId="584273DD" w14:textId="77777777">
      <w:pPr>
        <w:pStyle w:val="BodyText"/>
        <w:spacing w:line="240" w:lineRule="auto"/>
        <w:rPr>
          <w:highlight w:val="yellow"/>
        </w:rPr>
      </w:pPr>
    </w:p>
    <w:p w:rsidRPr="007C0F70" w:rsidR="00236980" w:rsidP="00634EB9" w:rsidRDefault="00236980" w14:paraId="65C6C75E" w14:textId="373037A7">
      <w:pPr>
        <w:autoSpaceDE/>
        <w:autoSpaceDN/>
        <w:adjustRightInd/>
        <w:spacing w:before="220"/>
        <w:rPr>
          <w:rFonts w:cs="Arial"/>
          <w:color w:val="000000" w:themeColor="text1"/>
          <w:sz w:val="22"/>
          <w:szCs w:val="22"/>
        </w:rPr>
      </w:pPr>
      <w:r w:rsidRPr="007C0F70">
        <w:rPr>
          <w:rFonts w:cs="Arial"/>
          <w:color w:val="000000" w:themeColor="text1"/>
          <w:sz w:val="22"/>
          <w:szCs w:val="22"/>
        </w:rPr>
        <w:t>U.S. Nuclear Regulatory Commission</w:t>
      </w:r>
      <w:r w:rsidRPr="007C0F70" w:rsidR="00717FBA">
        <w:rPr>
          <w:rFonts w:cs="Arial"/>
          <w:color w:val="000000" w:themeColor="text1"/>
          <w:sz w:val="22"/>
          <w:szCs w:val="22"/>
        </w:rPr>
        <w:t xml:space="preserve"> (NRC</w:t>
      </w:r>
      <w:r w:rsidRPr="007C0F70" w:rsidR="00646A79">
        <w:rPr>
          <w:rFonts w:cs="Arial"/>
          <w:color w:val="000000" w:themeColor="text1"/>
          <w:sz w:val="22"/>
          <w:szCs w:val="22"/>
        </w:rPr>
        <w:t>,</w:t>
      </w:r>
      <w:r w:rsidRPr="007C0F70" w:rsidR="00717FBA">
        <w:rPr>
          <w:rFonts w:cs="Arial"/>
          <w:color w:val="000000" w:themeColor="text1"/>
          <w:sz w:val="22"/>
          <w:szCs w:val="22"/>
        </w:rPr>
        <w:t xml:space="preserve"> 2020</w:t>
      </w:r>
      <w:r w:rsidR="005E1A10">
        <w:rPr>
          <w:rFonts w:cs="Arial"/>
          <w:color w:val="000000" w:themeColor="text1"/>
          <w:sz w:val="22"/>
          <w:szCs w:val="22"/>
        </w:rPr>
        <w:t>b</w:t>
      </w:r>
      <w:r w:rsidRPr="007C0F70" w:rsidR="00717FBA">
        <w:rPr>
          <w:rFonts w:cs="Arial"/>
          <w:color w:val="000000" w:themeColor="text1"/>
          <w:sz w:val="22"/>
          <w:szCs w:val="22"/>
        </w:rPr>
        <w:t>)</w:t>
      </w:r>
      <w:r w:rsidRPr="007C0F70" w:rsidR="00646A79">
        <w:rPr>
          <w:rFonts w:cs="Arial"/>
          <w:color w:val="000000" w:themeColor="text1"/>
          <w:sz w:val="22"/>
          <w:szCs w:val="22"/>
        </w:rPr>
        <w:t>,</w:t>
      </w:r>
      <w:r w:rsidRPr="007C0F70">
        <w:rPr>
          <w:rFonts w:cs="Arial"/>
          <w:color w:val="000000" w:themeColor="text1"/>
          <w:sz w:val="22"/>
          <w:szCs w:val="22"/>
        </w:rPr>
        <w:t xml:space="preserve"> </w:t>
      </w:r>
      <w:r w:rsidRPr="007C0F70" w:rsidR="00646A79">
        <w:rPr>
          <w:rFonts w:cs="Arial"/>
          <w:color w:val="000000" w:themeColor="text1"/>
          <w:sz w:val="22"/>
          <w:szCs w:val="22"/>
        </w:rPr>
        <w:t>“</w:t>
      </w:r>
      <w:r w:rsidRPr="007C0F70">
        <w:rPr>
          <w:rFonts w:cs="Arial"/>
          <w:color w:val="000000" w:themeColor="text1"/>
          <w:sz w:val="22"/>
          <w:szCs w:val="22"/>
        </w:rPr>
        <w:t>20</w:t>
      </w:r>
      <w:r w:rsidRPr="007C0F70" w:rsidR="00B248C3">
        <w:rPr>
          <w:rFonts w:cs="Arial"/>
          <w:color w:val="000000" w:themeColor="text1"/>
          <w:sz w:val="22"/>
          <w:szCs w:val="22"/>
        </w:rPr>
        <w:t>20–2021</w:t>
      </w:r>
      <w:r w:rsidRPr="007C0F70">
        <w:rPr>
          <w:rFonts w:cs="Arial"/>
          <w:color w:val="000000" w:themeColor="text1"/>
          <w:sz w:val="22"/>
          <w:szCs w:val="22"/>
        </w:rPr>
        <w:t xml:space="preserve"> Information Digest</w:t>
      </w:r>
      <w:r w:rsidRPr="007C0F70" w:rsidR="00646A79">
        <w:rPr>
          <w:rFonts w:cs="Arial"/>
          <w:color w:val="000000" w:themeColor="text1"/>
          <w:sz w:val="22"/>
          <w:szCs w:val="22"/>
        </w:rPr>
        <w:t>,”</w:t>
      </w:r>
      <w:r w:rsidRPr="007C0F70">
        <w:rPr>
          <w:rFonts w:cs="Arial"/>
          <w:color w:val="000000" w:themeColor="text1"/>
          <w:sz w:val="22"/>
          <w:szCs w:val="22"/>
        </w:rPr>
        <w:t xml:space="preserve"> NUREG</w:t>
      </w:r>
      <w:r w:rsidR="001F7ED6">
        <w:rPr>
          <w:rFonts w:cs="Arial"/>
          <w:color w:val="000000" w:themeColor="text1"/>
          <w:sz w:val="22"/>
          <w:szCs w:val="22"/>
        </w:rPr>
        <w:noBreakHyphen/>
      </w:r>
      <w:r w:rsidRPr="007C0F70">
        <w:rPr>
          <w:rFonts w:cs="Arial"/>
          <w:color w:val="000000" w:themeColor="text1"/>
          <w:sz w:val="22"/>
          <w:szCs w:val="22"/>
        </w:rPr>
        <w:t>1350</w:t>
      </w:r>
      <w:r w:rsidRPr="007C0F70" w:rsidR="00646A79">
        <w:rPr>
          <w:rFonts w:cs="Arial"/>
          <w:color w:val="000000" w:themeColor="text1"/>
          <w:sz w:val="22"/>
          <w:szCs w:val="22"/>
        </w:rPr>
        <w:t>,</w:t>
      </w:r>
      <w:r w:rsidRPr="007C0F70">
        <w:rPr>
          <w:rFonts w:cs="Arial"/>
          <w:color w:val="000000" w:themeColor="text1"/>
          <w:sz w:val="22"/>
          <w:szCs w:val="22"/>
        </w:rPr>
        <w:t xml:space="preserve"> Vol</w:t>
      </w:r>
      <w:r w:rsidR="001F7ED6">
        <w:rPr>
          <w:rFonts w:cs="Arial"/>
          <w:color w:val="000000" w:themeColor="text1"/>
          <w:sz w:val="22"/>
          <w:szCs w:val="22"/>
        </w:rPr>
        <w:t>ume</w:t>
      </w:r>
      <w:r w:rsidRPr="007C0F70">
        <w:rPr>
          <w:rFonts w:cs="Arial"/>
          <w:color w:val="000000" w:themeColor="text1"/>
          <w:sz w:val="22"/>
          <w:szCs w:val="22"/>
        </w:rPr>
        <w:t> </w:t>
      </w:r>
      <w:r w:rsidRPr="007C0F70" w:rsidR="00B248C3">
        <w:rPr>
          <w:rFonts w:cs="Arial"/>
          <w:color w:val="000000" w:themeColor="text1"/>
          <w:sz w:val="22"/>
          <w:szCs w:val="22"/>
        </w:rPr>
        <w:t>32</w:t>
      </w:r>
      <w:r w:rsidRPr="007C0F70" w:rsidR="00646A79">
        <w:rPr>
          <w:rFonts w:cs="Arial"/>
          <w:color w:val="000000" w:themeColor="text1"/>
          <w:sz w:val="22"/>
          <w:szCs w:val="22"/>
        </w:rPr>
        <w:t>,</w:t>
      </w:r>
      <w:r w:rsidRPr="007C0F70">
        <w:rPr>
          <w:rFonts w:cs="Arial"/>
          <w:color w:val="000000" w:themeColor="text1"/>
          <w:sz w:val="22"/>
          <w:szCs w:val="22"/>
        </w:rPr>
        <w:t xml:space="preserve"> August 20</w:t>
      </w:r>
      <w:r w:rsidRPr="007C0F70" w:rsidR="00B248C3">
        <w:rPr>
          <w:rFonts w:cs="Arial"/>
          <w:color w:val="000000" w:themeColor="text1"/>
          <w:sz w:val="22"/>
          <w:szCs w:val="22"/>
        </w:rPr>
        <w:t>20</w:t>
      </w:r>
      <w:r w:rsidRPr="007C0F70" w:rsidR="00646A79">
        <w:rPr>
          <w:rFonts w:cs="Arial"/>
          <w:color w:val="000000" w:themeColor="text1"/>
          <w:sz w:val="22"/>
          <w:szCs w:val="22"/>
        </w:rPr>
        <w:t>,</w:t>
      </w:r>
      <w:r w:rsidRPr="007C0F70">
        <w:rPr>
          <w:rFonts w:cs="Arial"/>
          <w:color w:val="000000" w:themeColor="text1"/>
          <w:sz w:val="22"/>
          <w:szCs w:val="22"/>
        </w:rPr>
        <w:t xml:space="preserve"> ADAMS Accession No. </w:t>
      </w:r>
      <w:r w:rsidRPr="007C0F70">
        <w:rPr>
          <w:rFonts w:cs="Arial"/>
          <w:color w:val="000000"/>
          <w:sz w:val="22"/>
          <w:szCs w:val="22"/>
        </w:rPr>
        <w:t>ML</w:t>
      </w:r>
      <w:r w:rsidR="002C4E60">
        <w:rPr>
          <w:rFonts w:cs="Arial"/>
          <w:color w:val="000000"/>
          <w:sz w:val="22"/>
          <w:szCs w:val="22"/>
        </w:rPr>
        <w:t>20282A632</w:t>
      </w:r>
      <w:r w:rsidRPr="007C0F70">
        <w:rPr>
          <w:rFonts w:cs="Arial"/>
          <w:color w:val="000000" w:themeColor="text1"/>
          <w:sz w:val="22"/>
          <w:szCs w:val="22"/>
        </w:rPr>
        <w:t>.</w:t>
      </w:r>
    </w:p>
    <w:p w:rsidR="000E63FB" w:rsidP="000E63FB" w:rsidRDefault="000E63FB" w14:paraId="5594E9F0" w14:textId="4CDF90ED">
      <w:pPr>
        <w:autoSpaceDE/>
        <w:autoSpaceDN/>
        <w:adjustRightInd/>
        <w:rPr>
          <w:sz w:val="22"/>
          <w:szCs w:val="22"/>
        </w:rPr>
      </w:pPr>
    </w:p>
    <w:p w:rsidR="00F10268" w:rsidP="001F7BB3" w:rsidRDefault="00BB215A" w14:paraId="195D5968" w14:textId="79EBC184">
      <w:pPr>
        <w:autoSpaceDE/>
        <w:autoSpaceDN/>
        <w:adjustRightInd/>
        <w:ind w:left="-4"/>
        <w:sectPr w:rsidR="00F10268" w:rsidSect="0098556A">
          <w:pgSz w:w="12240" w:h="15840"/>
          <w:pgMar w:top="540" w:right="1440" w:bottom="450" w:left="1440" w:header="720" w:footer="720" w:gutter="0"/>
          <w:cols w:space="720"/>
          <w:docGrid w:linePitch="272"/>
        </w:sectPr>
      </w:pPr>
      <w:r>
        <w:rPr>
          <w:rFonts w:cs="Arial"/>
          <w:color w:val="000000" w:themeColor="text1"/>
          <w:sz w:val="22"/>
          <w:szCs w:val="22"/>
        </w:rPr>
        <w:t xml:space="preserve">U.S. Nuclear Regulatory Commission (NRC, </w:t>
      </w:r>
      <w:r>
        <w:rPr>
          <w:rFonts w:cs="Arial"/>
          <w:color w:val="000000" w:themeColor="text1"/>
          <w:sz w:val="22"/>
          <w:szCs w:val="22"/>
          <w:highlight w:val="yellow"/>
        </w:rPr>
        <w:t>20</w:t>
      </w:r>
      <w:r w:rsidR="003B7329">
        <w:rPr>
          <w:rFonts w:cs="Arial"/>
          <w:color w:val="000000" w:themeColor="text1"/>
          <w:sz w:val="22"/>
          <w:szCs w:val="22"/>
          <w:highlight w:val="yellow"/>
        </w:rPr>
        <w:t>2</w:t>
      </w:r>
      <w:r w:rsidR="005F50F6">
        <w:rPr>
          <w:rFonts w:cs="Arial"/>
          <w:color w:val="000000" w:themeColor="text1"/>
          <w:sz w:val="22"/>
          <w:szCs w:val="22"/>
          <w:highlight w:val="yellow"/>
        </w:rPr>
        <w:t>2</w:t>
      </w:r>
      <w:r>
        <w:rPr>
          <w:rFonts w:cs="Arial"/>
          <w:color w:val="000000" w:themeColor="text1"/>
          <w:sz w:val="22"/>
          <w:szCs w:val="22"/>
        </w:rPr>
        <w:t>), “</w:t>
      </w:r>
      <w:r w:rsidRPr="000D0DC8" w:rsidR="00B65073">
        <w:rPr>
          <w:rFonts w:cs="Arial"/>
          <w:sz w:val="22"/>
          <w:szCs w:val="22"/>
        </w:rPr>
        <w:t xml:space="preserve">Fitness-for-Duty Programs for Commercial Power Reactor and Category I </w:t>
      </w:r>
      <w:r w:rsidR="0088161E">
        <w:rPr>
          <w:rFonts w:cs="Arial"/>
          <w:sz w:val="22"/>
          <w:szCs w:val="22"/>
        </w:rPr>
        <w:t>Special Nuclear Material Licensees</w:t>
      </w:r>
      <w:r w:rsidRPr="0099015D" w:rsidR="00B65073">
        <w:rPr>
          <w:rFonts w:cs="Arial"/>
          <w:sz w:val="22"/>
          <w:szCs w:val="22"/>
        </w:rPr>
        <w:t>,</w:t>
      </w:r>
      <w:r w:rsidRPr="00087459" w:rsidR="00B65073">
        <w:rPr>
          <w:rFonts w:cs="Arial"/>
          <w:sz w:val="22"/>
          <w:szCs w:val="22"/>
        </w:rPr>
        <w:t>”</w:t>
      </w:r>
      <w:r w:rsidRPr="006A2222">
        <w:rPr>
          <w:rFonts w:cs="Arial"/>
          <w:color w:val="000000" w:themeColor="text1"/>
          <w:sz w:val="22"/>
          <w:szCs w:val="22"/>
        </w:rPr>
        <w:t xml:space="preserve"> </w:t>
      </w:r>
      <w:r w:rsidRPr="006D2560" w:rsidR="000D5CCF">
        <w:rPr>
          <w:rFonts w:cs="Arial"/>
          <w:color w:val="000000" w:themeColor="text1"/>
          <w:sz w:val="22"/>
          <w:szCs w:val="22"/>
        </w:rPr>
        <w:t>Regulatory Guide 5.89</w:t>
      </w:r>
      <w:r w:rsidR="000D5CCF">
        <w:rPr>
          <w:rFonts w:cs="Arial"/>
          <w:color w:val="000000" w:themeColor="text1"/>
          <w:sz w:val="22"/>
          <w:szCs w:val="22"/>
        </w:rPr>
        <w:t xml:space="preserve">, </w:t>
      </w:r>
      <w:r w:rsidR="0001456D">
        <w:rPr>
          <w:rFonts w:cs="Arial"/>
          <w:color w:val="000000" w:themeColor="text1"/>
          <w:sz w:val="22"/>
          <w:szCs w:val="22"/>
        </w:rPr>
        <w:t xml:space="preserve">September </w:t>
      </w:r>
      <w:r w:rsidR="00C8166E">
        <w:rPr>
          <w:rFonts w:cs="Arial"/>
          <w:color w:val="000000" w:themeColor="text1"/>
          <w:sz w:val="22"/>
          <w:szCs w:val="22"/>
          <w:highlight w:val="yellow"/>
        </w:rPr>
        <w:t>2022</w:t>
      </w:r>
      <w:r w:rsidR="000D5CCF">
        <w:rPr>
          <w:rFonts w:cs="Arial"/>
          <w:color w:val="000000" w:themeColor="text1"/>
          <w:sz w:val="22"/>
          <w:szCs w:val="22"/>
        </w:rPr>
        <w:t xml:space="preserve">, ADAMS Accession No. </w:t>
      </w:r>
      <w:r w:rsidRPr="001F7BB3" w:rsidR="00431A08">
        <w:rPr>
          <w:rFonts w:cs="Arial"/>
          <w:color w:val="000000" w:themeColor="text1"/>
          <w:sz w:val="22"/>
          <w:szCs w:val="22"/>
        </w:rPr>
        <w:t>ML20143A034</w:t>
      </w:r>
    </w:p>
    <w:p w:rsidR="00D8138E" w:rsidP="00C06E63" w:rsidRDefault="00D8138E" w14:paraId="2D3BA2C1" w14:textId="77777777">
      <w:pPr>
        <w:pStyle w:val="ListParagraph"/>
        <w:ind w:left="0"/>
        <w:rPr>
          <w:rFonts w:cs="Arial"/>
          <w:sz w:val="22"/>
          <w:szCs w:val="22"/>
        </w:rPr>
      </w:pPr>
    </w:p>
    <w:p w:rsidRPr="00C06E63" w:rsidR="00C06E63" w:rsidP="00C06E63" w:rsidRDefault="00C06E63" w14:paraId="63DF93E3" w14:textId="544FA023">
      <w:pPr>
        <w:pStyle w:val="ListParagraph"/>
        <w:ind w:left="0"/>
        <w:rPr>
          <w:rFonts w:cs="Arial"/>
          <w:b/>
          <w:sz w:val="22"/>
          <w:szCs w:val="22"/>
          <w:u w:val="single"/>
        </w:rPr>
      </w:pPr>
      <w:r>
        <w:rPr>
          <w:rFonts w:cs="Arial"/>
          <w:b/>
          <w:sz w:val="22"/>
          <w:szCs w:val="22"/>
        </w:rPr>
        <w:t>SUBJECT</w:t>
      </w:r>
      <w:r w:rsidRPr="00427A8C">
        <w:rPr>
          <w:rFonts w:cs="Arial"/>
          <w:b/>
          <w:sz w:val="22"/>
          <w:szCs w:val="22"/>
        </w:rPr>
        <w:t xml:space="preserve">:  </w:t>
      </w:r>
      <w:r>
        <w:rPr>
          <w:rFonts w:cs="Arial"/>
          <w:b/>
          <w:sz w:val="22"/>
          <w:szCs w:val="22"/>
          <w:u w:val="single"/>
        </w:rPr>
        <w:t xml:space="preserve">Regulatory Analysis </w:t>
      </w:r>
      <w:r w:rsidR="00427A8C">
        <w:rPr>
          <w:rFonts w:cs="Arial"/>
          <w:b/>
          <w:sz w:val="22"/>
          <w:szCs w:val="22"/>
          <w:u w:val="single"/>
        </w:rPr>
        <w:t>for the</w:t>
      </w:r>
      <w:r>
        <w:rPr>
          <w:rFonts w:cs="Arial"/>
          <w:b/>
          <w:sz w:val="22"/>
          <w:szCs w:val="22"/>
          <w:u w:val="single"/>
        </w:rPr>
        <w:t xml:space="preserve"> 10 CFR Part 26 Fitness for Duty Drug Testing </w:t>
      </w:r>
      <w:r w:rsidR="001D4DCC">
        <w:rPr>
          <w:rFonts w:cs="Arial"/>
          <w:b/>
          <w:sz w:val="22"/>
          <w:szCs w:val="22"/>
          <w:u w:val="single"/>
        </w:rPr>
        <w:t>Requirements</w:t>
      </w:r>
      <w:r>
        <w:rPr>
          <w:rFonts w:cs="Arial"/>
          <w:b/>
          <w:sz w:val="22"/>
          <w:szCs w:val="22"/>
          <w:u w:val="single"/>
        </w:rPr>
        <w:t xml:space="preserve"> </w:t>
      </w:r>
      <w:r w:rsidR="00427A8C">
        <w:rPr>
          <w:rFonts w:cs="Arial"/>
          <w:b/>
          <w:sz w:val="22"/>
          <w:szCs w:val="22"/>
          <w:u w:val="single"/>
        </w:rPr>
        <w:t xml:space="preserve">Final Rule </w:t>
      </w:r>
      <w:r>
        <w:rPr>
          <w:rFonts w:cs="Arial"/>
          <w:b/>
          <w:sz w:val="22"/>
          <w:szCs w:val="22"/>
          <w:u w:val="single"/>
        </w:rPr>
        <w:t>[Docket ID NRC-2009-0025]</w:t>
      </w:r>
      <w:r w:rsidR="00646A79">
        <w:rPr>
          <w:rFonts w:cs="Arial"/>
          <w:b/>
          <w:sz w:val="22"/>
          <w:szCs w:val="22"/>
          <w:u w:val="single"/>
        </w:rPr>
        <w:t>,</w:t>
      </w:r>
      <w:r>
        <w:rPr>
          <w:rFonts w:cs="Arial"/>
          <w:b/>
          <w:sz w:val="22"/>
          <w:szCs w:val="22"/>
          <w:u w:val="single"/>
        </w:rPr>
        <w:t xml:space="preserve"> dated</w:t>
      </w:r>
      <w:r w:rsidR="00427A8C">
        <w:rPr>
          <w:rFonts w:cs="Arial"/>
          <w:b/>
          <w:sz w:val="22"/>
          <w:szCs w:val="22"/>
          <w:u w:val="single"/>
        </w:rPr>
        <w:t xml:space="preserve"> </w:t>
      </w:r>
      <w:r w:rsidRPr="00427A8C" w:rsidR="00427A8C">
        <w:rPr>
          <w:rFonts w:cs="Arial"/>
          <w:b/>
          <w:sz w:val="22"/>
          <w:szCs w:val="22"/>
          <w:highlight w:val="yellow"/>
          <w:u w:val="single"/>
        </w:rPr>
        <w:t>Month date</w:t>
      </w:r>
      <w:r w:rsidRPr="00427A8C" w:rsidR="00646A79">
        <w:rPr>
          <w:rFonts w:cs="Arial"/>
          <w:b/>
          <w:sz w:val="22"/>
          <w:szCs w:val="22"/>
          <w:highlight w:val="yellow"/>
          <w:u w:val="single"/>
        </w:rPr>
        <w:t>,</w:t>
      </w:r>
      <w:r w:rsidRPr="00427A8C" w:rsidR="005C6D75">
        <w:rPr>
          <w:rFonts w:cs="Arial"/>
          <w:b/>
          <w:sz w:val="22"/>
          <w:szCs w:val="22"/>
          <w:highlight w:val="yellow"/>
          <w:u w:val="single"/>
        </w:rPr>
        <w:t xml:space="preserve"> 20</w:t>
      </w:r>
      <w:r w:rsidRPr="00427A8C" w:rsidR="00427A8C">
        <w:rPr>
          <w:rFonts w:cs="Arial"/>
          <w:b/>
          <w:sz w:val="22"/>
          <w:szCs w:val="22"/>
          <w:highlight w:val="yellow"/>
          <w:u w:val="single"/>
        </w:rPr>
        <w:t>21</w:t>
      </w:r>
    </w:p>
    <w:p w:rsidR="00C06E63" w:rsidP="003448E1" w:rsidRDefault="00C06E63" w14:paraId="13395A23" w14:textId="77777777">
      <w:pPr>
        <w:pStyle w:val="ListParagraph"/>
        <w:autoSpaceDE/>
        <w:autoSpaceDN/>
        <w:adjustRightInd/>
        <w:ind w:hanging="720"/>
        <w:rPr>
          <w:rFonts w:cs="Arial"/>
          <w:sz w:val="22"/>
          <w:szCs w:val="22"/>
        </w:rPr>
      </w:pPr>
    </w:p>
    <w:p w:rsidR="00C06E63" w:rsidP="003448E1" w:rsidRDefault="00C06E63" w14:paraId="1A43AF0F" w14:textId="77777777">
      <w:pPr>
        <w:pStyle w:val="ListParagraph"/>
        <w:autoSpaceDE/>
        <w:autoSpaceDN/>
        <w:adjustRightInd/>
        <w:ind w:hanging="720"/>
        <w:rPr>
          <w:rFonts w:cs="Arial"/>
          <w:sz w:val="22"/>
          <w:szCs w:val="22"/>
        </w:rPr>
      </w:pPr>
    </w:p>
    <w:p w:rsidR="00C06E63" w:rsidP="003448E1" w:rsidRDefault="00C06E63" w14:paraId="319F8AB9" w14:textId="77777777">
      <w:pPr>
        <w:pStyle w:val="ListParagraph"/>
        <w:autoSpaceDE/>
        <w:autoSpaceDN/>
        <w:adjustRightInd/>
        <w:ind w:hanging="720"/>
        <w:rPr>
          <w:rFonts w:cs="Arial"/>
          <w:sz w:val="22"/>
          <w:szCs w:val="22"/>
        </w:rPr>
      </w:pPr>
    </w:p>
    <w:p w:rsidR="00C06E63" w:rsidP="003448E1" w:rsidRDefault="00C06E63" w14:paraId="50999E7E" w14:textId="77777777">
      <w:pPr>
        <w:pStyle w:val="ListParagraph"/>
        <w:autoSpaceDE/>
        <w:autoSpaceDN/>
        <w:adjustRightInd/>
        <w:ind w:hanging="720"/>
        <w:rPr>
          <w:rFonts w:cs="Arial"/>
          <w:sz w:val="22"/>
          <w:szCs w:val="22"/>
        </w:rPr>
      </w:pPr>
    </w:p>
    <w:p w:rsidR="00C06E63" w:rsidP="003448E1" w:rsidRDefault="00C06E63" w14:paraId="306225F6" w14:textId="77777777">
      <w:pPr>
        <w:pStyle w:val="ListParagraph"/>
        <w:autoSpaceDE/>
        <w:autoSpaceDN/>
        <w:adjustRightInd/>
        <w:ind w:hanging="720"/>
        <w:rPr>
          <w:rFonts w:cs="Arial"/>
          <w:sz w:val="22"/>
          <w:szCs w:val="22"/>
        </w:rPr>
      </w:pPr>
    </w:p>
    <w:p w:rsidR="00C06E63" w:rsidP="003448E1" w:rsidRDefault="00C06E63" w14:paraId="40570E35" w14:textId="77777777">
      <w:pPr>
        <w:pStyle w:val="ListParagraph"/>
        <w:autoSpaceDE/>
        <w:autoSpaceDN/>
        <w:adjustRightInd/>
        <w:ind w:hanging="720"/>
        <w:rPr>
          <w:rFonts w:cs="Arial"/>
          <w:sz w:val="22"/>
          <w:szCs w:val="22"/>
        </w:rPr>
      </w:pPr>
    </w:p>
    <w:p w:rsidR="00C06E63" w:rsidP="003448E1" w:rsidRDefault="00C06E63" w14:paraId="66C8D7CD" w14:textId="77777777">
      <w:pPr>
        <w:pStyle w:val="ListParagraph"/>
        <w:autoSpaceDE/>
        <w:autoSpaceDN/>
        <w:adjustRightInd/>
        <w:ind w:hanging="720"/>
        <w:rPr>
          <w:rFonts w:cs="Arial"/>
          <w:sz w:val="22"/>
          <w:szCs w:val="22"/>
        </w:rPr>
      </w:pPr>
    </w:p>
    <w:p w:rsidR="00C06E63" w:rsidP="003448E1" w:rsidRDefault="00C06E63" w14:paraId="420BB76D" w14:textId="77777777">
      <w:pPr>
        <w:pStyle w:val="ListParagraph"/>
        <w:autoSpaceDE/>
        <w:autoSpaceDN/>
        <w:adjustRightInd/>
        <w:ind w:hanging="720"/>
        <w:rPr>
          <w:rFonts w:cs="Arial"/>
          <w:sz w:val="22"/>
          <w:szCs w:val="22"/>
        </w:rPr>
      </w:pPr>
    </w:p>
    <w:p w:rsidR="00C06E63" w:rsidP="003448E1" w:rsidRDefault="00C06E63" w14:paraId="5688B646" w14:textId="77777777">
      <w:pPr>
        <w:pStyle w:val="ListParagraph"/>
        <w:autoSpaceDE/>
        <w:autoSpaceDN/>
        <w:adjustRightInd/>
        <w:ind w:hanging="720"/>
        <w:rPr>
          <w:rFonts w:cs="Arial"/>
          <w:sz w:val="22"/>
          <w:szCs w:val="22"/>
        </w:rPr>
      </w:pPr>
    </w:p>
    <w:p w:rsidR="00C06E63" w:rsidP="003448E1" w:rsidRDefault="00C06E63" w14:paraId="55C587ED" w14:textId="77777777">
      <w:pPr>
        <w:pStyle w:val="ListParagraph"/>
        <w:autoSpaceDE/>
        <w:autoSpaceDN/>
        <w:adjustRightInd/>
        <w:ind w:hanging="720"/>
        <w:rPr>
          <w:rFonts w:cs="Arial"/>
          <w:sz w:val="22"/>
          <w:szCs w:val="22"/>
        </w:rPr>
      </w:pPr>
    </w:p>
    <w:p w:rsidR="00C06E63" w:rsidP="003448E1" w:rsidRDefault="00C06E63" w14:paraId="15FC698A" w14:textId="77777777">
      <w:pPr>
        <w:pStyle w:val="ListParagraph"/>
        <w:autoSpaceDE/>
        <w:autoSpaceDN/>
        <w:adjustRightInd/>
        <w:ind w:hanging="720"/>
        <w:rPr>
          <w:rFonts w:cs="Arial"/>
          <w:sz w:val="22"/>
          <w:szCs w:val="22"/>
        </w:rPr>
      </w:pPr>
    </w:p>
    <w:p w:rsidR="00C06E63" w:rsidP="003448E1" w:rsidRDefault="00C06E63" w14:paraId="0F698FD4" w14:textId="77777777">
      <w:pPr>
        <w:pStyle w:val="ListParagraph"/>
        <w:autoSpaceDE/>
        <w:autoSpaceDN/>
        <w:adjustRightInd/>
        <w:ind w:hanging="720"/>
        <w:rPr>
          <w:rFonts w:cs="Arial"/>
          <w:sz w:val="22"/>
          <w:szCs w:val="22"/>
        </w:rPr>
      </w:pPr>
    </w:p>
    <w:p w:rsidR="00C06E63" w:rsidP="003448E1" w:rsidRDefault="00C06E63" w14:paraId="5FBF706F" w14:textId="77777777">
      <w:pPr>
        <w:pStyle w:val="ListParagraph"/>
        <w:autoSpaceDE/>
        <w:autoSpaceDN/>
        <w:adjustRightInd/>
        <w:ind w:hanging="720"/>
        <w:rPr>
          <w:rFonts w:cs="Arial"/>
          <w:sz w:val="22"/>
          <w:szCs w:val="22"/>
        </w:rPr>
      </w:pPr>
    </w:p>
    <w:p w:rsidR="00C06E63" w:rsidP="003448E1" w:rsidRDefault="00C06E63" w14:paraId="4E4949E9" w14:textId="77777777">
      <w:pPr>
        <w:pStyle w:val="ListParagraph"/>
        <w:autoSpaceDE/>
        <w:autoSpaceDN/>
        <w:adjustRightInd/>
        <w:ind w:hanging="720"/>
        <w:rPr>
          <w:rFonts w:cs="Arial"/>
          <w:sz w:val="22"/>
          <w:szCs w:val="22"/>
        </w:rPr>
      </w:pPr>
    </w:p>
    <w:p w:rsidR="00C06E63" w:rsidP="003448E1" w:rsidRDefault="00C06E63" w14:paraId="6CA54596" w14:textId="77777777">
      <w:pPr>
        <w:pStyle w:val="ListParagraph"/>
        <w:autoSpaceDE/>
        <w:autoSpaceDN/>
        <w:adjustRightInd/>
        <w:ind w:hanging="720"/>
        <w:rPr>
          <w:rFonts w:cs="Arial"/>
          <w:sz w:val="22"/>
          <w:szCs w:val="22"/>
        </w:rPr>
      </w:pPr>
    </w:p>
    <w:p w:rsidR="00C06E63" w:rsidP="003448E1" w:rsidRDefault="00C06E63" w14:paraId="1B6B7272" w14:textId="77777777">
      <w:pPr>
        <w:pStyle w:val="ListParagraph"/>
        <w:autoSpaceDE/>
        <w:autoSpaceDN/>
        <w:adjustRightInd/>
        <w:ind w:hanging="720"/>
        <w:rPr>
          <w:rFonts w:cs="Arial"/>
          <w:sz w:val="22"/>
          <w:szCs w:val="22"/>
        </w:rPr>
      </w:pPr>
    </w:p>
    <w:p w:rsidR="00C06E63" w:rsidP="003448E1" w:rsidRDefault="00C06E63" w14:paraId="04124913" w14:textId="77777777">
      <w:pPr>
        <w:pStyle w:val="ListParagraph"/>
        <w:autoSpaceDE/>
        <w:autoSpaceDN/>
        <w:adjustRightInd/>
        <w:ind w:hanging="720"/>
        <w:rPr>
          <w:rFonts w:cs="Arial"/>
          <w:sz w:val="22"/>
          <w:szCs w:val="22"/>
        </w:rPr>
      </w:pPr>
    </w:p>
    <w:p w:rsidR="00C06E63" w:rsidP="003448E1" w:rsidRDefault="00C06E63" w14:paraId="4C8A0038" w14:textId="77777777">
      <w:pPr>
        <w:pStyle w:val="ListParagraph"/>
        <w:autoSpaceDE/>
        <w:autoSpaceDN/>
        <w:adjustRightInd/>
        <w:ind w:hanging="720"/>
        <w:rPr>
          <w:rFonts w:cs="Arial"/>
          <w:sz w:val="22"/>
          <w:szCs w:val="22"/>
        </w:rPr>
      </w:pPr>
    </w:p>
    <w:p w:rsidR="00C06E63" w:rsidP="003448E1" w:rsidRDefault="00C06E63" w14:paraId="65374586" w14:textId="77777777">
      <w:pPr>
        <w:pStyle w:val="ListParagraph"/>
        <w:autoSpaceDE/>
        <w:autoSpaceDN/>
        <w:adjustRightInd/>
        <w:ind w:hanging="720"/>
        <w:rPr>
          <w:rFonts w:cs="Arial"/>
          <w:sz w:val="22"/>
          <w:szCs w:val="22"/>
        </w:rPr>
      </w:pPr>
    </w:p>
    <w:p w:rsidR="00C06E63" w:rsidP="003448E1" w:rsidRDefault="00C06E63" w14:paraId="14731613" w14:textId="77777777">
      <w:pPr>
        <w:pStyle w:val="ListParagraph"/>
        <w:autoSpaceDE/>
        <w:autoSpaceDN/>
        <w:adjustRightInd/>
        <w:ind w:hanging="720"/>
        <w:rPr>
          <w:rFonts w:cs="Arial"/>
          <w:sz w:val="22"/>
          <w:szCs w:val="22"/>
        </w:rPr>
      </w:pPr>
    </w:p>
    <w:p w:rsidR="00C06E63" w:rsidP="003448E1" w:rsidRDefault="00C06E63" w14:paraId="1E229C10" w14:textId="77777777">
      <w:pPr>
        <w:pStyle w:val="ListParagraph"/>
        <w:autoSpaceDE/>
        <w:autoSpaceDN/>
        <w:adjustRightInd/>
        <w:ind w:hanging="720"/>
        <w:rPr>
          <w:rFonts w:cs="Arial"/>
          <w:sz w:val="22"/>
          <w:szCs w:val="22"/>
        </w:rPr>
      </w:pPr>
    </w:p>
    <w:p w:rsidR="00C06E63" w:rsidP="003448E1" w:rsidRDefault="00C06E63" w14:paraId="30C9DE64" w14:textId="77777777">
      <w:pPr>
        <w:pStyle w:val="ListParagraph"/>
        <w:autoSpaceDE/>
        <w:autoSpaceDN/>
        <w:adjustRightInd/>
        <w:ind w:hanging="720"/>
        <w:rPr>
          <w:rFonts w:cs="Arial"/>
          <w:sz w:val="22"/>
          <w:szCs w:val="22"/>
        </w:rPr>
      </w:pPr>
    </w:p>
    <w:p w:rsidR="00C06E63" w:rsidP="003448E1" w:rsidRDefault="00C06E63" w14:paraId="4B656E3B" w14:textId="77777777">
      <w:pPr>
        <w:pStyle w:val="ListParagraph"/>
        <w:autoSpaceDE/>
        <w:autoSpaceDN/>
        <w:adjustRightInd/>
        <w:ind w:hanging="720"/>
        <w:rPr>
          <w:rFonts w:cs="Arial"/>
          <w:sz w:val="22"/>
          <w:szCs w:val="22"/>
        </w:rPr>
      </w:pPr>
    </w:p>
    <w:p w:rsidR="00C06E63" w:rsidP="003448E1" w:rsidRDefault="00C06E63" w14:paraId="0D42A75A" w14:textId="77777777">
      <w:pPr>
        <w:pStyle w:val="ListParagraph"/>
        <w:autoSpaceDE/>
        <w:autoSpaceDN/>
        <w:adjustRightInd/>
        <w:ind w:hanging="720"/>
        <w:rPr>
          <w:rFonts w:cs="Arial"/>
          <w:sz w:val="22"/>
          <w:szCs w:val="22"/>
        </w:rPr>
      </w:pPr>
    </w:p>
    <w:p w:rsidR="00C06E63" w:rsidP="003448E1" w:rsidRDefault="00C06E63" w14:paraId="0E28FABB" w14:textId="77777777">
      <w:pPr>
        <w:pStyle w:val="ListParagraph"/>
        <w:autoSpaceDE/>
        <w:autoSpaceDN/>
        <w:adjustRightInd/>
        <w:ind w:hanging="720"/>
        <w:rPr>
          <w:rFonts w:cs="Arial"/>
          <w:sz w:val="22"/>
          <w:szCs w:val="22"/>
        </w:rPr>
      </w:pPr>
    </w:p>
    <w:p w:rsidR="00C06E63" w:rsidP="003448E1" w:rsidRDefault="00C06E63" w14:paraId="5527802B" w14:textId="77777777">
      <w:pPr>
        <w:pStyle w:val="ListParagraph"/>
        <w:autoSpaceDE/>
        <w:autoSpaceDN/>
        <w:adjustRightInd/>
        <w:ind w:hanging="720"/>
        <w:rPr>
          <w:rFonts w:cs="Arial"/>
          <w:sz w:val="22"/>
          <w:szCs w:val="22"/>
        </w:rPr>
      </w:pPr>
    </w:p>
    <w:p w:rsidR="00C06E63" w:rsidP="003448E1" w:rsidRDefault="00C06E63" w14:paraId="676CE037" w14:textId="77777777">
      <w:pPr>
        <w:pStyle w:val="ListParagraph"/>
        <w:autoSpaceDE/>
        <w:autoSpaceDN/>
        <w:adjustRightInd/>
        <w:ind w:hanging="720"/>
        <w:rPr>
          <w:rFonts w:cs="Arial"/>
          <w:sz w:val="22"/>
          <w:szCs w:val="22"/>
        </w:rPr>
      </w:pPr>
    </w:p>
    <w:p w:rsidR="00C06E63" w:rsidP="003448E1" w:rsidRDefault="00C06E63" w14:paraId="56E27BB7" w14:textId="77777777">
      <w:pPr>
        <w:pStyle w:val="ListParagraph"/>
        <w:autoSpaceDE/>
        <w:autoSpaceDN/>
        <w:adjustRightInd/>
        <w:ind w:hanging="720"/>
        <w:rPr>
          <w:rFonts w:cs="Arial"/>
          <w:sz w:val="22"/>
          <w:szCs w:val="22"/>
        </w:rPr>
      </w:pPr>
    </w:p>
    <w:p w:rsidR="00C06E63" w:rsidP="003448E1" w:rsidRDefault="00C06E63" w14:paraId="49B0FE3C" w14:textId="77777777">
      <w:pPr>
        <w:pStyle w:val="ListParagraph"/>
        <w:autoSpaceDE/>
        <w:autoSpaceDN/>
        <w:adjustRightInd/>
        <w:ind w:hanging="720"/>
        <w:rPr>
          <w:rFonts w:cs="Arial"/>
          <w:sz w:val="22"/>
          <w:szCs w:val="22"/>
        </w:rPr>
      </w:pPr>
    </w:p>
    <w:p w:rsidR="00C06E63" w:rsidP="003448E1" w:rsidRDefault="00C06E63" w14:paraId="26162D13" w14:textId="77777777">
      <w:pPr>
        <w:pStyle w:val="ListParagraph"/>
        <w:autoSpaceDE/>
        <w:autoSpaceDN/>
        <w:adjustRightInd/>
        <w:ind w:hanging="720"/>
        <w:rPr>
          <w:rFonts w:cs="Arial"/>
          <w:sz w:val="22"/>
          <w:szCs w:val="22"/>
        </w:rPr>
      </w:pPr>
    </w:p>
    <w:p w:rsidR="00C06E63" w:rsidP="003448E1" w:rsidRDefault="00C06E63" w14:paraId="27ACEFA3" w14:textId="77777777">
      <w:pPr>
        <w:pStyle w:val="ListParagraph"/>
        <w:autoSpaceDE/>
        <w:autoSpaceDN/>
        <w:adjustRightInd/>
        <w:ind w:hanging="720"/>
        <w:rPr>
          <w:rFonts w:cs="Arial"/>
          <w:sz w:val="22"/>
          <w:szCs w:val="22"/>
        </w:rPr>
      </w:pPr>
    </w:p>
    <w:p w:rsidR="00C06E63" w:rsidP="003448E1" w:rsidRDefault="00C06E63" w14:paraId="3071FCFC" w14:textId="77777777">
      <w:pPr>
        <w:pStyle w:val="ListParagraph"/>
        <w:autoSpaceDE/>
        <w:autoSpaceDN/>
        <w:adjustRightInd/>
        <w:ind w:hanging="720"/>
        <w:rPr>
          <w:rFonts w:cs="Arial"/>
          <w:sz w:val="22"/>
          <w:szCs w:val="22"/>
        </w:rPr>
      </w:pPr>
    </w:p>
    <w:p w:rsidRPr="00982BD1" w:rsidR="00D520BD" w:rsidP="00427A8C" w:rsidRDefault="00D520BD" w14:paraId="0EA31F34" w14:textId="78EACA82">
      <w:pPr>
        <w:tabs>
          <w:tab w:val="right" w:pos="9360"/>
        </w:tabs>
        <w:rPr>
          <w:rFonts w:cs="Arial"/>
          <w:b/>
          <w:sz w:val="16"/>
          <w:szCs w:val="16"/>
        </w:rPr>
      </w:pPr>
      <w:r w:rsidRPr="00982BD1">
        <w:rPr>
          <w:rFonts w:cs="Arial"/>
          <w:b/>
          <w:sz w:val="16"/>
          <w:szCs w:val="16"/>
        </w:rPr>
        <w:t xml:space="preserve">ADAMS Accession </w:t>
      </w:r>
      <w:r w:rsidR="006E7DC8">
        <w:rPr>
          <w:rFonts w:cs="Arial"/>
          <w:b/>
          <w:sz w:val="16"/>
          <w:szCs w:val="16"/>
        </w:rPr>
        <w:t xml:space="preserve">Numbers:  </w:t>
      </w:r>
      <w:r w:rsidR="00B30512">
        <w:rPr>
          <w:rFonts w:cs="Arial"/>
          <w:b/>
          <w:sz w:val="16"/>
          <w:szCs w:val="16"/>
        </w:rPr>
        <w:t>Package:</w:t>
      </w:r>
      <w:r w:rsidRPr="00982BD1">
        <w:rPr>
          <w:rFonts w:cs="Arial"/>
          <w:b/>
          <w:sz w:val="16"/>
          <w:szCs w:val="16"/>
        </w:rPr>
        <w:t xml:space="preserve"> </w:t>
      </w:r>
      <w:r w:rsidR="00B30512">
        <w:rPr>
          <w:rFonts w:cs="Arial"/>
          <w:b/>
          <w:sz w:val="16"/>
          <w:szCs w:val="16"/>
        </w:rPr>
        <w:t xml:space="preserve"> </w:t>
      </w:r>
      <w:r w:rsidRPr="00815746">
        <w:rPr>
          <w:rFonts w:cs="Arial"/>
          <w:b/>
          <w:sz w:val="16"/>
          <w:szCs w:val="16"/>
        </w:rPr>
        <w:t>ML</w:t>
      </w:r>
      <w:r w:rsidRPr="00815746" w:rsidR="00DB624D">
        <w:rPr>
          <w:rFonts w:cs="Arial"/>
          <w:b/>
          <w:sz w:val="16"/>
          <w:szCs w:val="16"/>
        </w:rPr>
        <w:t>21111A017</w:t>
      </w:r>
      <w:r w:rsidR="006E7DC8">
        <w:rPr>
          <w:rFonts w:cs="Arial"/>
          <w:b/>
          <w:sz w:val="16"/>
          <w:szCs w:val="16"/>
        </w:rPr>
        <w:t xml:space="preserve">; Regulatory </w:t>
      </w:r>
      <w:r w:rsidR="004C56F0">
        <w:rPr>
          <w:rFonts w:cs="Arial"/>
          <w:b/>
          <w:sz w:val="16"/>
          <w:szCs w:val="16"/>
        </w:rPr>
        <w:t>A</w:t>
      </w:r>
      <w:r w:rsidR="006E7DC8">
        <w:rPr>
          <w:rFonts w:cs="Arial"/>
          <w:b/>
          <w:sz w:val="16"/>
          <w:szCs w:val="16"/>
        </w:rPr>
        <w:t xml:space="preserve">nalysis:  </w:t>
      </w:r>
      <w:r w:rsidRPr="00815746" w:rsidR="006E7DC8">
        <w:rPr>
          <w:rFonts w:cs="Arial"/>
          <w:b/>
          <w:sz w:val="16"/>
          <w:szCs w:val="16"/>
        </w:rPr>
        <w:t>ML</w:t>
      </w:r>
      <w:r w:rsidRPr="00815746" w:rsidR="00423F2C">
        <w:rPr>
          <w:rFonts w:cs="Arial"/>
          <w:b/>
          <w:sz w:val="16"/>
          <w:szCs w:val="16"/>
        </w:rPr>
        <w:t>21111A026</w:t>
      </w:r>
      <w:r w:rsidRPr="00982BD1">
        <w:rPr>
          <w:rFonts w:cs="Arial"/>
          <w:b/>
          <w:sz w:val="16"/>
          <w:szCs w:val="16"/>
        </w:rPr>
        <w:tab/>
        <w:t>*via email</w:t>
      </w:r>
    </w:p>
    <w:tbl>
      <w:tblPr>
        <w:tblStyle w:val="TableGrid"/>
        <w:tblpPr w:leftFromText="180" w:rightFromText="180" w:vertAnchor="text" w:tblpY="1"/>
        <w:tblOverlap w:val="never"/>
        <w:tblW w:w="5000" w:type="pct"/>
        <w:tblLook w:val="04A0" w:firstRow="1" w:lastRow="0" w:firstColumn="1" w:lastColumn="0" w:noHBand="0" w:noVBand="1"/>
      </w:tblPr>
      <w:tblGrid>
        <w:gridCol w:w="900"/>
        <w:gridCol w:w="2130"/>
        <w:gridCol w:w="2227"/>
        <w:gridCol w:w="2002"/>
        <w:gridCol w:w="2071"/>
      </w:tblGrid>
      <w:tr w:rsidRPr="00982BD1" w:rsidR="00BE4FFB" w:rsidTr="00F83B53" w14:paraId="0345750E" w14:textId="77777777">
        <w:tc>
          <w:tcPr>
            <w:tcW w:w="482" w:type="pct"/>
            <w:tcBorders>
              <w:top w:val="single" w:color="auto" w:sz="12" w:space="0"/>
              <w:left w:val="single" w:color="auto" w:sz="12" w:space="0"/>
            </w:tcBorders>
          </w:tcPr>
          <w:p w:rsidRPr="00982BD1" w:rsidR="00BE4FFB" w:rsidP="00BE4FFB" w:rsidRDefault="00BE4FFB" w14:paraId="22F0CAF6" w14:textId="77777777">
            <w:pPr>
              <w:rPr>
                <w:rFonts w:cs="Arial"/>
                <w:b/>
                <w:sz w:val="16"/>
                <w:szCs w:val="16"/>
              </w:rPr>
            </w:pPr>
            <w:r w:rsidRPr="00982BD1">
              <w:rPr>
                <w:rFonts w:cs="Arial"/>
                <w:b/>
                <w:sz w:val="16"/>
                <w:szCs w:val="16"/>
              </w:rPr>
              <w:t>OFFICE</w:t>
            </w:r>
          </w:p>
        </w:tc>
        <w:tc>
          <w:tcPr>
            <w:tcW w:w="1141" w:type="pct"/>
            <w:tcBorders>
              <w:top w:val="single" w:color="auto" w:sz="12" w:space="0"/>
            </w:tcBorders>
          </w:tcPr>
          <w:p w:rsidRPr="00982BD1" w:rsidR="00BE4FFB" w:rsidP="00BE4FFB" w:rsidRDefault="00BE4FFB" w14:paraId="0AA6F445" w14:textId="3245CE07">
            <w:pPr>
              <w:rPr>
                <w:rFonts w:cs="Arial"/>
                <w:sz w:val="16"/>
                <w:szCs w:val="16"/>
              </w:rPr>
            </w:pPr>
            <w:r w:rsidRPr="00982BD1">
              <w:rPr>
                <w:rFonts w:cs="Arial"/>
                <w:sz w:val="16"/>
                <w:szCs w:val="16"/>
              </w:rPr>
              <w:t>N</w:t>
            </w:r>
            <w:r>
              <w:rPr>
                <w:rFonts w:cs="Arial"/>
                <w:sz w:val="16"/>
                <w:szCs w:val="16"/>
              </w:rPr>
              <w:t>MSS/REFS/RASB</w:t>
            </w:r>
            <w:r w:rsidRPr="00982BD1">
              <w:rPr>
                <w:rFonts w:cs="Arial"/>
                <w:sz w:val="16"/>
                <w:szCs w:val="16"/>
              </w:rPr>
              <w:t>/TL</w:t>
            </w:r>
            <w:r w:rsidR="00C13A4D">
              <w:rPr>
                <w:rFonts w:cs="Arial"/>
                <w:sz w:val="16"/>
                <w:szCs w:val="16"/>
              </w:rPr>
              <w:t>*</w:t>
            </w:r>
          </w:p>
        </w:tc>
        <w:tc>
          <w:tcPr>
            <w:tcW w:w="1193" w:type="pct"/>
            <w:tcBorders>
              <w:top w:val="single" w:color="auto" w:sz="12" w:space="0"/>
            </w:tcBorders>
          </w:tcPr>
          <w:p w:rsidRPr="00982BD1" w:rsidR="00BE4FFB" w:rsidP="00BE4FFB" w:rsidRDefault="00881ACE" w14:paraId="41F5B7AF" w14:textId="577791F7">
            <w:pPr>
              <w:rPr>
                <w:rFonts w:cs="Arial"/>
                <w:sz w:val="16"/>
                <w:szCs w:val="16"/>
              </w:rPr>
            </w:pPr>
            <w:r>
              <w:rPr>
                <w:rFonts w:cs="Arial"/>
                <w:sz w:val="16"/>
                <w:szCs w:val="16"/>
              </w:rPr>
              <w:t>QTE</w:t>
            </w:r>
            <w:r w:rsidR="00051BBA">
              <w:rPr>
                <w:rFonts w:cs="Arial"/>
                <w:sz w:val="16"/>
                <w:szCs w:val="16"/>
              </w:rPr>
              <w:t>*</w:t>
            </w:r>
          </w:p>
        </w:tc>
        <w:tc>
          <w:tcPr>
            <w:tcW w:w="1073" w:type="pct"/>
            <w:tcBorders>
              <w:top w:val="single" w:color="auto" w:sz="12" w:space="0"/>
            </w:tcBorders>
          </w:tcPr>
          <w:p w:rsidRPr="00982BD1" w:rsidR="00BE4FFB" w:rsidP="00BE4FFB" w:rsidRDefault="00D64AEC" w14:paraId="0A948C65" w14:textId="0224FC30">
            <w:pPr>
              <w:rPr>
                <w:rFonts w:cs="Arial"/>
                <w:sz w:val="16"/>
                <w:szCs w:val="16"/>
              </w:rPr>
            </w:pPr>
            <w:r w:rsidRPr="004F155C">
              <w:rPr>
                <w:rFonts w:cs="Arial"/>
                <w:sz w:val="16"/>
                <w:szCs w:val="16"/>
              </w:rPr>
              <w:t>NMSS/REFS/RRPB/RS</w:t>
            </w:r>
          </w:p>
        </w:tc>
        <w:tc>
          <w:tcPr>
            <w:tcW w:w="1110" w:type="pct"/>
            <w:tcBorders>
              <w:top w:val="single" w:color="auto" w:sz="12" w:space="0"/>
              <w:right w:val="single" w:color="auto" w:sz="12" w:space="0"/>
            </w:tcBorders>
          </w:tcPr>
          <w:p w:rsidRPr="00982BD1" w:rsidR="00BE4FFB" w:rsidP="00BE4FFB" w:rsidRDefault="00D64AEC" w14:paraId="7FDAADAB" w14:textId="5FEB7B67">
            <w:pPr>
              <w:rPr>
                <w:rFonts w:cs="Arial"/>
                <w:sz w:val="16"/>
                <w:szCs w:val="16"/>
              </w:rPr>
            </w:pPr>
            <w:r w:rsidRPr="004F155C">
              <w:rPr>
                <w:rFonts w:cs="Arial"/>
                <w:sz w:val="16"/>
                <w:szCs w:val="16"/>
              </w:rPr>
              <w:t>NMSS/REFS/RRPB/BC</w:t>
            </w:r>
          </w:p>
        </w:tc>
      </w:tr>
      <w:tr w:rsidRPr="00982BD1" w:rsidR="00BE4FFB" w:rsidTr="00F83B53" w14:paraId="3A003CC2" w14:textId="77777777">
        <w:tc>
          <w:tcPr>
            <w:tcW w:w="482" w:type="pct"/>
            <w:tcBorders>
              <w:left w:val="single" w:color="auto" w:sz="12" w:space="0"/>
            </w:tcBorders>
          </w:tcPr>
          <w:p w:rsidRPr="00982BD1" w:rsidR="00BE4FFB" w:rsidP="00BE4FFB" w:rsidRDefault="00BE4FFB" w14:paraId="1AA85E59" w14:textId="77777777">
            <w:pPr>
              <w:rPr>
                <w:rFonts w:cs="Arial"/>
                <w:b/>
                <w:sz w:val="16"/>
                <w:szCs w:val="16"/>
              </w:rPr>
            </w:pPr>
            <w:r w:rsidRPr="00982BD1">
              <w:rPr>
                <w:rFonts w:cs="Arial"/>
                <w:b/>
                <w:sz w:val="16"/>
                <w:szCs w:val="16"/>
              </w:rPr>
              <w:t>NAME</w:t>
            </w:r>
          </w:p>
        </w:tc>
        <w:tc>
          <w:tcPr>
            <w:tcW w:w="1141" w:type="pct"/>
          </w:tcPr>
          <w:p w:rsidRPr="00982BD1" w:rsidR="00BE4FFB" w:rsidP="00BE4FFB" w:rsidRDefault="00BE4FFB" w14:paraId="48384204" w14:textId="07248F9D">
            <w:pPr>
              <w:rPr>
                <w:rFonts w:cs="Arial"/>
                <w:sz w:val="16"/>
                <w:szCs w:val="16"/>
              </w:rPr>
            </w:pPr>
            <w:r w:rsidRPr="00982BD1">
              <w:rPr>
                <w:rFonts w:cs="Arial"/>
                <w:sz w:val="16"/>
                <w:szCs w:val="16"/>
              </w:rPr>
              <w:t>FSchofer</w:t>
            </w:r>
          </w:p>
        </w:tc>
        <w:tc>
          <w:tcPr>
            <w:tcW w:w="1193" w:type="pct"/>
          </w:tcPr>
          <w:p w:rsidRPr="00982BD1" w:rsidR="00BE4FFB" w:rsidP="00BE4FFB" w:rsidRDefault="00881ACE" w14:paraId="31498173" w14:textId="08A907E0">
            <w:pPr>
              <w:rPr>
                <w:rFonts w:cs="Arial"/>
                <w:sz w:val="16"/>
                <w:szCs w:val="16"/>
              </w:rPr>
            </w:pPr>
            <w:r>
              <w:rPr>
                <w:rFonts w:cs="Arial"/>
                <w:sz w:val="16"/>
                <w:szCs w:val="16"/>
              </w:rPr>
              <w:t>JDough</w:t>
            </w:r>
            <w:r w:rsidR="00C13A4D">
              <w:rPr>
                <w:rFonts w:cs="Arial"/>
                <w:sz w:val="16"/>
                <w:szCs w:val="16"/>
              </w:rPr>
              <w:t>erty</w:t>
            </w:r>
          </w:p>
        </w:tc>
        <w:tc>
          <w:tcPr>
            <w:tcW w:w="1073" w:type="pct"/>
          </w:tcPr>
          <w:p w:rsidRPr="00982BD1" w:rsidR="00BE4FFB" w:rsidP="00BE4FFB" w:rsidRDefault="00D64AEC" w14:paraId="6BF7E520" w14:textId="67EA0093">
            <w:pPr>
              <w:rPr>
                <w:rFonts w:cs="Arial"/>
                <w:sz w:val="16"/>
                <w:szCs w:val="16"/>
              </w:rPr>
            </w:pPr>
            <w:r w:rsidRPr="004F155C">
              <w:rPr>
                <w:rFonts w:cs="Arial"/>
                <w:sz w:val="16"/>
                <w:szCs w:val="16"/>
              </w:rPr>
              <w:t>GLappert</w:t>
            </w:r>
          </w:p>
        </w:tc>
        <w:tc>
          <w:tcPr>
            <w:tcW w:w="1110" w:type="pct"/>
            <w:tcBorders>
              <w:right w:val="single" w:color="auto" w:sz="12" w:space="0"/>
            </w:tcBorders>
          </w:tcPr>
          <w:p w:rsidRPr="00982BD1" w:rsidR="00BE4FFB" w:rsidP="00BE4FFB" w:rsidRDefault="00D64AEC" w14:paraId="201E005A" w14:textId="1724F64D">
            <w:pPr>
              <w:rPr>
                <w:rFonts w:cs="Arial"/>
                <w:sz w:val="16"/>
                <w:szCs w:val="16"/>
              </w:rPr>
            </w:pPr>
            <w:r w:rsidRPr="004F155C">
              <w:rPr>
                <w:rFonts w:cs="Arial"/>
                <w:sz w:val="16"/>
                <w:szCs w:val="16"/>
              </w:rPr>
              <w:t>IBerrios</w:t>
            </w:r>
          </w:p>
        </w:tc>
      </w:tr>
      <w:tr w:rsidRPr="00982BD1" w:rsidR="00BE4FFB" w:rsidTr="00F83B53" w14:paraId="5975967D" w14:textId="77777777">
        <w:tc>
          <w:tcPr>
            <w:tcW w:w="482" w:type="pct"/>
            <w:tcBorders>
              <w:left w:val="single" w:color="auto" w:sz="12" w:space="0"/>
              <w:bottom w:val="single" w:color="auto" w:sz="12" w:space="0"/>
            </w:tcBorders>
          </w:tcPr>
          <w:p w:rsidRPr="00982BD1" w:rsidR="00BE4FFB" w:rsidP="00BE4FFB" w:rsidRDefault="00BE4FFB" w14:paraId="3627C3EE" w14:textId="77777777">
            <w:pPr>
              <w:rPr>
                <w:rFonts w:cs="Arial"/>
                <w:b/>
                <w:sz w:val="16"/>
                <w:szCs w:val="16"/>
              </w:rPr>
            </w:pPr>
            <w:r w:rsidRPr="00982BD1">
              <w:rPr>
                <w:rFonts w:cs="Arial"/>
                <w:b/>
                <w:sz w:val="16"/>
                <w:szCs w:val="16"/>
              </w:rPr>
              <w:t>DATE</w:t>
            </w:r>
          </w:p>
        </w:tc>
        <w:tc>
          <w:tcPr>
            <w:tcW w:w="1141" w:type="pct"/>
            <w:tcBorders>
              <w:bottom w:val="single" w:color="auto" w:sz="12" w:space="0"/>
            </w:tcBorders>
          </w:tcPr>
          <w:p w:rsidRPr="00982BD1" w:rsidR="00BE4FFB" w:rsidP="00BE4FFB" w:rsidRDefault="00C35426" w14:paraId="2E94590E" w14:textId="61404A83">
            <w:pPr>
              <w:rPr>
                <w:rFonts w:cs="Arial"/>
                <w:sz w:val="16"/>
                <w:szCs w:val="16"/>
              </w:rPr>
            </w:pPr>
            <w:r>
              <w:rPr>
                <w:rFonts w:cs="Arial"/>
                <w:sz w:val="16"/>
                <w:szCs w:val="16"/>
              </w:rPr>
              <w:t>5/24/2021</w:t>
            </w:r>
          </w:p>
        </w:tc>
        <w:tc>
          <w:tcPr>
            <w:tcW w:w="1193" w:type="pct"/>
            <w:tcBorders>
              <w:bottom w:val="single" w:color="auto" w:sz="12" w:space="0"/>
            </w:tcBorders>
          </w:tcPr>
          <w:p w:rsidRPr="00982BD1" w:rsidR="00BE4FFB" w:rsidP="00BE4FFB" w:rsidRDefault="00C13A4D" w14:paraId="0C292E87" w14:textId="77EBF5E8">
            <w:pPr>
              <w:rPr>
                <w:rFonts w:cs="Arial"/>
                <w:sz w:val="16"/>
                <w:szCs w:val="16"/>
              </w:rPr>
            </w:pPr>
            <w:r>
              <w:rPr>
                <w:rFonts w:cs="Arial"/>
                <w:sz w:val="16"/>
                <w:szCs w:val="16"/>
              </w:rPr>
              <w:t>6/4/2021</w:t>
            </w:r>
          </w:p>
        </w:tc>
        <w:tc>
          <w:tcPr>
            <w:tcW w:w="1073" w:type="pct"/>
            <w:tcBorders>
              <w:bottom w:val="single" w:color="auto" w:sz="12" w:space="0"/>
            </w:tcBorders>
          </w:tcPr>
          <w:p w:rsidRPr="00982BD1" w:rsidR="00BE4FFB" w:rsidP="00BE4FFB" w:rsidRDefault="0071533F" w14:paraId="22EAAC9D" w14:textId="37B91335">
            <w:pPr>
              <w:rPr>
                <w:rFonts w:cs="Arial"/>
                <w:sz w:val="16"/>
                <w:szCs w:val="16"/>
              </w:rPr>
            </w:pPr>
            <w:r>
              <w:rPr>
                <w:rFonts w:cs="Arial"/>
                <w:sz w:val="16"/>
                <w:szCs w:val="16"/>
              </w:rPr>
              <w:t>6/17/2021</w:t>
            </w:r>
          </w:p>
        </w:tc>
        <w:tc>
          <w:tcPr>
            <w:tcW w:w="1110" w:type="pct"/>
            <w:tcBorders>
              <w:bottom w:val="single" w:color="auto" w:sz="12" w:space="0"/>
              <w:right w:val="single" w:color="auto" w:sz="12" w:space="0"/>
            </w:tcBorders>
          </w:tcPr>
          <w:p w:rsidRPr="00982BD1" w:rsidR="00BE4FFB" w:rsidP="00BE4FFB" w:rsidRDefault="00920005" w14:paraId="1FECC606" w14:textId="3C0CDAE4">
            <w:pPr>
              <w:rPr>
                <w:rFonts w:cs="Arial"/>
                <w:sz w:val="16"/>
                <w:szCs w:val="16"/>
              </w:rPr>
            </w:pPr>
            <w:r>
              <w:rPr>
                <w:rFonts w:cs="Arial"/>
                <w:sz w:val="16"/>
                <w:szCs w:val="16"/>
              </w:rPr>
              <w:t>6/23/2021</w:t>
            </w:r>
          </w:p>
        </w:tc>
      </w:tr>
      <w:tr w:rsidRPr="00982BD1" w:rsidR="00BE4FFB" w:rsidTr="00F83B53" w14:paraId="72DA663B" w14:textId="77777777">
        <w:tc>
          <w:tcPr>
            <w:tcW w:w="482" w:type="pct"/>
            <w:tcBorders>
              <w:top w:val="single" w:color="auto" w:sz="12" w:space="0"/>
              <w:left w:val="single" w:color="auto" w:sz="12" w:space="0"/>
            </w:tcBorders>
          </w:tcPr>
          <w:p w:rsidRPr="00982BD1" w:rsidR="00BE4FFB" w:rsidP="00BE4FFB" w:rsidRDefault="00BE4FFB" w14:paraId="0F1B301A" w14:textId="77777777">
            <w:pPr>
              <w:rPr>
                <w:rFonts w:cs="Arial"/>
                <w:b/>
                <w:sz w:val="16"/>
                <w:szCs w:val="16"/>
              </w:rPr>
            </w:pPr>
            <w:r w:rsidRPr="00982BD1">
              <w:rPr>
                <w:rFonts w:cs="Arial"/>
                <w:b/>
                <w:sz w:val="16"/>
                <w:szCs w:val="16"/>
              </w:rPr>
              <w:t>OFFICE</w:t>
            </w:r>
          </w:p>
        </w:tc>
        <w:tc>
          <w:tcPr>
            <w:tcW w:w="1141" w:type="pct"/>
            <w:tcBorders>
              <w:top w:val="single" w:color="auto" w:sz="12" w:space="0"/>
            </w:tcBorders>
          </w:tcPr>
          <w:p w:rsidRPr="00982BD1" w:rsidR="00BE4FFB" w:rsidP="00BE4FFB" w:rsidRDefault="00BE4FFB" w14:paraId="2110FE22" w14:textId="435846A4">
            <w:pPr>
              <w:rPr>
                <w:rFonts w:cs="Arial"/>
                <w:sz w:val="16"/>
                <w:szCs w:val="16"/>
              </w:rPr>
            </w:pPr>
            <w:r w:rsidRPr="00982BD1">
              <w:rPr>
                <w:rFonts w:cs="Arial"/>
                <w:sz w:val="16"/>
                <w:szCs w:val="16"/>
              </w:rPr>
              <w:t>N</w:t>
            </w:r>
            <w:r>
              <w:rPr>
                <w:rFonts w:cs="Arial"/>
                <w:sz w:val="16"/>
                <w:szCs w:val="16"/>
              </w:rPr>
              <w:t>MSS/REFS/RASB</w:t>
            </w:r>
            <w:r w:rsidRPr="00982BD1">
              <w:rPr>
                <w:rFonts w:cs="Arial"/>
                <w:sz w:val="16"/>
                <w:szCs w:val="16"/>
              </w:rPr>
              <w:t>/</w:t>
            </w:r>
            <w:r>
              <w:rPr>
                <w:rFonts w:cs="Arial"/>
                <w:sz w:val="16"/>
                <w:szCs w:val="16"/>
              </w:rPr>
              <w:t>BC</w:t>
            </w:r>
          </w:p>
        </w:tc>
        <w:tc>
          <w:tcPr>
            <w:tcW w:w="1193" w:type="pct"/>
            <w:tcBorders>
              <w:top w:val="single" w:color="auto" w:sz="12" w:space="0"/>
            </w:tcBorders>
          </w:tcPr>
          <w:p w:rsidRPr="00982BD1" w:rsidR="00BE4FFB" w:rsidP="00BE4FFB" w:rsidRDefault="00E82DE9" w14:paraId="23F22A08" w14:textId="6FF3BD3C">
            <w:pPr>
              <w:rPr>
                <w:rFonts w:cs="Arial"/>
                <w:sz w:val="16"/>
                <w:szCs w:val="16"/>
              </w:rPr>
            </w:pPr>
            <w:r w:rsidRPr="00E82DE9">
              <w:rPr>
                <w:rFonts w:cs="Arial"/>
                <w:sz w:val="16"/>
                <w:szCs w:val="16"/>
              </w:rPr>
              <w:t>NSIR/DPCP/RSB/BC</w:t>
            </w:r>
          </w:p>
        </w:tc>
        <w:tc>
          <w:tcPr>
            <w:tcW w:w="1073" w:type="pct"/>
            <w:tcBorders>
              <w:top w:val="single" w:color="auto" w:sz="12" w:space="0"/>
            </w:tcBorders>
          </w:tcPr>
          <w:p w:rsidRPr="00982BD1" w:rsidR="00BE4FFB" w:rsidP="00BE4FFB" w:rsidRDefault="00BE4FFB" w14:paraId="1C4339EB" w14:textId="75CDB612">
            <w:pPr>
              <w:rPr>
                <w:rFonts w:cs="Arial"/>
                <w:sz w:val="16"/>
                <w:szCs w:val="16"/>
              </w:rPr>
            </w:pPr>
            <w:r w:rsidRPr="00982BD1">
              <w:rPr>
                <w:rFonts w:cs="Arial"/>
                <w:sz w:val="16"/>
                <w:szCs w:val="16"/>
              </w:rPr>
              <w:t>N</w:t>
            </w:r>
            <w:r>
              <w:rPr>
                <w:rFonts w:cs="Arial"/>
                <w:sz w:val="16"/>
                <w:szCs w:val="16"/>
              </w:rPr>
              <w:t>MSS/REFS/D</w:t>
            </w:r>
          </w:p>
        </w:tc>
        <w:tc>
          <w:tcPr>
            <w:tcW w:w="1110" w:type="pct"/>
            <w:tcBorders>
              <w:top w:val="single" w:color="auto" w:sz="12" w:space="0"/>
              <w:right w:val="single" w:color="auto" w:sz="12" w:space="0"/>
            </w:tcBorders>
          </w:tcPr>
          <w:p w:rsidRPr="00982BD1" w:rsidR="00BE4FFB" w:rsidP="00BE4FFB" w:rsidRDefault="00986CC6" w14:paraId="5A11AB03" w14:textId="0F5CC4EB">
            <w:pPr>
              <w:rPr>
                <w:rFonts w:cs="Arial"/>
                <w:sz w:val="16"/>
                <w:szCs w:val="16"/>
              </w:rPr>
            </w:pPr>
            <w:r w:rsidRPr="00986CC6">
              <w:rPr>
                <w:rFonts w:cs="Arial"/>
                <w:sz w:val="16"/>
                <w:szCs w:val="16"/>
              </w:rPr>
              <w:t>NMSS/DFM/D</w:t>
            </w:r>
          </w:p>
        </w:tc>
      </w:tr>
      <w:tr w:rsidRPr="00982BD1" w:rsidR="00BE4FFB" w:rsidTr="00583526" w14:paraId="1897957D" w14:textId="77777777">
        <w:tc>
          <w:tcPr>
            <w:tcW w:w="482" w:type="pct"/>
            <w:tcBorders>
              <w:left w:val="single" w:color="auto" w:sz="12" w:space="0"/>
            </w:tcBorders>
          </w:tcPr>
          <w:p w:rsidRPr="00982BD1" w:rsidR="00BE4FFB" w:rsidP="00BE4FFB" w:rsidRDefault="00BE4FFB" w14:paraId="3F90E4F6" w14:textId="77777777">
            <w:pPr>
              <w:rPr>
                <w:rFonts w:cs="Arial"/>
                <w:b/>
                <w:sz w:val="16"/>
                <w:szCs w:val="16"/>
              </w:rPr>
            </w:pPr>
            <w:r w:rsidRPr="00982BD1">
              <w:rPr>
                <w:rFonts w:cs="Arial"/>
                <w:b/>
                <w:sz w:val="16"/>
                <w:szCs w:val="16"/>
              </w:rPr>
              <w:t>NAME</w:t>
            </w:r>
          </w:p>
        </w:tc>
        <w:tc>
          <w:tcPr>
            <w:tcW w:w="1141" w:type="pct"/>
          </w:tcPr>
          <w:p w:rsidRPr="00982BD1" w:rsidR="00BE4FFB" w:rsidP="00BE4FFB" w:rsidRDefault="00BE4FFB" w14:paraId="34AC9134" w14:textId="4345E87A">
            <w:pPr>
              <w:rPr>
                <w:rFonts w:cs="Arial"/>
                <w:sz w:val="16"/>
                <w:szCs w:val="16"/>
              </w:rPr>
            </w:pPr>
            <w:r>
              <w:rPr>
                <w:rFonts w:cs="Arial"/>
                <w:sz w:val="16"/>
                <w:szCs w:val="16"/>
              </w:rPr>
              <w:t>CBladey</w:t>
            </w:r>
          </w:p>
        </w:tc>
        <w:tc>
          <w:tcPr>
            <w:tcW w:w="1193" w:type="pct"/>
          </w:tcPr>
          <w:p w:rsidRPr="006B6FDA" w:rsidR="006B6FDA" w:rsidP="006B6FDA" w:rsidRDefault="006B6FDA" w14:paraId="65317416" w14:textId="77777777">
            <w:pPr>
              <w:rPr>
                <w:rFonts w:cs="Arial"/>
                <w:sz w:val="16"/>
                <w:szCs w:val="16"/>
              </w:rPr>
            </w:pPr>
            <w:r w:rsidRPr="006B6FDA">
              <w:rPr>
                <w:rFonts w:cs="Arial"/>
                <w:sz w:val="16"/>
                <w:szCs w:val="16"/>
              </w:rPr>
              <w:t>ABowers</w:t>
            </w:r>
          </w:p>
          <w:p w:rsidRPr="00982BD1" w:rsidR="00BE4FFB" w:rsidP="006B6FDA" w:rsidRDefault="006B6FDA" w14:paraId="5B4B3794" w14:textId="5728E5CB">
            <w:pPr>
              <w:rPr>
                <w:rFonts w:cs="Arial"/>
                <w:sz w:val="16"/>
                <w:szCs w:val="16"/>
              </w:rPr>
            </w:pPr>
            <w:r w:rsidRPr="006B6FDA">
              <w:rPr>
                <w:rFonts w:cs="Arial"/>
                <w:sz w:val="16"/>
                <w:szCs w:val="16"/>
              </w:rPr>
              <w:t>(LCubellis for)</w:t>
            </w:r>
          </w:p>
        </w:tc>
        <w:tc>
          <w:tcPr>
            <w:tcW w:w="1073" w:type="pct"/>
            <w:shd w:val="clear" w:color="auto" w:fill="auto"/>
          </w:tcPr>
          <w:p w:rsidRPr="00982BD1" w:rsidR="00BE4FFB" w:rsidP="00BE4FFB" w:rsidRDefault="00BE4FFB" w14:paraId="6FA011BD" w14:textId="66D27B50">
            <w:pPr>
              <w:rPr>
                <w:rFonts w:cs="Arial"/>
                <w:sz w:val="16"/>
                <w:szCs w:val="16"/>
              </w:rPr>
            </w:pPr>
            <w:r>
              <w:rPr>
                <w:rFonts w:cs="Arial"/>
                <w:sz w:val="16"/>
                <w:szCs w:val="16"/>
              </w:rPr>
              <w:t>JTappert</w:t>
            </w:r>
          </w:p>
        </w:tc>
        <w:tc>
          <w:tcPr>
            <w:tcW w:w="1110" w:type="pct"/>
            <w:tcBorders>
              <w:right w:val="single" w:color="auto" w:sz="12" w:space="0"/>
            </w:tcBorders>
            <w:shd w:val="clear" w:color="auto" w:fill="auto"/>
          </w:tcPr>
          <w:p w:rsidR="00BE4FFB" w:rsidP="00BE4FFB" w:rsidRDefault="00986CC6" w14:paraId="013F530D" w14:textId="116096AF">
            <w:pPr>
              <w:rPr>
                <w:rFonts w:cs="Arial"/>
                <w:sz w:val="16"/>
                <w:szCs w:val="16"/>
              </w:rPr>
            </w:pPr>
            <w:r w:rsidRPr="00986CC6">
              <w:rPr>
                <w:rFonts w:cs="Arial"/>
                <w:sz w:val="16"/>
                <w:szCs w:val="16"/>
              </w:rPr>
              <w:t>SHelton</w:t>
            </w:r>
          </w:p>
          <w:p w:rsidRPr="00982BD1" w:rsidR="00BE4FFB" w:rsidP="00BE4FFB" w:rsidRDefault="00410FC3" w14:paraId="6AD56BDB" w14:textId="20A8C933">
            <w:pPr>
              <w:rPr>
                <w:rFonts w:cs="Arial"/>
                <w:sz w:val="16"/>
                <w:szCs w:val="16"/>
              </w:rPr>
            </w:pPr>
            <w:r>
              <w:rPr>
                <w:rFonts w:cs="Arial"/>
                <w:sz w:val="16"/>
                <w:szCs w:val="16"/>
              </w:rPr>
              <w:t>(CRegan for)</w:t>
            </w:r>
          </w:p>
        </w:tc>
      </w:tr>
      <w:tr w:rsidRPr="00982BD1" w:rsidR="00BE4FFB" w:rsidTr="00583526" w14:paraId="5275C5F9" w14:textId="77777777">
        <w:tc>
          <w:tcPr>
            <w:tcW w:w="482" w:type="pct"/>
            <w:tcBorders>
              <w:left w:val="single" w:color="auto" w:sz="12" w:space="0"/>
              <w:bottom w:val="single" w:color="auto" w:sz="12" w:space="0"/>
            </w:tcBorders>
          </w:tcPr>
          <w:p w:rsidRPr="00982BD1" w:rsidR="00BE4FFB" w:rsidP="00BE4FFB" w:rsidRDefault="00BE4FFB" w14:paraId="0A4EA9AA" w14:textId="77777777">
            <w:pPr>
              <w:rPr>
                <w:rFonts w:cs="Arial"/>
                <w:b/>
                <w:sz w:val="16"/>
                <w:szCs w:val="16"/>
              </w:rPr>
            </w:pPr>
            <w:r w:rsidRPr="00982BD1">
              <w:rPr>
                <w:rFonts w:cs="Arial"/>
                <w:b/>
                <w:sz w:val="16"/>
                <w:szCs w:val="16"/>
              </w:rPr>
              <w:t>DATE</w:t>
            </w:r>
          </w:p>
        </w:tc>
        <w:tc>
          <w:tcPr>
            <w:tcW w:w="1141" w:type="pct"/>
            <w:tcBorders>
              <w:bottom w:val="single" w:color="auto" w:sz="12" w:space="0"/>
            </w:tcBorders>
          </w:tcPr>
          <w:p w:rsidRPr="00982BD1" w:rsidR="00BE4FFB" w:rsidP="00BE4FFB" w:rsidRDefault="0071533F" w14:paraId="06CF9CA7" w14:textId="11A2EAC0">
            <w:pPr>
              <w:rPr>
                <w:rFonts w:cs="Arial"/>
                <w:sz w:val="16"/>
                <w:szCs w:val="16"/>
              </w:rPr>
            </w:pPr>
            <w:r>
              <w:rPr>
                <w:rFonts w:cs="Arial"/>
                <w:sz w:val="16"/>
                <w:szCs w:val="16"/>
              </w:rPr>
              <w:t>6/2</w:t>
            </w:r>
            <w:r w:rsidR="001746AB">
              <w:rPr>
                <w:rFonts w:cs="Arial"/>
                <w:sz w:val="16"/>
                <w:szCs w:val="16"/>
              </w:rPr>
              <w:t>9</w:t>
            </w:r>
            <w:r>
              <w:rPr>
                <w:rFonts w:cs="Arial"/>
                <w:sz w:val="16"/>
                <w:szCs w:val="16"/>
              </w:rPr>
              <w:t>/2021</w:t>
            </w:r>
          </w:p>
        </w:tc>
        <w:tc>
          <w:tcPr>
            <w:tcW w:w="1193" w:type="pct"/>
            <w:tcBorders>
              <w:bottom w:val="single" w:color="auto" w:sz="12" w:space="0"/>
            </w:tcBorders>
          </w:tcPr>
          <w:p w:rsidRPr="00982BD1" w:rsidR="00BE4FFB" w:rsidP="00BE4FFB" w:rsidRDefault="006B6FDA" w14:paraId="65B9677E" w14:textId="234EF7DB">
            <w:pPr>
              <w:rPr>
                <w:rFonts w:cs="Arial"/>
                <w:sz w:val="16"/>
                <w:szCs w:val="16"/>
              </w:rPr>
            </w:pPr>
            <w:r>
              <w:rPr>
                <w:rFonts w:cs="Arial"/>
                <w:sz w:val="16"/>
                <w:szCs w:val="16"/>
              </w:rPr>
              <w:t>6/28/2021</w:t>
            </w:r>
          </w:p>
        </w:tc>
        <w:tc>
          <w:tcPr>
            <w:tcW w:w="1073" w:type="pct"/>
            <w:tcBorders>
              <w:bottom w:val="single" w:color="auto" w:sz="12" w:space="0"/>
            </w:tcBorders>
            <w:shd w:val="clear" w:color="auto" w:fill="auto"/>
          </w:tcPr>
          <w:p w:rsidRPr="00982BD1" w:rsidR="00BE4FFB" w:rsidP="00BE4FFB" w:rsidRDefault="00583526" w14:paraId="14C428CA" w14:textId="03806997">
            <w:pPr>
              <w:rPr>
                <w:rFonts w:cs="Arial"/>
                <w:sz w:val="16"/>
                <w:szCs w:val="16"/>
              </w:rPr>
            </w:pPr>
            <w:r>
              <w:rPr>
                <w:rFonts w:cs="Arial"/>
                <w:sz w:val="16"/>
                <w:szCs w:val="16"/>
              </w:rPr>
              <w:t>7/7/2021</w:t>
            </w:r>
          </w:p>
        </w:tc>
        <w:tc>
          <w:tcPr>
            <w:tcW w:w="1110" w:type="pct"/>
            <w:tcBorders>
              <w:bottom w:val="single" w:color="auto" w:sz="12" w:space="0"/>
              <w:right w:val="single" w:color="auto" w:sz="12" w:space="0"/>
            </w:tcBorders>
            <w:shd w:val="clear" w:color="auto" w:fill="auto"/>
          </w:tcPr>
          <w:p w:rsidRPr="00982BD1" w:rsidR="00BE4FFB" w:rsidP="00BE4FFB" w:rsidRDefault="00583526" w14:paraId="445D82F5" w14:textId="010082F1">
            <w:pPr>
              <w:rPr>
                <w:rFonts w:cs="Arial"/>
                <w:sz w:val="16"/>
                <w:szCs w:val="16"/>
              </w:rPr>
            </w:pPr>
            <w:r>
              <w:rPr>
                <w:rFonts w:cs="Arial"/>
                <w:sz w:val="16"/>
                <w:szCs w:val="16"/>
              </w:rPr>
              <w:t>7/7/2021</w:t>
            </w:r>
          </w:p>
        </w:tc>
      </w:tr>
      <w:tr w:rsidRPr="00982BD1" w:rsidR="00323ED6" w:rsidTr="00F83B53" w14:paraId="301C4D0B" w14:textId="77777777">
        <w:trPr>
          <w:trHeight w:val="197"/>
        </w:trPr>
        <w:tc>
          <w:tcPr>
            <w:tcW w:w="482" w:type="pct"/>
            <w:tcBorders>
              <w:top w:val="single" w:color="auto" w:sz="12" w:space="0"/>
              <w:left w:val="single" w:color="auto" w:sz="12" w:space="0"/>
            </w:tcBorders>
          </w:tcPr>
          <w:p w:rsidRPr="00982BD1" w:rsidR="00323ED6" w:rsidP="00323ED6" w:rsidRDefault="00323ED6" w14:paraId="0B38BA8D" w14:textId="77777777">
            <w:pPr>
              <w:rPr>
                <w:rFonts w:cs="Arial"/>
                <w:b/>
                <w:sz w:val="16"/>
                <w:szCs w:val="16"/>
              </w:rPr>
            </w:pPr>
            <w:r w:rsidRPr="00982BD1">
              <w:rPr>
                <w:rFonts w:cs="Arial"/>
                <w:b/>
                <w:sz w:val="16"/>
                <w:szCs w:val="16"/>
              </w:rPr>
              <w:t>OFFICE</w:t>
            </w:r>
          </w:p>
        </w:tc>
        <w:tc>
          <w:tcPr>
            <w:tcW w:w="1141" w:type="pct"/>
            <w:tcBorders>
              <w:top w:val="single" w:color="auto" w:sz="12" w:space="0"/>
            </w:tcBorders>
          </w:tcPr>
          <w:p w:rsidRPr="00982BD1" w:rsidR="00323ED6" w:rsidP="00323ED6" w:rsidRDefault="00E760D2" w14:paraId="1A596594" w14:textId="0274512F">
            <w:pPr>
              <w:rPr>
                <w:rFonts w:cs="Arial"/>
                <w:sz w:val="16"/>
                <w:szCs w:val="16"/>
              </w:rPr>
            </w:pPr>
            <w:r w:rsidRPr="00BE5D34">
              <w:rPr>
                <w:rFonts w:cs="Arial"/>
                <w:sz w:val="16"/>
                <w:szCs w:val="16"/>
              </w:rPr>
              <w:t>NRR/DRO/D</w:t>
            </w:r>
          </w:p>
        </w:tc>
        <w:tc>
          <w:tcPr>
            <w:tcW w:w="1193" w:type="pct"/>
            <w:tcBorders>
              <w:top w:val="single" w:color="auto" w:sz="12" w:space="0"/>
            </w:tcBorders>
          </w:tcPr>
          <w:p w:rsidRPr="0096715E" w:rsidR="00323ED6" w:rsidP="00323ED6" w:rsidRDefault="00E760D2" w14:paraId="729A94A3" w14:textId="435B20D6">
            <w:pPr>
              <w:rPr>
                <w:rFonts w:cs="Arial"/>
                <w:sz w:val="16"/>
                <w:szCs w:val="16"/>
              </w:rPr>
            </w:pPr>
            <w:r w:rsidRPr="0096715E">
              <w:rPr>
                <w:rFonts w:cs="Arial"/>
                <w:sz w:val="16"/>
                <w:szCs w:val="16"/>
              </w:rPr>
              <w:t>NSIR/DPCP/D</w:t>
            </w:r>
          </w:p>
        </w:tc>
        <w:tc>
          <w:tcPr>
            <w:tcW w:w="1073" w:type="pct"/>
            <w:tcBorders>
              <w:top w:val="single" w:color="auto" w:sz="12" w:space="0"/>
            </w:tcBorders>
          </w:tcPr>
          <w:p w:rsidRPr="00982BD1" w:rsidR="00323ED6" w:rsidP="00323ED6" w:rsidRDefault="00323ED6" w14:paraId="2F45220F" w14:textId="0CDF6B22">
            <w:pPr>
              <w:rPr>
                <w:rFonts w:cs="Arial"/>
                <w:sz w:val="16"/>
                <w:szCs w:val="16"/>
              </w:rPr>
            </w:pPr>
            <w:r w:rsidRPr="00982BD1">
              <w:rPr>
                <w:rFonts w:cs="Arial"/>
                <w:sz w:val="16"/>
                <w:szCs w:val="16"/>
              </w:rPr>
              <w:t>NSIR/D</w:t>
            </w:r>
          </w:p>
        </w:tc>
        <w:tc>
          <w:tcPr>
            <w:tcW w:w="1110" w:type="pct"/>
            <w:tcBorders>
              <w:top w:val="single" w:color="auto" w:sz="12" w:space="0"/>
              <w:right w:val="single" w:color="auto" w:sz="12" w:space="0"/>
            </w:tcBorders>
          </w:tcPr>
          <w:p w:rsidRPr="00982BD1" w:rsidR="00323ED6" w:rsidP="00323ED6" w:rsidRDefault="00133F4C" w14:paraId="0A386235" w14:textId="5C0D8B0F">
            <w:pPr>
              <w:rPr>
                <w:rFonts w:cs="Arial"/>
                <w:sz w:val="16"/>
                <w:szCs w:val="16"/>
              </w:rPr>
            </w:pPr>
            <w:r>
              <w:rPr>
                <w:rFonts w:cs="Arial"/>
                <w:sz w:val="16"/>
                <w:szCs w:val="16"/>
              </w:rPr>
              <w:t>NMSS</w:t>
            </w:r>
            <w:r w:rsidRPr="00982BD1" w:rsidR="00323ED6">
              <w:rPr>
                <w:rFonts w:cs="Arial"/>
                <w:sz w:val="16"/>
                <w:szCs w:val="16"/>
              </w:rPr>
              <w:t>/D</w:t>
            </w:r>
          </w:p>
        </w:tc>
      </w:tr>
      <w:tr w:rsidRPr="00982BD1" w:rsidR="00323ED6" w:rsidTr="00F83B53" w14:paraId="412F7615" w14:textId="77777777">
        <w:tc>
          <w:tcPr>
            <w:tcW w:w="482" w:type="pct"/>
            <w:tcBorders>
              <w:left w:val="single" w:color="auto" w:sz="12" w:space="0"/>
            </w:tcBorders>
          </w:tcPr>
          <w:p w:rsidRPr="00982BD1" w:rsidR="00323ED6" w:rsidP="00323ED6" w:rsidRDefault="00323ED6" w14:paraId="48C464E7" w14:textId="77777777">
            <w:pPr>
              <w:rPr>
                <w:rFonts w:cs="Arial"/>
                <w:b/>
                <w:sz w:val="16"/>
                <w:szCs w:val="16"/>
              </w:rPr>
            </w:pPr>
            <w:r w:rsidRPr="00982BD1">
              <w:rPr>
                <w:rFonts w:cs="Arial"/>
                <w:b/>
                <w:sz w:val="16"/>
                <w:szCs w:val="16"/>
              </w:rPr>
              <w:t>NAME</w:t>
            </w:r>
          </w:p>
        </w:tc>
        <w:tc>
          <w:tcPr>
            <w:tcW w:w="1141" w:type="pct"/>
          </w:tcPr>
          <w:p w:rsidRPr="00982BD1" w:rsidR="00323ED6" w:rsidP="00323ED6" w:rsidRDefault="00E760D2" w14:paraId="315FDDD1" w14:textId="1A078465">
            <w:pPr>
              <w:rPr>
                <w:rFonts w:cs="Arial"/>
                <w:sz w:val="16"/>
                <w:szCs w:val="16"/>
              </w:rPr>
            </w:pPr>
            <w:r w:rsidRPr="00BE5D34">
              <w:rPr>
                <w:rFonts w:cs="Arial"/>
                <w:sz w:val="16"/>
                <w:szCs w:val="16"/>
              </w:rPr>
              <w:t>CMiller</w:t>
            </w:r>
          </w:p>
        </w:tc>
        <w:tc>
          <w:tcPr>
            <w:tcW w:w="1193" w:type="pct"/>
          </w:tcPr>
          <w:p w:rsidR="00323ED6" w:rsidP="00323ED6" w:rsidRDefault="00E760D2" w14:paraId="0EC2C806" w14:textId="77777777">
            <w:pPr>
              <w:rPr>
                <w:rFonts w:cs="Arial"/>
                <w:sz w:val="16"/>
                <w:szCs w:val="16"/>
              </w:rPr>
            </w:pPr>
            <w:r w:rsidRPr="0096715E">
              <w:rPr>
                <w:rFonts w:cs="Arial"/>
                <w:sz w:val="16"/>
                <w:szCs w:val="16"/>
              </w:rPr>
              <w:t>SAt</w:t>
            </w:r>
            <w:r w:rsidR="00B82AC4">
              <w:rPr>
                <w:rFonts w:cs="Arial"/>
                <w:sz w:val="16"/>
                <w:szCs w:val="16"/>
              </w:rPr>
              <w:t>a</w:t>
            </w:r>
            <w:r w:rsidRPr="0096715E">
              <w:rPr>
                <w:rFonts w:cs="Arial"/>
                <w:sz w:val="16"/>
                <w:szCs w:val="16"/>
              </w:rPr>
              <w:t>ck</w:t>
            </w:r>
          </w:p>
          <w:p w:rsidRPr="0096715E" w:rsidR="00323ED6" w:rsidP="00323ED6" w:rsidRDefault="00EA7427" w14:paraId="45CD63FB" w14:textId="6180524A">
            <w:pPr>
              <w:rPr>
                <w:rFonts w:cs="Arial"/>
                <w:sz w:val="16"/>
                <w:szCs w:val="16"/>
              </w:rPr>
            </w:pPr>
            <w:r>
              <w:rPr>
                <w:rFonts w:cs="Arial"/>
                <w:sz w:val="18"/>
                <w:szCs w:val="18"/>
              </w:rPr>
              <w:t>(</w:t>
            </w:r>
            <w:r w:rsidRPr="00903D0A">
              <w:rPr>
                <w:rFonts w:cs="Arial"/>
                <w:sz w:val="16"/>
                <w:szCs w:val="16"/>
              </w:rPr>
              <w:t>BThomas for)</w:t>
            </w:r>
          </w:p>
        </w:tc>
        <w:tc>
          <w:tcPr>
            <w:tcW w:w="1073" w:type="pct"/>
          </w:tcPr>
          <w:p w:rsidR="00323ED6" w:rsidP="00323ED6" w:rsidRDefault="00323ED6" w14:paraId="7D1BCC23" w14:textId="77777777">
            <w:pPr>
              <w:rPr>
                <w:rFonts w:cs="Arial"/>
                <w:sz w:val="16"/>
                <w:szCs w:val="16"/>
              </w:rPr>
            </w:pPr>
            <w:r>
              <w:rPr>
                <w:rFonts w:cs="Arial"/>
                <w:sz w:val="16"/>
                <w:szCs w:val="16"/>
              </w:rPr>
              <w:t>MGavrilas</w:t>
            </w:r>
          </w:p>
          <w:p w:rsidRPr="00982BD1" w:rsidR="00323ED6" w:rsidP="00323ED6" w:rsidRDefault="00667E5C" w14:paraId="738171D7" w14:textId="2D5478BF">
            <w:pPr>
              <w:rPr>
                <w:rFonts w:cs="Arial"/>
                <w:sz w:val="16"/>
                <w:szCs w:val="16"/>
              </w:rPr>
            </w:pPr>
            <w:r>
              <w:rPr>
                <w:rFonts w:cs="Arial"/>
                <w:sz w:val="16"/>
                <w:szCs w:val="16"/>
              </w:rPr>
              <w:t>(CErlanger for)</w:t>
            </w:r>
          </w:p>
        </w:tc>
        <w:tc>
          <w:tcPr>
            <w:tcW w:w="1110" w:type="pct"/>
            <w:tcBorders>
              <w:right w:val="single" w:color="auto" w:sz="12" w:space="0"/>
            </w:tcBorders>
          </w:tcPr>
          <w:p w:rsidRPr="00982BD1" w:rsidR="00323ED6" w:rsidP="00323ED6" w:rsidRDefault="00133F4C" w14:paraId="47F94741" w14:textId="1EC06029">
            <w:pPr>
              <w:rPr>
                <w:rFonts w:cs="Arial"/>
                <w:sz w:val="16"/>
                <w:szCs w:val="16"/>
              </w:rPr>
            </w:pPr>
            <w:r>
              <w:rPr>
                <w:rFonts w:cs="Arial"/>
                <w:sz w:val="16"/>
                <w:szCs w:val="16"/>
              </w:rPr>
              <w:t>JLubinski</w:t>
            </w:r>
          </w:p>
        </w:tc>
      </w:tr>
      <w:tr w:rsidRPr="00982BD1" w:rsidR="00FD319C" w:rsidTr="00F83B53" w14:paraId="16F28E0B" w14:textId="77777777">
        <w:tc>
          <w:tcPr>
            <w:tcW w:w="482" w:type="pct"/>
            <w:tcBorders>
              <w:left w:val="single" w:color="auto" w:sz="12" w:space="0"/>
              <w:bottom w:val="single" w:color="auto" w:sz="12" w:space="0"/>
            </w:tcBorders>
          </w:tcPr>
          <w:p w:rsidRPr="00982BD1" w:rsidR="00FD319C" w:rsidP="00FD319C" w:rsidRDefault="00FD319C" w14:paraId="54D1EBEE" w14:textId="77777777">
            <w:pPr>
              <w:rPr>
                <w:rFonts w:cs="Arial"/>
                <w:b/>
                <w:sz w:val="16"/>
                <w:szCs w:val="16"/>
              </w:rPr>
            </w:pPr>
            <w:r w:rsidRPr="00982BD1">
              <w:rPr>
                <w:rFonts w:cs="Arial"/>
                <w:b/>
                <w:sz w:val="16"/>
                <w:szCs w:val="16"/>
              </w:rPr>
              <w:t>DATE</w:t>
            </w:r>
          </w:p>
        </w:tc>
        <w:tc>
          <w:tcPr>
            <w:tcW w:w="1141" w:type="pct"/>
            <w:tcBorders>
              <w:bottom w:val="single" w:color="auto" w:sz="12" w:space="0"/>
            </w:tcBorders>
          </w:tcPr>
          <w:p w:rsidRPr="00982BD1" w:rsidR="00FD319C" w:rsidP="00FD319C" w:rsidRDefault="0041521D" w14:paraId="1454DD4F" w14:textId="373A1B4F">
            <w:pPr>
              <w:rPr>
                <w:rFonts w:cs="Arial"/>
                <w:sz w:val="16"/>
                <w:szCs w:val="16"/>
              </w:rPr>
            </w:pPr>
            <w:r w:rsidRPr="0041521D">
              <w:rPr>
                <w:rFonts w:cs="Arial"/>
                <w:sz w:val="16"/>
                <w:szCs w:val="16"/>
              </w:rPr>
              <w:t>7/7/2021</w:t>
            </w:r>
          </w:p>
        </w:tc>
        <w:tc>
          <w:tcPr>
            <w:tcW w:w="1193" w:type="pct"/>
            <w:tcBorders>
              <w:bottom w:val="single" w:color="auto" w:sz="12" w:space="0"/>
            </w:tcBorders>
          </w:tcPr>
          <w:p w:rsidRPr="00982BD1" w:rsidR="00FD319C" w:rsidP="00FD319C" w:rsidRDefault="007A3BDC" w14:paraId="16BADCFE" w14:textId="5D72066E">
            <w:pPr>
              <w:rPr>
                <w:rFonts w:cs="Arial"/>
                <w:sz w:val="16"/>
                <w:szCs w:val="16"/>
              </w:rPr>
            </w:pPr>
            <w:r>
              <w:rPr>
                <w:rFonts w:cs="Arial"/>
                <w:sz w:val="16"/>
                <w:szCs w:val="16"/>
              </w:rPr>
              <w:t>7/7/2021</w:t>
            </w:r>
          </w:p>
        </w:tc>
        <w:tc>
          <w:tcPr>
            <w:tcW w:w="1073" w:type="pct"/>
            <w:tcBorders>
              <w:bottom w:val="single" w:color="auto" w:sz="12" w:space="0"/>
            </w:tcBorders>
          </w:tcPr>
          <w:p w:rsidRPr="00982BD1" w:rsidR="00FD319C" w:rsidP="00FD319C" w:rsidRDefault="00667E5C" w14:paraId="19BCC615" w14:textId="7C1DB0C8">
            <w:pPr>
              <w:rPr>
                <w:rFonts w:cs="Arial"/>
                <w:sz w:val="16"/>
                <w:szCs w:val="16"/>
              </w:rPr>
            </w:pPr>
            <w:r>
              <w:rPr>
                <w:rFonts w:cs="Arial"/>
                <w:sz w:val="16"/>
                <w:szCs w:val="16"/>
              </w:rPr>
              <w:t>7/15/2021</w:t>
            </w:r>
          </w:p>
        </w:tc>
        <w:tc>
          <w:tcPr>
            <w:tcW w:w="1110" w:type="pct"/>
            <w:tcBorders>
              <w:bottom w:val="single" w:color="auto" w:sz="12" w:space="0"/>
              <w:right w:val="single" w:color="auto" w:sz="12" w:space="0"/>
            </w:tcBorders>
          </w:tcPr>
          <w:p w:rsidRPr="00982BD1" w:rsidR="00FD319C" w:rsidP="00FD319C" w:rsidRDefault="00456124" w14:paraId="7A07C3E1" w14:textId="26425C5D">
            <w:pPr>
              <w:rPr>
                <w:rFonts w:cs="Arial"/>
                <w:sz w:val="16"/>
                <w:szCs w:val="16"/>
              </w:rPr>
            </w:pPr>
            <w:r>
              <w:rPr>
                <w:rFonts w:cs="Arial"/>
                <w:sz w:val="16"/>
                <w:szCs w:val="16"/>
              </w:rPr>
              <w:t>7/20/21</w:t>
            </w:r>
          </w:p>
        </w:tc>
      </w:tr>
      <w:tr w:rsidRPr="00982BD1" w:rsidR="00323ED6" w:rsidTr="00F83B53" w14:paraId="56E1AF3D" w14:textId="77777777">
        <w:tc>
          <w:tcPr>
            <w:tcW w:w="482" w:type="pct"/>
            <w:tcBorders>
              <w:top w:val="single" w:color="auto" w:sz="12" w:space="0"/>
              <w:left w:val="single" w:color="auto" w:sz="12" w:space="0"/>
            </w:tcBorders>
          </w:tcPr>
          <w:p w:rsidRPr="00982BD1" w:rsidR="00323ED6" w:rsidP="00323ED6" w:rsidRDefault="00323ED6" w14:paraId="724006D9" w14:textId="77777777">
            <w:pPr>
              <w:rPr>
                <w:rFonts w:cs="Arial"/>
                <w:b/>
                <w:sz w:val="16"/>
                <w:szCs w:val="16"/>
              </w:rPr>
            </w:pPr>
            <w:r w:rsidRPr="00982BD1">
              <w:rPr>
                <w:rFonts w:cs="Arial"/>
                <w:b/>
                <w:sz w:val="16"/>
                <w:szCs w:val="16"/>
              </w:rPr>
              <w:t>OFFICE</w:t>
            </w:r>
          </w:p>
        </w:tc>
        <w:tc>
          <w:tcPr>
            <w:tcW w:w="1141" w:type="pct"/>
            <w:tcBorders>
              <w:top w:val="single" w:color="auto" w:sz="12" w:space="0"/>
            </w:tcBorders>
          </w:tcPr>
          <w:p w:rsidRPr="00982BD1" w:rsidR="00323ED6" w:rsidP="00323ED6" w:rsidRDefault="00692E31" w14:paraId="1D539E48" w14:textId="007C8CC7">
            <w:pPr>
              <w:rPr>
                <w:rFonts w:cs="Arial"/>
                <w:sz w:val="16"/>
                <w:szCs w:val="16"/>
              </w:rPr>
            </w:pPr>
            <w:r w:rsidRPr="00982BD1">
              <w:rPr>
                <w:rFonts w:cs="Arial"/>
                <w:sz w:val="16"/>
                <w:szCs w:val="16"/>
              </w:rPr>
              <w:t>OCFO/D</w:t>
            </w:r>
          </w:p>
        </w:tc>
        <w:tc>
          <w:tcPr>
            <w:tcW w:w="1193" w:type="pct"/>
            <w:tcBorders>
              <w:top w:val="single" w:color="auto" w:sz="12" w:space="0"/>
            </w:tcBorders>
          </w:tcPr>
          <w:p w:rsidRPr="00982BD1" w:rsidR="00323ED6" w:rsidP="00323ED6" w:rsidRDefault="00D1540F" w14:paraId="2BEBF5EB" w14:textId="3324741B">
            <w:pPr>
              <w:rPr>
                <w:rFonts w:cs="Arial"/>
                <w:sz w:val="16"/>
                <w:szCs w:val="16"/>
              </w:rPr>
            </w:pPr>
            <w:r w:rsidRPr="00D1540F">
              <w:rPr>
                <w:sz w:val="16"/>
                <w:szCs w:val="16"/>
              </w:rPr>
              <w:t>OCIO/GEMS/FLICB/ICT/CO</w:t>
            </w:r>
          </w:p>
        </w:tc>
        <w:tc>
          <w:tcPr>
            <w:tcW w:w="1073" w:type="pct"/>
            <w:tcBorders>
              <w:top w:val="single" w:color="auto" w:sz="12" w:space="0"/>
            </w:tcBorders>
          </w:tcPr>
          <w:p w:rsidRPr="00982BD1" w:rsidR="00323ED6" w:rsidP="00323ED6" w:rsidRDefault="00323ED6" w14:paraId="1645EFF9" w14:textId="0E050C82">
            <w:pPr>
              <w:rPr>
                <w:rFonts w:cs="Arial"/>
                <w:sz w:val="16"/>
                <w:szCs w:val="16"/>
              </w:rPr>
            </w:pPr>
            <w:r w:rsidRPr="00982BD1">
              <w:rPr>
                <w:rFonts w:cs="Arial"/>
                <w:sz w:val="16"/>
                <w:szCs w:val="16"/>
              </w:rPr>
              <w:t>OGC (NLO)</w:t>
            </w:r>
          </w:p>
        </w:tc>
        <w:tc>
          <w:tcPr>
            <w:tcW w:w="1110" w:type="pct"/>
            <w:tcBorders>
              <w:top w:val="single" w:color="auto" w:sz="12" w:space="0"/>
              <w:right w:val="single" w:color="auto" w:sz="12" w:space="0"/>
            </w:tcBorders>
          </w:tcPr>
          <w:p w:rsidRPr="00982BD1" w:rsidR="00323ED6" w:rsidP="00323ED6" w:rsidRDefault="00DC2C1C" w14:paraId="1413CE65" w14:textId="7263447C">
            <w:pPr>
              <w:rPr>
                <w:rFonts w:cs="Arial"/>
                <w:sz w:val="16"/>
                <w:szCs w:val="16"/>
              </w:rPr>
            </w:pPr>
            <w:r>
              <w:rPr>
                <w:rFonts w:cs="Arial"/>
                <w:sz w:val="16"/>
                <w:szCs w:val="16"/>
              </w:rPr>
              <w:t>NMSS/REFS/RRPB/PM</w:t>
            </w:r>
          </w:p>
        </w:tc>
      </w:tr>
      <w:tr w:rsidRPr="00982BD1" w:rsidR="00323ED6" w:rsidTr="007F45C8" w14:paraId="70698EC6" w14:textId="77777777">
        <w:trPr>
          <w:trHeight w:val="172"/>
        </w:trPr>
        <w:tc>
          <w:tcPr>
            <w:tcW w:w="482" w:type="pct"/>
            <w:tcBorders>
              <w:left w:val="single" w:color="auto" w:sz="12" w:space="0"/>
            </w:tcBorders>
          </w:tcPr>
          <w:p w:rsidRPr="00982BD1" w:rsidR="00323ED6" w:rsidP="00323ED6" w:rsidRDefault="00323ED6" w14:paraId="2B0C99FE" w14:textId="77777777">
            <w:pPr>
              <w:rPr>
                <w:rFonts w:cs="Arial"/>
                <w:b/>
                <w:sz w:val="16"/>
                <w:szCs w:val="16"/>
              </w:rPr>
            </w:pPr>
            <w:r w:rsidRPr="00982BD1">
              <w:rPr>
                <w:rFonts w:cs="Arial"/>
                <w:b/>
                <w:sz w:val="16"/>
                <w:szCs w:val="16"/>
              </w:rPr>
              <w:t>NAME</w:t>
            </w:r>
          </w:p>
        </w:tc>
        <w:tc>
          <w:tcPr>
            <w:tcW w:w="1141" w:type="pct"/>
          </w:tcPr>
          <w:p w:rsidR="00323ED6" w:rsidP="00323ED6" w:rsidRDefault="00692E31" w14:paraId="07F03C39" w14:textId="77777777">
            <w:pPr>
              <w:rPr>
                <w:rFonts w:cs="Arial"/>
                <w:sz w:val="16"/>
                <w:szCs w:val="16"/>
              </w:rPr>
            </w:pPr>
            <w:r>
              <w:rPr>
                <w:rFonts w:cs="Arial"/>
                <w:sz w:val="16"/>
                <w:szCs w:val="16"/>
              </w:rPr>
              <w:t>CJohnson</w:t>
            </w:r>
          </w:p>
          <w:p w:rsidRPr="00982BD1" w:rsidR="00323ED6" w:rsidP="00323ED6" w:rsidRDefault="00934974" w14:paraId="1D7C6F28" w14:textId="7C8F970E">
            <w:pPr>
              <w:rPr>
                <w:rFonts w:cs="Arial"/>
                <w:sz w:val="16"/>
                <w:szCs w:val="16"/>
              </w:rPr>
            </w:pPr>
            <w:r w:rsidRPr="00A25096">
              <w:rPr>
                <w:rFonts w:cs="Arial"/>
                <w:sz w:val="16"/>
                <w:szCs w:val="16"/>
              </w:rPr>
              <w:t>(RAllwein for)</w:t>
            </w:r>
          </w:p>
        </w:tc>
        <w:tc>
          <w:tcPr>
            <w:tcW w:w="1193" w:type="pct"/>
            <w:tcBorders>
              <w:bottom w:val="single" w:color="auto" w:sz="4" w:space="0"/>
            </w:tcBorders>
          </w:tcPr>
          <w:p w:rsidRPr="00982BD1" w:rsidR="00323ED6" w:rsidP="00323ED6" w:rsidRDefault="00D1540F" w14:paraId="49C108C1" w14:textId="1886F9FE">
            <w:pPr>
              <w:rPr>
                <w:rFonts w:cs="Arial"/>
                <w:sz w:val="16"/>
                <w:szCs w:val="16"/>
              </w:rPr>
            </w:pPr>
            <w:r w:rsidRPr="00D1540F">
              <w:rPr>
                <w:sz w:val="16"/>
                <w:szCs w:val="16"/>
              </w:rPr>
              <w:t>DCullison</w:t>
            </w:r>
          </w:p>
        </w:tc>
        <w:tc>
          <w:tcPr>
            <w:tcW w:w="1073" w:type="pct"/>
            <w:tcBorders>
              <w:bottom w:val="single" w:color="auto" w:sz="4" w:space="0"/>
            </w:tcBorders>
          </w:tcPr>
          <w:p w:rsidRPr="00982BD1" w:rsidR="00323ED6" w:rsidP="00323ED6" w:rsidRDefault="00ED70A6" w14:paraId="0D79A8EF" w14:textId="4C302541">
            <w:pPr>
              <w:autoSpaceDE/>
              <w:autoSpaceDN/>
              <w:adjustRightInd/>
              <w:rPr>
                <w:rFonts w:cs="Arial"/>
                <w:sz w:val="16"/>
                <w:szCs w:val="16"/>
              </w:rPr>
            </w:pPr>
            <w:r>
              <w:rPr>
                <w:rFonts w:cs="Arial"/>
                <w:sz w:val="16"/>
                <w:szCs w:val="16"/>
              </w:rPr>
              <w:t>HBenowitz</w:t>
            </w:r>
          </w:p>
        </w:tc>
        <w:tc>
          <w:tcPr>
            <w:tcW w:w="1110" w:type="pct"/>
            <w:tcBorders>
              <w:bottom w:val="single" w:color="auto" w:sz="4" w:space="0"/>
              <w:right w:val="single" w:color="auto" w:sz="12" w:space="0"/>
            </w:tcBorders>
          </w:tcPr>
          <w:p w:rsidRPr="00982BD1" w:rsidR="00323ED6" w:rsidP="00323ED6" w:rsidRDefault="00DC2C1C" w14:paraId="0F52A3FB" w14:textId="7DE454F0">
            <w:pPr>
              <w:rPr>
                <w:rFonts w:cs="Arial"/>
                <w:sz w:val="16"/>
                <w:szCs w:val="16"/>
              </w:rPr>
            </w:pPr>
            <w:r>
              <w:rPr>
                <w:rFonts w:cs="Arial"/>
                <w:sz w:val="16"/>
                <w:szCs w:val="16"/>
              </w:rPr>
              <w:t>SSchneider</w:t>
            </w:r>
          </w:p>
        </w:tc>
      </w:tr>
      <w:tr w:rsidRPr="00982BD1" w:rsidR="00323ED6" w:rsidTr="00F83B53" w14:paraId="3E7E9DAA" w14:textId="77777777">
        <w:trPr>
          <w:trHeight w:val="107"/>
        </w:trPr>
        <w:tc>
          <w:tcPr>
            <w:tcW w:w="482" w:type="pct"/>
            <w:tcBorders>
              <w:left w:val="single" w:color="auto" w:sz="12" w:space="0"/>
              <w:bottom w:val="single" w:color="auto" w:sz="12" w:space="0"/>
            </w:tcBorders>
          </w:tcPr>
          <w:p w:rsidRPr="00982BD1" w:rsidR="00323ED6" w:rsidP="00323ED6" w:rsidRDefault="00323ED6" w14:paraId="1C9743C8" w14:textId="77777777">
            <w:pPr>
              <w:rPr>
                <w:rFonts w:cs="Arial"/>
                <w:b/>
                <w:sz w:val="16"/>
                <w:szCs w:val="16"/>
              </w:rPr>
            </w:pPr>
            <w:r w:rsidRPr="00982BD1">
              <w:rPr>
                <w:rFonts w:cs="Arial"/>
                <w:b/>
                <w:sz w:val="16"/>
                <w:szCs w:val="16"/>
              </w:rPr>
              <w:t>DATE</w:t>
            </w:r>
          </w:p>
        </w:tc>
        <w:tc>
          <w:tcPr>
            <w:tcW w:w="1141" w:type="pct"/>
            <w:tcBorders>
              <w:bottom w:val="single" w:color="auto" w:sz="12" w:space="0"/>
            </w:tcBorders>
          </w:tcPr>
          <w:p w:rsidRPr="00982BD1" w:rsidR="00323ED6" w:rsidP="00323ED6" w:rsidRDefault="00A25096" w14:paraId="72102140" w14:textId="0C1BE1A2">
            <w:pPr>
              <w:rPr>
                <w:rFonts w:cs="Arial"/>
                <w:sz w:val="16"/>
                <w:szCs w:val="16"/>
              </w:rPr>
            </w:pPr>
            <w:r>
              <w:rPr>
                <w:rFonts w:cs="Arial"/>
                <w:sz w:val="16"/>
                <w:szCs w:val="16"/>
              </w:rPr>
              <w:t>7/14/2021</w:t>
            </w:r>
          </w:p>
        </w:tc>
        <w:tc>
          <w:tcPr>
            <w:tcW w:w="1193" w:type="pct"/>
            <w:tcBorders>
              <w:bottom w:val="single" w:color="auto" w:sz="12" w:space="0"/>
            </w:tcBorders>
          </w:tcPr>
          <w:p w:rsidRPr="00982BD1" w:rsidR="00323ED6" w:rsidP="00323ED6" w:rsidRDefault="00894285" w14:paraId="6FD88D08" w14:textId="0BDB1B54">
            <w:pPr>
              <w:rPr>
                <w:rFonts w:cs="Arial"/>
                <w:sz w:val="16"/>
                <w:szCs w:val="16"/>
              </w:rPr>
            </w:pPr>
            <w:r>
              <w:rPr>
                <w:rFonts w:cs="Arial"/>
                <w:sz w:val="16"/>
                <w:szCs w:val="16"/>
              </w:rPr>
              <w:t>8/11/2021</w:t>
            </w:r>
          </w:p>
        </w:tc>
        <w:tc>
          <w:tcPr>
            <w:tcW w:w="1073" w:type="pct"/>
            <w:tcBorders>
              <w:bottom w:val="single" w:color="auto" w:sz="12" w:space="0"/>
            </w:tcBorders>
          </w:tcPr>
          <w:p w:rsidRPr="00982BD1" w:rsidR="00323ED6" w:rsidP="00323ED6" w:rsidRDefault="00894285" w14:paraId="61A7649D" w14:textId="6FB42547">
            <w:pPr>
              <w:rPr>
                <w:rFonts w:cs="Arial"/>
                <w:sz w:val="16"/>
                <w:szCs w:val="16"/>
              </w:rPr>
            </w:pPr>
            <w:r>
              <w:rPr>
                <w:rFonts w:cs="Arial"/>
                <w:sz w:val="16"/>
                <w:szCs w:val="16"/>
              </w:rPr>
              <w:t>8/</w:t>
            </w:r>
            <w:r w:rsidR="00F277F2">
              <w:rPr>
                <w:rFonts w:cs="Arial"/>
                <w:sz w:val="16"/>
                <w:szCs w:val="16"/>
              </w:rPr>
              <w:t>09/2021</w:t>
            </w:r>
          </w:p>
        </w:tc>
        <w:tc>
          <w:tcPr>
            <w:tcW w:w="1110" w:type="pct"/>
            <w:tcBorders>
              <w:bottom w:val="single" w:color="auto" w:sz="12" w:space="0"/>
              <w:right w:val="single" w:color="auto" w:sz="12" w:space="0"/>
            </w:tcBorders>
          </w:tcPr>
          <w:p w:rsidRPr="00982BD1" w:rsidR="00323ED6" w:rsidP="00323ED6" w:rsidRDefault="003872D7" w14:paraId="6DCBCCD9" w14:textId="6D0704BC">
            <w:pPr>
              <w:rPr>
                <w:rFonts w:cs="Arial"/>
                <w:sz w:val="16"/>
                <w:szCs w:val="16"/>
              </w:rPr>
            </w:pPr>
            <w:r>
              <w:rPr>
                <w:rFonts w:cs="Arial"/>
                <w:sz w:val="16"/>
                <w:szCs w:val="16"/>
              </w:rPr>
              <w:t>8/16/2012</w:t>
            </w:r>
          </w:p>
        </w:tc>
      </w:tr>
      <w:tr w:rsidRPr="00982BD1" w:rsidR="005A0932" w:rsidTr="00F83B53" w14:paraId="473F9249" w14:textId="77777777">
        <w:trPr>
          <w:gridAfter w:val="1"/>
          <w:wAfter w:w="1110" w:type="pct"/>
          <w:trHeight w:val="217"/>
        </w:trPr>
        <w:tc>
          <w:tcPr>
            <w:tcW w:w="482" w:type="pct"/>
            <w:tcBorders>
              <w:top w:val="single" w:color="auto" w:sz="12" w:space="0"/>
              <w:left w:val="single" w:color="auto" w:sz="12" w:space="0"/>
              <w:bottom w:val="single" w:color="auto" w:sz="4" w:space="0"/>
              <w:right w:val="single" w:color="auto" w:sz="6" w:space="0"/>
            </w:tcBorders>
          </w:tcPr>
          <w:p w:rsidRPr="00982BD1" w:rsidR="00323ED6" w:rsidP="00323ED6" w:rsidRDefault="00323ED6" w14:paraId="1A734DEA" w14:textId="77777777">
            <w:pPr>
              <w:rPr>
                <w:rFonts w:cs="Arial"/>
                <w:b/>
                <w:sz w:val="16"/>
                <w:szCs w:val="16"/>
              </w:rPr>
            </w:pPr>
            <w:r w:rsidRPr="00982BD1">
              <w:rPr>
                <w:rFonts w:cs="Arial"/>
                <w:b/>
                <w:sz w:val="16"/>
                <w:szCs w:val="16"/>
              </w:rPr>
              <w:t>OFFICE</w:t>
            </w:r>
          </w:p>
        </w:tc>
        <w:tc>
          <w:tcPr>
            <w:tcW w:w="1141" w:type="pct"/>
            <w:tcBorders>
              <w:top w:val="single" w:color="auto" w:sz="12" w:space="0"/>
              <w:left w:val="single" w:color="auto" w:sz="6" w:space="0"/>
              <w:bottom w:val="single" w:color="auto" w:sz="4" w:space="0"/>
              <w:right w:val="single" w:color="auto" w:sz="6" w:space="0"/>
            </w:tcBorders>
          </w:tcPr>
          <w:p w:rsidRPr="00982BD1" w:rsidR="00323ED6" w:rsidP="00323ED6" w:rsidRDefault="00F83B53" w14:paraId="5480C49A" w14:textId="7EF723D0">
            <w:pPr>
              <w:rPr>
                <w:rFonts w:cs="Arial"/>
                <w:sz w:val="16"/>
                <w:szCs w:val="16"/>
              </w:rPr>
            </w:pPr>
            <w:r w:rsidRPr="00F83B53">
              <w:rPr>
                <w:sz w:val="16"/>
                <w:szCs w:val="16"/>
              </w:rPr>
              <w:t>NRR/D</w:t>
            </w:r>
          </w:p>
        </w:tc>
        <w:tc>
          <w:tcPr>
            <w:tcW w:w="1193" w:type="pct"/>
            <w:tcBorders>
              <w:top w:val="single" w:color="auto" w:sz="12" w:space="0"/>
              <w:left w:val="single" w:color="auto" w:sz="6" w:space="0"/>
              <w:bottom w:val="single" w:color="auto" w:sz="6" w:space="0"/>
              <w:right w:val="single" w:color="auto" w:sz="12" w:space="0"/>
            </w:tcBorders>
          </w:tcPr>
          <w:p w:rsidRPr="00982BD1" w:rsidR="00323ED6" w:rsidP="00323ED6" w:rsidRDefault="002D173A" w14:paraId="6B03236E" w14:textId="46D5BCB8">
            <w:pPr>
              <w:rPr>
                <w:rFonts w:cs="Arial"/>
                <w:sz w:val="16"/>
                <w:szCs w:val="16"/>
              </w:rPr>
            </w:pPr>
            <w:r>
              <w:rPr>
                <w:rFonts w:cs="Arial"/>
                <w:sz w:val="16"/>
                <w:szCs w:val="16"/>
              </w:rPr>
              <w:t>EDO</w:t>
            </w:r>
          </w:p>
        </w:tc>
        <w:tc>
          <w:tcPr>
            <w:tcW w:w="1073" w:type="pct"/>
            <w:tcBorders>
              <w:top w:val="nil"/>
              <w:left w:val="single" w:color="auto" w:sz="12" w:space="0"/>
              <w:bottom w:val="nil"/>
              <w:right w:val="nil"/>
            </w:tcBorders>
          </w:tcPr>
          <w:p w:rsidRPr="00982BD1" w:rsidR="00323ED6" w:rsidP="00323ED6" w:rsidRDefault="00323ED6" w14:paraId="72732AD8" w14:textId="2EF41A00">
            <w:pPr>
              <w:rPr>
                <w:rFonts w:cs="Arial"/>
                <w:sz w:val="16"/>
                <w:szCs w:val="16"/>
              </w:rPr>
            </w:pPr>
          </w:p>
        </w:tc>
      </w:tr>
      <w:tr w:rsidRPr="00982BD1" w:rsidR="00323ED6" w:rsidTr="00F83B53" w14:paraId="04A5815B" w14:textId="77777777">
        <w:trPr>
          <w:gridAfter w:val="1"/>
          <w:wAfter w:w="1110" w:type="pct"/>
        </w:trPr>
        <w:tc>
          <w:tcPr>
            <w:tcW w:w="482" w:type="pct"/>
            <w:tcBorders>
              <w:top w:val="single" w:color="auto" w:sz="4" w:space="0"/>
              <w:left w:val="single" w:color="auto" w:sz="12" w:space="0"/>
              <w:bottom w:val="single" w:color="auto" w:sz="4" w:space="0"/>
              <w:right w:val="single" w:color="auto" w:sz="6" w:space="0"/>
            </w:tcBorders>
          </w:tcPr>
          <w:p w:rsidRPr="00982BD1" w:rsidR="00323ED6" w:rsidP="00323ED6" w:rsidRDefault="00323ED6" w14:paraId="6CDBD10F" w14:textId="77777777">
            <w:pPr>
              <w:rPr>
                <w:rFonts w:cs="Arial"/>
                <w:b/>
                <w:sz w:val="16"/>
                <w:szCs w:val="16"/>
              </w:rPr>
            </w:pPr>
            <w:r w:rsidRPr="00982BD1">
              <w:rPr>
                <w:rFonts w:cs="Arial"/>
                <w:b/>
                <w:sz w:val="16"/>
                <w:szCs w:val="16"/>
              </w:rPr>
              <w:t>NAME</w:t>
            </w:r>
          </w:p>
        </w:tc>
        <w:tc>
          <w:tcPr>
            <w:tcW w:w="1141" w:type="pct"/>
            <w:tcBorders>
              <w:top w:val="single" w:color="auto" w:sz="4" w:space="0"/>
              <w:left w:val="single" w:color="auto" w:sz="6" w:space="0"/>
              <w:bottom w:val="single" w:color="auto" w:sz="4" w:space="0"/>
              <w:right w:val="single" w:color="auto" w:sz="6" w:space="0"/>
            </w:tcBorders>
          </w:tcPr>
          <w:p w:rsidRPr="00982BD1" w:rsidR="00323ED6" w:rsidP="00323ED6" w:rsidRDefault="00F83B53" w14:paraId="47F024C9" w14:textId="6A25DAF8">
            <w:pPr>
              <w:rPr>
                <w:rFonts w:cs="Arial"/>
                <w:sz w:val="16"/>
                <w:szCs w:val="16"/>
              </w:rPr>
            </w:pPr>
            <w:r w:rsidRPr="00F83B53">
              <w:rPr>
                <w:sz w:val="16"/>
                <w:szCs w:val="16"/>
              </w:rPr>
              <w:t>AVeil</w:t>
            </w:r>
          </w:p>
        </w:tc>
        <w:tc>
          <w:tcPr>
            <w:tcW w:w="1193" w:type="pct"/>
            <w:tcBorders>
              <w:top w:val="single" w:color="auto" w:sz="6" w:space="0"/>
              <w:left w:val="single" w:color="auto" w:sz="6" w:space="0"/>
              <w:bottom w:val="single" w:color="auto" w:sz="6" w:space="0"/>
              <w:right w:val="single" w:color="auto" w:sz="12" w:space="0"/>
            </w:tcBorders>
          </w:tcPr>
          <w:p w:rsidRPr="00982BD1" w:rsidR="00323ED6" w:rsidP="00323ED6" w:rsidRDefault="002D173A" w14:paraId="62C00211" w14:textId="344E06F2">
            <w:pPr>
              <w:rPr>
                <w:rFonts w:cs="Arial"/>
                <w:sz w:val="16"/>
                <w:szCs w:val="16"/>
              </w:rPr>
            </w:pPr>
            <w:r>
              <w:rPr>
                <w:rFonts w:cs="Arial"/>
                <w:sz w:val="16"/>
                <w:szCs w:val="16"/>
              </w:rPr>
              <w:t>MDoane</w:t>
            </w:r>
          </w:p>
        </w:tc>
        <w:tc>
          <w:tcPr>
            <w:tcW w:w="1073" w:type="pct"/>
            <w:tcBorders>
              <w:top w:val="nil"/>
              <w:left w:val="single" w:color="auto" w:sz="12" w:space="0"/>
              <w:bottom w:val="nil"/>
              <w:right w:val="nil"/>
            </w:tcBorders>
          </w:tcPr>
          <w:p w:rsidRPr="00982BD1" w:rsidR="00323ED6" w:rsidP="00323ED6" w:rsidRDefault="00323ED6" w14:paraId="7B1C3837" w14:textId="65963835">
            <w:pPr>
              <w:rPr>
                <w:rFonts w:cs="Arial"/>
                <w:sz w:val="16"/>
                <w:szCs w:val="16"/>
              </w:rPr>
            </w:pPr>
          </w:p>
        </w:tc>
      </w:tr>
      <w:tr w:rsidRPr="00982BD1" w:rsidR="00323ED6" w:rsidTr="00F83B53" w14:paraId="2F7B91C4" w14:textId="77777777">
        <w:trPr>
          <w:gridAfter w:val="1"/>
          <w:wAfter w:w="1110" w:type="pct"/>
        </w:trPr>
        <w:tc>
          <w:tcPr>
            <w:tcW w:w="482" w:type="pct"/>
            <w:tcBorders>
              <w:top w:val="single" w:color="auto" w:sz="4" w:space="0"/>
              <w:left w:val="single" w:color="auto" w:sz="12" w:space="0"/>
              <w:bottom w:val="single" w:color="auto" w:sz="12" w:space="0"/>
              <w:right w:val="single" w:color="auto" w:sz="6" w:space="0"/>
            </w:tcBorders>
          </w:tcPr>
          <w:p w:rsidRPr="00982BD1" w:rsidR="00323ED6" w:rsidP="00323ED6" w:rsidRDefault="00323ED6" w14:paraId="5C603EC6" w14:textId="77777777">
            <w:pPr>
              <w:rPr>
                <w:rFonts w:cs="Arial"/>
                <w:b/>
                <w:sz w:val="16"/>
                <w:szCs w:val="16"/>
              </w:rPr>
            </w:pPr>
            <w:r w:rsidRPr="00982BD1">
              <w:rPr>
                <w:rFonts w:cs="Arial"/>
                <w:b/>
                <w:sz w:val="16"/>
                <w:szCs w:val="16"/>
              </w:rPr>
              <w:t>DATE</w:t>
            </w:r>
          </w:p>
        </w:tc>
        <w:tc>
          <w:tcPr>
            <w:tcW w:w="1141" w:type="pct"/>
            <w:tcBorders>
              <w:top w:val="single" w:color="auto" w:sz="4" w:space="0"/>
              <w:left w:val="single" w:color="auto" w:sz="6" w:space="0"/>
              <w:bottom w:val="single" w:color="auto" w:sz="12" w:space="0"/>
              <w:right w:val="single" w:color="auto" w:sz="6" w:space="0"/>
            </w:tcBorders>
          </w:tcPr>
          <w:p w:rsidRPr="00982BD1" w:rsidR="00323ED6" w:rsidP="00323ED6" w:rsidRDefault="005F522F" w14:paraId="73550D0A" w14:textId="370F6608">
            <w:pPr>
              <w:rPr>
                <w:rFonts w:cs="Arial"/>
                <w:sz w:val="16"/>
                <w:szCs w:val="16"/>
              </w:rPr>
            </w:pPr>
            <w:r>
              <w:rPr>
                <w:rFonts w:cs="Arial"/>
                <w:sz w:val="16"/>
                <w:szCs w:val="16"/>
              </w:rPr>
              <w:t>8/27/2021</w:t>
            </w:r>
          </w:p>
        </w:tc>
        <w:tc>
          <w:tcPr>
            <w:tcW w:w="1193" w:type="pct"/>
            <w:tcBorders>
              <w:top w:val="single" w:color="auto" w:sz="6" w:space="0"/>
              <w:left w:val="single" w:color="auto" w:sz="6" w:space="0"/>
              <w:bottom w:val="single" w:color="auto" w:sz="12" w:space="0"/>
              <w:right w:val="single" w:color="auto" w:sz="12" w:space="0"/>
            </w:tcBorders>
          </w:tcPr>
          <w:p w:rsidRPr="00982BD1" w:rsidR="00323ED6" w:rsidP="00323ED6" w:rsidRDefault="004D31DF" w14:paraId="20E2340B" w14:textId="4D38DB16">
            <w:pPr>
              <w:rPr>
                <w:rFonts w:cs="Arial"/>
                <w:sz w:val="16"/>
                <w:szCs w:val="16"/>
              </w:rPr>
            </w:pPr>
            <w:r>
              <w:rPr>
                <w:rFonts w:cs="Arial"/>
                <w:sz w:val="16"/>
                <w:szCs w:val="16"/>
              </w:rPr>
              <w:t>09/15/21</w:t>
            </w:r>
          </w:p>
        </w:tc>
        <w:tc>
          <w:tcPr>
            <w:tcW w:w="1073" w:type="pct"/>
            <w:tcBorders>
              <w:top w:val="nil"/>
              <w:left w:val="single" w:color="auto" w:sz="12" w:space="0"/>
              <w:bottom w:val="nil"/>
              <w:right w:val="nil"/>
            </w:tcBorders>
          </w:tcPr>
          <w:p w:rsidRPr="00982BD1" w:rsidR="00323ED6" w:rsidP="00323ED6" w:rsidRDefault="00323ED6" w14:paraId="20F343C5" w14:textId="4E7B4C95">
            <w:pPr>
              <w:rPr>
                <w:rFonts w:cs="Arial"/>
                <w:sz w:val="16"/>
                <w:szCs w:val="16"/>
              </w:rPr>
            </w:pPr>
          </w:p>
        </w:tc>
      </w:tr>
    </w:tbl>
    <w:p w:rsidR="00EE6AF1" w:rsidP="00D520BD" w:rsidRDefault="00EE6AF1" w14:paraId="7BEC80F0" w14:textId="77777777">
      <w:pPr>
        <w:jc w:val="center"/>
        <w:rPr>
          <w:rFonts w:cs="Arial"/>
          <w:b/>
          <w:sz w:val="16"/>
          <w:szCs w:val="16"/>
        </w:rPr>
      </w:pPr>
    </w:p>
    <w:p w:rsidR="00D520BD" w:rsidP="00D520BD" w:rsidRDefault="00D520BD" w14:paraId="3293E4B2" w14:textId="6F6A7E3B">
      <w:pPr>
        <w:jc w:val="center"/>
        <w:rPr>
          <w:rFonts w:cs="Arial"/>
          <w:b/>
          <w:sz w:val="16"/>
          <w:szCs w:val="16"/>
        </w:rPr>
      </w:pPr>
      <w:r w:rsidRPr="00982BD1">
        <w:rPr>
          <w:rFonts w:cs="Arial"/>
          <w:b/>
          <w:sz w:val="16"/>
          <w:szCs w:val="16"/>
        </w:rPr>
        <w:t>OFFICIAL RECORD COPY</w:t>
      </w:r>
    </w:p>
    <w:p w:rsidRPr="00982BD1" w:rsidR="00EE6AF1" w:rsidP="00EE6AF1" w:rsidRDefault="00EE6AF1" w14:paraId="637990BF" w14:textId="77777777">
      <w:pPr>
        <w:rPr>
          <w:sz w:val="16"/>
          <w:szCs w:val="16"/>
        </w:rPr>
      </w:pPr>
    </w:p>
    <w:p w:rsidRPr="00646A79" w:rsidR="00D520BD" w:rsidP="00D520BD" w:rsidRDefault="00D520BD" w14:paraId="6EB947FE" w14:textId="77777777">
      <w:pPr>
        <w:rPr>
          <w:sz w:val="22"/>
          <w:szCs w:val="22"/>
        </w:rPr>
        <w:sectPr w:rsidRPr="00646A79" w:rsidR="00D520BD" w:rsidSect="0098556A">
          <w:pgSz w:w="12240" w:h="15840"/>
          <w:pgMar w:top="540" w:right="1440" w:bottom="450" w:left="1440" w:header="720" w:footer="720" w:gutter="0"/>
          <w:cols w:space="720"/>
          <w:docGrid w:linePitch="272"/>
        </w:sectPr>
      </w:pPr>
    </w:p>
    <w:p w:rsidR="009A1CB3" w:rsidP="009A1CB3" w:rsidRDefault="009A1CB3" w14:paraId="553BEB8D" w14:textId="77777777">
      <w:pPr>
        <w:jc w:val="center"/>
        <w:rPr>
          <w:rFonts w:cs="Arial"/>
          <w:sz w:val="22"/>
          <w:szCs w:val="28"/>
        </w:rPr>
      </w:pPr>
      <w:bookmarkStart w:name="_Toc370806858" w:id="294"/>
      <w:bookmarkStart w:name="_Toc369786577" w:id="295"/>
      <w:r w:rsidRPr="0093624B">
        <w:rPr>
          <w:rFonts w:cs="Arial"/>
          <w:sz w:val="22"/>
          <w:szCs w:val="28"/>
        </w:rPr>
        <w:t>[Page Intentionally Blank]</w:t>
      </w:r>
    </w:p>
    <w:p w:rsidR="00A85900" w:rsidP="00F25080" w:rsidRDefault="00A85900" w14:paraId="1A170F9A" w14:textId="77777777">
      <w:pPr>
        <w:rPr>
          <w:b/>
          <w:sz w:val="32"/>
          <w:szCs w:val="32"/>
        </w:rPr>
        <w:sectPr w:rsidR="00A85900" w:rsidSect="00A85900">
          <w:headerReference w:type="default" r:id="rId34"/>
          <w:footerReference w:type="default" r:id="rId35"/>
          <w:pgSz w:w="12240" w:h="15840" w:code="1"/>
          <w:pgMar w:top="1440" w:right="1440" w:bottom="1440" w:left="1440" w:header="720" w:footer="720" w:gutter="0"/>
          <w:cols w:space="720"/>
          <w:vAlign w:val="center"/>
        </w:sectPr>
      </w:pPr>
    </w:p>
    <w:p w:rsidR="00F25080" w:rsidP="00F25080" w:rsidRDefault="00F25080" w14:paraId="1A25DE03" w14:textId="5925CC2F">
      <w:pPr>
        <w:rPr>
          <w:b/>
          <w:sz w:val="32"/>
          <w:szCs w:val="32"/>
        </w:rPr>
      </w:pPr>
      <w:r w:rsidRPr="0042387E">
        <w:rPr>
          <w:b/>
          <w:sz w:val="32"/>
          <w:szCs w:val="32"/>
        </w:rPr>
        <w:t>Appendices</w:t>
      </w:r>
    </w:p>
    <w:p w:rsidR="00A85900" w:rsidP="00F25080" w:rsidRDefault="00A85900" w14:paraId="04FD1C83" w14:textId="77777777">
      <w:pPr>
        <w:rPr>
          <w:b/>
          <w:sz w:val="32"/>
          <w:szCs w:val="32"/>
        </w:rPr>
      </w:pPr>
    </w:p>
    <w:p w:rsidRPr="008D1697" w:rsidR="00A85900" w:rsidP="00F25080" w:rsidRDefault="00A85900" w14:paraId="6FEB82AC" w14:textId="39C2E5F8">
      <w:pPr>
        <w:rPr>
          <w:rFonts w:cs="Arial"/>
          <w:sz w:val="22"/>
          <w:szCs w:val="28"/>
        </w:rPr>
        <w:sectPr w:rsidRPr="008D1697" w:rsidR="00A85900" w:rsidSect="00A85900">
          <w:pgSz w:w="12240" w:h="15840" w:code="1"/>
          <w:pgMar w:top="1440" w:right="1440" w:bottom="1440" w:left="1440" w:header="720" w:footer="720" w:gutter="0"/>
          <w:cols w:space="720"/>
        </w:sectPr>
      </w:pPr>
    </w:p>
    <w:p w:rsidR="00BE4240" w:rsidP="00BE4240" w:rsidRDefault="00BE4240" w14:paraId="332DEE45" w14:textId="447F4102">
      <w:pPr>
        <w:jc w:val="center"/>
        <w:rPr>
          <w:rFonts w:cs="Arial"/>
          <w:sz w:val="22"/>
          <w:szCs w:val="28"/>
        </w:rPr>
      </w:pPr>
      <w:r w:rsidRPr="0093624B">
        <w:rPr>
          <w:rFonts w:cs="Arial"/>
          <w:sz w:val="22"/>
          <w:szCs w:val="28"/>
        </w:rPr>
        <w:t>[Page Intentionally Blank]</w:t>
      </w:r>
    </w:p>
    <w:p w:rsidR="00BE4240" w:rsidP="00BE4240" w:rsidRDefault="00BE4240" w14:paraId="26C8F1D6" w14:textId="77777777">
      <w:pPr>
        <w:jc w:val="center"/>
        <w:rPr>
          <w:rFonts w:cs="Arial"/>
          <w:sz w:val="22"/>
          <w:szCs w:val="28"/>
        </w:rPr>
      </w:pPr>
    </w:p>
    <w:p w:rsidR="00D520BD" w:rsidP="00D520BD" w:rsidRDefault="00D520BD" w14:paraId="2C162010" w14:textId="77777777">
      <w:pPr>
        <w:rPr>
          <w:rFonts w:cs="Arial"/>
          <w:b/>
          <w:i/>
          <w:sz w:val="22"/>
          <w:szCs w:val="28"/>
        </w:rPr>
        <w:sectPr w:rsidR="00D520BD" w:rsidSect="00BE4240">
          <w:pgSz w:w="12240" w:h="15840" w:code="1"/>
          <w:pgMar w:top="1440" w:right="1440" w:bottom="1440" w:left="1440" w:header="720" w:footer="720" w:gutter="0"/>
          <w:cols w:space="720"/>
          <w:vAlign w:val="center"/>
        </w:sectPr>
      </w:pPr>
    </w:p>
    <w:p w:rsidR="00D520BD" w:rsidP="00D520BD" w:rsidRDefault="00D520BD" w14:paraId="67D8D3E3" w14:textId="2B88F1AB">
      <w:pPr>
        <w:rPr>
          <w:rFonts w:cs="Arial" w:eastAsiaTheme="minorEastAsia"/>
          <w:b/>
          <w:i/>
          <w:sz w:val="22"/>
          <w:szCs w:val="28"/>
        </w:rPr>
      </w:pPr>
      <w:r w:rsidRPr="00DA1D0C">
        <w:rPr>
          <w:rFonts w:cs="Arial"/>
          <w:b/>
          <w:i/>
          <w:sz w:val="22"/>
          <w:szCs w:val="28"/>
        </w:rPr>
        <w:t xml:space="preserve">Appendix A:  </w:t>
      </w:r>
      <w:r w:rsidRPr="00DA1D0C">
        <w:rPr>
          <w:rFonts w:cs="Arial" w:eastAsiaTheme="minorEastAsia"/>
          <w:b/>
          <w:i/>
          <w:sz w:val="22"/>
          <w:szCs w:val="28"/>
        </w:rPr>
        <w:t>Site</w:t>
      </w:r>
      <w:r w:rsidRPr="00DA1D0C">
        <w:rPr>
          <w:rFonts w:cs="Arial" w:eastAsiaTheme="minorEastAsia"/>
          <w:b/>
          <w:i/>
          <w:sz w:val="22"/>
          <w:szCs w:val="28"/>
        </w:rPr>
        <w:noBreakHyphen/>
        <w:t>Specific Fitness</w:t>
      </w:r>
      <w:r w:rsidR="00A60A46">
        <w:rPr>
          <w:rFonts w:cs="Arial" w:eastAsiaTheme="minorEastAsia"/>
          <w:b/>
          <w:i/>
          <w:sz w:val="22"/>
          <w:szCs w:val="28"/>
        </w:rPr>
        <w:t xml:space="preserve"> </w:t>
      </w:r>
      <w:r w:rsidRPr="00DA1D0C">
        <w:rPr>
          <w:rFonts w:cs="Arial" w:eastAsiaTheme="minorEastAsia"/>
          <w:b/>
          <w:i/>
          <w:sz w:val="22"/>
          <w:szCs w:val="28"/>
        </w:rPr>
        <w:t>for</w:t>
      </w:r>
      <w:r w:rsidR="00A60A46">
        <w:rPr>
          <w:rFonts w:cs="Arial" w:eastAsiaTheme="minorEastAsia"/>
          <w:b/>
          <w:i/>
          <w:sz w:val="22"/>
          <w:szCs w:val="28"/>
        </w:rPr>
        <w:t xml:space="preserve"> </w:t>
      </w:r>
      <w:r w:rsidRPr="00DA1D0C">
        <w:rPr>
          <w:rFonts w:cs="Arial" w:eastAsiaTheme="minorEastAsia"/>
          <w:b/>
          <w:i/>
          <w:sz w:val="22"/>
          <w:szCs w:val="28"/>
        </w:rPr>
        <w:t>Duty Program Performance Data (Calendar Years 2009–201</w:t>
      </w:r>
      <w:r w:rsidRPr="00DA1D0C" w:rsidR="00467D35">
        <w:rPr>
          <w:rFonts w:cs="Arial" w:eastAsiaTheme="minorEastAsia"/>
          <w:b/>
          <w:i/>
          <w:sz w:val="22"/>
          <w:szCs w:val="28"/>
        </w:rPr>
        <w:t>9</w:t>
      </w:r>
      <w:r w:rsidRPr="00DA1D0C">
        <w:rPr>
          <w:rFonts w:cs="Arial" w:eastAsiaTheme="minorEastAsia"/>
          <w:b/>
          <w:i/>
          <w:sz w:val="22"/>
          <w:szCs w:val="28"/>
        </w:rPr>
        <w:t>)</w:t>
      </w:r>
      <w:bookmarkEnd w:id="294"/>
    </w:p>
    <w:p w:rsidRPr="00C96AF2" w:rsidR="00D520BD" w:rsidP="00D520BD" w:rsidRDefault="00D520BD" w14:paraId="04458FA6" w14:textId="3036866E">
      <w:pPr>
        <w:rPr>
          <w:i/>
          <w:sz w:val="22"/>
          <w:szCs w:val="22"/>
        </w:rPr>
      </w:pPr>
      <w:r w:rsidRPr="00C96AF2">
        <w:rPr>
          <w:i/>
          <w:sz w:val="22"/>
          <w:szCs w:val="22"/>
        </w:rPr>
        <w:t>(Table sorted by Facil</w:t>
      </w:r>
      <w:r>
        <w:rPr>
          <w:i/>
          <w:sz w:val="22"/>
          <w:szCs w:val="22"/>
        </w:rPr>
        <w:t>i</w:t>
      </w:r>
      <w:r w:rsidRPr="00C96AF2">
        <w:rPr>
          <w:i/>
          <w:sz w:val="22"/>
          <w:szCs w:val="22"/>
        </w:rPr>
        <w:t>ty Type</w:t>
      </w:r>
      <w:r w:rsidR="00646A79">
        <w:rPr>
          <w:i/>
          <w:sz w:val="22"/>
          <w:szCs w:val="22"/>
        </w:rPr>
        <w:t>,</w:t>
      </w:r>
      <w:r w:rsidRPr="00C96AF2">
        <w:rPr>
          <w:i/>
          <w:sz w:val="22"/>
          <w:szCs w:val="22"/>
        </w:rPr>
        <w:t xml:space="preserve"> </w:t>
      </w:r>
      <w:r w:rsidR="002B6AA0">
        <w:rPr>
          <w:i/>
          <w:sz w:val="22"/>
          <w:szCs w:val="22"/>
        </w:rPr>
        <w:t xml:space="preserve">then </w:t>
      </w:r>
      <w:r w:rsidR="000E31AA">
        <w:rPr>
          <w:i/>
          <w:sz w:val="22"/>
          <w:szCs w:val="22"/>
        </w:rPr>
        <w:t xml:space="preserve">Units, and </w:t>
      </w:r>
      <w:r w:rsidR="002B6AA0">
        <w:rPr>
          <w:i/>
          <w:sz w:val="22"/>
          <w:szCs w:val="22"/>
        </w:rPr>
        <w:t xml:space="preserve">then </w:t>
      </w:r>
      <w:r w:rsidR="000E31AA">
        <w:rPr>
          <w:i/>
          <w:sz w:val="22"/>
          <w:szCs w:val="22"/>
        </w:rPr>
        <w:t>F</w:t>
      </w:r>
      <w:r w:rsidR="005C00C4">
        <w:rPr>
          <w:i/>
          <w:sz w:val="22"/>
          <w:szCs w:val="22"/>
        </w:rPr>
        <w:t>acility</w:t>
      </w:r>
      <w:r w:rsidRPr="00C96AF2">
        <w:rPr>
          <w:i/>
          <w:sz w:val="22"/>
          <w:szCs w:val="22"/>
        </w:rPr>
        <w:t>)</w:t>
      </w:r>
    </w:p>
    <w:p w:rsidR="00D520BD" w:rsidP="00D520BD" w:rsidRDefault="00D520BD" w14:paraId="7BA48128" w14:textId="77777777">
      <w:pPr>
        <w:ind w:right="-20"/>
        <w:rPr>
          <w:rFonts w:eastAsia="Arial" w:cs="Arial"/>
          <w:sz w:val="12"/>
          <w:szCs w:val="12"/>
          <w:u w:val="single" w:color="000000"/>
        </w:rPr>
      </w:pPr>
    </w:p>
    <w:tbl>
      <w:tblPr>
        <w:tblW w:w="18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981"/>
        <w:gridCol w:w="1805"/>
        <w:gridCol w:w="1175"/>
        <w:gridCol w:w="450"/>
        <w:gridCol w:w="633"/>
        <w:gridCol w:w="450"/>
        <w:gridCol w:w="622"/>
        <w:gridCol w:w="458"/>
        <w:gridCol w:w="630"/>
        <w:gridCol w:w="450"/>
        <w:gridCol w:w="710"/>
        <w:gridCol w:w="450"/>
        <w:gridCol w:w="721"/>
        <w:gridCol w:w="458"/>
        <w:gridCol w:w="622"/>
        <w:gridCol w:w="542"/>
        <w:gridCol w:w="630"/>
        <w:gridCol w:w="454"/>
        <w:gridCol w:w="633"/>
        <w:gridCol w:w="534"/>
        <w:gridCol w:w="641"/>
        <w:gridCol w:w="545"/>
        <w:gridCol w:w="721"/>
        <w:gridCol w:w="542"/>
        <w:gridCol w:w="717"/>
        <w:gridCol w:w="523"/>
        <w:gridCol w:w="652"/>
        <w:gridCol w:w="553"/>
      </w:tblGrid>
      <w:tr w:rsidRPr="00E92506" w:rsidR="000D41FC" w:rsidTr="000D41FC" w14:paraId="2407C6CC" w14:textId="77777777">
        <w:trPr>
          <w:trHeight w:val="269"/>
          <w:tblHeader/>
        </w:trPr>
        <w:tc>
          <w:tcPr>
            <w:tcW w:w="268" w:type="pct"/>
            <w:vMerge w:val="restart"/>
            <w:shd w:val="clear" w:color="auto" w:fill="D9D9D9" w:themeFill="background1" w:themeFillShade="D9"/>
            <w:tcMar>
              <w:left w:w="58" w:type="dxa"/>
              <w:right w:w="58" w:type="dxa"/>
            </w:tcMar>
            <w:vAlign w:val="center"/>
            <w:hideMark/>
          </w:tcPr>
          <w:p w:rsidR="00335C19" w:rsidP="0061705C" w:rsidRDefault="00BE2140" w14:paraId="1123D3B1" w14:textId="4FFB205F">
            <w:pPr>
              <w:ind w:hanging="18"/>
              <w:jc w:val="center"/>
              <w:rPr>
                <w:rFonts w:asciiTheme="minorHAnsi" w:hAnsiTheme="minorHAnsi" w:cstheme="minorHAnsi"/>
                <w:b/>
                <w:bCs/>
                <w:sz w:val="16"/>
                <w:szCs w:val="16"/>
              </w:rPr>
            </w:pPr>
            <w:r w:rsidRPr="00196D17">
              <w:rPr>
                <w:rFonts w:asciiTheme="minorHAnsi" w:hAnsiTheme="minorHAnsi" w:cstheme="minorHAnsi"/>
                <w:b/>
                <w:bCs/>
                <w:sz w:val="16"/>
                <w:szCs w:val="16"/>
              </w:rPr>
              <w:t>Facility</w:t>
            </w:r>
          </w:p>
          <w:p w:rsidRPr="00196D17" w:rsidR="00BE2140" w:rsidP="0061705C" w:rsidRDefault="00BE2140" w14:paraId="70FBE206" w14:textId="152A419D">
            <w:pPr>
              <w:ind w:hanging="18"/>
              <w:jc w:val="center"/>
              <w:rPr>
                <w:rFonts w:asciiTheme="minorHAnsi" w:hAnsiTheme="minorHAnsi" w:cstheme="minorHAnsi"/>
                <w:b/>
                <w:bCs/>
                <w:sz w:val="16"/>
                <w:szCs w:val="16"/>
              </w:rPr>
            </w:pPr>
            <w:r w:rsidRPr="00196D17">
              <w:rPr>
                <w:rFonts w:asciiTheme="minorHAnsi" w:hAnsiTheme="minorHAnsi" w:cstheme="minorHAnsi"/>
                <w:b/>
                <w:bCs/>
                <w:sz w:val="16"/>
                <w:szCs w:val="16"/>
              </w:rPr>
              <w:t>Type</w:t>
            </w:r>
          </w:p>
        </w:tc>
        <w:tc>
          <w:tcPr>
            <w:tcW w:w="493" w:type="pct"/>
            <w:vMerge w:val="restart"/>
            <w:shd w:val="clear" w:color="auto" w:fill="D9D9D9" w:themeFill="background1" w:themeFillShade="D9"/>
            <w:tcMar>
              <w:left w:w="58" w:type="dxa"/>
              <w:right w:w="58" w:type="dxa"/>
            </w:tcMar>
            <w:vAlign w:val="center"/>
            <w:hideMark/>
          </w:tcPr>
          <w:p w:rsidRPr="00196D17" w:rsidR="00BE2140" w:rsidP="00BE2140" w:rsidRDefault="00BE2140" w14:paraId="0A1B022F" w14:textId="77777777">
            <w:pPr>
              <w:jc w:val="center"/>
              <w:rPr>
                <w:rFonts w:asciiTheme="minorHAnsi" w:hAnsiTheme="minorHAnsi" w:cstheme="minorHAnsi"/>
                <w:b/>
                <w:bCs/>
                <w:sz w:val="16"/>
                <w:szCs w:val="16"/>
              </w:rPr>
            </w:pPr>
            <w:r w:rsidRPr="00196D17">
              <w:rPr>
                <w:rFonts w:asciiTheme="minorHAnsi" w:hAnsiTheme="minorHAnsi" w:cstheme="minorHAnsi"/>
                <w:b/>
                <w:bCs/>
                <w:sz w:val="16"/>
                <w:szCs w:val="16"/>
              </w:rPr>
              <w:t>FFD Program</w:t>
            </w:r>
          </w:p>
        </w:tc>
        <w:tc>
          <w:tcPr>
            <w:tcW w:w="321" w:type="pct"/>
            <w:vMerge w:val="restart"/>
            <w:shd w:val="clear" w:color="auto" w:fill="D9D9D9" w:themeFill="background1" w:themeFillShade="D9"/>
            <w:tcMar>
              <w:left w:w="58" w:type="dxa"/>
              <w:right w:w="58" w:type="dxa"/>
            </w:tcMar>
            <w:vAlign w:val="center"/>
            <w:hideMark/>
          </w:tcPr>
          <w:p w:rsidRPr="00196D17" w:rsidR="00BE2140" w:rsidP="00C037B3" w:rsidRDefault="00BE2140" w14:paraId="492F7E3F" w14:textId="77777777">
            <w:pPr>
              <w:ind w:left="-64" w:firstLine="64"/>
              <w:jc w:val="center"/>
              <w:rPr>
                <w:rFonts w:asciiTheme="minorHAnsi" w:hAnsiTheme="minorHAnsi" w:cstheme="minorHAnsi"/>
                <w:b/>
                <w:bCs/>
                <w:sz w:val="16"/>
                <w:szCs w:val="16"/>
              </w:rPr>
            </w:pPr>
            <w:r w:rsidRPr="00196D17">
              <w:rPr>
                <w:rFonts w:asciiTheme="minorHAnsi" w:hAnsiTheme="minorHAnsi" w:cstheme="minorHAnsi"/>
                <w:b/>
                <w:bCs/>
                <w:sz w:val="16"/>
                <w:szCs w:val="16"/>
              </w:rPr>
              <w:t>Facility</w:t>
            </w:r>
          </w:p>
        </w:tc>
        <w:tc>
          <w:tcPr>
            <w:tcW w:w="123" w:type="pct"/>
            <w:vMerge w:val="restart"/>
            <w:shd w:val="clear" w:color="auto" w:fill="D9D9D9" w:themeFill="background1" w:themeFillShade="D9"/>
            <w:tcMar>
              <w:left w:w="58" w:type="dxa"/>
              <w:right w:w="58" w:type="dxa"/>
            </w:tcMar>
            <w:textDirection w:val="tbRl"/>
            <w:vAlign w:val="center"/>
            <w:hideMark/>
          </w:tcPr>
          <w:p w:rsidRPr="00196D17" w:rsidR="00BE2140" w:rsidP="00BE2140" w:rsidRDefault="00BE2140" w14:paraId="3E0B0111" w14:textId="77777777">
            <w:pPr>
              <w:ind w:left="113" w:right="113"/>
              <w:jc w:val="center"/>
              <w:rPr>
                <w:rFonts w:asciiTheme="minorHAnsi" w:hAnsiTheme="minorHAnsi" w:cstheme="minorHAnsi"/>
                <w:b/>
                <w:bCs/>
                <w:sz w:val="16"/>
                <w:szCs w:val="16"/>
              </w:rPr>
            </w:pPr>
            <w:r w:rsidRPr="00196D17">
              <w:rPr>
                <w:rFonts w:asciiTheme="minorHAnsi" w:hAnsiTheme="minorHAnsi" w:cstheme="minorHAnsi"/>
                <w:b/>
                <w:bCs/>
                <w:sz w:val="16"/>
                <w:szCs w:val="16"/>
              </w:rPr>
              <w:t>Units</w:t>
            </w:r>
          </w:p>
        </w:tc>
        <w:tc>
          <w:tcPr>
            <w:tcW w:w="296" w:type="pct"/>
            <w:gridSpan w:val="2"/>
            <w:shd w:val="clear" w:color="auto" w:fill="D9D9D9" w:themeFill="background1" w:themeFillShade="D9"/>
            <w:tcMar>
              <w:left w:w="58" w:type="dxa"/>
              <w:right w:w="58" w:type="dxa"/>
            </w:tcMar>
            <w:vAlign w:val="center"/>
            <w:hideMark/>
          </w:tcPr>
          <w:p w:rsidRPr="00196D17" w:rsidR="00BE2140" w:rsidP="00BE2140" w:rsidRDefault="00BE2140" w14:paraId="4734BC45" w14:textId="77777777">
            <w:pPr>
              <w:jc w:val="center"/>
              <w:rPr>
                <w:rFonts w:asciiTheme="minorHAnsi" w:hAnsiTheme="minorHAnsi" w:cstheme="minorHAnsi"/>
                <w:b/>
                <w:bCs/>
                <w:sz w:val="16"/>
                <w:szCs w:val="16"/>
              </w:rPr>
            </w:pPr>
            <w:r w:rsidRPr="00196D17">
              <w:rPr>
                <w:rFonts w:asciiTheme="minorHAnsi" w:hAnsiTheme="minorHAnsi" w:cstheme="minorHAnsi"/>
                <w:b/>
                <w:bCs/>
                <w:sz w:val="16"/>
                <w:szCs w:val="16"/>
              </w:rPr>
              <w:t>2009 Total</w:t>
            </w:r>
          </w:p>
        </w:tc>
        <w:tc>
          <w:tcPr>
            <w:tcW w:w="295" w:type="pct"/>
            <w:gridSpan w:val="2"/>
            <w:shd w:val="clear" w:color="auto" w:fill="D9D9D9" w:themeFill="background1" w:themeFillShade="D9"/>
            <w:tcMar>
              <w:left w:w="58" w:type="dxa"/>
              <w:right w:w="58" w:type="dxa"/>
            </w:tcMar>
            <w:vAlign w:val="center"/>
            <w:hideMark/>
          </w:tcPr>
          <w:p w:rsidRPr="00196D17" w:rsidR="00BE2140" w:rsidP="00BE2140" w:rsidRDefault="00BE2140" w14:paraId="4D278DC4" w14:textId="77777777">
            <w:pPr>
              <w:jc w:val="center"/>
              <w:rPr>
                <w:rFonts w:asciiTheme="minorHAnsi" w:hAnsiTheme="minorHAnsi" w:cstheme="minorHAnsi"/>
                <w:b/>
                <w:bCs/>
                <w:sz w:val="16"/>
                <w:szCs w:val="16"/>
              </w:rPr>
            </w:pPr>
            <w:r w:rsidRPr="00196D17">
              <w:rPr>
                <w:rFonts w:asciiTheme="minorHAnsi" w:hAnsiTheme="minorHAnsi" w:cstheme="minorHAnsi"/>
                <w:b/>
                <w:bCs/>
                <w:sz w:val="16"/>
                <w:szCs w:val="16"/>
              </w:rPr>
              <w:t>2010 Total</w:t>
            </w:r>
          </w:p>
        </w:tc>
        <w:tc>
          <w:tcPr>
            <w:tcW w:w="295" w:type="pct"/>
            <w:gridSpan w:val="2"/>
            <w:shd w:val="clear" w:color="auto" w:fill="D9D9D9" w:themeFill="background1" w:themeFillShade="D9"/>
            <w:tcMar>
              <w:left w:w="58" w:type="dxa"/>
              <w:right w:w="58" w:type="dxa"/>
            </w:tcMar>
            <w:vAlign w:val="center"/>
            <w:hideMark/>
          </w:tcPr>
          <w:p w:rsidRPr="00196D17" w:rsidR="00BE2140" w:rsidP="00BE2140" w:rsidRDefault="00BE2140" w14:paraId="017664DC" w14:textId="77777777">
            <w:pPr>
              <w:jc w:val="center"/>
              <w:rPr>
                <w:rFonts w:asciiTheme="minorHAnsi" w:hAnsiTheme="minorHAnsi" w:cstheme="minorHAnsi"/>
                <w:b/>
                <w:bCs/>
                <w:sz w:val="16"/>
                <w:szCs w:val="16"/>
              </w:rPr>
            </w:pPr>
            <w:r w:rsidRPr="00196D17">
              <w:rPr>
                <w:rFonts w:asciiTheme="minorHAnsi" w:hAnsiTheme="minorHAnsi" w:cstheme="minorHAnsi"/>
                <w:b/>
                <w:bCs/>
                <w:sz w:val="16"/>
                <w:szCs w:val="16"/>
              </w:rPr>
              <w:t>2011 Total</w:t>
            </w:r>
          </w:p>
        </w:tc>
        <w:tc>
          <w:tcPr>
            <w:tcW w:w="317" w:type="pct"/>
            <w:gridSpan w:val="2"/>
            <w:shd w:val="clear" w:color="auto" w:fill="D9D9D9" w:themeFill="background1" w:themeFillShade="D9"/>
            <w:tcMar>
              <w:left w:w="58" w:type="dxa"/>
              <w:right w:w="58" w:type="dxa"/>
            </w:tcMar>
            <w:vAlign w:val="center"/>
            <w:hideMark/>
          </w:tcPr>
          <w:p w:rsidRPr="00196D17" w:rsidR="00BE2140" w:rsidP="00BE2140" w:rsidRDefault="00BE2140" w14:paraId="3607F86E" w14:textId="77777777">
            <w:pPr>
              <w:jc w:val="center"/>
              <w:rPr>
                <w:rFonts w:asciiTheme="minorHAnsi" w:hAnsiTheme="minorHAnsi" w:cstheme="minorHAnsi"/>
                <w:b/>
                <w:bCs/>
                <w:sz w:val="16"/>
                <w:szCs w:val="16"/>
              </w:rPr>
            </w:pPr>
            <w:r w:rsidRPr="00196D17">
              <w:rPr>
                <w:rFonts w:asciiTheme="minorHAnsi" w:hAnsiTheme="minorHAnsi" w:cstheme="minorHAnsi"/>
                <w:b/>
                <w:bCs/>
                <w:sz w:val="16"/>
                <w:szCs w:val="16"/>
              </w:rPr>
              <w:t>2012 Total</w:t>
            </w:r>
          </w:p>
        </w:tc>
        <w:tc>
          <w:tcPr>
            <w:tcW w:w="322" w:type="pct"/>
            <w:gridSpan w:val="2"/>
            <w:shd w:val="clear" w:color="auto" w:fill="D9D9D9" w:themeFill="background1" w:themeFillShade="D9"/>
            <w:tcMar>
              <w:left w:w="58" w:type="dxa"/>
              <w:right w:w="58" w:type="dxa"/>
            </w:tcMar>
            <w:vAlign w:val="center"/>
            <w:hideMark/>
          </w:tcPr>
          <w:p w:rsidRPr="00196D17" w:rsidR="00BE2140" w:rsidP="00BE2140" w:rsidRDefault="00BE2140" w14:paraId="6AD269C1" w14:textId="77777777">
            <w:pPr>
              <w:jc w:val="center"/>
              <w:rPr>
                <w:rFonts w:asciiTheme="minorHAnsi" w:hAnsiTheme="minorHAnsi" w:cstheme="minorHAnsi"/>
                <w:b/>
                <w:bCs/>
                <w:sz w:val="16"/>
                <w:szCs w:val="16"/>
              </w:rPr>
            </w:pPr>
            <w:r w:rsidRPr="00196D17">
              <w:rPr>
                <w:rFonts w:asciiTheme="minorHAnsi" w:hAnsiTheme="minorHAnsi" w:cstheme="minorHAnsi"/>
                <w:b/>
                <w:bCs/>
                <w:sz w:val="16"/>
                <w:szCs w:val="16"/>
              </w:rPr>
              <w:t>2013 Total</w:t>
            </w:r>
          </w:p>
        </w:tc>
        <w:tc>
          <w:tcPr>
            <w:tcW w:w="318" w:type="pct"/>
            <w:gridSpan w:val="2"/>
            <w:shd w:val="clear" w:color="auto" w:fill="D9D9D9" w:themeFill="background1" w:themeFillShade="D9"/>
            <w:tcMar>
              <w:left w:w="58" w:type="dxa"/>
              <w:right w:w="58" w:type="dxa"/>
            </w:tcMar>
            <w:vAlign w:val="center"/>
            <w:hideMark/>
          </w:tcPr>
          <w:p w:rsidRPr="00196D17" w:rsidR="00BE2140" w:rsidP="00BE2140" w:rsidRDefault="00BE2140" w14:paraId="252FF598" w14:textId="77777777">
            <w:pPr>
              <w:jc w:val="center"/>
              <w:rPr>
                <w:rFonts w:asciiTheme="minorHAnsi" w:hAnsiTheme="minorHAnsi" w:cstheme="minorHAnsi"/>
                <w:b/>
                <w:bCs/>
                <w:sz w:val="16"/>
                <w:szCs w:val="16"/>
              </w:rPr>
            </w:pPr>
            <w:r w:rsidRPr="00196D17">
              <w:rPr>
                <w:rFonts w:asciiTheme="minorHAnsi" w:hAnsiTheme="minorHAnsi" w:cstheme="minorHAnsi"/>
                <w:b/>
                <w:bCs/>
                <w:sz w:val="16"/>
                <w:szCs w:val="16"/>
              </w:rPr>
              <w:t>2014 Total</w:t>
            </w:r>
          </w:p>
        </w:tc>
        <w:tc>
          <w:tcPr>
            <w:tcW w:w="296" w:type="pct"/>
            <w:gridSpan w:val="2"/>
            <w:shd w:val="clear" w:color="auto" w:fill="D9D9D9" w:themeFill="background1" w:themeFillShade="D9"/>
            <w:vAlign w:val="center"/>
          </w:tcPr>
          <w:p w:rsidRPr="00196D17" w:rsidR="00BE2140" w:rsidP="00BE2140" w:rsidRDefault="00BE2140" w14:paraId="44D572BD" w14:textId="65758A89">
            <w:pPr>
              <w:jc w:val="center"/>
              <w:rPr>
                <w:rFonts w:asciiTheme="minorHAnsi" w:hAnsiTheme="minorHAnsi" w:cstheme="minorHAnsi"/>
                <w:b/>
                <w:bCs/>
                <w:sz w:val="16"/>
                <w:szCs w:val="16"/>
              </w:rPr>
            </w:pPr>
            <w:r w:rsidRPr="00196D17">
              <w:rPr>
                <w:rFonts w:asciiTheme="minorHAnsi" w:hAnsiTheme="minorHAnsi" w:cstheme="minorHAnsi"/>
                <w:b/>
                <w:bCs/>
                <w:sz w:val="16"/>
                <w:szCs w:val="16"/>
              </w:rPr>
              <w:t>2015 Total</w:t>
            </w:r>
          </w:p>
        </w:tc>
        <w:tc>
          <w:tcPr>
            <w:tcW w:w="319" w:type="pct"/>
            <w:gridSpan w:val="2"/>
            <w:shd w:val="clear" w:color="auto" w:fill="D9D9D9" w:themeFill="background1" w:themeFillShade="D9"/>
            <w:vAlign w:val="center"/>
          </w:tcPr>
          <w:p w:rsidRPr="00196D17" w:rsidR="00BE2140" w:rsidP="00BE2140" w:rsidRDefault="00BE2140" w14:paraId="550F4988" w14:textId="547EDF2F">
            <w:pPr>
              <w:jc w:val="center"/>
              <w:rPr>
                <w:rFonts w:asciiTheme="minorHAnsi" w:hAnsiTheme="minorHAnsi" w:cstheme="minorHAnsi"/>
                <w:b/>
                <w:bCs/>
                <w:sz w:val="16"/>
                <w:szCs w:val="16"/>
              </w:rPr>
            </w:pPr>
            <w:r w:rsidRPr="00196D17">
              <w:rPr>
                <w:rFonts w:asciiTheme="minorHAnsi" w:hAnsiTheme="minorHAnsi" w:cstheme="minorHAnsi"/>
                <w:b/>
                <w:bCs/>
                <w:sz w:val="16"/>
                <w:szCs w:val="16"/>
              </w:rPr>
              <w:t>2016 Total</w:t>
            </w:r>
          </w:p>
        </w:tc>
        <w:tc>
          <w:tcPr>
            <w:tcW w:w="324" w:type="pct"/>
            <w:gridSpan w:val="2"/>
            <w:shd w:val="clear" w:color="auto" w:fill="D9D9D9" w:themeFill="background1" w:themeFillShade="D9"/>
            <w:vAlign w:val="center"/>
          </w:tcPr>
          <w:p w:rsidRPr="00196D17" w:rsidR="00BE2140" w:rsidP="00BE2140" w:rsidRDefault="00BE2140" w14:paraId="441BFF6C" w14:textId="4853CFC0">
            <w:pPr>
              <w:jc w:val="center"/>
              <w:rPr>
                <w:rFonts w:asciiTheme="minorHAnsi" w:hAnsiTheme="minorHAnsi" w:cstheme="minorHAnsi"/>
                <w:b/>
                <w:bCs/>
                <w:sz w:val="16"/>
                <w:szCs w:val="16"/>
              </w:rPr>
            </w:pPr>
            <w:r w:rsidRPr="00196D17">
              <w:rPr>
                <w:rFonts w:asciiTheme="minorHAnsi" w:hAnsiTheme="minorHAnsi" w:cstheme="minorHAnsi"/>
                <w:b/>
                <w:bCs/>
                <w:sz w:val="16"/>
                <w:szCs w:val="16"/>
              </w:rPr>
              <w:t>2017 Total</w:t>
            </w:r>
          </w:p>
        </w:tc>
        <w:tc>
          <w:tcPr>
            <w:tcW w:w="345" w:type="pct"/>
            <w:gridSpan w:val="2"/>
            <w:shd w:val="clear" w:color="auto" w:fill="D9D9D9" w:themeFill="background1" w:themeFillShade="D9"/>
            <w:vAlign w:val="center"/>
          </w:tcPr>
          <w:p w:rsidRPr="00196D17" w:rsidR="00BE2140" w:rsidP="00BE2140" w:rsidRDefault="00BE2140" w14:paraId="4247701C" w14:textId="5DBC29BA">
            <w:pPr>
              <w:jc w:val="center"/>
              <w:rPr>
                <w:rFonts w:asciiTheme="minorHAnsi" w:hAnsiTheme="minorHAnsi" w:cstheme="minorHAnsi"/>
                <w:b/>
                <w:bCs/>
                <w:sz w:val="16"/>
                <w:szCs w:val="16"/>
              </w:rPr>
            </w:pPr>
            <w:r w:rsidRPr="00196D17">
              <w:rPr>
                <w:rFonts w:asciiTheme="minorHAnsi" w:hAnsiTheme="minorHAnsi" w:cstheme="minorHAnsi"/>
                <w:b/>
                <w:bCs/>
                <w:sz w:val="16"/>
                <w:szCs w:val="16"/>
              </w:rPr>
              <w:t>201</w:t>
            </w:r>
            <w:r w:rsidRPr="00196D17" w:rsidR="0087275F">
              <w:rPr>
                <w:rFonts w:asciiTheme="minorHAnsi" w:hAnsiTheme="minorHAnsi" w:cstheme="minorHAnsi"/>
                <w:b/>
                <w:bCs/>
                <w:sz w:val="16"/>
                <w:szCs w:val="16"/>
              </w:rPr>
              <w:t>8</w:t>
            </w:r>
            <w:r w:rsidRPr="00196D17">
              <w:rPr>
                <w:rFonts w:asciiTheme="minorHAnsi" w:hAnsiTheme="minorHAnsi" w:cstheme="minorHAnsi"/>
                <w:b/>
                <w:bCs/>
                <w:sz w:val="16"/>
                <w:szCs w:val="16"/>
              </w:rPr>
              <w:t xml:space="preserve"> Total</w:t>
            </w:r>
          </w:p>
        </w:tc>
        <w:tc>
          <w:tcPr>
            <w:tcW w:w="339" w:type="pct"/>
            <w:gridSpan w:val="2"/>
            <w:shd w:val="clear" w:color="auto" w:fill="D9D9D9" w:themeFill="background1" w:themeFillShade="D9"/>
            <w:vAlign w:val="center"/>
          </w:tcPr>
          <w:p w:rsidRPr="00196D17" w:rsidR="00BE2140" w:rsidP="00BE2140" w:rsidRDefault="00BE2140" w14:paraId="6A68EC83" w14:textId="1FB2248F">
            <w:pPr>
              <w:jc w:val="center"/>
              <w:rPr>
                <w:rFonts w:asciiTheme="minorHAnsi" w:hAnsiTheme="minorHAnsi" w:cstheme="minorHAnsi"/>
                <w:b/>
                <w:bCs/>
                <w:sz w:val="16"/>
                <w:szCs w:val="16"/>
              </w:rPr>
            </w:pPr>
            <w:r w:rsidRPr="00196D17">
              <w:rPr>
                <w:rFonts w:asciiTheme="minorHAnsi" w:hAnsiTheme="minorHAnsi" w:cstheme="minorHAnsi"/>
                <w:b/>
                <w:bCs/>
                <w:sz w:val="16"/>
                <w:szCs w:val="16"/>
              </w:rPr>
              <w:t>201</w:t>
            </w:r>
            <w:r w:rsidRPr="00196D17" w:rsidR="0087275F">
              <w:rPr>
                <w:rFonts w:asciiTheme="minorHAnsi" w:hAnsiTheme="minorHAnsi" w:cstheme="minorHAnsi"/>
                <w:b/>
                <w:bCs/>
                <w:sz w:val="16"/>
                <w:szCs w:val="16"/>
              </w:rPr>
              <w:t>9</w:t>
            </w:r>
            <w:r w:rsidRPr="00196D17">
              <w:rPr>
                <w:rFonts w:asciiTheme="minorHAnsi" w:hAnsiTheme="minorHAnsi" w:cstheme="minorHAnsi"/>
                <w:b/>
                <w:bCs/>
                <w:sz w:val="16"/>
                <w:szCs w:val="16"/>
              </w:rPr>
              <w:t xml:space="preserve"> Total</w:t>
            </w:r>
          </w:p>
        </w:tc>
        <w:tc>
          <w:tcPr>
            <w:tcW w:w="329" w:type="pct"/>
            <w:gridSpan w:val="2"/>
            <w:shd w:val="clear" w:color="auto" w:fill="D9D9D9" w:themeFill="background1" w:themeFillShade="D9"/>
            <w:tcMar>
              <w:left w:w="58" w:type="dxa"/>
              <w:right w:w="58" w:type="dxa"/>
            </w:tcMar>
            <w:vAlign w:val="center"/>
            <w:hideMark/>
          </w:tcPr>
          <w:p w:rsidRPr="00196D17" w:rsidR="00BE2140" w:rsidP="00BE2140" w:rsidRDefault="00BE2140" w14:paraId="3BED9206" w14:textId="18DE019F">
            <w:pPr>
              <w:jc w:val="center"/>
              <w:rPr>
                <w:rFonts w:asciiTheme="minorHAnsi" w:hAnsiTheme="minorHAnsi" w:cstheme="minorHAnsi"/>
                <w:b/>
                <w:bCs/>
                <w:sz w:val="16"/>
                <w:szCs w:val="16"/>
              </w:rPr>
            </w:pPr>
            <w:r w:rsidRPr="00196D17">
              <w:rPr>
                <w:rFonts w:asciiTheme="minorHAnsi" w:hAnsiTheme="minorHAnsi" w:cstheme="minorHAnsi"/>
                <w:b/>
                <w:bCs/>
                <w:sz w:val="16"/>
                <w:szCs w:val="16"/>
              </w:rPr>
              <w:t>Average</w:t>
            </w:r>
            <w:r w:rsidRPr="00196D17">
              <w:rPr>
                <w:rFonts w:asciiTheme="minorHAnsi" w:hAnsiTheme="minorHAnsi" w:cstheme="minorHAnsi"/>
                <w:b/>
                <w:bCs/>
                <w:sz w:val="16"/>
                <w:szCs w:val="16"/>
              </w:rPr>
              <w:br/>
              <w:t>2009–201</w:t>
            </w:r>
            <w:r w:rsidR="00DA1D0C">
              <w:rPr>
                <w:rFonts w:asciiTheme="minorHAnsi" w:hAnsiTheme="minorHAnsi" w:cstheme="minorHAnsi"/>
                <w:b/>
                <w:bCs/>
                <w:sz w:val="16"/>
                <w:szCs w:val="16"/>
              </w:rPr>
              <w:t>9</w:t>
            </w:r>
          </w:p>
        </w:tc>
      </w:tr>
      <w:tr w:rsidRPr="00E92506" w:rsidR="000D41FC" w:rsidTr="000D41FC" w14:paraId="0B0BEAFD" w14:textId="77777777">
        <w:trPr>
          <w:cantSplit/>
          <w:trHeight w:val="818"/>
          <w:tblHeader/>
        </w:trPr>
        <w:tc>
          <w:tcPr>
            <w:tcW w:w="268" w:type="pct"/>
            <w:vMerge/>
            <w:shd w:val="clear" w:color="auto" w:fill="D9D9D9" w:themeFill="background1" w:themeFillShade="D9"/>
            <w:tcMar>
              <w:left w:w="58" w:type="dxa"/>
              <w:right w:w="58" w:type="dxa"/>
            </w:tcMar>
            <w:vAlign w:val="center"/>
          </w:tcPr>
          <w:p w:rsidRPr="00196D17" w:rsidR="00166D85" w:rsidP="00166D85" w:rsidRDefault="00166D85" w14:paraId="49EB2443" w14:textId="77777777">
            <w:pPr>
              <w:rPr>
                <w:rFonts w:asciiTheme="minorHAnsi" w:hAnsiTheme="minorHAnsi" w:cstheme="minorHAnsi"/>
                <w:b/>
                <w:bCs/>
                <w:sz w:val="16"/>
                <w:szCs w:val="16"/>
              </w:rPr>
            </w:pPr>
          </w:p>
        </w:tc>
        <w:tc>
          <w:tcPr>
            <w:tcW w:w="493" w:type="pct"/>
            <w:vMerge/>
            <w:shd w:val="clear" w:color="auto" w:fill="D9D9D9" w:themeFill="background1" w:themeFillShade="D9"/>
            <w:tcMar>
              <w:left w:w="58" w:type="dxa"/>
              <w:right w:w="58" w:type="dxa"/>
            </w:tcMar>
            <w:vAlign w:val="center"/>
          </w:tcPr>
          <w:p w:rsidRPr="00196D17" w:rsidR="00166D85" w:rsidP="00166D85" w:rsidRDefault="00166D85" w14:paraId="5CDB03DE" w14:textId="77777777">
            <w:pPr>
              <w:rPr>
                <w:rFonts w:asciiTheme="minorHAnsi" w:hAnsiTheme="minorHAnsi" w:cstheme="minorHAnsi"/>
                <w:b/>
                <w:bCs/>
                <w:sz w:val="16"/>
                <w:szCs w:val="16"/>
              </w:rPr>
            </w:pPr>
          </w:p>
        </w:tc>
        <w:tc>
          <w:tcPr>
            <w:tcW w:w="321" w:type="pct"/>
            <w:vMerge/>
            <w:shd w:val="clear" w:color="auto" w:fill="D9D9D9" w:themeFill="background1" w:themeFillShade="D9"/>
            <w:tcMar>
              <w:left w:w="58" w:type="dxa"/>
              <w:right w:w="58" w:type="dxa"/>
            </w:tcMar>
            <w:vAlign w:val="center"/>
          </w:tcPr>
          <w:p w:rsidRPr="00196D17" w:rsidR="00166D85" w:rsidP="00166D85" w:rsidRDefault="00166D85" w14:paraId="59303A35" w14:textId="77777777">
            <w:pPr>
              <w:rPr>
                <w:rFonts w:asciiTheme="minorHAnsi" w:hAnsiTheme="minorHAnsi" w:cstheme="minorHAnsi"/>
                <w:b/>
                <w:bCs/>
                <w:sz w:val="16"/>
                <w:szCs w:val="16"/>
              </w:rPr>
            </w:pPr>
          </w:p>
        </w:tc>
        <w:tc>
          <w:tcPr>
            <w:tcW w:w="123" w:type="pct"/>
            <w:vMerge/>
            <w:shd w:val="clear" w:color="auto" w:fill="D9D9D9" w:themeFill="background1" w:themeFillShade="D9"/>
            <w:tcMar>
              <w:left w:w="58" w:type="dxa"/>
              <w:right w:w="58" w:type="dxa"/>
            </w:tcMar>
            <w:vAlign w:val="center"/>
          </w:tcPr>
          <w:p w:rsidRPr="00196D17" w:rsidR="00166D85" w:rsidP="00166D85" w:rsidRDefault="00166D85" w14:paraId="2A35E5F0" w14:textId="77777777">
            <w:pPr>
              <w:rPr>
                <w:rFonts w:asciiTheme="minorHAnsi" w:hAnsiTheme="minorHAnsi" w:cstheme="minorHAnsi"/>
                <w:b/>
                <w:bCs/>
                <w:sz w:val="16"/>
                <w:szCs w:val="16"/>
              </w:rPr>
            </w:pPr>
          </w:p>
        </w:tc>
        <w:tc>
          <w:tcPr>
            <w:tcW w:w="173"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70C2E421"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23"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7FB6ABD0"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c>
          <w:tcPr>
            <w:tcW w:w="170"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1DEA4513"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25"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3F689CC7"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c>
          <w:tcPr>
            <w:tcW w:w="172"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2B5364F2"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23"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39546BE9"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c>
          <w:tcPr>
            <w:tcW w:w="194"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76BC94DF"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23"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3BA816F0"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c>
          <w:tcPr>
            <w:tcW w:w="197"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3A84CCA1"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25"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13AB155B"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c>
          <w:tcPr>
            <w:tcW w:w="170"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255F07DF"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48"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49BDB840"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c>
          <w:tcPr>
            <w:tcW w:w="172"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0BE640BC" w14:textId="51C1F736">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24"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000E2B52" w14:textId="1935AABC">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c>
          <w:tcPr>
            <w:tcW w:w="173"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6955F1DE" w14:textId="3AE3B92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46"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0386EEA4" w14:textId="4D42D240">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c>
          <w:tcPr>
            <w:tcW w:w="175"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6897E533" w14:textId="1788CD39">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49"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21832EDC" w14:textId="7635D3BA">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c>
          <w:tcPr>
            <w:tcW w:w="197"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1D34DBC9" w14:textId="0A08867A">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48"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07348E16" w14:textId="041BAC33">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c>
          <w:tcPr>
            <w:tcW w:w="196"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11451592" w14:textId="34A9C4A5">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43"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4D656AD3" w14:textId="6FE9B68B">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c>
          <w:tcPr>
            <w:tcW w:w="178"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0E52389C" w14:textId="060A1F74">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Tested</w:t>
            </w:r>
          </w:p>
        </w:tc>
        <w:tc>
          <w:tcPr>
            <w:tcW w:w="151" w:type="pct"/>
            <w:shd w:val="clear" w:color="auto" w:fill="D9D9D9" w:themeFill="background1" w:themeFillShade="D9"/>
            <w:tcMar>
              <w:top w:w="0" w:type="dxa"/>
              <w:left w:w="0" w:type="dxa"/>
              <w:bottom w:w="0" w:type="dxa"/>
              <w:right w:w="0" w:type="dxa"/>
            </w:tcMar>
            <w:textDirection w:val="tbRl"/>
            <w:vAlign w:val="center"/>
          </w:tcPr>
          <w:p w:rsidRPr="00196D17" w:rsidR="00166D85" w:rsidP="00166D85" w:rsidRDefault="00166D85" w14:paraId="0352657C" w14:textId="77777777">
            <w:pPr>
              <w:ind w:left="113" w:right="113"/>
              <w:jc w:val="center"/>
              <w:rPr>
                <w:rFonts w:asciiTheme="minorHAnsi" w:hAnsiTheme="minorHAnsi" w:cstheme="minorHAnsi"/>
                <w:sz w:val="16"/>
                <w:szCs w:val="16"/>
              </w:rPr>
            </w:pPr>
            <w:r w:rsidRPr="00196D17">
              <w:rPr>
                <w:rFonts w:asciiTheme="minorHAnsi" w:hAnsiTheme="minorHAnsi" w:cstheme="minorHAnsi"/>
                <w:sz w:val="16"/>
                <w:szCs w:val="16"/>
              </w:rPr>
              <w:t>Positive</w:t>
            </w:r>
          </w:p>
        </w:tc>
      </w:tr>
      <w:tr w:rsidRPr="003148DB" w:rsidR="000D41FC" w:rsidTr="000D41FC" w14:paraId="751B3919" w14:textId="77777777">
        <w:trPr>
          <w:trHeight w:val="276"/>
        </w:trPr>
        <w:tc>
          <w:tcPr>
            <w:tcW w:w="268" w:type="pct"/>
            <w:vMerge w:val="restart"/>
            <w:shd w:val="clear" w:color="auto" w:fill="auto"/>
            <w:noWrap/>
            <w:tcMar>
              <w:left w:w="58" w:type="dxa"/>
              <w:right w:w="58" w:type="dxa"/>
            </w:tcMar>
            <w:vAlign w:val="center"/>
            <w:hideMark/>
          </w:tcPr>
          <w:p w:rsidRPr="00196D17" w:rsidR="008328E0" w:rsidP="008328E0" w:rsidRDefault="008328E0" w14:paraId="11113D4B" w14:textId="130E2ECD">
            <w:pPr>
              <w:rPr>
                <w:rFonts w:asciiTheme="minorHAnsi" w:hAnsiTheme="minorHAnsi" w:cstheme="minorHAnsi"/>
                <w:sz w:val="16"/>
                <w:szCs w:val="16"/>
              </w:rPr>
            </w:pPr>
            <w:r w:rsidRPr="00196D17">
              <w:rPr>
                <w:rFonts w:asciiTheme="minorHAnsi" w:hAnsiTheme="minorHAnsi" w:cstheme="minorHAnsi"/>
                <w:sz w:val="16"/>
                <w:szCs w:val="16"/>
              </w:rPr>
              <w:t>Corporate Office</w:t>
            </w:r>
          </w:p>
        </w:tc>
        <w:tc>
          <w:tcPr>
            <w:tcW w:w="493" w:type="pct"/>
            <w:shd w:val="clear" w:color="auto" w:fill="auto"/>
            <w:noWrap/>
            <w:tcMar>
              <w:left w:w="58" w:type="dxa"/>
              <w:right w:w="29" w:type="dxa"/>
            </w:tcMar>
            <w:vAlign w:val="center"/>
            <w:hideMark/>
          </w:tcPr>
          <w:p w:rsidRPr="009055A9" w:rsidR="008328E0" w:rsidP="008328E0" w:rsidRDefault="008328E0" w14:paraId="5D69202A" w14:textId="2B5E5B63">
            <w:pPr>
              <w:rPr>
                <w:rFonts w:asciiTheme="minorHAnsi" w:hAnsiTheme="minorHAnsi" w:cstheme="minorHAnsi"/>
                <w:sz w:val="16"/>
                <w:szCs w:val="16"/>
              </w:rPr>
            </w:pPr>
            <w:r w:rsidRPr="009055A9">
              <w:rPr>
                <w:rFonts w:asciiTheme="minorHAnsi" w:hAnsiTheme="minorHAnsi" w:cstheme="minorHAnsi"/>
                <w:color w:val="000000"/>
                <w:sz w:val="16"/>
                <w:szCs w:val="16"/>
              </w:rPr>
              <w:t>Duke Energy</w:t>
            </w:r>
          </w:p>
        </w:tc>
        <w:tc>
          <w:tcPr>
            <w:tcW w:w="321" w:type="pct"/>
            <w:shd w:val="clear" w:color="auto" w:fill="auto"/>
            <w:noWrap/>
            <w:tcMar>
              <w:left w:w="58" w:type="dxa"/>
              <w:right w:w="29" w:type="dxa"/>
            </w:tcMar>
            <w:vAlign w:val="center"/>
            <w:hideMark/>
          </w:tcPr>
          <w:p w:rsidRPr="009055A9" w:rsidR="008328E0" w:rsidP="008328E0" w:rsidRDefault="008328E0" w14:paraId="2503D4C2" w14:textId="2811BDB2">
            <w:pPr>
              <w:rPr>
                <w:rFonts w:asciiTheme="minorHAnsi" w:hAnsiTheme="minorHAnsi" w:cstheme="minorHAnsi"/>
                <w:sz w:val="16"/>
                <w:szCs w:val="16"/>
              </w:rPr>
            </w:pPr>
            <w:r w:rsidRPr="009055A9">
              <w:rPr>
                <w:rFonts w:asciiTheme="minorHAnsi" w:hAnsiTheme="minorHAnsi" w:cstheme="minorHAnsi"/>
                <w:sz w:val="16"/>
                <w:szCs w:val="16"/>
              </w:rPr>
              <w:t>Duke Energy</w:t>
            </w:r>
          </w:p>
        </w:tc>
        <w:tc>
          <w:tcPr>
            <w:tcW w:w="123" w:type="pct"/>
            <w:shd w:val="clear" w:color="000000" w:fill="FFFFFF"/>
            <w:noWrap/>
            <w:tcMar>
              <w:left w:w="58" w:type="dxa"/>
              <w:right w:w="58" w:type="dxa"/>
            </w:tcMar>
            <w:vAlign w:val="center"/>
            <w:hideMark/>
          </w:tcPr>
          <w:p w:rsidRPr="009055A9" w:rsidR="008328E0" w:rsidP="008328E0" w:rsidRDefault="008328E0" w14:paraId="1F05E6BA" w14:textId="652CF82F">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8328E0" w:rsidP="008328E0" w:rsidRDefault="008328E0" w14:paraId="407135A7" w14:textId="133AB111">
            <w:pPr>
              <w:jc w:val="right"/>
              <w:rPr>
                <w:rFonts w:asciiTheme="minorHAnsi" w:hAnsiTheme="minorHAnsi" w:cstheme="minorHAnsi"/>
                <w:sz w:val="16"/>
                <w:szCs w:val="16"/>
              </w:rPr>
            </w:pPr>
            <w:r w:rsidRPr="009055A9">
              <w:rPr>
                <w:rFonts w:asciiTheme="minorHAnsi" w:hAnsiTheme="minorHAnsi" w:cstheme="minorHAnsi"/>
                <w:color w:val="000000"/>
                <w:sz w:val="16"/>
                <w:szCs w:val="16"/>
              </w:rPr>
              <w:t>337</w:t>
            </w:r>
          </w:p>
        </w:tc>
        <w:tc>
          <w:tcPr>
            <w:tcW w:w="123" w:type="pct"/>
            <w:shd w:val="clear" w:color="auto" w:fill="auto"/>
            <w:noWrap/>
            <w:tcMar>
              <w:left w:w="0" w:type="dxa"/>
              <w:right w:w="43" w:type="dxa"/>
            </w:tcMar>
            <w:vAlign w:val="center"/>
            <w:hideMark/>
          </w:tcPr>
          <w:p w:rsidRPr="009055A9" w:rsidR="008328E0" w:rsidP="008328E0" w:rsidRDefault="008328E0" w14:paraId="52241777" w14:textId="3207BA9B">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0" w:type="pct"/>
            <w:shd w:val="clear" w:color="auto" w:fill="auto"/>
            <w:noWrap/>
            <w:tcMar>
              <w:left w:w="0" w:type="dxa"/>
              <w:right w:w="43" w:type="dxa"/>
            </w:tcMar>
            <w:vAlign w:val="center"/>
            <w:hideMark/>
          </w:tcPr>
          <w:p w:rsidRPr="009055A9" w:rsidR="008328E0" w:rsidP="008328E0" w:rsidRDefault="008328E0" w14:paraId="4DA51B3A" w14:textId="124CCB37">
            <w:pPr>
              <w:jc w:val="right"/>
              <w:rPr>
                <w:rFonts w:asciiTheme="minorHAnsi" w:hAnsiTheme="minorHAnsi" w:cstheme="minorHAnsi"/>
                <w:sz w:val="16"/>
                <w:szCs w:val="16"/>
              </w:rPr>
            </w:pPr>
            <w:r w:rsidRPr="009055A9">
              <w:rPr>
                <w:rFonts w:asciiTheme="minorHAnsi" w:hAnsiTheme="minorHAnsi" w:cstheme="minorHAnsi"/>
                <w:color w:val="000000"/>
                <w:sz w:val="16"/>
                <w:szCs w:val="16"/>
              </w:rPr>
              <w:t>373</w:t>
            </w:r>
          </w:p>
        </w:tc>
        <w:tc>
          <w:tcPr>
            <w:tcW w:w="125" w:type="pct"/>
            <w:shd w:val="clear" w:color="auto" w:fill="auto"/>
            <w:noWrap/>
            <w:tcMar>
              <w:left w:w="0" w:type="dxa"/>
              <w:right w:w="43" w:type="dxa"/>
            </w:tcMar>
            <w:vAlign w:val="center"/>
            <w:hideMark/>
          </w:tcPr>
          <w:p w:rsidRPr="009055A9" w:rsidR="008328E0" w:rsidP="008328E0" w:rsidRDefault="008328E0" w14:paraId="52126898" w14:textId="14C6B1DE">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2" w:type="pct"/>
            <w:shd w:val="clear" w:color="auto" w:fill="auto"/>
            <w:noWrap/>
            <w:tcMar>
              <w:left w:w="0" w:type="dxa"/>
              <w:right w:w="43" w:type="dxa"/>
            </w:tcMar>
            <w:vAlign w:val="center"/>
            <w:hideMark/>
          </w:tcPr>
          <w:p w:rsidRPr="009055A9" w:rsidR="008328E0" w:rsidP="008328E0" w:rsidRDefault="008328E0" w14:paraId="274377F8" w14:textId="5C11FC01">
            <w:pPr>
              <w:jc w:val="right"/>
              <w:rPr>
                <w:rFonts w:asciiTheme="minorHAnsi" w:hAnsiTheme="minorHAnsi" w:cstheme="minorHAnsi"/>
                <w:sz w:val="16"/>
                <w:szCs w:val="16"/>
              </w:rPr>
            </w:pPr>
            <w:r w:rsidRPr="009055A9">
              <w:rPr>
                <w:rFonts w:asciiTheme="minorHAnsi" w:hAnsiTheme="minorHAnsi" w:cstheme="minorHAnsi"/>
                <w:color w:val="000000"/>
                <w:sz w:val="16"/>
                <w:szCs w:val="16"/>
              </w:rPr>
              <w:t>402</w:t>
            </w:r>
          </w:p>
        </w:tc>
        <w:tc>
          <w:tcPr>
            <w:tcW w:w="123" w:type="pct"/>
            <w:shd w:val="clear" w:color="auto" w:fill="auto"/>
            <w:noWrap/>
            <w:tcMar>
              <w:left w:w="0" w:type="dxa"/>
              <w:right w:w="43" w:type="dxa"/>
            </w:tcMar>
            <w:vAlign w:val="center"/>
            <w:hideMark/>
          </w:tcPr>
          <w:p w:rsidRPr="009055A9" w:rsidR="008328E0" w:rsidP="008328E0" w:rsidRDefault="008328E0" w14:paraId="625E3C62" w14:textId="74205FBB">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4" w:type="pct"/>
            <w:shd w:val="clear" w:color="auto" w:fill="auto"/>
            <w:noWrap/>
            <w:tcMar>
              <w:left w:w="0" w:type="dxa"/>
              <w:right w:w="43" w:type="dxa"/>
            </w:tcMar>
            <w:vAlign w:val="center"/>
            <w:hideMark/>
          </w:tcPr>
          <w:p w:rsidRPr="009055A9" w:rsidR="008328E0" w:rsidP="008328E0" w:rsidRDefault="008328E0" w14:paraId="543F6CE4" w14:textId="00C1BFA0">
            <w:pPr>
              <w:jc w:val="right"/>
              <w:rPr>
                <w:rFonts w:asciiTheme="minorHAnsi" w:hAnsiTheme="minorHAnsi" w:cstheme="minorHAnsi"/>
                <w:sz w:val="16"/>
                <w:szCs w:val="16"/>
              </w:rPr>
            </w:pPr>
            <w:r w:rsidRPr="009055A9">
              <w:rPr>
                <w:rFonts w:asciiTheme="minorHAnsi" w:hAnsiTheme="minorHAnsi" w:cstheme="minorHAnsi"/>
                <w:color w:val="000000"/>
                <w:sz w:val="16"/>
                <w:szCs w:val="16"/>
              </w:rPr>
              <w:t>443</w:t>
            </w:r>
          </w:p>
        </w:tc>
        <w:tc>
          <w:tcPr>
            <w:tcW w:w="123" w:type="pct"/>
            <w:shd w:val="clear" w:color="auto" w:fill="auto"/>
            <w:noWrap/>
            <w:tcMar>
              <w:left w:w="0" w:type="dxa"/>
              <w:right w:w="43" w:type="dxa"/>
            </w:tcMar>
            <w:vAlign w:val="center"/>
            <w:hideMark/>
          </w:tcPr>
          <w:p w:rsidRPr="009055A9" w:rsidR="008328E0" w:rsidP="008328E0" w:rsidRDefault="008328E0" w14:paraId="2041593F" w14:textId="0D5D8914">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97" w:type="pct"/>
            <w:shd w:val="clear" w:color="auto" w:fill="auto"/>
            <w:noWrap/>
            <w:tcMar>
              <w:left w:w="0" w:type="dxa"/>
              <w:right w:w="43" w:type="dxa"/>
            </w:tcMar>
            <w:vAlign w:val="center"/>
            <w:hideMark/>
          </w:tcPr>
          <w:p w:rsidRPr="009055A9" w:rsidR="008328E0" w:rsidP="008328E0" w:rsidRDefault="008328E0" w14:paraId="06098761" w14:textId="071C7E6E">
            <w:pPr>
              <w:jc w:val="right"/>
              <w:rPr>
                <w:rFonts w:asciiTheme="minorHAnsi" w:hAnsiTheme="minorHAnsi" w:cstheme="minorHAnsi"/>
                <w:sz w:val="16"/>
                <w:szCs w:val="16"/>
              </w:rPr>
            </w:pPr>
            <w:r w:rsidRPr="009055A9">
              <w:rPr>
                <w:rFonts w:asciiTheme="minorHAnsi" w:hAnsiTheme="minorHAnsi" w:cstheme="minorHAnsi"/>
                <w:color w:val="000000"/>
                <w:sz w:val="16"/>
                <w:szCs w:val="16"/>
              </w:rPr>
              <w:t>475</w:t>
            </w:r>
          </w:p>
        </w:tc>
        <w:tc>
          <w:tcPr>
            <w:tcW w:w="125" w:type="pct"/>
            <w:shd w:val="clear" w:color="auto" w:fill="auto"/>
            <w:noWrap/>
            <w:tcMar>
              <w:left w:w="0" w:type="dxa"/>
              <w:right w:w="43" w:type="dxa"/>
            </w:tcMar>
            <w:vAlign w:val="center"/>
            <w:hideMark/>
          </w:tcPr>
          <w:p w:rsidRPr="009055A9" w:rsidR="008328E0" w:rsidP="008328E0" w:rsidRDefault="008328E0" w14:paraId="369B3E46" w14:textId="68984C8F">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0" w:type="pct"/>
            <w:shd w:val="clear" w:color="auto" w:fill="auto"/>
            <w:noWrap/>
            <w:tcMar>
              <w:left w:w="0" w:type="dxa"/>
              <w:right w:w="43" w:type="dxa"/>
            </w:tcMar>
            <w:vAlign w:val="center"/>
            <w:hideMark/>
          </w:tcPr>
          <w:p w:rsidRPr="009055A9" w:rsidR="008328E0" w:rsidP="008328E0" w:rsidRDefault="008328E0" w14:paraId="7CB0D972" w14:textId="5270BBB1">
            <w:pPr>
              <w:jc w:val="right"/>
              <w:rPr>
                <w:rFonts w:asciiTheme="minorHAnsi" w:hAnsiTheme="minorHAnsi" w:cstheme="minorHAnsi"/>
                <w:sz w:val="16"/>
                <w:szCs w:val="16"/>
              </w:rPr>
            </w:pPr>
            <w:r w:rsidRPr="009055A9">
              <w:rPr>
                <w:rFonts w:asciiTheme="minorHAnsi" w:hAnsiTheme="minorHAnsi" w:cstheme="minorHAnsi"/>
                <w:color w:val="000000"/>
                <w:sz w:val="16"/>
                <w:szCs w:val="16"/>
              </w:rPr>
              <w:t>612</w:t>
            </w:r>
          </w:p>
        </w:tc>
        <w:tc>
          <w:tcPr>
            <w:tcW w:w="148" w:type="pct"/>
            <w:shd w:val="clear" w:color="auto" w:fill="auto"/>
            <w:noWrap/>
            <w:tcMar>
              <w:left w:w="0" w:type="dxa"/>
              <w:right w:w="43" w:type="dxa"/>
            </w:tcMar>
            <w:vAlign w:val="center"/>
            <w:hideMark/>
          </w:tcPr>
          <w:p w:rsidRPr="009055A9" w:rsidR="008328E0" w:rsidP="008328E0" w:rsidRDefault="008328E0" w14:paraId="2792D856" w14:textId="48AAFB57">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2" w:type="pct"/>
            <w:tcMar>
              <w:left w:w="0" w:type="dxa"/>
              <w:right w:w="43" w:type="dxa"/>
            </w:tcMar>
            <w:vAlign w:val="center"/>
          </w:tcPr>
          <w:p w:rsidRPr="009055A9" w:rsidR="008328E0" w:rsidP="008328E0" w:rsidRDefault="008328E0" w14:paraId="5B2BCA73" w14:textId="62790302">
            <w:pPr>
              <w:jc w:val="right"/>
              <w:rPr>
                <w:rFonts w:asciiTheme="minorHAnsi" w:hAnsiTheme="minorHAnsi" w:cstheme="minorHAnsi"/>
                <w:sz w:val="16"/>
                <w:szCs w:val="16"/>
              </w:rPr>
            </w:pPr>
            <w:r w:rsidRPr="009055A9">
              <w:rPr>
                <w:rFonts w:asciiTheme="minorHAnsi" w:hAnsiTheme="minorHAnsi" w:cstheme="minorHAnsi"/>
                <w:color w:val="000000"/>
                <w:sz w:val="16"/>
                <w:szCs w:val="16"/>
              </w:rPr>
              <w:t>489</w:t>
            </w:r>
          </w:p>
        </w:tc>
        <w:tc>
          <w:tcPr>
            <w:tcW w:w="124" w:type="pct"/>
            <w:tcMar>
              <w:left w:w="0" w:type="dxa"/>
              <w:right w:w="43" w:type="dxa"/>
            </w:tcMar>
            <w:vAlign w:val="center"/>
          </w:tcPr>
          <w:p w:rsidRPr="009055A9" w:rsidR="008328E0" w:rsidP="008328E0" w:rsidRDefault="008328E0" w14:paraId="31B18600" w14:textId="57754BBA">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3" w:type="pct"/>
            <w:tcMar>
              <w:left w:w="0" w:type="dxa"/>
              <w:right w:w="43" w:type="dxa"/>
            </w:tcMar>
            <w:vAlign w:val="center"/>
          </w:tcPr>
          <w:p w:rsidRPr="009055A9" w:rsidR="008328E0" w:rsidP="008328E0" w:rsidRDefault="008328E0" w14:paraId="7B544A17" w14:textId="49E6FCE8">
            <w:pPr>
              <w:jc w:val="right"/>
              <w:rPr>
                <w:rFonts w:asciiTheme="minorHAnsi" w:hAnsiTheme="minorHAnsi" w:cstheme="minorHAnsi"/>
                <w:sz w:val="16"/>
                <w:szCs w:val="16"/>
              </w:rPr>
            </w:pPr>
            <w:r w:rsidRPr="009055A9">
              <w:rPr>
                <w:rFonts w:asciiTheme="minorHAnsi" w:hAnsiTheme="minorHAnsi" w:cstheme="minorHAnsi"/>
                <w:color w:val="000000"/>
                <w:sz w:val="16"/>
                <w:szCs w:val="16"/>
              </w:rPr>
              <w:t>336</w:t>
            </w:r>
          </w:p>
        </w:tc>
        <w:tc>
          <w:tcPr>
            <w:tcW w:w="146" w:type="pct"/>
            <w:tcMar>
              <w:left w:w="0" w:type="dxa"/>
              <w:right w:w="43" w:type="dxa"/>
            </w:tcMar>
            <w:vAlign w:val="center"/>
          </w:tcPr>
          <w:p w:rsidRPr="009055A9" w:rsidR="008328E0" w:rsidP="008328E0" w:rsidRDefault="008328E0" w14:paraId="13D8D4CE" w14:textId="3D811E0F">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5" w:type="pct"/>
            <w:tcMar>
              <w:left w:w="0" w:type="dxa"/>
              <w:right w:w="43" w:type="dxa"/>
            </w:tcMar>
            <w:vAlign w:val="center"/>
          </w:tcPr>
          <w:p w:rsidRPr="009055A9" w:rsidR="008328E0" w:rsidP="008328E0" w:rsidRDefault="008328E0" w14:paraId="783F05DF" w14:textId="1D6AEDC2">
            <w:pPr>
              <w:jc w:val="right"/>
              <w:rPr>
                <w:rFonts w:asciiTheme="minorHAnsi" w:hAnsiTheme="minorHAnsi" w:cstheme="minorHAnsi"/>
                <w:sz w:val="16"/>
                <w:szCs w:val="16"/>
              </w:rPr>
            </w:pPr>
            <w:r w:rsidRPr="009055A9">
              <w:rPr>
                <w:rFonts w:asciiTheme="minorHAnsi" w:hAnsiTheme="minorHAnsi" w:cstheme="minorHAnsi"/>
                <w:color w:val="000000"/>
                <w:sz w:val="16"/>
                <w:szCs w:val="16"/>
              </w:rPr>
              <w:t>298</w:t>
            </w:r>
          </w:p>
        </w:tc>
        <w:tc>
          <w:tcPr>
            <w:tcW w:w="149" w:type="pct"/>
            <w:tcMar>
              <w:left w:w="0" w:type="dxa"/>
              <w:right w:w="43" w:type="dxa"/>
            </w:tcMar>
            <w:vAlign w:val="center"/>
          </w:tcPr>
          <w:p w:rsidRPr="009055A9" w:rsidR="008328E0" w:rsidP="008328E0" w:rsidRDefault="008328E0" w14:paraId="1CAA4B63" w14:textId="2A2FE9D2">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97" w:type="pct"/>
            <w:tcMar>
              <w:left w:w="0" w:type="dxa"/>
              <w:right w:w="43" w:type="dxa"/>
            </w:tcMar>
            <w:vAlign w:val="center"/>
          </w:tcPr>
          <w:p w:rsidRPr="009055A9" w:rsidR="008328E0" w:rsidP="008328E0" w:rsidRDefault="008328E0" w14:paraId="4BEC8399" w14:textId="0B29D590">
            <w:pPr>
              <w:jc w:val="right"/>
              <w:rPr>
                <w:rFonts w:asciiTheme="minorHAnsi" w:hAnsiTheme="minorHAnsi" w:cstheme="minorHAnsi"/>
                <w:sz w:val="16"/>
                <w:szCs w:val="16"/>
              </w:rPr>
            </w:pPr>
            <w:r w:rsidRPr="009055A9">
              <w:rPr>
                <w:rFonts w:asciiTheme="minorHAnsi" w:hAnsiTheme="minorHAnsi" w:cstheme="minorHAnsi"/>
                <w:color w:val="000000"/>
                <w:sz w:val="16"/>
                <w:szCs w:val="16"/>
              </w:rPr>
              <w:t>324</w:t>
            </w:r>
          </w:p>
        </w:tc>
        <w:tc>
          <w:tcPr>
            <w:tcW w:w="148" w:type="pct"/>
            <w:tcMar>
              <w:left w:w="0" w:type="dxa"/>
              <w:right w:w="43" w:type="dxa"/>
            </w:tcMar>
            <w:vAlign w:val="center"/>
          </w:tcPr>
          <w:p w:rsidRPr="009055A9" w:rsidR="008328E0" w:rsidP="008328E0" w:rsidRDefault="008328E0" w14:paraId="155AF318" w14:textId="5EF2B899">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96" w:type="pct"/>
            <w:tcMar>
              <w:left w:w="0" w:type="dxa"/>
              <w:right w:w="43" w:type="dxa"/>
            </w:tcMar>
            <w:vAlign w:val="center"/>
          </w:tcPr>
          <w:p w:rsidRPr="009055A9" w:rsidR="008328E0" w:rsidP="008328E0" w:rsidRDefault="008328E0" w14:paraId="6F7DD568" w14:textId="20A0A3C5">
            <w:pPr>
              <w:jc w:val="right"/>
              <w:rPr>
                <w:rFonts w:asciiTheme="minorHAnsi" w:hAnsiTheme="minorHAnsi" w:cstheme="minorHAnsi"/>
                <w:sz w:val="16"/>
                <w:szCs w:val="16"/>
              </w:rPr>
            </w:pPr>
            <w:r w:rsidRPr="009055A9">
              <w:rPr>
                <w:rFonts w:asciiTheme="minorHAnsi" w:hAnsiTheme="minorHAnsi" w:cstheme="minorHAnsi"/>
                <w:color w:val="000000"/>
                <w:sz w:val="16"/>
                <w:szCs w:val="16"/>
              </w:rPr>
              <w:t>289</w:t>
            </w:r>
          </w:p>
        </w:tc>
        <w:tc>
          <w:tcPr>
            <w:tcW w:w="143" w:type="pct"/>
            <w:tcMar>
              <w:left w:w="0" w:type="dxa"/>
              <w:right w:w="43" w:type="dxa"/>
            </w:tcMar>
            <w:vAlign w:val="center"/>
          </w:tcPr>
          <w:p w:rsidRPr="009055A9" w:rsidR="008328E0" w:rsidP="008328E0" w:rsidRDefault="008328E0" w14:paraId="1425A85C" w14:textId="4DB77C68">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8" w:type="pct"/>
            <w:shd w:val="clear" w:color="000000" w:fill="FFFFFF"/>
            <w:noWrap/>
            <w:tcMar>
              <w:left w:w="0" w:type="dxa"/>
              <w:right w:w="43" w:type="dxa"/>
            </w:tcMar>
            <w:vAlign w:val="center"/>
          </w:tcPr>
          <w:p w:rsidRPr="003148DB" w:rsidR="008328E0" w:rsidP="008328E0" w:rsidRDefault="008328E0" w14:paraId="478220B3" w14:textId="644E6002">
            <w:pPr>
              <w:jc w:val="right"/>
              <w:rPr>
                <w:rFonts w:asciiTheme="minorHAnsi" w:hAnsiTheme="minorHAnsi" w:cstheme="minorHAnsi"/>
                <w:sz w:val="16"/>
                <w:szCs w:val="16"/>
              </w:rPr>
            </w:pPr>
            <w:r w:rsidRPr="003148DB">
              <w:rPr>
                <w:rFonts w:asciiTheme="minorHAnsi" w:hAnsiTheme="minorHAnsi" w:cstheme="minorHAnsi"/>
                <w:color w:val="000000"/>
                <w:sz w:val="16"/>
                <w:szCs w:val="16"/>
              </w:rPr>
              <w:t>398</w:t>
            </w:r>
          </w:p>
        </w:tc>
        <w:tc>
          <w:tcPr>
            <w:tcW w:w="151" w:type="pct"/>
            <w:shd w:val="clear" w:color="000000" w:fill="FFFFFF"/>
            <w:noWrap/>
            <w:tcMar>
              <w:left w:w="0" w:type="dxa"/>
              <w:right w:w="43" w:type="dxa"/>
            </w:tcMar>
            <w:vAlign w:val="center"/>
          </w:tcPr>
          <w:p w:rsidRPr="003148DB" w:rsidR="008328E0" w:rsidP="008328E0" w:rsidRDefault="008328E0" w14:paraId="662D5B7A" w14:textId="2DC619B5">
            <w:pPr>
              <w:jc w:val="right"/>
              <w:rPr>
                <w:rFonts w:asciiTheme="minorHAnsi" w:hAnsiTheme="minorHAnsi" w:cstheme="minorHAnsi"/>
                <w:sz w:val="16"/>
                <w:szCs w:val="16"/>
              </w:rPr>
            </w:pPr>
            <w:r w:rsidRPr="003148DB">
              <w:rPr>
                <w:rFonts w:asciiTheme="minorHAnsi" w:hAnsiTheme="minorHAnsi" w:cstheme="minorHAnsi"/>
                <w:color w:val="000000"/>
                <w:sz w:val="16"/>
                <w:szCs w:val="16"/>
              </w:rPr>
              <w:t>0.6</w:t>
            </w:r>
          </w:p>
        </w:tc>
      </w:tr>
      <w:tr w:rsidRPr="003148DB" w:rsidR="000D41FC" w:rsidTr="000D41FC" w14:paraId="0389720D" w14:textId="77777777">
        <w:trPr>
          <w:trHeight w:val="260"/>
        </w:trPr>
        <w:tc>
          <w:tcPr>
            <w:tcW w:w="268" w:type="pct"/>
            <w:vMerge/>
            <w:shd w:val="clear" w:color="auto" w:fill="auto"/>
            <w:noWrap/>
            <w:tcMar>
              <w:left w:w="58" w:type="dxa"/>
              <w:right w:w="58" w:type="dxa"/>
            </w:tcMar>
            <w:vAlign w:val="center"/>
            <w:hideMark/>
          </w:tcPr>
          <w:p w:rsidRPr="00196D17" w:rsidR="00AB1831" w:rsidP="00AB1831" w:rsidRDefault="00AB1831" w14:paraId="306A75DC"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AB1831" w:rsidP="00AB1831" w:rsidRDefault="00AB1831" w14:paraId="7F384379" w14:textId="2B2AE479">
            <w:pPr>
              <w:rPr>
                <w:rFonts w:asciiTheme="minorHAnsi" w:hAnsiTheme="minorHAnsi" w:cstheme="minorHAnsi"/>
                <w:sz w:val="16"/>
                <w:szCs w:val="16"/>
              </w:rPr>
            </w:pPr>
            <w:r w:rsidRPr="009055A9">
              <w:rPr>
                <w:rFonts w:asciiTheme="minorHAnsi" w:hAnsiTheme="minorHAnsi" w:cstheme="minorHAnsi"/>
                <w:color w:val="000000"/>
                <w:sz w:val="16"/>
                <w:szCs w:val="16"/>
              </w:rPr>
              <w:t>Southern Nuclear</w:t>
            </w:r>
          </w:p>
        </w:tc>
        <w:tc>
          <w:tcPr>
            <w:tcW w:w="321" w:type="pct"/>
            <w:shd w:val="clear" w:color="auto" w:fill="auto"/>
            <w:noWrap/>
            <w:tcMar>
              <w:left w:w="58" w:type="dxa"/>
              <w:right w:w="29" w:type="dxa"/>
            </w:tcMar>
            <w:vAlign w:val="center"/>
            <w:hideMark/>
          </w:tcPr>
          <w:p w:rsidRPr="009055A9" w:rsidR="00AB1831" w:rsidP="00AB1831" w:rsidRDefault="00AB1831" w14:paraId="2C816EE5" w14:textId="35B60490">
            <w:pPr>
              <w:rPr>
                <w:rFonts w:asciiTheme="minorHAnsi" w:hAnsiTheme="minorHAnsi" w:cstheme="minorHAnsi"/>
                <w:sz w:val="16"/>
                <w:szCs w:val="16"/>
              </w:rPr>
            </w:pPr>
            <w:r w:rsidRPr="009055A9">
              <w:rPr>
                <w:rFonts w:asciiTheme="minorHAnsi" w:hAnsiTheme="minorHAnsi" w:cstheme="minorHAnsi"/>
                <w:color w:val="000000"/>
                <w:sz w:val="16"/>
                <w:szCs w:val="16"/>
              </w:rPr>
              <w:t>Southern Nuclear</w:t>
            </w:r>
          </w:p>
        </w:tc>
        <w:tc>
          <w:tcPr>
            <w:tcW w:w="123" w:type="pct"/>
            <w:shd w:val="clear" w:color="000000" w:fill="FFFFFF"/>
            <w:noWrap/>
            <w:tcMar>
              <w:left w:w="58" w:type="dxa"/>
              <w:right w:w="58" w:type="dxa"/>
            </w:tcMar>
            <w:vAlign w:val="center"/>
            <w:hideMark/>
          </w:tcPr>
          <w:p w:rsidRPr="009055A9" w:rsidR="00AB1831" w:rsidP="00AB1831" w:rsidRDefault="00AB1831" w14:paraId="7C881D6E" w14:textId="1BDCC2CF">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AB1831" w:rsidP="00AB1831" w:rsidRDefault="00AB1831" w14:paraId="0CDE07CA" w14:textId="11A49FFD">
            <w:pPr>
              <w:jc w:val="right"/>
              <w:rPr>
                <w:rFonts w:asciiTheme="minorHAnsi" w:hAnsiTheme="minorHAnsi" w:cstheme="minorHAnsi"/>
                <w:sz w:val="16"/>
                <w:szCs w:val="16"/>
              </w:rPr>
            </w:pPr>
            <w:r w:rsidRPr="009055A9">
              <w:rPr>
                <w:rFonts w:asciiTheme="minorHAnsi" w:hAnsiTheme="minorHAnsi" w:cstheme="minorHAnsi"/>
                <w:color w:val="000000"/>
                <w:sz w:val="16"/>
                <w:szCs w:val="16"/>
              </w:rPr>
              <w:t>656</w:t>
            </w:r>
          </w:p>
        </w:tc>
        <w:tc>
          <w:tcPr>
            <w:tcW w:w="123" w:type="pct"/>
            <w:shd w:val="clear" w:color="auto" w:fill="auto"/>
            <w:noWrap/>
            <w:tcMar>
              <w:left w:w="0" w:type="dxa"/>
              <w:right w:w="43" w:type="dxa"/>
            </w:tcMar>
            <w:vAlign w:val="center"/>
            <w:hideMark/>
          </w:tcPr>
          <w:p w:rsidRPr="009055A9" w:rsidR="00AB1831" w:rsidP="00AB1831" w:rsidRDefault="00AB1831" w14:paraId="3CDD898E" w14:textId="03DB0E5E">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0" w:type="pct"/>
            <w:shd w:val="clear" w:color="auto" w:fill="auto"/>
            <w:noWrap/>
            <w:tcMar>
              <w:left w:w="0" w:type="dxa"/>
              <w:right w:w="43" w:type="dxa"/>
            </w:tcMar>
            <w:vAlign w:val="center"/>
            <w:hideMark/>
          </w:tcPr>
          <w:p w:rsidRPr="009055A9" w:rsidR="00AB1831" w:rsidP="00AB1831" w:rsidRDefault="00AB1831" w14:paraId="19F2D6C5" w14:textId="1D9CEABC">
            <w:pPr>
              <w:jc w:val="right"/>
              <w:rPr>
                <w:rFonts w:asciiTheme="minorHAnsi" w:hAnsiTheme="minorHAnsi" w:cstheme="minorHAnsi"/>
                <w:sz w:val="16"/>
                <w:szCs w:val="16"/>
              </w:rPr>
            </w:pPr>
            <w:r w:rsidRPr="009055A9">
              <w:rPr>
                <w:rFonts w:asciiTheme="minorHAnsi" w:hAnsiTheme="minorHAnsi" w:cstheme="minorHAnsi"/>
                <w:color w:val="000000"/>
                <w:sz w:val="16"/>
                <w:szCs w:val="16"/>
              </w:rPr>
              <w:t>716</w:t>
            </w:r>
          </w:p>
        </w:tc>
        <w:tc>
          <w:tcPr>
            <w:tcW w:w="125" w:type="pct"/>
            <w:shd w:val="clear" w:color="auto" w:fill="auto"/>
            <w:noWrap/>
            <w:tcMar>
              <w:left w:w="0" w:type="dxa"/>
              <w:right w:w="43" w:type="dxa"/>
            </w:tcMar>
            <w:vAlign w:val="center"/>
            <w:hideMark/>
          </w:tcPr>
          <w:p w:rsidRPr="009055A9" w:rsidR="00AB1831" w:rsidP="00AB1831" w:rsidRDefault="00AB1831" w14:paraId="1425F04D" w14:textId="3A2CEDEE">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2" w:type="pct"/>
            <w:shd w:val="clear" w:color="auto" w:fill="auto"/>
            <w:noWrap/>
            <w:tcMar>
              <w:left w:w="0" w:type="dxa"/>
              <w:right w:w="43" w:type="dxa"/>
            </w:tcMar>
            <w:vAlign w:val="center"/>
            <w:hideMark/>
          </w:tcPr>
          <w:p w:rsidRPr="009055A9" w:rsidR="00AB1831" w:rsidP="00AB1831" w:rsidRDefault="00AB1831" w14:paraId="0E807E50" w14:textId="57760856">
            <w:pPr>
              <w:jc w:val="right"/>
              <w:rPr>
                <w:rFonts w:asciiTheme="minorHAnsi" w:hAnsiTheme="minorHAnsi" w:cstheme="minorHAnsi"/>
                <w:sz w:val="16"/>
                <w:szCs w:val="16"/>
              </w:rPr>
            </w:pPr>
            <w:r w:rsidRPr="009055A9">
              <w:rPr>
                <w:rFonts w:asciiTheme="minorHAnsi" w:hAnsiTheme="minorHAnsi" w:cstheme="minorHAnsi"/>
                <w:color w:val="000000"/>
                <w:sz w:val="16"/>
                <w:szCs w:val="16"/>
              </w:rPr>
              <w:t>781</w:t>
            </w:r>
          </w:p>
        </w:tc>
        <w:tc>
          <w:tcPr>
            <w:tcW w:w="123" w:type="pct"/>
            <w:shd w:val="clear" w:color="auto" w:fill="auto"/>
            <w:noWrap/>
            <w:tcMar>
              <w:left w:w="0" w:type="dxa"/>
              <w:right w:w="43" w:type="dxa"/>
            </w:tcMar>
            <w:vAlign w:val="center"/>
            <w:hideMark/>
          </w:tcPr>
          <w:p w:rsidRPr="009055A9" w:rsidR="00AB1831" w:rsidP="00AB1831" w:rsidRDefault="00AB1831" w14:paraId="727A6959" w14:textId="10B4FE25">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94" w:type="pct"/>
            <w:shd w:val="clear" w:color="auto" w:fill="auto"/>
            <w:noWrap/>
            <w:tcMar>
              <w:left w:w="0" w:type="dxa"/>
              <w:right w:w="43" w:type="dxa"/>
            </w:tcMar>
            <w:vAlign w:val="center"/>
            <w:hideMark/>
          </w:tcPr>
          <w:p w:rsidRPr="009055A9" w:rsidR="00AB1831" w:rsidP="00AB1831" w:rsidRDefault="00AB1831" w14:paraId="5D287491" w14:textId="6577FF1C">
            <w:pPr>
              <w:jc w:val="right"/>
              <w:rPr>
                <w:rFonts w:asciiTheme="minorHAnsi" w:hAnsiTheme="minorHAnsi" w:cstheme="minorHAnsi"/>
                <w:sz w:val="16"/>
                <w:szCs w:val="16"/>
              </w:rPr>
            </w:pPr>
            <w:r w:rsidRPr="009055A9">
              <w:rPr>
                <w:rFonts w:asciiTheme="minorHAnsi" w:hAnsiTheme="minorHAnsi" w:cstheme="minorHAnsi"/>
                <w:color w:val="000000"/>
                <w:sz w:val="16"/>
                <w:szCs w:val="16"/>
              </w:rPr>
              <w:t>717</w:t>
            </w:r>
          </w:p>
        </w:tc>
        <w:tc>
          <w:tcPr>
            <w:tcW w:w="123" w:type="pct"/>
            <w:shd w:val="clear" w:color="auto" w:fill="auto"/>
            <w:noWrap/>
            <w:tcMar>
              <w:left w:w="0" w:type="dxa"/>
              <w:right w:w="43" w:type="dxa"/>
            </w:tcMar>
            <w:vAlign w:val="center"/>
            <w:hideMark/>
          </w:tcPr>
          <w:p w:rsidRPr="009055A9" w:rsidR="00AB1831" w:rsidP="00AB1831" w:rsidRDefault="00AB1831" w14:paraId="740CB49E" w14:textId="7F9168F1">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97" w:type="pct"/>
            <w:shd w:val="clear" w:color="auto" w:fill="auto"/>
            <w:noWrap/>
            <w:tcMar>
              <w:left w:w="0" w:type="dxa"/>
              <w:right w:w="43" w:type="dxa"/>
            </w:tcMar>
            <w:vAlign w:val="center"/>
            <w:hideMark/>
          </w:tcPr>
          <w:p w:rsidRPr="009055A9" w:rsidR="00AB1831" w:rsidP="00AB1831" w:rsidRDefault="00AB1831" w14:paraId="2679F85A" w14:textId="61D76822">
            <w:pPr>
              <w:jc w:val="right"/>
              <w:rPr>
                <w:rFonts w:asciiTheme="minorHAnsi" w:hAnsiTheme="minorHAnsi" w:cstheme="minorHAnsi"/>
                <w:sz w:val="16"/>
                <w:szCs w:val="16"/>
              </w:rPr>
            </w:pPr>
            <w:r w:rsidRPr="009055A9">
              <w:rPr>
                <w:rFonts w:asciiTheme="minorHAnsi" w:hAnsiTheme="minorHAnsi" w:cstheme="minorHAnsi"/>
                <w:color w:val="000000"/>
                <w:sz w:val="16"/>
                <w:szCs w:val="16"/>
              </w:rPr>
              <w:t>691</w:t>
            </w:r>
          </w:p>
        </w:tc>
        <w:tc>
          <w:tcPr>
            <w:tcW w:w="125" w:type="pct"/>
            <w:shd w:val="clear" w:color="auto" w:fill="auto"/>
            <w:noWrap/>
            <w:tcMar>
              <w:left w:w="0" w:type="dxa"/>
              <w:right w:w="43" w:type="dxa"/>
            </w:tcMar>
            <w:vAlign w:val="center"/>
            <w:hideMark/>
          </w:tcPr>
          <w:p w:rsidRPr="009055A9" w:rsidR="00AB1831" w:rsidP="00AB1831" w:rsidRDefault="00AB1831" w14:paraId="30395E5A" w14:textId="0FC934CF">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0" w:type="pct"/>
            <w:shd w:val="clear" w:color="auto" w:fill="auto"/>
            <w:noWrap/>
            <w:tcMar>
              <w:left w:w="0" w:type="dxa"/>
              <w:right w:w="43" w:type="dxa"/>
            </w:tcMar>
            <w:vAlign w:val="center"/>
            <w:hideMark/>
          </w:tcPr>
          <w:p w:rsidRPr="009055A9" w:rsidR="00AB1831" w:rsidP="00AB1831" w:rsidRDefault="00AB1831" w14:paraId="23E56B61" w14:textId="32F5D32F">
            <w:pPr>
              <w:jc w:val="right"/>
              <w:rPr>
                <w:rFonts w:asciiTheme="minorHAnsi" w:hAnsiTheme="minorHAnsi" w:cstheme="minorHAnsi"/>
                <w:sz w:val="16"/>
                <w:szCs w:val="16"/>
              </w:rPr>
            </w:pPr>
            <w:r w:rsidRPr="009055A9">
              <w:rPr>
                <w:rFonts w:asciiTheme="minorHAnsi" w:hAnsiTheme="minorHAnsi" w:cstheme="minorHAnsi"/>
                <w:color w:val="000000"/>
                <w:sz w:val="16"/>
                <w:szCs w:val="16"/>
              </w:rPr>
              <w:t>649</w:t>
            </w:r>
          </w:p>
        </w:tc>
        <w:tc>
          <w:tcPr>
            <w:tcW w:w="148" w:type="pct"/>
            <w:shd w:val="clear" w:color="auto" w:fill="auto"/>
            <w:noWrap/>
            <w:tcMar>
              <w:left w:w="0" w:type="dxa"/>
              <w:right w:w="43" w:type="dxa"/>
            </w:tcMar>
            <w:vAlign w:val="center"/>
            <w:hideMark/>
          </w:tcPr>
          <w:p w:rsidRPr="009055A9" w:rsidR="00AB1831" w:rsidP="00AB1831" w:rsidRDefault="00AB1831" w14:paraId="3355230F" w14:textId="531C7565">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2" w:type="pct"/>
            <w:tcMar>
              <w:left w:w="0" w:type="dxa"/>
              <w:right w:w="43" w:type="dxa"/>
            </w:tcMar>
            <w:vAlign w:val="center"/>
          </w:tcPr>
          <w:p w:rsidRPr="009055A9" w:rsidR="00AB1831" w:rsidP="00AB1831" w:rsidRDefault="00AB1831" w14:paraId="259CD5ED" w14:textId="05D07538">
            <w:pPr>
              <w:jc w:val="right"/>
              <w:rPr>
                <w:rFonts w:asciiTheme="minorHAnsi" w:hAnsiTheme="minorHAnsi" w:cstheme="minorHAnsi"/>
                <w:sz w:val="16"/>
                <w:szCs w:val="16"/>
              </w:rPr>
            </w:pPr>
            <w:r w:rsidRPr="009055A9">
              <w:rPr>
                <w:rFonts w:asciiTheme="minorHAnsi" w:hAnsiTheme="minorHAnsi" w:cstheme="minorHAnsi"/>
                <w:color w:val="000000"/>
                <w:sz w:val="16"/>
                <w:szCs w:val="16"/>
              </w:rPr>
              <w:t>610</w:t>
            </w:r>
          </w:p>
        </w:tc>
        <w:tc>
          <w:tcPr>
            <w:tcW w:w="124" w:type="pct"/>
            <w:tcMar>
              <w:left w:w="0" w:type="dxa"/>
              <w:right w:w="43" w:type="dxa"/>
            </w:tcMar>
            <w:vAlign w:val="center"/>
          </w:tcPr>
          <w:p w:rsidRPr="009055A9" w:rsidR="00AB1831" w:rsidP="00AB1831" w:rsidRDefault="00AB1831" w14:paraId="78EF1569" w14:textId="292D8A6F">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tcMar>
              <w:left w:w="0" w:type="dxa"/>
              <w:right w:w="43" w:type="dxa"/>
            </w:tcMar>
            <w:vAlign w:val="center"/>
          </w:tcPr>
          <w:p w:rsidRPr="009055A9" w:rsidR="00AB1831" w:rsidP="00AB1831" w:rsidRDefault="00AB1831" w14:paraId="7893CA32" w14:textId="53249ACA">
            <w:pPr>
              <w:jc w:val="right"/>
              <w:rPr>
                <w:rFonts w:asciiTheme="minorHAnsi" w:hAnsiTheme="minorHAnsi" w:cstheme="minorHAnsi"/>
                <w:sz w:val="16"/>
                <w:szCs w:val="16"/>
              </w:rPr>
            </w:pPr>
            <w:r w:rsidRPr="009055A9">
              <w:rPr>
                <w:rFonts w:asciiTheme="minorHAnsi" w:hAnsiTheme="minorHAnsi" w:cstheme="minorHAnsi"/>
                <w:color w:val="000000"/>
                <w:sz w:val="16"/>
                <w:szCs w:val="16"/>
              </w:rPr>
              <w:t>621</w:t>
            </w:r>
          </w:p>
        </w:tc>
        <w:tc>
          <w:tcPr>
            <w:tcW w:w="146" w:type="pct"/>
            <w:tcMar>
              <w:left w:w="0" w:type="dxa"/>
              <w:right w:w="43" w:type="dxa"/>
            </w:tcMar>
            <w:vAlign w:val="center"/>
          </w:tcPr>
          <w:p w:rsidRPr="009055A9" w:rsidR="00AB1831" w:rsidP="00AB1831" w:rsidRDefault="00AB1831" w14:paraId="2119288A" w14:textId="3E5328C0">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5" w:type="pct"/>
            <w:tcMar>
              <w:left w:w="0" w:type="dxa"/>
              <w:right w:w="43" w:type="dxa"/>
            </w:tcMar>
            <w:vAlign w:val="center"/>
          </w:tcPr>
          <w:p w:rsidRPr="009055A9" w:rsidR="00AB1831" w:rsidP="00AB1831" w:rsidRDefault="00AB1831" w14:paraId="64771199" w14:textId="174F20C6">
            <w:pPr>
              <w:jc w:val="right"/>
              <w:rPr>
                <w:rFonts w:asciiTheme="minorHAnsi" w:hAnsiTheme="minorHAnsi" w:cstheme="minorHAnsi"/>
                <w:sz w:val="16"/>
                <w:szCs w:val="16"/>
              </w:rPr>
            </w:pPr>
            <w:r w:rsidRPr="009055A9">
              <w:rPr>
                <w:rFonts w:asciiTheme="minorHAnsi" w:hAnsiTheme="minorHAnsi" w:cstheme="minorHAnsi"/>
                <w:color w:val="000000"/>
                <w:sz w:val="16"/>
                <w:szCs w:val="16"/>
              </w:rPr>
              <w:t>562</w:t>
            </w:r>
          </w:p>
        </w:tc>
        <w:tc>
          <w:tcPr>
            <w:tcW w:w="149" w:type="pct"/>
            <w:tcMar>
              <w:left w:w="0" w:type="dxa"/>
              <w:right w:w="43" w:type="dxa"/>
            </w:tcMar>
            <w:vAlign w:val="center"/>
          </w:tcPr>
          <w:p w:rsidRPr="009055A9" w:rsidR="00AB1831" w:rsidP="00AB1831" w:rsidRDefault="00AB1831" w14:paraId="3C2B745F" w14:textId="51A9094C">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7" w:type="pct"/>
            <w:tcMar>
              <w:left w:w="0" w:type="dxa"/>
              <w:right w:w="43" w:type="dxa"/>
            </w:tcMar>
            <w:vAlign w:val="center"/>
          </w:tcPr>
          <w:p w:rsidRPr="009055A9" w:rsidR="00AB1831" w:rsidP="00AB1831" w:rsidRDefault="00AB1831" w14:paraId="4C80BC98" w14:textId="5CD67961">
            <w:pPr>
              <w:jc w:val="right"/>
              <w:rPr>
                <w:rFonts w:asciiTheme="minorHAnsi" w:hAnsiTheme="minorHAnsi" w:cstheme="minorHAnsi"/>
                <w:sz w:val="16"/>
                <w:szCs w:val="16"/>
              </w:rPr>
            </w:pPr>
            <w:r w:rsidRPr="009055A9">
              <w:rPr>
                <w:rFonts w:asciiTheme="minorHAnsi" w:hAnsiTheme="minorHAnsi" w:cstheme="minorHAnsi"/>
                <w:color w:val="000000"/>
                <w:sz w:val="16"/>
                <w:szCs w:val="16"/>
              </w:rPr>
              <w:t>479</w:t>
            </w:r>
          </w:p>
        </w:tc>
        <w:tc>
          <w:tcPr>
            <w:tcW w:w="148" w:type="pct"/>
            <w:tcMar>
              <w:left w:w="0" w:type="dxa"/>
              <w:right w:w="43" w:type="dxa"/>
            </w:tcMar>
            <w:vAlign w:val="center"/>
          </w:tcPr>
          <w:p w:rsidRPr="009055A9" w:rsidR="00AB1831" w:rsidP="00AB1831" w:rsidRDefault="00AB1831" w14:paraId="21C9A2B6" w14:textId="2AFB7719">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6" w:type="pct"/>
            <w:tcMar>
              <w:left w:w="0" w:type="dxa"/>
              <w:right w:w="43" w:type="dxa"/>
            </w:tcMar>
            <w:vAlign w:val="center"/>
          </w:tcPr>
          <w:p w:rsidRPr="009055A9" w:rsidR="00AB1831" w:rsidP="00AB1831" w:rsidRDefault="00AB1831" w14:paraId="74E84B58" w14:textId="0C14D366">
            <w:pPr>
              <w:jc w:val="right"/>
              <w:rPr>
                <w:rFonts w:asciiTheme="minorHAnsi" w:hAnsiTheme="minorHAnsi" w:cstheme="minorHAnsi"/>
                <w:sz w:val="16"/>
                <w:szCs w:val="16"/>
              </w:rPr>
            </w:pPr>
            <w:r w:rsidRPr="009055A9">
              <w:rPr>
                <w:rFonts w:asciiTheme="minorHAnsi" w:hAnsiTheme="minorHAnsi" w:cstheme="minorHAnsi"/>
                <w:color w:val="000000"/>
                <w:sz w:val="16"/>
                <w:szCs w:val="16"/>
              </w:rPr>
              <w:t>446</w:t>
            </w:r>
          </w:p>
        </w:tc>
        <w:tc>
          <w:tcPr>
            <w:tcW w:w="143" w:type="pct"/>
            <w:tcMar>
              <w:left w:w="0" w:type="dxa"/>
              <w:right w:w="43" w:type="dxa"/>
            </w:tcMar>
            <w:vAlign w:val="center"/>
          </w:tcPr>
          <w:p w:rsidRPr="009055A9" w:rsidR="00AB1831" w:rsidP="00AB1831" w:rsidRDefault="00AB1831" w14:paraId="2EA8F0AA" w14:textId="15FEB750">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8" w:type="pct"/>
            <w:shd w:val="clear" w:color="000000" w:fill="FFFFFF"/>
            <w:noWrap/>
            <w:tcMar>
              <w:left w:w="0" w:type="dxa"/>
              <w:right w:w="43" w:type="dxa"/>
            </w:tcMar>
            <w:vAlign w:val="center"/>
          </w:tcPr>
          <w:p w:rsidRPr="003148DB" w:rsidR="00AB1831" w:rsidP="00AB1831" w:rsidRDefault="00AB1831" w14:paraId="642EC07A" w14:textId="23D4FB57">
            <w:pPr>
              <w:jc w:val="right"/>
              <w:rPr>
                <w:rFonts w:asciiTheme="minorHAnsi" w:hAnsiTheme="minorHAnsi" w:cstheme="minorHAnsi"/>
                <w:sz w:val="16"/>
                <w:szCs w:val="16"/>
              </w:rPr>
            </w:pPr>
            <w:r w:rsidRPr="003148DB">
              <w:rPr>
                <w:rFonts w:asciiTheme="minorHAnsi" w:hAnsiTheme="minorHAnsi" w:cstheme="minorHAnsi"/>
                <w:color w:val="000000"/>
                <w:sz w:val="16"/>
                <w:szCs w:val="16"/>
              </w:rPr>
              <w:t>630</w:t>
            </w:r>
          </w:p>
        </w:tc>
        <w:tc>
          <w:tcPr>
            <w:tcW w:w="151" w:type="pct"/>
            <w:shd w:val="clear" w:color="000000" w:fill="FFFFFF"/>
            <w:noWrap/>
            <w:tcMar>
              <w:left w:w="0" w:type="dxa"/>
              <w:right w:w="43" w:type="dxa"/>
            </w:tcMar>
            <w:vAlign w:val="center"/>
          </w:tcPr>
          <w:p w:rsidRPr="003148DB" w:rsidR="00AB1831" w:rsidP="00AB1831" w:rsidRDefault="00AB1831" w14:paraId="709AF3D7" w14:textId="3CBAF021">
            <w:pPr>
              <w:jc w:val="right"/>
              <w:rPr>
                <w:rFonts w:asciiTheme="minorHAnsi" w:hAnsiTheme="minorHAnsi" w:cstheme="minorHAnsi"/>
                <w:sz w:val="16"/>
                <w:szCs w:val="16"/>
              </w:rPr>
            </w:pPr>
            <w:r w:rsidRPr="003148DB">
              <w:rPr>
                <w:rFonts w:asciiTheme="minorHAnsi" w:hAnsiTheme="minorHAnsi" w:cstheme="minorHAnsi"/>
                <w:color w:val="000000"/>
                <w:sz w:val="16"/>
                <w:szCs w:val="16"/>
              </w:rPr>
              <w:t>1.4</w:t>
            </w:r>
          </w:p>
        </w:tc>
      </w:tr>
      <w:tr w:rsidRPr="003148DB" w:rsidR="000D41FC" w:rsidTr="000D41FC" w14:paraId="62428AE6" w14:textId="77777777">
        <w:trPr>
          <w:trHeight w:val="264"/>
        </w:trPr>
        <w:tc>
          <w:tcPr>
            <w:tcW w:w="268" w:type="pct"/>
            <w:vMerge/>
            <w:shd w:val="clear" w:color="auto" w:fill="auto"/>
            <w:noWrap/>
            <w:tcMar>
              <w:left w:w="58" w:type="dxa"/>
              <w:right w:w="58" w:type="dxa"/>
            </w:tcMar>
            <w:vAlign w:val="center"/>
            <w:hideMark/>
          </w:tcPr>
          <w:p w:rsidRPr="00196D17" w:rsidR="00AB1831" w:rsidP="00AB1831" w:rsidRDefault="00AB1831" w14:paraId="4AE90269"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AB1831" w:rsidP="00AB1831" w:rsidRDefault="00AB1831" w14:paraId="680E5DFE" w14:textId="756079FD">
            <w:pPr>
              <w:rPr>
                <w:rFonts w:asciiTheme="minorHAnsi" w:hAnsiTheme="minorHAnsi" w:cstheme="minorHAnsi"/>
                <w:sz w:val="16"/>
                <w:szCs w:val="16"/>
              </w:rPr>
            </w:pPr>
            <w:r w:rsidRPr="009055A9">
              <w:rPr>
                <w:rFonts w:asciiTheme="minorHAnsi" w:hAnsiTheme="minorHAnsi" w:cstheme="minorHAnsi"/>
                <w:color w:val="000000"/>
                <w:sz w:val="16"/>
                <w:szCs w:val="16"/>
              </w:rPr>
              <w:t>Tennessee Valley Authority</w:t>
            </w:r>
            <w:r w:rsidR="0081755D">
              <w:rPr>
                <w:rFonts w:asciiTheme="minorHAnsi" w:hAnsiTheme="minorHAnsi" w:cstheme="minorHAnsi"/>
                <w:color w:val="000000"/>
                <w:sz w:val="16"/>
                <w:szCs w:val="16"/>
              </w:rPr>
              <w:t xml:space="preserve"> (</w:t>
            </w:r>
            <w:r w:rsidR="00993B0C">
              <w:rPr>
                <w:rFonts w:asciiTheme="minorHAnsi" w:hAnsiTheme="minorHAnsi" w:cstheme="minorHAnsi"/>
                <w:color w:val="000000"/>
                <w:sz w:val="16"/>
                <w:szCs w:val="16"/>
              </w:rPr>
              <w:t>TVA)</w:t>
            </w:r>
          </w:p>
        </w:tc>
        <w:tc>
          <w:tcPr>
            <w:tcW w:w="321" w:type="pct"/>
            <w:shd w:val="clear" w:color="auto" w:fill="auto"/>
            <w:noWrap/>
            <w:tcMar>
              <w:left w:w="58" w:type="dxa"/>
              <w:right w:w="29" w:type="dxa"/>
            </w:tcMar>
            <w:vAlign w:val="center"/>
            <w:hideMark/>
          </w:tcPr>
          <w:p w:rsidRPr="009055A9" w:rsidR="00AB1831" w:rsidP="00AB1831" w:rsidRDefault="00AB1831" w14:paraId="0A38D00A" w14:textId="63C8AD80">
            <w:pPr>
              <w:rPr>
                <w:rFonts w:asciiTheme="minorHAnsi" w:hAnsiTheme="minorHAnsi" w:cstheme="minorHAnsi"/>
                <w:sz w:val="16"/>
                <w:szCs w:val="16"/>
              </w:rPr>
            </w:pPr>
            <w:r w:rsidRPr="009055A9">
              <w:rPr>
                <w:rFonts w:asciiTheme="minorHAnsi" w:hAnsiTheme="minorHAnsi" w:cstheme="minorHAnsi"/>
                <w:color w:val="000000"/>
                <w:sz w:val="16"/>
                <w:szCs w:val="16"/>
              </w:rPr>
              <w:t>TVA</w:t>
            </w:r>
          </w:p>
        </w:tc>
        <w:tc>
          <w:tcPr>
            <w:tcW w:w="123" w:type="pct"/>
            <w:shd w:val="clear" w:color="000000" w:fill="FFFFFF"/>
            <w:noWrap/>
            <w:tcMar>
              <w:left w:w="58" w:type="dxa"/>
              <w:right w:w="58" w:type="dxa"/>
            </w:tcMar>
            <w:vAlign w:val="center"/>
            <w:hideMark/>
          </w:tcPr>
          <w:p w:rsidRPr="009055A9" w:rsidR="00AB1831" w:rsidP="00AB1831" w:rsidRDefault="00AB1831" w14:paraId="4091BF4A" w14:textId="799DA94D">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AB1831" w:rsidP="00AB1831" w:rsidRDefault="00AB1831" w14:paraId="32644171" w14:textId="0F3F5796">
            <w:pPr>
              <w:jc w:val="right"/>
              <w:rPr>
                <w:rFonts w:asciiTheme="minorHAnsi" w:hAnsiTheme="minorHAnsi" w:cstheme="minorHAnsi"/>
                <w:sz w:val="16"/>
                <w:szCs w:val="16"/>
              </w:rPr>
            </w:pPr>
            <w:r w:rsidRPr="009055A9">
              <w:rPr>
                <w:rFonts w:asciiTheme="minorHAnsi" w:hAnsiTheme="minorHAnsi" w:cstheme="minorHAnsi"/>
                <w:color w:val="000000"/>
                <w:sz w:val="16"/>
                <w:szCs w:val="16"/>
              </w:rPr>
              <w:t>649</w:t>
            </w:r>
          </w:p>
        </w:tc>
        <w:tc>
          <w:tcPr>
            <w:tcW w:w="123" w:type="pct"/>
            <w:shd w:val="clear" w:color="auto" w:fill="auto"/>
            <w:noWrap/>
            <w:tcMar>
              <w:left w:w="0" w:type="dxa"/>
              <w:right w:w="43" w:type="dxa"/>
            </w:tcMar>
            <w:vAlign w:val="center"/>
            <w:hideMark/>
          </w:tcPr>
          <w:p w:rsidRPr="009055A9" w:rsidR="00AB1831" w:rsidP="00AB1831" w:rsidRDefault="00AB1831" w14:paraId="4B2F516F" w14:textId="55023F3D">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0" w:type="pct"/>
            <w:shd w:val="clear" w:color="auto" w:fill="auto"/>
            <w:noWrap/>
            <w:tcMar>
              <w:left w:w="0" w:type="dxa"/>
              <w:right w:w="43" w:type="dxa"/>
            </w:tcMar>
            <w:vAlign w:val="center"/>
            <w:hideMark/>
          </w:tcPr>
          <w:p w:rsidRPr="009055A9" w:rsidR="00AB1831" w:rsidP="00AB1831" w:rsidRDefault="00AB1831" w14:paraId="7153F0CE" w14:textId="1F54DF8B">
            <w:pPr>
              <w:jc w:val="right"/>
              <w:rPr>
                <w:rFonts w:asciiTheme="minorHAnsi" w:hAnsiTheme="minorHAnsi" w:cstheme="minorHAnsi"/>
                <w:sz w:val="16"/>
                <w:szCs w:val="16"/>
              </w:rPr>
            </w:pPr>
            <w:r w:rsidRPr="009055A9">
              <w:rPr>
                <w:rFonts w:asciiTheme="minorHAnsi" w:hAnsiTheme="minorHAnsi" w:cstheme="minorHAnsi"/>
                <w:color w:val="000000"/>
                <w:sz w:val="16"/>
                <w:szCs w:val="16"/>
              </w:rPr>
              <w:t>787</w:t>
            </w:r>
          </w:p>
        </w:tc>
        <w:tc>
          <w:tcPr>
            <w:tcW w:w="125" w:type="pct"/>
            <w:shd w:val="clear" w:color="auto" w:fill="auto"/>
            <w:noWrap/>
            <w:tcMar>
              <w:left w:w="0" w:type="dxa"/>
              <w:right w:w="43" w:type="dxa"/>
            </w:tcMar>
            <w:vAlign w:val="center"/>
            <w:hideMark/>
          </w:tcPr>
          <w:p w:rsidRPr="009055A9" w:rsidR="00AB1831" w:rsidP="00AB1831" w:rsidRDefault="00AB1831" w14:paraId="3C49F4BD" w14:textId="161A4854">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2" w:type="pct"/>
            <w:shd w:val="clear" w:color="auto" w:fill="auto"/>
            <w:noWrap/>
            <w:tcMar>
              <w:left w:w="0" w:type="dxa"/>
              <w:right w:w="43" w:type="dxa"/>
            </w:tcMar>
            <w:vAlign w:val="center"/>
            <w:hideMark/>
          </w:tcPr>
          <w:p w:rsidRPr="009055A9" w:rsidR="00AB1831" w:rsidP="00AB1831" w:rsidRDefault="00AB1831" w14:paraId="7C3ED1B2" w14:textId="2D64D60F">
            <w:pPr>
              <w:jc w:val="right"/>
              <w:rPr>
                <w:rFonts w:asciiTheme="minorHAnsi" w:hAnsiTheme="minorHAnsi" w:cstheme="minorHAnsi"/>
                <w:sz w:val="16"/>
                <w:szCs w:val="16"/>
              </w:rPr>
            </w:pPr>
            <w:r w:rsidRPr="009055A9">
              <w:rPr>
                <w:rFonts w:asciiTheme="minorHAnsi" w:hAnsiTheme="minorHAnsi" w:cstheme="minorHAnsi"/>
                <w:color w:val="000000"/>
                <w:sz w:val="16"/>
                <w:szCs w:val="16"/>
              </w:rPr>
              <w:t>557</w:t>
            </w:r>
          </w:p>
        </w:tc>
        <w:tc>
          <w:tcPr>
            <w:tcW w:w="123" w:type="pct"/>
            <w:shd w:val="clear" w:color="auto" w:fill="auto"/>
            <w:noWrap/>
            <w:tcMar>
              <w:left w:w="0" w:type="dxa"/>
              <w:right w:w="43" w:type="dxa"/>
            </w:tcMar>
            <w:vAlign w:val="center"/>
            <w:hideMark/>
          </w:tcPr>
          <w:p w:rsidRPr="009055A9" w:rsidR="00AB1831" w:rsidP="00AB1831" w:rsidRDefault="00AB1831" w14:paraId="10FF8E1B" w14:textId="6CDBAA68">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4" w:type="pct"/>
            <w:shd w:val="clear" w:color="auto" w:fill="auto"/>
            <w:noWrap/>
            <w:tcMar>
              <w:left w:w="0" w:type="dxa"/>
              <w:right w:w="43" w:type="dxa"/>
            </w:tcMar>
            <w:vAlign w:val="center"/>
            <w:hideMark/>
          </w:tcPr>
          <w:p w:rsidRPr="009055A9" w:rsidR="00AB1831" w:rsidP="00AB1831" w:rsidRDefault="00AB1831" w14:paraId="36FB5FC6" w14:textId="2BD8A54D">
            <w:pPr>
              <w:jc w:val="right"/>
              <w:rPr>
                <w:rFonts w:asciiTheme="minorHAnsi" w:hAnsiTheme="minorHAnsi" w:cstheme="minorHAnsi"/>
                <w:sz w:val="16"/>
                <w:szCs w:val="16"/>
              </w:rPr>
            </w:pPr>
            <w:r w:rsidRPr="009055A9">
              <w:rPr>
                <w:rFonts w:asciiTheme="minorHAnsi" w:hAnsiTheme="minorHAnsi" w:cstheme="minorHAnsi"/>
                <w:color w:val="000000"/>
                <w:sz w:val="16"/>
                <w:szCs w:val="16"/>
              </w:rPr>
              <w:t>250</w:t>
            </w:r>
          </w:p>
        </w:tc>
        <w:tc>
          <w:tcPr>
            <w:tcW w:w="123" w:type="pct"/>
            <w:shd w:val="clear" w:color="auto" w:fill="auto"/>
            <w:noWrap/>
            <w:tcMar>
              <w:left w:w="0" w:type="dxa"/>
              <w:right w:w="43" w:type="dxa"/>
            </w:tcMar>
            <w:vAlign w:val="center"/>
            <w:hideMark/>
          </w:tcPr>
          <w:p w:rsidRPr="009055A9" w:rsidR="00AB1831" w:rsidP="00AB1831" w:rsidRDefault="00AB1831" w14:paraId="64961115" w14:textId="08C1C27A">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97" w:type="pct"/>
            <w:shd w:val="clear" w:color="auto" w:fill="auto"/>
            <w:noWrap/>
            <w:tcMar>
              <w:left w:w="0" w:type="dxa"/>
              <w:right w:w="43" w:type="dxa"/>
            </w:tcMar>
            <w:vAlign w:val="center"/>
            <w:hideMark/>
          </w:tcPr>
          <w:p w:rsidRPr="009055A9" w:rsidR="00AB1831" w:rsidP="00AB1831" w:rsidRDefault="00AB1831" w14:paraId="6C1A50E1" w14:textId="36B6DF8D">
            <w:pPr>
              <w:jc w:val="right"/>
              <w:rPr>
                <w:rFonts w:asciiTheme="minorHAnsi" w:hAnsiTheme="minorHAnsi" w:cstheme="minorHAnsi"/>
                <w:sz w:val="16"/>
                <w:szCs w:val="16"/>
              </w:rPr>
            </w:pPr>
            <w:r w:rsidRPr="009055A9">
              <w:rPr>
                <w:rFonts w:asciiTheme="minorHAnsi" w:hAnsiTheme="minorHAnsi" w:cstheme="minorHAnsi"/>
                <w:color w:val="000000"/>
                <w:sz w:val="16"/>
                <w:szCs w:val="16"/>
              </w:rPr>
              <w:t>585</w:t>
            </w:r>
          </w:p>
        </w:tc>
        <w:tc>
          <w:tcPr>
            <w:tcW w:w="125" w:type="pct"/>
            <w:shd w:val="clear" w:color="auto" w:fill="auto"/>
            <w:noWrap/>
            <w:tcMar>
              <w:left w:w="0" w:type="dxa"/>
              <w:right w:w="43" w:type="dxa"/>
            </w:tcMar>
            <w:vAlign w:val="center"/>
            <w:hideMark/>
          </w:tcPr>
          <w:p w:rsidRPr="009055A9" w:rsidR="00AB1831" w:rsidP="00AB1831" w:rsidRDefault="00AB1831" w14:paraId="489DCA6A" w14:textId="5C2C0E9C">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0" w:type="pct"/>
            <w:shd w:val="clear" w:color="auto" w:fill="auto"/>
            <w:noWrap/>
            <w:tcMar>
              <w:left w:w="0" w:type="dxa"/>
              <w:right w:w="43" w:type="dxa"/>
            </w:tcMar>
            <w:vAlign w:val="center"/>
            <w:hideMark/>
          </w:tcPr>
          <w:p w:rsidRPr="009055A9" w:rsidR="00AB1831" w:rsidP="00AB1831" w:rsidRDefault="00AB1831" w14:paraId="686B15F4" w14:textId="3278B93B">
            <w:pPr>
              <w:jc w:val="right"/>
              <w:rPr>
                <w:rFonts w:asciiTheme="minorHAnsi" w:hAnsiTheme="minorHAnsi" w:cstheme="minorHAnsi"/>
                <w:sz w:val="16"/>
                <w:szCs w:val="16"/>
              </w:rPr>
            </w:pPr>
            <w:r w:rsidRPr="009055A9">
              <w:rPr>
                <w:rFonts w:asciiTheme="minorHAnsi" w:hAnsiTheme="minorHAnsi" w:cstheme="minorHAnsi"/>
                <w:color w:val="000000"/>
                <w:sz w:val="16"/>
                <w:szCs w:val="16"/>
              </w:rPr>
              <w:t>590</w:t>
            </w:r>
          </w:p>
        </w:tc>
        <w:tc>
          <w:tcPr>
            <w:tcW w:w="148" w:type="pct"/>
            <w:shd w:val="clear" w:color="auto" w:fill="auto"/>
            <w:noWrap/>
            <w:tcMar>
              <w:left w:w="0" w:type="dxa"/>
              <w:right w:w="43" w:type="dxa"/>
            </w:tcMar>
            <w:vAlign w:val="center"/>
            <w:hideMark/>
          </w:tcPr>
          <w:p w:rsidRPr="009055A9" w:rsidR="00AB1831" w:rsidP="00AB1831" w:rsidRDefault="00AB1831" w14:paraId="6F361C7C" w14:textId="730CF80E">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2" w:type="pct"/>
            <w:tcMar>
              <w:left w:w="0" w:type="dxa"/>
              <w:right w:w="43" w:type="dxa"/>
            </w:tcMar>
            <w:vAlign w:val="center"/>
          </w:tcPr>
          <w:p w:rsidRPr="009055A9" w:rsidR="00AB1831" w:rsidP="00AB1831" w:rsidRDefault="00AB1831" w14:paraId="7A8091D3" w14:textId="53952992">
            <w:pPr>
              <w:jc w:val="right"/>
              <w:rPr>
                <w:rFonts w:asciiTheme="minorHAnsi" w:hAnsiTheme="minorHAnsi" w:cstheme="minorHAnsi"/>
                <w:sz w:val="16"/>
                <w:szCs w:val="16"/>
              </w:rPr>
            </w:pPr>
            <w:r w:rsidRPr="009055A9">
              <w:rPr>
                <w:rFonts w:asciiTheme="minorHAnsi" w:hAnsiTheme="minorHAnsi" w:cstheme="minorHAnsi"/>
                <w:color w:val="000000"/>
                <w:sz w:val="16"/>
                <w:szCs w:val="16"/>
              </w:rPr>
              <w:t>591</w:t>
            </w:r>
          </w:p>
        </w:tc>
        <w:tc>
          <w:tcPr>
            <w:tcW w:w="124" w:type="pct"/>
            <w:tcMar>
              <w:left w:w="0" w:type="dxa"/>
              <w:right w:w="43" w:type="dxa"/>
            </w:tcMar>
            <w:vAlign w:val="center"/>
          </w:tcPr>
          <w:p w:rsidRPr="009055A9" w:rsidR="00AB1831" w:rsidP="00AB1831" w:rsidRDefault="00AB1831" w14:paraId="464933DF" w14:textId="1C68A2E1">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3" w:type="pct"/>
            <w:tcMar>
              <w:left w:w="0" w:type="dxa"/>
              <w:right w:w="43" w:type="dxa"/>
            </w:tcMar>
            <w:vAlign w:val="center"/>
          </w:tcPr>
          <w:p w:rsidRPr="009055A9" w:rsidR="00AB1831" w:rsidP="00AB1831" w:rsidRDefault="00AB1831" w14:paraId="668134EE" w14:textId="753D473C">
            <w:pPr>
              <w:jc w:val="right"/>
              <w:rPr>
                <w:rFonts w:asciiTheme="minorHAnsi" w:hAnsiTheme="minorHAnsi" w:cstheme="minorHAnsi"/>
                <w:sz w:val="16"/>
                <w:szCs w:val="16"/>
              </w:rPr>
            </w:pPr>
            <w:r w:rsidRPr="009055A9">
              <w:rPr>
                <w:rFonts w:asciiTheme="minorHAnsi" w:hAnsiTheme="minorHAnsi" w:cstheme="minorHAnsi"/>
                <w:color w:val="000000"/>
                <w:sz w:val="16"/>
                <w:szCs w:val="16"/>
              </w:rPr>
              <w:t>584</w:t>
            </w:r>
          </w:p>
        </w:tc>
        <w:tc>
          <w:tcPr>
            <w:tcW w:w="146" w:type="pct"/>
            <w:tcMar>
              <w:left w:w="0" w:type="dxa"/>
              <w:right w:w="43" w:type="dxa"/>
            </w:tcMar>
            <w:vAlign w:val="center"/>
          </w:tcPr>
          <w:p w:rsidRPr="009055A9" w:rsidR="00AB1831" w:rsidP="00AB1831" w:rsidRDefault="00AB1831" w14:paraId="2586A868" w14:textId="4AE2BD29">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5" w:type="pct"/>
            <w:tcMar>
              <w:left w:w="0" w:type="dxa"/>
              <w:right w:w="43" w:type="dxa"/>
            </w:tcMar>
            <w:vAlign w:val="center"/>
          </w:tcPr>
          <w:p w:rsidRPr="009055A9" w:rsidR="00AB1831" w:rsidP="00AB1831" w:rsidRDefault="00AB1831" w14:paraId="0CA6C562" w14:textId="777FAB2D">
            <w:pPr>
              <w:jc w:val="right"/>
              <w:rPr>
                <w:rFonts w:asciiTheme="minorHAnsi" w:hAnsiTheme="minorHAnsi" w:cstheme="minorHAnsi"/>
                <w:sz w:val="16"/>
                <w:szCs w:val="16"/>
              </w:rPr>
            </w:pPr>
            <w:r w:rsidRPr="009055A9">
              <w:rPr>
                <w:rFonts w:asciiTheme="minorHAnsi" w:hAnsiTheme="minorHAnsi" w:cstheme="minorHAnsi"/>
                <w:color w:val="000000"/>
                <w:sz w:val="16"/>
                <w:szCs w:val="16"/>
              </w:rPr>
              <w:t>343</w:t>
            </w:r>
          </w:p>
        </w:tc>
        <w:tc>
          <w:tcPr>
            <w:tcW w:w="149" w:type="pct"/>
            <w:tcMar>
              <w:left w:w="0" w:type="dxa"/>
              <w:right w:w="43" w:type="dxa"/>
            </w:tcMar>
            <w:vAlign w:val="center"/>
          </w:tcPr>
          <w:p w:rsidRPr="009055A9" w:rsidR="00AB1831" w:rsidP="00AB1831" w:rsidRDefault="00AB1831" w14:paraId="36CC8EEB" w14:textId="77D6E304">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7" w:type="pct"/>
            <w:tcMar>
              <w:left w:w="0" w:type="dxa"/>
              <w:right w:w="43" w:type="dxa"/>
            </w:tcMar>
            <w:vAlign w:val="center"/>
          </w:tcPr>
          <w:p w:rsidRPr="009055A9" w:rsidR="00AB1831" w:rsidP="00AB1831" w:rsidRDefault="00AB1831" w14:paraId="0CB5560A" w14:textId="09D01275">
            <w:pPr>
              <w:jc w:val="right"/>
              <w:rPr>
                <w:rFonts w:asciiTheme="minorHAnsi" w:hAnsiTheme="minorHAnsi" w:cstheme="minorHAnsi"/>
                <w:sz w:val="16"/>
                <w:szCs w:val="16"/>
              </w:rPr>
            </w:pPr>
            <w:r w:rsidRPr="009055A9">
              <w:rPr>
                <w:rFonts w:asciiTheme="minorHAnsi" w:hAnsiTheme="minorHAnsi" w:cstheme="minorHAnsi"/>
                <w:color w:val="000000"/>
                <w:sz w:val="16"/>
                <w:szCs w:val="16"/>
              </w:rPr>
              <w:t>218</w:t>
            </w:r>
          </w:p>
        </w:tc>
        <w:tc>
          <w:tcPr>
            <w:tcW w:w="148" w:type="pct"/>
            <w:tcMar>
              <w:left w:w="0" w:type="dxa"/>
              <w:right w:w="43" w:type="dxa"/>
            </w:tcMar>
            <w:vAlign w:val="center"/>
          </w:tcPr>
          <w:p w:rsidRPr="009055A9" w:rsidR="00AB1831" w:rsidP="00AB1831" w:rsidRDefault="00AB1831" w14:paraId="71D60CAA" w14:textId="0E60CBAD">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96" w:type="pct"/>
            <w:tcMar>
              <w:left w:w="0" w:type="dxa"/>
              <w:right w:w="43" w:type="dxa"/>
            </w:tcMar>
            <w:vAlign w:val="center"/>
          </w:tcPr>
          <w:p w:rsidRPr="009055A9" w:rsidR="00AB1831" w:rsidP="00AB1831" w:rsidRDefault="00AB1831" w14:paraId="239A8F4A" w14:textId="32727607">
            <w:pPr>
              <w:jc w:val="right"/>
              <w:rPr>
                <w:rFonts w:asciiTheme="minorHAnsi" w:hAnsiTheme="minorHAnsi" w:cstheme="minorHAnsi"/>
                <w:sz w:val="16"/>
                <w:szCs w:val="16"/>
              </w:rPr>
            </w:pPr>
            <w:r w:rsidRPr="009055A9">
              <w:rPr>
                <w:rFonts w:asciiTheme="minorHAnsi" w:hAnsiTheme="minorHAnsi" w:cstheme="minorHAnsi"/>
                <w:color w:val="000000"/>
                <w:sz w:val="16"/>
                <w:szCs w:val="16"/>
              </w:rPr>
              <w:t>177</w:t>
            </w:r>
          </w:p>
        </w:tc>
        <w:tc>
          <w:tcPr>
            <w:tcW w:w="143" w:type="pct"/>
            <w:tcMar>
              <w:left w:w="0" w:type="dxa"/>
              <w:right w:w="43" w:type="dxa"/>
            </w:tcMar>
            <w:vAlign w:val="center"/>
          </w:tcPr>
          <w:p w:rsidRPr="009055A9" w:rsidR="00AB1831" w:rsidP="00AB1831" w:rsidRDefault="00AB1831" w14:paraId="0FE1EF82" w14:textId="6C26BDA3">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8" w:type="pct"/>
            <w:shd w:val="clear" w:color="000000" w:fill="FFFFFF"/>
            <w:noWrap/>
            <w:tcMar>
              <w:left w:w="0" w:type="dxa"/>
              <w:right w:w="43" w:type="dxa"/>
            </w:tcMar>
            <w:vAlign w:val="center"/>
          </w:tcPr>
          <w:p w:rsidRPr="003148DB" w:rsidR="00AB1831" w:rsidP="00AB1831" w:rsidRDefault="00AB1831" w14:paraId="09EFC201" w14:textId="6A9AEC51">
            <w:pPr>
              <w:jc w:val="right"/>
              <w:rPr>
                <w:rFonts w:asciiTheme="minorHAnsi" w:hAnsiTheme="minorHAnsi" w:cstheme="minorHAnsi"/>
                <w:sz w:val="16"/>
                <w:szCs w:val="16"/>
              </w:rPr>
            </w:pPr>
            <w:r w:rsidRPr="003148DB">
              <w:rPr>
                <w:rFonts w:asciiTheme="minorHAnsi" w:hAnsiTheme="minorHAnsi" w:cstheme="minorHAnsi"/>
                <w:color w:val="000000"/>
                <w:sz w:val="16"/>
                <w:szCs w:val="16"/>
              </w:rPr>
              <w:t>485</w:t>
            </w:r>
          </w:p>
        </w:tc>
        <w:tc>
          <w:tcPr>
            <w:tcW w:w="151" w:type="pct"/>
            <w:shd w:val="clear" w:color="000000" w:fill="FFFFFF"/>
            <w:noWrap/>
            <w:tcMar>
              <w:left w:w="0" w:type="dxa"/>
              <w:right w:w="43" w:type="dxa"/>
            </w:tcMar>
            <w:vAlign w:val="center"/>
          </w:tcPr>
          <w:p w:rsidRPr="003148DB" w:rsidR="00AB1831" w:rsidP="00AB1831" w:rsidRDefault="00AB1831" w14:paraId="4DF244B4" w14:textId="5468C075">
            <w:pPr>
              <w:jc w:val="right"/>
              <w:rPr>
                <w:rFonts w:asciiTheme="minorHAnsi" w:hAnsiTheme="minorHAnsi" w:cstheme="minorHAnsi"/>
                <w:sz w:val="16"/>
                <w:szCs w:val="16"/>
              </w:rPr>
            </w:pPr>
            <w:r w:rsidRPr="003148DB">
              <w:rPr>
                <w:rFonts w:asciiTheme="minorHAnsi" w:hAnsiTheme="minorHAnsi" w:cstheme="minorHAnsi"/>
                <w:color w:val="000000"/>
                <w:sz w:val="16"/>
                <w:szCs w:val="16"/>
              </w:rPr>
              <w:t>0.8</w:t>
            </w:r>
          </w:p>
        </w:tc>
      </w:tr>
      <w:tr w:rsidRPr="003148DB" w:rsidR="000D41FC" w:rsidTr="000D41FC" w14:paraId="7C6D36A9" w14:textId="77777777">
        <w:trPr>
          <w:trHeight w:val="264"/>
        </w:trPr>
        <w:tc>
          <w:tcPr>
            <w:tcW w:w="268" w:type="pct"/>
            <w:vMerge/>
            <w:shd w:val="clear" w:color="auto" w:fill="auto"/>
            <w:noWrap/>
            <w:tcMar>
              <w:left w:w="58" w:type="dxa"/>
              <w:right w:w="58" w:type="dxa"/>
            </w:tcMar>
            <w:vAlign w:val="center"/>
          </w:tcPr>
          <w:p w:rsidRPr="00196D17" w:rsidR="000E31AA" w:rsidP="000E31AA" w:rsidRDefault="000E31AA" w14:paraId="0E90A381"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tcPr>
          <w:p w:rsidRPr="009055A9" w:rsidR="000E31AA" w:rsidP="000E31AA" w:rsidRDefault="000E31AA" w14:paraId="5DDD3AEB" w14:textId="75126859">
            <w:pPr>
              <w:rPr>
                <w:rFonts w:asciiTheme="minorHAnsi" w:hAnsiTheme="minorHAnsi" w:cstheme="minorHAnsi"/>
                <w:color w:val="000000"/>
                <w:sz w:val="16"/>
                <w:szCs w:val="16"/>
              </w:rPr>
            </w:pPr>
            <w:r w:rsidRPr="009055A9">
              <w:rPr>
                <w:rFonts w:asciiTheme="minorHAnsi" w:hAnsiTheme="minorHAnsi" w:cstheme="minorHAnsi"/>
                <w:color w:val="000000"/>
                <w:sz w:val="16"/>
                <w:szCs w:val="16"/>
              </w:rPr>
              <w:t>Xcel Energy</w:t>
            </w:r>
          </w:p>
        </w:tc>
        <w:tc>
          <w:tcPr>
            <w:tcW w:w="321" w:type="pct"/>
            <w:shd w:val="clear" w:color="auto" w:fill="auto"/>
            <w:noWrap/>
            <w:tcMar>
              <w:left w:w="58" w:type="dxa"/>
              <w:right w:w="29" w:type="dxa"/>
            </w:tcMar>
            <w:vAlign w:val="center"/>
          </w:tcPr>
          <w:p w:rsidRPr="009055A9" w:rsidR="000E31AA" w:rsidP="000E31AA" w:rsidRDefault="000E31AA" w14:paraId="0B2A25E9" w14:textId="49610E4C">
            <w:pPr>
              <w:rPr>
                <w:rFonts w:asciiTheme="minorHAnsi" w:hAnsiTheme="minorHAnsi" w:cstheme="minorHAnsi"/>
                <w:color w:val="000000"/>
                <w:sz w:val="16"/>
                <w:szCs w:val="16"/>
              </w:rPr>
            </w:pPr>
            <w:r w:rsidRPr="009055A9">
              <w:rPr>
                <w:rFonts w:asciiTheme="minorHAnsi" w:hAnsiTheme="minorHAnsi" w:cstheme="minorHAnsi"/>
                <w:color w:val="000000"/>
                <w:sz w:val="16"/>
                <w:szCs w:val="16"/>
              </w:rPr>
              <w:t>Xcel Energy</w:t>
            </w:r>
          </w:p>
        </w:tc>
        <w:tc>
          <w:tcPr>
            <w:tcW w:w="123" w:type="pct"/>
            <w:shd w:val="clear" w:color="000000" w:fill="FFFFFF"/>
            <w:noWrap/>
            <w:tcMar>
              <w:left w:w="58" w:type="dxa"/>
              <w:right w:w="58" w:type="dxa"/>
            </w:tcMar>
            <w:vAlign w:val="center"/>
          </w:tcPr>
          <w:p w:rsidRPr="009055A9" w:rsidR="000E31AA" w:rsidP="000E31AA" w:rsidRDefault="000E31AA" w14:paraId="6AFD1BA2" w14:textId="2B6E46B6">
            <w:pPr>
              <w:jc w:val="center"/>
              <w:rPr>
                <w:rFonts w:asciiTheme="minorHAnsi" w:hAnsiTheme="minorHAnsi" w:cstheme="minorHAnsi"/>
                <w:color w:val="000000"/>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tcPr>
          <w:p w:rsidRPr="009055A9" w:rsidR="000E31AA" w:rsidP="000E31AA" w:rsidRDefault="000E31AA" w14:paraId="0B19F457" w14:textId="409B8A6F">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160</w:t>
            </w:r>
          </w:p>
        </w:tc>
        <w:tc>
          <w:tcPr>
            <w:tcW w:w="123" w:type="pct"/>
            <w:shd w:val="clear" w:color="auto" w:fill="auto"/>
            <w:noWrap/>
            <w:tcMar>
              <w:left w:w="0" w:type="dxa"/>
              <w:right w:w="43" w:type="dxa"/>
            </w:tcMar>
            <w:vAlign w:val="center"/>
          </w:tcPr>
          <w:p w:rsidRPr="009055A9" w:rsidR="000E31AA" w:rsidP="000E31AA" w:rsidRDefault="000E31AA" w14:paraId="7DBF6307" w14:textId="2A1AA7C1">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0</w:t>
            </w:r>
          </w:p>
        </w:tc>
        <w:tc>
          <w:tcPr>
            <w:tcW w:w="170" w:type="pct"/>
            <w:shd w:val="clear" w:color="auto" w:fill="auto"/>
            <w:noWrap/>
            <w:tcMar>
              <w:left w:w="0" w:type="dxa"/>
              <w:right w:w="43" w:type="dxa"/>
            </w:tcMar>
            <w:vAlign w:val="center"/>
          </w:tcPr>
          <w:p w:rsidRPr="009055A9" w:rsidR="000E31AA" w:rsidP="000E31AA" w:rsidRDefault="000E31AA" w14:paraId="3246F0F0" w14:textId="5BA27260">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225</w:t>
            </w:r>
          </w:p>
        </w:tc>
        <w:tc>
          <w:tcPr>
            <w:tcW w:w="125" w:type="pct"/>
            <w:shd w:val="clear" w:color="auto" w:fill="auto"/>
            <w:noWrap/>
            <w:tcMar>
              <w:left w:w="0" w:type="dxa"/>
              <w:right w:w="43" w:type="dxa"/>
            </w:tcMar>
            <w:vAlign w:val="center"/>
          </w:tcPr>
          <w:p w:rsidRPr="009055A9" w:rsidR="000E31AA" w:rsidP="000E31AA" w:rsidRDefault="000E31AA" w14:paraId="66960884" w14:textId="020AAFDC">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2</w:t>
            </w:r>
          </w:p>
        </w:tc>
        <w:tc>
          <w:tcPr>
            <w:tcW w:w="172" w:type="pct"/>
            <w:shd w:val="clear" w:color="auto" w:fill="auto"/>
            <w:noWrap/>
            <w:tcMar>
              <w:left w:w="0" w:type="dxa"/>
              <w:right w:w="43" w:type="dxa"/>
            </w:tcMar>
            <w:vAlign w:val="center"/>
          </w:tcPr>
          <w:p w:rsidRPr="009055A9" w:rsidR="000E31AA" w:rsidP="000E31AA" w:rsidRDefault="000E31AA" w14:paraId="24D1AE49" w14:textId="6F093C5F">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293</w:t>
            </w:r>
          </w:p>
        </w:tc>
        <w:tc>
          <w:tcPr>
            <w:tcW w:w="123" w:type="pct"/>
            <w:shd w:val="clear" w:color="auto" w:fill="auto"/>
            <w:noWrap/>
            <w:tcMar>
              <w:left w:w="0" w:type="dxa"/>
              <w:right w:w="43" w:type="dxa"/>
            </w:tcMar>
            <w:vAlign w:val="center"/>
          </w:tcPr>
          <w:p w:rsidRPr="009055A9" w:rsidR="000E31AA" w:rsidP="000E31AA" w:rsidRDefault="000E31AA" w14:paraId="1B17E370" w14:textId="505E0438">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1</w:t>
            </w:r>
          </w:p>
        </w:tc>
        <w:tc>
          <w:tcPr>
            <w:tcW w:w="194" w:type="pct"/>
            <w:shd w:val="clear" w:color="auto" w:fill="auto"/>
            <w:noWrap/>
            <w:tcMar>
              <w:left w:w="0" w:type="dxa"/>
              <w:right w:w="43" w:type="dxa"/>
            </w:tcMar>
            <w:vAlign w:val="center"/>
          </w:tcPr>
          <w:p w:rsidRPr="009055A9" w:rsidR="000E31AA" w:rsidP="000E31AA" w:rsidRDefault="000E31AA" w14:paraId="7E7D0D03" w14:textId="41D4C4EA">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311</w:t>
            </w:r>
          </w:p>
        </w:tc>
        <w:tc>
          <w:tcPr>
            <w:tcW w:w="123" w:type="pct"/>
            <w:shd w:val="clear" w:color="auto" w:fill="auto"/>
            <w:noWrap/>
            <w:tcMar>
              <w:left w:w="0" w:type="dxa"/>
              <w:right w:w="43" w:type="dxa"/>
            </w:tcMar>
            <w:vAlign w:val="center"/>
          </w:tcPr>
          <w:p w:rsidRPr="009055A9" w:rsidR="000E31AA" w:rsidP="000E31AA" w:rsidRDefault="000E31AA" w14:paraId="1E691751" w14:textId="1A93266B">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0</w:t>
            </w:r>
          </w:p>
        </w:tc>
        <w:tc>
          <w:tcPr>
            <w:tcW w:w="197" w:type="pct"/>
            <w:shd w:val="clear" w:color="auto" w:fill="auto"/>
            <w:noWrap/>
            <w:tcMar>
              <w:left w:w="0" w:type="dxa"/>
              <w:right w:w="43" w:type="dxa"/>
            </w:tcMar>
            <w:vAlign w:val="center"/>
          </w:tcPr>
          <w:p w:rsidRPr="009055A9" w:rsidR="000E31AA" w:rsidP="000E31AA" w:rsidRDefault="000E31AA" w14:paraId="40B02F34" w14:textId="1A358F72">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370</w:t>
            </w:r>
          </w:p>
        </w:tc>
        <w:tc>
          <w:tcPr>
            <w:tcW w:w="125" w:type="pct"/>
            <w:shd w:val="clear" w:color="auto" w:fill="auto"/>
            <w:noWrap/>
            <w:tcMar>
              <w:left w:w="0" w:type="dxa"/>
              <w:right w:w="43" w:type="dxa"/>
            </w:tcMar>
            <w:vAlign w:val="center"/>
          </w:tcPr>
          <w:p w:rsidRPr="009055A9" w:rsidR="000E31AA" w:rsidP="000E31AA" w:rsidRDefault="000E31AA" w14:paraId="420FC13F" w14:textId="13CCC136">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0</w:t>
            </w:r>
          </w:p>
        </w:tc>
        <w:tc>
          <w:tcPr>
            <w:tcW w:w="170" w:type="pct"/>
            <w:shd w:val="clear" w:color="auto" w:fill="auto"/>
            <w:noWrap/>
            <w:tcMar>
              <w:left w:w="0" w:type="dxa"/>
              <w:right w:w="43" w:type="dxa"/>
            </w:tcMar>
            <w:vAlign w:val="center"/>
          </w:tcPr>
          <w:p w:rsidRPr="009055A9" w:rsidR="000E31AA" w:rsidP="000E31AA" w:rsidRDefault="000E31AA" w14:paraId="7175622E" w14:textId="311D0252">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399</w:t>
            </w:r>
          </w:p>
        </w:tc>
        <w:tc>
          <w:tcPr>
            <w:tcW w:w="148" w:type="pct"/>
            <w:shd w:val="clear" w:color="auto" w:fill="auto"/>
            <w:noWrap/>
            <w:tcMar>
              <w:left w:w="0" w:type="dxa"/>
              <w:right w:w="43" w:type="dxa"/>
            </w:tcMar>
            <w:vAlign w:val="center"/>
          </w:tcPr>
          <w:p w:rsidRPr="009055A9" w:rsidR="000E31AA" w:rsidP="000E31AA" w:rsidRDefault="000E31AA" w14:paraId="3F4465D0" w14:textId="40EEC520">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1</w:t>
            </w:r>
          </w:p>
        </w:tc>
        <w:tc>
          <w:tcPr>
            <w:tcW w:w="172" w:type="pct"/>
            <w:tcMar>
              <w:left w:w="0" w:type="dxa"/>
              <w:right w:w="43" w:type="dxa"/>
            </w:tcMar>
            <w:vAlign w:val="center"/>
          </w:tcPr>
          <w:p w:rsidRPr="009055A9" w:rsidR="000E31AA" w:rsidP="000E31AA" w:rsidRDefault="000E31AA" w14:paraId="3E02B401" w14:textId="230D4574">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411</w:t>
            </w:r>
          </w:p>
        </w:tc>
        <w:tc>
          <w:tcPr>
            <w:tcW w:w="124" w:type="pct"/>
            <w:tcMar>
              <w:left w:w="0" w:type="dxa"/>
              <w:right w:w="43" w:type="dxa"/>
            </w:tcMar>
            <w:vAlign w:val="center"/>
          </w:tcPr>
          <w:p w:rsidRPr="009055A9" w:rsidR="000E31AA" w:rsidP="000E31AA" w:rsidRDefault="000E31AA" w14:paraId="08C0633B" w14:textId="4F2E2B09">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1</w:t>
            </w:r>
          </w:p>
        </w:tc>
        <w:tc>
          <w:tcPr>
            <w:tcW w:w="173" w:type="pct"/>
            <w:tcMar>
              <w:left w:w="0" w:type="dxa"/>
              <w:right w:w="43" w:type="dxa"/>
            </w:tcMar>
            <w:vAlign w:val="center"/>
          </w:tcPr>
          <w:p w:rsidRPr="009055A9" w:rsidR="000E31AA" w:rsidP="000E31AA" w:rsidRDefault="000E31AA" w14:paraId="57AB923E" w14:textId="3935E571">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485</w:t>
            </w:r>
          </w:p>
        </w:tc>
        <w:tc>
          <w:tcPr>
            <w:tcW w:w="146" w:type="pct"/>
            <w:tcMar>
              <w:left w:w="0" w:type="dxa"/>
              <w:right w:w="43" w:type="dxa"/>
            </w:tcMar>
            <w:vAlign w:val="center"/>
          </w:tcPr>
          <w:p w:rsidRPr="009055A9" w:rsidR="000E31AA" w:rsidP="000E31AA" w:rsidRDefault="000E31AA" w14:paraId="6C163D1F" w14:textId="63AFEC7A">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0</w:t>
            </w:r>
          </w:p>
        </w:tc>
        <w:tc>
          <w:tcPr>
            <w:tcW w:w="175" w:type="pct"/>
            <w:tcMar>
              <w:left w:w="0" w:type="dxa"/>
              <w:right w:w="43" w:type="dxa"/>
            </w:tcMar>
            <w:vAlign w:val="center"/>
          </w:tcPr>
          <w:p w:rsidRPr="009055A9" w:rsidR="000E31AA" w:rsidP="000E31AA" w:rsidRDefault="000E31AA" w14:paraId="2C33BDFB" w14:textId="6F0FE8A6">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512</w:t>
            </w:r>
          </w:p>
        </w:tc>
        <w:tc>
          <w:tcPr>
            <w:tcW w:w="149" w:type="pct"/>
            <w:tcMar>
              <w:left w:w="0" w:type="dxa"/>
              <w:right w:w="43" w:type="dxa"/>
            </w:tcMar>
            <w:vAlign w:val="center"/>
          </w:tcPr>
          <w:p w:rsidRPr="009055A9" w:rsidR="000E31AA" w:rsidP="000E31AA" w:rsidRDefault="000E31AA" w14:paraId="580C196E" w14:textId="505D0A76">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4</w:t>
            </w:r>
          </w:p>
        </w:tc>
        <w:tc>
          <w:tcPr>
            <w:tcW w:w="197" w:type="pct"/>
            <w:tcMar>
              <w:left w:w="0" w:type="dxa"/>
              <w:right w:w="43" w:type="dxa"/>
            </w:tcMar>
            <w:vAlign w:val="center"/>
          </w:tcPr>
          <w:p w:rsidRPr="009055A9" w:rsidR="000E31AA" w:rsidP="000E31AA" w:rsidRDefault="000E31AA" w14:paraId="6338633B" w14:textId="1C6728E9">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507</w:t>
            </w:r>
          </w:p>
        </w:tc>
        <w:tc>
          <w:tcPr>
            <w:tcW w:w="148" w:type="pct"/>
            <w:tcMar>
              <w:left w:w="0" w:type="dxa"/>
              <w:right w:w="43" w:type="dxa"/>
            </w:tcMar>
            <w:vAlign w:val="center"/>
          </w:tcPr>
          <w:p w:rsidRPr="009055A9" w:rsidR="000E31AA" w:rsidP="000E31AA" w:rsidRDefault="000E31AA" w14:paraId="0543B936" w14:textId="3C993688">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0</w:t>
            </w:r>
          </w:p>
        </w:tc>
        <w:tc>
          <w:tcPr>
            <w:tcW w:w="196" w:type="pct"/>
            <w:tcMar>
              <w:left w:w="0" w:type="dxa"/>
              <w:right w:w="43" w:type="dxa"/>
            </w:tcMar>
            <w:vAlign w:val="center"/>
          </w:tcPr>
          <w:p w:rsidRPr="009055A9" w:rsidR="000E31AA" w:rsidP="000E31AA" w:rsidRDefault="000E31AA" w14:paraId="1224F9E1" w14:textId="5CCDC89C">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544</w:t>
            </w:r>
          </w:p>
        </w:tc>
        <w:tc>
          <w:tcPr>
            <w:tcW w:w="143" w:type="pct"/>
            <w:tcMar>
              <w:left w:w="0" w:type="dxa"/>
              <w:right w:w="43" w:type="dxa"/>
            </w:tcMar>
            <w:vAlign w:val="center"/>
          </w:tcPr>
          <w:p w:rsidRPr="009055A9" w:rsidR="000E31AA" w:rsidP="000E31AA" w:rsidRDefault="000E31AA" w14:paraId="2F92D520" w14:textId="5D95F444">
            <w:pPr>
              <w:jc w:val="right"/>
              <w:rPr>
                <w:rFonts w:asciiTheme="minorHAnsi" w:hAnsiTheme="minorHAnsi" w:cstheme="minorHAnsi"/>
                <w:color w:val="000000"/>
                <w:sz w:val="16"/>
                <w:szCs w:val="16"/>
              </w:rPr>
            </w:pPr>
            <w:r w:rsidRPr="009055A9">
              <w:rPr>
                <w:rFonts w:asciiTheme="minorHAnsi" w:hAnsiTheme="minorHAnsi" w:cstheme="minorHAnsi"/>
                <w:color w:val="000000"/>
                <w:sz w:val="16"/>
                <w:szCs w:val="16"/>
              </w:rPr>
              <w:t>1</w:t>
            </w:r>
          </w:p>
        </w:tc>
        <w:tc>
          <w:tcPr>
            <w:tcW w:w="178" w:type="pct"/>
            <w:shd w:val="clear" w:color="000000" w:fill="FFFFFF"/>
            <w:noWrap/>
            <w:tcMar>
              <w:left w:w="0" w:type="dxa"/>
              <w:right w:w="43" w:type="dxa"/>
            </w:tcMar>
            <w:vAlign w:val="center"/>
          </w:tcPr>
          <w:p w:rsidRPr="003148DB" w:rsidR="000E31AA" w:rsidP="000E31AA" w:rsidRDefault="000E31AA" w14:paraId="2F0702CB" w14:textId="5CC8CE9C">
            <w:pPr>
              <w:jc w:val="right"/>
              <w:rPr>
                <w:rFonts w:asciiTheme="minorHAnsi" w:hAnsiTheme="minorHAnsi" w:cstheme="minorHAnsi"/>
                <w:color w:val="000000"/>
                <w:sz w:val="16"/>
                <w:szCs w:val="16"/>
              </w:rPr>
            </w:pPr>
            <w:r w:rsidRPr="003148DB">
              <w:rPr>
                <w:rFonts w:asciiTheme="minorHAnsi" w:hAnsiTheme="minorHAnsi" w:cstheme="minorHAnsi"/>
                <w:color w:val="000000"/>
                <w:sz w:val="16"/>
                <w:szCs w:val="16"/>
              </w:rPr>
              <w:t>383</w:t>
            </w:r>
          </w:p>
        </w:tc>
        <w:tc>
          <w:tcPr>
            <w:tcW w:w="151" w:type="pct"/>
            <w:shd w:val="clear" w:color="000000" w:fill="FFFFFF"/>
            <w:noWrap/>
            <w:tcMar>
              <w:left w:w="0" w:type="dxa"/>
              <w:right w:w="43" w:type="dxa"/>
            </w:tcMar>
            <w:vAlign w:val="center"/>
          </w:tcPr>
          <w:p w:rsidRPr="003148DB" w:rsidR="000E31AA" w:rsidP="000E31AA" w:rsidRDefault="000E31AA" w14:paraId="3B02FB3D" w14:textId="1EAB24D2">
            <w:pPr>
              <w:jc w:val="right"/>
              <w:rPr>
                <w:rFonts w:asciiTheme="minorHAnsi" w:hAnsiTheme="minorHAnsi" w:cstheme="minorHAnsi"/>
                <w:color w:val="000000"/>
                <w:sz w:val="16"/>
                <w:szCs w:val="16"/>
              </w:rPr>
            </w:pPr>
            <w:r w:rsidRPr="003148DB">
              <w:rPr>
                <w:rFonts w:asciiTheme="minorHAnsi" w:hAnsiTheme="minorHAnsi" w:cstheme="minorHAnsi"/>
                <w:color w:val="000000"/>
                <w:sz w:val="16"/>
                <w:szCs w:val="16"/>
              </w:rPr>
              <w:t>0.9</w:t>
            </w:r>
          </w:p>
        </w:tc>
      </w:tr>
      <w:tr w:rsidRPr="003148DB" w:rsidR="000D41FC" w:rsidTr="000D41FC" w14:paraId="19522A4A" w14:textId="77777777">
        <w:trPr>
          <w:trHeight w:val="58"/>
        </w:trPr>
        <w:tc>
          <w:tcPr>
            <w:tcW w:w="268" w:type="pct"/>
            <w:vMerge/>
            <w:shd w:val="clear" w:color="auto" w:fill="auto"/>
            <w:noWrap/>
            <w:tcMar>
              <w:left w:w="58" w:type="dxa"/>
              <w:right w:w="58" w:type="dxa"/>
            </w:tcMar>
            <w:vAlign w:val="center"/>
            <w:hideMark/>
          </w:tcPr>
          <w:p w:rsidRPr="00196D17" w:rsidR="000E31AA" w:rsidP="000E31AA" w:rsidRDefault="000E31AA" w14:paraId="328AA5CF"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tcPr>
          <w:p w:rsidRPr="009055A9" w:rsidR="000E31AA" w:rsidP="000E31AA" w:rsidRDefault="000E31AA" w14:paraId="0C07B332" w14:textId="7C049302">
            <w:pPr>
              <w:rPr>
                <w:rFonts w:asciiTheme="minorHAnsi" w:hAnsiTheme="minorHAnsi" w:cstheme="minorHAnsi"/>
                <w:sz w:val="16"/>
                <w:szCs w:val="16"/>
              </w:rPr>
            </w:pPr>
            <w:r w:rsidRPr="009055A9">
              <w:rPr>
                <w:rFonts w:asciiTheme="minorHAnsi" w:hAnsiTheme="minorHAnsi" w:cstheme="minorHAnsi"/>
                <w:color w:val="000000"/>
                <w:sz w:val="16"/>
                <w:szCs w:val="16"/>
              </w:rPr>
              <w:t>Exelon</w:t>
            </w:r>
          </w:p>
        </w:tc>
        <w:tc>
          <w:tcPr>
            <w:tcW w:w="321" w:type="pct"/>
            <w:shd w:val="clear" w:color="auto" w:fill="auto"/>
            <w:noWrap/>
            <w:tcMar>
              <w:left w:w="58" w:type="dxa"/>
              <w:right w:w="29" w:type="dxa"/>
            </w:tcMar>
            <w:vAlign w:val="center"/>
          </w:tcPr>
          <w:p w:rsidRPr="009055A9" w:rsidR="000E31AA" w:rsidP="000E31AA" w:rsidRDefault="000E31AA" w14:paraId="1E723319" w14:textId="56889E6C">
            <w:pPr>
              <w:rPr>
                <w:rFonts w:asciiTheme="minorHAnsi" w:hAnsiTheme="minorHAnsi" w:cstheme="minorHAnsi"/>
                <w:sz w:val="16"/>
                <w:szCs w:val="16"/>
              </w:rPr>
            </w:pPr>
            <w:r w:rsidRPr="009055A9">
              <w:rPr>
                <w:rFonts w:asciiTheme="minorHAnsi" w:hAnsiTheme="minorHAnsi" w:cstheme="minorHAnsi"/>
                <w:color w:val="000000"/>
                <w:sz w:val="16"/>
                <w:szCs w:val="16"/>
              </w:rPr>
              <w:t>Exelon</w:t>
            </w:r>
          </w:p>
        </w:tc>
        <w:tc>
          <w:tcPr>
            <w:tcW w:w="123" w:type="pct"/>
            <w:shd w:val="clear" w:color="000000" w:fill="FFFFFF"/>
            <w:noWrap/>
            <w:tcMar>
              <w:left w:w="58" w:type="dxa"/>
              <w:right w:w="58" w:type="dxa"/>
            </w:tcMar>
            <w:vAlign w:val="center"/>
          </w:tcPr>
          <w:p w:rsidRPr="009055A9" w:rsidR="000E31AA" w:rsidP="000E31AA" w:rsidRDefault="000E31AA" w14:paraId="1E1F06D3" w14:textId="52328840">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tcPr>
          <w:p w:rsidRPr="009055A9" w:rsidR="000E31AA" w:rsidP="000E31AA" w:rsidRDefault="000E31AA" w14:paraId="27557DBB" w14:textId="77A1D21E">
            <w:pPr>
              <w:jc w:val="right"/>
              <w:rPr>
                <w:rFonts w:asciiTheme="minorHAnsi" w:hAnsiTheme="minorHAnsi" w:cstheme="minorHAnsi"/>
                <w:sz w:val="16"/>
                <w:szCs w:val="16"/>
              </w:rPr>
            </w:pPr>
            <w:r w:rsidRPr="009055A9">
              <w:rPr>
                <w:rFonts w:asciiTheme="minorHAnsi" w:hAnsiTheme="minorHAnsi" w:cstheme="minorHAnsi"/>
                <w:color w:val="000000"/>
                <w:sz w:val="16"/>
                <w:szCs w:val="16"/>
              </w:rPr>
              <w:t>444</w:t>
            </w:r>
          </w:p>
        </w:tc>
        <w:tc>
          <w:tcPr>
            <w:tcW w:w="123" w:type="pct"/>
            <w:shd w:val="clear" w:color="auto" w:fill="auto"/>
            <w:noWrap/>
            <w:tcMar>
              <w:left w:w="0" w:type="dxa"/>
              <w:right w:w="43" w:type="dxa"/>
            </w:tcMar>
            <w:vAlign w:val="center"/>
          </w:tcPr>
          <w:p w:rsidRPr="009055A9" w:rsidR="000E31AA" w:rsidP="000E31AA" w:rsidRDefault="000E31AA" w14:paraId="15C547CD" w14:textId="1606C50F">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0" w:type="pct"/>
            <w:shd w:val="clear" w:color="auto" w:fill="auto"/>
            <w:noWrap/>
            <w:tcMar>
              <w:left w:w="0" w:type="dxa"/>
              <w:right w:w="43" w:type="dxa"/>
            </w:tcMar>
            <w:vAlign w:val="center"/>
          </w:tcPr>
          <w:p w:rsidRPr="009055A9" w:rsidR="000E31AA" w:rsidP="000E31AA" w:rsidRDefault="000E31AA" w14:paraId="4C604748" w14:textId="1CC2832E">
            <w:pPr>
              <w:jc w:val="right"/>
              <w:rPr>
                <w:rFonts w:asciiTheme="minorHAnsi" w:hAnsiTheme="minorHAnsi" w:cstheme="minorHAnsi"/>
                <w:sz w:val="16"/>
                <w:szCs w:val="16"/>
              </w:rPr>
            </w:pPr>
            <w:r w:rsidRPr="009055A9">
              <w:rPr>
                <w:rFonts w:asciiTheme="minorHAnsi" w:hAnsiTheme="minorHAnsi" w:cstheme="minorHAnsi"/>
                <w:color w:val="000000"/>
                <w:sz w:val="16"/>
                <w:szCs w:val="16"/>
              </w:rPr>
              <w:t>431</w:t>
            </w:r>
          </w:p>
        </w:tc>
        <w:tc>
          <w:tcPr>
            <w:tcW w:w="125" w:type="pct"/>
            <w:shd w:val="clear" w:color="auto" w:fill="auto"/>
            <w:noWrap/>
            <w:tcMar>
              <w:left w:w="0" w:type="dxa"/>
              <w:right w:w="43" w:type="dxa"/>
            </w:tcMar>
            <w:vAlign w:val="center"/>
          </w:tcPr>
          <w:p w:rsidRPr="009055A9" w:rsidR="000E31AA" w:rsidP="000E31AA" w:rsidRDefault="000E31AA" w14:paraId="249B7DC2" w14:textId="6D2F2E0F">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2" w:type="pct"/>
            <w:shd w:val="clear" w:color="auto" w:fill="auto"/>
            <w:noWrap/>
            <w:tcMar>
              <w:left w:w="0" w:type="dxa"/>
              <w:right w:w="43" w:type="dxa"/>
            </w:tcMar>
            <w:vAlign w:val="center"/>
          </w:tcPr>
          <w:p w:rsidRPr="009055A9" w:rsidR="000E31AA" w:rsidP="000E31AA" w:rsidRDefault="000E31AA" w14:paraId="7C3444D4" w14:textId="4606F80D">
            <w:pPr>
              <w:jc w:val="right"/>
              <w:rPr>
                <w:rFonts w:asciiTheme="minorHAnsi" w:hAnsiTheme="minorHAnsi" w:cstheme="minorHAnsi"/>
                <w:sz w:val="16"/>
                <w:szCs w:val="16"/>
              </w:rPr>
            </w:pPr>
            <w:r w:rsidRPr="009055A9">
              <w:rPr>
                <w:rFonts w:asciiTheme="minorHAnsi" w:hAnsiTheme="minorHAnsi" w:cstheme="minorHAnsi"/>
                <w:color w:val="000000"/>
                <w:sz w:val="16"/>
                <w:szCs w:val="16"/>
              </w:rPr>
              <w:t>459</w:t>
            </w:r>
          </w:p>
        </w:tc>
        <w:tc>
          <w:tcPr>
            <w:tcW w:w="123" w:type="pct"/>
            <w:shd w:val="clear" w:color="auto" w:fill="auto"/>
            <w:noWrap/>
            <w:tcMar>
              <w:left w:w="0" w:type="dxa"/>
              <w:right w:w="43" w:type="dxa"/>
            </w:tcMar>
            <w:vAlign w:val="center"/>
          </w:tcPr>
          <w:p w:rsidRPr="009055A9" w:rsidR="000E31AA" w:rsidP="000E31AA" w:rsidRDefault="000E31AA" w14:paraId="7C41728C" w14:textId="1466D547">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4" w:type="pct"/>
            <w:shd w:val="clear" w:color="auto" w:fill="auto"/>
            <w:noWrap/>
            <w:tcMar>
              <w:left w:w="0" w:type="dxa"/>
              <w:right w:w="43" w:type="dxa"/>
            </w:tcMar>
            <w:vAlign w:val="center"/>
          </w:tcPr>
          <w:p w:rsidRPr="009055A9" w:rsidR="000E31AA" w:rsidP="000E31AA" w:rsidRDefault="000E31AA" w14:paraId="75D456AC" w14:textId="4810D45E">
            <w:pPr>
              <w:jc w:val="right"/>
              <w:rPr>
                <w:rFonts w:asciiTheme="minorHAnsi" w:hAnsiTheme="minorHAnsi" w:cstheme="minorHAnsi"/>
                <w:sz w:val="16"/>
                <w:szCs w:val="16"/>
              </w:rPr>
            </w:pPr>
            <w:r w:rsidRPr="009055A9">
              <w:rPr>
                <w:rFonts w:asciiTheme="minorHAnsi" w:hAnsiTheme="minorHAnsi" w:cstheme="minorHAnsi"/>
                <w:color w:val="000000"/>
                <w:sz w:val="16"/>
                <w:szCs w:val="16"/>
              </w:rPr>
              <w:t>525</w:t>
            </w:r>
          </w:p>
        </w:tc>
        <w:tc>
          <w:tcPr>
            <w:tcW w:w="123" w:type="pct"/>
            <w:shd w:val="clear" w:color="auto" w:fill="auto"/>
            <w:noWrap/>
            <w:tcMar>
              <w:left w:w="0" w:type="dxa"/>
              <w:right w:w="43" w:type="dxa"/>
            </w:tcMar>
            <w:vAlign w:val="center"/>
          </w:tcPr>
          <w:p w:rsidRPr="009055A9" w:rsidR="000E31AA" w:rsidP="000E31AA" w:rsidRDefault="000E31AA" w14:paraId="6E0E0163" w14:textId="48AFF03E">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7" w:type="pct"/>
            <w:shd w:val="clear" w:color="auto" w:fill="auto"/>
            <w:noWrap/>
            <w:tcMar>
              <w:left w:w="0" w:type="dxa"/>
              <w:right w:w="43" w:type="dxa"/>
            </w:tcMar>
            <w:vAlign w:val="center"/>
          </w:tcPr>
          <w:p w:rsidRPr="009055A9" w:rsidR="000E31AA" w:rsidP="000E31AA" w:rsidRDefault="000E31AA" w14:paraId="2A582B60" w14:textId="20A0490D">
            <w:pPr>
              <w:jc w:val="right"/>
              <w:rPr>
                <w:rFonts w:asciiTheme="minorHAnsi" w:hAnsiTheme="minorHAnsi" w:cstheme="minorHAnsi"/>
                <w:sz w:val="16"/>
                <w:szCs w:val="16"/>
              </w:rPr>
            </w:pPr>
            <w:r w:rsidRPr="009055A9">
              <w:rPr>
                <w:rFonts w:asciiTheme="minorHAnsi" w:hAnsiTheme="minorHAnsi" w:cstheme="minorHAnsi"/>
                <w:color w:val="000000"/>
                <w:sz w:val="16"/>
                <w:szCs w:val="16"/>
              </w:rPr>
              <w:t>580</w:t>
            </w:r>
          </w:p>
        </w:tc>
        <w:tc>
          <w:tcPr>
            <w:tcW w:w="125" w:type="pct"/>
            <w:shd w:val="clear" w:color="auto" w:fill="auto"/>
            <w:noWrap/>
            <w:tcMar>
              <w:left w:w="0" w:type="dxa"/>
              <w:right w:w="43" w:type="dxa"/>
            </w:tcMar>
            <w:vAlign w:val="center"/>
          </w:tcPr>
          <w:p w:rsidRPr="009055A9" w:rsidR="000E31AA" w:rsidP="000E31AA" w:rsidRDefault="000E31AA" w14:paraId="1384D7D2" w14:textId="401F38FC">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0" w:type="pct"/>
            <w:shd w:val="clear" w:color="auto" w:fill="auto"/>
            <w:noWrap/>
            <w:tcMar>
              <w:left w:w="0" w:type="dxa"/>
              <w:right w:w="43" w:type="dxa"/>
            </w:tcMar>
            <w:vAlign w:val="center"/>
          </w:tcPr>
          <w:p w:rsidRPr="009055A9" w:rsidR="000E31AA" w:rsidP="000E31AA" w:rsidRDefault="000E31AA" w14:paraId="6A5853E0" w14:textId="08D9FD68">
            <w:pPr>
              <w:jc w:val="right"/>
              <w:rPr>
                <w:rFonts w:asciiTheme="minorHAnsi" w:hAnsiTheme="minorHAnsi" w:cstheme="minorHAnsi"/>
                <w:sz w:val="16"/>
                <w:szCs w:val="16"/>
              </w:rPr>
            </w:pPr>
            <w:r w:rsidRPr="009055A9">
              <w:rPr>
                <w:rFonts w:asciiTheme="minorHAnsi" w:hAnsiTheme="minorHAnsi" w:cstheme="minorHAnsi"/>
                <w:color w:val="000000"/>
                <w:sz w:val="16"/>
                <w:szCs w:val="16"/>
              </w:rPr>
              <w:t>537</w:t>
            </w:r>
          </w:p>
        </w:tc>
        <w:tc>
          <w:tcPr>
            <w:tcW w:w="148" w:type="pct"/>
            <w:shd w:val="clear" w:color="auto" w:fill="auto"/>
            <w:noWrap/>
            <w:tcMar>
              <w:left w:w="0" w:type="dxa"/>
              <w:right w:w="43" w:type="dxa"/>
            </w:tcMar>
            <w:vAlign w:val="center"/>
          </w:tcPr>
          <w:p w:rsidRPr="009055A9" w:rsidR="000E31AA" w:rsidP="000E31AA" w:rsidRDefault="000E31AA" w14:paraId="5996A83E" w14:textId="2DDB3ACD">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2" w:type="pct"/>
            <w:tcMar>
              <w:left w:w="0" w:type="dxa"/>
              <w:right w:w="43" w:type="dxa"/>
            </w:tcMar>
            <w:vAlign w:val="center"/>
          </w:tcPr>
          <w:p w:rsidRPr="009055A9" w:rsidR="000E31AA" w:rsidP="000E31AA" w:rsidRDefault="000E31AA" w14:paraId="1CFC1700" w14:textId="4E6B90E8">
            <w:pPr>
              <w:jc w:val="right"/>
              <w:rPr>
                <w:rFonts w:asciiTheme="minorHAnsi" w:hAnsiTheme="minorHAnsi" w:cstheme="minorHAnsi"/>
                <w:sz w:val="16"/>
                <w:szCs w:val="16"/>
              </w:rPr>
            </w:pPr>
            <w:r w:rsidRPr="009055A9">
              <w:rPr>
                <w:rFonts w:asciiTheme="minorHAnsi" w:hAnsiTheme="minorHAnsi" w:cstheme="minorHAnsi"/>
                <w:color w:val="000000"/>
                <w:sz w:val="16"/>
                <w:szCs w:val="16"/>
              </w:rPr>
              <w:t>565</w:t>
            </w:r>
          </w:p>
        </w:tc>
        <w:tc>
          <w:tcPr>
            <w:tcW w:w="124" w:type="pct"/>
            <w:tcMar>
              <w:left w:w="0" w:type="dxa"/>
              <w:right w:w="43" w:type="dxa"/>
            </w:tcMar>
            <w:vAlign w:val="center"/>
          </w:tcPr>
          <w:p w:rsidRPr="009055A9" w:rsidR="000E31AA" w:rsidP="000E31AA" w:rsidRDefault="000E31AA" w14:paraId="3EF470C3" w14:textId="0FA2E43C">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tcMar>
              <w:left w:w="0" w:type="dxa"/>
              <w:right w:w="43" w:type="dxa"/>
            </w:tcMar>
            <w:vAlign w:val="center"/>
          </w:tcPr>
          <w:p w:rsidRPr="009055A9" w:rsidR="000E31AA" w:rsidP="000E31AA" w:rsidRDefault="000E31AA" w14:paraId="0EF7DC85" w14:textId="771A7E00">
            <w:pPr>
              <w:jc w:val="right"/>
              <w:rPr>
                <w:rFonts w:asciiTheme="minorHAnsi" w:hAnsiTheme="minorHAnsi" w:cstheme="minorHAnsi"/>
                <w:sz w:val="16"/>
                <w:szCs w:val="16"/>
              </w:rPr>
            </w:pPr>
            <w:r w:rsidRPr="009055A9">
              <w:rPr>
                <w:rFonts w:asciiTheme="minorHAnsi" w:hAnsiTheme="minorHAnsi" w:cstheme="minorHAnsi"/>
                <w:color w:val="000000"/>
                <w:sz w:val="16"/>
                <w:szCs w:val="16"/>
              </w:rPr>
              <w:t>616</w:t>
            </w:r>
          </w:p>
        </w:tc>
        <w:tc>
          <w:tcPr>
            <w:tcW w:w="146" w:type="pct"/>
            <w:tcMar>
              <w:left w:w="0" w:type="dxa"/>
              <w:right w:w="43" w:type="dxa"/>
            </w:tcMar>
            <w:vAlign w:val="center"/>
          </w:tcPr>
          <w:p w:rsidRPr="009055A9" w:rsidR="000E31AA" w:rsidP="000E31AA" w:rsidRDefault="000E31AA" w14:paraId="4DC2BFB6" w14:textId="4E60CCA5">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5" w:type="pct"/>
            <w:tcMar>
              <w:left w:w="0" w:type="dxa"/>
              <w:right w:w="43" w:type="dxa"/>
            </w:tcMar>
            <w:vAlign w:val="center"/>
          </w:tcPr>
          <w:p w:rsidRPr="009055A9" w:rsidR="000E31AA" w:rsidP="000E31AA" w:rsidRDefault="000E31AA" w14:paraId="73BFBDA4" w14:textId="7297BF83">
            <w:pPr>
              <w:jc w:val="right"/>
              <w:rPr>
                <w:rFonts w:asciiTheme="minorHAnsi" w:hAnsiTheme="minorHAnsi" w:cstheme="minorHAnsi"/>
                <w:sz w:val="16"/>
                <w:szCs w:val="16"/>
              </w:rPr>
            </w:pPr>
            <w:r w:rsidRPr="009055A9">
              <w:rPr>
                <w:rFonts w:asciiTheme="minorHAnsi" w:hAnsiTheme="minorHAnsi" w:cstheme="minorHAnsi"/>
                <w:color w:val="000000"/>
                <w:sz w:val="16"/>
                <w:szCs w:val="16"/>
              </w:rPr>
              <w:t>1,092</w:t>
            </w:r>
          </w:p>
        </w:tc>
        <w:tc>
          <w:tcPr>
            <w:tcW w:w="149" w:type="pct"/>
            <w:tcMar>
              <w:left w:w="0" w:type="dxa"/>
              <w:right w:w="43" w:type="dxa"/>
            </w:tcMar>
            <w:vAlign w:val="center"/>
          </w:tcPr>
          <w:p w:rsidRPr="009055A9" w:rsidR="000E31AA" w:rsidP="000E31AA" w:rsidRDefault="000E31AA" w14:paraId="7CA0C75B" w14:textId="429B022B">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97" w:type="pct"/>
            <w:tcMar>
              <w:left w:w="0" w:type="dxa"/>
              <w:right w:w="43" w:type="dxa"/>
            </w:tcMar>
            <w:vAlign w:val="center"/>
          </w:tcPr>
          <w:p w:rsidRPr="009055A9" w:rsidR="000E31AA" w:rsidP="000E31AA" w:rsidRDefault="000E31AA" w14:paraId="267AE63E" w14:textId="4FAF15F2">
            <w:pPr>
              <w:jc w:val="right"/>
              <w:rPr>
                <w:rFonts w:asciiTheme="minorHAnsi" w:hAnsiTheme="minorHAnsi" w:cstheme="minorHAnsi"/>
                <w:sz w:val="16"/>
                <w:szCs w:val="16"/>
              </w:rPr>
            </w:pPr>
            <w:r w:rsidRPr="009055A9">
              <w:rPr>
                <w:rFonts w:asciiTheme="minorHAnsi" w:hAnsiTheme="minorHAnsi" w:cstheme="minorHAnsi"/>
                <w:color w:val="000000"/>
                <w:sz w:val="16"/>
                <w:szCs w:val="16"/>
              </w:rPr>
              <w:t>1,047</w:t>
            </w:r>
          </w:p>
        </w:tc>
        <w:tc>
          <w:tcPr>
            <w:tcW w:w="148" w:type="pct"/>
            <w:tcMar>
              <w:left w:w="0" w:type="dxa"/>
              <w:right w:w="43" w:type="dxa"/>
            </w:tcMar>
            <w:vAlign w:val="center"/>
          </w:tcPr>
          <w:p w:rsidRPr="009055A9" w:rsidR="000E31AA" w:rsidP="000E31AA" w:rsidRDefault="000E31AA" w14:paraId="284E6A1F" w14:textId="0AE9B517">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6" w:type="pct"/>
            <w:tcMar>
              <w:left w:w="0" w:type="dxa"/>
              <w:right w:w="43" w:type="dxa"/>
            </w:tcMar>
            <w:vAlign w:val="center"/>
          </w:tcPr>
          <w:p w:rsidRPr="009055A9" w:rsidR="000E31AA" w:rsidP="000E31AA" w:rsidRDefault="000E31AA" w14:paraId="50471156" w14:textId="42D4F478">
            <w:pPr>
              <w:jc w:val="right"/>
              <w:rPr>
                <w:rFonts w:asciiTheme="minorHAnsi" w:hAnsiTheme="minorHAnsi" w:cstheme="minorHAnsi"/>
                <w:sz w:val="16"/>
                <w:szCs w:val="16"/>
              </w:rPr>
            </w:pPr>
            <w:r w:rsidRPr="009055A9">
              <w:rPr>
                <w:rFonts w:asciiTheme="minorHAnsi" w:hAnsiTheme="minorHAnsi" w:cstheme="minorHAnsi"/>
                <w:color w:val="000000"/>
                <w:sz w:val="16"/>
                <w:szCs w:val="16"/>
              </w:rPr>
              <w:t>1,164</w:t>
            </w:r>
          </w:p>
        </w:tc>
        <w:tc>
          <w:tcPr>
            <w:tcW w:w="143" w:type="pct"/>
            <w:tcMar>
              <w:left w:w="0" w:type="dxa"/>
              <w:right w:w="43" w:type="dxa"/>
            </w:tcMar>
            <w:vAlign w:val="center"/>
          </w:tcPr>
          <w:p w:rsidRPr="009055A9" w:rsidR="000E31AA" w:rsidP="000E31AA" w:rsidRDefault="000E31AA" w14:paraId="73DC9BF1" w14:textId="7EB37383">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78" w:type="pct"/>
            <w:shd w:val="clear" w:color="000000" w:fill="FFFFFF"/>
            <w:noWrap/>
            <w:tcMar>
              <w:left w:w="0" w:type="dxa"/>
              <w:right w:w="43" w:type="dxa"/>
            </w:tcMar>
            <w:vAlign w:val="center"/>
          </w:tcPr>
          <w:p w:rsidRPr="003148DB" w:rsidR="000E31AA" w:rsidP="000E31AA" w:rsidRDefault="000E31AA" w14:paraId="03C133A2" w14:textId="45635336">
            <w:pPr>
              <w:jc w:val="right"/>
              <w:rPr>
                <w:rFonts w:asciiTheme="minorHAnsi" w:hAnsiTheme="minorHAnsi" w:cstheme="minorHAnsi"/>
                <w:sz w:val="16"/>
                <w:szCs w:val="16"/>
              </w:rPr>
            </w:pPr>
            <w:r w:rsidRPr="003148DB">
              <w:rPr>
                <w:rFonts w:asciiTheme="minorHAnsi" w:hAnsiTheme="minorHAnsi" w:cstheme="minorHAnsi"/>
                <w:color w:val="000000"/>
                <w:sz w:val="16"/>
                <w:szCs w:val="16"/>
              </w:rPr>
              <w:t>678</w:t>
            </w:r>
          </w:p>
        </w:tc>
        <w:tc>
          <w:tcPr>
            <w:tcW w:w="151" w:type="pct"/>
            <w:shd w:val="clear" w:color="000000" w:fill="FFFFFF"/>
            <w:noWrap/>
            <w:tcMar>
              <w:left w:w="0" w:type="dxa"/>
              <w:right w:w="43" w:type="dxa"/>
            </w:tcMar>
            <w:vAlign w:val="center"/>
          </w:tcPr>
          <w:p w:rsidRPr="003148DB" w:rsidR="000E31AA" w:rsidP="000E31AA" w:rsidRDefault="000E31AA" w14:paraId="25E690EA" w14:textId="0E7C2ABE">
            <w:pPr>
              <w:jc w:val="right"/>
              <w:rPr>
                <w:rFonts w:asciiTheme="minorHAnsi" w:hAnsiTheme="minorHAnsi" w:cstheme="minorHAnsi"/>
                <w:sz w:val="16"/>
                <w:szCs w:val="16"/>
              </w:rPr>
            </w:pPr>
            <w:r w:rsidRPr="003148DB">
              <w:rPr>
                <w:rFonts w:asciiTheme="minorHAnsi" w:hAnsiTheme="minorHAnsi" w:cstheme="minorHAnsi"/>
                <w:color w:val="000000"/>
                <w:sz w:val="16"/>
                <w:szCs w:val="16"/>
              </w:rPr>
              <w:t>1.5</w:t>
            </w:r>
          </w:p>
        </w:tc>
      </w:tr>
      <w:tr w:rsidRPr="003148DB" w:rsidR="000D41FC" w:rsidTr="000D41FC" w14:paraId="564C3497" w14:textId="77777777">
        <w:trPr>
          <w:trHeight w:val="269"/>
        </w:trPr>
        <w:tc>
          <w:tcPr>
            <w:tcW w:w="268" w:type="pct"/>
            <w:shd w:val="clear" w:color="auto" w:fill="auto"/>
            <w:noWrap/>
            <w:tcMar>
              <w:left w:w="58" w:type="dxa"/>
              <w:right w:w="58" w:type="dxa"/>
            </w:tcMar>
            <w:vAlign w:val="center"/>
            <w:hideMark/>
          </w:tcPr>
          <w:p w:rsidRPr="00196D17" w:rsidR="000E31AA" w:rsidP="000E31AA" w:rsidRDefault="000E31AA" w14:paraId="002D2517" w14:textId="72D75F57">
            <w:pPr>
              <w:rPr>
                <w:rFonts w:asciiTheme="minorHAnsi" w:hAnsiTheme="minorHAnsi" w:cstheme="minorHAnsi"/>
                <w:sz w:val="16"/>
                <w:szCs w:val="16"/>
              </w:rPr>
            </w:pPr>
            <w:r w:rsidRPr="00196D17">
              <w:rPr>
                <w:rFonts w:asciiTheme="minorHAnsi" w:hAnsiTheme="minorHAnsi" w:cstheme="minorHAnsi"/>
                <w:sz w:val="16"/>
                <w:szCs w:val="16"/>
              </w:rPr>
              <w:t>C</w:t>
            </w:r>
            <w:r>
              <w:rPr>
                <w:rFonts w:asciiTheme="minorHAnsi" w:hAnsiTheme="minorHAnsi" w:cstheme="minorHAnsi"/>
                <w:sz w:val="16"/>
                <w:szCs w:val="16"/>
              </w:rPr>
              <w:t>ontractor</w:t>
            </w:r>
            <w:r w:rsidRPr="00196D17">
              <w:rPr>
                <w:rFonts w:asciiTheme="minorHAnsi" w:hAnsiTheme="minorHAnsi" w:cstheme="minorHAnsi"/>
                <w:sz w:val="16"/>
                <w:szCs w:val="16"/>
              </w:rPr>
              <w:t>/</w:t>
            </w:r>
            <w:r>
              <w:rPr>
                <w:rFonts w:asciiTheme="minorHAnsi" w:hAnsiTheme="minorHAnsi" w:cstheme="minorHAnsi"/>
                <w:sz w:val="16"/>
                <w:szCs w:val="16"/>
              </w:rPr>
              <w:t xml:space="preserve"> </w:t>
            </w:r>
            <w:r w:rsidRPr="00196D17">
              <w:rPr>
                <w:rFonts w:asciiTheme="minorHAnsi" w:hAnsiTheme="minorHAnsi" w:cstheme="minorHAnsi"/>
                <w:sz w:val="16"/>
                <w:szCs w:val="16"/>
              </w:rPr>
              <w:t>V</w:t>
            </w:r>
            <w:r>
              <w:rPr>
                <w:rFonts w:asciiTheme="minorHAnsi" w:hAnsiTheme="minorHAnsi" w:cstheme="minorHAnsi"/>
                <w:sz w:val="16"/>
                <w:szCs w:val="16"/>
              </w:rPr>
              <w:t>endor</w:t>
            </w:r>
          </w:p>
        </w:tc>
        <w:tc>
          <w:tcPr>
            <w:tcW w:w="493" w:type="pct"/>
            <w:shd w:val="clear" w:color="auto" w:fill="auto"/>
            <w:noWrap/>
            <w:tcMar>
              <w:left w:w="58" w:type="dxa"/>
              <w:right w:w="29" w:type="dxa"/>
            </w:tcMar>
            <w:vAlign w:val="center"/>
            <w:hideMark/>
          </w:tcPr>
          <w:p w:rsidRPr="009055A9" w:rsidR="000E31AA" w:rsidP="000E31AA" w:rsidRDefault="000E31AA" w14:paraId="5EF48C6A" w14:textId="02794A3E">
            <w:pPr>
              <w:rPr>
                <w:rFonts w:asciiTheme="minorHAnsi" w:hAnsiTheme="minorHAnsi" w:cstheme="minorHAnsi"/>
                <w:sz w:val="16"/>
                <w:szCs w:val="16"/>
              </w:rPr>
            </w:pPr>
            <w:r w:rsidRPr="009055A9">
              <w:rPr>
                <w:rFonts w:asciiTheme="minorHAnsi" w:hAnsiTheme="minorHAnsi" w:cstheme="minorHAnsi"/>
                <w:color w:val="000000"/>
                <w:sz w:val="16"/>
                <w:szCs w:val="16"/>
              </w:rPr>
              <w:t>I</w:t>
            </w:r>
            <w:r>
              <w:rPr>
                <w:rFonts w:asciiTheme="minorHAnsi" w:hAnsiTheme="minorHAnsi" w:cstheme="minorHAnsi"/>
                <w:color w:val="000000"/>
                <w:sz w:val="16"/>
                <w:szCs w:val="16"/>
              </w:rPr>
              <w:t xml:space="preserve">nstitute of </w:t>
            </w:r>
            <w:r w:rsidRPr="009055A9">
              <w:rPr>
                <w:rFonts w:asciiTheme="minorHAnsi" w:hAnsiTheme="minorHAnsi" w:cstheme="minorHAnsi"/>
                <w:color w:val="000000"/>
                <w:sz w:val="16"/>
                <w:szCs w:val="16"/>
              </w:rPr>
              <w:t>N</w:t>
            </w:r>
            <w:r>
              <w:rPr>
                <w:rFonts w:asciiTheme="minorHAnsi" w:hAnsiTheme="minorHAnsi" w:cstheme="minorHAnsi"/>
                <w:color w:val="000000"/>
                <w:sz w:val="16"/>
                <w:szCs w:val="16"/>
              </w:rPr>
              <w:t xml:space="preserve">uclear </w:t>
            </w:r>
            <w:r w:rsidRPr="009055A9">
              <w:rPr>
                <w:rFonts w:asciiTheme="minorHAnsi" w:hAnsiTheme="minorHAnsi" w:cstheme="minorHAnsi"/>
                <w:color w:val="000000"/>
                <w:sz w:val="16"/>
                <w:szCs w:val="16"/>
              </w:rPr>
              <w:t>P</w:t>
            </w:r>
            <w:r>
              <w:rPr>
                <w:rFonts w:asciiTheme="minorHAnsi" w:hAnsiTheme="minorHAnsi" w:cstheme="minorHAnsi"/>
                <w:color w:val="000000"/>
                <w:sz w:val="16"/>
                <w:szCs w:val="16"/>
              </w:rPr>
              <w:t xml:space="preserve">ower </w:t>
            </w:r>
            <w:r w:rsidRPr="009055A9">
              <w:rPr>
                <w:rFonts w:asciiTheme="minorHAnsi" w:hAnsiTheme="minorHAnsi" w:cstheme="minorHAnsi"/>
                <w:color w:val="000000"/>
                <w:sz w:val="16"/>
                <w:szCs w:val="16"/>
              </w:rPr>
              <w:t>O</w:t>
            </w:r>
            <w:r>
              <w:rPr>
                <w:rFonts w:asciiTheme="minorHAnsi" w:hAnsiTheme="minorHAnsi" w:cstheme="minorHAnsi"/>
                <w:color w:val="000000"/>
                <w:sz w:val="16"/>
                <w:szCs w:val="16"/>
              </w:rPr>
              <w:t>perations (INPO)</w:t>
            </w:r>
          </w:p>
        </w:tc>
        <w:tc>
          <w:tcPr>
            <w:tcW w:w="321" w:type="pct"/>
            <w:shd w:val="clear" w:color="auto" w:fill="auto"/>
            <w:noWrap/>
            <w:tcMar>
              <w:left w:w="58" w:type="dxa"/>
              <w:right w:w="29" w:type="dxa"/>
            </w:tcMar>
            <w:vAlign w:val="center"/>
            <w:hideMark/>
          </w:tcPr>
          <w:p w:rsidRPr="009055A9" w:rsidR="000E31AA" w:rsidP="000E31AA" w:rsidRDefault="000E31AA" w14:paraId="66BBAD07" w14:textId="19204B52">
            <w:pPr>
              <w:rPr>
                <w:rFonts w:asciiTheme="minorHAnsi" w:hAnsiTheme="minorHAnsi" w:cstheme="minorHAnsi"/>
                <w:sz w:val="16"/>
                <w:szCs w:val="16"/>
              </w:rPr>
            </w:pPr>
            <w:r w:rsidRPr="009055A9">
              <w:rPr>
                <w:rFonts w:asciiTheme="minorHAnsi" w:hAnsiTheme="minorHAnsi" w:cstheme="minorHAnsi"/>
                <w:color w:val="000000"/>
                <w:sz w:val="16"/>
                <w:szCs w:val="16"/>
              </w:rPr>
              <w:t>INPO</w:t>
            </w:r>
          </w:p>
        </w:tc>
        <w:tc>
          <w:tcPr>
            <w:tcW w:w="123" w:type="pct"/>
            <w:shd w:val="clear" w:color="000000" w:fill="FFFFFF"/>
            <w:noWrap/>
            <w:tcMar>
              <w:left w:w="58" w:type="dxa"/>
              <w:right w:w="58" w:type="dxa"/>
            </w:tcMar>
            <w:vAlign w:val="center"/>
            <w:hideMark/>
          </w:tcPr>
          <w:p w:rsidRPr="009055A9" w:rsidR="000E31AA" w:rsidP="000E31AA" w:rsidRDefault="000E31AA" w14:paraId="48E9CAB2" w14:textId="0974539E">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0E31AA" w:rsidP="000E31AA" w:rsidRDefault="000E31AA" w14:paraId="4C11F0BF" w14:textId="16AF0028">
            <w:pPr>
              <w:jc w:val="right"/>
              <w:rPr>
                <w:rFonts w:asciiTheme="minorHAnsi" w:hAnsiTheme="minorHAnsi" w:cstheme="minorHAnsi"/>
                <w:sz w:val="16"/>
                <w:szCs w:val="16"/>
              </w:rPr>
            </w:pPr>
            <w:r w:rsidRPr="009055A9">
              <w:rPr>
                <w:rFonts w:asciiTheme="minorHAnsi" w:hAnsiTheme="minorHAnsi" w:cstheme="minorHAnsi"/>
                <w:color w:val="000000"/>
                <w:sz w:val="16"/>
                <w:szCs w:val="16"/>
              </w:rPr>
              <w:t>81</w:t>
            </w:r>
          </w:p>
        </w:tc>
        <w:tc>
          <w:tcPr>
            <w:tcW w:w="123" w:type="pct"/>
            <w:shd w:val="clear" w:color="auto" w:fill="auto"/>
            <w:noWrap/>
            <w:tcMar>
              <w:left w:w="0" w:type="dxa"/>
              <w:right w:w="43" w:type="dxa"/>
            </w:tcMar>
            <w:vAlign w:val="center"/>
            <w:hideMark/>
          </w:tcPr>
          <w:p w:rsidRPr="009055A9" w:rsidR="000E31AA" w:rsidP="000E31AA" w:rsidRDefault="000E31AA" w14:paraId="674DA04F" w14:textId="39D30697">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0" w:type="pct"/>
            <w:shd w:val="clear" w:color="auto" w:fill="auto"/>
            <w:noWrap/>
            <w:tcMar>
              <w:left w:w="0" w:type="dxa"/>
              <w:right w:w="43" w:type="dxa"/>
            </w:tcMar>
            <w:vAlign w:val="center"/>
            <w:hideMark/>
          </w:tcPr>
          <w:p w:rsidRPr="009055A9" w:rsidR="000E31AA" w:rsidP="000E31AA" w:rsidRDefault="000E31AA" w14:paraId="280BD722" w14:textId="644DA87A">
            <w:pPr>
              <w:jc w:val="right"/>
              <w:rPr>
                <w:rFonts w:asciiTheme="minorHAnsi" w:hAnsiTheme="minorHAnsi" w:cstheme="minorHAnsi"/>
                <w:sz w:val="16"/>
                <w:szCs w:val="16"/>
              </w:rPr>
            </w:pPr>
            <w:r w:rsidRPr="009055A9">
              <w:rPr>
                <w:rFonts w:asciiTheme="minorHAnsi" w:hAnsiTheme="minorHAnsi" w:cstheme="minorHAnsi"/>
                <w:color w:val="000000"/>
                <w:sz w:val="16"/>
                <w:szCs w:val="16"/>
              </w:rPr>
              <w:t>348</w:t>
            </w:r>
          </w:p>
        </w:tc>
        <w:tc>
          <w:tcPr>
            <w:tcW w:w="125" w:type="pct"/>
            <w:shd w:val="clear" w:color="auto" w:fill="auto"/>
            <w:noWrap/>
            <w:tcMar>
              <w:left w:w="0" w:type="dxa"/>
              <w:right w:w="43" w:type="dxa"/>
            </w:tcMar>
            <w:vAlign w:val="center"/>
            <w:hideMark/>
          </w:tcPr>
          <w:p w:rsidRPr="009055A9" w:rsidR="000E31AA" w:rsidP="000E31AA" w:rsidRDefault="000E31AA" w14:paraId="6949046C" w14:textId="0474A14B">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2" w:type="pct"/>
            <w:shd w:val="clear" w:color="auto" w:fill="auto"/>
            <w:noWrap/>
            <w:tcMar>
              <w:left w:w="0" w:type="dxa"/>
              <w:right w:w="43" w:type="dxa"/>
            </w:tcMar>
            <w:vAlign w:val="center"/>
            <w:hideMark/>
          </w:tcPr>
          <w:p w:rsidRPr="009055A9" w:rsidR="000E31AA" w:rsidP="000E31AA" w:rsidRDefault="000E31AA" w14:paraId="313B919B" w14:textId="37EA7AE6">
            <w:pPr>
              <w:jc w:val="right"/>
              <w:rPr>
                <w:rFonts w:asciiTheme="minorHAnsi" w:hAnsiTheme="minorHAnsi" w:cstheme="minorHAnsi"/>
                <w:sz w:val="16"/>
                <w:szCs w:val="16"/>
              </w:rPr>
            </w:pPr>
            <w:r w:rsidRPr="009055A9">
              <w:rPr>
                <w:rFonts w:asciiTheme="minorHAnsi" w:hAnsiTheme="minorHAnsi" w:cstheme="minorHAnsi"/>
                <w:color w:val="000000"/>
                <w:sz w:val="16"/>
                <w:szCs w:val="16"/>
              </w:rPr>
              <w:t>367</w:t>
            </w:r>
          </w:p>
        </w:tc>
        <w:tc>
          <w:tcPr>
            <w:tcW w:w="123" w:type="pct"/>
            <w:shd w:val="clear" w:color="auto" w:fill="auto"/>
            <w:noWrap/>
            <w:tcMar>
              <w:left w:w="0" w:type="dxa"/>
              <w:right w:w="43" w:type="dxa"/>
            </w:tcMar>
            <w:vAlign w:val="center"/>
            <w:hideMark/>
          </w:tcPr>
          <w:p w:rsidRPr="009055A9" w:rsidR="000E31AA" w:rsidP="000E31AA" w:rsidRDefault="000E31AA" w14:paraId="554DB023" w14:textId="0B1F2420">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4" w:type="pct"/>
            <w:shd w:val="clear" w:color="auto" w:fill="auto"/>
            <w:noWrap/>
            <w:tcMar>
              <w:left w:w="0" w:type="dxa"/>
              <w:right w:w="43" w:type="dxa"/>
            </w:tcMar>
            <w:vAlign w:val="center"/>
            <w:hideMark/>
          </w:tcPr>
          <w:p w:rsidRPr="009055A9" w:rsidR="000E31AA" w:rsidP="000E31AA" w:rsidRDefault="000E31AA" w14:paraId="206B1DD6" w14:textId="1E24DFEE">
            <w:pPr>
              <w:jc w:val="right"/>
              <w:rPr>
                <w:rFonts w:asciiTheme="minorHAnsi" w:hAnsiTheme="minorHAnsi" w:cstheme="minorHAnsi"/>
                <w:sz w:val="16"/>
                <w:szCs w:val="16"/>
              </w:rPr>
            </w:pPr>
            <w:r w:rsidRPr="009055A9">
              <w:rPr>
                <w:rFonts w:asciiTheme="minorHAnsi" w:hAnsiTheme="minorHAnsi" w:cstheme="minorHAnsi"/>
                <w:color w:val="000000"/>
                <w:sz w:val="16"/>
                <w:szCs w:val="16"/>
              </w:rPr>
              <w:t>362</w:t>
            </w:r>
          </w:p>
        </w:tc>
        <w:tc>
          <w:tcPr>
            <w:tcW w:w="123" w:type="pct"/>
            <w:shd w:val="clear" w:color="auto" w:fill="auto"/>
            <w:noWrap/>
            <w:tcMar>
              <w:left w:w="0" w:type="dxa"/>
              <w:right w:w="43" w:type="dxa"/>
            </w:tcMar>
            <w:vAlign w:val="center"/>
            <w:hideMark/>
          </w:tcPr>
          <w:p w:rsidRPr="009055A9" w:rsidR="000E31AA" w:rsidP="000E31AA" w:rsidRDefault="000E31AA" w14:paraId="48645C87" w14:textId="70FB0844">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7" w:type="pct"/>
            <w:shd w:val="clear" w:color="auto" w:fill="auto"/>
            <w:noWrap/>
            <w:tcMar>
              <w:left w:w="0" w:type="dxa"/>
              <w:right w:w="43" w:type="dxa"/>
            </w:tcMar>
            <w:vAlign w:val="center"/>
            <w:hideMark/>
          </w:tcPr>
          <w:p w:rsidRPr="009055A9" w:rsidR="000E31AA" w:rsidP="000E31AA" w:rsidRDefault="000E31AA" w14:paraId="4D3E9350" w14:textId="65449375">
            <w:pPr>
              <w:jc w:val="right"/>
              <w:rPr>
                <w:rFonts w:asciiTheme="minorHAnsi" w:hAnsiTheme="minorHAnsi" w:cstheme="minorHAnsi"/>
                <w:sz w:val="16"/>
                <w:szCs w:val="16"/>
              </w:rPr>
            </w:pPr>
            <w:r w:rsidRPr="009055A9">
              <w:rPr>
                <w:rFonts w:asciiTheme="minorHAnsi" w:hAnsiTheme="minorHAnsi" w:cstheme="minorHAnsi"/>
                <w:color w:val="000000"/>
                <w:sz w:val="16"/>
                <w:szCs w:val="16"/>
              </w:rPr>
              <w:t>380</w:t>
            </w:r>
          </w:p>
        </w:tc>
        <w:tc>
          <w:tcPr>
            <w:tcW w:w="125" w:type="pct"/>
            <w:shd w:val="clear" w:color="auto" w:fill="auto"/>
            <w:noWrap/>
            <w:tcMar>
              <w:left w:w="0" w:type="dxa"/>
              <w:right w:w="43" w:type="dxa"/>
            </w:tcMar>
            <w:vAlign w:val="center"/>
            <w:hideMark/>
          </w:tcPr>
          <w:p w:rsidRPr="009055A9" w:rsidR="000E31AA" w:rsidP="000E31AA" w:rsidRDefault="000E31AA" w14:paraId="74A64FF5" w14:textId="4BF93981">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0" w:type="pct"/>
            <w:shd w:val="clear" w:color="auto" w:fill="auto"/>
            <w:noWrap/>
            <w:tcMar>
              <w:left w:w="0" w:type="dxa"/>
              <w:right w:w="43" w:type="dxa"/>
            </w:tcMar>
            <w:vAlign w:val="center"/>
            <w:hideMark/>
          </w:tcPr>
          <w:p w:rsidRPr="009055A9" w:rsidR="000E31AA" w:rsidP="000E31AA" w:rsidRDefault="000E31AA" w14:paraId="2B56596D" w14:textId="6C4C4115">
            <w:pPr>
              <w:jc w:val="right"/>
              <w:rPr>
                <w:rFonts w:asciiTheme="minorHAnsi" w:hAnsiTheme="minorHAnsi" w:cstheme="minorHAnsi"/>
                <w:sz w:val="16"/>
                <w:szCs w:val="16"/>
              </w:rPr>
            </w:pPr>
            <w:r w:rsidRPr="009055A9">
              <w:rPr>
                <w:rFonts w:asciiTheme="minorHAnsi" w:hAnsiTheme="minorHAnsi" w:cstheme="minorHAnsi"/>
                <w:color w:val="000000"/>
                <w:sz w:val="16"/>
                <w:szCs w:val="16"/>
              </w:rPr>
              <w:t>324</w:t>
            </w:r>
          </w:p>
        </w:tc>
        <w:tc>
          <w:tcPr>
            <w:tcW w:w="148" w:type="pct"/>
            <w:shd w:val="clear" w:color="auto" w:fill="auto"/>
            <w:noWrap/>
            <w:tcMar>
              <w:left w:w="0" w:type="dxa"/>
              <w:right w:w="43" w:type="dxa"/>
            </w:tcMar>
            <w:vAlign w:val="center"/>
            <w:hideMark/>
          </w:tcPr>
          <w:p w:rsidRPr="009055A9" w:rsidR="000E31AA" w:rsidP="000E31AA" w:rsidRDefault="000E31AA" w14:paraId="2AB161F9" w14:textId="261131D3">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2" w:type="pct"/>
            <w:tcMar>
              <w:left w:w="0" w:type="dxa"/>
              <w:right w:w="43" w:type="dxa"/>
            </w:tcMar>
            <w:vAlign w:val="center"/>
          </w:tcPr>
          <w:p w:rsidRPr="009055A9" w:rsidR="000E31AA" w:rsidP="000E31AA" w:rsidRDefault="000E31AA" w14:paraId="039A347C" w14:textId="7CB127BE">
            <w:pPr>
              <w:jc w:val="right"/>
              <w:rPr>
                <w:rFonts w:asciiTheme="minorHAnsi" w:hAnsiTheme="minorHAnsi" w:cstheme="minorHAnsi"/>
                <w:sz w:val="16"/>
                <w:szCs w:val="16"/>
              </w:rPr>
            </w:pPr>
            <w:r w:rsidRPr="009055A9">
              <w:rPr>
                <w:rFonts w:asciiTheme="minorHAnsi" w:hAnsiTheme="minorHAnsi" w:cstheme="minorHAnsi"/>
                <w:color w:val="000000"/>
                <w:sz w:val="16"/>
                <w:szCs w:val="16"/>
              </w:rPr>
              <w:t>317</w:t>
            </w:r>
          </w:p>
        </w:tc>
        <w:tc>
          <w:tcPr>
            <w:tcW w:w="124" w:type="pct"/>
            <w:tcMar>
              <w:left w:w="0" w:type="dxa"/>
              <w:right w:w="43" w:type="dxa"/>
            </w:tcMar>
            <w:vAlign w:val="center"/>
          </w:tcPr>
          <w:p w:rsidRPr="009055A9" w:rsidR="000E31AA" w:rsidP="000E31AA" w:rsidRDefault="000E31AA" w14:paraId="3CC5C456" w14:textId="334E97CA">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3" w:type="pct"/>
            <w:tcMar>
              <w:left w:w="0" w:type="dxa"/>
              <w:right w:w="43" w:type="dxa"/>
            </w:tcMar>
            <w:vAlign w:val="center"/>
          </w:tcPr>
          <w:p w:rsidRPr="009055A9" w:rsidR="000E31AA" w:rsidP="000E31AA" w:rsidRDefault="000E31AA" w14:paraId="40FBEA5A" w14:textId="6921EC48">
            <w:pPr>
              <w:jc w:val="right"/>
              <w:rPr>
                <w:rFonts w:asciiTheme="minorHAnsi" w:hAnsiTheme="minorHAnsi" w:cstheme="minorHAnsi"/>
                <w:sz w:val="16"/>
                <w:szCs w:val="16"/>
              </w:rPr>
            </w:pPr>
            <w:r w:rsidRPr="009055A9">
              <w:rPr>
                <w:rFonts w:asciiTheme="minorHAnsi" w:hAnsiTheme="minorHAnsi" w:cstheme="minorHAnsi"/>
                <w:color w:val="000000"/>
                <w:sz w:val="16"/>
                <w:szCs w:val="16"/>
              </w:rPr>
              <w:t>347</w:t>
            </w:r>
          </w:p>
        </w:tc>
        <w:tc>
          <w:tcPr>
            <w:tcW w:w="146" w:type="pct"/>
            <w:tcMar>
              <w:left w:w="0" w:type="dxa"/>
              <w:right w:w="43" w:type="dxa"/>
            </w:tcMar>
            <w:vAlign w:val="center"/>
          </w:tcPr>
          <w:p w:rsidRPr="009055A9" w:rsidR="000E31AA" w:rsidP="000E31AA" w:rsidRDefault="000E31AA" w14:paraId="6A279C8A" w14:textId="5572866F">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5" w:type="pct"/>
            <w:tcMar>
              <w:left w:w="0" w:type="dxa"/>
              <w:right w:w="43" w:type="dxa"/>
            </w:tcMar>
            <w:vAlign w:val="center"/>
          </w:tcPr>
          <w:p w:rsidRPr="009055A9" w:rsidR="000E31AA" w:rsidP="000E31AA" w:rsidRDefault="000E31AA" w14:paraId="069CA583" w14:textId="259C28F7">
            <w:pPr>
              <w:jc w:val="right"/>
              <w:rPr>
                <w:rFonts w:asciiTheme="minorHAnsi" w:hAnsiTheme="minorHAnsi" w:cstheme="minorHAnsi"/>
                <w:sz w:val="16"/>
                <w:szCs w:val="16"/>
              </w:rPr>
            </w:pPr>
            <w:r w:rsidRPr="009055A9">
              <w:rPr>
                <w:rFonts w:asciiTheme="minorHAnsi" w:hAnsiTheme="minorHAnsi" w:cstheme="minorHAnsi"/>
                <w:color w:val="000000"/>
                <w:sz w:val="16"/>
                <w:szCs w:val="16"/>
              </w:rPr>
              <w:t>314</w:t>
            </w:r>
          </w:p>
        </w:tc>
        <w:tc>
          <w:tcPr>
            <w:tcW w:w="149" w:type="pct"/>
            <w:tcMar>
              <w:left w:w="0" w:type="dxa"/>
              <w:right w:w="43" w:type="dxa"/>
            </w:tcMar>
            <w:vAlign w:val="center"/>
          </w:tcPr>
          <w:p w:rsidRPr="009055A9" w:rsidR="000E31AA" w:rsidP="000E31AA" w:rsidRDefault="000E31AA" w14:paraId="6BE382B2" w14:textId="72DC60FF">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7" w:type="pct"/>
            <w:tcMar>
              <w:left w:w="0" w:type="dxa"/>
              <w:right w:w="43" w:type="dxa"/>
            </w:tcMar>
            <w:vAlign w:val="center"/>
          </w:tcPr>
          <w:p w:rsidRPr="009055A9" w:rsidR="000E31AA" w:rsidP="000E31AA" w:rsidRDefault="000E31AA" w14:paraId="003EDF4F" w14:textId="0B820B9A">
            <w:pPr>
              <w:jc w:val="right"/>
              <w:rPr>
                <w:rFonts w:asciiTheme="minorHAnsi" w:hAnsiTheme="minorHAnsi" w:cstheme="minorHAnsi"/>
                <w:sz w:val="16"/>
                <w:szCs w:val="16"/>
              </w:rPr>
            </w:pPr>
            <w:r w:rsidRPr="009055A9">
              <w:rPr>
                <w:rFonts w:asciiTheme="minorHAnsi" w:hAnsiTheme="minorHAnsi" w:cstheme="minorHAnsi"/>
                <w:color w:val="000000"/>
                <w:sz w:val="16"/>
                <w:szCs w:val="16"/>
              </w:rPr>
              <w:t>307</w:t>
            </w:r>
          </w:p>
        </w:tc>
        <w:tc>
          <w:tcPr>
            <w:tcW w:w="148" w:type="pct"/>
            <w:tcMar>
              <w:left w:w="0" w:type="dxa"/>
              <w:right w:w="43" w:type="dxa"/>
            </w:tcMar>
            <w:vAlign w:val="center"/>
          </w:tcPr>
          <w:p w:rsidRPr="009055A9" w:rsidR="000E31AA" w:rsidP="000E31AA" w:rsidRDefault="000E31AA" w14:paraId="325201B3" w14:textId="1703DB41">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6" w:type="pct"/>
            <w:tcMar>
              <w:left w:w="0" w:type="dxa"/>
              <w:right w:w="43" w:type="dxa"/>
            </w:tcMar>
            <w:vAlign w:val="center"/>
          </w:tcPr>
          <w:p w:rsidRPr="009055A9" w:rsidR="000E31AA" w:rsidP="000E31AA" w:rsidRDefault="000E31AA" w14:paraId="66669282" w14:textId="09FF0AF5">
            <w:pPr>
              <w:jc w:val="right"/>
              <w:rPr>
                <w:rFonts w:asciiTheme="minorHAnsi" w:hAnsiTheme="minorHAnsi" w:cstheme="minorHAnsi"/>
                <w:sz w:val="16"/>
                <w:szCs w:val="16"/>
              </w:rPr>
            </w:pPr>
            <w:r w:rsidRPr="009055A9">
              <w:rPr>
                <w:rFonts w:asciiTheme="minorHAnsi" w:hAnsiTheme="minorHAnsi" w:cstheme="minorHAnsi"/>
                <w:color w:val="000000"/>
                <w:sz w:val="16"/>
                <w:szCs w:val="16"/>
              </w:rPr>
              <w:t>264</w:t>
            </w:r>
          </w:p>
        </w:tc>
        <w:tc>
          <w:tcPr>
            <w:tcW w:w="143" w:type="pct"/>
            <w:tcMar>
              <w:left w:w="0" w:type="dxa"/>
              <w:right w:w="43" w:type="dxa"/>
            </w:tcMar>
            <w:vAlign w:val="center"/>
          </w:tcPr>
          <w:p w:rsidRPr="009055A9" w:rsidR="000E31AA" w:rsidP="000E31AA" w:rsidRDefault="000E31AA" w14:paraId="7875DCF2" w14:textId="18541147">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8" w:type="pct"/>
            <w:shd w:val="clear" w:color="000000" w:fill="FFFFFF"/>
            <w:noWrap/>
            <w:tcMar>
              <w:left w:w="0" w:type="dxa"/>
              <w:right w:w="43" w:type="dxa"/>
            </w:tcMar>
            <w:vAlign w:val="center"/>
          </w:tcPr>
          <w:p w:rsidRPr="003148DB" w:rsidR="000E31AA" w:rsidP="000E31AA" w:rsidRDefault="000E31AA" w14:paraId="720849D9" w14:textId="40EE800D">
            <w:pPr>
              <w:jc w:val="right"/>
              <w:rPr>
                <w:rFonts w:asciiTheme="minorHAnsi" w:hAnsiTheme="minorHAnsi" w:cstheme="minorHAnsi"/>
                <w:sz w:val="16"/>
                <w:szCs w:val="16"/>
              </w:rPr>
            </w:pPr>
            <w:r w:rsidRPr="003148DB">
              <w:rPr>
                <w:rFonts w:asciiTheme="minorHAnsi" w:hAnsiTheme="minorHAnsi" w:cstheme="minorHAnsi"/>
                <w:color w:val="000000"/>
                <w:sz w:val="16"/>
                <w:szCs w:val="16"/>
              </w:rPr>
              <w:t>310</w:t>
            </w:r>
          </w:p>
        </w:tc>
        <w:tc>
          <w:tcPr>
            <w:tcW w:w="151" w:type="pct"/>
            <w:shd w:val="clear" w:color="000000" w:fill="FFFFFF"/>
            <w:noWrap/>
            <w:tcMar>
              <w:left w:w="0" w:type="dxa"/>
              <w:right w:w="43" w:type="dxa"/>
            </w:tcMar>
            <w:vAlign w:val="center"/>
          </w:tcPr>
          <w:p w:rsidRPr="003148DB" w:rsidR="000E31AA" w:rsidP="000E31AA" w:rsidRDefault="000E31AA" w14:paraId="4305F31B" w14:textId="18B34E96">
            <w:pPr>
              <w:jc w:val="right"/>
              <w:rPr>
                <w:rFonts w:asciiTheme="minorHAnsi" w:hAnsiTheme="minorHAnsi" w:cstheme="minorHAnsi"/>
                <w:sz w:val="16"/>
                <w:szCs w:val="16"/>
              </w:rPr>
            </w:pPr>
            <w:r w:rsidRPr="003148DB">
              <w:rPr>
                <w:rFonts w:asciiTheme="minorHAnsi" w:hAnsiTheme="minorHAnsi" w:cstheme="minorHAnsi"/>
                <w:color w:val="000000"/>
                <w:sz w:val="16"/>
                <w:szCs w:val="16"/>
              </w:rPr>
              <w:t>0.4</w:t>
            </w:r>
          </w:p>
        </w:tc>
      </w:tr>
      <w:tr w:rsidRPr="003148DB" w:rsidR="000D41FC" w:rsidTr="00950EC5" w14:paraId="6EF1A83C" w14:textId="77777777">
        <w:trPr>
          <w:trHeight w:val="458"/>
        </w:trPr>
        <w:tc>
          <w:tcPr>
            <w:tcW w:w="268" w:type="pct"/>
            <w:vMerge w:val="restart"/>
            <w:shd w:val="clear" w:color="auto" w:fill="auto"/>
            <w:noWrap/>
            <w:tcMar>
              <w:left w:w="58" w:type="dxa"/>
              <w:right w:w="58" w:type="dxa"/>
            </w:tcMar>
            <w:vAlign w:val="center"/>
            <w:hideMark/>
          </w:tcPr>
          <w:p w:rsidRPr="00911293" w:rsidR="000E31AA" w:rsidP="000E31AA" w:rsidRDefault="009F1BA6" w14:paraId="448A6045" w14:textId="0A469A6E">
            <w:pPr>
              <w:rPr>
                <w:rFonts w:asciiTheme="minorHAnsi" w:hAnsiTheme="minorHAnsi" w:cstheme="minorHAnsi"/>
                <w:sz w:val="16"/>
                <w:szCs w:val="16"/>
              </w:rPr>
            </w:pPr>
            <w:r w:rsidRPr="00684F39">
              <w:rPr>
                <w:rFonts w:asciiTheme="minorHAnsi" w:hAnsiTheme="minorHAnsi" w:cstheme="minorHAnsi"/>
                <w:sz w:val="16"/>
                <w:szCs w:val="16"/>
              </w:rPr>
              <w:t>C</w:t>
            </w:r>
            <w:r w:rsidRPr="00684F39" w:rsidR="00C65B91">
              <w:rPr>
                <w:rFonts w:asciiTheme="minorHAnsi" w:hAnsiTheme="minorHAnsi" w:cstheme="minorHAnsi"/>
                <w:sz w:val="16"/>
                <w:szCs w:val="16"/>
              </w:rPr>
              <w:t>ategory I</w:t>
            </w:r>
            <w:r w:rsidRPr="00684F39" w:rsidR="00C65B91">
              <w:rPr>
                <w:sz w:val="16"/>
                <w:szCs w:val="16"/>
              </w:rPr>
              <w:t xml:space="preserve"> </w:t>
            </w:r>
            <w:r w:rsidRPr="00684F39" w:rsidR="00684F39">
              <w:rPr>
                <w:sz w:val="16"/>
                <w:szCs w:val="16"/>
              </w:rPr>
              <w:t>S</w:t>
            </w:r>
            <w:r w:rsidRPr="00684F39" w:rsidR="00C65B91">
              <w:rPr>
                <w:rFonts w:asciiTheme="minorHAnsi" w:hAnsiTheme="minorHAnsi" w:cstheme="minorHAnsi"/>
                <w:sz w:val="16"/>
                <w:szCs w:val="16"/>
              </w:rPr>
              <w:t xml:space="preserve">pecial </w:t>
            </w:r>
            <w:r w:rsidRPr="00911293" w:rsidR="00684F39">
              <w:rPr>
                <w:rFonts w:asciiTheme="minorHAnsi" w:hAnsiTheme="minorHAnsi" w:cstheme="minorHAnsi"/>
                <w:sz w:val="16"/>
                <w:szCs w:val="16"/>
              </w:rPr>
              <w:t>N</w:t>
            </w:r>
            <w:r w:rsidRPr="00911293" w:rsidR="00C65B91">
              <w:rPr>
                <w:rFonts w:asciiTheme="minorHAnsi" w:hAnsiTheme="minorHAnsi" w:cstheme="minorHAnsi"/>
                <w:sz w:val="16"/>
                <w:szCs w:val="16"/>
              </w:rPr>
              <w:t xml:space="preserve">uclear </w:t>
            </w:r>
            <w:r w:rsidRPr="00911293" w:rsidR="00684F39">
              <w:rPr>
                <w:rFonts w:asciiTheme="minorHAnsi" w:hAnsiTheme="minorHAnsi" w:cstheme="minorHAnsi"/>
                <w:sz w:val="16"/>
                <w:szCs w:val="16"/>
              </w:rPr>
              <w:t>M</w:t>
            </w:r>
            <w:r w:rsidRPr="00911293" w:rsidR="00C65B91">
              <w:rPr>
                <w:rFonts w:asciiTheme="minorHAnsi" w:hAnsiTheme="minorHAnsi" w:cstheme="minorHAnsi"/>
                <w:sz w:val="16"/>
                <w:szCs w:val="16"/>
              </w:rPr>
              <w:t xml:space="preserve">aterial </w:t>
            </w:r>
          </w:p>
        </w:tc>
        <w:tc>
          <w:tcPr>
            <w:tcW w:w="493" w:type="pct"/>
            <w:shd w:val="clear" w:color="auto" w:fill="auto"/>
            <w:noWrap/>
            <w:tcMar>
              <w:left w:w="58" w:type="dxa"/>
              <w:right w:w="29" w:type="dxa"/>
            </w:tcMar>
            <w:vAlign w:val="center"/>
            <w:hideMark/>
          </w:tcPr>
          <w:p w:rsidRPr="009055A9" w:rsidR="000E31AA" w:rsidP="000E31AA" w:rsidRDefault="000E31AA" w14:paraId="0B9C01A0" w14:textId="267081CC">
            <w:pPr>
              <w:rPr>
                <w:rFonts w:asciiTheme="minorHAnsi" w:hAnsiTheme="minorHAnsi" w:cstheme="minorHAnsi"/>
                <w:sz w:val="16"/>
                <w:szCs w:val="16"/>
              </w:rPr>
            </w:pPr>
            <w:r w:rsidRPr="009055A9">
              <w:rPr>
                <w:rFonts w:asciiTheme="minorHAnsi" w:hAnsiTheme="minorHAnsi" w:cstheme="minorHAnsi"/>
                <w:sz w:val="16"/>
                <w:szCs w:val="16"/>
              </w:rPr>
              <w:t>BWX</w:t>
            </w:r>
            <w:r>
              <w:rPr>
                <w:rFonts w:asciiTheme="minorHAnsi" w:hAnsiTheme="minorHAnsi" w:cstheme="minorHAnsi"/>
                <w:sz w:val="16"/>
                <w:szCs w:val="16"/>
              </w:rPr>
              <w:t xml:space="preserve"> </w:t>
            </w:r>
            <w:r w:rsidRPr="009055A9">
              <w:rPr>
                <w:rFonts w:asciiTheme="minorHAnsi" w:hAnsiTheme="minorHAnsi" w:cstheme="minorHAnsi"/>
                <w:sz w:val="16"/>
                <w:szCs w:val="16"/>
              </w:rPr>
              <w:t>T</w:t>
            </w:r>
            <w:r>
              <w:rPr>
                <w:rFonts w:asciiTheme="minorHAnsi" w:hAnsiTheme="minorHAnsi" w:cstheme="minorHAnsi"/>
                <w:sz w:val="16"/>
                <w:szCs w:val="16"/>
              </w:rPr>
              <w:t>echnologies (BWXT)</w:t>
            </w:r>
          </w:p>
        </w:tc>
        <w:tc>
          <w:tcPr>
            <w:tcW w:w="321" w:type="pct"/>
            <w:shd w:val="clear" w:color="auto" w:fill="auto"/>
            <w:noWrap/>
            <w:tcMar>
              <w:left w:w="58" w:type="dxa"/>
              <w:right w:w="29" w:type="dxa"/>
            </w:tcMar>
            <w:vAlign w:val="center"/>
            <w:hideMark/>
          </w:tcPr>
          <w:p w:rsidRPr="009055A9" w:rsidR="000E31AA" w:rsidP="000E31AA" w:rsidRDefault="000E31AA" w14:paraId="7AF70055" w14:textId="0BFCF0D9">
            <w:pPr>
              <w:rPr>
                <w:rFonts w:asciiTheme="minorHAnsi" w:hAnsiTheme="minorHAnsi" w:cstheme="minorHAnsi"/>
                <w:sz w:val="16"/>
                <w:szCs w:val="16"/>
              </w:rPr>
            </w:pPr>
            <w:r w:rsidRPr="009055A9">
              <w:rPr>
                <w:rFonts w:asciiTheme="minorHAnsi" w:hAnsiTheme="minorHAnsi" w:cstheme="minorHAnsi"/>
                <w:sz w:val="16"/>
                <w:szCs w:val="16"/>
              </w:rPr>
              <w:t>BWXT, Lynchburg</w:t>
            </w:r>
            <w:r>
              <w:rPr>
                <w:rFonts w:asciiTheme="minorHAnsi" w:hAnsiTheme="minorHAnsi" w:cstheme="minorHAnsi"/>
                <w:sz w:val="16"/>
                <w:szCs w:val="16"/>
              </w:rPr>
              <w:t>, </w:t>
            </w:r>
            <w:r w:rsidRPr="009055A9">
              <w:rPr>
                <w:rFonts w:asciiTheme="minorHAnsi" w:hAnsiTheme="minorHAnsi" w:cstheme="minorHAnsi"/>
                <w:sz w:val="16"/>
                <w:szCs w:val="16"/>
              </w:rPr>
              <w:t>VA</w:t>
            </w:r>
          </w:p>
        </w:tc>
        <w:tc>
          <w:tcPr>
            <w:tcW w:w="123" w:type="pct"/>
            <w:shd w:val="clear" w:color="000000" w:fill="FFFFFF"/>
            <w:noWrap/>
            <w:tcMar>
              <w:left w:w="58" w:type="dxa"/>
              <w:right w:w="58" w:type="dxa"/>
            </w:tcMar>
            <w:vAlign w:val="center"/>
            <w:hideMark/>
          </w:tcPr>
          <w:p w:rsidRPr="009055A9" w:rsidR="000E31AA" w:rsidP="000E31AA" w:rsidRDefault="000E31AA" w14:paraId="70D4B955" w14:textId="1E8F8A59">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0E31AA" w:rsidP="000E31AA" w:rsidRDefault="000E31AA" w14:paraId="2BD6E6D8" w14:textId="40D11BBF">
            <w:pPr>
              <w:jc w:val="right"/>
              <w:rPr>
                <w:rFonts w:asciiTheme="minorHAnsi" w:hAnsiTheme="minorHAnsi" w:cstheme="minorHAnsi"/>
                <w:sz w:val="16"/>
                <w:szCs w:val="16"/>
              </w:rPr>
            </w:pPr>
            <w:r w:rsidRPr="009055A9">
              <w:rPr>
                <w:rFonts w:asciiTheme="minorHAnsi" w:hAnsiTheme="minorHAnsi" w:cstheme="minorHAnsi"/>
                <w:color w:val="000000"/>
                <w:sz w:val="16"/>
                <w:szCs w:val="16"/>
              </w:rPr>
              <w:t>710</w:t>
            </w:r>
          </w:p>
        </w:tc>
        <w:tc>
          <w:tcPr>
            <w:tcW w:w="123" w:type="pct"/>
            <w:shd w:val="clear" w:color="auto" w:fill="auto"/>
            <w:noWrap/>
            <w:tcMar>
              <w:left w:w="0" w:type="dxa"/>
              <w:right w:w="43" w:type="dxa"/>
            </w:tcMar>
            <w:vAlign w:val="center"/>
            <w:hideMark/>
          </w:tcPr>
          <w:p w:rsidRPr="009055A9" w:rsidR="000E31AA" w:rsidP="000E31AA" w:rsidRDefault="000E31AA" w14:paraId="6E62B4C6" w14:textId="0CE3179B">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0" w:type="pct"/>
            <w:shd w:val="clear" w:color="auto" w:fill="auto"/>
            <w:noWrap/>
            <w:tcMar>
              <w:left w:w="0" w:type="dxa"/>
              <w:right w:w="43" w:type="dxa"/>
            </w:tcMar>
            <w:vAlign w:val="center"/>
            <w:hideMark/>
          </w:tcPr>
          <w:p w:rsidRPr="009055A9" w:rsidR="000E31AA" w:rsidP="000E31AA" w:rsidRDefault="000E31AA" w14:paraId="5BBDF4A2" w14:textId="3C3252BE">
            <w:pPr>
              <w:jc w:val="right"/>
              <w:rPr>
                <w:rFonts w:asciiTheme="minorHAnsi" w:hAnsiTheme="minorHAnsi" w:cstheme="minorHAnsi"/>
                <w:sz w:val="16"/>
                <w:szCs w:val="16"/>
              </w:rPr>
            </w:pPr>
            <w:r w:rsidRPr="009055A9">
              <w:rPr>
                <w:rFonts w:asciiTheme="minorHAnsi" w:hAnsiTheme="minorHAnsi" w:cstheme="minorHAnsi"/>
                <w:color w:val="000000"/>
                <w:sz w:val="16"/>
                <w:szCs w:val="16"/>
              </w:rPr>
              <w:t>765</w:t>
            </w:r>
          </w:p>
        </w:tc>
        <w:tc>
          <w:tcPr>
            <w:tcW w:w="125" w:type="pct"/>
            <w:shd w:val="clear" w:color="auto" w:fill="auto"/>
            <w:noWrap/>
            <w:tcMar>
              <w:left w:w="0" w:type="dxa"/>
              <w:right w:w="43" w:type="dxa"/>
            </w:tcMar>
            <w:vAlign w:val="center"/>
            <w:hideMark/>
          </w:tcPr>
          <w:p w:rsidRPr="009055A9" w:rsidR="000E31AA" w:rsidP="000E31AA" w:rsidRDefault="000E31AA" w14:paraId="215EC97D" w14:textId="33AE18DB">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2" w:type="pct"/>
            <w:shd w:val="clear" w:color="auto" w:fill="auto"/>
            <w:noWrap/>
            <w:tcMar>
              <w:left w:w="0" w:type="dxa"/>
              <w:right w:w="43" w:type="dxa"/>
            </w:tcMar>
            <w:vAlign w:val="center"/>
            <w:hideMark/>
          </w:tcPr>
          <w:p w:rsidRPr="009055A9" w:rsidR="000E31AA" w:rsidP="000E31AA" w:rsidRDefault="000E31AA" w14:paraId="4C6483B2" w14:textId="421FB886">
            <w:pPr>
              <w:jc w:val="right"/>
              <w:rPr>
                <w:rFonts w:asciiTheme="minorHAnsi" w:hAnsiTheme="minorHAnsi" w:cstheme="minorHAnsi"/>
                <w:sz w:val="16"/>
                <w:szCs w:val="16"/>
              </w:rPr>
            </w:pPr>
            <w:r w:rsidRPr="009055A9">
              <w:rPr>
                <w:rFonts w:asciiTheme="minorHAnsi" w:hAnsiTheme="minorHAnsi" w:cstheme="minorHAnsi"/>
                <w:color w:val="000000"/>
                <w:sz w:val="16"/>
                <w:szCs w:val="16"/>
              </w:rPr>
              <w:t>747</w:t>
            </w:r>
          </w:p>
        </w:tc>
        <w:tc>
          <w:tcPr>
            <w:tcW w:w="123" w:type="pct"/>
            <w:shd w:val="clear" w:color="auto" w:fill="auto"/>
            <w:noWrap/>
            <w:tcMar>
              <w:left w:w="0" w:type="dxa"/>
              <w:right w:w="43" w:type="dxa"/>
            </w:tcMar>
            <w:vAlign w:val="center"/>
            <w:hideMark/>
          </w:tcPr>
          <w:p w:rsidRPr="009055A9" w:rsidR="000E31AA" w:rsidP="000E31AA" w:rsidRDefault="000E31AA" w14:paraId="471D21D9" w14:textId="7866DFC2">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94" w:type="pct"/>
            <w:shd w:val="clear" w:color="auto" w:fill="auto"/>
            <w:noWrap/>
            <w:tcMar>
              <w:left w:w="0" w:type="dxa"/>
              <w:right w:w="43" w:type="dxa"/>
            </w:tcMar>
            <w:vAlign w:val="center"/>
            <w:hideMark/>
          </w:tcPr>
          <w:p w:rsidRPr="009055A9" w:rsidR="000E31AA" w:rsidP="000E31AA" w:rsidRDefault="000E31AA" w14:paraId="43A86809" w14:textId="15807A94">
            <w:pPr>
              <w:jc w:val="right"/>
              <w:rPr>
                <w:rFonts w:asciiTheme="minorHAnsi" w:hAnsiTheme="minorHAnsi" w:cstheme="minorHAnsi"/>
                <w:sz w:val="16"/>
                <w:szCs w:val="16"/>
              </w:rPr>
            </w:pPr>
            <w:r w:rsidRPr="009055A9">
              <w:rPr>
                <w:rFonts w:asciiTheme="minorHAnsi" w:hAnsiTheme="minorHAnsi" w:cstheme="minorHAnsi"/>
                <w:color w:val="000000"/>
                <w:sz w:val="16"/>
                <w:szCs w:val="16"/>
              </w:rPr>
              <w:t>852</w:t>
            </w:r>
          </w:p>
        </w:tc>
        <w:tc>
          <w:tcPr>
            <w:tcW w:w="123" w:type="pct"/>
            <w:shd w:val="clear" w:color="auto" w:fill="auto"/>
            <w:noWrap/>
            <w:tcMar>
              <w:left w:w="0" w:type="dxa"/>
              <w:right w:w="43" w:type="dxa"/>
            </w:tcMar>
            <w:vAlign w:val="center"/>
            <w:hideMark/>
          </w:tcPr>
          <w:p w:rsidRPr="009055A9" w:rsidR="000E31AA" w:rsidP="000E31AA" w:rsidRDefault="000E31AA" w14:paraId="2EABF1D2" w14:textId="6A3893BB">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97" w:type="pct"/>
            <w:shd w:val="clear" w:color="auto" w:fill="auto"/>
            <w:noWrap/>
            <w:tcMar>
              <w:left w:w="0" w:type="dxa"/>
              <w:right w:w="43" w:type="dxa"/>
            </w:tcMar>
            <w:vAlign w:val="center"/>
            <w:hideMark/>
          </w:tcPr>
          <w:p w:rsidRPr="009055A9" w:rsidR="000E31AA" w:rsidP="000E31AA" w:rsidRDefault="000E31AA" w14:paraId="1568C2E2" w14:textId="65518618">
            <w:pPr>
              <w:jc w:val="right"/>
              <w:rPr>
                <w:rFonts w:asciiTheme="minorHAnsi" w:hAnsiTheme="minorHAnsi" w:cstheme="minorHAnsi"/>
                <w:sz w:val="16"/>
                <w:szCs w:val="16"/>
              </w:rPr>
            </w:pPr>
            <w:r w:rsidRPr="009055A9">
              <w:rPr>
                <w:rFonts w:asciiTheme="minorHAnsi" w:hAnsiTheme="minorHAnsi" w:cstheme="minorHAnsi"/>
                <w:color w:val="000000"/>
                <w:sz w:val="16"/>
                <w:szCs w:val="16"/>
              </w:rPr>
              <w:t>847</w:t>
            </w:r>
          </w:p>
        </w:tc>
        <w:tc>
          <w:tcPr>
            <w:tcW w:w="125" w:type="pct"/>
            <w:shd w:val="clear" w:color="auto" w:fill="auto"/>
            <w:noWrap/>
            <w:tcMar>
              <w:left w:w="0" w:type="dxa"/>
              <w:right w:w="43" w:type="dxa"/>
            </w:tcMar>
            <w:vAlign w:val="center"/>
            <w:hideMark/>
          </w:tcPr>
          <w:p w:rsidRPr="009055A9" w:rsidR="000E31AA" w:rsidP="000E31AA" w:rsidRDefault="000E31AA" w14:paraId="6F09176A" w14:textId="1CC62846">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0" w:type="pct"/>
            <w:shd w:val="clear" w:color="auto" w:fill="auto"/>
            <w:noWrap/>
            <w:tcMar>
              <w:left w:w="0" w:type="dxa"/>
              <w:right w:w="43" w:type="dxa"/>
            </w:tcMar>
            <w:vAlign w:val="center"/>
            <w:hideMark/>
          </w:tcPr>
          <w:p w:rsidRPr="009055A9" w:rsidR="000E31AA" w:rsidP="000E31AA" w:rsidRDefault="000E31AA" w14:paraId="4AD42A01" w14:textId="1EEAAD2E">
            <w:pPr>
              <w:jc w:val="right"/>
              <w:rPr>
                <w:rFonts w:asciiTheme="minorHAnsi" w:hAnsiTheme="minorHAnsi" w:cstheme="minorHAnsi"/>
                <w:sz w:val="16"/>
                <w:szCs w:val="16"/>
              </w:rPr>
            </w:pPr>
            <w:r w:rsidRPr="009055A9">
              <w:rPr>
                <w:rFonts w:asciiTheme="minorHAnsi" w:hAnsiTheme="minorHAnsi" w:cstheme="minorHAnsi"/>
                <w:color w:val="000000"/>
                <w:sz w:val="16"/>
                <w:szCs w:val="16"/>
              </w:rPr>
              <w:t>830</w:t>
            </w:r>
          </w:p>
        </w:tc>
        <w:tc>
          <w:tcPr>
            <w:tcW w:w="148" w:type="pct"/>
            <w:shd w:val="clear" w:color="auto" w:fill="auto"/>
            <w:noWrap/>
            <w:tcMar>
              <w:left w:w="0" w:type="dxa"/>
              <w:right w:w="43" w:type="dxa"/>
            </w:tcMar>
            <w:vAlign w:val="center"/>
            <w:hideMark/>
          </w:tcPr>
          <w:p w:rsidRPr="009055A9" w:rsidR="000E31AA" w:rsidP="000E31AA" w:rsidRDefault="000E31AA" w14:paraId="485C42CD" w14:textId="76B6F958">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2" w:type="pct"/>
            <w:tcMar>
              <w:left w:w="0" w:type="dxa"/>
              <w:right w:w="43" w:type="dxa"/>
            </w:tcMar>
            <w:vAlign w:val="center"/>
          </w:tcPr>
          <w:p w:rsidRPr="009055A9" w:rsidR="000E31AA" w:rsidP="000E31AA" w:rsidRDefault="000E31AA" w14:paraId="189F2DE3" w14:textId="6488A851">
            <w:pPr>
              <w:jc w:val="right"/>
              <w:rPr>
                <w:rFonts w:asciiTheme="minorHAnsi" w:hAnsiTheme="minorHAnsi" w:cstheme="minorHAnsi"/>
                <w:sz w:val="16"/>
                <w:szCs w:val="16"/>
              </w:rPr>
            </w:pPr>
            <w:r w:rsidRPr="009055A9">
              <w:rPr>
                <w:rFonts w:asciiTheme="minorHAnsi" w:hAnsiTheme="minorHAnsi" w:cstheme="minorHAnsi"/>
                <w:color w:val="000000"/>
                <w:sz w:val="16"/>
                <w:szCs w:val="16"/>
              </w:rPr>
              <w:t>749</w:t>
            </w:r>
          </w:p>
        </w:tc>
        <w:tc>
          <w:tcPr>
            <w:tcW w:w="124" w:type="pct"/>
            <w:tcMar>
              <w:left w:w="0" w:type="dxa"/>
              <w:right w:w="43" w:type="dxa"/>
            </w:tcMar>
            <w:vAlign w:val="center"/>
          </w:tcPr>
          <w:p w:rsidRPr="009055A9" w:rsidR="000E31AA" w:rsidP="000E31AA" w:rsidRDefault="000E31AA" w14:paraId="4CF94E73" w14:textId="69AE154C">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tcMar>
              <w:left w:w="0" w:type="dxa"/>
              <w:right w:w="43" w:type="dxa"/>
            </w:tcMar>
            <w:vAlign w:val="center"/>
          </w:tcPr>
          <w:p w:rsidRPr="009055A9" w:rsidR="000E31AA" w:rsidP="000E31AA" w:rsidRDefault="000E31AA" w14:paraId="68B91ECB" w14:textId="5673F7B3">
            <w:pPr>
              <w:jc w:val="right"/>
              <w:rPr>
                <w:rFonts w:asciiTheme="minorHAnsi" w:hAnsiTheme="minorHAnsi" w:cstheme="minorHAnsi"/>
                <w:sz w:val="16"/>
                <w:szCs w:val="16"/>
              </w:rPr>
            </w:pPr>
            <w:r w:rsidRPr="009055A9">
              <w:rPr>
                <w:rFonts w:asciiTheme="minorHAnsi" w:hAnsiTheme="minorHAnsi" w:cstheme="minorHAnsi"/>
                <w:color w:val="000000"/>
                <w:sz w:val="16"/>
                <w:szCs w:val="16"/>
              </w:rPr>
              <w:t>478</w:t>
            </w:r>
          </w:p>
        </w:tc>
        <w:tc>
          <w:tcPr>
            <w:tcW w:w="146" w:type="pct"/>
            <w:tcMar>
              <w:left w:w="0" w:type="dxa"/>
              <w:right w:w="43" w:type="dxa"/>
            </w:tcMar>
            <w:vAlign w:val="center"/>
          </w:tcPr>
          <w:p w:rsidRPr="009055A9" w:rsidR="000E31AA" w:rsidP="000E31AA" w:rsidRDefault="000E31AA" w14:paraId="201FA9BC" w14:textId="39F267DE">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5" w:type="pct"/>
            <w:tcMar>
              <w:left w:w="0" w:type="dxa"/>
              <w:right w:w="43" w:type="dxa"/>
            </w:tcMar>
            <w:vAlign w:val="center"/>
          </w:tcPr>
          <w:p w:rsidRPr="009055A9" w:rsidR="000E31AA" w:rsidP="000E31AA" w:rsidRDefault="000E31AA" w14:paraId="55A27E43" w14:textId="23878153">
            <w:pPr>
              <w:jc w:val="right"/>
              <w:rPr>
                <w:rFonts w:asciiTheme="minorHAnsi" w:hAnsiTheme="minorHAnsi" w:cstheme="minorHAnsi"/>
                <w:sz w:val="16"/>
                <w:szCs w:val="16"/>
              </w:rPr>
            </w:pPr>
            <w:r w:rsidRPr="009055A9">
              <w:rPr>
                <w:rFonts w:asciiTheme="minorHAnsi" w:hAnsiTheme="minorHAnsi" w:cstheme="minorHAnsi"/>
                <w:color w:val="000000"/>
                <w:sz w:val="16"/>
                <w:szCs w:val="16"/>
              </w:rPr>
              <w:t>469</w:t>
            </w:r>
          </w:p>
        </w:tc>
        <w:tc>
          <w:tcPr>
            <w:tcW w:w="149" w:type="pct"/>
            <w:tcMar>
              <w:left w:w="0" w:type="dxa"/>
              <w:right w:w="43" w:type="dxa"/>
            </w:tcMar>
            <w:vAlign w:val="center"/>
          </w:tcPr>
          <w:p w:rsidRPr="009055A9" w:rsidR="000E31AA" w:rsidP="000E31AA" w:rsidRDefault="000E31AA" w14:paraId="21B1C4E8" w14:textId="2079002E">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97" w:type="pct"/>
            <w:tcMar>
              <w:left w:w="0" w:type="dxa"/>
              <w:right w:w="43" w:type="dxa"/>
            </w:tcMar>
            <w:vAlign w:val="center"/>
          </w:tcPr>
          <w:p w:rsidRPr="009055A9" w:rsidR="000E31AA" w:rsidP="000E31AA" w:rsidRDefault="000E31AA" w14:paraId="5DF5DFAD" w14:textId="5D08B2EF">
            <w:pPr>
              <w:jc w:val="right"/>
              <w:rPr>
                <w:rFonts w:asciiTheme="minorHAnsi" w:hAnsiTheme="minorHAnsi" w:cstheme="minorHAnsi"/>
                <w:sz w:val="16"/>
                <w:szCs w:val="16"/>
              </w:rPr>
            </w:pPr>
            <w:r w:rsidRPr="009055A9">
              <w:rPr>
                <w:rFonts w:asciiTheme="minorHAnsi" w:hAnsiTheme="minorHAnsi" w:cstheme="minorHAnsi"/>
                <w:color w:val="000000"/>
                <w:sz w:val="16"/>
                <w:szCs w:val="16"/>
              </w:rPr>
              <w:t>519</w:t>
            </w:r>
          </w:p>
        </w:tc>
        <w:tc>
          <w:tcPr>
            <w:tcW w:w="148" w:type="pct"/>
            <w:tcMar>
              <w:left w:w="0" w:type="dxa"/>
              <w:right w:w="43" w:type="dxa"/>
            </w:tcMar>
            <w:vAlign w:val="center"/>
          </w:tcPr>
          <w:p w:rsidRPr="009055A9" w:rsidR="000E31AA" w:rsidP="000E31AA" w:rsidRDefault="000E31AA" w14:paraId="4070816A" w14:textId="31C56CF1">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6" w:type="pct"/>
            <w:tcMar>
              <w:left w:w="0" w:type="dxa"/>
              <w:right w:w="43" w:type="dxa"/>
            </w:tcMar>
            <w:vAlign w:val="center"/>
          </w:tcPr>
          <w:p w:rsidRPr="009055A9" w:rsidR="000E31AA" w:rsidP="000E31AA" w:rsidRDefault="000E31AA" w14:paraId="2ECFFE95" w14:textId="7DF12586">
            <w:pPr>
              <w:jc w:val="right"/>
              <w:rPr>
                <w:rFonts w:asciiTheme="minorHAnsi" w:hAnsiTheme="minorHAnsi" w:cstheme="minorHAnsi"/>
                <w:sz w:val="16"/>
                <w:szCs w:val="16"/>
              </w:rPr>
            </w:pPr>
            <w:r w:rsidRPr="009055A9">
              <w:rPr>
                <w:rFonts w:asciiTheme="minorHAnsi" w:hAnsiTheme="minorHAnsi" w:cstheme="minorHAnsi"/>
                <w:color w:val="000000"/>
                <w:sz w:val="16"/>
                <w:szCs w:val="16"/>
              </w:rPr>
              <w:t>488</w:t>
            </w:r>
          </w:p>
        </w:tc>
        <w:tc>
          <w:tcPr>
            <w:tcW w:w="143" w:type="pct"/>
            <w:tcMar>
              <w:left w:w="0" w:type="dxa"/>
              <w:right w:w="43" w:type="dxa"/>
            </w:tcMar>
            <w:vAlign w:val="center"/>
          </w:tcPr>
          <w:p w:rsidRPr="009055A9" w:rsidR="000E31AA" w:rsidP="000E31AA" w:rsidRDefault="000E31AA" w14:paraId="7AB3C530" w14:textId="27398CED">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8" w:type="pct"/>
            <w:shd w:val="clear" w:color="auto" w:fill="auto"/>
            <w:noWrap/>
            <w:tcMar>
              <w:left w:w="0" w:type="dxa"/>
              <w:right w:w="43" w:type="dxa"/>
            </w:tcMar>
            <w:vAlign w:val="center"/>
          </w:tcPr>
          <w:p w:rsidRPr="003148DB" w:rsidR="000E31AA" w:rsidP="000E31AA" w:rsidRDefault="000E31AA" w14:paraId="167B9588" w14:textId="31DA9E7E">
            <w:pPr>
              <w:jc w:val="right"/>
              <w:rPr>
                <w:rFonts w:asciiTheme="minorHAnsi" w:hAnsiTheme="minorHAnsi" w:cstheme="minorHAnsi"/>
                <w:sz w:val="16"/>
                <w:szCs w:val="16"/>
              </w:rPr>
            </w:pPr>
            <w:r w:rsidRPr="003148DB">
              <w:rPr>
                <w:rFonts w:asciiTheme="minorHAnsi" w:hAnsiTheme="minorHAnsi" w:cstheme="minorHAnsi"/>
                <w:color w:val="000000"/>
                <w:sz w:val="16"/>
                <w:szCs w:val="16"/>
              </w:rPr>
              <w:t>678</w:t>
            </w:r>
          </w:p>
        </w:tc>
        <w:tc>
          <w:tcPr>
            <w:tcW w:w="151" w:type="pct"/>
            <w:shd w:val="clear" w:color="auto" w:fill="auto"/>
            <w:noWrap/>
            <w:tcMar>
              <w:left w:w="0" w:type="dxa"/>
              <w:right w:w="43" w:type="dxa"/>
            </w:tcMar>
            <w:vAlign w:val="center"/>
          </w:tcPr>
          <w:p w:rsidRPr="003148DB" w:rsidR="000E31AA" w:rsidP="000E31AA" w:rsidRDefault="000E31AA" w14:paraId="1E243AD4" w14:textId="2AFF24FC">
            <w:pPr>
              <w:jc w:val="right"/>
              <w:rPr>
                <w:rFonts w:asciiTheme="minorHAnsi" w:hAnsiTheme="minorHAnsi" w:cstheme="minorHAnsi"/>
                <w:sz w:val="16"/>
                <w:szCs w:val="16"/>
              </w:rPr>
            </w:pPr>
            <w:r w:rsidRPr="003148DB">
              <w:rPr>
                <w:rFonts w:asciiTheme="minorHAnsi" w:hAnsiTheme="minorHAnsi" w:cstheme="minorHAnsi"/>
                <w:color w:val="000000"/>
                <w:sz w:val="16"/>
                <w:szCs w:val="16"/>
              </w:rPr>
              <w:t>0.6</w:t>
            </w:r>
          </w:p>
        </w:tc>
      </w:tr>
      <w:tr w:rsidRPr="003148DB" w:rsidR="000D41FC" w:rsidTr="000D41FC" w14:paraId="11404FFA" w14:textId="77777777">
        <w:trPr>
          <w:trHeight w:val="341"/>
        </w:trPr>
        <w:tc>
          <w:tcPr>
            <w:tcW w:w="268" w:type="pct"/>
            <w:vMerge/>
            <w:shd w:val="clear" w:color="auto" w:fill="auto"/>
            <w:noWrap/>
            <w:tcMar>
              <w:left w:w="58" w:type="dxa"/>
              <w:right w:w="58" w:type="dxa"/>
            </w:tcMar>
            <w:vAlign w:val="center"/>
            <w:hideMark/>
          </w:tcPr>
          <w:p w:rsidRPr="00196D17" w:rsidR="000E31AA" w:rsidP="000E31AA" w:rsidRDefault="000E31AA" w14:paraId="47D0021A"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0E31AA" w:rsidP="000E31AA" w:rsidRDefault="000E31AA" w14:paraId="11ED867A" w14:textId="5498B716">
            <w:pPr>
              <w:rPr>
                <w:rFonts w:asciiTheme="minorHAnsi" w:hAnsiTheme="minorHAnsi" w:cstheme="minorHAnsi"/>
                <w:sz w:val="16"/>
                <w:szCs w:val="16"/>
              </w:rPr>
            </w:pPr>
            <w:r w:rsidRPr="009055A9">
              <w:rPr>
                <w:rFonts w:asciiTheme="minorHAnsi" w:hAnsiTheme="minorHAnsi" w:cstheme="minorHAnsi"/>
                <w:color w:val="000000"/>
                <w:sz w:val="16"/>
                <w:szCs w:val="16"/>
              </w:rPr>
              <w:t>Nuclear Fuel Services</w:t>
            </w:r>
            <w:r>
              <w:rPr>
                <w:rFonts w:asciiTheme="minorHAnsi" w:hAnsiTheme="minorHAnsi" w:cstheme="minorHAnsi"/>
                <w:color w:val="000000"/>
                <w:sz w:val="16"/>
                <w:szCs w:val="16"/>
              </w:rPr>
              <w:t xml:space="preserve"> (NFS)</w:t>
            </w:r>
          </w:p>
        </w:tc>
        <w:tc>
          <w:tcPr>
            <w:tcW w:w="321" w:type="pct"/>
            <w:shd w:val="clear" w:color="auto" w:fill="auto"/>
            <w:noWrap/>
            <w:tcMar>
              <w:left w:w="58" w:type="dxa"/>
              <w:right w:w="29" w:type="dxa"/>
            </w:tcMar>
            <w:vAlign w:val="center"/>
            <w:hideMark/>
          </w:tcPr>
          <w:p w:rsidRPr="009055A9" w:rsidR="000E31AA" w:rsidP="000E31AA" w:rsidRDefault="000E31AA" w14:paraId="604CA06E" w14:textId="467F189B">
            <w:pPr>
              <w:rPr>
                <w:rFonts w:asciiTheme="minorHAnsi" w:hAnsiTheme="minorHAnsi" w:cstheme="minorHAnsi"/>
                <w:sz w:val="16"/>
                <w:szCs w:val="16"/>
              </w:rPr>
            </w:pPr>
            <w:r w:rsidRPr="009055A9">
              <w:rPr>
                <w:rFonts w:asciiTheme="minorHAnsi" w:hAnsiTheme="minorHAnsi" w:cstheme="minorHAnsi"/>
                <w:sz w:val="16"/>
                <w:szCs w:val="16"/>
              </w:rPr>
              <w:t>NFS, Erwin</w:t>
            </w:r>
            <w:r>
              <w:rPr>
                <w:rFonts w:asciiTheme="minorHAnsi" w:hAnsiTheme="minorHAnsi" w:cstheme="minorHAnsi"/>
                <w:sz w:val="16"/>
                <w:szCs w:val="16"/>
              </w:rPr>
              <w:t>,</w:t>
            </w:r>
            <w:r w:rsidRPr="009055A9">
              <w:rPr>
                <w:rFonts w:asciiTheme="minorHAnsi" w:hAnsiTheme="minorHAnsi" w:cstheme="minorHAnsi"/>
                <w:sz w:val="16"/>
                <w:szCs w:val="16"/>
              </w:rPr>
              <w:t xml:space="preserve"> TN</w:t>
            </w:r>
          </w:p>
        </w:tc>
        <w:tc>
          <w:tcPr>
            <w:tcW w:w="123" w:type="pct"/>
            <w:shd w:val="clear" w:color="000000" w:fill="FFFFFF"/>
            <w:noWrap/>
            <w:tcMar>
              <w:left w:w="58" w:type="dxa"/>
              <w:right w:w="58" w:type="dxa"/>
            </w:tcMar>
            <w:vAlign w:val="center"/>
            <w:hideMark/>
          </w:tcPr>
          <w:p w:rsidRPr="009055A9" w:rsidR="000E31AA" w:rsidP="000E31AA" w:rsidRDefault="000E31AA" w14:paraId="76B378F2" w14:textId="5DA78CBD">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0E31AA" w:rsidP="000E31AA" w:rsidRDefault="000E31AA" w14:paraId="5E33C5B6" w14:textId="48ECB57A">
            <w:pPr>
              <w:jc w:val="right"/>
              <w:rPr>
                <w:rFonts w:asciiTheme="minorHAnsi" w:hAnsiTheme="minorHAnsi" w:cstheme="minorHAnsi"/>
                <w:sz w:val="16"/>
                <w:szCs w:val="16"/>
              </w:rPr>
            </w:pPr>
            <w:r w:rsidRPr="009055A9">
              <w:rPr>
                <w:rFonts w:asciiTheme="minorHAnsi" w:hAnsiTheme="minorHAnsi" w:cstheme="minorHAnsi"/>
                <w:color w:val="000000"/>
                <w:sz w:val="16"/>
                <w:szCs w:val="16"/>
              </w:rPr>
              <w:t>849</w:t>
            </w:r>
          </w:p>
        </w:tc>
        <w:tc>
          <w:tcPr>
            <w:tcW w:w="123" w:type="pct"/>
            <w:shd w:val="clear" w:color="auto" w:fill="auto"/>
            <w:noWrap/>
            <w:tcMar>
              <w:left w:w="0" w:type="dxa"/>
              <w:right w:w="43" w:type="dxa"/>
            </w:tcMar>
            <w:vAlign w:val="center"/>
            <w:hideMark/>
          </w:tcPr>
          <w:p w:rsidRPr="009055A9" w:rsidR="000E31AA" w:rsidP="000E31AA" w:rsidRDefault="000E31AA" w14:paraId="0334C33E" w14:textId="223CF554">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0" w:type="pct"/>
            <w:shd w:val="clear" w:color="auto" w:fill="auto"/>
            <w:noWrap/>
            <w:tcMar>
              <w:left w:w="0" w:type="dxa"/>
              <w:right w:w="43" w:type="dxa"/>
            </w:tcMar>
            <w:vAlign w:val="center"/>
            <w:hideMark/>
          </w:tcPr>
          <w:p w:rsidRPr="009055A9" w:rsidR="000E31AA" w:rsidP="000E31AA" w:rsidRDefault="000E31AA" w14:paraId="1A32D91F" w14:textId="6473E73C">
            <w:pPr>
              <w:jc w:val="right"/>
              <w:rPr>
                <w:rFonts w:asciiTheme="minorHAnsi" w:hAnsiTheme="minorHAnsi" w:cstheme="minorHAnsi"/>
                <w:sz w:val="16"/>
                <w:szCs w:val="16"/>
              </w:rPr>
            </w:pPr>
            <w:r w:rsidRPr="009055A9">
              <w:rPr>
                <w:rFonts w:asciiTheme="minorHAnsi" w:hAnsiTheme="minorHAnsi" w:cstheme="minorHAnsi"/>
                <w:color w:val="000000"/>
                <w:sz w:val="16"/>
                <w:szCs w:val="16"/>
              </w:rPr>
              <w:t>866</w:t>
            </w:r>
          </w:p>
        </w:tc>
        <w:tc>
          <w:tcPr>
            <w:tcW w:w="125" w:type="pct"/>
            <w:shd w:val="clear" w:color="auto" w:fill="auto"/>
            <w:noWrap/>
            <w:tcMar>
              <w:left w:w="0" w:type="dxa"/>
              <w:right w:w="43" w:type="dxa"/>
            </w:tcMar>
            <w:vAlign w:val="center"/>
            <w:hideMark/>
          </w:tcPr>
          <w:p w:rsidRPr="009055A9" w:rsidR="000E31AA" w:rsidP="000E31AA" w:rsidRDefault="000E31AA" w14:paraId="2BC04B90" w14:textId="7A58AF92">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2" w:type="pct"/>
            <w:shd w:val="clear" w:color="auto" w:fill="auto"/>
            <w:noWrap/>
            <w:tcMar>
              <w:left w:w="0" w:type="dxa"/>
              <w:right w:w="43" w:type="dxa"/>
            </w:tcMar>
            <w:vAlign w:val="center"/>
            <w:hideMark/>
          </w:tcPr>
          <w:p w:rsidRPr="009055A9" w:rsidR="000E31AA" w:rsidP="000E31AA" w:rsidRDefault="000E31AA" w14:paraId="0B1FA0DE" w14:textId="3F71EF75">
            <w:pPr>
              <w:jc w:val="right"/>
              <w:rPr>
                <w:rFonts w:asciiTheme="minorHAnsi" w:hAnsiTheme="minorHAnsi" w:cstheme="minorHAnsi"/>
                <w:sz w:val="16"/>
                <w:szCs w:val="16"/>
              </w:rPr>
            </w:pPr>
            <w:r w:rsidRPr="009055A9">
              <w:rPr>
                <w:rFonts w:asciiTheme="minorHAnsi" w:hAnsiTheme="minorHAnsi" w:cstheme="minorHAnsi"/>
                <w:color w:val="000000"/>
                <w:sz w:val="16"/>
                <w:szCs w:val="16"/>
              </w:rPr>
              <w:t>874</w:t>
            </w:r>
          </w:p>
        </w:tc>
        <w:tc>
          <w:tcPr>
            <w:tcW w:w="123" w:type="pct"/>
            <w:shd w:val="clear" w:color="auto" w:fill="auto"/>
            <w:noWrap/>
            <w:tcMar>
              <w:left w:w="0" w:type="dxa"/>
              <w:right w:w="43" w:type="dxa"/>
            </w:tcMar>
            <w:vAlign w:val="center"/>
            <w:hideMark/>
          </w:tcPr>
          <w:p w:rsidRPr="009055A9" w:rsidR="000E31AA" w:rsidP="000E31AA" w:rsidRDefault="000E31AA" w14:paraId="576B180C" w14:textId="37C51510">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94" w:type="pct"/>
            <w:shd w:val="clear" w:color="auto" w:fill="auto"/>
            <w:noWrap/>
            <w:tcMar>
              <w:left w:w="0" w:type="dxa"/>
              <w:right w:w="43" w:type="dxa"/>
            </w:tcMar>
            <w:vAlign w:val="center"/>
            <w:hideMark/>
          </w:tcPr>
          <w:p w:rsidRPr="009055A9" w:rsidR="000E31AA" w:rsidP="000E31AA" w:rsidRDefault="000E31AA" w14:paraId="4286756D" w14:textId="269BEB9C">
            <w:pPr>
              <w:jc w:val="right"/>
              <w:rPr>
                <w:rFonts w:asciiTheme="minorHAnsi" w:hAnsiTheme="minorHAnsi" w:cstheme="minorHAnsi"/>
                <w:sz w:val="16"/>
                <w:szCs w:val="16"/>
              </w:rPr>
            </w:pPr>
            <w:r w:rsidRPr="009055A9">
              <w:rPr>
                <w:rFonts w:asciiTheme="minorHAnsi" w:hAnsiTheme="minorHAnsi" w:cstheme="minorHAnsi"/>
                <w:color w:val="000000"/>
                <w:sz w:val="16"/>
                <w:szCs w:val="16"/>
              </w:rPr>
              <w:t>858</w:t>
            </w:r>
          </w:p>
        </w:tc>
        <w:tc>
          <w:tcPr>
            <w:tcW w:w="123" w:type="pct"/>
            <w:shd w:val="clear" w:color="auto" w:fill="auto"/>
            <w:noWrap/>
            <w:tcMar>
              <w:left w:w="0" w:type="dxa"/>
              <w:right w:w="43" w:type="dxa"/>
            </w:tcMar>
            <w:vAlign w:val="center"/>
            <w:hideMark/>
          </w:tcPr>
          <w:p w:rsidRPr="009055A9" w:rsidR="000E31AA" w:rsidP="000E31AA" w:rsidRDefault="000E31AA" w14:paraId="3B53B41C" w14:textId="19C768A7">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97" w:type="pct"/>
            <w:shd w:val="clear" w:color="auto" w:fill="auto"/>
            <w:noWrap/>
            <w:tcMar>
              <w:left w:w="0" w:type="dxa"/>
              <w:right w:w="43" w:type="dxa"/>
            </w:tcMar>
            <w:vAlign w:val="center"/>
            <w:hideMark/>
          </w:tcPr>
          <w:p w:rsidRPr="009055A9" w:rsidR="000E31AA" w:rsidP="000E31AA" w:rsidRDefault="000E31AA" w14:paraId="15316406" w14:textId="2084A28D">
            <w:pPr>
              <w:jc w:val="right"/>
              <w:rPr>
                <w:rFonts w:asciiTheme="minorHAnsi" w:hAnsiTheme="minorHAnsi" w:cstheme="minorHAnsi"/>
                <w:sz w:val="16"/>
                <w:szCs w:val="16"/>
              </w:rPr>
            </w:pPr>
            <w:r w:rsidRPr="009055A9">
              <w:rPr>
                <w:rFonts w:asciiTheme="minorHAnsi" w:hAnsiTheme="minorHAnsi" w:cstheme="minorHAnsi"/>
                <w:color w:val="000000"/>
                <w:sz w:val="16"/>
                <w:szCs w:val="16"/>
              </w:rPr>
              <w:t>790</w:t>
            </w:r>
          </w:p>
        </w:tc>
        <w:tc>
          <w:tcPr>
            <w:tcW w:w="125" w:type="pct"/>
            <w:shd w:val="clear" w:color="auto" w:fill="auto"/>
            <w:noWrap/>
            <w:tcMar>
              <w:left w:w="0" w:type="dxa"/>
              <w:right w:w="43" w:type="dxa"/>
            </w:tcMar>
            <w:vAlign w:val="center"/>
            <w:hideMark/>
          </w:tcPr>
          <w:p w:rsidRPr="009055A9" w:rsidR="000E31AA" w:rsidP="000E31AA" w:rsidRDefault="000E31AA" w14:paraId="22D70975" w14:textId="52DF7E90">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0" w:type="pct"/>
            <w:shd w:val="clear" w:color="auto" w:fill="auto"/>
            <w:noWrap/>
            <w:tcMar>
              <w:left w:w="0" w:type="dxa"/>
              <w:right w:w="43" w:type="dxa"/>
            </w:tcMar>
            <w:vAlign w:val="center"/>
            <w:hideMark/>
          </w:tcPr>
          <w:p w:rsidRPr="009055A9" w:rsidR="000E31AA" w:rsidP="000E31AA" w:rsidRDefault="000E31AA" w14:paraId="2E9287B9" w14:textId="269F2B62">
            <w:pPr>
              <w:jc w:val="right"/>
              <w:rPr>
                <w:rFonts w:asciiTheme="minorHAnsi" w:hAnsiTheme="minorHAnsi" w:cstheme="minorHAnsi"/>
                <w:sz w:val="16"/>
                <w:szCs w:val="16"/>
              </w:rPr>
            </w:pPr>
            <w:r w:rsidRPr="009055A9">
              <w:rPr>
                <w:rFonts w:asciiTheme="minorHAnsi" w:hAnsiTheme="minorHAnsi" w:cstheme="minorHAnsi"/>
                <w:color w:val="000000"/>
                <w:sz w:val="16"/>
                <w:szCs w:val="16"/>
              </w:rPr>
              <w:t>747</w:t>
            </w:r>
          </w:p>
        </w:tc>
        <w:tc>
          <w:tcPr>
            <w:tcW w:w="148" w:type="pct"/>
            <w:shd w:val="clear" w:color="auto" w:fill="auto"/>
            <w:noWrap/>
            <w:tcMar>
              <w:left w:w="0" w:type="dxa"/>
              <w:right w:w="43" w:type="dxa"/>
            </w:tcMar>
            <w:vAlign w:val="center"/>
            <w:hideMark/>
          </w:tcPr>
          <w:p w:rsidRPr="009055A9" w:rsidR="000E31AA" w:rsidP="000E31AA" w:rsidRDefault="000E31AA" w14:paraId="466DA337" w14:textId="74DEAC36">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2" w:type="pct"/>
            <w:tcMar>
              <w:left w:w="0" w:type="dxa"/>
              <w:right w:w="43" w:type="dxa"/>
            </w:tcMar>
            <w:vAlign w:val="center"/>
          </w:tcPr>
          <w:p w:rsidRPr="009055A9" w:rsidR="000E31AA" w:rsidP="000E31AA" w:rsidRDefault="000E31AA" w14:paraId="58ADB3F0" w14:textId="1D818F8D">
            <w:pPr>
              <w:jc w:val="right"/>
              <w:rPr>
                <w:rFonts w:asciiTheme="minorHAnsi" w:hAnsiTheme="minorHAnsi" w:cstheme="minorHAnsi"/>
                <w:sz w:val="16"/>
                <w:szCs w:val="16"/>
              </w:rPr>
            </w:pPr>
            <w:r w:rsidRPr="009055A9">
              <w:rPr>
                <w:rFonts w:asciiTheme="minorHAnsi" w:hAnsiTheme="minorHAnsi" w:cstheme="minorHAnsi"/>
                <w:color w:val="000000"/>
                <w:sz w:val="16"/>
                <w:szCs w:val="16"/>
              </w:rPr>
              <w:t>887</w:t>
            </w:r>
          </w:p>
        </w:tc>
        <w:tc>
          <w:tcPr>
            <w:tcW w:w="124" w:type="pct"/>
            <w:tcMar>
              <w:left w:w="0" w:type="dxa"/>
              <w:right w:w="43" w:type="dxa"/>
            </w:tcMar>
            <w:vAlign w:val="center"/>
          </w:tcPr>
          <w:p w:rsidRPr="009055A9" w:rsidR="000E31AA" w:rsidP="000E31AA" w:rsidRDefault="000E31AA" w14:paraId="3CA0F234" w14:textId="0E6CD87C">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3" w:type="pct"/>
            <w:tcMar>
              <w:left w:w="0" w:type="dxa"/>
              <w:right w:w="43" w:type="dxa"/>
            </w:tcMar>
            <w:vAlign w:val="center"/>
          </w:tcPr>
          <w:p w:rsidRPr="009055A9" w:rsidR="000E31AA" w:rsidP="000E31AA" w:rsidRDefault="000E31AA" w14:paraId="1F98A2B6" w14:textId="00B9D2BC">
            <w:pPr>
              <w:jc w:val="right"/>
              <w:rPr>
                <w:rFonts w:asciiTheme="minorHAnsi" w:hAnsiTheme="minorHAnsi" w:cstheme="minorHAnsi"/>
                <w:sz w:val="16"/>
                <w:szCs w:val="16"/>
              </w:rPr>
            </w:pPr>
            <w:r w:rsidRPr="009055A9">
              <w:rPr>
                <w:rFonts w:asciiTheme="minorHAnsi" w:hAnsiTheme="minorHAnsi" w:cstheme="minorHAnsi"/>
                <w:color w:val="000000"/>
                <w:sz w:val="16"/>
                <w:szCs w:val="16"/>
              </w:rPr>
              <w:t>811</w:t>
            </w:r>
          </w:p>
        </w:tc>
        <w:tc>
          <w:tcPr>
            <w:tcW w:w="146" w:type="pct"/>
            <w:tcMar>
              <w:left w:w="0" w:type="dxa"/>
              <w:right w:w="43" w:type="dxa"/>
            </w:tcMar>
            <w:vAlign w:val="center"/>
          </w:tcPr>
          <w:p w:rsidRPr="009055A9" w:rsidR="000E31AA" w:rsidP="000E31AA" w:rsidRDefault="000E31AA" w14:paraId="01C0684D" w14:textId="73D626EC">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75" w:type="pct"/>
            <w:tcMar>
              <w:left w:w="0" w:type="dxa"/>
              <w:right w:w="43" w:type="dxa"/>
            </w:tcMar>
            <w:vAlign w:val="center"/>
          </w:tcPr>
          <w:p w:rsidRPr="009055A9" w:rsidR="000E31AA" w:rsidP="000E31AA" w:rsidRDefault="000E31AA" w14:paraId="0F22A643" w14:textId="79A02784">
            <w:pPr>
              <w:jc w:val="right"/>
              <w:rPr>
                <w:rFonts w:asciiTheme="minorHAnsi" w:hAnsiTheme="minorHAnsi" w:cstheme="minorHAnsi"/>
                <w:sz w:val="16"/>
                <w:szCs w:val="16"/>
              </w:rPr>
            </w:pPr>
            <w:r w:rsidRPr="009055A9">
              <w:rPr>
                <w:rFonts w:asciiTheme="minorHAnsi" w:hAnsiTheme="minorHAnsi" w:cstheme="minorHAnsi"/>
                <w:color w:val="000000"/>
                <w:sz w:val="16"/>
                <w:szCs w:val="16"/>
              </w:rPr>
              <w:t>824</w:t>
            </w:r>
          </w:p>
        </w:tc>
        <w:tc>
          <w:tcPr>
            <w:tcW w:w="149" w:type="pct"/>
            <w:tcMar>
              <w:left w:w="0" w:type="dxa"/>
              <w:right w:w="43" w:type="dxa"/>
            </w:tcMar>
            <w:vAlign w:val="center"/>
          </w:tcPr>
          <w:p w:rsidRPr="009055A9" w:rsidR="000E31AA" w:rsidP="000E31AA" w:rsidRDefault="000E31AA" w14:paraId="7AEFD811" w14:textId="1018DB08">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97" w:type="pct"/>
            <w:tcMar>
              <w:left w:w="0" w:type="dxa"/>
              <w:right w:w="43" w:type="dxa"/>
            </w:tcMar>
            <w:vAlign w:val="center"/>
          </w:tcPr>
          <w:p w:rsidRPr="009055A9" w:rsidR="000E31AA" w:rsidP="000E31AA" w:rsidRDefault="000E31AA" w14:paraId="27BD9A4F" w14:textId="249780EC">
            <w:pPr>
              <w:jc w:val="right"/>
              <w:rPr>
                <w:rFonts w:asciiTheme="minorHAnsi" w:hAnsiTheme="minorHAnsi" w:cstheme="minorHAnsi"/>
                <w:sz w:val="16"/>
                <w:szCs w:val="16"/>
              </w:rPr>
            </w:pPr>
            <w:r w:rsidRPr="009055A9">
              <w:rPr>
                <w:rFonts w:asciiTheme="minorHAnsi" w:hAnsiTheme="minorHAnsi" w:cstheme="minorHAnsi"/>
                <w:color w:val="000000"/>
                <w:sz w:val="16"/>
                <w:szCs w:val="16"/>
              </w:rPr>
              <w:t>920</w:t>
            </w:r>
          </w:p>
        </w:tc>
        <w:tc>
          <w:tcPr>
            <w:tcW w:w="148" w:type="pct"/>
            <w:tcMar>
              <w:left w:w="0" w:type="dxa"/>
              <w:right w:w="43" w:type="dxa"/>
            </w:tcMar>
            <w:vAlign w:val="center"/>
          </w:tcPr>
          <w:p w:rsidRPr="009055A9" w:rsidR="000E31AA" w:rsidP="000E31AA" w:rsidRDefault="000E31AA" w14:paraId="1C23B7DA" w14:textId="6339AE5B">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96" w:type="pct"/>
            <w:tcMar>
              <w:left w:w="0" w:type="dxa"/>
              <w:right w:w="43" w:type="dxa"/>
            </w:tcMar>
            <w:vAlign w:val="center"/>
          </w:tcPr>
          <w:p w:rsidRPr="009055A9" w:rsidR="000E31AA" w:rsidP="000E31AA" w:rsidRDefault="000E31AA" w14:paraId="1F3F409D" w14:textId="36E2C3FB">
            <w:pPr>
              <w:jc w:val="right"/>
              <w:rPr>
                <w:rFonts w:asciiTheme="minorHAnsi" w:hAnsiTheme="minorHAnsi" w:cstheme="minorHAnsi"/>
                <w:sz w:val="16"/>
                <w:szCs w:val="16"/>
              </w:rPr>
            </w:pPr>
            <w:r w:rsidRPr="009055A9">
              <w:rPr>
                <w:rFonts w:asciiTheme="minorHAnsi" w:hAnsiTheme="minorHAnsi" w:cstheme="minorHAnsi"/>
                <w:color w:val="000000"/>
                <w:sz w:val="16"/>
                <w:szCs w:val="16"/>
              </w:rPr>
              <w:t>978</w:t>
            </w:r>
          </w:p>
        </w:tc>
        <w:tc>
          <w:tcPr>
            <w:tcW w:w="143" w:type="pct"/>
            <w:tcMar>
              <w:left w:w="0" w:type="dxa"/>
              <w:right w:w="43" w:type="dxa"/>
            </w:tcMar>
            <w:vAlign w:val="center"/>
          </w:tcPr>
          <w:p w:rsidRPr="009055A9" w:rsidR="000E31AA" w:rsidP="000E31AA" w:rsidRDefault="000E31AA" w14:paraId="7D3BFAC6" w14:textId="348555BE">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8" w:type="pct"/>
            <w:shd w:val="clear" w:color="000000" w:fill="FFFFFF"/>
            <w:noWrap/>
            <w:tcMar>
              <w:left w:w="0" w:type="dxa"/>
              <w:right w:w="43" w:type="dxa"/>
            </w:tcMar>
            <w:vAlign w:val="center"/>
          </w:tcPr>
          <w:p w:rsidRPr="003148DB" w:rsidR="000E31AA" w:rsidP="000E31AA" w:rsidRDefault="000E31AA" w14:paraId="771B5B1B" w14:textId="193AAFE4">
            <w:pPr>
              <w:jc w:val="right"/>
              <w:rPr>
                <w:rFonts w:asciiTheme="minorHAnsi" w:hAnsiTheme="minorHAnsi" w:cstheme="minorHAnsi"/>
                <w:sz w:val="16"/>
                <w:szCs w:val="16"/>
              </w:rPr>
            </w:pPr>
            <w:r w:rsidRPr="003148DB">
              <w:rPr>
                <w:rFonts w:asciiTheme="minorHAnsi" w:hAnsiTheme="minorHAnsi" w:cstheme="minorHAnsi"/>
                <w:color w:val="000000"/>
                <w:sz w:val="16"/>
                <w:szCs w:val="16"/>
              </w:rPr>
              <w:t>855</w:t>
            </w:r>
          </w:p>
        </w:tc>
        <w:tc>
          <w:tcPr>
            <w:tcW w:w="151" w:type="pct"/>
            <w:shd w:val="clear" w:color="000000" w:fill="FFFFFF"/>
            <w:noWrap/>
            <w:tcMar>
              <w:left w:w="0" w:type="dxa"/>
              <w:right w:w="43" w:type="dxa"/>
            </w:tcMar>
            <w:vAlign w:val="center"/>
          </w:tcPr>
          <w:p w:rsidRPr="003148DB" w:rsidR="000E31AA" w:rsidP="000E31AA" w:rsidRDefault="000E31AA" w14:paraId="6F830AC0" w14:textId="7B7A7738">
            <w:pPr>
              <w:jc w:val="right"/>
              <w:rPr>
                <w:rFonts w:asciiTheme="minorHAnsi" w:hAnsiTheme="minorHAnsi" w:cstheme="minorHAnsi"/>
                <w:sz w:val="16"/>
                <w:szCs w:val="16"/>
              </w:rPr>
            </w:pPr>
            <w:r w:rsidRPr="003148DB">
              <w:rPr>
                <w:rFonts w:asciiTheme="minorHAnsi" w:hAnsiTheme="minorHAnsi" w:cstheme="minorHAnsi"/>
                <w:color w:val="000000"/>
                <w:sz w:val="16"/>
                <w:szCs w:val="16"/>
              </w:rPr>
              <w:t>3.1</w:t>
            </w:r>
          </w:p>
        </w:tc>
      </w:tr>
      <w:tr w:rsidRPr="003148DB" w:rsidR="0023718B" w:rsidTr="000D41FC" w14:paraId="6EE078A4" w14:textId="77777777">
        <w:trPr>
          <w:trHeight w:val="276"/>
        </w:trPr>
        <w:tc>
          <w:tcPr>
            <w:tcW w:w="268" w:type="pct"/>
            <w:vMerge w:val="restart"/>
            <w:shd w:val="clear" w:color="auto" w:fill="auto"/>
            <w:noWrap/>
            <w:tcMar>
              <w:left w:w="58" w:type="dxa"/>
              <w:right w:w="58" w:type="dxa"/>
            </w:tcMar>
            <w:vAlign w:val="center"/>
            <w:hideMark/>
          </w:tcPr>
          <w:p w:rsidRPr="00196D17" w:rsidR="0023718B" w:rsidP="000E31AA" w:rsidRDefault="0023718B" w14:paraId="692FD24F" w14:textId="01326F66">
            <w:pPr>
              <w:rPr>
                <w:rFonts w:asciiTheme="minorHAnsi" w:hAnsiTheme="minorHAnsi" w:cstheme="minorHAnsi"/>
                <w:sz w:val="16"/>
                <w:szCs w:val="16"/>
              </w:rPr>
            </w:pPr>
            <w:r w:rsidRPr="00196D17">
              <w:rPr>
                <w:rFonts w:asciiTheme="minorHAnsi" w:hAnsiTheme="minorHAnsi" w:cstheme="minorHAnsi"/>
                <w:sz w:val="16"/>
                <w:szCs w:val="16"/>
              </w:rPr>
              <w:t>Reactor</w:t>
            </w:r>
          </w:p>
        </w:tc>
        <w:tc>
          <w:tcPr>
            <w:tcW w:w="493" w:type="pct"/>
            <w:shd w:val="clear" w:color="auto" w:fill="auto"/>
            <w:noWrap/>
            <w:tcMar>
              <w:left w:w="58" w:type="dxa"/>
              <w:right w:w="29" w:type="dxa"/>
            </w:tcMar>
            <w:vAlign w:val="center"/>
            <w:hideMark/>
          </w:tcPr>
          <w:p w:rsidRPr="009055A9" w:rsidR="0023718B" w:rsidP="000E31AA" w:rsidRDefault="0023718B" w14:paraId="6AA40C85" w14:textId="2FE7D853">
            <w:pPr>
              <w:rPr>
                <w:rFonts w:asciiTheme="minorHAnsi" w:hAnsiTheme="minorHAnsi" w:cstheme="minorHAnsi"/>
                <w:sz w:val="16"/>
                <w:szCs w:val="16"/>
              </w:rPr>
            </w:pPr>
            <w:r w:rsidRPr="009055A9">
              <w:rPr>
                <w:rFonts w:asciiTheme="minorHAnsi" w:hAnsiTheme="minorHAnsi" w:cstheme="minorHAnsi"/>
                <w:color w:val="000000"/>
                <w:sz w:val="16"/>
                <w:szCs w:val="16"/>
              </w:rPr>
              <w:t>Ameren UE</w:t>
            </w:r>
          </w:p>
        </w:tc>
        <w:tc>
          <w:tcPr>
            <w:tcW w:w="321" w:type="pct"/>
            <w:shd w:val="clear" w:color="auto" w:fill="auto"/>
            <w:noWrap/>
            <w:tcMar>
              <w:left w:w="58" w:type="dxa"/>
              <w:right w:w="29" w:type="dxa"/>
            </w:tcMar>
            <w:vAlign w:val="center"/>
            <w:hideMark/>
          </w:tcPr>
          <w:p w:rsidRPr="009055A9" w:rsidR="0023718B" w:rsidP="000E31AA" w:rsidRDefault="0023718B" w14:paraId="328132C5" w14:textId="2204129B">
            <w:pPr>
              <w:rPr>
                <w:rFonts w:asciiTheme="minorHAnsi" w:hAnsiTheme="minorHAnsi" w:cstheme="minorHAnsi"/>
                <w:sz w:val="16"/>
                <w:szCs w:val="16"/>
              </w:rPr>
            </w:pPr>
            <w:r w:rsidRPr="009055A9">
              <w:rPr>
                <w:rFonts w:asciiTheme="minorHAnsi" w:hAnsiTheme="minorHAnsi" w:cstheme="minorHAnsi"/>
                <w:sz w:val="16"/>
                <w:szCs w:val="16"/>
              </w:rPr>
              <w:t>Callaway</w:t>
            </w:r>
          </w:p>
        </w:tc>
        <w:tc>
          <w:tcPr>
            <w:tcW w:w="123" w:type="pct"/>
            <w:shd w:val="clear" w:color="auto" w:fill="auto"/>
            <w:noWrap/>
            <w:tcMar>
              <w:left w:w="58" w:type="dxa"/>
              <w:right w:w="58" w:type="dxa"/>
            </w:tcMar>
            <w:vAlign w:val="center"/>
            <w:hideMark/>
          </w:tcPr>
          <w:p w:rsidRPr="009055A9" w:rsidR="0023718B" w:rsidP="000E31AA" w:rsidRDefault="0023718B" w14:paraId="21856AFD" w14:textId="72B9967B">
            <w:pPr>
              <w:jc w:val="center"/>
              <w:rPr>
                <w:rFonts w:asciiTheme="minorHAnsi" w:hAnsiTheme="minorHAnsi" w:cstheme="minorHAnsi"/>
                <w:sz w:val="16"/>
                <w:szCs w:val="16"/>
              </w:rPr>
            </w:pPr>
            <w:r w:rsidRPr="009055A9">
              <w:rPr>
                <w:rFonts w:asciiTheme="minorHAnsi" w:hAnsiTheme="minorHAnsi" w:cstheme="minorHAnsi"/>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166620F6" w14:textId="1DC4FBDB">
            <w:pPr>
              <w:jc w:val="right"/>
              <w:rPr>
                <w:rFonts w:asciiTheme="minorHAnsi" w:hAnsiTheme="minorHAnsi" w:cstheme="minorHAnsi"/>
                <w:sz w:val="16"/>
                <w:szCs w:val="16"/>
              </w:rPr>
            </w:pPr>
            <w:r w:rsidRPr="009055A9">
              <w:rPr>
                <w:rFonts w:asciiTheme="minorHAnsi" w:hAnsiTheme="minorHAnsi" w:cstheme="minorHAnsi"/>
                <w:color w:val="000000"/>
                <w:sz w:val="16"/>
                <w:szCs w:val="16"/>
              </w:rPr>
              <w:t>1,005</w:t>
            </w:r>
          </w:p>
        </w:tc>
        <w:tc>
          <w:tcPr>
            <w:tcW w:w="123" w:type="pct"/>
            <w:shd w:val="clear" w:color="auto" w:fill="auto"/>
            <w:noWrap/>
            <w:tcMar>
              <w:left w:w="0" w:type="dxa"/>
              <w:right w:w="43" w:type="dxa"/>
            </w:tcMar>
            <w:vAlign w:val="center"/>
            <w:hideMark/>
          </w:tcPr>
          <w:p w:rsidRPr="009055A9" w:rsidR="0023718B" w:rsidP="000E31AA" w:rsidRDefault="0023718B" w14:paraId="670B47EB" w14:textId="52ABBCA2">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0" w:type="pct"/>
            <w:shd w:val="clear" w:color="auto" w:fill="auto"/>
            <w:noWrap/>
            <w:tcMar>
              <w:left w:w="0" w:type="dxa"/>
              <w:right w:w="43" w:type="dxa"/>
            </w:tcMar>
            <w:vAlign w:val="center"/>
            <w:hideMark/>
          </w:tcPr>
          <w:p w:rsidRPr="009055A9" w:rsidR="0023718B" w:rsidP="000E31AA" w:rsidRDefault="0023718B" w14:paraId="36D2F84F" w14:textId="722EA6A6">
            <w:pPr>
              <w:jc w:val="right"/>
              <w:rPr>
                <w:rFonts w:asciiTheme="minorHAnsi" w:hAnsiTheme="minorHAnsi" w:cstheme="minorHAnsi"/>
                <w:sz w:val="16"/>
                <w:szCs w:val="16"/>
              </w:rPr>
            </w:pPr>
            <w:r w:rsidRPr="009055A9">
              <w:rPr>
                <w:rFonts w:asciiTheme="minorHAnsi" w:hAnsiTheme="minorHAnsi" w:cstheme="minorHAnsi"/>
                <w:color w:val="000000"/>
                <w:sz w:val="16"/>
                <w:szCs w:val="16"/>
              </w:rPr>
              <w:t>1,766</w:t>
            </w:r>
          </w:p>
        </w:tc>
        <w:tc>
          <w:tcPr>
            <w:tcW w:w="125" w:type="pct"/>
            <w:shd w:val="clear" w:color="auto" w:fill="auto"/>
            <w:noWrap/>
            <w:tcMar>
              <w:left w:w="0" w:type="dxa"/>
              <w:right w:w="43" w:type="dxa"/>
            </w:tcMar>
            <w:vAlign w:val="center"/>
            <w:hideMark/>
          </w:tcPr>
          <w:p w:rsidRPr="009055A9" w:rsidR="0023718B" w:rsidP="000E31AA" w:rsidRDefault="0023718B" w14:paraId="568CC4CA" w14:textId="07E0E7F2">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72" w:type="pct"/>
            <w:shd w:val="clear" w:color="auto" w:fill="auto"/>
            <w:noWrap/>
            <w:tcMar>
              <w:left w:w="0" w:type="dxa"/>
              <w:right w:w="43" w:type="dxa"/>
            </w:tcMar>
            <w:vAlign w:val="center"/>
            <w:hideMark/>
          </w:tcPr>
          <w:p w:rsidRPr="009055A9" w:rsidR="0023718B" w:rsidP="000E31AA" w:rsidRDefault="0023718B" w14:paraId="71666E45" w14:textId="54B59339">
            <w:pPr>
              <w:jc w:val="right"/>
              <w:rPr>
                <w:rFonts w:asciiTheme="minorHAnsi" w:hAnsiTheme="minorHAnsi" w:cstheme="minorHAnsi"/>
                <w:sz w:val="16"/>
                <w:szCs w:val="16"/>
              </w:rPr>
            </w:pPr>
            <w:r w:rsidRPr="009055A9">
              <w:rPr>
                <w:rFonts w:asciiTheme="minorHAnsi" w:hAnsiTheme="minorHAnsi" w:cstheme="minorHAnsi"/>
                <w:color w:val="000000"/>
                <w:sz w:val="16"/>
                <w:szCs w:val="16"/>
              </w:rPr>
              <w:t>1,924</w:t>
            </w:r>
          </w:p>
        </w:tc>
        <w:tc>
          <w:tcPr>
            <w:tcW w:w="123" w:type="pct"/>
            <w:shd w:val="clear" w:color="auto" w:fill="auto"/>
            <w:noWrap/>
            <w:tcMar>
              <w:left w:w="0" w:type="dxa"/>
              <w:right w:w="43" w:type="dxa"/>
            </w:tcMar>
            <w:vAlign w:val="center"/>
            <w:hideMark/>
          </w:tcPr>
          <w:p w:rsidRPr="009055A9" w:rsidR="0023718B" w:rsidP="000E31AA" w:rsidRDefault="0023718B" w14:paraId="01A134B2" w14:textId="5F296540">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94" w:type="pct"/>
            <w:shd w:val="clear" w:color="auto" w:fill="auto"/>
            <w:noWrap/>
            <w:tcMar>
              <w:left w:w="0" w:type="dxa"/>
              <w:right w:w="43" w:type="dxa"/>
            </w:tcMar>
            <w:vAlign w:val="center"/>
            <w:hideMark/>
          </w:tcPr>
          <w:p w:rsidRPr="009055A9" w:rsidR="0023718B" w:rsidP="000E31AA" w:rsidRDefault="0023718B" w14:paraId="206F4C3C" w14:textId="6A28515A">
            <w:pPr>
              <w:jc w:val="right"/>
              <w:rPr>
                <w:rFonts w:asciiTheme="minorHAnsi" w:hAnsiTheme="minorHAnsi" w:cstheme="minorHAnsi"/>
                <w:sz w:val="16"/>
                <w:szCs w:val="16"/>
              </w:rPr>
            </w:pPr>
            <w:r w:rsidRPr="009055A9">
              <w:rPr>
                <w:rFonts w:asciiTheme="minorHAnsi" w:hAnsiTheme="minorHAnsi" w:cstheme="minorHAnsi"/>
                <w:color w:val="000000"/>
                <w:sz w:val="16"/>
                <w:szCs w:val="16"/>
              </w:rPr>
              <w:t>924</w:t>
            </w:r>
          </w:p>
        </w:tc>
        <w:tc>
          <w:tcPr>
            <w:tcW w:w="123" w:type="pct"/>
            <w:shd w:val="clear" w:color="auto" w:fill="auto"/>
            <w:noWrap/>
            <w:tcMar>
              <w:left w:w="0" w:type="dxa"/>
              <w:right w:w="43" w:type="dxa"/>
            </w:tcMar>
            <w:vAlign w:val="center"/>
            <w:hideMark/>
          </w:tcPr>
          <w:p w:rsidRPr="009055A9" w:rsidR="0023718B" w:rsidP="000E31AA" w:rsidRDefault="0023718B" w14:paraId="68CC5CC8" w14:textId="6B9191EB">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97" w:type="pct"/>
            <w:shd w:val="clear" w:color="auto" w:fill="auto"/>
            <w:noWrap/>
            <w:tcMar>
              <w:left w:w="0" w:type="dxa"/>
              <w:right w:w="43" w:type="dxa"/>
            </w:tcMar>
            <w:vAlign w:val="center"/>
            <w:hideMark/>
          </w:tcPr>
          <w:p w:rsidRPr="009055A9" w:rsidR="0023718B" w:rsidP="000E31AA" w:rsidRDefault="0023718B" w14:paraId="031058D6" w14:textId="3E120534">
            <w:pPr>
              <w:jc w:val="right"/>
              <w:rPr>
                <w:rFonts w:asciiTheme="minorHAnsi" w:hAnsiTheme="minorHAnsi" w:cstheme="minorHAnsi"/>
                <w:sz w:val="16"/>
                <w:szCs w:val="16"/>
              </w:rPr>
            </w:pPr>
            <w:r w:rsidRPr="009055A9">
              <w:rPr>
                <w:rFonts w:asciiTheme="minorHAnsi" w:hAnsiTheme="minorHAnsi" w:cstheme="minorHAnsi"/>
                <w:color w:val="000000"/>
                <w:sz w:val="16"/>
                <w:szCs w:val="16"/>
              </w:rPr>
              <w:t>1,840</w:t>
            </w:r>
          </w:p>
        </w:tc>
        <w:tc>
          <w:tcPr>
            <w:tcW w:w="125" w:type="pct"/>
            <w:shd w:val="clear" w:color="auto" w:fill="auto"/>
            <w:noWrap/>
            <w:tcMar>
              <w:left w:w="0" w:type="dxa"/>
              <w:right w:w="43" w:type="dxa"/>
            </w:tcMar>
            <w:vAlign w:val="center"/>
            <w:hideMark/>
          </w:tcPr>
          <w:p w:rsidRPr="009055A9" w:rsidR="0023718B" w:rsidP="000E31AA" w:rsidRDefault="0023718B" w14:paraId="252CC264" w14:textId="47B4AEA6">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0" w:type="pct"/>
            <w:shd w:val="clear" w:color="auto" w:fill="auto"/>
            <w:noWrap/>
            <w:tcMar>
              <w:left w:w="0" w:type="dxa"/>
              <w:right w:w="43" w:type="dxa"/>
            </w:tcMar>
            <w:vAlign w:val="center"/>
            <w:hideMark/>
          </w:tcPr>
          <w:p w:rsidRPr="009055A9" w:rsidR="0023718B" w:rsidP="000E31AA" w:rsidRDefault="0023718B" w14:paraId="412A3618" w14:textId="1314BFDE">
            <w:pPr>
              <w:jc w:val="right"/>
              <w:rPr>
                <w:rFonts w:asciiTheme="minorHAnsi" w:hAnsiTheme="minorHAnsi" w:cstheme="minorHAnsi"/>
                <w:sz w:val="16"/>
                <w:szCs w:val="16"/>
              </w:rPr>
            </w:pPr>
            <w:r w:rsidRPr="009055A9">
              <w:rPr>
                <w:rFonts w:asciiTheme="minorHAnsi" w:hAnsiTheme="minorHAnsi" w:cstheme="minorHAnsi"/>
                <w:color w:val="000000"/>
                <w:sz w:val="16"/>
                <w:szCs w:val="16"/>
              </w:rPr>
              <w:t>2,044</w:t>
            </w:r>
          </w:p>
        </w:tc>
        <w:tc>
          <w:tcPr>
            <w:tcW w:w="148" w:type="pct"/>
            <w:shd w:val="clear" w:color="auto" w:fill="auto"/>
            <w:noWrap/>
            <w:tcMar>
              <w:left w:w="0" w:type="dxa"/>
              <w:right w:w="43" w:type="dxa"/>
            </w:tcMar>
            <w:vAlign w:val="center"/>
            <w:hideMark/>
          </w:tcPr>
          <w:p w:rsidRPr="009055A9" w:rsidR="0023718B" w:rsidP="000E31AA" w:rsidRDefault="0023718B" w14:paraId="0B6A174E" w14:textId="1E2346CB">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2" w:type="pct"/>
            <w:tcMar>
              <w:left w:w="0" w:type="dxa"/>
              <w:right w:w="43" w:type="dxa"/>
            </w:tcMar>
            <w:vAlign w:val="center"/>
          </w:tcPr>
          <w:p w:rsidRPr="009055A9" w:rsidR="0023718B" w:rsidP="000E31AA" w:rsidRDefault="0023718B" w14:paraId="5DF2E47E" w14:textId="4A5FAD4A">
            <w:pPr>
              <w:jc w:val="right"/>
              <w:rPr>
                <w:rFonts w:asciiTheme="minorHAnsi" w:hAnsiTheme="minorHAnsi" w:cstheme="minorHAnsi"/>
                <w:sz w:val="16"/>
                <w:szCs w:val="16"/>
              </w:rPr>
            </w:pPr>
            <w:r w:rsidRPr="009055A9">
              <w:rPr>
                <w:rFonts w:asciiTheme="minorHAnsi" w:hAnsiTheme="minorHAnsi" w:cstheme="minorHAnsi"/>
                <w:color w:val="000000"/>
                <w:sz w:val="16"/>
                <w:szCs w:val="16"/>
              </w:rPr>
              <w:t>1,155</w:t>
            </w:r>
          </w:p>
        </w:tc>
        <w:tc>
          <w:tcPr>
            <w:tcW w:w="124" w:type="pct"/>
            <w:tcMar>
              <w:left w:w="0" w:type="dxa"/>
              <w:right w:w="43" w:type="dxa"/>
            </w:tcMar>
            <w:vAlign w:val="center"/>
          </w:tcPr>
          <w:p w:rsidRPr="009055A9" w:rsidR="0023718B" w:rsidP="000E31AA" w:rsidRDefault="0023718B" w14:paraId="09F68DFA" w14:textId="5387DE07">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3" w:type="pct"/>
            <w:tcMar>
              <w:left w:w="0" w:type="dxa"/>
              <w:right w:w="43" w:type="dxa"/>
            </w:tcMar>
            <w:vAlign w:val="center"/>
          </w:tcPr>
          <w:p w:rsidRPr="009055A9" w:rsidR="0023718B" w:rsidP="000E31AA" w:rsidRDefault="0023718B" w14:paraId="4AACF2B6" w14:textId="1E5D8CD5">
            <w:pPr>
              <w:jc w:val="right"/>
              <w:rPr>
                <w:rFonts w:asciiTheme="minorHAnsi" w:hAnsiTheme="minorHAnsi" w:cstheme="minorHAnsi"/>
                <w:sz w:val="16"/>
                <w:szCs w:val="16"/>
              </w:rPr>
            </w:pPr>
            <w:r w:rsidRPr="009055A9">
              <w:rPr>
                <w:rFonts w:asciiTheme="minorHAnsi" w:hAnsiTheme="minorHAnsi" w:cstheme="minorHAnsi"/>
                <w:color w:val="000000"/>
                <w:sz w:val="16"/>
                <w:szCs w:val="16"/>
              </w:rPr>
              <w:t>1,672</w:t>
            </w:r>
          </w:p>
        </w:tc>
        <w:tc>
          <w:tcPr>
            <w:tcW w:w="146" w:type="pct"/>
            <w:tcMar>
              <w:left w:w="0" w:type="dxa"/>
              <w:right w:w="43" w:type="dxa"/>
            </w:tcMar>
            <w:vAlign w:val="center"/>
          </w:tcPr>
          <w:p w:rsidRPr="009055A9" w:rsidR="0023718B" w:rsidP="000E31AA" w:rsidRDefault="0023718B" w14:paraId="1C5AADA2" w14:textId="05F09C80">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5" w:type="pct"/>
            <w:tcMar>
              <w:left w:w="0" w:type="dxa"/>
              <w:right w:w="43" w:type="dxa"/>
            </w:tcMar>
            <w:vAlign w:val="center"/>
          </w:tcPr>
          <w:p w:rsidRPr="009055A9" w:rsidR="0023718B" w:rsidP="000E31AA" w:rsidRDefault="0023718B" w14:paraId="7D931707" w14:textId="7AB09B29">
            <w:pPr>
              <w:jc w:val="right"/>
              <w:rPr>
                <w:rFonts w:asciiTheme="minorHAnsi" w:hAnsiTheme="minorHAnsi" w:cstheme="minorHAnsi"/>
                <w:sz w:val="16"/>
                <w:szCs w:val="16"/>
              </w:rPr>
            </w:pPr>
            <w:r w:rsidRPr="009055A9">
              <w:rPr>
                <w:rFonts w:asciiTheme="minorHAnsi" w:hAnsiTheme="minorHAnsi" w:cstheme="minorHAnsi"/>
                <w:color w:val="000000"/>
                <w:sz w:val="16"/>
                <w:szCs w:val="16"/>
              </w:rPr>
              <w:t>2,241</w:t>
            </w:r>
          </w:p>
        </w:tc>
        <w:tc>
          <w:tcPr>
            <w:tcW w:w="149" w:type="pct"/>
            <w:tcMar>
              <w:left w:w="0" w:type="dxa"/>
              <w:right w:w="43" w:type="dxa"/>
            </w:tcMar>
            <w:vAlign w:val="center"/>
          </w:tcPr>
          <w:p w:rsidRPr="009055A9" w:rsidR="0023718B" w:rsidP="000E31AA" w:rsidRDefault="0023718B" w14:paraId="72388D00" w14:textId="643D6ABB">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97" w:type="pct"/>
            <w:tcMar>
              <w:left w:w="0" w:type="dxa"/>
              <w:right w:w="43" w:type="dxa"/>
            </w:tcMar>
            <w:vAlign w:val="center"/>
          </w:tcPr>
          <w:p w:rsidRPr="009055A9" w:rsidR="0023718B" w:rsidP="000E31AA" w:rsidRDefault="0023718B" w14:paraId="5A736591" w14:textId="23346512">
            <w:pPr>
              <w:jc w:val="right"/>
              <w:rPr>
                <w:rFonts w:asciiTheme="minorHAnsi" w:hAnsiTheme="minorHAnsi" w:cstheme="minorHAnsi"/>
                <w:sz w:val="16"/>
                <w:szCs w:val="16"/>
              </w:rPr>
            </w:pPr>
            <w:r w:rsidRPr="009055A9">
              <w:rPr>
                <w:rFonts w:asciiTheme="minorHAnsi" w:hAnsiTheme="minorHAnsi" w:cstheme="minorHAnsi"/>
                <w:color w:val="000000"/>
                <w:sz w:val="16"/>
                <w:szCs w:val="16"/>
              </w:rPr>
              <w:t>1,079</w:t>
            </w:r>
          </w:p>
        </w:tc>
        <w:tc>
          <w:tcPr>
            <w:tcW w:w="148" w:type="pct"/>
            <w:tcMar>
              <w:left w:w="0" w:type="dxa"/>
              <w:right w:w="43" w:type="dxa"/>
            </w:tcMar>
            <w:vAlign w:val="center"/>
          </w:tcPr>
          <w:p w:rsidRPr="009055A9" w:rsidR="0023718B" w:rsidP="000E31AA" w:rsidRDefault="0023718B" w14:paraId="69D82F7A" w14:textId="2C1634EA">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96" w:type="pct"/>
            <w:tcMar>
              <w:left w:w="0" w:type="dxa"/>
              <w:right w:w="43" w:type="dxa"/>
            </w:tcMar>
            <w:vAlign w:val="center"/>
          </w:tcPr>
          <w:p w:rsidRPr="009055A9" w:rsidR="0023718B" w:rsidP="000E31AA" w:rsidRDefault="0023718B" w14:paraId="0381B82E" w14:textId="6AF8B286">
            <w:pPr>
              <w:jc w:val="right"/>
              <w:rPr>
                <w:rFonts w:asciiTheme="minorHAnsi" w:hAnsiTheme="minorHAnsi" w:cstheme="minorHAnsi"/>
                <w:sz w:val="16"/>
                <w:szCs w:val="16"/>
              </w:rPr>
            </w:pPr>
            <w:r w:rsidRPr="009055A9">
              <w:rPr>
                <w:rFonts w:asciiTheme="minorHAnsi" w:hAnsiTheme="minorHAnsi" w:cstheme="minorHAnsi"/>
                <w:color w:val="000000"/>
                <w:sz w:val="16"/>
                <w:szCs w:val="16"/>
              </w:rPr>
              <w:t>1,635</w:t>
            </w:r>
          </w:p>
        </w:tc>
        <w:tc>
          <w:tcPr>
            <w:tcW w:w="143" w:type="pct"/>
            <w:tcMar>
              <w:left w:w="0" w:type="dxa"/>
              <w:right w:w="43" w:type="dxa"/>
            </w:tcMar>
            <w:vAlign w:val="center"/>
          </w:tcPr>
          <w:p w:rsidRPr="009055A9" w:rsidR="0023718B" w:rsidP="000E31AA" w:rsidRDefault="0023718B" w14:paraId="478C633A" w14:textId="61E59D63">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8" w:type="pct"/>
            <w:shd w:val="clear" w:color="000000" w:fill="FFFFFF"/>
            <w:noWrap/>
            <w:tcMar>
              <w:left w:w="0" w:type="dxa"/>
              <w:right w:w="43" w:type="dxa"/>
            </w:tcMar>
            <w:vAlign w:val="center"/>
          </w:tcPr>
          <w:p w:rsidRPr="003148DB" w:rsidR="0023718B" w:rsidP="000E31AA" w:rsidRDefault="0023718B" w14:paraId="000CC3FC" w14:textId="243CA4CB">
            <w:pPr>
              <w:jc w:val="right"/>
              <w:rPr>
                <w:rFonts w:asciiTheme="minorHAnsi" w:hAnsiTheme="minorHAnsi" w:cstheme="minorHAnsi"/>
                <w:sz w:val="16"/>
                <w:szCs w:val="16"/>
              </w:rPr>
            </w:pPr>
            <w:r w:rsidRPr="003148DB">
              <w:rPr>
                <w:rFonts w:asciiTheme="minorHAnsi" w:hAnsiTheme="minorHAnsi" w:cstheme="minorHAnsi"/>
                <w:color w:val="000000"/>
                <w:sz w:val="16"/>
                <w:szCs w:val="16"/>
              </w:rPr>
              <w:t>1,571</w:t>
            </w:r>
          </w:p>
        </w:tc>
        <w:tc>
          <w:tcPr>
            <w:tcW w:w="151" w:type="pct"/>
            <w:shd w:val="clear" w:color="000000" w:fill="FFFFFF"/>
            <w:noWrap/>
            <w:tcMar>
              <w:left w:w="0" w:type="dxa"/>
              <w:right w:w="43" w:type="dxa"/>
            </w:tcMar>
            <w:vAlign w:val="center"/>
          </w:tcPr>
          <w:p w:rsidRPr="003148DB" w:rsidR="0023718B" w:rsidP="000E31AA" w:rsidRDefault="0023718B" w14:paraId="04C75A51" w14:textId="458AC68E">
            <w:pPr>
              <w:jc w:val="right"/>
              <w:rPr>
                <w:rFonts w:asciiTheme="minorHAnsi" w:hAnsiTheme="minorHAnsi" w:cstheme="minorHAnsi"/>
                <w:sz w:val="16"/>
                <w:szCs w:val="16"/>
              </w:rPr>
            </w:pPr>
            <w:r w:rsidRPr="003148DB">
              <w:rPr>
                <w:rFonts w:asciiTheme="minorHAnsi" w:hAnsiTheme="minorHAnsi" w:cstheme="minorHAnsi"/>
                <w:color w:val="000000"/>
                <w:sz w:val="16"/>
                <w:szCs w:val="16"/>
              </w:rPr>
              <w:t>7.5</w:t>
            </w:r>
          </w:p>
        </w:tc>
      </w:tr>
      <w:tr w:rsidRPr="003148DB" w:rsidR="0023718B" w:rsidTr="000D41FC" w14:paraId="14ECC208"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3481214F"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58E7B388" w14:textId="18CF6132">
            <w:pPr>
              <w:rPr>
                <w:rFonts w:asciiTheme="minorHAnsi" w:hAnsiTheme="minorHAnsi" w:cstheme="minorHAnsi"/>
                <w:sz w:val="16"/>
                <w:szCs w:val="16"/>
              </w:rPr>
            </w:pPr>
            <w:r w:rsidRPr="009055A9">
              <w:rPr>
                <w:rFonts w:asciiTheme="minorHAnsi" w:hAnsiTheme="minorHAnsi" w:cstheme="minorHAnsi"/>
                <w:color w:val="000000"/>
                <w:sz w:val="16"/>
                <w:szCs w:val="16"/>
              </w:rPr>
              <w:t>Exelon</w:t>
            </w:r>
          </w:p>
        </w:tc>
        <w:tc>
          <w:tcPr>
            <w:tcW w:w="321" w:type="pct"/>
            <w:shd w:val="clear" w:color="auto" w:fill="auto"/>
            <w:noWrap/>
            <w:tcMar>
              <w:left w:w="58" w:type="dxa"/>
              <w:right w:w="29" w:type="dxa"/>
            </w:tcMar>
            <w:vAlign w:val="center"/>
            <w:hideMark/>
          </w:tcPr>
          <w:p w:rsidRPr="009055A9" w:rsidR="0023718B" w:rsidP="000E31AA" w:rsidRDefault="0023718B" w14:paraId="4BDF4E75" w14:textId="671A0543">
            <w:pPr>
              <w:rPr>
                <w:rFonts w:asciiTheme="minorHAnsi" w:hAnsiTheme="minorHAnsi" w:cstheme="minorHAnsi"/>
                <w:sz w:val="16"/>
                <w:szCs w:val="16"/>
              </w:rPr>
            </w:pPr>
            <w:r w:rsidRPr="009055A9">
              <w:rPr>
                <w:rFonts w:asciiTheme="minorHAnsi" w:hAnsiTheme="minorHAnsi" w:cstheme="minorHAnsi"/>
                <w:color w:val="000000"/>
                <w:sz w:val="16"/>
                <w:szCs w:val="16"/>
              </w:rPr>
              <w:t>Clinton</w:t>
            </w:r>
          </w:p>
        </w:tc>
        <w:tc>
          <w:tcPr>
            <w:tcW w:w="123" w:type="pct"/>
            <w:shd w:val="clear" w:color="auto" w:fill="auto"/>
            <w:noWrap/>
            <w:tcMar>
              <w:left w:w="58" w:type="dxa"/>
              <w:right w:w="58" w:type="dxa"/>
            </w:tcMar>
            <w:vAlign w:val="center"/>
            <w:hideMark/>
          </w:tcPr>
          <w:p w:rsidRPr="009055A9" w:rsidR="0023718B" w:rsidP="000E31AA" w:rsidRDefault="0023718B" w14:paraId="50D1C77A" w14:textId="4088C746">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1ADE7F85" w14:textId="08F900AC">
            <w:pPr>
              <w:jc w:val="right"/>
              <w:rPr>
                <w:rFonts w:asciiTheme="minorHAnsi" w:hAnsiTheme="minorHAnsi" w:cstheme="minorHAnsi"/>
                <w:sz w:val="16"/>
                <w:szCs w:val="16"/>
              </w:rPr>
            </w:pPr>
            <w:r w:rsidRPr="009055A9">
              <w:rPr>
                <w:rFonts w:asciiTheme="minorHAnsi" w:hAnsiTheme="minorHAnsi" w:cstheme="minorHAnsi"/>
                <w:color w:val="000000"/>
                <w:sz w:val="16"/>
                <w:szCs w:val="16"/>
              </w:rPr>
              <w:t>1,265</w:t>
            </w:r>
          </w:p>
        </w:tc>
        <w:tc>
          <w:tcPr>
            <w:tcW w:w="123" w:type="pct"/>
            <w:shd w:val="clear" w:color="auto" w:fill="auto"/>
            <w:noWrap/>
            <w:tcMar>
              <w:left w:w="0" w:type="dxa"/>
              <w:right w:w="43" w:type="dxa"/>
            </w:tcMar>
            <w:vAlign w:val="center"/>
            <w:hideMark/>
          </w:tcPr>
          <w:p w:rsidRPr="009055A9" w:rsidR="0023718B" w:rsidP="000E31AA" w:rsidRDefault="0023718B" w14:paraId="64CECFE1" w14:textId="102F5232">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0" w:type="pct"/>
            <w:shd w:val="clear" w:color="auto" w:fill="auto"/>
            <w:noWrap/>
            <w:tcMar>
              <w:left w:w="0" w:type="dxa"/>
              <w:right w:w="43" w:type="dxa"/>
            </w:tcMar>
            <w:vAlign w:val="center"/>
            <w:hideMark/>
          </w:tcPr>
          <w:p w:rsidRPr="009055A9" w:rsidR="0023718B" w:rsidP="000E31AA" w:rsidRDefault="0023718B" w14:paraId="6D09DE46" w14:textId="44640963">
            <w:pPr>
              <w:jc w:val="right"/>
              <w:rPr>
                <w:rFonts w:asciiTheme="minorHAnsi" w:hAnsiTheme="minorHAnsi" w:cstheme="minorHAnsi"/>
                <w:sz w:val="16"/>
                <w:szCs w:val="16"/>
              </w:rPr>
            </w:pPr>
            <w:r w:rsidRPr="009055A9">
              <w:rPr>
                <w:rFonts w:asciiTheme="minorHAnsi" w:hAnsiTheme="minorHAnsi" w:cstheme="minorHAnsi"/>
                <w:color w:val="000000"/>
                <w:sz w:val="16"/>
                <w:szCs w:val="16"/>
              </w:rPr>
              <w:t>1,958</w:t>
            </w:r>
          </w:p>
        </w:tc>
        <w:tc>
          <w:tcPr>
            <w:tcW w:w="125" w:type="pct"/>
            <w:shd w:val="clear" w:color="auto" w:fill="auto"/>
            <w:noWrap/>
            <w:tcMar>
              <w:left w:w="0" w:type="dxa"/>
              <w:right w:w="43" w:type="dxa"/>
            </w:tcMar>
            <w:vAlign w:val="center"/>
            <w:hideMark/>
          </w:tcPr>
          <w:p w:rsidRPr="009055A9" w:rsidR="0023718B" w:rsidP="000E31AA" w:rsidRDefault="0023718B" w14:paraId="2EA12715" w14:textId="5430ADD6">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2" w:type="pct"/>
            <w:shd w:val="clear" w:color="auto" w:fill="auto"/>
            <w:noWrap/>
            <w:tcMar>
              <w:left w:w="0" w:type="dxa"/>
              <w:right w:w="43" w:type="dxa"/>
            </w:tcMar>
            <w:vAlign w:val="center"/>
            <w:hideMark/>
          </w:tcPr>
          <w:p w:rsidRPr="009055A9" w:rsidR="0023718B" w:rsidP="000E31AA" w:rsidRDefault="0023718B" w14:paraId="776509A5" w14:textId="46384C68">
            <w:pPr>
              <w:jc w:val="right"/>
              <w:rPr>
                <w:rFonts w:asciiTheme="minorHAnsi" w:hAnsiTheme="minorHAnsi" w:cstheme="minorHAnsi"/>
                <w:sz w:val="16"/>
                <w:szCs w:val="16"/>
              </w:rPr>
            </w:pPr>
            <w:r w:rsidRPr="009055A9">
              <w:rPr>
                <w:rFonts w:asciiTheme="minorHAnsi" w:hAnsiTheme="minorHAnsi" w:cstheme="minorHAnsi"/>
                <w:color w:val="000000"/>
                <w:sz w:val="16"/>
                <w:szCs w:val="16"/>
              </w:rPr>
              <w:t>1,743</w:t>
            </w:r>
          </w:p>
        </w:tc>
        <w:tc>
          <w:tcPr>
            <w:tcW w:w="123" w:type="pct"/>
            <w:shd w:val="clear" w:color="auto" w:fill="auto"/>
            <w:noWrap/>
            <w:tcMar>
              <w:left w:w="0" w:type="dxa"/>
              <w:right w:w="43" w:type="dxa"/>
            </w:tcMar>
            <w:vAlign w:val="center"/>
            <w:hideMark/>
          </w:tcPr>
          <w:p w:rsidRPr="009055A9" w:rsidR="0023718B" w:rsidP="000E31AA" w:rsidRDefault="0023718B" w14:paraId="7A3007E8" w14:textId="14E371AF">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94" w:type="pct"/>
            <w:shd w:val="clear" w:color="auto" w:fill="auto"/>
            <w:noWrap/>
            <w:tcMar>
              <w:left w:w="0" w:type="dxa"/>
              <w:right w:w="43" w:type="dxa"/>
            </w:tcMar>
            <w:vAlign w:val="center"/>
            <w:hideMark/>
          </w:tcPr>
          <w:p w:rsidRPr="009055A9" w:rsidR="0023718B" w:rsidP="000E31AA" w:rsidRDefault="0023718B" w14:paraId="1FAC50FC" w14:textId="61C2FAFA">
            <w:pPr>
              <w:jc w:val="right"/>
              <w:rPr>
                <w:rFonts w:asciiTheme="minorHAnsi" w:hAnsiTheme="minorHAnsi" w:cstheme="minorHAnsi"/>
                <w:sz w:val="16"/>
                <w:szCs w:val="16"/>
              </w:rPr>
            </w:pPr>
            <w:r w:rsidRPr="009055A9">
              <w:rPr>
                <w:rFonts w:asciiTheme="minorHAnsi" w:hAnsiTheme="minorHAnsi" w:cstheme="minorHAnsi"/>
                <w:color w:val="000000"/>
                <w:sz w:val="16"/>
                <w:szCs w:val="16"/>
              </w:rPr>
              <w:t>755</w:t>
            </w:r>
          </w:p>
        </w:tc>
        <w:tc>
          <w:tcPr>
            <w:tcW w:w="123" w:type="pct"/>
            <w:shd w:val="clear" w:color="auto" w:fill="auto"/>
            <w:noWrap/>
            <w:tcMar>
              <w:left w:w="0" w:type="dxa"/>
              <w:right w:w="43" w:type="dxa"/>
            </w:tcMar>
            <w:vAlign w:val="center"/>
            <w:hideMark/>
          </w:tcPr>
          <w:p w:rsidRPr="009055A9" w:rsidR="0023718B" w:rsidP="000E31AA" w:rsidRDefault="0023718B" w14:paraId="30AB9735" w14:textId="30377095">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97" w:type="pct"/>
            <w:shd w:val="clear" w:color="auto" w:fill="auto"/>
            <w:noWrap/>
            <w:tcMar>
              <w:left w:w="0" w:type="dxa"/>
              <w:right w:w="43" w:type="dxa"/>
            </w:tcMar>
            <w:vAlign w:val="center"/>
            <w:hideMark/>
          </w:tcPr>
          <w:p w:rsidRPr="009055A9" w:rsidR="0023718B" w:rsidP="000E31AA" w:rsidRDefault="0023718B" w14:paraId="41D4A6EB" w14:textId="089F079D">
            <w:pPr>
              <w:jc w:val="right"/>
              <w:rPr>
                <w:rFonts w:asciiTheme="minorHAnsi" w:hAnsiTheme="minorHAnsi" w:cstheme="minorHAnsi"/>
                <w:sz w:val="16"/>
                <w:szCs w:val="16"/>
              </w:rPr>
            </w:pPr>
            <w:r w:rsidRPr="009055A9">
              <w:rPr>
                <w:rFonts w:asciiTheme="minorHAnsi" w:hAnsiTheme="minorHAnsi" w:cstheme="minorHAnsi"/>
                <w:color w:val="000000"/>
                <w:sz w:val="16"/>
                <w:szCs w:val="16"/>
              </w:rPr>
              <w:t>2,018</w:t>
            </w:r>
          </w:p>
        </w:tc>
        <w:tc>
          <w:tcPr>
            <w:tcW w:w="125" w:type="pct"/>
            <w:shd w:val="clear" w:color="auto" w:fill="auto"/>
            <w:noWrap/>
            <w:tcMar>
              <w:left w:w="0" w:type="dxa"/>
              <w:right w:w="43" w:type="dxa"/>
            </w:tcMar>
            <w:vAlign w:val="center"/>
            <w:hideMark/>
          </w:tcPr>
          <w:p w:rsidRPr="009055A9" w:rsidR="0023718B" w:rsidP="000E31AA" w:rsidRDefault="0023718B" w14:paraId="161456F9" w14:textId="3FF26CFC">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0" w:type="pct"/>
            <w:shd w:val="clear" w:color="auto" w:fill="auto"/>
            <w:noWrap/>
            <w:tcMar>
              <w:left w:w="0" w:type="dxa"/>
              <w:right w:w="43" w:type="dxa"/>
            </w:tcMar>
            <w:vAlign w:val="center"/>
            <w:hideMark/>
          </w:tcPr>
          <w:p w:rsidRPr="009055A9" w:rsidR="0023718B" w:rsidP="000E31AA" w:rsidRDefault="0023718B" w14:paraId="25593A84" w14:textId="40DFD3A8">
            <w:pPr>
              <w:jc w:val="right"/>
              <w:rPr>
                <w:rFonts w:asciiTheme="minorHAnsi" w:hAnsiTheme="minorHAnsi" w:cstheme="minorHAnsi"/>
                <w:sz w:val="16"/>
                <w:szCs w:val="16"/>
              </w:rPr>
            </w:pPr>
            <w:r w:rsidRPr="009055A9">
              <w:rPr>
                <w:rFonts w:asciiTheme="minorHAnsi" w:hAnsiTheme="minorHAnsi" w:cstheme="minorHAnsi"/>
                <w:color w:val="000000"/>
                <w:sz w:val="16"/>
                <w:szCs w:val="16"/>
              </w:rPr>
              <w:t>952</w:t>
            </w:r>
          </w:p>
        </w:tc>
        <w:tc>
          <w:tcPr>
            <w:tcW w:w="148" w:type="pct"/>
            <w:shd w:val="clear" w:color="auto" w:fill="auto"/>
            <w:noWrap/>
            <w:tcMar>
              <w:left w:w="0" w:type="dxa"/>
              <w:right w:w="43" w:type="dxa"/>
            </w:tcMar>
            <w:vAlign w:val="center"/>
            <w:hideMark/>
          </w:tcPr>
          <w:p w:rsidRPr="009055A9" w:rsidR="0023718B" w:rsidP="000E31AA" w:rsidRDefault="0023718B" w14:paraId="6B26AC4C" w14:textId="39070E71">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2" w:type="pct"/>
            <w:tcMar>
              <w:left w:w="0" w:type="dxa"/>
              <w:right w:w="43" w:type="dxa"/>
            </w:tcMar>
            <w:vAlign w:val="center"/>
          </w:tcPr>
          <w:p w:rsidRPr="009055A9" w:rsidR="0023718B" w:rsidP="000E31AA" w:rsidRDefault="0023718B" w14:paraId="4686D486" w14:textId="5EC1DDD7">
            <w:pPr>
              <w:jc w:val="right"/>
              <w:rPr>
                <w:rFonts w:asciiTheme="minorHAnsi" w:hAnsiTheme="minorHAnsi" w:cstheme="minorHAnsi"/>
                <w:sz w:val="16"/>
                <w:szCs w:val="16"/>
              </w:rPr>
            </w:pPr>
            <w:r w:rsidRPr="009055A9">
              <w:rPr>
                <w:rFonts w:asciiTheme="minorHAnsi" w:hAnsiTheme="minorHAnsi" w:cstheme="minorHAnsi"/>
                <w:color w:val="000000"/>
                <w:sz w:val="16"/>
                <w:szCs w:val="16"/>
              </w:rPr>
              <w:t>1,540</w:t>
            </w:r>
          </w:p>
        </w:tc>
        <w:tc>
          <w:tcPr>
            <w:tcW w:w="124" w:type="pct"/>
            <w:tcMar>
              <w:left w:w="0" w:type="dxa"/>
              <w:right w:w="43" w:type="dxa"/>
            </w:tcMar>
            <w:vAlign w:val="center"/>
          </w:tcPr>
          <w:p w:rsidRPr="009055A9" w:rsidR="0023718B" w:rsidP="000E31AA" w:rsidRDefault="0023718B" w14:paraId="1CCAAEBA" w14:textId="4E68644F">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3" w:type="pct"/>
            <w:tcMar>
              <w:left w:w="0" w:type="dxa"/>
              <w:right w:w="43" w:type="dxa"/>
            </w:tcMar>
            <w:vAlign w:val="center"/>
          </w:tcPr>
          <w:p w:rsidRPr="009055A9" w:rsidR="0023718B" w:rsidP="000E31AA" w:rsidRDefault="0023718B" w14:paraId="03CCC7A8" w14:textId="15DD176C">
            <w:pPr>
              <w:jc w:val="right"/>
              <w:rPr>
                <w:rFonts w:asciiTheme="minorHAnsi" w:hAnsiTheme="minorHAnsi" w:cstheme="minorHAnsi"/>
                <w:sz w:val="16"/>
                <w:szCs w:val="16"/>
              </w:rPr>
            </w:pPr>
            <w:r w:rsidRPr="009055A9">
              <w:rPr>
                <w:rFonts w:asciiTheme="minorHAnsi" w:hAnsiTheme="minorHAnsi" w:cstheme="minorHAnsi"/>
                <w:color w:val="000000"/>
                <w:sz w:val="16"/>
                <w:szCs w:val="16"/>
              </w:rPr>
              <w:t>806</w:t>
            </w:r>
          </w:p>
        </w:tc>
        <w:tc>
          <w:tcPr>
            <w:tcW w:w="146" w:type="pct"/>
            <w:tcMar>
              <w:left w:w="0" w:type="dxa"/>
              <w:right w:w="43" w:type="dxa"/>
            </w:tcMar>
            <w:vAlign w:val="center"/>
          </w:tcPr>
          <w:p w:rsidRPr="009055A9" w:rsidR="0023718B" w:rsidP="000E31AA" w:rsidRDefault="0023718B" w14:paraId="040946DD" w14:textId="5DD85337">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75" w:type="pct"/>
            <w:tcMar>
              <w:left w:w="0" w:type="dxa"/>
              <w:right w:w="43" w:type="dxa"/>
            </w:tcMar>
            <w:vAlign w:val="center"/>
          </w:tcPr>
          <w:p w:rsidRPr="009055A9" w:rsidR="0023718B" w:rsidP="000E31AA" w:rsidRDefault="0023718B" w14:paraId="1F46C36A" w14:textId="4EFD3BAC">
            <w:pPr>
              <w:jc w:val="right"/>
              <w:rPr>
                <w:rFonts w:asciiTheme="minorHAnsi" w:hAnsiTheme="minorHAnsi" w:cstheme="minorHAnsi"/>
                <w:sz w:val="16"/>
                <w:szCs w:val="16"/>
              </w:rPr>
            </w:pPr>
            <w:r w:rsidRPr="009055A9">
              <w:rPr>
                <w:rFonts w:asciiTheme="minorHAnsi" w:hAnsiTheme="minorHAnsi" w:cstheme="minorHAnsi"/>
                <w:color w:val="000000"/>
                <w:sz w:val="16"/>
                <w:szCs w:val="16"/>
              </w:rPr>
              <w:t>2,779</w:t>
            </w:r>
          </w:p>
        </w:tc>
        <w:tc>
          <w:tcPr>
            <w:tcW w:w="149" w:type="pct"/>
            <w:tcMar>
              <w:left w:w="0" w:type="dxa"/>
              <w:right w:w="43" w:type="dxa"/>
            </w:tcMar>
            <w:vAlign w:val="center"/>
          </w:tcPr>
          <w:p w:rsidRPr="009055A9" w:rsidR="0023718B" w:rsidP="000E31AA" w:rsidRDefault="0023718B" w14:paraId="7F24A45D" w14:textId="63E71564">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97" w:type="pct"/>
            <w:tcMar>
              <w:left w:w="0" w:type="dxa"/>
              <w:right w:w="43" w:type="dxa"/>
            </w:tcMar>
            <w:vAlign w:val="center"/>
          </w:tcPr>
          <w:p w:rsidRPr="009055A9" w:rsidR="0023718B" w:rsidP="000E31AA" w:rsidRDefault="0023718B" w14:paraId="71A38019" w14:textId="332C8A5A">
            <w:pPr>
              <w:jc w:val="right"/>
              <w:rPr>
                <w:rFonts w:asciiTheme="minorHAnsi" w:hAnsiTheme="minorHAnsi" w:cstheme="minorHAnsi"/>
                <w:sz w:val="16"/>
                <w:szCs w:val="16"/>
              </w:rPr>
            </w:pPr>
            <w:r w:rsidRPr="009055A9">
              <w:rPr>
                <w:rFonts w:asciiTheme="minorHAnsi" w:hAnsiTheme="minorHAnsi" w:cstheme="minorHAnsi"/>
                <w:color w:val="000000"/>
                <w:sz w:val="16"/>
                <w:szCs w:val="16"/>
              </w:rPr>
              <w:t>1,503</w:t>
            </w:r>
          </w:p>
        </w:tc>
        <w:tc>
          <w:tcPr>
            <w:tcW w:w="148" w:type="pct"/>
            <w:tcMar>
              <w:left w:w="0" w:type="dxa"/>
              <w:right w:w="43" w:type="dxa"/>
            </w:tcMar>
            <w:vAlign w:val="center"/>
          </w:tcPr>
          <w:p w:rsidRPr="009055A9" w:rsidR="0023718B" w:rsidP="000E31AA" w:rsidRDefault="0023718B" w14:paraId="0E220BE9" w14:textId="4EC45D2F">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96" w:type="pct"/>
            <w:tcMar>
              <w:left w:w="0" w:type="dxa"/>
              <w:right w:w="43" w:type="dxa"/>
            </w:tcMar>
            <w:vAlign w:val="center"/>
          </w:tcPr>
          <w:p w:rsidRPr="009055A9" w:rsidR="0023718B" w:rsidP="000E31AA" w:rsidRDefault="0023718B" w14:paraId="6D150413" w14:textId="5E37C0A5">
            <w:pPr>
              <w:jc w:val="right"/>
              <w:rPr>
                <w:rFonts w:asciiTheme="minorHAnsi" w:hAnsiTheme="minorHAnsi" w:cstheme="minorHAnsi"/>
                <w:sz w:val="16"/>
                <w:szCs w:val="16"/>
              </w:rPr>
            </w:pPr>
            <w:r w:rsidRPr="009055A9">
              <w:rPr>
                <w:rFonts w:asciiTheme="minorHAnsi" w:hAnsiTheme="minorHAnsi" w:cstheme="minorHAnsi"/>
                <w:color w:val="000000"/>
                <w:sz w:val="16"/>
                <w:szCs w:val="16"/>
              </w:rPr>
              <w:t>2,346</w:t>
            </w:r>
          </w:p>
        </w:tc>
        <w:tc>
          <w:tcPr>
            <w:tcW w:w="143" w:type="pct"/>
            <w:tcMar>
              <w:left w:w="0" w:type="dxa"/>
              <w:right w:w="43" w:type="dxa"/>
            </w:tcMar>
            <w:vAlign w:val="center"/>
          </w:tcPr>
          <w:p w:rsidRPr="009055A9" w:rsidR="0023718B" w:rsidP="000E31AA" w:rsidRDefault="0023718B" w14:paraId="7F78B782" w14:textId="1BE65B5A">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8" w:type="pct"/>
            <w:shd w:val="clear" w:color="000000" w:fill="FFFFFF"/>
            <w:noWrap/>
            <w:tcMar>
              <w:left w:w="0" w:type="dxa"/>
              <w:right w:w="43" w:type="dxa"/>
            </w:tcMar>
            <w:vAlign w:val="center"/>
          </w:tcPr>
          <w:p w:rsidRPr="003148DB" w:rsidR="0023718B" w:rsidP="000E31AA" w:rsidRDefault="0023718B" w14:paraId="45ACD15A" w14:textId="77F00202">
            <w:pPr>
              <w:jc w:val="right"/>
              <w:rPr>
                <w:rFonts w:asciiTheme="minorHAnsi" w:hAnsiTheme="minorHAnsi" w:cstheme="minorHAnsi"/>
                <w:sz w:val="16"/>
                <w:szCs w:val="16"/>
              </w:rPr>
            </w:pPr>
            <w:r w:rsidRPr="003148DB">
              <w:rPr>
                <w:rFonts w:asciiTheme="minorHAnsi" w:hAnsiTheme="minorHAnsi" w:cstheme="minorHAnsi"/>
                <w:color w:val="000000"/>
                <w:sz w:val="16"/>
                <w:szCs w:val="16"/>
              </w:rPr>
              <w:t>1,606</w:t>
            </w:r>
          </w:p>
        </w:tc>
        <w:tc>
          <w:tcPr>
            <w:tcW w:w="151" w:type="pct"/>
            <w:shd w:val="clear" w:color="000000" w:fill="FFFFFF"/>
            <w:noWrap/>
            <w:tcMar>
              <w:left w:w="0" w:type="dxa"/>
              <w:right w:w="43" w:type="dxa"/>
            </w:tcMar>
            <w:vAlign w:val="center"/>
          </w:tcPr>
          <w:p w:rsidRPr="003148DB" w:rsidR="0023718B" w:rsidP="000E31AA" w:rsidRDefault="0023718B" w14:paraId="11E83959" w14:textId="4D8A116B">
            <w:pPr>
              <w:jc w:val="right"/>
              <w:rPr>
                <w:rFonts w:asciiTheme="minorHAnsi" w:hAnsiTheme="minorHAnsi" w:cstheme="minorHAnsi"/>
                <w:sz w:val="16"/>
                <w:szCs w:val="16"/>
              </w:rPr>
            </w:pPr>
            <w:r w:rsidRPr="003148DB">
              <w:rPr>
                <w:rFonts w:asciiTheme="minorHAnsi" w:hAnsiTheme="minorHAnsi" w:cstheme="minorHAnsi"/>
                <w:color w:val="000000"/>
                <w:sz w:val="16"/>
                <w:szCs w:val="16"/>
              </w:rPr>
              <w:t>7.5</w:t>
            </w:r>
          </w:p>
        </w:tc>
      </w:tr>
      <w:tr w:rsidRPr="003148DB" w:rsidR="0023718B" w:rsidTr="000D41FC" w14:paraId="3E31F6EE" w14:textId="77777777">
        <w:trPr>
          <w:trHeight w:val="261"/>
        </w:trPr>
        <w:tc>
          <w:tcPr>
            <w:tcW w:w="268" w:type="pct"/>
            <w:vMerge/>
            <w:shd w:val="clear" w:color="auto" w:fill="auto"/>
            <w:noWrap/>
            <w:tcMar>
              <w:left w:w="58" w:type="dxa"/>
              <w:right w:w="58" w:type="dxa"/>
            </w:tcMar>
            <w:vAlign w:val="center"/>
            <w:hideMark/>
          </w:tcPr>
          <w:p w:rsidRPr="00196D17" w:rsidR="0023718B" w:rsidP="000E31AA" w:rsidRDefault="0023718B" w14:paraId="59DC774F"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79D9F9B2" w14:textId="3586C3DD">
            <w:pPr>
              <w:rPr>
                <w:rFonts w:asciiTheme="minorHAnsi" w:hAnsiTheme="minorHAnsi" w:cstheme="minorHAnsi"/>
                <w:sz w:val="16"/>
                <w:szCs w:val="16"/>
              </w:rPr>
            </w:pPr>
            <w:r w:rsidRPr="009055A9">
              <w:rPr>
                <w:rFonts w:asciiTheme="minorHAnsi" w:hAnsiTheme="minorHAnsi" w:cstheme="minorHAnsi"/>
                <w:color w:val="000000"/>
                <w:sz w:val="16"/>
                <w:szCs w:val="16"/>
              </w:rPr>
              <w:t>Energy Northwest</w:t>
            </w:r>
          </w:p>
        </w:tc>
        <w:tc>
          <w:tcPr>
            <w:tcW w:w="321" w:type="pct"/>
            <w:shd w:val="clear" w:color="auto" w:fill="auto"/>
            <w:noWrap/>
            <w:tcMar>
              <w:left w:w="58" w:type="dxa"/>
              <w:right w:w="29" w:type="dxa"/>
            </w:tcMar>
            <w:vAlign w:val="center"/>
            <w:hideMark/>
          </w:tcPr>
          <w:p w:rsidRPr="009055A9" w:rsidR="0023718B" w:rsidP="000E31AA" w:rsidRDefault="0023718B" w14:paraId="3A4D265D" w14:textId="4D8EE4FD">
            <w:pPr>
              <w:rPr>
                <w:rFonts w:asciiTheme="minorHAnsi" w:hAnsiTheme="minorHAnsi" w:cstheme="minorHAnsi"/>
                <w:sz w:val="16"/>
                <w:szCs w:val="16"/>
              </w:rPr>
            </w:pPr>
            <w:r w:rsidRPr="009055A9">
              <w:rPr>
                <w:rFonts w:asciiTheme="minorHAnsi" w:hAnsiTheme="minorHAnsi" w:cstheme="minorHAnsi"/>
                <w:color w:val="000000"/>
                <w:sz w:val="16"/>
                <w:szCs w:val="16"/>
              </w:rPr>
              <w:t>Columbia</w:t>
            </w:r>
          </w:p>
        </w:tc>
        <w:tc>
          <w:tcPr>
            <w:tcW w:w="123" w:type="pct"/>
            <w:shd w:val="clear" w:color="auto" w:fill="auto"/>
            <w:noWrap/>
            <w:tcMar>
              <w:left w:w="58" w:type="dxa"/>
              <w:right w:w="58" w:type="dxa"/>
            </w:tcMar>
            <w:vAlign w:val="center"/>
            <w:hideMark/>
          </w:tcPr>
          <w:p w:rsidRPr="009055A9" w:rsidR="0023718B" w:rsidP="000E31AA" w:rsidRDefault="0023718B" w14:paraId="3CC58BA3" w14:textId="061426C9">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018ABB7E" w14:textId="56916499">
            <w:pPr>
              <w:jc w:val="right"/>
              <w:rPr>
                <w:rFonts w:asciiTheme="minorHAnsi" w:hAnsiTheme="minorHAnsi" w:cstheme="minorHAnsi"/>
                <w:sz w:val="16"/>
                <w:szCs w:val="16"/>
              </w:rPr>
            </w:pPr>
            <w:r w:rsidRPr="009055A9">
              <w:rPr>
                <w:rFonts w:asciiTheme="minorHAnsi" w:hAnsiTheme="minorHAnsi" w:cstheme="minorHAnsi"/>
                <w:color w:val="000000"/>
                <w:sz w:val="16"/>
                <w:szCs w:val="16"/>
              </w:rPr>
              <w:t>3,209</w:t>
            </w:r>
          </w:p>
        </w:tc>
        <w:tc>
          <w:tcPr>
            <w:tcW w:w="123" w:type="pct"/>
            <w:shd w:val="clear" w:color="auto" w:fill="auto"/>
            <w:noWrap/>
            <w:tcMar>
              <w:left w:w="0" w:type="dxa"/>
              <w:right w:w="43" w:type="dxa"/>
            </w:tcMar>
            <w:vAlign w:val="center"/>
            <w:hideMark/>
          </w:tcPr>
          <w:p w:rsidRPr="009055A9" w:rsidR="0023718B" w:rsidP="000E31AA" w:rsidRDefault="0023718B" w14:paraId="42478AFE" w14:textId="33C3F756">
            <w:pPr>
              <w:jc w:val="right"/>
              <w:rPr>
                <w:rFonts w:asciiTheme="minorHAnsi" w:hAnsiTheme="minorHAnsi" w:cstheme="minorHAnsi"/>
                <w:sz w:val="16"/>
                <w:szCs w:val="16"/>
              </w:rPr>
            </w:pPr>
            <w:r w:rsidRPr="009055A9">
              <w:rPr>
                <w:rFonts w:asciiTheme="minorHAnsi" w:hAnsiTheme="minorHAnsi" w:cstheme="minorHAnsi"/>
                <w:color w:val="000000"/>
                <w:sz w:val="16"/>
                <w:szCs w:val="16"/>
              </w:rPr>
              <w:t>29</w:t>
            </w:r>
          </w:p>
        </w:tc>
        <w:tc>
          <w:tcPr>
            <w:tcW w:w="170" w:type="pct"/>
            <w:shd w:val="clear" w:color="auto" w:fill="auto"/>
            <w:noWrap/>
            <w:tcMar>
              <w:left w:w="0" w:type="dxa"/>
              <w:right w:w="43" w:type="dxa"/>
            </w:tcMar>
            <w:vAlign w:val="center"/>
            <w:hideMark/>
          </w:tcPr>
          <w:p w:rsidRPr="009055A9" w:rsidR="0023718B" w:rsidP="000E31AA" w:rsidRDefault="0023718B" w14:paraId="4DAC1148" w14:textId="5E42AB3C">
            <w:pPr>
              <w:jc w:val="right"/>
              <w:rPr>
                <w:rFonts w:asciiTheme="minorHAnsi" w:hAnsiTheme="minorHAnsi" w:cstheme="minorHAnsi"/>
                <w:sz w:val="16"/>
                <w:szCs w:val="16"/>
              </w:rPr>
            </w:pPr>
            <w:r w:rsidRPr="009055A9">
              <w:rPr>
                <w:rFonts w:asciiTheme="minorHAnsi" w:hAnsiTheme="minorHAnsi" w:cstheme="minorHAnsi"/>
                <w:color w:val="000000"/>
                <w:sz w:val="16"/>
                <w:szCs w:val="16"/>
              </w:rPr>
              <w:t>1,494</w:t>
            </w:r>
          </w:p>
        </w:tc>
        <w:tc>
          <w:tcPr>
            <w:tcW w:w="125" w:type="pct"/>
            <w:shd w:val="clear" w:color="auto" w:fill="auto"/>
            <w:noWrap/>
            <w:tcMar>
              <w:left w:w="0" w:type="dxa"/>
              <w:right w:w="43" w:type="dxa"/>
            </w:tcMar>
            <w:vAlign w:val="center"/>
            <w:hideMark/>
          </w:tcPr>
          <w:p w:rsidRPr="009055A9" w:rsidR="0023718B" w:rsidP="000E31AA" w:rsidRDefault="0023718B" w14:paraId="5D1FE8BF" w14:textId="00B50FF5">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72" w:type="pct"/>
            <w:shd w:val="clear" w:color="auto" w:fill="auto"/>
            <w:noWrap/>
            <w:tcMar>
              <w:left w:w="0" w:type="dxa"/>
              <w:right w:w="43" w:type="dxa"/>
            </w:tcMar>
            <w:vAlign w:val="center"/>
            <w:hideMark/>
          </w:tcPr>
          <w:p w:rsidRPr="009055A9" w:rsidR="0023718B" w:rsidP="000E31AA" w:rsidRDefault="0023718B" w14:paraId="2C30CF50" w14:textId="3E74B910">
            <w:pPr>
              <w:jc w:val="right"/>
              <w:rPr>
                <w:rFonts w:asciiTheme="minorHAnsi" w:hAnsiTheme="minorHAnsi" w:cstheme="minorHAnsi"/>
                <w:sz w:val="16"/>
                <w:szCs w:val="16"/>
              </w:rPr>
            </w:pPr>
            <w:r w:rsidRPr="009055A9">
              <w:rPr>
                <w:rFonts w:asciiTheme="minorHAnsi" w:hAnsiTheme="minorHAnsi" w:cstheme="minorHAnsi"/>
                <w:color w:val="000000"/>
                <w:sz w:val="16"/>
                <w:szCs w:val="16"/>
              </w:rPr>
              <w:t>3,835</w:t>
            </w:r>
          </w:p>
        </w:tc>
        <w:tc>
          <w:tcPr>
            <w:tcW w:w="123" w:type="pct"/>
            <w:shd w:val="clear" w:color="auto" w:fill="auto"/>
            <w:noWrap/>
            <w:tcMar>
              <w:left w:w="0" w:type="dxa"/>
              <w:right w:w="43" w:type="dxa"/>
            </w:tcMar>
            <w:vAlign w:val="center"/>
            <w:hideMark/>
          </w:tcPr>
          <w:p w:rsidRPr="009055A9" w:rsidR="0023718B" w:rsidP="000E31AA" w:rsidRDefault="0023718B" w14:paraId="678E076D" w14:textId="6ED6ECC3">
            <w:pPr>
              <w:jc w:val="right"/>
              <w:rPr>
                <w:rFonts w:asciiTheme="minorHAnsi" w:hAnsiTheme="minorHAnsi" w:cstheme="minorHAnsi"/>
                <w:sz w:val="16"/>
                <w:szCs w:val="16"/>
              </w:rPr>
            </w:pPr>
            <w:r w:rsidRPr="009055A9">
              <w:rPr>
                <w:rFonts w:asciiTheme="minorHAnsi" w:hAnsiTheme="minorHAnsi" w:cstheme="minorHAnsi"/>
                <w:color w:val="000000"/>
                <w:sz w:val="16"/>
                <w:szCs w:val="16"/>
              </w:rPr>
              <w:t>32</w:t>
            </w:r>
          </w:p>
        </w:tc>
        <w:tc>
          <w:tcPr>
            <w:tcW w:w="194" w:type="pct"/>
            <w:shd w:val="clear" w:color="auto" w:fill="auto"/>
            <w:noWrap/>
            <w:tcMar>
              <w:left w:w="0" w:type="dxa"/>
              <w:right w:w="43" w:type="dxa"/>
            </w:tcMar>
            <w:vAlign w:val="center"/>
            <w:hideMark/>
          </w:tcPr>
          <w:p w:rsidRPr="009055A9" w:rsidR="0023718B" w:rsidP="000E31AA" w:rsidRDefault="0023718B" w14:paraId="4EBFD8DB" w14:textId="02B73144">
            <w:pPr>
              <w:jc w:val="right"/>
              <w:rPr>
                <w:rFonts w:asciiTheme="minorHAnsi" w:hAnsiTheme="minorHAnsi" w:cstheme="minorHAnsi"/>
                <w:sz w:val="16"/>
                <w:szCs w:val="16"/>
              </w:rPr>
            </w:pPr>
            <w:r w:rsidRPr="009055A9">
              <w:rPr>
                <w:rFonts w:asciiTheme="minorHAnsi" w:hAnsiTheme="minorHAnsi" w:cstheme="minorHAnsi"/>
                <w:color w:val="000000"/>
                <w:sz w:val="16"/>
                <w:szCs w:val="16"/>
              </w:rPr>
              <w:t>1,171</w:t>
            </w:r>
          </w:p>
        </w:tc>
        <w:tc>
          <w:tcPr>
            <w:tcW w:w="123" w:type="pct"/>
            <w:shd w:val="clear" w:color="auto" w:fill="auto"/>
            <w:noWrap/>
            <w:tcMar>
              <w:left w:w="0" w:type="dxa"/>
              <w:right w:w="43" w:type="dxa"/>
            </w:tcMar>
            <w:vAlign w:val="center"/>
            <w:hideMark/>
          </w:tcPr>
          <w:p w:rsidRPr="009055A9" w:rsidR="0023718B" w:rsidP="000E31AA" w:rsidRDefault="0023718B" w14:paraId="30EF37DB" w14:textId="46423A47">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97" w:type="pct"/>
            <w:shd w:val="clear" w:color="auto" w:fill="auto"/>
            <w:noWrap/>
            <w:tcMar>
              <w:left w:w="0" w:type="dxa"/>
              <w:right w:w="43" w:type="dxa"/>
            </w:tcMar>
            <w:vAlign w:val="center"/>
            <w:hideMark/>
          </w:tcPr>
          <w:p w:rsidRPr="009055A9" w:rsidR="0023718B" w:rsidP="000E31AA" w:rsidRDefault="0023718B" w14:paraId="643E8E6B" w14:textId="41C2A5E8">
            <w:pPr>
              <w:jc w:val="right"/>
              <w:rPr>
                <w:rFonts w:asciiTheme="minorHAnsi" w:hAnsiTheme="minorHAnsi" w:cstheme="minorHAnsi"/>
                <w:sz w:val="16"/>
                <w:szCs w:val="16"/>
              </w:rPr>
            </w:pPr>
            <w:r w:rsidRPr="009055A9">
              <w:rPr>
                <w:rFonts w:asciiTheme="minorHAnsi" w:hAnsiTheme="minorHAnsi" w:cstheme="minorHAnsi"/>
                <w:color w:val="000000"/>
                <w:sz w:val="16"/>
                <w:szCs w:val="16"/>
              </w:rPr>
              <w:t>2,083</w:t>
            </w:r>
          </w:p>
        </w:tc>
        <w:tc>
          <w:tcPr>
            <w:tcW w:w="125" w:type="pct"/>
            <w:shd w:val="clear" w:color="auto" w:fill="auto"/>
            <w:noWrap/>
            <w:tcMar>
              <w:left w:w="0" w:type="dxa"/>
              <w:right w:w="43" w:type="dxa"/>
            </w:tcMar>
            <w:vAlign w:val="center"/>
            <w:hideMark/>
          </w:tcPr>
          <w:p w:rsidRPr="009055A9" w:rsidR="0023718B" w:rsidP="000E31AA" w:rsidRDefault="0023718B" w14:paraId="4EEA921C" w14:textId="7CEC7023">
            <w:pPr>
              <w:jc w:val="right"/>
              <w:rPr>
                <w:rFonts w:asciiTheme="minorHAnsi" w:hAnsiTheme="minorHAnsi" w:cstheme="minorHAnsi"/>
                <w:sz w:val="16"/>
                <w:szCs w:val="16"/>
              </w:rPr>
            </w:pPr>
            <w:r w:rsidRPr="009055A9">
              <w:rPr>
                <w:rFonts w:asciiTheme="minorHAnsi" w:hAnsiTheme="minorHAnsi" w:cstheme="minorHAnsi"/>
                <w:color w:val="000000"/>
                <w:sz w:val="16"/>
                <w:szCs w:val="16"/>
              </w:rPr>
              <w:t>23</w:t>
            </w:r>
          </w:p>
        </w:tc>
        <w:tc>
          <w:tcPr>
            <w:tcW w:w="170" w:type="pct"/>
            <w:shd w:val="clear" w:color="auto" w:fill="auto"/>
            <w:noWrap/>
            <w:tcMar>
              <w:left w:w="0" w:type="dxa"/>
              <w:right w:w="43" w:type="dxa"/>
            </w:tcMar>
            <w:vAlign w:val="center"/>
            <w:hideMark/>
          </w:tcPr>
          <w:p w:rsidRPr="009055A9" w:rsidR="0023718B" w:rsidP="000E31AA" w:rsidRDefault="0023718B" w14:paraId="17F423F3" w14:textId="5B2D358C">
            <w:pPr>
              <w:jc w:val="right"/>
              <w:rPr>
                <w:rFonts w:asciiTheme="minorHAnsi" w:hAnsiTheme="minorHAnsi" w:cstheme="minorHAnsi"/>
                <w:sz w:val="16"/>
                <w:szCs w:val="16"/>
              </w:rPr>
            </w:pPr>
            <w:r w:rsidRPr="009055A9">
              <w:rPr>
                <w:rFonts w:asciiTheme="minorHAnsi" w:hAnsiTheme="minorHAnsi" w:cstheme="minorHAnsi"/>
                <w:color w:val="000000"/>
                <w:sz w:val="16"/>
                <w:szCs w:val="16"/>
              </w:rPr>
              <w:t>1,354</w:t>
            </w:r>
          </w:p>
        </w:tc>
        <w:tc>
          <w:tcPr>
            <w:tcW w:w="148" w:type="pct"/>
            <w:shd w:val="clear" w:color="auto" w:fill="auto"/>
            <w:noWrap/>
            <w:tcMar>
              <w:left w:w="0" w:type="dxa"/>
              <w:right w:w="43" w:type="dxa"/>
            </w:tcMar>
            <w:vAlign w:val="center"/>
            <w:hideMark/>
          </w:tcPr>
          <w:p w:rsidRPr="009055A9" w:rsidR="0023718B" w:rsidP="000E31AA" w:rsidRDefault="0023718B" w14:paraId="0C13EAB6" w14:textId="7ECE1715">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72" w:type="pct"/>
            <w:tcMar>
              <w:left w:w="0" w:type="dxa"/>
              <w:right w:w="43" w:type="dxa"/>
            </w:tcMar>
            <w:vAlign w:val="center"/>
          </w:tcPr>
          <w:p w:rsidRPr="009055A9" w:rsidR="0023718B" w:rsidP="000E31AA" w:rsidRDefault="0023718B" w14:paraId="60C33A48" w14:textId="43587B23">
            <w:pPr>
              <w:jc w:val="right"/>
              <w:rPr>
                <w:rFonts w:asciiTheme="minorHAnsi" w:hAnsiTheme="minorHAnsi" w:cstheme="minorHAnsi"/>
                <w:sz w:val="16"/>
                <w:szCs w:val="16"/>
              </w:rPr>
            </w:pPr>
            <w:r w:rsidRPr="009055A9">
              <w:rPr>
                <w:rFonts w:asciiTheme="minorHAnsi" w:hAnsiTheme="minorHAnsi" w:cstheme="minorHAnsi"/>
                <w:color w:val="000000"/>
                <w:sz w:val="16"/>
                <w:szCs w:val="16"/>
              </w:rPr>
              <w:t>2,262</w:t>
            </w:r>
          </w:p>
        </w:tc>
        <w:tc>
          <w:tcPr>
            <w:tcW w:w="124" w:type="pct"/>
            <w:tcMar>
              <w:left w:w="0" w:type="dxa"/>
              <w:right w:w="43" w:type="dxa"/>
            </w:tcMar>
            <w:vAlign w:val="center"/>
          </w:tcPr>
          <w:p w:rsidRPr="009055A9" w:rsidR="0023718B" w:rsidP="000E31AA" w:rsidRDefault="0023718B" w14:paraId="4026CA7A" w14:textId="3478C6F5">
            <w:pPr>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73" w:type="pct"/>
            <w:tcMar>
              <w:left w:w="0" w:type="dxa"/>
              <w:right w:w="43" w:type="dxa"/>
            </w:tcMar>
            <w:vAlign w:val="center"/>
          </w:tcPr>
          <w:p w:rsidRPr="009055A9" w:rsidR="0023718B" w:rsidP="000E31AA" w:rsidRDefault="0023718B" w14:paraId="3FE4C182" w14:textId="1875654C">
            <w:pPr>
              <w:jc w:val="right"/>
              <w:rPr>
                <w:rFonts w:asciiTheme="minorHAnsi" w:hAnsiTheme="minorHAnsi" w:cstheme="minorHAnsi"/>
                <w:sz w:val="16"/>
                <w:szCs w:val="16"/>
              </w:rPr>
            </w:pPr>
            <w:r w:rsidRPr="009055A9">
              <w:rPr>
                <w:rFonts w:asciiTheme="minorHAnsi" w:hAnsiTheme="minorHAnsi" w:cstheme="minorHAnsi"/>
                <w:color w:val="000000"/>
                <w:sz w:val="16"/>
                <w:szCs w:val="16"/>
              </w:rPr>
              <w:t>1,260</w:t>
            </w:r>
          </w:p>
        </w:tc>
        <w:tc>
          <w:tcPr>
            <w:tcW w:w="146" w:type="pct"/>
            <w:tcMar>
              <w:left w:w="0" w:type="dxa"/>
              <w:right w:w="43" w:type="dxa"/>
            </w:tcMar>
            <w:vAlign w:val="center"/>
          </w:tcPr>
          <w:p w:rsidRPr="009055A9" w:rsidR="0023718B" w:rsidP="000E31AA" w:rsidRDefault="0023718B" w14:paraId="7DC5C2BD" w14:textId="6ABBC23D">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5" w:type="pct"/>
            <w:tcMar>
              <w:left w:w="0" w:type="dxa"/>
              <w:right w:w="43" w:type="dxa"/>
            </w:tcMar>
            <w:vAlign w:val="center"/>
          </w:tcPr>
          <w:p w:rsidRPr="009055A9" w:rsidR="0023718B" w:rsidP="000E31AA" w:rsidRDefault="0023718B" w14:paraId="5161696D" w14:textId="40178FC0">
            <w:pPr>
              <w:jc w:val="right"/>
              <w:rPr>
                <w:rFonts w:asciiTheme="minorHAnsi" w:hAnsiTheme="minorHAnsi" w:cstheme="minorHAnsi"/>
                <w:sz w:val="16"/>
                <w:szCs w:val="16"/>
              </w:rPr>
            </w:pPr>
            <w:r w:rsidRPr="009055A9">
              <w:rPr>
                <w:rFonts w:asciiTheme="minorHAnsi" w:hAnsiTheme="minorHAnsi" w:cstheme="minorHAnsi"/>
                <w:color w:val="000000"/>
                <w:sz w:val="16"/>
                <w:szCs w:val="16"/>
              </w:rPr>
              <w:t>2,144</w:t>
            </w:r>
          </w:p>
        </w:tc>
        <w:tc>
          <w:tcPr>
            <w:tcW w:w="149" w:type="pct"/>
            <w:tcMar>
              <w:left w:w="0" w:type="dxa"/>
              <w:right w:w="43" w:type="dxa"/>
            </w:tcMar>
            <w:vAlign w:val="center"/>
          </w:tcPr>
          <w:p w:rsidRPr="009055A9" w:rsidR="0023718B" w:rsidP="000E31AA" w:rsidRDefault="0023718B" w14:paraId="67286FF5" w14:textId="62F2A0AC">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97" w:type="pct"/>
            <w:tcMar>
              <w:left w:w="0" w:type="dxa"/>
              <w:right w:w="43" w:type="dxa"/>
            </w:tcMar>
            <w:vAlign w:val="center"/>
          </w:tcPr>
          <w:p w:rsidRPr="009055A9" w:rsidR="0023718B" w:rsidP="000E31AA" w:rsidRDefault="0023718B" w14:paraId="575DBFBD" w14:textId="110AE438">
            <w:pPr>
              <w:jc w:val="right"/>
              <w:rPr>
                <w:rFonts w:asciiTheme="minorHAnsi" w:hAnsiTheme="minorHAnsi" w:cstheme="minorHAnsi"/>
                <w:sz w:val="16"/>
                <w:szCs w:val="16"/>
              </w:rPr>
            </w:pPr>
            <w:r w:rsidRPr="009055A9">
              <w:rPr>
                <w:rFonts w:asciiTheme="minorHAnsi" w:hAnsiTheme="minorHAnsi" w:cstheme="minorHAnsi"/>
                <w:color w:val="000000"/>
                <w:sz w:val="16"/>
                <w:szCs w:val="16"/>
              </w:rPr>
              <w:t>1,233</w:t>
            </w:r>
          </w:p>
        </w:tc>
        <w:tc>
          <w:tcPr>
            <w:tcW w:w="148" w:type="pct"/>
            <w:tcMar>
              <w:left w:w="0" w:type="dxa"/>
              <w:right w:w="43" w:type="dxa"/>
            </w:tcMar>
            <w:vAlign w:val="center"/>
          </w:tcPr>
          <w:p w:rsidRPr="009055A9" w:rsidR="0023718B" w:rsidP="000E31AA" w:rsidRDefault="0023718B" w14:paraId="708553DC" w14:textId="69E1E3E0">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6" w:type="pct"/>
            <w:tcMar>
              <w:left w:w="0" w:type="dxa"/>
              <w:right w:w="43" w:type="dxa"/>
            </w:tcMar>
            <w:vAlign w:val="center"/>
          </w:tcPr>
          <w:p w:rsidRPr="009055A9" w:rsidR="0023718B" w:rsidP="000E31AA" w:rsidRDefault="0023718B" w14:paraId="0FD4BD48" w14:textId="19EFF6AC">
            <w:pPr>
              <w:jc w:val="right"/>
              <w:rPr>
                <w:rFonts w:asciiTheme="minorHAnsi" w:hAnsiTheme="minorHAnsi" w:cstheme="minorHAnsi"/>
                <w:sz w:val="16"/>
                <w:szCs w:val="16"/>
              </w:rPr>
            </w:pPr>
            <w:r w:rsidRPr="009055A9">
              <w:rPr>
                <w:rFonts w:asciiTheme="minorHAnsi" w:hAnsiTheme="minorHAnsi" w:cstheme="minorHAnsi"/>
                <w:color w:val="000000"/>
                <w:sz w:val="16"/>
                <w:szCs w:val="16"/>
              </w:rPr>
              <w:t>1,925</w:t>
            </w:r>
          </w:p>
        </w:tc>
        <w:tc>
          <w:tcPr>
            <w:tcW w:w="143" w:type="pct"/>
            <w:tcMar>
              <w:left w:w="0" w:type="dxa"/>
              <w:right w:w="43" w:type="dxa"/>
            </w:tcMar>
            <w:vAlign w:val="center"/>
          </w:tcPr>
          <w:p w:rsidRPr="009055A9" w:rsidR="0023718B" w:rsidP="000E31AA" w:rsidRDefault="0023718B" w14:paraId="543D728B" w14:textId="25D6E659">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8" w:type="pct"/>
            <w:shd w:val="clear" w:color="auto" w:fill="auto"/>
            <w:noWrap/>
            <w:tcMar>
              <w:left w:w="0" w:type="dxa"/>
              <w:right w:w="43" w:type="dxa"/>
            </w:tcMar>
            <w:vAlign w:val="center"/>
          </w:tcPr>
          <w:p w:rsidRPr="003148DB" w:rsidR="0023718B" w:rsidP="000E31AA" w:rsidRDefault="0023718B" w14:paraId="731FFBE4" w14:textId="44CB181A">
            <w:pPr>
              <w:jc w:val="right"/>
              <w:rPr>
                <w:rFonts w:asciiTheme="minorHAnsi" w:hAnsiTheme="minorHAnsi" w:cstheme="minorHAnsi"/>
                <w:sz w:val="16"/>
                <w:szCs w:val="16"/>
              </w:rPr>
            </w:pPr>
            <w:r w:rsidRPr="003148DB">
              <w:rPr>
                <w:rFonts w:asciiTheme="minorHAnsi" w:hAnsiTheme="minorHAnsi" w:cstheme="minorHAnsi"/>
                <w:color w:val="000000"/>
                <w:sz w:val="16"/>
                <w:szCs w:val="16"/>
              </w:rPr>
              <w:t>1,997</w:t>
            </w:r>
          </w:p>
        </w:tc>
        <w:tc>
          <w:tcPr>
            <w:tcW w:w="151" w:type="pct"/>
            <w:shd w:val="clear" w:color="auto" w:fill="auto"/>
            <w:noWrap/>
            <w:tcMar>
              <w:left w:w="0" w:type="dxa"/>
              <w:right w:w="43" w:type="dxa"/>
            </w:tcMar>
            <w:vAlign w:val="center"/>
          </w:tcPr>
          <w:p w:rsidRPr="003148DB" w:rsidR="0023718B" w:rsidP="000E31AA" w:rsidRDefault="0023718B" w14:paraId="2D0F4760" w14:textId="3E687C4E">
            <w:pPr>
              <w:jc w:val="right"/>
              <w:rPr>
                <w:rFonts w:asciiTheme="minorHAnsi" w:hAnsiTheme="minorHAnsi" w:cstheme="minorHAnsi"/>
                <w:sz w:val="16"/>
                <w:szCs w:val="16"/>
              </w:rPr>
            </w:pPr>
            <w:r w:rsidRPr="003148DB">
              <w:rPr>
                <w:rFonts w:asciiTheme="minorHAnsi" w:hAnsiTheme="minorHAnsi" w:cstheme="minorHAnsi"/>
                <w:color w:val="000000"/>
                <w:sz w:val="16"/>
                <w:szCs w:val="16"/>
              </w:rPr>
              <w:t>15.5</w:t>
            </w:r>
          </w:p>
        </w:tc>
      </w:tr>
      <w:tr w:rsidRPr="003148DB" w:rsidR="0023718B" w:rsidTr="000D41FC" w14:paraId="3B517F6C"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1DDAE620"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71BB0F0C" w14:textId="44DA1EC0">
            <w:pPr>
              <w:rPr>
                <w:rFonts w:asciiTheme="minorHAnsi" w:hAnsiTheme="minorHAnsi" w:cstheme="minorHAnsi"/>
                <w:sz w:val="16"/>
                <w:szCs w:val="16"/>
              </w:rPr>
            </w:pPr>
            <w:r w:rsidRPr="009055A9">
              <w:rPr>
                <w:rFonts w:asciiTheme="minorHAnsi" w:hAnsiTheme="minorHAnsi" w:cstheme="minorHAnsi"/>
                <w:color w:val="000000"/>
                <w:sz w:val="16"/>
                <w:szCs w:val="16"/>
              </w:rPr>
              <w:t>Nebraska Public Power District</w:t>
            </w:r>
          </w:p>
        </w:tc>
        <w:tc>
          <w:tcPr>
            <w:tcW w:w="321" w:type="pct"/>
            <w:shd w:val="clear" w:color="auto" w:fill="auto"/>
            <w:noWrap/>
            <w:tcMar>
              <w:left w:w="58" w:type="dxa"/>
              <w:right w:w="29" w:type="dxa"/>
            </w:tcMar>
            <w:vAlign w:val="center"/>
            <w:hideMark/>
          </w:tcPr>
          <w:p w:rsidRPr="009055A9" w:rsidR="0023718B" w:rsidP="000E31AA" w:rsidRDefault="0023718B" w14:paraId="303D2CC2" w14:textId="78001F61">
            <w:pPr>
              <w:rPr>
                <w:rFonts w:asciiTheme="minorHAnsi" w:hAnsiTheme="minorHAnsi" w:cstheme="minorHAnsi"/>
                <w:sz w:val="16"/>
                <w:szCs w:val="16"/>
              </w:rPr>
            </w:pPr>
            <w:r w:rsidRPr="009055A9">
              <w:rPr>
                <w:rFonts w:asciiTheme="minorHAnsi" w:hAnsiTheme="minorHAnsi" w:cstheme="minorHAnsi"/>
                <w:color w:val="000000"/>
                <w:sz w:val="16"/>
                <w:szCs w:val="16"/>
              </w:rPr>
              <w:t>Cooper</w:t>
            </w:r>
          </w:p>
        </w:tc>
        <w:tc>
          <w:tcPr>
            <w:tcW w:w="123" w:type="pct"/>
            <w:shd w:val="clear" w:color="auto" w:fill="auto"/>
            <w:noWrap/>
            <w:tcMar>
              <w:left w:w="58" w:type="dxa"/>
              <w:right w:w="58" w:type="dxa"/>
            </w:tcMar>
            <w:vAlign w:val="center"/>
            <w:hideMark/>
          </w:tcPr>
          <w:p w:rsidRPr="009055A9" w:rsidR="0023718B" w:rsidP="000E31AA" w:rsidRDefault="0023718B" w14:paraId="35EAC972" w14:textId="77A6FCDE">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0B3EF262" w14:textId="16253991">
            <w:pPr>
              <w:jc w:val="right"/>
              <w:rPr>
                <w:rFonts w:asciiTheme="minorHAnsi" w:hAnsiTheme="minorHAnsi" w:cstheme="minorHAnsi"/>
                <w:sz w:val="16"/>
                <w:szCs w:val="16"/>
              </w:rPr>
            </w:pPr>
            <w:r w:rsidRPr="009055A9">
              <w:rPr>
                <w:rFonts w:asciiTheme="minorHAnsi" w:hAnsiTheme="minorHAnsi" w:cstheme="minorHAnsi"/>
                <w:color w:val="000000"/>
                <w:sz w:val="16"/>
                <w:szCs w:val="16"/>
              </w:rPr>
              <w:t>2,478</w:t>
            </w:r>
          </w:p>
        </w:tc>
        <w:tc>
          <w:tcPr>
            <w:tcW w:w="123" w:type="pct"/>
            <w:shd w:val="clear" w:color="auto" w:fill="auto"/>
            <w:noWrap/>
            <w:tcMar>
              <w:left w:w="0" w:type="dxa"/>
              <w:right w:w="43" w:type="dxa"/>
            </w:tcMar>
            <w:vAlign w:val="center"/>
            <w:hideMark/>
          </w:tcPr>
          <w:p w:rsidRPr="009055A9" w:rsidR="0023718B" w:rsidP="000E31AA" w:rsidRDefault="0023718B" w14:paraId="08E55686" w14:textId="76E70FF8">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0" w:type="pct"/>
            <w:shd w:val="clear" w:color="auto" w:fill="auto"/>
            <w:noWrap/>
            <w:tcMar>
              <w:left w:w="0" w:type="dxa"/>
              <w:right w:w="43" w:type="dxa"/>
            </w:tcMar>
            <w:vAlign w:val="center"/>
            <w:hideMark/>
          </w:tcPr>
          <w:p w:rsidRPr="009055A9" w:rsidR="0023718B" w:rsidP="000E31AA" w:rsidRDefault="0023718B" w14:paraId="6134F9A4" w14:textId="0E7EBBA4">
            <w:pPr>
              <w:jc w:val="right"/>
              <w:rPr>
                <w:rFonts w:asciiTheme="minorHAnsi" w:hAnsiTheme="minorHAnsi" w:cstheme="minorHAnsi"/>
                <w:sz w:val="16"/>
                <w:szCs w:val="16"/>
              </w:rPr>
            </w:pPr>
            <w:r w:rsidRPr="009055A9">
              <w:rPr>
                <w:rFonts w:asciiTheme="minorHAnsi" w:hAnsiTheme="minorHAnsi" w:cstheme="minorHAnsi"/>
                <w:color w:val="000000"/>
                <w:sz w:val="16"/>
                <w:szCs w:val="16"/>
              </w:rPr>
              <w:t>1,070</w:t>
            </w:r>
          </w:p>
        </w:tc>
        <w:tc>
          <w:tcPr>
            <w:tcW w:w="125" w:type="pct"/>
            <w:shd w:val="clear" w:color="auto" w:fill="auto"/>
            <w:noWrap/>
            <w:tcMar>
              <w:left w:w="0" w:type="dxa"/>
              <w:right w:w="43" w:type="dxa"/>
            </w:tcMar>
            <w:vAlign w:val="center"/>
            <w:hideMark/>
          </w:tcPr>
          <w:p w:rsidRPr="009055A9" w:rsidR="0023718B" w:rsidP="000E31AA" w:rsidRDefault="0023718B" w14:paraId="4859F3CD" w14:textId="78D8900E">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2" w:type="pct"/>
            <w:shd w:val="clear" w:color="auto" w:fill="auto"/>
            <w:noWrap/>
            <w:tcMar>
              <w:left w:w="0" w:type="dxa"/>
              <w:right w:w="43" w:type="dxa"/>
            </w:tcMar>
            <w:vAlign w:val="center"/>
            <w:hideMark/>
          </w:tcPr>
          <w:p w:rsidRPr="009055A9" w:rsidR="0023718B" w:rsidP="000E31AA" w:rsidRDefault="0023718B" w14:paraId="3DEAD68A" w14:textId="5E98109A">
            <w:pPr>
              <w:jc w:val="right"/>
              <w:rPr>
                <w:rFonts w:asciiTheme="minorHAnsi" w:hAnsiTheme="minorHAnsi" w:cstheme="minorHAnsi"/>
                <w:sz w:val="16"/>
                <w:szCs w:val="16"/>
              </w:rPr>
            </w:pPr>
            <w:r w:rsidRPr="009055A9">
              <w:rPr>
                <w:rFonts w:asciiTheme="minorHAnsi" w:hAnsiTheme="minorHAnsi" w:cstheme="minorHAnsi"/>
                <w:color w:val="000000"/>
                <w:sz w:val="16"/>
                <w:szCs w:val="16"/>
              </w:rPr>
              <w:t>1,681</w:t>
            </w:r>
          </w:p>
        </w:tc>
        <w:tc>
          <w:tcPr>
            <w:tcW w:w="123" w:type="pct"/>
            <w:shd w:val="clear" w:color="auto" w:fill="auto"/>
            <w:noWrap/>
            <w:tcMar>
              <w:left w:w="0" w:type="dxa"/>
              <w:right w:w="43" w:type="dxa"/>
            </w:tcMar>
            <w:vAlign w:val="center"/>
            <w:hideMark/>
          </w:tcPr>
          <w:p w:rsidRPr="009055A9" w:rsidR="0023718B" w:rsidP="000E31AA" w:rsidRDefault="0023718B" w14:paraId="75354884" w14:textId="462D3318">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94" w:type="pct"/>
            <w:shd w:val="clear" w:color="auto" w:fill="auto"/>
            <w:noWrap/>
            <w:tcMar>
              <w:left w:w="0" w:type="dxa"/>
              <w:right w:w="43" w:type="dxa"/>
            </w:tcMar>
            <w:vAlign w:val="center"/>
            <w:hideMark/>
          </w:tcPr>
          <w:p w:rsidRPr="009055A9" w:rsidR="0023718B" w:rsidP="000E31AA" w:rsidRDefault="0023718B" w14:paraId="182BEEBC" w14:textId="6919F2DD">
            <w:pPr>
              <w:jc w:val="right"/>
              <w:rPr>
                <w:rFonts w:asciiTheme="minorHAnsi" w:hAnsiTheme="minorHAnsi" w:cstheme="minorHAnsi"/>
                <w:sz w:val="16"/>
                <w:szCs w:val="16"/>
              </w:rPr>
            </w:pPr>
            <w:r w:rsidRPr="009055A9">
              <w:rPr>
                <w:rFonts w:asciiTheme="minorHAnsi" w:hAnsiTheme="minorHAnsi" w:cstheme="minorHAnsi"/>
                <w:color w:val="000000"/>
                <w:sz w:val="16"/>
                <w:szCs w:val="16"/>
              </w:rPr>
              <w:t>2,173</w:t>
            </w:r>
          </w:p>
        </w:tc>
        <w:tc>
          <w:tcPr>
            <w:tcW w:w="123" w:type="pct"/>
            <w:shd w:val="clear" w:color="auto" w:fill="auto"/>
            <w:noWrap/>
            <w:tcMar>
              <w:left w:w="0" w:type="dxa"/>
              <w:right w:w="43" w:type="dxa"/>
            </w:tcMar>
            <w:vAlign w:val="center"/>
            <w:hideMark/>
          </w:tcPr>
          <w:p w:rsidRPr="009055A9" w:rsidR="0023718B" w:rsidP="000E31AA" w:rsidRDefault="0023718B" w14:paraId="687262A8" w14:textId="0E159852">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97" w:type="pct"/>
            <w:shd w:val="clear" w:color="auto" w:fill="auto"/>
            <w:noWrap/>
            <w:tcMar>
              <w:left w:w="0" w:type="dxa"/>
              <w:right w:w="43" w:type="dxa"/>
            </w:tcMar>
            <w:vAlign w:val="center"/>
            <w:hideMark/>
          </w:tcPr>
          <w:p w:rsidRPr="009055A9" w:rsidR="0023718B" w:rsidP="000E31AA" w:rsidRDefault="0023718B" w14:paraId="073FC85C" w14:textId="0F0538FA">
            <w:pPr>
              <w:jc w:val="right"/>
              <w:rPr>
                <w:rFonts w:asciiTheme="minorHAnsi" w:hAnsiTheme="minorHAnsi" w:cstheme="minorHAnsi"/>
                <w:sz w:val="16"/>
                <w:szCs w:val="16"/>
              </w:rPr>
            </w:pPr>
            <w:r w:rsidRPr="009055A9">
              <w:rPr>
                <w:rFonts w:asciiTheme="minorHAnsi" w:hAnsiTheme="minorHAnsi" w:cstheme="minorHAnsi"/>
                <w:color w:val="000000"/>
                <w:sz w:val="16"/>
                <w:szCs w:val="16"/>
              </w:rPr>
              <w:t>793</w:t>
            </w:r>
          </w:p>
        </w:tc>
        <w:tc>
          <w:tcPr>
            <w:tcW w:w="125" w:type="pct"/>
            <w:shd w:val="clear" w:color="auto" w:fill="auto"/>
            <w:noWrap/>
            <w:tcMar>
              <w:left w:w="0" w:type="dxa"/>
              <w:right w:w="43" w:type="dxa"/>
            </w:tcMar>
            <w:vAlign w:val="center"/>
            <w:hideMark/>
          </w:tcPr>
          <w:p w:rsidRPr="009055A9" w:rsidR="0023718B" w:rsidP="000E31AA" w:rsidRDefault="0023718B" w14:paraId="34F63888" w14:textId="5B96F3F0">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0" w:type="pct"/>
            <w:shd w:val="clear" w:color="auto" w:fill="auto"/>
            <w:noWrap/>
            <w:tcMar>
              <w:left w:w="0" w:type="dxa"/>
              <w:right w:w="43" w:type="dxa"/>
            </w:tcMar>
            <w:vAlign w:val="center"/>
            <w:hideMark/>
          </w:tcPr>
          <w:p w:rsidRPr="009055A9" w:rsidR="0023718B" w:rsidP="000E31AA" w:rsidRDefault="0023718B" w14:paraId="64E37B57" w14:textId="61E6DFC8">
            <w:pPr>
              <w:jc w:val="right"/>
              <w:rPr>
                <w:rFonts w:asciiTheme="minorHAnsi" w:hAnsiTheme="minorHAnsi" w:cstheme="minorHAnsi"/>
                <w:sz w:val="16"/>
                <w:szCs w:val="16"/>
              </w:rPr>
            </w:pPr>
            <w:r w:rsidRPr="009055A9">
              <w:rPr>
                <w:rFonts w:asciiTheme="minorHAnsi" w:hAnsiTheme="minorHAnsi" w:cstheme="minorHAnsi"/>
                <w:color w:val="000000"/>
                <w:sz w:val="16"/>
                <w:szCs w:val="16"/>
              </w:rPr>
              <w:t>1,734</w:t>
            </w:r>
          </w:p>
        </w:tc>
        <w:tc>
          <w:tcPr>
            <w:tcW w:w="148" w:type="pct"/>
            <w:shd w:val="clear" w:color="auto" w:fill="auto"/>
            <w:noWrap/>
            <w:tcMar>
              <w:left w:w="0" w:type="dxa"/>
              <w:right w:w="43" w:type="dxa"/>
            </w:tcMar>
            <w:vAlign w:val="center"/>
            <w:hideMark/>
          </w:tcPr>
          <w:p w:rsidRPr="009055A9" w:rsidR="0023718B" w:rsidP="000E31AA" w:rsidRDefault="0023718B" w14:paraId="05FFB2D1" w14:textId="0C25FCBC">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2" w:type="pct"/>
            <w:tcMar>
              <w:left w:w="0" w:type="dxa"/>
              <w:right w:w="43" w:type="dxa"/>
            </w:tcMar>
            <w:vAlign w:val="center"/>
          </w:tcPr>
          <w:p w:rsidRPr="009055A9" w:rsidR="0023718B" w:rsidP="000E31AA" w:rsidRDefault="0023718B" w14:paraId="09ABE54A" w14:textId="285D7C42">
            <w:pPr>
              <w:jc w:val="right"/>
              <w:rPr>
                <w:rFonts w:asciiTheme="minorHAnsi" w:hAnsiTheme="minorHAnsi" w:cstheme="minorHAnsi"/>
                <w:sz w:val="16"/>
                <w:szCs w:val="16"/>
              </w:rPr>
            </w:pPr>
            <w:r w:rsidRPr="009055A9">
              <w:rPr>
                <w:rFonts w:asciiTheme="minorHAnsi" w:hAnsiTheme="minorHAnsi" w:cstheme="minorHAnsi"/>
                <w:color w:val="000000"/>
                <w:sz w:val="16"/>
                <w:szCs w:val="16"/>
              </w:rPr>
              <w:t>695</w:t>
            </w:r>
          </w:p>
        </w:tc>
        <w:tc>
          <w:tcPr>
            <w:tcW w:w="124" w:type="pct"/>
            <w:tcMar>
              <w:left w:w="0" w:type="dxa"/>
              <w:right w:w="43" w:type="dxa"/>
            </w:tcMar>
            <w:vAlign w:val="center"/>
          </w:tcPr>
          <w:p w:rsidRPr="009055A9" w:rsidR="0023718B" w:rsidP="000E31AA" w:rsidRDefault="0023718B" w14:paraId="2A4023B4" w14:textId="2574C027">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tcMar>
              <w:left w:w="0" w:type="dxa"/>
              <w:right w:w="43" w:type="dxa"/>
            </w:tcMar>
            <w:vAlign w:val="center"/>
          </w:tcPr>
          <w:p w:rsidRPr="009055A9" w:rsidR="0023718B" w:rsidP="000E31AA" w:rsidRDefault="0023718B" w14:paraId="53320DD0" w14:textId="0AFC5949">
            <w:pPr>
              <w:jc w:val="right"/>
              <w:rPr>
                <w:rFonts w:asciiTheme="minorHAnsi" w:hAnsiTheme="minorHAnsi" w:cstheme="minorHAnsi"/>
                <w:sz w:val="16"/>
                <w:szCs w:val="16"/>
              </w:rPr>
            </w:pPr>
            <w:r w:rsidRPr="009055A9">
              <w:rPr>
                <w:rFonts w:asciiTheme="minorHAnsi" w:hAnsiTheme="minorHAnsi" w:cstheme="minorHAnsi"/>
                <w:color w:val="000000"/>
                <w:sz w:val="16"/>
                <w:szCs w:val="16"/>
              </w:rPr>
              <w:t>1,854</w:t>
            </w:r>
          </w:p>
        </w:tc>
        <w:tc>
          <w:tcPr>
            <w:tcW w:w="146" w:type="pct"/>
            <w:tcMar>
              <w:left w:w="0" w:type="dxa"/>
              <w:right w:w="43" w:type="dxa"/>
            </w:tcMar>
            <w:vAlign w:val="center"/>
          </w:tcPr>
          <w:p w:rsidRPr="009055A9" w:rsidR="0023718B" w:rsidP="000E31AA" w:rsidRDefault="0023718B" w14:paraId="3E3E2EF3" w14:textId="0DF9F314">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5" w:type="pct"/>
            <w:tcMar>
              <w:left w:w="0" w:type="dxa"/>
              <w:right w:w="43" w:type="dxa"/>
            </w:tcMar>
            <w:vAlign w:val="center"/>
          </w:tcPr>
          <w:p w:rsidRPr="009055A9" w:rsidR="0023718B" w:rsidP="000E31AA" w:rsidRDefault="0023718B" w14:paraId="53B5DA81" w14:textId="48EF0A86">
            <w:pPr>
              <w:jc w:val="right"/>
              <w:rPr>
                <w:rFonts w:asciiTheme="minorHAnsi" w:hAnsiTheme="minorHAnsi" w:cstheme="minorHAnsi"/>
                <w:sz w:val="16"/>
                <w:szCs w:val="16"/>
              </w:rPr>
            </w:pPr>
            <w:r w:rsidRPr="009055A9">
              <w:rPr>
                <w:rFonts w:asciiTheme="minorHAnsi" w:hAnsiTheme="minorHAnsi" w:cstheme="minorHAnsi"/>
                <w:color w:val="000000"/>
                <w:sz w:val="16"/>
                <w:szCs w:val="16"/>
              </w:rPr>
              <w:t>661</w:t>
            </w:r>
          </w:p>
        </w:tc>
        <w:tc>
          <w:tcPr>
            <w:tcW w:w="149" w:type="pct"/>
            <w:tcMar>
              <w:left w:w="0" w:type="dxa"/>
              <w:right w:w="43" w:type="dxa"/>
            </w:tcMar>
            <w:vAlign w:val="center"/>
          </w:tcPr>
          <w:p w:rsidRPr="009055A9" w:rsidR="0023718B" w:rsidP="000E31AA" w:rsidRDefault="0023718B" w14:paraId="3B440314" w14:textId="1573A2BB">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7" w:type="pct"/>
            <w:tcMar>
              <w:left w:w="0" w:type="dxa"/>
              <w:right w:w="43" w:type="dxa"/>
            </w:tcMar>
            <w:vAlign w:val="center"/>
          </w:tcPr>
          <w:p w:rsidRPr="009055A9" w:rsidR="0023718B" w:rsidP="000E31AA" w:rsidRDefault="0023718B" w14:paraId="004F75C0" w14:textId="10369091">
            <w:pPr>
              <w:jc w:val="right"/>
              <w:rPr>
                <w:rFonts w:asciiTheme="minorHAnsi" w:hAnsiTheme="minorHAnsi" w:cstheme="minorHAnsi"/>
                <w:sz w:val="16"/>
                <w:szCs w:val="16"/>
              </w:rPr>
            </w:pPr>
            <w:r w:rsidRPr="009055A9">
              <w:rPr>
                <w:rFonts w:asciiTheme="minorHAnsi" w:hAnsiTheme="minorHAnsi" w:cstheme="minorHAnsi"/>
                <w:color w:val="000000"/>
                <w:sz w:val="16"/>
                <w:szCs w:val="16"/>
              </w:rPr>
              <w:t>1,518</w:t>
            </w:r>
          </w:p>
        </w:tc>
        <w:tc>
          <w:tcPr>
            <w:tcW w:w="148" w:type="pct"/>
            <w:tcMar>
              <w:left w:w="0" w:type="dxa"/>
              <w:right w:w="43" w:type="dxa"/>
            </w:tcMar>
            <w:vAlign w:val="center"/>
          </w:tcPr>
          <w:p w:rsidRPr="009055A9" w:rsidR="0023718B" w:rsidP="000E31AA" w:rsidRDefault="0023718B" w14:paraId="418F3C36" w14:textId="1854B9BC">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96" w:type="pct"/>
            <w:tcMar>
              <w:left w:w="0" w:type="dxa"/>
              <w:right w:w="43" w:type="dxa"/>
            </w:tcMar>
            <w:vAlign w:val="center"/>
          </w:tcPr>
          <w:p w:rsidRPr="009055A9" w:rsidR="0023718B" w:rsidP="000E31AA" w:rsidRDefault="0023718B" w14:paraId="685E5A25" w14:textId="05661779">
            <w:pPr>
              <w:jc w:val="right"/>
              <w:rPr>
                <w:rFonts w:asciiTheme="minorHAnsi" w:hAnsiTheme="minorHAnsi" w:cstheme="minorHAnsi"/>
                <w:sz w:val="16"/>
                <w:szCs w:val="16"/>
              </w:rPr>
            </w:pPr>
            <w:r w:rsidRPr="009055A9">
              <w:rPr>
                <w:rFonts w:asciiTheme="minorHAnsi" w:hAnsiTheme="minorHAnsi" w:cstheme="minorHAnsi"/>
                <w:color w:val="000000"/>
                <w:sz w:val="16"/>
                <w:szCs w:val="16"/>
              </w:rPr>
              <w:t>637</w:t>
            </w:r>
          </w:p>
        </w:tc>
        <w:tc>
          <w:tcPr>
            <w:tcW w:w="143" w:type="pct"/>
            <w:tcMar>
              <w:left w:w="0" w:type="dxa"/>
              <w:right w:w="43" w:type="dxa"/>
            </w:tcMar>
            <w:vAlign w:val="center"/>
          </w:tcPr>
          <w:p w:rsidRPr="009055A9" w:rsidR="0023718B" w:rsidP="000E31AA" w:rsidRDefault="0023718B" w14:paraId="1F2F0C37" w14:textId="389F3CF2">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8" w:type="pct"/>
            <w:shd w:val="clear" w:color="000000" w:fill="FFFFFF"/>
            <w:noWrap/>
            <w:tcMar>
              <w:left w:w="0" w:type="dxa"/>
              <w:right w:w="43" w:type="dxa"/>
            </w:tcMar>
            <w:vAlign w:val="center"/>
          </w:tcPr>
          <w:p w:rsidRPr="003148DB" w:rsidR="0023718B" w:rsidP="000E31AA" w:rsidRDefault="0023718B" w14:paraId="3D7BB938" w14:textId="49759487">
            <w:pPr>
              <w:jc w:val="right"/>
              <w:rPr>
                <w:rFonts w:asciiTheme="minorHAnsi" w:hAnsiTheme="minorHAnsi" w:cstheme="minorHAnsi"/>
                <w:sz w:val="16"/>
                <w:szCs w:val="16"/>
              </w:rPr>
            </w:pPr>
            <w:r w:rsidRPr="003148DB">
              <w:rPr>
                <w:rFonts w:asciiTheme="minorHAnsi" w:hAnsiTheme="minorHAnsi" w:cstheme="minorHAnsi"/>
                <w:color w:val="000000"/>
                <w:sz w:val="16"/>
                <w:szCs w:val="16"/>
              </w:rPr>
              <w:t>1,390</w:t>
            </w:r>
          </w:p>
        </w:tc>
        <w:tc>
          <w:tcPr>
            <w:tcW w:w="151" w:type="pct"/>
            <w:shd w:val="clear" w:color="000000" w:fill="FFFFFF"/>
            <w:noWrap/>
            <w:tcMar>
              <w:left w:w="0" w:type="dxa"/>
              <w:right w:w="43" w:type="dxa"/>
            </w:tcMar>
            <w:vAlign w:val="center"/>
          </w:tcPr>
          <w:p w:rsidRPr="003148DB" w:rsidR="0023718B" w:rsidP="000E31AA" w:rsidRDefault="0023718B" w14:paraId="4E7D6326" w14:textId="3ECFD0DD">
            <w:pPr>
              <w:jc w:val="right"/>
              <w:rPr>
                <w:rFonts w:asciiTheme="minorHAnsi" w:hAnsiTheme="minorHAnsi" w:cstheme="minorHAnsi"/>
                <w:sz w:val="16"/>
                <w:szCs w:val="16"/>
              </w:rPr>
            </w:pPr>
            <w:r w:rsidRPr="003148DB">
              <w:rPr>
                <w:rFonts w:asciiTheme="minorHAnsi" w:hAnsiTheme="minorHAnsi" w:cstheme="minorHAnsi"/>
                <w:color w:val="000000"/>
                <w:sz w:val="16"/>
                <w:szCs w:val="16"/>
              </w:rPr>
              <w:t>6.1</w:t>
            </w:r>
          </w:p>
        </w:tc>
      </w:tr>
      <w:tr w:rsidRPr="003148DB" w:rsidR="0023718B" w:rsidTr="000D41FC" w14:paraId="6B6490E3"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40922B2D"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428F2820" w14:textId="632D6002">
            <w:pPr>
              <w:rPr>
                <w:rFonts w:asciiTheme="minorHAnsi" w:hAnsiTheme="minorHAnsi" w:cstheme="minorHAnsi"/>
                <w:sz w:val="16"/>
                <w:szCs w:val="16"/>
              </w:rPr>
            </w:pPr>
            <w:r w:rsidRPr="009055A9">
              <w:rPr>
                <w:rFonts w:asciiTheme="minorHAnsi" w:hAnsiTheme="minorHAnsi" w:cstheme="minorHAnsi"/>
                <w:sz w:val="16"/>
                <w:szCs w:val="16"/>
              </w:rPr>
              <w:t>Energy Harbor</w:t>
            </w:r>
          </w:p>
        </w:tc>
        <w:tc>
          <w:tcPr>
            <w:tcW w:w="321" w:type="pct"/>
            <w:shd w:val="clear" w:color="auto" w:fill="auto"/>
            <w:noWrap/>
            <w:tcMar>
              <w:left w:w="58" w:type="dxa"/>
              <w:right w:w="29" w:type="dxa"/>
            </w:tcMar>
            <w:vAlign w:val="center"/>
            <w:hideMark/>
          </w:tcPr>
          <w:p w:rsidRPr="009055A9" w:rsidR="0023718B" w:rsidP="000E31AA" w:rsidRDefault="0023718B" w14:paraId="0903381C" w14:textId="0574F525">
            <w:pPr>
              <w:rPr>
                <w:rFonts w:asciiTheme="minorHAnsi" w:hAnsiTheme="minorHAnsi" w:cstheme="minorHAnsi"/>
                <w:sz w:val="16"/>
                <w:szCs w:val="16"/>
              </w:rPr>
            </w:pPr>
            <w:r w:rsidRPr="009055A9">
              <w:rPr>
                <w:rFonts w:asciiTheme="minorHAnsi" w:hAnsiTheme="minorHAnsi" w:cstheme="minorHAnsi"/>
                <w:color w:val="000000"/>
                <w:sz w:val="16"/>
                <w:szCs w:val="16"/>
              </w:rPr>
              <w:t>Davis-Besse</w:t>
            </w:r>
          </w:p>
        </w:tc>
        <w:tc>
          <w:tcPr>
            <w:tcW w:w="123" w:type="pct"/>
            <w:shd w:val="clear" w:color="auto" w:fill="auto"/>
            <w:noWrap/>
            <w:tcMar>
              <w:left w:w="58" w:type="dxa"/>
              <w:right w:w="58" w:type="dxa"/>
            </w:tcMar>
            <w:vAlign w:val="center"/>
            <w:hideMark/>
          </w:tcPr>
          <w:p w:rsidRPr="009055A9" w:rsidR="0023718B" w:rsidP="000E31AA" w:rsidRDefault="0023718B" w14:paraId="5B8C2D89" w14:textId="14AB35AC">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2BBBD6C8" w14:textId="5C052623">
            <w:pPr>
              <w:jc w:val="right"/>
              <w:rPr>
                <w:rFonts w:asciiTheme="minorHAnsi" w:hAnsiTheme="minorHAnsi" w:cstheme="minorHAnsi"/>
                <w:sz w:val="16"/>
                <w:szCs w:val="16"/>
              </w:rPr>
            </w:pPr>
            <w:r w:rsidRPr="009055A9">
              <w:rPr>
                <w:rFonts w:asciiTheme="minorHAnsi" w:hAnsiTheme="minorHAnsi" w:cstheme="minorHAnsi"/>
                <w:color w:val="000000"/>
                <w:sz w:val="16"/>
                <w:szCs w:val="16"/>
              </w:rPr>
              <w:t>863</w:t>
            </w:r>
          </w:p>
        </w:tc>
        <w:tc>
          <w:tcPr>
            <w:tcW w:w="123" w:type="pct"/>
            <w:shd w:val="clear" w:color="auto" w:fill="auto"/>
            <w:noWrap/>
            <w:tcMar>
              <w:left w:w="0" w:type="dxa"/>
              <w:right w:w="43" w:type="dxa"/>
            </w:tcMar>
            <w:vAlign w:val="center"/>
            <w:hideMark/>
          </w:tcPr>
          <w:p w:rsidRPr="009055A9" w:rsidR="0023718B" w:rsidP="000E31AA" w:rsidRDefault="0023718B" w14:paraId="602B93B7" w14:textId="0B123C95">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0" w:type="pct"/>
            <w:shd w:val="clear" w:color="auto" w:fill="auto"/>
            <w:noWrap/>
            <w:tcMar>
              <w:left w:w="0" w:type="dxa"/>
              <w:right w:w="43" w:type="dxa"/>
            </w:tcMar>
            <w:vAlign w:val="center"/>
            <w:hideMark/>
          </w:tcPr>
          <w:p w:rsidRPr="009055A9" w:rsidR="0023718B" w:rsidP="000E31AA" w:rsidRDefault="0023718B" w14:paraId="02CEC440" w14:textId="189E0F4A">
            <w:pPr>
              <w:jc w:val="right"/>
              <w:rPr>
                <w:rFonts w:asciiTheme="minorHAnsi" w:hAnsiTheme="minorHAnsi" w:cstheme="minorHAnsi"/>
                <w:sz w:val="16"/>
                <w:szCs w:val="16"/>
              </w:rPr>
            </w:pPr>
            <w:r w:rsidRPr="009055A9">
              <w:rPr>
                <w:rFonts w:asciiTheme="minorHAnsi" w:hAnsiTheme="minorHAnsi" w:cstheme="minorHAnsi"/>
                <w:color w:val="000000"/>
                <w:sz w:val="16"/>
                <w:szCs w:val="16"/>
              </w:rPr>
              <w:t>2,662</w:t>
            </w:r>
          </w:p>
        </w:tc>
        <w:tc>
          <w:tcPr>
            <w:tcW w:w="125" w:type="pct"/>
            <w:shd w:val="clear" w:color="auto" w:fill="auto"/>
            <w:noWrap/>
            <w:tcMar>
              <w:left w:w="0" w:type="dxa"/>
              <w:right w:w="43" w:type="dxa"/>
            </w:tcMar>
            <w:vAlign w:val="center"/>
            <w:hideMark/>
          </w:tcPr>
          <w:p w:rsidRPr="009055A9" w:rsidR="0023718B" w:rsidP="000E31AA" w:rsidRDefault="0023718B" w14:paraId="514B8CE3" w14:textId="32DBED98">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2" w:type="pct"/>
            <w:shd w:val="clear" w:color="auto" w:fill="auto"/>
            <w:noWrap/>
            <w:tcMar>
              <w:left w:w="0" w:type="dxa"/>
              <w:right w:w="43" w:type="dxa"/>
            </w:tcMar>
            <w:vAlign w:val="center"/>
            <w:hideMark/>
          </w:tcPr>
          <w:p w:rsidRPr="009055A9" w:rsidR="0023718B" w:rsidP="000E31AA" w:rsidRDefault="0023718B" w14:paraId="5A68BECD" w14:textId="5C81E8AE">
            <w:pPr>
              <w:jc w:val="right"/>
              <w:rPr>
                <w:rFonts w:asciiTheme="minorHAnsi" w:hAnsiTheme="minorHAnsi" w:cstheme="minorHAnsi"/>
                <w:sz w:val="16"/>
                <w:szCs w:val="16"/>
              </w:rPr>
            </w:pPr>
            <w:r w:rsidRPr="009055A9">
              <w:rPr>
                <w:rFonts w:asciiTheme="minorHAnsi" w:hAnsiTheme="minorHAnsi" w:cstheme="minorHAnsi"/>
                <w:color w:val="000000"/>
                <w:sz w:val="16"/>
                <w:szCs w:val="16"/>
              </w:rPr>
              <w:t>2,903</w:t>
            </w:r>
          </w:p>
        </w:tc>
        <w:tc>
          <w:tcPr>
            <w:tcW w:w="123" w:type="pct"/>
            <w:shd w:val="clear" w:color="auto" w:fill="auto"/>
            <w:noWrap/>
            <w:tcMar>
              <w:left w:w="0" w:type="dxa"/>
              <w:right w:w="43" w:type="dxa"/>
            </w:tcMar>
            <w:vAlign w:val="center"/>
            <w:hideMark/>
          </w:tcPr>
          <w:p w:rsidRPr="009055A9" w:rsidR="0023718B" w:rsidP="000E31AA" w:rsidRDefault="0023718B" w14:paraId="7F6CA33F" w14:textId="6417C954">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4" w:type="pct"/>
            <w:shd w:val="clear" w:color="auto" w:fill="auto"/>
            <w:noWrap/>
            <w:tcMar>
              <w:left w:w="0" w:type="dxa"/>
              <w:right w:w="43" w:type="dxa"/>
            </w:tcMar>
            <w:vAlign w:val="center"/>
            <w:hideMark/>
          </w:tcPr>
          <w:p w:rsidRPr="009055A9" w:rsidR="0023718B" w:rsidP="000E31AA" w:rsidRDefault="0023718B" w14:paraId="05BFB3DB" w14:textId="5AF248B9">
            <w:pPr>
              <w:jc w:val="right"/>
              <w:rPr>
                <w:rFonts w:asciiTheme="minorHAnsi" w:hAnsiTheme="minorHAnsi" w:cstheme="minorHAnsi"/>
                <w:sz w:val="16"/>
                <w:szCs w:val="16"/>
              </w:rPr>
            </w:pPr>
            <w:r w:rsidRPr="009055A9">
              <w:rPr>
                <w:rFonts w:asciiTheme="minorHAnsi" w:hAnsiTheme="minorHAnsi" w:cstheme="minorHAnsi"/>
                <w:color w:val="000000"/>
                <w:sz w:val="16"/>
                <w:szCs w:val="16"/>
              </w:rPr>
              <w:t>1,545</w:t>
            </w:r>
          </w:p>
        </w:tc>
        <w:tc>
          <w:tcPr>
            <w:tcW w:w="123" w:type="pct"/>
            <w:shd w:val="clear" w:color="auto" w:fill="auto"/>
            <w:noWrap/>
            <w:tcMar>
              <w:left w:w="0" w:type="dxa"/>
              <w:right w:w="43" w:type="dxa"/>
            </w:tcMar>
            <w:vAlign w:val="center"/>
            <w:hideMark/>
          </w:tcPr>
          <w:p w:rsidRPr="009055A9" w:rsidR="0023718B" w:rsidP="000E31AA" w:rsidRDefault="0023718B" w14:paraId="266397BA" w14:textId="018164B0">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97" w:type="pct"/>
            <w:shd w:val="clear" w:color="auto" w:fill="auto"/>
            <w:noWrap/>
            <w:tcMar>
              <w:left w:w="0" w:type="dxa"/>
              <w:right w:w="43" w:type="dxa"/>
            </w:tcMar>
            <w:vAlign w:val="center"/>
            <w:hideMark/>
          </w:tcPr>
          <w:p w:rsidRPr="009055A9" w:rsidR="0023718B" w:rsidP="000E31AA" w:rsidRDefault="0023718B" w14:paraId="55C072C4" w14:textId="1384021A">
            <w:pPr>
              <w:jc w:val="right"/>
              <w:rPr>
                <w:rFonts w:asciiTheme="minorHAnsi" w:hAnsiTheme="minorHAnsi" w:cstheme="minorHAnsi"/>
                <w:sz w:val="16"/>
                <w:szCs w:val="16"/>
              </w:rPr>
            </w:pPr>
            <w:r w:rsidRPr="009055A9">
              <w:rPr>
                <w:rFonts w:asciiTheme="minorHAnsi" w:hAnsiTheme="minorHAnsi" w:cstheme="minorHAnsi"/>
                <w:color w:val="000000"/>
                <w:sz w:val="16"/>
                <w:szCs w:val="16"/>
              </w:rPr>
              <w:t>1,867</w:t>
            </w:r>
          </w:p>
        </w:tc>
        <w:tc>
          <w:tcPr>
            <w:tcW w:w="125" w:type="pct"/>
            <w:shd w:val="clear" w:color="auto" w:fill="auto"/>
            <w:noWrap/>
            <w:tcMar>
              <w:left w:w="0" w:type="dxa"/>
              <w:right w:w="43" w:type="dxa"/>
            </w:tcMar>
            <w:vAlign w:val="center"/>
            <w:hideMark/>
          </w:tcPr>
          <w:p w:rsidRPr="009055A9" w:rsidR="0023718B" w:rsidP="000E31AA" w:rsidRDefault="0023718B" w14:paraId="52FFABE2" w14:textId="2E934623">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0" w:type="pct"/>
            <w:shd w:val="clear" w:color="auto" w:fill="auto"/>
            <w:noWrap/>
            <w:tcMar>
              <w:left w:w="0" w:type="dxa"/>
              <w:right w:w="43" w:type="dxa"/>
            </w:tcMar>
            <w:vAlign w:val="center"/>
            <w:hideMark/>
          </w:tcPr>
          <w:p w:rsidRPr="009055A9" w:rsidR="0023718B" w:rsidP="000E31AA" w:rsidRDefault="0023718B" w14:paraId="3571DF69" w14:textId="267AE86C">
            <w:pPr>
              <w:jc w:val="right"/>
              <w:rPr>
                <w:rFonts w:asciiTheme="minorHAnsi" w:hAnsiTheme="minorHAnsi" w:cstheme="minorHAnsi"/>
                <w:sz w:val="16"/>
                <w:szCs w:val="16"/>
              </w:rPr>
            </w:pPr>
            <w:r w:rsidRPr="009055A9">
              <w:rPr>
                <w:rFonts w:asciiTheme="minorHAnsi" w:hAnsiTheme="minorHAnsi" w:cstheme="minorHAnsi"/>
                <w:color w:val="000000"/>
                <w:sz w:val="16"/>
                <w:szCs w:val="16"/>
              </w:rPr>
              <w:t>3,017</w:t>
            </w:r>
          </w:p>
        </w:tc>
        <w:tc>
          <w:tcPr>
            <w:tcW w:w="148" w:type="pct"/>
            <w:shd w:val="clear" w:color="auto" w:fill="auto"/>
            <w:noWrap/>
            <w:tcMar>
              <w:left w:w="0" w:type="dxa"/>
              <w:right w:w="43" w:type="dxa"/>
            </w:tcMar>
            <w:vAlign w:val="center"/>
            <w:hideMark/>
          </w:tcPr>
          <w:p w:rsidRPr="009055A9" w:rsidR="0023718B" w:rsidP="000E31AA" w:rsidRDefault="0023718B" w14:paraId="6C947E9B" w14:textId="4F77FA8C">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2" w:type="pct"/>
            <w:tcMar>
              <w:left w:w="0" w:type="dxa"/>
              <w:right w:w="43" w:type="dxa"/>
            </w:tcMar>
            <w:vAlign w:val="center"/>
          </w:tcPr>
          <w:p w:rsidRPr="009055A9" w:rsidR="0023718B" w:rsidP="000E31AA" w:rsidRDefault="0023718B" w14:paraId="3A9D5BEB" w14:textId="48D3B84E">
            <w:pPr>
              <w:jc w:val="right"/>
              <w:rPr>
                <w:rFonts w:asciiTheme="minorHAnsi" w:hAnsiTheme="minorHAnsi" w:cstheme="minorHAnsi"/>
                <w:sz w:val="16"/>
                <w:szCs w:val="16"/>
              </w:rPr>
            </w:pPr>
            <w:r w:rsidRPr="009055A9">
              <w:rPr>
                <w:rFonts w:asciiTheme="minorHAnsi" w:hAnsiTheme="minorHAnsi" w:cstheme="minorHAnsi"/>
                <w:color w:val="000000"/>
                <w:sz w:val="16"/>
                <w:szCs w:val="16"/>
              </w:rPr>
              <w:t>970</w:t>
            </w:r>
          </w:p>
        </w:tc>
        <w:tc>
          <w:tcPr>
            <w:tcW w:w="124" w:type="pct"/>
            <w:tcMar>
              <w:left w:w="0" w:type="dxa"/>
              <w:right w:w="43" w:type="dxa"/>
            </w:tcMar>
            <w:vAlign w:val="center"/>
          </w:tcPr>
          <w:p w:rsidRPr="009055A9" w:rsidR="0023718B" w:rsidP="000E31AA" w:rsidRDefault="0023718B" w14:paraId="129A78A3" w14:textId="7D52744E">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73" w:type="pct"/>
            <w:tcMar>
              <w:left w:w="0" w:type="dxa"/>
              <w:right w:w="43" w:type="dxa"/>
            </w:tcMar>
            <w:vAlign w:val="center"/>
          </w:tcPr>
          <w:p w:rsidRPr="009055A9" w:rsidR="0023718B" w:rsidP="000E31AA" w:rsidRDefault="0023718B" w14:paraId="2FF9B2FD" w14:textId="5F44CAB9">
            <w:pPr>
              <w:jc w:val="right"/>
              <w:rPr>
                <w:rFonts w:asciiTheme="minorHAnsi" w:hAnsiTheme="minorHAnsi" w:cstheme="minorHAnsi"/>
                <w:sz w:val="16"/>
                <w:szCs w:val="16"/>
              </w:rPr>
            </w:pPr>
            <w:r w:rsidRPr="009055A9">
              <w:rPr>
                <w:rFonts w:asciiTheme="minorHAnsi" w:hAnsiTheme="minorHAnsi" w:cstheme="minorHAnsi"/>
                <w:color w:val="000000"/>
                <w:sz w:val="16"/>
                <w:szCs w:val="16"/>
              </w:rPr>
              <w:t>1,941</w:t>
            </w:r>
          </w:p>
        </w:tc>
        <w:tc>
          <w:tcPr>
            <w:tcW w:w="146" w:type="pct"/>
            <w:tcMar>
              <w:left w:w="0" w:type="dxa"/>
              <w:right w:w="43" w:type="dxa"/>
            </w:tcMar>
            <w:vAlign w:val="center"/>
          </w:tcPr>
          <w:p w:rsidRPr="009055A9" w:rsidR="0023718B" w:rsidP="000E31AA" w:rsidRDefault="0023718B" w14:paraId="25916866" w14:textId="6D21F4BE">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5" w:type="pct"/>
            <w:tcMar>
              <w:left w:w="0" w:type="dxa"/>
              <w:right w:w="43" w:type="dxa"/>
            </w:tcMar>
            <w:vAlign w:val="center"/>
          </w:tcPr>
          <w:p w:rsidRPr="009055A9" w:rsidR="0023718B" w:rsidP="000E31AA" w:rsidRDefault="0023718B" w14:paraId="76E6C9B8" w14:textId="4AB71F8C">
            <w:pPr>
              <w:jc w:val="right"/>
              <w:rPr>
                <w:rFonts w:asciiTheme="minorHAnsi" w:hAnsiTheme="minorHAnsi" w:cstheme="minorHAnsi"/>
                <w:sz w:val="16"/>
                <w:szCs w:val="16"/>
              </w:rPr>
            </w:pPr>
            <w:r w:rsidRPr="009055A9">
              <w:rPr>
                <w:rFonts w:asciiTheme="minorHAnsi" w:hAnsiTheme="minorHAnsi" w:cstheme="minorHAnsi"/>
                <w:color w:val="000000"/>
                <w:sz w:val="16"/>
                <w:szCs w:val="16"/>
              </w:rPr>
              <w:t>828</w:t>
            </w:r>
          </w:p>
        </w:tc>
        <w:tc>
          <w:tcPr>
            <w:tcW w:w="149" w:type="pct"/>
            <w:tcMar>
              <w:left w:w="0" w:type="dxa"/>
              <w:right w:w="43" w:type="dxa"/>
            </w:tcMar>
            <w:vAlign w:val="center"/>
          </w:tcPr>
          <w:p w:rsidRPr="009055A9" w:rsidR="0023718B" w:rsidP="000E31AA" w:rsidRDefault="0023718B" w14:paraId="253197B1" w14:textId="6E4227E1">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97" w:type="pct"/>
            <w:tcMar>
              <w:left w:w="0" w:type="dxa"/>
              <w:right w:w="43" w:type="dxa"/>
            </w:tcMar>
            <w:vAlign w:val="center"/>
          </w:tcPr>
          <w:p w:rsidRPr="009055A9" w:rsidR="0023718B" w:rsidP="000E31AA" w:rsidRDefault="0023718B" w14:paraId="590EC578" w14:textId="7B00E3C3">
            <w:pPr>
              <w:jc w:val="right"/>
              <w:rPr>
                <w:rFonts w:asciiTheme="minorHAnsi" w:hAnsiTheme="minorHAnsi" w:cstheme="minorHAnsi"/>
                <w:sz w:val="16"/>
                <w:szCs w:val="16"/>
              </w:rPr>
            </w:pPr>
            <w:r w:rsidRPr="009055A9">
              <w:rPr>
                <w:rFonts w:asciiTheme="minorHAnsi" w:hAnsiTheme="minorHAnsi" w:cstheme="minorHAnsi"/>
                <w:color w:val="000000"/>
                <w:sz w:val="16"/>
                <w:szCs w:val="16"/>
              </w:rPr>
              <w:t>1,598</w:t>
            </w:r>
          </w:p>
        </w:tc>
        <w:tc>
          <w:tcPr>
            <w:tcW w:w="148" w:type="pct"/>
            <w:tcMar>
              <w:left w:w="0" w:type="dxa"/>
              <w:right w:w="43" w:type="dxa"/>
            </w:tcMar>
            <w:vAlign w:val="center"/>
          </w:tcPr>
          <w:p w:rsidRPr="009055A9" w:rsidR="0023718B" w:rsidP="000E31AA" w:rsidRDefault="0023718B" w14:paraId="2F186B2F" w14:textId="6C2EA7F3">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96" w:type="pct"/>
            <w:tcMar>
              <w:left w:w="0" w:type="dxa"/>
              <w:right w:w="43" w:type="dxa"/>
            </w:tcMar>
            <w:vAlign w:val="center"/>
          </w:tcPr>
          <w:p w:rsidRPr="009055A9" w:rsidR="0023718B" w:rsidP="000E31AA" w:rsidRDefault="0023718B" w14:paraId="657A1CD2" w14:textId="54EDF5B6">
            <w:pPr>
              <w:jc w:val="right"/>
              <w:rPr>
                <w:rFonts w:asciiTheme="minorHAnsi" w:hAnsiTheme="minorHAnsi" w:cstheme="minorHAnsi"/>
                <w:sz w:val="16"/>
                <w:szCs w:val="16"/>
              </w:rPr>
            </w:pPr>
            <w:r w:rsidRPr="009055A9">
              <w:rPr>
                <w:rFonts w:asciiTheme="minorHAnsi" w:hAnsiTheme="minorHAnsi" w:cstheme="minorHAnsi"/>
                <w:color w:val="000000"/>
                <w:sz w:val="16"/>
                <w:szCs w:val="16"/>
              </w:rPr>
              <w:t>904</w:t>
            </w:r>
          </w:p>
        </w:tc>
        <w:tc>
          <w:tcPr>
            <w:tcW w:w="143" w:type="pct"/>
            <w:tcMar>
              <w:left w:w="0" w:type="dxa"/>
              <w:right w:w="43" w:type="dxa"/>
            </w:tcMar>
            <w:vAlign w:val="center"/>
          </w:tcPr>
          <w:p w:rsidRPr="009055A9" w:rsidR="0023718B" w:rsidP="000E31AA" w:rsidRDefault="0023718B" w14:paraId="2A1C2770" w14:textId="47F81844">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8" w:type="pct"/>
            <w:shd w:val="clear" w:color="000000" w:fill="FFFFFF"/>
            <w:noWrap/>
            <w:tcMar>
              <w:left w:w="0" w:type="dxa"/>
              <w:right w:w="43" w:type="dxa"/>
            </w:tcMar>
            <w:vAlign w:val="center"/>
          </w:tcPr>
          <w:p w:rsidRPr="003148DB" w:rsidR="0023718B" w:rsidP="000E31AA" w:rsidRDefault="0023718B" w14:paraId="17C9FABF" w14:textId="458C959C">
            <w:pPr>
              <w:jc w:val="right"/>
              <w:rPr>
                <w:rFonts w:asciiTheme="minorHAnsi" w:hAnsiTheme="minorHAnsi" w:cstheme="minorHAnsi"/>
                <w:sz w:val="16"/>
                <w:szCs w:val="16"/>
              </w:rPr>
            </w:pPr>
            <w:r w:rsidRPr="003148DB">
              <w:rPr>
                <w:rFonts w:asciiTheme="minorHAnsi" w:hAnsiTheme="minorHAnsi" w:cstheme="minorHAnsi"/>
                <w:color w:val="000000"/>
                <w:sz w:val="16"/>
                <w:szCs w:val="16"/>
              </w:rPr>
              <w:t>1,736</w:t>
            </w:r>
          </w:p>
        </w:tc>
        <w:tc>
          <w:tcPr>
            <w:tcW w:w="151" w:type="pct"/>
            <w:shd w:val="clear" w:color="000000" w:fill="FFFFFF"/>
            <w:noWrap/>
            <w:tcMar>
              <w:left w:w="0" w:type="dxa"/>
              <w:right w:w="43" w:type="dxa"/>
            </w:tcMar>
            <w:vAlign w:val="center"/>
          </w:tcPr>
          <w:p w:rsidRPr="003148DB" w:rsidR="0023718B" w:rsidP="000E31AA" w:rsidRDefault="0023718B" w14:paraId="3AA51D5F" w14:textId="3D546E05">
            <w:pPr>
              <w:jc w:val="right"/>
              <w:rPr>
                <w:rFonts w:asciiTheme="minorHAnsi" w:hAnsiTheme="minorHAnsi" w:cstheme="minorHAnsi"/>
                <w:sz w:val="16"/>
                <w:szCs w:val="16"/>
              </w:rPr>
            </w:pPr>
            <w:r w:rsidRPr="003148DB">
              <w:rPr>
                <w:rFonts w:asciiTheme="minorHAnsi" w:hAnsiTheme="minorHAnsi" w:cstheme="minorHAnsi"/>
                <w:color w:val="000000"/>
                <w:sz w:val="16"/>
                <w:szCs w:val="16"/>
              </w:rPr>
              <w:t>7.7</w:t>
            </w:r>
          </w:p>
        </w:tc>
      </w:tr>
      <w:tr w:rsidRPr="003148DB" w:rsidR="0023718B" w:rsidTr="000D41FC" w14:paraId="35B83CC4"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0C174A55"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748B47B6" w14:textId="351DDE86">
            <w:pPr>
              <w:rPr>
                <w:rFonts w:asciiTheme="minorHAnsi" w:hAnsiTheme="minorHAnsi" w:cstheme="minorHAnsi"/>
                <w:sz w:val="16"/>
                <w:szCs w:val="16"/>
              </w:rPr>
            </w:pPr>
            <w:r w:rsidRPr="009055A9">
              <w:rPr>
                <w:rFonts w:asciiTheme="minorHAnsi" w:hAnsiTheme="minorHAnsi" w:cstheme="minorHAnsi"/>
                <w:color w:val="000000"/>
                <w:sz w:val="16"/>
                <w:szCs w:val="16"/>
              </w:rPr>
              <w:t>Detroit Edison</w:t>
            </w:r>
          </w:p>
        </w:tc>
        <w:tc>
          <w:tcPr>
            <w:tcW w:w="321" w:type="pct"/>
            <w:shd w:val="clear" w:color="auto" w:fill="auto"/>
            <w:noWrap/>
            <w:tcMar>
              <w:left w:w="58" w:type="dxa"/>
              <w:right w:w="29" w:type="dxa"/>
            </w:tcMar>
            <w:vAlign w:val="center"/>
            <w:hideMark/>
          </w:tcPr>
          <w:p w:rsidRPr="009055A9" w:rsidR="0023718B" w:rsidP="000E31AA" w:rsidRDefault="0023718B" w14:paraId="1E4B1119" w14:textId="037612AE">
            <w:pPr>
              <w:rPr>
                <w:rFonts w:asciiTheme="minorHAnsi" w:hAnsiTheme="minorHAnsi" w:cstheme="minorHAnsi"/>
                <w:sz w:val="16"/>
                <w:szCs w:val="16"/>
              </w:rPr>
            </w:pPr>
            <w:r w:rsidRPr="009055A9">
              <w:rPr>
                <w:rFonts w:asciiTheme="minorHAnsi" w:hAnsiTheme="minorHAnsi" w:cstheme="minorHAnsi"/>
                <w:color w:val="000000"/>
                <w:sz w:val="16"/>
                <w:szCs w:val="16"/>
              </w:rPr>
              <w:t>Fermi 2</w:t>
            </w:r>
          </w:p>
        </w:tc>
        <w:tc>
          <w:tcPr>
            <w:tcW w:w="123" w:type="pct"/>
            <w:shd w:val="clear" w:color="auto" w:fill="auto"/>
            <w:noWrap/>
            <w:tcMar>
              <w:left w:w="58" w:type="dxa"/>
              <w:right w:w="58" w:type="dxa"/>
            </w:tcMar>
            <w:vAlign w:val="center"/>
            <w:hideMark/>
          </w:tcPr>
          <w:p w:rsidRPr="009055A9" w:rsidR="0023718B" w:rsidP="000E31AA" w:rsidRDefault="0023718B" w14:paraId="40DBA8D9" w14:textId="07DC216D">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45E97296" w14:textId="15863D29">
            <w:pPr>
              <w:jc w:val="right"/>
              <w:rPr>
                <w:rFonts w:asciiTheme="minorHAnsi" w:hAnsiTheme="minorHAnsi" w:cstheme="minorHAnsi"/>
                <w:sz w:val="16"/>
                <w:szCs w:val="16"/>
              </w:rPr>
            </w:pPr>
            <w:r w:rsidRPr="009055A9">
              <w:rPr>
                <w:rFonts w:asciiTheme="minorHAnsi" w:hAnsiTheme="minorHAnsi" w:cstheme="minorHAnsi"/>
                <w:color w:val="000000"/>
                <w:sz w:val="16"/>
                <w:szCs w:val="16"/>
              </w:rPr>
              <w:t>2,550</w:t>
            </w:r>
          </w:p>
        </w:tc>
        <w:tc>
          <w:tcPr>
            <w:tcW w:w="123" w:type="pct"/>
            <w:shd w:val="clear" w:color="auto" w:fill="auto"/>
            <w:noWrap/>
            <w:tcMar>
              <w:left w:w="0" w:type="dxa"/>
              <w:right w:w="43" w:type="dxa"/>
            </w:tcMar>
            <w:vAlign w:val="center"/>
            <w:hideMark/>
          </w:tcPr>
          <w:p w:rsidRPr="009055A9" w:rsidR="0023718B" w:rsidP="000E31AA" w:rsidRDefault="0023718B" w14:paraId="27DDB198" w14:textId="42AE9CF5">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0" w:type="pct"/>
            <w:shd w:val="clear" w:color="auto" w:fill="auto"/>
            <w:noWrap/>
            <w:tcMar>
              <w:left w:w="0" w:type="dxa"/>
              <w:right w:w="43" w:type="dxa"/>
            </w:tcMar>
            <w:vAlign w:val="center"/>
            <w:hideMark/>
          </w:tcPr>
          <w:p w:rsidRPr="009055A9" w:rsidR="0023718B" w:rsidP="000E31AA" w:rsidRDefault="0023718B" w14:paraId="7EF2EA88" w14:textId="00CFF0C4">
            <w:pPr>
              <w:jc w:val="right"/>
              <w:rPr>
                <w:rFonts w:asciiTheme="minorHAnsi" w:hAnsiTheme="minorHAnsi" w:cstheme="minorHAnsi"/>
                <w:sz w:val="16"/>
                <w:szCs w:val="16"/>
              </w:rPr>
            </w:pPr>
            <w:r w:rsidRPr="009055A9">
              <w:rPr>
                <w:rFonts w:asciiTheme="minorHAnsi" w:hAnsiTheme="minorHAnsi" w:cstheme="minorHAnsi"/>
                <w:color w:val="000000"/>
                <w:sz w:val="16"/>
                <w:szCs w:val="16"/>
              </w:rPr>
              <w:t>2,922</w:t>
            </w:r>
          </w:p>
        </w:tc>
        <w:tc>
          <w:tcPr>
            <w:tcW w:w="125" w:type="pct"/>
            <w:shd w:val="clear" w:color="auto" w:fill="auto"/>
            <w:noWrap/>
            <w:tcMar>
              <w:left w:w="0" w:type="dxa"/>
              <w:right w:w="43" w:type="dxa"/>
            </w:tcMar>
            <w:vAlign w:val="center"/>
            <w:hideMark/>
          </w:tcPr>
          <w:p w:rsidRPr="009055A9" w:rsidR="0023718B" w:rsidP="000E31AA" w:rsidRDefault="0023718B" w14:paraId="481C6D33" w14:textId="6CE2BDA9">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2" w:type="pct"/>
            <w:shd w:val="clear" w:color="auto" w:fill="auto"/>
            <w:noWrap/>
            <w:tcMar>
              <w:left w:w="0" w:type="dxa"/>
              <w:right w:w="43" w:type="dxa"/>
            </w:tcMar>
            <w:vAlign w:val="center"/>
            <w:hideMark/>
          </w:tcPr>
          <w:p w:rsidRPr="009055A9" w:rsidR="0023718B" w:rsidP="000E31AA" w:rsidRDefault="0023718B" w14:paraId="059618DE" w14:textId="0E19B4F5">
            <w:pPr>
              <w:jc w:val="right"/>
              <w:rPr>
                <w:rFonts w:asciiTheme="minorHAnsi" w:hAnsiTheme="minorHAnsi" w:cstheme="minorHAnsi"/>
                <w:sz w:val="16"/>
                <w:szCs w:val="16"/>
              </w:rPr>
            </w:pPr>
            <w:r w:rsidRPr="009055A9">
              <w:rPr>
                <w:rFonts w:asciiTheme="minorHAnsi" w:hAnsiTheme="minorHAnsi" w:cstheme="minorHAnsi"/>
                <w:color w:val="000000"/>
                <w:sz w:val="16"/>
                <w:szCs w:val="16"/>
              </w:rPr>
              <w:t>1,625</w:t>
            </w:r>
          </w:p>
        </w:tc>
        <w:tc>
          <w:tcPr>
            <w:tcW w:w="123" w:type="pct"/>
            <w:shd w:val="clear" w:color="auto" w:fill="auto"/>
            <w:noWrap/>
            <w:tcMar>
              <w:left w:w="0" w:type="dxa"/>
              <w:right w:w="43" w:type="dxa"/>
            </w:tcMar>
            <w:vAlign w:val="center"/>
            <w:hideMark/>
          </w:tcPr>
          <w:p w:rsidRPr="009055A9" w:rsidR="0023718B" w:rsidP="000E31AA" w:rsidRDefault="0023718B" w14:paraId="6A44C03B" w14:textId="2A233362">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94" w:type="pct"/>
            <w:shd w:val="clear" w:color="auto" w:fill="auto"/>
            <w:noWrap/>
            <w:tcMar>
              <w:left w:w="0" w:type="dxa"/>
              <w:right w:w="43" w:type="dxa"/>
            </w:tcMar>
            <w:vAlign w:val="center"/>
            <w:hideMark/>
          </w:tcPr>
          <w:p w:rsidRPr="009055A9" w:rsidR="0023718B" w:rsidP="000E31AA" w:rsidRDefault="0023718B" w14:paraId="6A8F917D" w14:textId="26F890AB">
            <w:pPr>
              <w:jc w:val="right"/>
              <w:rPr>
                <w:rFonts w:asciiTheme="minorHAnsi" w:hAnsiTheme="minorHAnsi" w:cstheme="minorHAnsi"/>
                <w:sz w:val="16"/>
                <w:szCs w:val="16"/>
              </w:rPr>
            </w:pPr>
            <w:r w:rsidRPr="009055A9">
              <w:rPr>
                <w:rFonts w:asciiTheme="minorHAnsi" w:hAnsiTheme="minorHAnsi" w:cstheme="minorHAnsi"/>
                <w:color w:val="000000"/>
                <w:sz w:val="16"/>
                <w:szCs w:val="16"/>
              </w:rPr>
              <w:t>2,855</w:t>
            </w:r>
          </w:p>
        </w:tc>
        <w:tc>
          <w:tcPr>
            <w:tcW w:w="123" w:type="pct"/>
            <w:shd w:val="clear" w:color="auto" w:fill="auto"/>
            <w:noWrap/>
            <w:tcMar>
              <w:left w:w="0" w:type="dxa"/>
              <w:right w:w="43" w:type="dxa"/>
            </w:tcMar>
            <w:vAlign w:val="center"/>
            <w:hideMark/>
          </w:tcPr>
          <w:p w:rsidRPr="009055A9" w:rsidR="0023718B" w:rsidP="000E31AA" w:rsidRDefault="0023718B" w14:paraId="20CD647E" w14:textId="36DA73BA">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7" w:type="pct"/>
            <w:shd w:val="clear" w:color="auto" w:fill="auto"/>
            <w:noWrap/>
            <w:tcMar>
              <w:left w:w="0" w:type="dxa"/>
              <w:right w:w="43" w:type="dxa"/>
            </w:tcMar>
            <w:vAlign w:val="center"/>
            <w:hideMark/>
          </w:tcPr>
          <w:p w:rsidRPr="009055A9" w:rsidR="0023718B" w:rsidP="000E31AA" w:rsidRDefault="0023718B" w14:paraId="029507D3" w14:textId="25CC9BBB">
            <w:pPr>
              <w:jc w:val="right"/>
              <w:rPr>
                <w:rFonts w:asciiTheme="minorHAnsi" w:hAnsiTheme="minorHAnsi" w:cstheme="minorHAnsi"/>
                <w:sz w:val="16"/>
                <w:szCs w:val="16"/>
              </w:rPr>
            </w:pPr>
            <w:r w:rsidRPr="009055A9">
              <w:rPr>
                <w:rFonts w:asciiTheme="minorHAnsi" w:hAnsiTheme="minorHAnsi" w:cstheme="minorHAnsi"/>
                <w:color w:val="000000"/>
                <w:sz w:val="16"/>
                <w:szCs w:val="16"/>
              </w:rPr>
              <w:t>1,842</w:t>
            </w:r>
          </w:p>
        </w:tc>
        <w:tc>
          <w:tcPr>
            <w:tcW w:w="125" w:type="pct"/>
            <w:shd w:val="clear" w:color="auto" w:fill="auto"/>
            <w:noWrap/>
            <w:tcMar>
              <w:left w:w="0" w:type="dxa"/>
              <w:right w:w="43" w:type="dxa"/>
            </w:tcMar>
            <w:vAlign w:val="center"/>
            <w:hideMark/>
          </w:tcPr>
          <w:p w:rsidRPr="009055A9" w:rsidR="0023718B" w:rsidP="000E31AA" w:rsidRDefault="0023718B" w14:paraId="2A59D929" w14:textId="662A6D8A">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0" w:type="pct"/>
            <w:shd w:val="clear" w:color="auto" w:fill="auto"/>
            <w:noWrap/>
            <w:tcMar>
              <w:left w:w="0" w:type="dxa"/>
              <w:right w:w="43" w:type="dxa"/>
            </w:tcMar>
            <w:vAlign w:val="center"/>
            <w:hideMark/>
          </w:tcPr>
          <w:p w:rsidRPr="009055A9" w:rsidR="0023718B" w:rsidP="000E31AA" w:rsidRDefault="0023718B" w14:paraId="53ECB384" w14:textId="4DD97AA1">
            <w:pPr>
              <w:jc w:val="right"/>
              <w:rPr>
                <w:rFonts w:asciiTheme="minorHAnsi" w:hAnsiTheme="minorHAnsi" w:cstheme="minorHAnsi"/>
                <w:sz w:val="16"/>
                <w:szCs w:val="16"/>
              </w:rPr>
            </w:pPr>
            <w:r w:rsidRPr="009055A9">
              <w:rPr>
                <w:rFonts w:asciiTheme="minorHAnsi" w:hAnsiTheme="minorHAnsi" w:cstheme="minorHAnsi"/>
                <w:color w:val="000000"/>
                <w:sz w:val="16"/>
                <w:szCs w:val="16"/>
              </w:rPr>
              <w:t>3,030</w:t>
            </w:r>
          </w:p>
        </w:tc>
        <w:tc>
          <w:tcPr>
            <w:tcW w:w="148" w:type="pct"/>
            <w:shd w:val="clear" w:color="auto" w:fill="auto"/>
            <w:noWrap/>
            <w:tcMar>
              <w:left w:w="0" w:type="dxa"/>
              <w:right w:w="43" w:type="dxa"/>
            </w:tcMar>
            <w:vAlign w:val="center"/>
            <w:hideMark/>
          </w:tcPr>
          <w:p w:rsidRPr="009055A9" w:rsidR="0023718B" w:rsidP="000E31AA" w:rsidRDefault="0023718B" w14:paraId="3AAFB395" w14:textId="2812943A">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2" w:type="pct"/>
            <w:tcMar>
              <w:left w:w="0" w:type="dxa"/>
              <w:right w:w="43" w:type="dxa"/>
            </w:tcMar>
            <w:vAlign w:val="center"/>
          </w:tcPr>
          <w:p w:rsidRPr="009055A9" w:rsidR="0023718B" w:rsidP="000E31AA" w:rsidRDefault="0023718B" w14:paraId="12C38B09" w14:textId="6BCD3462">
            <w:pPr>
              <w:jc w:val="right"/>
              <w:rPr>
                <w:rFonts w:asciiTheme="minorHAnsi" w:hAnsiTheme="minorHAnsi" w:cstheme="minorHAnsi"/>
                <w:sz w:val="16"/>
                <w:szCs w:val="16"/>
              </w:rPr>
            </w:pPr>
            <w:r w:rsidRPr="009055A9">
              <w:rPr>
                <w:rFonts w:asciiTheme="minorHAnsi" w:hAnsiTheme="minorHAnsi" w:cstheme="minorHAnsi"/>
                <w:color w:val="000000"/>
                <w:sz w:val="16"/>
                <w:szCs w:val="16"/>
              </w:rPr>
              <w:t>3,446</w:t>
            </w:r>
          </w:p>
        </w:tc>
        <w:tc>
          <w:tcPr>
            <w:tcW w:w="124" w:type="pct"/>
            <w:tcMar>
              <w:left w:w="0" w:type="dxa"/>
              <w:right w:w="43" w:type="dxa"/>
            </w:tcMar>
            <w:vAlign w:val="center"/>
          </w:tcPr>
          <w:p w:rsidRPr="009055A9" w:rsidR="0023718B" w:rsidP="000E31AA" w:rsidRDefault="0023718B" w14:paraId="7D4B83C6" w14:textId="3A5F8019">
            <w:pPr>
              <w:jc w:val="right"/>
              <w:rPr>
                <w:rFonts w:asciiTheme="minorHAnsi" w:hAnsiTheme="minorHAnsi" w:cstheme="minorHAnsi"/>
                <w:sz w:val="16"/>
                <w:szCs w:val="16"/>
              </w:rPr>
            </w:pPr>
            <w:r w:rsidRPr="009055A9">
              <w:rPr>
                <w:rFonts w:asciiTheme="minorHAnsi" w:hAnsiTheme="minorHAnsi" w:cstheme="minorHAnsi"/>
                <w:color w:val="000000"/>
                <w:sz w:val="16"/>
                <w:szCs w:val="16"/>
              </w:rPr>
              <w:t>24</w:t>
            </w:r>
          </w:p>
        </w:tc>
        <w:tc>
          <w:tcPr>
            <w:tcW w:w="173" w:type="pct"/>
            <w:tcMar>
              <w:left w:w="0" w:type="dxa"/>
              <w:right w:w="43" w:type="dxa"/>
            </w:tcMar>
            <w:vAlign w:val="center"/>
          </w:tcPr>
          <w:p w:rsidRPr="009055A9" w:rsidR="0023718B" w:rsidP="000E31AA" w:rsidRDefault="0023718B" w14:paraId="03FEBD76" w14:textId="7CC21984">
            <w:pPr>
              <w:jc w:val="right"/>
              <w:rPr>
                <w:rFonts w:asciiTheme="minorHAnsi" w:hAnsiTheme="minorHAnsi" w:cstheme="minorHAnsi"/>
                <w:sz w:val="16"/>
                <w:szCs w:val="16"/>
              </w:rPr>
            </w:pPr>
            <w:r w:rsidRPr="009055A9">
              <w:rPr>
                <w:rFonts w:asciiTheme="minorHAnsi" w:hAnsiTheme="minorHAnsi" w:cstheme="minorHAnsi"/>
                <w:color w:val="000000"/>
                <w:sz w:val="16"/>
                <w:szCs w:val="16"/>
              </w:rPr>
              <w:t>1,910</w:t>
            </w:r>
          </w:p>
        </w:tc>
        <w:tc>
          <w:tcPr>
            <w:tcW w:w="146" w:type="pct"/>
            <w:tcMar>
              <w:left w:w="0" w:type="dxa"/>
              <w:right w:w="43" w:type="dxa"/>
            </w:tcMar>
            <w:vAlign w:val="center"/>
          </w:tcPr>
          <w:p w:rsidRPr="009055A9" w:rsidR="0023718B" w:rsidP="000E31AA" w:rsidRDefault="0023718B" w14:paraId="7C70A9D9" w14:textId="3D59E65F">
            <w:pPr>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75" w:type="pct"/>
            <w:tcMar>
              <w:left w:w="0" w:type="dxa"/>
              <w:right w:w="43" w:type="dxa"/>
            </w:tcMar>
            <w:vAlign w:val="center"/>
          </w:tcPr>
          <w:p w:rsidRPr="009055A9" w:rsidR="0023718B" w:rsidP="000E31AA" w:rsidRDefault="0023718B" w14:paraId="068E75E2" w14:textId="3CE7A972">
            <w:pPr>
              <w:jc w:val="right"/>
              <w:rPr>
                <w:rFonts w:asciiTheme="minorHAnsi" w:hAnsiTheme="minorHAnsi" w:cstheme="minorHAnsi"/>
                <w:sz w:val="16"/>
                <w:szCs w:val="16"/>
              </w:rPr>
            </w:pPr>
            <w:r w:rsidRPr="009055A9">
              <w:rPr>
                <w:rFonts w:asciiTheme="minorHAnsi" w:hAnsiTheme="minorHAnsi" w:cstheme="minorHAnsi"/>
                <w:color w:val="000000"/>
                <w:sz w:val="16"/>
                <w:szCs w:val="16"/>
              </w:rPr>
              <w:t>2,696</w:t>
            </w:r>
          </w:p>
        </w:tc>
        <w:tc>
          <w:tcPr>
            <w:tcW w:w="149" w:type="pct"/>
            <w:tcMar>
              <w:left w:w="0" w:type="dxa"/>
              <w:right w:w="43" w:type="dxa"/>
            </w:tcMar>
            <w:vAlign w:val="center"/>
          </w:tcPr>
          <w:p w:rsidRPr="009055A9" w:rsidR="0023718B" w:rsidP="000E31AA" w:rsidRDefault="0023718B" w14:paraId="482CC498" w14:textId="1E5C5993">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97" w:type="pct"/>
            <w:tcMar>
              <w:left w:w="0" w:type="dxa"/>
              <w:right w:w="43" w:type="dxa"/>
            </w:tcMar>
            <w:vAlign w:val="center"/>
          </w:tcPr>
          <w:p w:rsidRPr="009055A9" w:rsidR="0023718B" w:rsidP="000E31AA" w:rsidRDefault="0023718B" w14:paraId="71805C56" w14:textId="57E52A1A">
            <w:pPr>
              <w:jc w:val="right"/>
              <w:rPr>
                <w:rFonts w:asciiTheme="minorHAnsi" w:hAnsiTheme="minorHAnsi" w:cstheme="minorHAnsi"/>
                <w:sz w:val="16"/>
                <w:szCs w:val="16"/>
              </w:rPr>
            </w:pPr>
            <w:r w:rsidRPr="009055A9">
              <w:rPr>
                <w:rFonts w:asciiTheme="minorHAnsi" w:hAnsiTheme="minorHAnsi" w:cstheme="minorHAnsi"/>
                <w:color w:val="000000"/>
                <w:sz w:val="16"/>
                <w:szCs w:val="16"/>
              </w:rPr>
              <w:t>2,883</w:t>
            </w:r>
          </w:p>
        </w:tc>
        <w:tc>
          <w:tcPr>
            <w:tcW w:w="148" w:type="pct"/>
            <w:tcMar>
              <w:left w:w="0" w:type="dxa"/>
              <w:right w:w="43" w:type="dxa"/>
            </w:tcMar>
            <w:vAlign w:val="center"/>
          </w:tcPr>
          <w:p w:rsidRPr="009055A9" w:rsidR="0023718B" w:rsidP="000E31AA" w:rsidRDefault="0023718B" w14:paraId="6E55BC3D" w14:textId="0D8D0F26">
            <w:pPr>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96" w:type="pct"/>
            <w:tcMar>
              <w:left w:w="0" w:type="dxa"/>
              <w:right w:w="43" w:type="dxa"/>
            </w:tcMar>
            <w:vAlign w:val="center"/>
          </w:tcPr>
          <w:p w:rsidRPr="009055A9" w:rsidR="0023718B" w:rsidP="000E31AA" w:rsidRDefault="0023718B" w14:paraId="0483FF1D" w14:textId="778AE743">
            <w:pPr>
              <w:jc w:val="right"/>
              <w:rPr>
                <w:rFonts w:asciiTheme="minorHAnsi" w:hAnsiTheme="minorHAnsi" w:cstheme="minorHAnsi"/>
                <w:sz w:val="16"/>
                <w:szCs w:val="16"/>
              </w:rPr>
            </w:pPr>
            <w:r w:rsidRPr="009055A9">
              <w:rPr>
                <w:rFonts w:asciiTheme="minorHAnsi" w:hAnsiTheme="minorHAnsi" w:cstheme="minorHAnsi"/>
                <w:color w:val="000000"/>
                <w:sz w:val="16"/>
                <w:szCs w:val="16"/>
              </w:rPr>
              <w:t>1,469</w:t>
            </w:r>
          </w:p>
        </w:tc>
        <w:tc>
          <w:tcPr>
            <w:tcW w:w="143" w:type="pct"/>
            <w:tcMar>
              <w:left w:w="0" w:type="dxa"/>
              <w:right w:w="43" w:type="dxa"/>
            </w:tcMar>
            <w:vAlign w:val="center"/>
          </w:tcPr>
          <w:p w:rsidRPr="009055A9" w:rsidR="0023718B" w:rsidP="000E31AA" w:rsidRDefault="0023718B" w14:paraId="3F057CEA" w14:textId="26D6F9F7">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8" w:type="pct"/>
            <w:shd w:val="clear" w:color="000000" w:fill="FFFFFF"/>
            <w:noWrap/>
            <w:tcMar>
              <w:left w:w="0" w:type="dxa"/>
              <w:right w:w="43" w:type="dxa"/>
            </w:tcMar>
            <w:vAlign w:val="center"/>
          </w:tcPr>
          <w:p w:rsidRPr="003148DB" w:rsidR="0023718B" w:rsidP="000E31AA" w:rsidRDefault="0023718B" w14:paraId="018932CD" w14:textId="6B0D8251">
            <w:pPr>
              <w:jc w:val="right"/>
              <w:rPr>
                <w:rFonts w:asciiTheme="minorHAnsi" w:hAnsiTheme="minorHAnsi" w:cstheme="minorHAnsi"/>
                <w:sz w:val="16"/>
                <w:szCs w:val="16"/>
              </w:rPr>
            </w:pPr>
            <w:r w:rsidRPr="003148DB">
              <w:rPr>
                <w:rFonts w:asciiTheme="minorHAnsi" w:hAnsiTheme="minorHAnsi" w:cstheme="minorHAnsi"/>
                <w:color w:val="000000"/>
                <w:sz w:val="16"/>
                <w:szCs w:val="16"/>
              </w:rPr>
              <w:t>2,475</w:t>
            </w:r>
          </w:p>
        </w:tc>
        <w:tc>
          <w:tcPr>
            <w:tcW w:w="151" w:type="pct"/>
            <w:shd w:val="clear" w:color="000000" w:fill="FFFFFF"/>
            <w:noWrap/>
            <w:tcMar>
              <w:left w:w="0" w:type="dxa"/>
              <w:right w:w="43" w:type="dxa"/>
            </w:tcMar>
            <w:vAlign w:val="center"/>
          </w:tcPr>
          <w:p w:rsidRPr="003148DB" w:rsidR="0023718B" w:rsidP="000E31AA" w:rsidRDefault="0023718B" w14:paraId="076E8385" w14:textId="004D48BA">
            <w:pPr>
              <w:jc w:val="right"/>
              <w:rPr>
                <w:rFonts w:asciiTheme="minorHAnsi" w:hAnsiTheme="minorHAnsi" w:cstheme="minorHAnsi"/>
                <w:sz w:val="16"/>
                <w:szCs w:val="16"/>
              </w:rPr>
            </w:pPr>
            <w:r w:rsidRPr="003148DB">
              <w:rPr>
                <w:rFonts w:asciiTheme="minorHAnsi" w:hAnsiTheme="minorHAnsi" w:cstheme="minorHAnsi"/>
                <w:color w:val="000000"/>
                <w:sz w:val="16"/>
                <w:szCs w:val="16"/>
              </w:rPr>
              <w:t>13.7</w:t>
            </w:r>
          </w:p>
        </w:tc>
      </w:tr>
      <w:tr w:rsidRPr="003148DB" w:rsidR="0023718B" w:rsidTr="000D41FC" w14:paraId="099E1685"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77FFFA10"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707C789C" w14:textId="0D066E37">
            <w:pPr>
              <w:rPr>
                <w:rFonts w:asciiTheme="minorHAnsi" w:hAnsiTheme="minorHAnsi" w:cstheme="minorHAnsi"/>
                <w:sz w:val="16"/>
                <w:szCs w:val="16"/>
              </w:rPr>
            </w:pPr>
            <w:r w:rsidRPr="009055A9">
              <w:rPr>
                <w:rFonts w:asciiTheme="minorHAnsi" w:hAnsiTheme="minorHAnsi" w:cstheme="minorHAnsi"/>
                <w:sz w:val="16"/>
                <w:szCs w:val="16"/>
              </w:rPr>
              <w:t>Entergy Nuclear</w:t>
            </w:r>
          </w:p>
        </w:tc>
        <w:tc>
          <w:tcPr>
            <w:tcW w:w="321" w:type="pct"/>
            <w:shd w:val="clear" w:color="auto" w:fill="auto"/>
            <w:noWrap/>
            <w:tcMar>
              <w:left w:w="58" w:type="dxa"/>
              <w:right w:w="29" w:type="dxa"/>
            </w:tcMar>
            <w:vAlign w:val="center"/>
            <w:hideMark/>
          </w:tcPr>
          <w:p w:rsidRPr="009055A9" w:rsidR="0023718B" w:rsidP="000E31AA" w:rsidRDefault="0023718B" w14:paraId="722BFBCB" w14:textId="5F27F55A">
            <w:pPr>
              <w:rPr>
                <w:rFonts w:asciiTheme="minorHAnsi" w:hAnsiTheme="minorHAnsi" w:cstheme="minorHAnsi"/>
                <w:sz w:val="16"/>
                <w:szCs w:val="16"/>
              </w:rPr>
            </w:pPr>
            <w:proofErr w:type="spellStart"/>
            <w:r w:rsidRPr="009055A9">
              <w:rPr>
                <w:rFonts w:asciiTheme="minorHAnsi" w:hAnsiTheme="minorHAnsi" w:cstheme="minorHAnsi"/>
                <w:sz w:val="16"/>
                <w:szCs w:val="16"/>
              </w:rPr>
              <w:t>FitzPatrick</w:t>
            </w:r>
            <w:proofErr w:type="spellEnd"/>
          </w:p>
        </w:tc>
        <w:tc>
          <w:tcPr>
            <w:tcW w:w="123" w:type="pct"/>
            <w:shd w:val="clear" w:color="auto" w:fill="auto"/>
            <w:noWrap/>
            <w:tcMar>
              <w:left w:w="58" w:type="dxa"/>
              <w:right w:w="58" w:type="dxa"/>
            </w:tcMar>
            <w:vAlign w:val="center"/>
            <w:hideMark/>
          </w:tcPr>
          <w:p w:rsidRPr="009055A9" w:rsidR="0023718B" w:rsidP="000E31AA" w:rsidRDefault="0023718B" w14:paraId="1C679628" w14:textId="621DC1BE">
            <w:pPr>
              <w:jc w:val="center"/>
              <w:rPr>
                <w:rFonts w:asciiTheme="minorHAnsi" w:hAnsiTheme="minorHAnsi" w:cstheme="minorHAnsi"/>
                <w:sz w:val="16"/>
                <w:szCs w:val="16"/>
              </w:rPr>
            </w:pPr>
            <w:r w:rsidRPr="009055A9">
              <w:rPr>
                <w:rFonts w:asciiTheme="minorHAnsi" w:hAnsiTheme="minorHAnsi" w:cstheme="minorHAnsi"/>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4CF8364D" w14:textId="2043C8C3">
            <w:pPr>
              <w:jc w:val="right"/>
              <w:rPr>
                <w:rFonts w:asciiTheme="minorHAnsi" w:hAnsiTheme="minorHAnsi" w:cstheme="minorHAnsi"/>
                <w:sz w:val="16"/>
                <w:szCs w:val="16"/>
              </w:rPr>
            </w:pPr>
            <w:r w:rsidRPr="009055A9">
              <w:rPr>
                <w:rFonts w:asciiTheme="minorHAnsi" w:hAnsiTheme="minorHAnsi" w:cstheme="minorHAnsi"/>
                <w:sz w:val="16"/>
                <w:szCs w:val="16"/>
              </w:rPr>
              <w:t>829</w:t>
            </w:r>
          </w:p>
        </w:tc>
        <w:tc>
          <w:tcPr>
            <w:tcW w:w="123" w:type="pct"/>
            <w:shd w:val="clear" w:color="auto" w:fill="auto"/>
            <w:noWrap/>
            <w:tcMar>
              <w:left w:w="0" w:type="dxa"/>
              <w:right w:w="43" w:type="dxa"/>
            </w:tcMar>
            <w:vAlign w:val="center"/>
            <w:hideMark/>
          </w:tcPr>
          <w:p w:rsidRPr="009055A9" w:rsidR="0023718B" w:rsidP="000E31AA" w:rsidRDefault="0023718B" w14:paraId="69480388" w14:textId="4DF60E29">
            <w:pPr>
              <w:jc w:val="right"/>
              <w:rPr>
                <w:rFonts w:asciiTheme="minorHAnsi" w:hAnsiTheme="minorHAnsi" w:cstheme="minorHAnsi"/>
                <w:sz w:val="16"/>
                <w:szCs w:val="16"/>
              </w:rPr>
            </w:pPr>
            <w:r w:rsidRPr="009055A9">
              <w:rPr>
                <w:rFonts w:asciiTheme="minorHAnsi" w:hAnsiTheme="minorHAnsi" w:cstheme="minorHAnsi"/>
                <w:sz w:val="16"/>
                <w:szCs w:val="16"/>
              </w:rPr>
              <w:t>2</w:t>
            </w:r>
          </w:p>
        </w:tc>
        <w:tc>
          <w:tcPr>
            <w:tcW w:w="170" w:type="pct"/>
            <w:shd w:val="clear" w:color="auto" w:fill="auto"/>
            <w:noWrap/>
            <w:tcMar>
              <w:left w:w="0" w:type="dxa"/>
              <w:right w:w="43" w:type="dxa"/>
            </w:tcMar>
            <w:vAlign w:val="center"/>
            <w:hideMark/>
          </w:tcPr>
          <w:p w:rsidRPr="009055A9" w:rsidR="0023718B" w:rsidP="000E31AA" w:rsidRDefault="0023718B" w14:paraId="0ABC7743" w14:textId="15276C81">
            <w:pPr>
              <w:jc w:val="right"/>
              <w:rPr>
                <w:rFonts w:asciiTheme="minorHAnsi" w:hAnsiTheme="minorHAnsi" w:cstheme="minorHAnsi"/>
                <w:sz w:val="16"/>
                <w:szCs w:val="16"/>
              </w:rPr>
            </w:pPr>
            <w:r w:rsidRPr="009055A9">
              <w:rPr>
                <w:rFonts w:asciiTheme="minorHAnsi" w:hAnsiTheme="minorHAnsi" w:cstheme="minorHAnsi"/>
                <w:sz w:val="16"/>
                <w:szCs w:val="16"/>
              </w:rPr>
              <w:t>2,135</w:t>
            </w:r>
          </w:p>
        </w:tc>
        <w:tc>
          <w:tcPr>
            <w:tcW w:w="125" w:type="pct"/>
            <w:shd w:val="clear" w:color="auto" w:fill="auto"/>
            <w:noWrap/>
            <w:tcMar>
              <w:left w:w="0" w:type="dxa"/>
              <w:right w:w="43" w:type="dxa"/>
            </w:tcMar>
            <w:vAlign w:val="center"/>
            <w:hideMark/>
          </w:tcPr>
          <w:p w:rsidRPr="009055A9" w:rsidR="0023718B" w:rsidP="000E31AA" w:rsidRDefault="0023718B" w14:paraId="7B380CAB" w14:textId="028284EF">
            <w:pPr>
              <w:jc w:val="right"/>
              <w:rPr>
                <w:rFonts w:asciiTheme="minorHAnsi" w:hAnsiTheme="minorHAnsi" w:cstheme="minorHAnsi"/>
                <w:sz w:val="16"/>
                <w:szCs w:val="16"/>
              </w:rPr>
            </w:pPr>
            <w:r w:rsidRPr="009055A9">
              <w:rPr>
                <w:rFonts w:asciiTheme="minorHAnsi" w:hAnsiTheme="minorHAnsi" w:cstheme="minorHAnsi"/>
                <w:sz w:val="16"/>
                <w:szCs w:val="16"/>
              </w:rPr>
              <w:t>10</w:t>
            </w:r>
          </w:p>
        </w:tc>
        <w:tc>
          <w:tcPr>
            <w:tcW w:w="172" w:type="pct"/>
            <w:shd w:val="clear" w:color="auto" w:fill="auto"/>
            <w:noWrap/>
            <w:tcMar>
              <w:left w:w="0" w:type="dxa"/>
              <w:right w:w="43" w:type="dxa"/>
            </w:tcMar>
            <w:vAlign w:val="center"/>
            <w:hideMark/>
          </w:tcPr>
          <w:p w:rsidRPr="009055A9" w:rsidR="0023718B" w:rsidP="000E31AA" w:rsidRDefault="0023718B" w14:paraId="304AF954" w14:textId="01829987">
            <w:pPr>
              <w:jc w:val="right"/>
              <w:rPr>
                <w:rFonts w:asciiTheme="minorHAnsi" w:hAnsiTheme="minorHAnsi" w:cstheme="minorHAnsi"/>
                <w:sz w:val="16"/>
                <w:szCs w:val="16"/>
              </w:rPr>
            </w:pPr>
            <w:r w:rsidRPr="009055A9">
              <w:rPr>
                <w:rFonts w:asciiTheme="minorHAnsi" w:hAnsiTheme="minorHAnsi" w:cstheme="minorHAnsi"/>
                <w:sz w:val="16"/>
                <w:szCs w:val="16"/>
              </w:rPr>
              <w:t>757</w:t>
            </w:r>
          </w:p>
        </w:tc>
        <w:tc>
          <w:tcPr>
            <w:tcW w:w="123" w:type="pct"/>
            <w:shd w:val="clear" w:color="auto" w:fill="auto"/>
            <w:noWrap/>
            <w:tcMar>
              <w:left w:w="0" w:type="dxa"/>
              <w:right w:w="43" w:type="dxa"/>
            </w:tcMar>
            <w:vAlign w:val="center"/>
            <w:hideMark/>
          </w:tcPr>
          <w:p w:rsidRPr="009055A9" w:rsidR="0023718B" w:rsidP="000E31AA" w:rsidRDefault="0023718B" w14:paraId="474BD312" w14:textId="1A467E5D">
            <w:pPr>
              <w:jc w:val="right"/>
              <w:rPr>
                <w:rFonts w:asciiTheme="minorHAnsi" w:hAnsiTheme="minorHAnsi" w:cstheme="minorHAnsi"/>
                <w:sz w:val="16"/>
                <w:szCs w:val="16"/>
              </w:rPr>
            </w:pPr>
            <w:r w:rsidRPr="009055A9">
              <w:rPr>
                <w:rFonts w:asciiTheme="minorHAnsi" w:hAnsiTheme="minorHAnsi" w:cstheme="minorHAnsi"/>
                <w:sz w:val="16"/>
                <w:szCs w:val="16"/>
              </w:rPr>
              <w:t>3</w:t>
            </w:r>
          </w:p>
        </w:tc>
        <w:tc>
          <w:tcPr>
            <w:tcW w:w="194" w:type="pct"/>
            <w:shd w:val="clear" w:color="auto" w:fill="auto"/>
            <w:noWrap/>
            <w:tcMar>
              <w:left w:w="0" w:type="dxa"/>
              <w:right w:w="43" w:type="dxa"/>
            </w:tcMar>
            <w:vAlign w:val="center"/>
            <w:hideMark/>
          </w:tcPr>
          <w:p w:rsidRPr="009055A9" w:rsidR="0023718B" w:rsidP="000E31AA" w:rsidRDefault="0023718B" w14:paraId="42ED4549" w14:textId="18B215CB">
            <w:pPr>
              <w:jc w:val="right"/>
              <w:rPr>
                <w:rFonts w:asciiTheme="minorHAnsi" w:hAnsiTheme="minorHAnsi" w:cstheme="minorHAnsi"/>
                <w:sz w:val="16"/>
                <w:szCs w:val="16"/>
              </w:rPr>
            </w:pPr>
            <w:r w:rsidRPr="009055A9">
              <w:rPr>
                <w:rFonts w:asciiTheme="minorHAnsi" w:hAnsiTheme="minorHAnsi" w:cstheme="minorHAnsi"/>
                <w:sz w:val="16"/>
                <w:szCs w:val="16"/>
              </w:rPr>
              <w:t>2,078</w:t>
            </w:r>
          </w:p>
        </w:tc>
        <w:tc>
          <w:tcPr>
            <w:tcW w:w="123" w:type="pct"/>
            <w:shd w:val="clear" w:color="auto" w:fill="auto"/>
            <w:noWrap/>
            <w:tcMar>
              <w:left w:w="0" w:type="dxa"/>
              <w:right w:w="43" w:type="dxa"/>
            </w:tcMar>
            <w:vAlign w:val="center"/>
            <w:hideMark/>
          </w:tcPr>
          <w:p w:rsidRPr="009055A9" w:rsidR="0023718B" w:rsidP="000E31AA" w:rsidRDefault="0023718B" w14:paraId="2387E301" w14:textId="67F69497">
            <w:pPr>
              <w:jc w:val="right"/>
              <w:rPr>
                <w:rFonts w:asciiTheme="minorHAnsi" w:hAnsiTheme="minorHAnsi" w:cstheme="minorHAnsi"/>
                <w:sz w:val="16"/>
                <w:szCs w:val="16"/>
              </w:rPr>
            </w:pPr>
            <w:r w:rsidRPr="009055A9">
              <w:rPr>
                <w:rFonts w:asciiTheme="minorHAnsi" w:hAnsiTheme="minorHAnsi" w:cstheme="minorHAnsi"/>
                <w:sz w:val="16"/>
                <w:szCs w:val="16"/>
              </w:rPr>
              <w:t>12</w:t>
            </w:r>
          </w:p>
        </w:tc>
        <w:tc>
          <w:tcPr>
            <w:tcW w:w="197" w:type="pct"/>
            <w:shd w:val="clear" w:color="auto" w:fill="auto"/>
            <w:noWrap/>
            <w:tcMar>
              <w:left w:w="0" w:type="dxa"/>
              <w:right w:w="43" w:type="dxa"/>
            </w:tcMar>
            <w:vAlign w:val="center"/>
            <w:hideMark/>
          </w:tcPr>
          <w:p w:rsidRPr="009055A9" w:rsidR="0023718B" w:rsidP="000E31AA" w:rsidRDefault="0023718B" w14:paraId="2F1C5CE7" w14:textId="54CCB6CD">
            <w:pPr>
              <w:jc w:val="right"/>
              <w:rPr>
                <w:rFonts w:asciiTheme="minorHAnsi" w:hAnsiTheme="minorHAnsi" w:cstheme="minorHAnsi"/>
                <w:sz w:val="16"/>
                <w:szCs w:val="16"/>
              </w:rPr>
            </w:pPr>
            <w:r w:rsidRPr="009055A9">
              <w:rPr>
                <w:rFonts w:asciiTheme="minorHAnsi" w:hAnsiTheme="minorHAnsi" w:cstheme="minorHAnsi"/>
                <w:sz w:val="16"/>
                <w:szCs w:val="16"/>
              </w:rPr>
              <w:t>802</w:t>
            </w:r>
          </w:p>
        </w:tc>
        <w:tc>
          <w:tcPr>
            <w:tcW w:w="125" w:type="pct"/>
            <w:shd w:val="clear" w:color="auto" w:fill="auto"/>
            <w:noWrap/>
            <w:tcMar>
              <w:left w:w="0" w:type="dxa"/>
              <w:right w:w="43" w:type="dxa"/>
            </w:tcMar>
            <w:vAlign w:val="center"/>
            <w:hideMark/>
          </w:tcPr>
          <w:p w:rsidRPr="009055A9" w:rsidR="0023718B" w:rsidP="000E31AA" w:rsidRDefault="0023718B" w14:paraId="6E24E4F4" w14:textId="765AD492">
            <w:pPr>
              <w:jc w:val="right"/>
              <w:rPr>
                <w:rFonts w:asciiTheme="minorHAnsi" w:hAnsiTheme="minorHAnsi" w:cstheme="minorHAnsi"/>
                <w:sz w:val="16"/>
                <w:szCs w:val="16"/>
              </w:rPr>
            </w:pPr>
            <w:r w:rsidRPr="009055A9">
              <w:rPr>
                <w:rFonts w:asciiTheme="minorHAnsi" w:hAnsiTheme="minorHAnsi" w:cstheme="minorHAnsi"/>
                <w:sz w:val="16"/>
                <w:szCs w:val="16"/>
              </w:rPr>
              <w:t>2</w:t>
            </w:r>
          </w:p>
        </w:tc>
        <w:tc>
          <w:tcPr>
            <w:tcW w:w="170" w:type="pct"/>
            <w:shd w:val="clear" w:color="auto" w:fill="auto"/>
            <w:noWrap/>
            <w:tcMar>
              <w:left w:w="0" w:type="dxa"/>
              <w:right w:w="43" w:type="dxa"/>
            </w:tcMar>
            <w:vAlign w:val="center"/>
            <w:hideMark/>
          </w:tcPr>
          <w:p w:rsidRPr="009055A9" w:rsidR="0023718B" w:rsidP="000E31AA" w:rsidRDefault="0023718B" w14:paraId="18705915" w14:textId="4BCE4F57">
            <w:pPr>
              <w:jc w:val="right"/>
              <w:rPr>
                <w:rFonts w:asciiTheme="minorHAnsi" w:hAnsiTheme="minorHAnsi" w:cstheme="minorHAnsi"/>
                <w:sz w:val="16"/>
                <w:szCs w:val="16"/>
              </w:rPr>
            </w:pPr>
            <w:r w:rsidRPr="009055A9">
              <w:rPr>
                <w:rFonts w:asciiTheme="minorHAnsi" w:hAnsiTheme="minorHAnsi" w:cstheme="minorHAnsi"/>
                <w:sz w:val="16"/>
                <w:szCs w:val="16"/>
              </w:rPr>
              <w:t>2,288</w:t>
            </w:r>
          </w:p>
        </w:tc>
        <w:tc>
          <w:tcPr>
            <w:tcW w:w="148" w:type="pct"/>
            <w:shd w:val="clear" w:color="auto" w:fill="auto"/>
            <w:noWrap/>
            <w:tcMar>
              <w:left w:w="0" w:type="dxa"/>
              <w:right w:w="43" w:type="dxa"/>
            </w:tcMar>
            <w:vAlign w:val="center"/>
            <w:hideMark/>
          </w:tcPr>
          <w:p w:rsidRPr="009055A9" w:rsidR="0023718B" w:rsidP="000E31AA" w:rsidRDefault="0023718B" w14:paraId="29163899" w14:textId="10E28C76">
            <w:pPr>
              <w:jc w:val="right"/>
              <w:rPr>
                <w:rFonts w:asciiTheme="minorHAnsi" w:hAnsiTheme="minorHAnsi" w:cstheme="minorHAnsi"/>
                <w:sz w:val="16"/>
                <w:szCs w:val="16"/>
              </w:rPr>
            </w:pPr>
            <w:r w:rsidRPr="009055A9">
              <w:rPr>
                <w:rFonts w:asciiTheme="minorHAnsi" w:hAnsiTheme="minorHAnsi" w:cstheme="minorHAnsi"/>
                <w:sz w:val="16"/>
                <w:szCs w:val="16"/>
              </w:rPr>
              <w:t>10</w:t>
            </w:r>
          </w:p>
        </w:tc>
        <w:tc>
          <w:tcPr>
            <w:tcW w:w="172" w:type="pct"/>
            <w:tcMar>
              <w:left w:w="0" w:type="dxa"/>
              <w:right w:w="43" w:type="dxa"/>
            </w:tcMar>
            <w:vAlign w:val="center"/>
          </w:tcPr>
          <w:p w:rsidRPr="009055A9" w:rsidR="0023718B" w:rsidP="000E31AA" w:rsidRDefault="0023718B" w14:paraId="1777D432" w14:textId="5E33429D">
            <w:pPr>
              <w:jc w:val="right"/>
              <w:rPr>
                <w:rFonts w:asciiTheme="minorHAnsi" w:hAnsiTheme="minorHAnsi" w:cstheme="minorHAnsi"/>
                <w:sz w:val="16"/>
                <w:szCs w:val="16"/>
              </w:rPr>
            </w:pPr>
            <w:r w:rsidRPr="009055A9">
              <w:rPr>
                <w:rFonts w:asciiTheme="minorHAnsi" w:hAnsiTheme="minorHAnsi" w:cstheme="minorHAnsi"/>
                <w:sz w:val="16"/>
                <w:szCs w:val="16"/>
              </w:rPr>
              <w:t>750</w:t>
            </w:r>
          </w:p>
        </w:tc>
        <w:tc>
          <w:tcPr>
            <w:tcW w:w="124" w:type="pct"/>
            <w:tcMar>
              <w:left w:w="0" w:type="dxa"/>
              <w:right w:w="43" w:type="dxa"/>
            </w:tcMar>
            <w:vAlign w:val="center"/>
          </w:tcPr>
          <w:p w:rsidRPr="009055A9" w:rsidR="0023718B" w:rsidP="000E31AA" w:rsidRDefault="0023718B" w14:paraId="1CCF0006" w14:textId="6F8F6044">
            <w:pPr>
              <w:jc w:val="right"/>
              <w:rPr>
                <w:rFonts w:asciiTheme="minorHAnsi" w:hAnsiTheme="minorHAnsi" w:cstheme="minorHAnsi"/>
                <w:sz w:val="16"/>
                <w:szCs w:val="16"/>
              </w:rPr>
            </w:pPr>
            <w:r w:rsidRPr="009055A9">
              <w:rPr>
                <w:rFonts w:asciiTheme="minorHAnsi" w:hAnsiTheme="minorHAnsi" w:cstheme="minorHAnsi"/>
                <w:sz w:val="16"/>
                <w:szCs w:val="16"/>
              </w:rPr>
              <w:t>4</w:t>
            </w:r>
          </w:p>
        </w:tc>
        <w:tc>
          <w:tcPr>
            <w:tcW w:w="173" w:type="pct"/>
            <w:tcMar>
              <w:left w:w="0" w:type="dxa"/>
              <w:right w:w="43" w:type="dxa"/>
            </w:tcMar>
            <w:vAlign w:val="center"/>
          </w:tcPr>
          <w:p w:rsidRPr="009055A9" w:rsidR="0023718B" w:rsidP="000E31AA" w:rsidRDefault="0023718B" w14:paraId="035CE276" w14:textId="6A6D0BBC">
            <w:pPr>
              <w:jc w:val="right"/>
              <w:rPr>
                <w:rFonts w:asciiTheme="minorHAnsi" w:hAnsiTheme="minorHAnsi" w:cstheme="minorHAnsi"/>
                <w:sz w:val="16"/>
                <w:szCs w:val="16"/>
              </w:rPr>
            </w:pPr>
            <w:r w:rsidRPr="009055A9">
              <w:rPr>
                <w:rFonts w:asciiTheme="minorHAnsi" w:hAnsiTheme="minorHAnsi" w:cstheme="minorHAnsi"/>
                <w:sz w:val="16"/>
                <w:szCs w:val="16"/>
              </w:rPr>
              <w:t>1,178</w:t>
            </w:r>
          </w:p>
        </w:tc>
        <w:tc>
          <w:tcPr>
            <w:tcW w:w="146" w:type="pct"/>
            <w:tcMar>
              <w:left w:w="0" w:type="dxa"/>
              <w:right w:w="43" w:type="dxa"/>
            </w:tcMar>
            <w:vAlign w:val="center"/>
          </w:tcPr>
          <w:p w:rsidRPr="009055A9" w:rsidR="0023718B" w:rsidP="000E31AA" w:rsidRDefault="0023718B" w14:paraId="53167D3C" w14:textId="74680F06">
            <w:pPr>
              <w:jc w:val="right"/>
              <w:rPr>
                <w:rFonts w:asciiTheme="minorHAnsi" w:hAnsiTheme="minorHAnsi" w:cstheme="minorHAnsi"/>
                <w:sz w:val="16"/>
                <w:szCs w:val="16"/>
              </w:rPr>
            </w:pPr>
            <w:r w:rsidRPr="009055A9">
              <w:rPr>
                <w:rFonts w:asciiTheme="minorHAnsi" w:hAnsiTheme="minorHAnsi" w:cstheme="minorHAnsi"/>
                <w:sz w:val="16"/>
                <w:szCs w:val="16"/>
              </w:rPr>
              <w:t>7</w:t>
            </w:r>
          </w:p>
        </w:tc>
        <w:tc>
          <w:tcPr>
            <w:tcW w:w="175" w:type="pct"/>
            <w:tcMar>
              <w:left w:w="0" w:type="dxa"/>
              <w:right w:w="43" w:type="dxa"/>
            </w:tcMar>
            <w:vAlign w:val="center"/>
          </w:tcPr>
          <w:p w:rsidRPr="009055A9" w:rsidR="0023718B" w:rsidP="000E31AA" w:rsidRDefault="0023718B" w14:paraId="05D4788D" w14:textId="57155051">
            <w:pPr>
              <w:jc w:val="right"/>
              <w:rPr>
                <w:rFonts w:asciiTheme="minorHAnsi" w:hAnsiTheme="minorHAnsi" w:cstheme="minorHAnsi"/>
                <w:sz w:val="16"/>
                <w:szCs w:val="16"/>
              </w:rPr>
            </w:pPr>
            <w:r w:rsidRPr="009055A9">
              <w:rPr>
                <w:rFonts w:asciiTheme="minorHAnsi" w:hAnsiTheme="minorHAnsi" w:cstheme="minorHAnsi"/>
                <w:sz w:val="16"/>
                <w:szCs w:val="16"/>
              </w:rPr>
              <w:t>2,129</w:t>
            </w:r>
          </w:p>
        </w:tc>
        <w:tc>
          <w:tcPr>
            <w:tcW w:w="149" w:type="pct"/>
            <w:tcMar>
              <w:left w:w="0" w:type="dxa"/>
              <w:right w:w="43" w:type="dxa"/>
            </w:tcMar>
            <w:vAlign w:val="center"/>
          </w:tcPr>
          <w:p w:rsidRPr="009055A9" w:rsidR="0023718B" w:rsidP="000E31AA" w:rsidRDefault="0023718B" w14:paraId="0D5E9CDC" w14:textId="67B70612">
            <w:pPr>
              <w:jc w:val="right"/>
              <w:rPr>
                <w:rFonts w:asciiTheme="minorHAnsi" w:hAnsiTheme="minorHAnsi" w:cstheme="minorHAnsi"/>
                <w:sz w:val="16"/>
                <w:szCs w:val="16"/>
              </w:rPr>
            </w:pPr>
            <w:r w:rsidRPr="009055A9">
              <w:rPr>
                <w:rFonts w:asciiTheme="minorHAnsi" w:hAnsiTheme="minorHAnsi" w:cstheme="minorHAnsi"/>
                <w:sz w:val="16"/>
                <w:szCs w:val="16"/>
              </w:rPr>
              <w:t>11</w:t>
            </w:r>
          </w:p>
        </w:tc>
        <w:tc>
          <w:tcPr>
            <w:tcW w:w="197" w:type="pct"/>
            <w:tcMar>
              <w:left w:w="0" w:type="dxa"/>
              <w:right w:w="43" w:type="dxa"/>
            </w:tcMar>
            <w:vAlign w:val="center"/>
          </w:tcPr>
          <w:p w:rsidRPr="009055A9" w:rsidR="0023718B" w:rsidP="000E31AA" w:rsidRDefault="0023718B" w14:paraId="4026AA48" w14:textId="7370C7CA">
            <w:pPr>
              <w:jc w:val="right"/>
              <w:rPr>
                <w:rFonts w:asciiTheme="minorHAnsi" w:hAnsiTheme="minorHAnsi" w:cstheme="minorHAnsi"/>
                <w:sz w:val="16"/>
                <w:szCs w:val="16"/>
              </w:rPr>
            </w:pPr>
            <w:r w:rsidRPr="009055A9">
              <w:rPr>
                <w:rFonts w:asciiTheme="minorHAnsi" w:hAnsiTheme="minorHAnsi" w:cstheme="minorHAnsi"/>
                <w:sz w:val="16"/>
                <w:szCs w:val="16"/>
              </w:rPr>
              <w:t>2,167</w:t>
            </w:r>
          </w:p>
        </w:tc>
        <w:tc>
          <w:tcPr>
            <w:tcW w:w="148" w:type="pct"/>
            <w:tcMar>
              <w:left w:w="0" w:type="dxa"/>
              <w:right w:w="43" w:type="dxa"/>
            </w:tcMar>
            <w:vAlign w:val="center"/>
          </w:tcPr>
          <w:p w:rsidRPr="009055A9" w:rsidR="0023718B" w:rsidP="000E31AA" w:rsidRDefault="0023718B" w14:paraId="015B03D6" w14:textId="48AD75C3">
            <w:pPr>
              <w:jc w:val="right"/>
              <w:rPr>
                <w:rFonts w:asciiTheme="minorHAnsi" w:hAnsiTheme="minorHAnsi" w:cstheme="minorHAnsi"/>
                <w:sz w:val="16"/>
                <w:szCs w:val="16"/>
              </w:rPr>
            </w:pPr>
            <w:r w:rsidRPr="009055A9">
              <w:rPr>
                <w:rFonts w:asciiTheme="minorHAnsi" w:hAnsiTheme="minorHAnsi" w:cstheme="minorHAnsi"/>
                <w:sz w:val="16"/>
                <w:szCs w:val="16"/>
              </w:rPr>
              <w:t>15</w:t>
            </w:r>
          </w:p>
        </w:tc>
        <w:tc>
          <w:tcPr>
            <w:tcW w:w="196" w:type="pct"/>
            <w:tcMar>
              <w:left w:w="0" w:type="dxa"/>
              <w:right w:w="43" w:type="dxa"/>
            </w:tcMar>
            <w:vAlign w:val="center"/>
          </w:tcPr>
          <w:p w:rsidRPr="009055A9" w:rsidR="0023718B" w:rsidP="000E31AA" w:rsidRDefault="0023718B" w14:paraId="3A4EEB45" w14:textId="418B8A8A">
            <w:pPr>
              <w:jc w:val="right"/>
              <w:rPr>
                <w:rFonts w:asciiTheme="minorHAnsi" w:hAnsiTheme="minorHAnsi" w:cstheme="minorHAnsi"/>
                <w:sz w:val="16"/>
                <w:szCs w:val="16"/>
              </w:rPr>
            </w:pPr>
            <w:r w:rsidRPr="009055A9">
              <w:rPr>
                <w:rFonts w:asciiTheme="minorHAnsi" w:hAnsiTheme="minorHAnsi" w:cstheme="minorHAnsi"/>
                <w:sz w:val="16"/>
                <w:szCs w:val="16"/>
              </w:rPr>
              <w:t>566</w:t>
            </w:r>
          </w:p>
        </w:tc>
        <w:tc>
          <w:tcPr>
            <w:tcW w:w="143" w:type="pct"/>
            <w:tcMar>
              <w:left w:w="0" w:type="dxa"/>
              <w:right w:w="43" w:type="dxa"/>
            </w:tcMar>
            <w:vAlign w:val="center"/>
          </w:tcPr>
          <w:p w:rsidRPr="009055A9" w:rsidR="0023718B" w:rsidP="000E31AA" w:rsidRDefault="0023718B" w14:paraId="1C599C54" w14:textId="214E9BAA">
            <w:pPr>
              <w:jc w:val="right"/>
              <w:rPr>
                <w:rFonts w:asciiTheme="minorHAnsi" w:hAnsiTheme="minorHAnsi" w:cstheme="minorHAnsi"/>
                <w:sz w:val="16"/>
                <w:szCs w:val="16"/>
              </w:rPr>
            </w:pPr>
            <w:r w:rsidRPr="009055A9">
              <w:rPr>
                <w:rFonts w:asciiTheme="minorHAnsi" w:hAnsiTheme="minorHAnsi" w:cstheme="minorHAnsi"/>
                <w:sz w:val="16"/>
                <w:szCs w:val="16"/>
              </w:rPr>
              <w:t>3</w:t>
            </w:r>
          </w:p>
        </w:tc>
        <w:tc>
          <w:tcPr>
            <w:tcW w:w="178" w:type="pct"/>
            <w:shd w:val="clear" w:color="000000" w:fill="FFFFFF"/>
            <w:noWrap/>
            <w:tcMar>
              <w:left w:w="0" w:type="dxa"/>
              <w:right w:w="43" w:type="dxa"/>
            </w:tcMar>
            <w:vAlign w:val="center"/>
          </w:tcPr>
          <w:p w:rsidRPr="003148DB" w:rsidR="0023718B" w:rsidP="000E31AA" w:rsidRDefault="0023718B" w14:paraId="54860160" w14:textId="2FEBBF3E">
            <w:pPr>
              <w:jc w:val="right"/>
              <w:rPr>
                <w:rFonts w:asciiTheme="minorHAnsi" w:hAnsiTheme="minorHAnsi" w:cstheme="minorHAnsi"/>
                <w:sz w:val="16"/>
                <w:szCs w:val="16"/>
              </w:rPr>
            </w:pPr>
            <w:r w:rsidRPr="003148DB">
              <w:rPr>
                <w:rFonts w:asciiTheme="minorHAnsi" w:hAnsiTheme="minorHAnsi" w:cstheme="minorHAnsi"/>
                <w:sz w:val="16"/>
                <w:szCs w:val="16"/>
              </w:rPr>
              <w:t>1,425</w:t>
            </w:r>
          </w:p>
        </w:tc>
        <w:tc>
          <w:tcPr>
            <w:tcW w:w="151" w:type="pct"/>
            <w:shd w:val="clear" w:color="000000" w:fill="FFFFFF"/>
            <w:noWrap/>
            <w:tcMar>
              <w:left w:w="0" w:type="dxa"/>
              <w:right w:w="43" w:type="dxa"/>
            </w:tcMar>
            <w:vAlign w:val="center"/>
          </w:tcPr>
          <w:p w:rsidRPr="003148DB" w:rsidR="0023718B" w:rsidP="000E31AA" w:rsidRDefault="0023718B" w14:paraId="33EF97C4" w14:textId="021485CB">
            <w:pPr>
              <w:jc w:val="right"/>
              <w:rPr>
                <w:rFonts w:asciiTheme="minorHAnsi" w:hAnsiTheme="minorHAnsi" w:cstheme="minorHAnsi"/>
                <w:sz w:val="16"/>
                <w:szCs w:val="16"/>
              </w:rPr>
            </w:pPr>
            <w:r w:rsidRPr="003148DB">
              <w:rPr>
                <w:rFonts w:asciiTheme="minorHAnsi" w:hAnsiTheme="minorHAnsi" w:cstheme="minorHAnsi"/>
                <w:sz w:val="16"/>
                <w:szCs w:val="16"/>
              </w:rPr>
              <w:t>7.2</w:t>
            </w:r>
          </w:p>
        </w:tc>
      </w:tr>
      <w:tr w:rsidRPr="003148DB" w:rsidR="0023718B" w:rsidTr="000D41FC" w14:paraId="24A3BF1A"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10D29767"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7A070EE6" w14:textId="51A1D887">
            <w:pPr>
              <w:rPr>
                <w:rFonts w:asciiTheme="minorHAnsi" w:hAnsiTheme="minorHAnsi" w:cstheme="minorHAnsi"/>
                <w:sz w:val="16"/>
                <w:szCs w:val="16"/>
              </w:rPr>
            </w:pPr>
            <w:r w:rsidRPr="009055A9">
              <w:rPr>
                <w:rFonts w:asciiTheme="minorHAnsi" w:hAnsiTheme="minorHAnsi" w:cstheme="minorHAnsi"/>
                <w:color w:val="000000"/>
                <w:sz w:val="16"/>
                <w:szCs w:val="16"/>
              </w:rPr>
              <w:t>Entergy Nuclear</w:t>
            </w:r>
          </w:p>
        </w:tc>
        <w:tc>
          <w:tcPr>
            <w:tcW w:w="321" w:type="pct"/>
            <w:shd w:val="clear" w:color="auto" w:fill="auto"/>
            <w:noWrap/>
            <w:tcMar>
              <w:left w:w="58" w:type="dxa"/>
              <w:right w:w="29" w:type="dxa"/>
            </w:tcMar>
            <w:vAlign w:val="center"/>
            <w:hideMark/>
          </w:tcPr>
          <w:p w:rsidRPr="009055A9" w:rsidR="0023718B" w:rsidP="000E31AA" w:rsidRDefault="0023718B" w14:paraId="7BD38E81" w14:textId="33F72144">
            <w:pPr>
              <w:rPr>
                <w:rFonts w:asciiTheme="minorHAnsi" w:hAnsiTheme="minorHAnsi" w:cstheme="minorHAnsi"/>
                <w:sz w:val="16"/>
                <w:szCs w:val="16"/>
              </w:rPr>
            </w:pPr>
            <w:r w:rsidRPr="009055A9">
              <w:rPr>
                <w:rFonts w:asciiTheme="minorHAnsi" w:hAnsiTheme="minorHAnsi" w:cstheme="minorHAnsi"/>
                <w:sz w:val="16"/>
                <w:szCs w:val="16"/>
              </w:rPr>
              <w:t>Grand Gulf</w:t>
            </w:r>
          </w:p>
        </w:tc>
        <w:tc>
          <w:tcPr>
            <w:tcW w:w="123" w:type="pct"/>
            <w:shd w:val="clear" w:color="auto" w:fill="auto"/>
            <w:noWrap/>
            <w:tcMar>
              <w:left w:w="58" w:type="dxa"/>
              <w:right w:w="58" w:type="dxa"/>
            </w:tcMar>
            <w:vAlign w:val="center"/>
            <w:hideMark/>
          </w:tcPr>
          <w:p w:rsidRPr="009055A9" w:rsidR="0023718B" w:rsidP="000E31AA" w:rsidRDefault="0023718B" w14:paraId="7E0EDBED" w14:textId="3BF241B9">
            <w:pPr>
              <w:jc w:val="center"/>
              <w:rPr>
                <w:rFonts w:asciiTheme="minorHAnsi" w:hAnsiTheme="minorHAnsi" w:cstheme="minorHAnsi"/>
                <w:sz w:val="16"/>
                <w:szCs w:val="16"/>
              </w:rPr>
            </w:pPr>
            <w:r w:rsidRPr="009055A9">
              <w:rPr>
                <w:rFonts w:asciiTheme="minorHAnsi" w:hAnsiTheme="minorHAnsi" w:cstheme="minorHAnsi"/>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1B18170D" w14:textId="674EDF5C">
            <w:pPr>
              <w:jc w:val="right"/>
              <w:rPr>
                <w:rFonts w:asciiTheme="minorHAnsi" w:hAnsiTheme="minorHAnsi" w:cstheme="minorHAnsi"/>
                <w:sz w:val="16"/>
                <w:szCs w:val="16"/>
              </w:rPr>
            </w:pPr>
            <w:r w:rsidRPr="009055A9">
              <w:rPr>
                <w:rFonts w:asciiTheme="minorHAnsi" w:hAnsiTheme="minorHAnsi" w:cstheme="minorHAnsi"/>
                <w:color w:val="000000"/>
                <w:sz w:val="16"/>
                <w:szCs w:val="16"/>
              </w:rPr>
              <w:t>1,202</w:t>
            </w:r>
          </w:p>
        </w:tc>
        <w:tc>
          <w:tcPr>
            <w:tcW w:w="123" w:type="pct"/>
            <w:shd w:val="clear" w:color="auto" w:fill="auto"/>
            <w:noWrap/>
            <w:tcMar>
              <w:left w:w="0" w:type="dxa"/>
              <w:right w:w="43" w:type="dxa"/>
            </w:tcMar>
            <w:vAlign w:val="center"/>
            <w:hideMark/>
          </w:tcPr>
          <w:p w:rsidRPr="009055A9" w:rsidR="0023718B" w:rsidP="000E31AA" w:rsidRDefault="0023718B" w14:paraId="0638FC42" w14:textId="22B990AA">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0" w:type="pct"/>
            <w:shd w:val="clear" w:color="auto" w:fill="auto"/>
            <w:noWrap/>
            <w:tcMar>
              <w:left w:w="0" w:type="dxa"/>
              <w:right w:w="43" w:type="dxa"/>
            </w:tcMar>
            <w:vAlign w:val="center"/>
            <w:hideMark/>
          </w:tcPr>
          <w:p w:rsidRPr="009055A9" w:rsidR="0023718B" w:rsidP="000E31AA" w:rsidRDefault="0023718B" w14:paraId="53321BBC" w14:textId="5B023AA6">
            <w:pPr>
              <w:jc w:val="right"/>
              <w:rPr>
                <w:rFonts w:asciiTheme="minorHAnsi" w:hAnsiTheme="minorHAnsi" w:cstheme="minorHAnsi"/>
                <w:sz w:val="16"/>
                <w:szCs w:val="16"/>
              </w:rPr>
            </w:pPr>
            <w:r w:rsidRPr="009055A9">
              <w:rPr>
                <w:rFonts w:asciiTheme="minorHAnsi" w:hAnsiTheme="minorHAnsi" w:cstheme="minorHAnsi"/>
                <w:color w:val="000000"/>
                <w:sz w:val="16"/>
                <w:szCs w:val="16"/>
              </w:rPr>
              <w:t>2,080</w:t>
            </w:r>
          </w:p>
        </w:tc>
        <w:tc>
          <w:tcPr>
            <w:tcW w:w="125" w:type="pct"/>
            <w:shd w:val="clear" w:color="auto" w:fill="auto"/>
            <w:noWrap/>
            <w:tcMar>
              <w:left w:w="0" w:type="dxa"/>
              <w:right w:w="43" w:type="dxa"/>
            </w:tcMar>
            <w:vAlign w:val="center"/>
            <w:hideMark/>
          </w:tcPr>
          <w:p w:rsidRPr="009055A9" w:rsidR="0023718B" w:rsidP="000E31AA" w:rsidRDefault="0023718B" w14:paraId="445ED822" w14:textId="74A34EB1">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2" w:type="pct"/>
            <w:shd w:val="clear" w:color="auto" w:fill="auto"/>
            <w:noWrap/>
            <w:tcMar>
              <w:left w:w="0" w:type="dxa"/>
              <w:right w:w="43" w:type="dxa"/>
            </w:tcMar>
            <w:vAlign w:val="center"/>
            <w:hideMark/>
          </w:tcPr>
          <w:p w:rsidRPr="009055A9" w:rsidR="0023718B" w:rsidP="000E31AA" w:rsidRDefault="0023718B" w14:paraId="05966C38" w14:textId="2BC9A2A6">
            <w:pPr>
              <w:jc w:val="right"/>
              <w:rPr>
                <w:rFonts w:asciiTheme="minorHAnsi" w:hAnsiTheme="minorHAnsi" w:cstheme="minorHAnsi"/>
                <w:sz w:val="16"/>
                <w:szCs w:val="16"/>
              </w:rPr>
            </w:pPr>
            <w:r w:rsidRPr="009055A9">
              <w:rPr>
                <w:rFonts w:asciiTheme="minorHAnsi" w:hAnsiTheme="minorHAnsi" w:cstheme="minorHAnsi"/>
                <w:color w:val="000000"/>
                <w:sz w:val="16"/>
                <w:szCs w:val="16"/>
              </w:rPr>
              <w:t>2,427</w:t>
            </w:r>
          </w:p>
        </w:tc>
        <w:tc>
          <w:tcPr>
            <w:tcW w:w="123" w:type="pct"/>
            <w:shd w:val="clear" w:color="auto" w:fill="auto"/>
            <w:noWrap/>
            <w:tcMar>
              <w:left w:w="0" w:type="dxa"/>
              <w:right w:w="43" w:type="dxa"/>
            </w:tcMar>
            <w:vAlign w:val="center"/>
            <w:hideMark/>
          </w:tcPr>
          <w:p w:rsidRPr="009055A9" w:rsidR="0023718B" w:rsidP="000E31AA" w:rsidRDefault="0023718B" w14:paraId="76C247FA" w14:textId="2A5EE2DE">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94" w:type="pct"/>
            <w:shd w:val="clear" w:color="auto" w:fill="auto"/>
            <w:noWrap/>
            <w:tcMar>
              <w:left w:w="0" w:type="dxa"/>
              <w:right w:w="43" w:type="dxa"/>
            </w:tcMar>
            <w:vAlign w:val="center"/>
            <w:hideMark/>
          </w:tcPr>
          <w:p w:rsidRPr="009055A9" w:rsidR="0023718B" w:rsidP="000E31AA" w:rsidRDefault="0023718B" w14:paraId="16504566" w14:textId="42D62346">
            <w:pPr>
              <w:jc w:val="right"/>
              <w:rPr>
                <w:rFonts w:asciiTheme="minorHAnsi" w:hAnsiTheme="minorHAnsi" w:cstheme="minorHAnsi"/>
                <w:sz w:val="16"/>
                <w:szCs w:val="16"/>
              </w:rPr>
            </w:pPr>
            <w:r w:rsidRPr="009055A9">
              <w:rPr>
                <w:rFonts w:asciiTheme="minorHAnsi" w:hAnsiTheme="minorHAnsi" w:cstheme="minorHAnsi"/>
                <w:color w:val="000000"/>
                <w:sz w:val="16"/>
                <w:szCs w:val="16"/>
              </w:rPr>
              <w:t>5,314</w:t>
            </w:r>
          </w:p>
        </w:tc>
        <w:tc>
          <w:tcPr>
            <w:tcW w:w="123" w:type="pct"/>
            <w:shd w:val="clear" w:color="auto" w:fill="auto"/>
            <w:noWrap/>
            <w:tcMar>
              <w:left w:w="0" w:type="dxa"/>
              <w:right w:w="43" w:type="dxa"/>
            </w:tcMar>
            <w:vAlign w:val="center"/>
            <w:hideMark/>
          </w:tcPr>
          <w:p w:rsidRPr="009055A9" w:rsidR="0023718B" w:rsidP="000E31AA" w:rsidRDefault="0023718B" w14:paraId="20830C09" w14:textId="157D60E2">
            <w:pPr>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97" w:type="pct"/>
            <w:shd w:val="clear" w:color="auto" w:fill="auto"/>
            <w:noWrap/>
            <w:tcMar>
              <w:left w:w="0" w:type="dxa"/>
              <w:right w:w="43" w:type="dxa"/>
            </w:tcMar>
            <w:vAlign w:val="center"/>
            <w:hideMark/>
          </w:tcPr>
          <w:p w:rsidRPr="009055A9" w:rsidR="0023718B" w:rsidP="000E31AA" w:rsidRDefault="0023718B" w14:paraId="5E716EAA" w14:textId="75E3B56A">
            <w:pPr>
              <w:jc w:val="right"/>
              <w:rPr>
                <w:rFonts w:asciiTheme="minorHAnsi" w:hAnsiTheme="minorHAnsi" w:cstheme="minorHAnsi"/>
                <w:sz w:val="16"/>
                <w:szCs w:val="16"/>
              </w:rPr>
            </w:pPr>
            <w:r w:rsidRPr="009055A9">
              <w:rPr>
                <w:rFonts w:asciiTheme="minorHAnsi" w:hAnsiTheme="minorHAnsi" w:cstheme="minorHAnsi"/>
                <w:color w:val="000000"/>
                <w:sz w:val="16"/>
                <w:szCs w:val="16"/>
              </w:rPr>
              <w:t>1,230</w:t>
            </w:r>
          </w:p>
        </w:tc>
        <w:tc>
          <w:tcPr>
            <w:tcW w:w="125" w:type="pct"/>
            <w:shd w:val="clear" w:color="auto" w:fill="auto"/>
            <w:noWrap/>
            <w:tcMar>
              <w:left w:w="0" w:type="dxa"/>
              <w:right w:w="43" w:type="dxa"/>
            </w:tcMar>
            <w:vAlign w:val="center"/>
            <w:hideMark/>
          </w:tcPr>
          <w:p w:rsidRPr="009055A9" w:rsidR="0023718B" w:rsidP="000E31AA" w:rsidRDefault="0023718B" w14:paraId="40AF4ED8" w14:textId="74D8D7A8">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0" w:type="pct"/>
            <w:shd w:val="clear" w:color="auto" w:fill="auto"/>
            <w:noWrap/>
            <w:tcMar>
              <w:left w:w="0" w:type="dxa"/>
              <w:right w:w="43" w:type="dxa"/>
            </w:tcMar>
            <w:vAlign w:val="center"/>
            <w:hideMark/>
          </w:tcPr>
          <w:p w:rsidRPr="009055A9" w:rsidR="0023718B" w:rsidP="000E31AA" w:rsidRDefault="0023718B" w14:paraId="20707B34" w14:textId="5D98BA68">
            <w:pPr>
              <w:jc w:val="right"/>
              <w:rPr>
                <w:rFonts w:asciiTheme="minorHAnsi" w:hAnsiTheme="minorHAnsi" w:cstheme="minorHAnsi"/>
                <w:sz w:val="16"/>
                <w:szCs w:val="16"/>
              </w:rPr>
            </w:pPr>
            <w:r w:rsidRPr="009055A9">
              <w:rPr>
                <w:rFonts w:asciiTheme="minorHAnsi" w:hAnsiTheme="minorHAnsi" w:cstheme="minorHAnsi"/>
                <w:color w:val="000000"/>
                <w:sz w:val="16"/>
                <w:szCs w:val="16"/>
              </w:rPr>
              <w:t>2,380</w:t>
            </w:r>
          </w:p>
        </w:tc>
        <w:tc>
          <w:tcPr>
            <w:tcW w:w="148" w:type="pct"/>
            <w:shd w:val="clear" w:color="auto" w:fill="auto"/>
            <w:noWrap/>
            <w:tcMar>
              <w:left w:w="0" w:type="dxa"/>
              <w:right w:w="43" w:type="dxa"/>
            </w:tcMar>
            <w:vAlign w:val="center"/>
            <w:hideMark/>
          </w:tcPr>
          <w:p w:rsidRPr="009055A9" w:rsidR="0023718B" w:rsidP="000E31AA" w:rsidRDefault="0023718B" w14:paraId="16333F5A" w14:textId="329C1203">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2" w:type="pct"/>
            <w:tcMar>
              <w:left w:w="0" w:type="dxa"/>
              <w:right w:w="43" w:type="dxa"/>
            </w:tcMar>
            <w:vAlign w:val="center"/>
          </w:tcPr>
          <w:p w:rsidRPr="009055A9" w:rsidR="0023718B" w:rsidP="000E31AA" w:rsidRDefault="0023718B" w14:paraId="2C18186F" w14:textId="286BBDD4">
            <w:pPr>
              <w:jc w:val="right"/>
              <w:rPr>
                <w:rFonts w:asciiTheme="minorHAnsi" w:hAnsiTheme="minorHAnsi" w:cstheme="minorHAnsi"/>
                <w:sz w:val="16"/>
                <w:szCs w:val="16"/>
              </w:rPr>
            </w:pPr>
            <w:r w:rsidRPr="009055A9">
              <w:rPr>
                <w:rFonts w:asciiTheme="minorHAnsi" w:hAnsiTheme="minorHAnsi" w:cstheme="minorHAnsi"/>
                <w:color w:val="000000"/>
                <w:sz w:val="16"/>
                <w:szCs w:val="16"/>
              </w:rPr>
              <w:t>1,213</w:t>
            </w:r>
          </w:p>
        </w:tc>
        <w:tc>
          <w:tcPr>
            <w:tcW w:w="124" w:type="pct"/>
            <w:tcMar>
              <w:left w:w="0" w:type="dxa"/>
              <w:right w:w="43" w:type="dxa"/>
            </w:tcMar>
            <w:vAlign w:val="center"/>
          </w:tcPr>
          <w:p w:rsidRPr="009055A9" w:rsidR="0023718B" w:rsidP="000E31AA" w:rsidRDefault="0023718B" w14:paraId="6A5F5444" w14:textId="485E4575">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3" w:type="pct"/>
            <w:tcMar>
              <w:left w:w="0" w:type="dxa"/>
              <w:right w:w="43" w:type="dxa"/>
            </w:tcMar>
            <w:vAlign w:val="center"/>
          </w:tcPr>
          <w:p w:rsidRPr="009055A9" w:rsidR="0023718B" w:rsidP="000E31AA" w:rsidRDefault="0023718B" w14:paraId="683A7577" w14:textId="639B725E">
            <w:pPr>
              <w:jc w:val="right"/>
              <w:rPr>
                <w:rFonts w:asciiTheme="minorHAnsi" w:hAnsiTheme="minorHAnsi" w:cstheme="minorHAnsi"/>
                <w:sz w:val="16"/>
                <w:szCs w:val="16"/>
              </w:rPr>
            </w:pPr>
            <w:r w:rsidRPr="009055A9">
              <w:rPr>
                <w:rFonts w:asciiTheme="minorHAnsi" w:hAnsiTheme="minorHAnsi" w:cstheme="minorHAnsi"/>
                <w:color w:val="000000"/>
                <w:sz w:val="16"/>
                <w:szCs w:val="16"/>
              </w:rPr>
              <w:t>2,438</w:t>
            </w:r>
          </w:p>
        </w:tc>
        <w:tc>
          <w:tcPr>
            <w:tcW w:w="146" w:type="pct"/>
            <w:tcMar>
              <w:left w:w="0" w:type="dxa"/>
              <w:right w:w="43" w:type="dxa"/>
            </w:tcMar>
            <w:vAlign w:val="center"/>
          </w:tcPr>
          <w:p w:rsidRPr="009055A9" w:rsidR="0023718B" w:rsidP="000E31AA" w:rsidRDefault="0023718B" w14:paraId="1F04CC39" w14:textId="5D7F6A52">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5" w:type="pct"/>
            <w:tcMar>
              <w:left w:w="0" w:type="dxa"/>
              <w:right w:w="43" w:type="dxa"/>
            </w:tcMar>
            <w:vAlign w:val="center"/>
          </w:tcPr>
          <w:p w:rsidRPr="009055A9" w:rsidR="0023718B" w:rsidP="000E31AA" w:rsidRDefault="0023718B" w14:paraId="1F2891A5" w14:textId="7C1EB463">
            <w:pPr>
              <w:jc w:val="right"/>
              <w:rPr>
                <w:rFonts w:asciiTheme="minorHAnsi" w:hAnsiTheme="minorHAnsi" w:cstheme="minorHAnsi"/>
                <w:sz w:val="16"/>
                <w:szCs w:val="16"/>
              </w:rPr>
            </w:pPr>
            <w:r w:rsidRPr="009055A9">
              <w:rPr>
                <w:rFonts w:asciiTheme="minorHAnsi" w:hAnsiTheme="minorHAnsi" w:cstheme="minorHAnsi"/>
                <w:color w:val="000000"/>
                <w:sz w:val="16"/>
                <w:szCs w:val="16"/>
              </w:rPr>
              <w:t>1,824</w:t>
            </w:r>
          </w:p>
        </w:tc>
        <w:tc>
          <w:tcPr>
            <w:tcW w:w="149" w:type="pct"/>
            <w:tcMar>
              <w:left w:w="0" w:type="dxa"/>
              <w:right w:w="43" w:type="dxa"/>
            </w:tcMar>
            <w:vAlign w:val="center"/>
          </w:tcPr>
          <w:p w:rsidRPr="009055A9" w:rsidR="0023718B" w:rsidP="000E31AA" w:rsidRDefault="0023718B" w14:paraId="7AEAA5C9" w14:textId="40FB29AF">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97" w:type="pct"/>
            <w:tcMar>
              <w:left w:w="0" w:type="dxa"/>
              <w:right w:w="43" w:type="dxa"/>
            </w:tcMar>
            <w:vAlign w:val="center"/>
          </w:tcPr>
          <w:p w:rsidRPr="009055A9" w:rsidR="0023718B" w:rsidP="000E31AA" w:rsidRDefault="0023718B" w14:paraId="094F6089" w14:textId="7E7AF1D1">
            <w:pPr>
              <w:jc w:val="right"/>
              <w:rPr>
                <w:rFonts w:asciiTheme="minorHAnsi" w:hAnsiTheme="minorHAnsi" w:cstheme="minorHAnsi"/>
                <w:sz w:val="16"/>
                <w:szCs w:val="16"/>
              </w:rPr>
            </w:pPr>
            <w:r w:rsidRPr="009055A9">
              <w:rPr>
                <w:rFonts w:asciiTheme="minorHAnsi" w:hAnsiTheme="minorHAnsi" w:cstheme="minorHAnsi"/>
                <w:color w:val="000000"/>
                <w:sz w:val="16"/>
                <w:szCs w:val="16"/>
              </w:rPr>
              <w:t>3,277</w:t>
            </w:r>
          </w:p>
        </w:tc>
        <w:tc>
          <w:tcPr>
            <w:tcW w:w="148" w:type="pct"/>
            <w:tcMar>
              <w:left w:w="0" w:type="dxa"/>
              <w:right w:w="43" w:type="dxa"/>
            </w:tcMar>
            <w:vAlign w:val="center"/>
          </w:tcPr>
          <w:p w:rsidRPr="009055A9" w:rsidR="0023718B" w:rsidP="000E31AA" w:rsidRDefault="0023718B" w14:paraId="192073DE" w14:textId="4D9BD78F">
            <w:pPr>
              <w:jc w:val="right"/>
              <w:rPr>
                <w:rFonts w:asciiTheme="minorHAnsi" w:hAnsiTheme="minorHAnsi" w:cstheme="minorHAnsi"/>
                <w:sz w:val="16"/>
                <w:szCs w:val="16"/>
              </w:rPr>
            </w:pPr>
            <w:r w:rsidRPr="009055A9">
              <w:rPr>
                <w:rFonts w:asciiTheme="minorHAnsi" w:hAnsiTheme="minorHAnsi" w:cstheme="minorHAnsi"/>
                <w:color w:val="000000"/>
                <w:sz w:val="16"/>
                <w:szCs w:val="16"/>
              </w:rPr>
              <w:t>34</w:t>
            </w:r>
          </w:p>
        </w:tc>
        <w:tc>
          <w:tcPr>
            <w:tcW w:w="196" w:type="pct"/>
            <w:tcMar>
              <w:left w:w="0" w:type="dxa"/>
              <w:right w:w="43" w:type="dxa"/>
            </w:tcMar>
            <w:vAlign w:val="center"/>
          </w:tcPr>
          <w:p w:rsidRPr="009055A9" w:rsidR="0023718B" w:rsidP="000E31AA" w:rsidRDefault="0023718B" w14:paraId="302F1C33" w14:textId="6EA973DF">
            <w:pPr>
              <w:jc w:val="right"/>
              <w:rPr>
                <w:rFonts w:asciiTheme="minorHAnsi" w:hAnsiTheme="minorHAnsi" w:cstheme="minorHAnsi"/>
                <w:sz w:val="16"/>
                <w:szCs w:val="16"/>
              </w:rPr>
            </w:pPr>
            <w:r w:rsidRPr="009055A9">
              <w:rPr>
                <w:rFonts w:asciiTheme="minorHAnsi" w:hAnsiTheme="minorHAnsi" w:cstheme="minorHAnsi"/>
                <w:color w:val="000000"/>
                <w:sz w:val="16"/>
                <w:szCs w:val="16"/>
              </w:rPr>
              <w:t>2,172</w:t>
            </w:r>
          </w:p>
        </w:tc>
        <w:tc>
          <w:tcPr>
            <w:tcW w:w="143" w:type="pct"/>
            <w:tcMar>
              <w:left w:w="0" w:type="dxa"/>
              <w:right w:w="43" w:type="dxa"/>
            </w:tcMar>
            <w:vAlign w:val="center"/>
          </w:tcPr>
          <w:p w:rsidRPr="009055A9" w:rsidR="0023718B" w:rsidP="000E31AA" w:rsidRDefault="0023718B" w14:paraId="4CE001BF" w14:textId="75CF1391">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8" w:type="pct"/>
            <w:shd w:val="clear" w:color="000000" w:fill="FFFFFF"/>
            <w:noWrap/>
            <w:tcMar>
              <w:left w:w="0" w:type="dxa"/>
              <w:right w:w="43" w:type="dxa"/>
            </w:tcMar>
            <w:vAlign w:val="center"/>
          </w:tcPr>
          <w:p w:rsidRPr="003148DB" w:rsidR="0023718B" w:rsidP="000E31AA" w:rsidRDefault="0023718B" w14:paraId="471221C8" w14:textId="685D7D8F">
            <w:pPr>
              <w:jc w:val="right"/>
              <w:rPr>
                <w:rFonts w:asciiTheme="minorHAnsi" w:hAnsiTheme="minorHAnsi" w:cstheme="minorHAnsi"/>
                <w:sz w:val="16"/>
                <w:szCs w:val="16"/>
              </w:rPr>
            </w:pPr>
            <w:r w:rsidRPr="003148DB">
              <w:rPr>
                <w:rFonts w:asciiTheme="minorHAnsi" w:hAnsiTheme="minorHAnsi" w:cstheme="minorHAnsi"/>
                <w:color w:val="000000"/>
                <w:sz w:val="16"/>
                <w:szCs w:val="16"/>
              </w:rPr>
              <w:t>2,323</w:t>
            </w:r>
          </w:p>
        </w:tc>
        <w:tc>
          <w:tcPr>
            <w:tcW w:w="151" w:type="pct"/>
            <w:shd w:val="clear" w:color="000000" w:fill="FFFFFF"/>
            <w:noWrap/>
            <w:tcMar>
              <w:left w:w="0" w:type="dxa"/>
              <w:right w:w="43" w:type="dxa"/>
            </w:tcMar>
            <w:vAlign w:val="center"/>
          </w:tcPr>
          <w:p w:rsidRPr="003148DB" w:rsidR="0023718B" w:rsidP="000E31AA" w:rsidRDefault="0023718B" w14:paraId="1DA6D771" w14:textId="65A6B55C">
            <w:pPr>
              <w:jc w:val="right"/>
              <w:rPr>
                <w:rFonts w:asciiTheme="minorHAnsi" w:hAnsiTheme="minorHAnsi" w:cstheme="minorHAnsi"/>
                <w:sz w:val="16"/>
                <w:szCs w:val="16"/>
              </w:rPr>
            </w:pPr>
            <w:r w:rsidRPr="003148DB">
              <w:rPr>
                <w:rFonts w:asciiTheme="minorHAnsi" w:hAnsiTheme="minorHAnsi" w:cstheme="minorHAnsi"/>
                <w:color w:val="000000"/>
                <w:sz w:val="16"/>
                <w:szCs w:val="16"/>
              </w:rPr>
              <w:t>15.3</w:t>
            </w:r>
          </w:p>
        </w:tc>
      </w:tr>
      <w:tr w:rsidRPr="003148DB" w:rsidR="0023718B" w:rsidTr="000D41FC" w14:paraId="1EC7457E"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38E71300"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13D0B694" w14:textId="3BE1268E">
            <w:pPr>
              <w:rPr>
                <w:rFonts w:asciiTheme="minorHAnsi" w:hAnsiTheme="minorHAnsi" w:cstheme="minorHAnsi"/>
                <w:sz w:val="16"/>
                <w:szCs w:val="16"/>
              </w:rPr>
            </w:pPr>
            <w:r w:rsidRPr="009055A9">
              <w:rPr>
                <w:rFonts w:asciiTheme="minorHAnsi" w:hAnsiTheme="minorHAnsi" w:cstheme="minorHAnsi"/>
                <w:color w:val="000000"/>
                <w:sz w:val="16"/>
                <w:szCs w:val="16"/>
              </w:rPr>
              <w:t>Duke Energy</w:t>
            </w:r>
          </w:p>
        </w:tc>
        <w:tc>
          <w:tcPr>
            <w:tcW w:w="321" w:type="pct"/>
            <w:shd w:val="clear" w:color="auto" w:fill="auto"/>
            <w:noWrap/>
            <w:tcMar>
              <w:left w:w="58" w:type="dxa"/>
              <w:right w:w="29" w:type="dxa"/>
            </w:tcMar>
            <w:vAlign w:val="center"/>
            <w:hideMark/>
          </w:tcPr>
          <w:p w:rsidRPr="009055A9" w:rsidR="0023718B" w:rsidP="000E31AA" w:rsidRDefault="0023718B" w14:paraId="48F8FB7F" w14:textId="149CF022">
            <w:pPr>
              <w:rPr>
                <w:rFonts w:asciiTheme="minorHAnsi" w:hAnsiTheme="minorHAnsi" w:cstheme="minorHAnsi"/>
                <w:sz w:val="16"/>
                <w:szCs w:val="16"/>
              </w:rPr>
            </w:pPr>
            <w:r w:rsidRPr="009055A9">
              <w:rPr>
                <w:rFonts w:asciiTheme="minorHAnsi" w:hAnsiTheme="minorHAnsi" w:cstheme="minorHAnsi"/>
                <w:color w:val="000000"/>
                <w:sz w:val="16"/>
                <w:szCs w:val="16"/>
              </w:rPr>
              <w:t>H.B. Robinson</w:t>
            </w:r>
          </w:p>
        </w:tc>
        <w:tc>
          <w:tcPr>
            <w:tcW w:w="123" w:type="pct"/>
            <w:shd w:val="clear" w:color="auto" w:fill="auto"/>
            <w:noWrap/>
            <w:tcMar>
              <w:left w:w="58" w:type="dxa"/>
              <w:right w:w="58" w:type="dxa"/>
            </w:tcMar>
            <w:vAlign w:val="center"/>
            <w:hideMark/>
          </w:tcPr>
          <w:p w:rsidRPr="009055A9" w:rsidR="0023718B" w:rsidP="000E31AA" w:rsidRDefault="0023718B" w14:paraId="12D505AA" w14:textId="3172C296">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11470C06" w14:textId="7C574B9B">
            <w:pPr>
              <w:jc w:val="right"/>
              <w:rPr>
                <w:rFonts w:asciiTheme="minorHAnsi" w:hAnsiTheme="minorHAnsi" w:cstheme="minorHAnsi"/>
                <w:sz w:val="16"/>
                <w:szCs w:val="16"/>
              </w:rPr>
            </w:pPr>
            <w:r w:rsidRPr="009055A9">
              <w:rPr>
                <w:rFonts w:asciiTheme="minorHAnsi" w:hAnsiTheme="minorHAnsi" w:cstheme="minorHAnsi"/>
                <w:color w:val="000000"/>
                <w:sz w:val="16"/>
                <w:szCs w:val="16"/>
              </w:rPr>
              <w:t>734</w:t>
            </w:r>
          </w:p>
        </w:tc>
        <w:tc>
          <w:tcPr>
            <w:tcW w:w="123" w:type="pct"/>
            <w:shd w:val="clear" w:color="auto" w:fill="auto"/>
            <w:noWrap/>
            <w:tcMar>
              <w:left w:w="0" w:type="dxa"/>
              <w:right w:w="43" w:type="dxa"/>
            </w:tcMar>
            <w:vAlign w:val="center"/>
            <w:hideMark/>
          </w:tcPr>
          <w:p w:rsidRPr="009055A9" w:rsidR="0023718B" w:rsidP="000E31AA" w:rsidRDefault="0023718B" w14:paraId="6DA4FDAC" w14:textId="5C870E19">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0" w:type="pct"/>
            <w:shd w:val="clear" w:color="auto" w:fill="auto"/>
            <w:noWrap/>
            <w:tcMar>
              <w:left w:w="0" w:type="dxa"/>
              <w:right w:w="43" w:type="dxa"/>
            </w:tcMar>
            <w:vAlign w:val="center"/>
            <w:hideMark/>
          </w:tcPr>
          <w:p w:rsidRPr="009055A9" w:rsidR="0023718B" w:rsidP="000E31AA" w:rsidRDefault="0023718B" w14:paraId="6DA491DD" w14:textId="373DE1D8">
            <w:pPr>
              <w:jc w:val="right"/>
              <w:rPr>
                <w:rFonts w:asciiTheme="minorHAnsi" w:hAnsiTheme="minorHAnsi" w:cstheme="minorHAnsi"/>
                <w:sz w:val="16"/>
                <w:szCs w:val="16"/>
              </w:rPr>
            </w:pPr>
            <w:r w:rsidRPr="009055A9">
              <w:rPr>
                <w:rFonts w:asciiTheme="minorHAnsi" w:hAnsiTheme="minorHAnsi" w:cstheme="minorHAnsi"/>
                <w:color w:val="000000"/>
                <w:sz w:val="16"/>
                <w:szCs w:val="16"/>
              </w:rPr>
              <w:t>1,596</w:t>
            </w:r>
          </w:p>
        </w:tc>
        <w:tc>
          <w:tcPr>
            <w:tcW w:w="125" w:type="pct"/>
            <w:shd w:val="clear" w:color="auto" w:fill="auto"/>
            <w:noWrap/>
            <w:tcMar>
              <w:left w:w="0" w:type="dxa"/>
              <w:right w:w="43" w:type="dxa"/>
            </w:tcMar>
            <w:vAlign w:val="center"/>
            <w:hideMark/>
          </w:tcPr>
          <w:p w:rsidRPr="009055A9" w:rsidR="0023718B" w:rsidP="000E31AA" w:rsidRDefault="0023718B" w14:paraId="5D7CB828" w14:textId="1B5B2DF9">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2" w:type="pct"/>
            <w:shd w:val="clear" w:color="auto" w:fill="auto"/>
            <w:noWrap/>
            <w:tcMar>
              <w:left w:w="0" w:type="dxa"/>
              <w:right w:w="43" w:type="dxa"/>
            </w:tcMar>
            <w:vAlign w:val="center"/>
            <w:hideMark/>
          </w:tcPr>
          <w:p w:rsidRPr="009055A9" w:rsidR="0023718B" w:rsidP="000E31AA" w:rsidRDefault="0023718B" w14:paraId="14B1AD87" w14:textId="48D914C3">
            <w:pPr>
              <w:jc w:val="right"/>
              <w:rPr>
                <w:rFonts w:asciiTheme="minorHAnsi" w:hAnsiTheme="minorHAnsi" w:cstheme="minorHAnsi"/>
                <w:sz w:val="16"/>
                <w:szCs w:val="16"/>
              </w:rPr>
            </w:pPr>
            <w:r w:rsidRPr="009055A9">
              <w:rPr>
                <w:rFonts w:asciiTheme="minorHAnsi" w:hAnsiTheme="minorHAnsi" w:cstheme="minorHAnsi"/>
                <w:color w:val="000000"/>
                <w:sz w:val="16"/>
                <w:szCs w:val="16"/>
              </w:rPr>
              <w:t>1,368</w:t>
            </w:r>
          </w:p>
        </w:tc>
        <w:tc>
          <w:tcPr>
            <w:tcW w:w="123" w:type="pct"/>
            <w:shd w:val="clear" w:color="auto" w:fill="auto"/>
            <w:noWrap/>
            <w:tcMar>
              <w:left w:w="0" w:type="dxa"/>
              <w:right w:w="43" w:type="dxa"/>
            </w:tcMar>
            <w:vAlign w:val="center"/>
            <w:hideMark/>
          </w:tcPr>
          <w:p w:rsidRPr="009055A9" w:rsidR="0023718B" w:rsidP="000E31AA" w:rsidRDefault="0023718B" w14:paraId="7F5AC318" w14:textId="18141C9F">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94" w:type="pct"/>
            <w:shd w:val="clear" w:color="auto" w:fill="auto"/>
            <w:noWrap/>
            <w:tcMar>
              <w:left w:w="0" w:type="dxa"/>
              <w:right w:w="43" w:type="dxa"/>
            </w:tcMar>
            <w:vAlign w:val="center"/>
            <w:hideMark/>
          </w:tcPr>
          <w:p w:rsidRPr="009055A9" w:rsidR="0023718B" w:rsidP="000E31AA" w:rsidRDefault="0023718B" w14:paraId="57FB729E" w14:textId="09F484A7">
            <w:pPr>
              <w:jc w:val="right"/>
              <w:rPr>
                <w:rFonts w:asciiTheme="minorHAnsi" w:hAnsiTheme="minorHAnsi" w:cstheme="minorHAnsi"/>
                <w:sz w:val="16"/>
                <w:szCs w:val="16"/>
              </w:rPr>
            </w:pPr>
            <w:r w:rsidRPr="009055A9">
              <w:rPr>
                <w:rFonts w:asciiTheme="minorHAnsi" w:hAnsiTheme="minorHAnsi" w:cstheme="minorHAnsi"/>
                <w:color w:val="000000"/>
                <w:sz w:val="16"/>
                <w:szCs w:val="16"/>
              </w:rPr>
              <w:t>2,458</w:t>
            </w:r>
          </w:p>
        </w:tc>
        <w:tc>
          <w:tcPr>
            <w:tcW w:w="123" w:type="pct"/>
            <w:shd w:val="clear" w:color="auto" w:fill="auto"/>
            <w:noWrap/>
            <w:tcMar>
              <w:left w:w="0" w:type="dxa"/>
              <w:right w:w="43" w:type="dxa"/>
            </w:tcMar>
            <w:vAlign w:val="center"/>
            <w:hideMark/>
          </w:tcPr>
          <w:p w:rsidRPr="009055A9" w:rsidR="0023718B" w:rsidP="000E31AA" w:rsidRDefault="0023718B" w14:paraId="6468FDD3" w14:textId="633FF9B5">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97" w:type="pct"/>
            <w:shd w:val="clear" w:color="auto" w:fill="auto"/>
            <w:noWrap/>
            <w:tcMar>
              <w:left w:w="0" w:type="dxa"/>
              <w:right w:w="43" w:type="dxa"/>
            </w:tcMar>
            <w:vAlign w:val="center"/>
            <w:hideMark/>
          </w:tcPr>
          <w:p w:rsidRPr="009055A9" w:rsidR="0023718B" w:rsidP="000E31AA" w:rsidRDefault="0023718B" w14:paraId="2ADE6D1B" w14:textId="595D8FFB">
            <w:pPr>
              <w:jc w:val="right"/>
              <w:rPr>
                <w:rFonts w:asciiTheme="minorHAnsi" w:hAnsiTheme="minorHAnsi" w:cstheme="minorHAnsi"/>
                <w:sz w:val="16"/>
                <w:szCs w:val="16"/>
              </w:rPr>
            </w:pPr>
            <w:r w:rsidRPr="009055A9">
              <w:rPr>
                <w:rFonts w:asciiTheme="minorHAnsi" w:hAnsiTheme="minorHAnsi" w:cstheme="minorHAnsi"/>
                <w:color w:val="000000"/>
                <w:sz w:val="16"/>
                <w:szCs w:val="16"/>
              </w:rPr>
              <w:t>2,771</w:t>
            </w:r>
          </w:p>
        </w:tc>
        <w:tc>
          <w:tcPr>
            <w:tcW w:w="125" w:type="pct"/>
            <w:shd w:val="clear" w:color="auto" w:fill="auto"/>
            <w:noWrap/>
            <w:tcMar>
              <w:left w:w="0" w:type="dxa"/>
              <w:right w:w="43" w:type="dxa"/>
            </w:tcMar>
            <w:vAlign w:val="center"/>
            <w:hideMark/>
          </w:tcPr>
          <w:p w:rsidRPr="009055A9" w:rsidR="0023718B" w:rsidP="000E31AA" w:rsidRDefault="0023718B" w14:paraId="320C7C67" w14:textId="69E40507">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0" w:type="pct"/>
            <w:shd w:val="clear" w:color="auto" w:fill="auto"/>
            <w:noWrap/>
            <w:tcMar>
              <w:left w:w="0" w:type="dxa"/>
              <w:right w:w="43" w:type="dxa"/>
            </w:tcMar>
            <w:vAlign w:val="center"/>
            <w:hideMark/>
          </w:tcPr>
          <w:p w:rsidRPr="009055A9" w:rsidR="0023718B" w:rsidP="000E31AA" w:rsidRDefault="0023718B" w14:paraId="240D3BDC" w14:textId="3A044E3C">
            <w:pPr>
              <w:jc w:val="right"/>
              <w:rPr>
                <w:rFonts w:asciiTheme="minorHAnsi" w:hAnsiTheme="minorHAnsi" w:cstheme="minorHAnsi"/>
                <w:sz w:val="16"/>
                <w:szCs w:val="16"/>
              </w:rPr>
            </w:pPr>
            <w:r w:rsidRPr="009055A9">
              <w:rPr>
                <w:rFonts w:asciiTheme="minorHAnsi" w:hAnsiTheme="minorHAnsi" w:cstheme="minorHAnsi"/>
                <w:color w:val="000000"/>
                <w:sz w:val="16"/>
                <w:szCs w:val="16"/>
              </w:rPr>
              <w:t>1,266</w:t>
            </w:r>
          </w:p>
        </w:tc>
        <w:tc>
          <w:tcPr>
            <w:tcW w:w="148" w:type="pct"/>
            <w:shd w:val="clear" w:color="auto" w:fill="auto"/>
            <w:noWrap/>
            <w:tcMar>
              <w:left w:w="0" w:type="dxa"/>
              <w:right w:w="43" w:type="dxa"/>
            </w:tcMar>
            <w:vAlign w:val="center"/>
            <w:hideMark/>
          </w:tcPr>
          <w:p w:rsidRPr="009055A9" w:rsidR="0023718B" w:rsidP="000E31AA" w:rsidRDefault="0023718B" w14:paraId="2ABE227E" w14:textId="1B85A871">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2" w:type="pct"/>
            <w:tcMar>
              <w:left w:w="0" w:type="dxa"/>
              <w:right w:w="43" w:type="dxa"/>
            </w:tcMar>
            <w:vAlign w:val="center"/>
          </w:tcPr>
          <w:p w:rsidRPr="009055A9" w:rsidR="0023718B" w:rsidP="000E31AA" w:rsidRDefault="0023718B" w14:paraId="74AFC1CD" w14:textId="719BC6D9">
            <w:pPr>
              <w:jc w:val="right"/>
              <w:rPr>
                <w:rFonts w:asciiTheme="minorHAnsi" w:hAnsiTheme="minorHAnsi" w:cstheme="minorHAnsi"/>
                <w:sz w:val="16"/>
                <w:szCs w:val="16"/>
              </w:rPr>
            </w:pPr>
            <w:r w:rsidRPr="009055A9">
              <w:rPr>
                <w:rFonts w:asciiTheme="minorHAnsi" w:hAnsiTheme="minorHAnsi" w:cstheme="minorHAnsi"/>
                <w:color w:val="000000"/>
                <w:sz w:val="16"/>
                <w:szCs w:val="16"/>
              </w:rPr>
              <w:t>1,353</w:t>
            </w:r>
          </w:p>
        </w:tc>
        <w:tc>
          <w:tcPr>
            <w:tcW w:w="124" w:type="pct"/>
            <w:tcMar>
              <w:left w:w="0" w:type="dxa"/>
              <w:right w:w="43" w:type="dxa"/>
            </w:tcMar>
            <w:vAlign w:val="center"/>
          </w:tcPr>
          <w:p w:rsidRPr="009055A9" w:rsidR="0023718B" w:rsidP="000E31AA" w:rsidRDefault="0023718B" w14:paraId="7383C5E2" w14:textId="00285DD5">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73" w:type="pct"/>
            <w:tcMar>
              <w:left w:w="0" w:type="dxa"/>
              <w:right w:w="43" w:type="dxa"/>
            </w:tcMar>
            <w:vAlign w:val="center"/>
          </w:tcPr>
          <w:p w:rsidRPr="009055A9" w:rsidR="0023718B" w:rsidP="000E31AA" w:rsidRDefault="0023718B" w14:paraId="33B7B316" w14:textId="27A4768B">
            <w:pPr>
              <w:jc w:val="right"/>
              <w:rPr>
                <w:rFonts w:asciiTheme="minorHAnsi" w:hAnsiTheme="minorHAnsi" w:cstheme="minorHAnsi"/>
                <w:sz w:val="16"/>
                <w:szCs w:val="16"/>
              </w:rPr>
            </w:pPr>
            <w:r w:rsidRPr="009055A9">
              <w:rPr>
                <w:rFonts w:asciiTheme="minorHAnsi" w:hAnsiTheme="minorHAnsi" w:cstheme="minorHAnsi"/>
                <w:color w:val="000000"/>
                <w:sz w:val="16"/>
                <w:szCs w:val="16"/>
              </w:rPr>
              <w:t>1,181</w:t>
            </w:r>
          </w:p>
        </w:tc>
        <w:tc>
          <w:tcPr>
            <w:tcW w:w="146" w:type="pct"/>
            <w:tcMar>
              <w:left w:w="0" w:type="dxa"/>
              <w:right w:w="43" w:type="dxa"/>
            </w:tcMar>
            <w:vAlign w:val="center"/>
          </w:tcPr>
          <w:p w:rsidRPr="009055A9" w:rsidR="0023718B" w:rsidP="000E31AA" w:rsidRDefault="0023718B" w14:paraId="035D4ADB" w14:textId="6B6474E2">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5" w:type="pct"/>
            <w:tcMar>
              <w:left w:w="0" w:type="dxa"/>
              <w:right w:w="43" w:type="dxa"/>
            </w:tcMar>
            <w:vAlign w:val="center"/>
          </w:tcPr>
          <w:p w:rsidRPr="009055A9" w:rsidR="0023718B" w:rsidP="000E31AA" w:rsidRDefault="0023718B" w14:paraId="0DDAFC7C" w14:textId="07E4E7C8">
            <w:pPr>
              <w:jc w:val="right"/>
              <w:rPr>
                <w:rFonts w:asciiTheme="minorHAnsi" w:hAnsiTheme="minorHAnsi" w:cstheme="minorHAnsi"/>
                <w:sz w:val="16"/>
                <w:szCs w:val="16"/>
              </w:rPr>
            </w:pPr>
            <w:r w:rsidRPr="009055A9">
              <w:rPr>
                <w:rFonts w:asciiTheme="minorHAnsi" w:hAnsiTheme="minorHAnsi" w:cstheme="minorHAnsi"/>
                <w:color w:val="000000"/>
                <w:sz w:val="16"/>
                <w:szCs w:val="16"/>
              </w:rPr>
              <w:t>1,993</w:t>
            </w:r>
          </w:p>
        </w:tc>
        <w:tc>
          <w:tcPr>
            <w:tcW w:w="149" w:type="pct"/>
            <w:tcMar>
              <w:left w:w="0" w:type="dxa"/>
              <w:right w:w="43" w:type="dxa"/>
            </w:tcMar>
            <w:vAlign w:val="center"/>
          </w:tcPr>
          <w:p w:rsidRPr="009055A9" w:rsidR="0023718B" w:rsidP="000E31AA" w:rsidRDefault="0023718B" w14:paraId="26DF61AC" w14:textId="739CA9DC">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97" w:type="pct"/>
            <w:tcMar>
              <w:left w:w="0" w:type="dxa"/>
              <w:right w:w="43" w:type="dxa"/>
            </w:tcMar>
            <w:vAlign w:val="center"/>
          </w:tcPr>
          <w:p w:rsidRPr="009055A9" w:rsidR="0023718B" w:rsidP="000E31AA" w:rsidRDefault="0023718B" w14:paraId="7BC22201" w14:textId="5C2D64B1">
            <w:pPr>
              <w:jc w:val="right"/>
              <w:rPr>
                <w:rFonts w:asciiTheme="minorHAnsi" w:hAnsiTheme="minorHAnsi" w:cstheme="minorHAnsi"/>
                <w:sz w:val="16"/>
                <w:szCs w:val="16"/>
              </w:rPr>
            </w:pPr>
            <w:r w:rsidRPr="009055A9">
              <w:rPr>
                <w:rFonts w:asciiTheme="minorHAnsi" w:hAnsiTheme="minorHAnsi" w:cstheme="minorHAnsi"/>
                <w:color w:val="000000"/>
                <w:sz w:val="16"/>
                <w:szCs w:val="16"/>
              </w:rPr>
              <w:t>2,307</w:t>
            </w:r>
          </w:p>
        </w:tc>
        <w:tc>
          <w:tcPr>
            <w:tcW w:w="148" w:type="pct"/>
            <w:tcMar>
              <w:left w:w="0" w:type="dxa"/>
              <w:right w:w="43" w:type="dxa"/>
            </w:tcMar>
            <w:vAlign w:val="center"/>
          </w:tcPr>
          <w:p w:rsidRPr="009055A9" w:rsidR="0023718B" w:rsidP="000E31AA" w:rsidRDefault="0023718B" w14:paraId="33DF75AE" w14:textId="547CB93C">
            <w:pPr>
              <w:jc w:val="right"/>
              <w:rPr>
                <w:rFonts w:asciiTheme="minorHAnsi" w:hAnsiTheme="minorHAnsi" w:cstheme="minorHAnsi"/>
                <w:sz w:val="16"/>
                <w:szCs w:val="16"/>
              </w:rPr>
            </w:pPr>
            <w:r w:rsidRPr="009055A9">
              <w:rPr>
                <w:rFonts w:asciiTheme="minorHAnsi" w:hAnsiTheme="minorHAnsi" w:cstheme="minorHAnsi"/>
                <w:color w:val="000000"/>
                <w:sz w:val="16"/>
                <w:szCs w:val="16"/>
              </w:rPr>
              <w:t>24</w:t>
            </w:r>
          </w:p>
        </w:tc>
        <w:tc>
          <w:tcPr>
            <w:tcW w:w="196" w:type="pct"/>
            <w:tcMar>
              <w:left w:w="0" w:type="dxa"/>
              <w:right w:w="43" w:type="dxa"/>
            </w:tcMar>
            <w:vAlign w:val="center"/>
          </w:tcPr>
          <w:p w:rsidRPr="009055A9" w:rsidR="0023718B" w:rsidP="000E31AA" w:rsidRDefault="0023718B" w14:paraId="5056C130" w14:textId="4FDB11F5">
            <w:pPr>
              <w:jc w:val="right"/>
              <w:rPr>
                <w:rFonts w:asciiTheme="minorHAnsi" w:hAnsiTheme="minorHAnsi" w:cstheme="minorHAnsi"/>
                <w:sz w:val="16"/>
                <w:szCs w:val="16"/>
              </w:rPr>
            </w:pPr>
            <w:r w:rsidRPr="009055A9">
              <w:rPr>
                <w:rFonts w:asciiTheme="minorHAnsi" w:hAnsiTheme="minorHAnsi" w:cstheme="minorHAnsi"/>
                <w:color w:val="000000"/>
                <w:sz w:val="16"/>
                <w:szCs w:val="16"/>
              </w:rPr>
              <w:t>583</w:t>
            </w:r>
          </w:p>
        </w:tc>
        <w:tc>
          <w:tcPr>
            <w:tcW w:w="143" w:type="pct"/>
            <w:tcMar>
              <w:left w:w="0" w:type="dxa"/>
              <w:right w:w="43" w:type="dxa"/>
            </w:tcMar>
            <w:vAlign w:val="center"/>
          </w:tcPr>
          <w:p w:rsidRPr="009055A9" w:rsidR="0023718B" w:rsidP="000E31AA" w:rsidRDefault="0023718B" w14:paraId="1BA035DE" w14:textId="224CB1B5">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8" w:type="pct"/>
            <w:shd w:val="clear" w:color="000000" w:fill="FFFFFF"/>
            <w:noWrap/>
            <w:tcMar>
              <w:left w:w="0" w:type="dxa"/>
              <w:right w:w="43" w:type="dxa"/>
            </w:tcMar>
            <w:vAlign w:val="center"/>
          </w:tcPr>
          <w:p w:rsidRPr="003148DB" w:rsidR="0023718B" w:rsidP="000E31AA" w:rsidRDefault="0023718B" w14:paraId="5B3DFEC2" w14:textId="4788762B">
            <w:pPr>
              <w:jc w:val="right"/>
              <w:rPr>
                <w:rFonts w:asciiTheme="minorHAnsi" w:hAnsiTheme="minorHAnsi" w:cstheme="minorHAnsi"/>
                <w:sz w:val="16"/>
                <w:szCs w:val="16"/>
              </w:rPr>
            </w:pPr>
            <w:r w:rsidRPr="003148DB">
              <w:rPr>
                <w:rFonts w:asciiTheme="minorHAnsi" w:hAnsiTheme="minorHAnsi" w:cstheme="minorHAnsi"/>
                <w:color w:val="000000"/>
                <w:sz w:val="16"/>
                <w:szCs w:val="16"/>
              </w:rPr>
              <w:t>1,601</w:t>
            </w:r>
          </w:p>
        </w:tc>
        <w:tc>
          <w:tcPr>
            <w:tcW w:w="151" w:type="pct"/>
            <w:shd w:val="clear" w:color="000000" w:fill="FFFFFF"/>
            <w:noWrap/>
            <w:tcMar>
              <w:left w:w="0" w:type="dxa"/>
              <w:right w:w="43" w:type="dxa"/>
            </w:tcMar>
            <w:vAlign w:val="center"/>
          </w:tcPr>
          <w:p w:rsidRPr="003148DB" w:rsidR="0023718B" w:rsidP="000E31AA" w:rsidRDefault="0023718B" w14:paraId="74634126" w14:textId="592A311A">
            <w:pPr>
              <w:jc w:val="right"/>
              <w:rPr>
                <w:rFonts w:asciiTheme="minorHAnsi" w:hAnsiTheme="minorHAnsi" w:cstheme="minorHAnsi"/>
                <w:sz w:val="16"/>
                <w:szCs w:val="16"/>
              </w:rPr>
            </w:pPr>
            <w:r w:rsidRPr="003148DB">
              <w:rPr>
                <w:rFonts w:asciiTheme="minorHAnsi" w:hAnsiTheme="minorHAnsi" w:cstheme="minorHAnsi"/>
                <w:color w:val="000000"/>
                <w:sz w:val="16"/>
                <w:szCs w:val="16"/>
              </w:rPr>
              <w:t>8.8</w:t>
            </w:r>
          </w:p>
        </w:tc>
      </w:tr>
      <w:tr w:rsidRPr="003148DB" w:rsidR="0023718B" w:rsidTr="000D41FC" w14:paraId="533BCF6A" w14:textId="77777777">
        <w:trPr>
          <w:trHeight w:val="270"/>
        </w:trPr>
        <w:tc>
          <w:tcPr>
            <w:tcW w:w="268" w:type="pct"/>
            <w:vMerge/>
            <w:shd w:val="clear" w:color="auto" w:fill="auto"/>
            <w:noWrap/>
            <w:tcMar>
              <w:left w:w="58" w:type="dxa"/>
              <w:right w:w="58" w:type="dxa"/>
            </w:tcMar>
            <w:vAlign w:val="center"/>
            <w:hideMark/>
          </w:tcPr>
          <w:p w:rsidRPr="00196D17" w:rsidR="0023718B" w:rsidP="000E31AA" w:rsidRDefault="0023718B" w14:paraId="5DC1C1D2"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6D358754" w14:textId="7A519003">
            <w:pPr>
              <w:rPr>
                <w:rFonts w:asciiTheme="minorHAnsi" w:hAnsiTheme="minorHAnsi" w:cstheme="minorHAnsi"/>
                <w:sz w:val="16"/>
                <w:szCs w:val="16"/>
              </w:rPr>
            </w:pPr>
            <w:r w:rsidRPr="009055A9">
              <w:rPr>
                <w:rFonts w:asciiTheme="minorHAnsi" w:hAnsiTheme="minorHAnsi" w:cstheme="minorHAnsi"/>
                <w:color w:val="000000"/>
                <w:sz w:val="16"/>
                <w:szCs w:val="16"/>
              </w:rPr>
              <w:t>Xcel Energy</w:t>
            </w:r>
          </w:p>
        </w:tc>
        <w:tc>
          <w:tcPr>
            <w:tcW w:w="321" w:type="pct"/>
            <w:shd w:val="clear" w:color="auto" w:fill="auto"/>
            <w:noWrap/>
            <w:tcMar>
              <w:left w:w="58" w:type="dxa"/>
              <w:right w:w="29" w:type="dxa"/>
            </w:tcMar>
            <w:vAlign w:val="center"/>
            <w:hideMark/>
          </w:tcPr>
          <w:p w:rsidRPr="009055A9" w:rsidR="0023718B" w:rsidP="000E31AA" w:rsidRDefault="0023718B" w14:paraId="39958CE3" w14:textId="783548F7">
            <w:pPr>
              <w:rPr>
                <w:rFonts w:asciiTheme="minorHAnsi" w:hAnsiTheme="minorHAnsi" w:cstheme="minorHAnsi"/>
                <w:sz w:val="16"/>
                <w:szCs w:val="16"/>
              </w:rPr>
            </w:pPr>
            <w:r w:rsidRPr="009055A9">
              <w:rPr>
                <w:rFonts w:asciiTheme="minorHAnsi" w:hAnsiTheme="minorHAnsi" w:cstheme="minorHAnsi"/>
                <w:color w:val="000000"/>
                <w:sz w:val="16"/>
                <w:szCs w:val="16"/>
              </w:rPr>
              <w:t>Monticello</w:t>
            </w:r>
          </w:p>
        </w:tc>
        <w:tc>
          <w:tcPr>
            <w:tcW w:w="123" w:type="pct"/>
            <w:shd w:val="clear" w:color="auto" w:fill="auto"/>
            <w:noWrap/>
            <w:tcMar>
              <w:left w:w="58" w:type="dxa"/>
              <w:right w:w="58" w:type="dxa"/>
            </w:tcMar>
            <w:vAlign w:val="center"/>
            <w:hideMark/>
          </w:tcPr>
          <w:p w:rsidRPr="009055A9" w:rsidR="0023718B" w:rsidP="000E31AA" w:rsidRDefault="0023718B" w14:paraId="394AC58B" w14:textId="55198C31">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0489409D" w14:textId="16289058">
            <w:pPr>
              <w:jc w:val="right"/>
              <w:rPr>
                <w:rFonts w:asciiTheme="minorHAnsi" w:hAnsiTheme="minorHAnsi" w:cstheme="minorHAnsi"/>
                <w:sz w:val="16"/>
                <w:szCs w:val="16"/>
              </w:rPr>
            </w:pPr>
            <w:r w:rsidRPr="009055A9">
              <w:rPr>
                <w:rFonts w:asciiTheme="minorHAnsi" w:hAnsiTheme="minorHAnsi" w:cstheme="minorHAnsi"/>
                <w:color w:val="000000"/>
                <w:sz w:val="16"/>
                <w:szCs w:val="16"/>
              </w:rPr>
              <w:t>2,452</w:t>
            </w:r>
          </w:p>
        </w:tc>
        <w:tc>
          <w:tcPr>
            <w:tcW w:w="123" w:type="pct"/>
            <w:shd w:val="clear" w:color="auto" w:fill="auto"/>
            <w:noWrap/>
            <w:tcMar>
              <w:left w:w="0" w:type="dxa"/>
              <w:right w:w="43" w:type="dxa"/>
            </w:tcMar>
            <w:vAlign w:val="center"/>
            <w:hideMark/>
          </w:tcPr>
          <w:p w:rsidRPr="009055A9" w:rsidR="0023718B" w:rsidP="000E31AA" w:rsidRDefault="0023718B" w14:paraId="208075B8" w14:textId="1288D7CA">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0" w:type="pct"/>
            <w:shd w:val="clear" w:color="auto" w:fill="auto"/>
            <w:noWrap/>
            <w:tcMar>
              <w:left w:w="0" w:type="dxa"/>
              <w:right w:w="43" w:type="dxa"/>
            </w:tcMar>
            <w:vAlign w:val="center"/>
            <w:hideMark/>
          </w:tcPr>
          <w:p w:rsidRPr="009055A9" w:rsidR="0023718B" w:rsidP="000E31AA" w:rsidRDefault="0023718B" w14:paraId="7B30CD89" w14:textId="5807CD9E">
            <w:pPr>
              <w:jc w:val="right"/>
              <w:rPr>
                <w:rFonts w:asciiTheme="minorHAnsi" w:hAnsiTheme="minorHAnsi" w:cstheme="minorHAnsi"/>
                <w:sz w:val="16"/>
                <w:szCs w:val="16"/>
              </w:rPr>
            </w:pPr>
            <w:r w:rsidRPr="009055A9">
              <w:rPr>
                <w:rFonts w:asciiTheme="minorHAnsi" w:hAnsiTheme="minorHAnsi" w:cstheme="minorHAnsi"/>
                <w:color w:val="000000"/>
                <w:sz w:val="16"/>
                <w:szCs w:val="16"/>
              </w:rPr>
              <w:t>1,234</w:t>
            </w:r>
          </w:p>
        </w:tc>
        <w:tc>
          <w:tcPr>
            <w:tcW w:w="125" w:type="pct"/>
            <w:shd w:val="clear" w:color="auto" w:fill="auto"/>
            <w:noWrap/>
            <w:tcMar>
              <w:left w:w="0" w:type="dxa"/>
              <w:right w:w="43" w:type="dxa"/>
            </w:tcMar>
            <w:vAlign w:val="center"/>
            <w:hideMark/>
          </w:tcPr>
          <w:p w:rsidRPr="009055A9" w:rsidR="0023718B" w:rsidP="000E31AA" w:rsidRDefault="0023718B" w14:paraId="1A49FBBB" w14:textId="39D7B390">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2" w:type="pct"/>
            <w:shd w:val="clear" w:color="auto" w:fill="auto"/>
            <w:noWrap/>
            <w:tcMar>
              <w:left w:w="0" w:type="dxa"/>
              <w:right w:w="43" w:type="dxa"/>
            </w:tcMar>
            <w:vAlign w:val="center"/>
            <w:hideMark/>
          </w:tcPr>
          <w:p w:rsidRPr="009055A9" w:rsidR="0023718B" w:rsidP="000E31AA" w:rsidRDefault="0023718B" w14:paraId="234AEB42" w14:textId="46AAEA86">
            <w:pPr>
              <w:jc w:val="right"/>
              <w:rPr>
                <w:rFonts w:asciiTheme="minorHAnsi" w:hAnsiTheme="minorHAnsi" w:cstheme="minorHAnsi"/>
                <w:sz w:val="16"/>
                <w:szCs w:val="16"/>
              </w:rPr>
            </w:pPr>
            <w:r w:rsidRPr="009055A9">
              <w:rPr>
                <w:rFonts w:asciiTheme="minorHAnsi" w:hAnsiTheme="minorHAnsi" w:cstheme="minorHAnsi"/>
                <w:color w:val="000000"/>
                <w:sz w:val="16"/>
                <w:szCs w:val="16"/>
              </w:rPr>
              <w:t>3,329</w:t>
            </w:r>
          </w:p>
        </w:tc>
        <w:tc>
          <w:tcPr>
            <w:tcW w:w="123" w:type="pct"/>
            <w:shd w:val="clear" w:color="auto" w:fill="auto"/>
            <w:noWrap/>
            <w:tcMar>
              <w:left w:w="0" w:type="dxa"/>
              <w:right w:w="43" w:type="dxa"/>
            </w:tcMar>
            <w:vAlign w:val="center"/>
            <w:hideMark/>
          </w:tcPr>
          <w:p w:rsidRPr="009055A9" w:rsidR="0023718B" w:rsidP="000E31AA" w:rsidRDefault="0023718B" w14:paraId="0C3010E8" w14:textId="1C223BB0">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94" w:type="pct"/>
            <w:shd w:val="clear" w:color="auto" w:fill="auto"/>
            <w:noWrap/>
            <w:tcMar>
              <w:left w:w="0" w:type="dxa"/>
              <w:right w:w="43" w:type="dxa"/>
            </w:tcMar>
            <w:vAlign w:val="center"/>
            <w:hideMark/>
          </w:tcPr>
          <w:p w:rsidRPr="009055A9" w:rsidR="0023718B" w:rsidP="000E31AA" w:rsidRDefault="0023718B" w14:paraId="2B054429" w14:textId="27450609">
            <w:pPr>
              <w:jc w:val="right"/>
              <w:rPr>
                <w:rFonts w:asciiTheme="minorHAnsi" w:hAnsiTheme="minorHAnsi" w:cstheme="minorHAnsi"/>
                <w:sz w:val="16"/>
                <w:szCs w:val="16"/>
              </w:rPr>
            </w:pPr>
            <w:r w:rsidRPr="009055A9">
              <w:rPr>
                <w:rFonts w:asciiTheme="minorHAnsi" w:hAnsiTheme="minorHAnsi" w:cstheme="minorHAnsi"/>
                <w:color w:val="000000"/>
                <w:sz w:val="16"/>
                <w:szCs w:val="16"/>
              </w:rPr>
              <w:t>1,019</w:t>
            </w:r>
          </w:p>
        </w:tc>
        <w:tc>
          <w:tcPr>
            <w:tcW w:w="123" w:type="pct"/>
            <w:shd w:val="clear" w:color="auto" w:fill="auto"/>
            <w:noWrap/>
            <w:tcMar>
              <w:left w:w="0" w:type="dxa"/>
              <w:right w:w="43" w:type="dxa"/>
            </w:tcMar>
            <w:vAlign w:val="center"/>
            <w:hideMark/>
          </w:tcPr>
          <w:p w:rsidRPr="009055A9" w:rsidR="0023718B" w:rsidP="000E31AA" w:rsidRDefault="0023718B" w14:paraId="0414B55C" w14:textId="4AF05472">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97" w:type="pct"/>
            <w:shd w:val="clear" w:color="auto" w:fill="auto"/>
            <w:noWrap/>
            <w:tcMar>
              <w:left w:w="0" w:type="dxa"/>
              <w:right w:w="43" w:type="dxa"/>
            </w:tcMar>
            <w:vAlign w:val="center"/>
            <w:hideMark/>
          </w:tcPr>
          <w:p w:rsidRPr="009055A9" w:rsidR="0023718B" w:rsidP="000E31AA" w:rsidRDefault="0023718B" w14:paraId="297E4372" w14:textId="5649003E">
            <w:pPr>
              <w:jc w:val="right"/>
              <w:rPr>
                <w:rFonts w:asciiTheme="minorHAnsi" w:hAnsiTheme="minorHAnsi" w:cstheme="minorHAnsi"/>
                <w:sz w:val="16"/>
                <w:szCs w:val="16"/>
              </w:rPr>
            </w:pPr>
            <w:r w:rsidRPr="009055A9">
              <w:rPr>
                <w:rFonts w:asciiTheme="minorHAnsi" w:hAnsiTheme="minorHAnsi" w:cstheme="minorHAnsi"/>
                <w:color w:val="000000"/>
                <w:sz w:val="16"/>
                <w:szCs w:val="16"/>
              </w:rPr>
              <w:t>2,794</w:t>
            </w:r>
          </w:p>
        </w:tc>
        <w:tc>
          <w:tcPr>
            <w:tcW w:w="125" w:type="pct"/>
            <w:shd w:val="clear" w:color="auto" w:fill="auto"/>
            <w:noWrap/>
            <w:tcMar>
              <w:left w:w="0" w:type="dxa"/>
              <w:right w:w="43" w:type="dxa"/>
            </w:tcMar>
            <w:vAlign w:val="center"/>
            <w:hideMark/>
          </w:tcPr>
          <w:p w:rsidRPr="009055A9" w:rsidR="0023718B" w:rsidP="000E31AA" w:rsidRDefault="0023718B" w14:paraId="6BEE28A7" w14:textId="614D2FB8">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0" w:type="pct"/>
            <w:shd w:val="clear" w:color="auto" w:fill="auto"/>
            <w:noWrap/>
            <w:tcMar>
              <w:left w:w="0" w:type="dxa"/>
              <w:right w:w="43" w:type="dxa"/>
            </w:tcMar>
            <w:vAlign w:val="center"/>
            <w:hideMark/>
          </w:tcPr>
          <w:p w:rsidRPr="009055A9" w:rsidR="0023718B" w:rsidP="000E31AA" w:rsidRDefault="0023718B" w14:paraId="2A9A905F" w14:textId="6DFF8DA7">
            <w:pPr>
              <w:jc w:val="right"/>
              <w:rPr>
                <w:rFonts w:asciiTheme="minorHAnsi" w:hAnsiTheme="minorHAnsi" w:cstheme="minorHAnsi"/>
                <w:sz w:val="16"/>
                <w:szCs w:val="16"/>
              </w:rPr>
            </w:pPr>
            <w:r w:rsidRPr="009055A9">
              <w:rPr>
                <w:rFonts w:asciiTheme="minorHAnsi" w:hAnsiTheme="minorHAnsi" w:cstheme="minorHAnsi"/>
                <w:color w:val="000000"/>
                <w:sz w:val="16"/>
                <w:szCs w:val="16"/>
              </w:rPr>
              <w:t>835</w:t>
            </w:r>
          </w:p>
        </w:tc>
        <w:tc>
          <w:tcPr>
            <w:tcW w:w="148" w:type="pct"/>
            <w:shd w:val="clear" w:color="auto" w:fill="auto"/>
            <w:noWrap/>
            <w:tcMar>
              <w:left w:w="0" w:type="dxa"/>
              <w:right w:w="43" w:type="dxa"/>
            </w:tcMar>
            <w:vAlign w:val="center"/>
            <w:hideMark/>
          </w:tcPr>
          <w:p w:rsidRPr="009055A9" w:rsidR="0023718B" w:rsidP="000E31AA" w:rsidRDefault="0023718B" w14:paraId="06A1502D" w14:textId="58286530">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2" w:type="pct"/>
            <w:tcMar>
              <w:left w:w="0" w:type="dxa"/>
              <w:right w:w="43" w:type="dxa"/>
            </w:tcMar>
            <w:vAlign w:val="center"/>
          </w:tcPr>
          <w:p w:rsidRPr="009055A9" w:rsidR="0023718B" w:rsidP="000E31AA" w:rsidRDefault="0023718B" w14:paraId="1CD46B77" w14:textId="20BED681">
            <w:pPr>
              <w:jc w:val="right"/>
              <w:rPr>
                <w:rFonts w:asciiTheme="minorHAnsi" w:hAnsiTheme="minorHAnsi" w:cstheme="minorHAnsi"/>
                <w:sz w:val="16"/>
                <w:szCs w:val="16"/>
              </w:rPr>
            </w:pPr>
            <w:r w:rsidRPr="009055A9">
              <w:rPr>
                <w:rFonts w:asciiTheme="minorHAnsi" w:hAnsiTheme="minorHAnsi" w:cstheme="minorHAnsi"/>
                <w:color w:val="000000"/>
                <w:sz w:val="16"/>
                <w:szCs w:val="16"/>
              </w:rPr>
              <w:t>1,199</w:t>
            </w:r>
          </w:p>
        </w:tc>
        <w:tc>
          <w:tcPr>
            <w:tcW w:w="124" w:type="pct"/>
            <w:tcMar>
              <w:left w:w="0" w:type="dxa"/>
              <w:right w:w="43" w:type="dxa"/>
            </w:tcMar>
            <w:vAlign w:val="center"/>
          </w:tcPr>
          <w:p w:rsidRPr="009055A9" w:rsidR="0023718B" w:rsidP="000E31AA" w:rsidRDefault="0023718B" w14:paraId="0D3E0FBB" w14:textId="5437D433">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3" w:type="pct"/>
            <w:tcMar>
              <w:left w:w="0" w:type="dxa"/>
              <w:right w:w="43" w:type="dxa"/>
            </w:tcMar>
            <w:vAlign w:val="center"/>
          </w:tcPr>
          <w:p w:rsidRPr="009055A9" w:rsidR="0023718B" w:rsidP="000E31AA" w:rsidRDefault="0023718B" w14:paraId="19C80B0B" w14:textId="7CD49159">
            <w:pPr>
              <w:jc w:val="right"/>
              <w:rPr>
                <w:rFonts w:asciiTheme="minorHAnsi" w:hAnsiTheme="minorHAnsi" w:cstheme="minorHAnsi"/>
                <w:sz w:val="16"/>
                <w:szCs w:val="16"/>
              </w:rPr>
            </w:pPr>
            <w:r w:rsidRPr="009055A9">
              <w:rPr>
                <w:rFonts w:asciiTheme="minorHAnsi" w:hAnsiTheme="minorHAnsi" w:cstheme="minorHAnsi"/>
                <w:color w:val="000000"/>
                <w:sz w:val="16"/>
                <w:szCs w:val="16"/>
              </w:rPr>
              <w:t>615</w:t>
            </w:r>
          </w:p>
        </w:tc>
        <w:tc>
          <w:tcPr>
            <w:tcW w:w="146" w:type="pct"/>
            <w:tcMar>
              <w:left w:w="0" w:type="dxa"/>
              <w:right w:w="43" w:type="dxa"/>
            </w:tcMar>
            <w:vAlign w:val="center"/>
          </w:tcPr>
          <w:p w:rsidRPr="009055A9" w:rsidR="0023718B" w:rsidP="000E31AA" w:rsidRDefault="0023718B" w14:paraId="0925B780" w14:textId="01D907F6">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5" w:type="pct"/>
            <w:tcMar>
              <w:left w:w="0" w:type="dxa"/>
              <w:right w:w="43" w:type="dxa"/>
            </w:tcMar>
            <w:vAlign w:val="center"/>
          </w:tcPr>
          <w:p w:rsidRPr="009055A9" w:rsidR="0023718B" w:rsidP="000E31AA" w:rsidRDefault="0023718B" w14:paraId="0482ED06" w14:textId="7E1308F5">
            <w:pPr>
              <w:jc w:val="right"/>
              <w:rPr>
                <w:rFonts w:asciiTheme="minorHAnsi" w:hAnsiTheme="minorHAnsi" w:cstheme="minorHAnsi"/>
                <w:sz w:val="16"/>
                <w:szCs w:val="16"/>
              </w:rPr>
            </w:pPr>
            <w:r w:rsidRPr="009055A9">
              <w:rPr>
                <w:rFonts w:asciiTheme="minorHAnsi" w:hAnsiTheme="minorHAnsi" w:cstheme="minorHAnsi"/>
                <w:color w:val="000000"/>
                <w:sz w:val="16"/>
                <w:szCs w:val="16"/>
              </w:rPr>
              <w:t>1,055</w:t>
            </w:r>
          </w:p>
        </w:tc>
        <w:tc>
          <w:tcPr>
            <w:tcW w:w="149" w:type="pct"/>
            <w:tcMar>
              <w:left w:w="0" w:type="dxa"/>
              <w:right w:w="43" w:type="dxa"/>
            </w:tcMar>
            <w:vAlign w:val="center"/>
          </w:tcPr>
          <w:p w:rsidRPr="009055A9" w:rsidR="0023718B" w:rsidP="000E31AA" w:rsidRDefault="0023718B" w14:paraId="607AF73C" w14:textId="3B4B9FBC">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97" w:type="pct"/>
            <w:tcMar>
              <w:left w:w="0" w:type="dxa"/>
              <w:right w:w="43" w:type="dxa"/>
            </w:tcMar>
            <w:vAlign w:val="center"/>
          </w:tcPr>
          <w:p w:rsidRPr="009055A9" w:rsidR="0023718B" w:rsidP="000E31AA" w:rsidRDefault="0023718B" w14:paraId="777F8A02" w14:textId="5F3BBC19">
            <w:pPr>
              <w:jc w:val="right"/>
              <w:rPr>
                <w:rFonts w:asciiTheme="minorHAnsi" w:hAnsiTheme="minorHAnsi" w:cstheme="minorHAnsi"/>
                <w:sz w:val="16"/>
                <w:szCs w:val="16"/>
              </w:rPr>
            </w:pPr>
            <w:r w:rsidRPr="009055A9">
              <w:rPr>
                <w:rFonts w:asciiTheme="minorHAnsi" w:hAnsiTheme="minorHAnsi" w:cstheme="minorHAnsi"/>
                <w:color w:val="000000"/>
                <w:sz w:val="16"/>
                <w:szCs w:val="16"/>
              </w:rPr>
              <w:t>493</w:t>
            </w:r>
          </w:p>
        </w:tc>
        <w:tc>
          <w:tcPr>
            <w:tcW w:w="148" w:type="pct"/>
            <w:tcMar>
              <w:left w:w="0" w:type="dxa"/>
              <w:right w:w="43" w:type="dxa"/>
            </w:tcMar>
            <w:vAlign w:val="center"/>
          </w:tcPr>
          <w:p w:rsidRPr="009055A9" w:rsidR="0023718B" w:rsidP="000E31AA" w:rsidRDefault="0023718B" w14:paraId="6C93C758" w14:textId="11ABEBE4">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96" w:type="pct"/>
            <w:tcMar>
              <w:left w:w="0" w:type="dxa"/>
              <w:right w:w="43" w:type="dxa"/>
            </w:tcMar>
            <w:vAlign w:val="center"/>
          </w:tcPr>
          <w:p w:rsidRPr="009055A9" w:rsidR="0023718B" w:rsidP="000E31AA" w:rsidRDefault="0023718B" w14:paraId="27C6E251" w14:textId="0B855762">
            <w:pPr>
              <w:jc w:val="right"/>
              <w:rPr>
                <w:rFonts w:asciiTheme="minorHAnsi" w:hAnsiTheme="minorHAnsi" w:cstheme="minorHAnsi"/>
                <w:sz w:val="16"/>
                <w:szCs w:val="16"/>
              </w:rPr>
            </w:pPr>
            <w:r w:rsidRPr="009055A9">
              <w:rPr>
                <w:rFonts w:asciiTheme="minorHAnsi" w:hAnsiTheme="minorHAnsi" w:cstheme="minorHAnsi"/>
                <w:color w:val="000000"/>
                <w:sz w:val="16"/>
                <w:szCs w:val="16"/>
              </w:rPr>
              <w:t>961</w:t>
            </w:r>
          </w:p>
        </w:tc>
        <w:tc>
          <w:tcPr>
            <w:tcW w:w="143" w:type="pct"/>
            <w:tcMar>
              <w:left w:w="0" w:type="dxa"/>
              <w:right w:w="43" w:type="dxa"/>
            </w:tcMar>
            <w:vAlign w:val="center"/>
          </w:tcPr>
          <w:p w:rsidRPr="009055A9" w:rsidR="0023718B" w:rsidP="000E31AA" w:rsidRDefault="0023718B" w14:paraId="71062FBF" w14:textId="1575FE01">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78" w:type="pct"/>
            <w:shd w:val="clear" w:color="000000" w:fill="FFFFFF"/>
            <w:noWrap/>
            <w:tcMar>
              <w:left w:w="0" w:type="dxa"/>
              <w:right w:w="43" w:type="dxa"/>
            </w:tcMar>
            <w:vAlign w:val="center"/>
          </w:tcPr>
          <w:p w:rsidRPr="003148DB" w:rsidR="0023718B" w:rsidP="000E31AA" w:rsidRDefault="0023718B" w14:paraId="758D82A5" w14:textId="42AA9859">
            <w:pPr>
              <w:jc w:val="right"/>
              <w:rPr>
                <w:rFonts w:asciiTheme="minorHAnsi" w:hAnsiTheme="minorHAnsi" w:cstheme="minorHAnsi"/>
                <w:sz w:val="16"/>
                <w:szCs w:val="16"/>
              </w:rPr>
            </w:pPr>
            <w:r w:rsidRPr="003148DB">
              <w:rPr>
                <w:rFonts w:asciiTheme="minorHAnsi" w:hAnsiTheme="minorHAnsi" w:cstheme="minorHAnsi"/>
                <w:color w:val="000000"/>
                <w:sz w:val="16"/>
                <w:szCs w:val="16"/>
              </w:rPr>
              <w:t>1,453</w:t>
            </w:r>
          </w:p>
        </w:tc>
        <w:tc>
          <w:tcPr>
            <w:tcW w:w="151" w:type="pct"/>
            <w:shd w:val="clear" w:color="000000" w:fill="FFFFFF"/>
            <w:noWrap/>
            <w:tcMar>
              <w:left w:w="0" w:type="dxa"/>
              <w:right w:w="43" w:type="dxa"/>
            </w:tcMar>
            <w:vAlign w:val="center"/>
          </w:tcPr>
          <w:p w:rsidRPr="003148DB" w:rsidR="0023718B" w:rsidP="000E31AA" w:rsidRDefault="0023718B" w14:paraId="50D9EBE7" w14:textId="25A3695F">
            <w:pPr>
              <w:jc w:val="right"/>
              <w:rPr>
                <w:rFonts w:asciiTheme="minorHAnsi" w:hAnsiTheme="minorHAnsi" w:cstheme="minorHAnsi"/>
                <w:sz w:val="16"/>
                <w:szCs w:val="16"/>
              </w:rPr>
            </w:pPr>
            <w:r w:rsidRPr="003148DB">
              <w:rPr>
                <w:rFonts w:asciiTheme="minorHAnsi" w:hAnsiTheme="minorHAnsi" w:cstheme="minorHAnsi"/>
                <w:color w:val="000000"/>
                <w:sz w:val="16"/>
                <w:szCs w:val="16"/>
              </w:rPr>
              <w:t>7.4</w:t>
            </w:r>
          </w:p>
        </w:tc>
      </w:tr>
      <w:tr w:rsidRPr="003148DB" w:rsidR="0023718B" w:rsidTr="000D41FC" w14:paraId="65C55586"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3890EED3"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2B26DBE9" w14:textId="7F45F615">
            <w:pPr>
              <w:rPr>
                <w:rFonts w:asciiTheme="minorHAnsi" w:hAnsiTheme="minorHAnsi" w:cstheme="minorHAnsi"/>
                <w:sz w:val="16"/>
                <w:szCs w:val="16"/>
              </w:rPr>
            </w:pPr>
            <w:r w:rsidRPr="009055A9">
              <w:rPr>
                <w:rFonts w:asciiTheme="minorHAnsi" w:hAnsiTheme="minorHAnsi" w:cstheme="minorHAnsi"/>
                <w:color w:val="000000"/>
                <w:sz w:val="16"/>
                <w:szCs w:val="16"/>
              </w:rPr>
              <w:t>Entergy Nuclear</w:t>
            </w:r>
          </w:p>
        </w:tc>
        <w:tc>
          <w:tcPr>
            <w:tcW w:w="321" w:type="pct"/>
            <w:shd w:val="clear" w:color="auto" w:fill="auto"/>
            <w:noWrap/>
            <w:tcMar>
              <w:left w:w="58" w:type="dxa"/>
              <w:right w:w="29" w:type="dxa"/>
            </w:tcMar>
            <w:vAlign w:val="center"/>
            <w:hideMark/>
          </w:tcPr>
          <w:p w:rsidRPr="009055A9" w:rsidR="0023718B" w:rsidP="000E31AA" w:rsidRDefault="0023718B" w14:paraId="0CCF4986" w14:textId="5F609A9D">
            <w:pPr>
              <w:rPr>
                <w:rFonts w:asciiTheme="minorHAnsi" w:hAnsiTheme="minorHAnsi" w:cstheme="minorHAnsi"/>
                <w:sz w:val="16"/>
                <w:szCs w:val="16"/>
              </w:rPr>
            </w:pPr>
            <w:r w:rsidRPr="009055A9">
              <w:rPr>
                <w:rFonts w:asciiTheme="minorHAnsi" w:hAnsiTheme="minorHAnsi" w:cstheme="minorHAnsi"/>
                <w:color w:val="000000"/>
                <w:sz w:val="16"/>
                <w:szCs w:val="16"/>
              </w:rPr>
              <w:t>Palisades</w:t>
            </w:r>
          </w:p>
        </w:tc>
        <w:tc>
          <w:tcPr>
            <w:tcW w:w="123" w:type="pct"/>
            <w:shd w:val="clear" w:color="auto" w:fill="auto"/>
            <w:noWrap/>
            <w:tcMar>
              <w:left w:w="58" w:type="dxa"/>
              <w:right w:w="58" w:type="dxa"/>
            </w:tcMar>
            <w:vAlign w:val="center"/>
            <w:hideMark/>
          </w:tcPr>
          <w:p w:rsidRPr="009055A9" w:rsidR="0023718B" w:rsidP="000E31AA" w:rsidRDefault="0023718B" w14:paraId="07443EEC" w14:textId="78F6841F">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602EA1C6" w14:textId="0197781F">
            <w:pPr>
              <w:jc w:val="right"/>
              <w:rPr>
                <w:rFonts w:asciiTheme="minorHAnsi" w:hAnsiTheme="minorHAnsi" w:cstheme="minorHAnsi"/>
                <w:sz w:val="16"/>
                <w:szCs w:val="16"/>
              </w:rPr>
            </w:pPr>
            <w:r w:rsidRPr="009055A9">
              <w:rPr>
                <w:rFonts w:asciiTheme="minorHAnsi" w:hAnsiTheme="minorHAnsi" w:cstheme="minorHAnsi"/>
                <w:color w:val="000000"/>
                <w:sz w:val="16"/>
                <w:szCs w:val="16"/>
              </w:rPr>
              <w:t>2,019</w:t>
            </w:r>
          </w:p>
        </w:tc>
        <w:tc>
          <w:tcPr>
            <w:tcW w:w="123" w:type="pct"/>
            <w:shd w:val="clear" w:color="auto" w:fill="auto"/>
            <w:noWrap/>
            <w:tcMar>
              <w:left w:w="0" w:type="dxa"/>
              <w:right w:w="43" w:type="dxa"/>
            </w:tcMar>
            <w:vAlign w:val="center"/>
            <w:hideMark/>
          </w:tcPr>
          <w:p w:rsidRPr="009055A9" w:rsidR="0023718B" w:rsidP="000E31AA" w:rsidRDefault="0023718B" w14:paraId="7801120D" w14:textId="1D1A0AB6">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70" w:type="pct"/>
            <w:shd w:val="clear" w:color="auto" w:fill="auto"/>
            <w:noWrap/>
            <w:tcMar>
              <w:left w:w="0" w:type="dxa"/>
              <w:right w:w="43" w:type="dxa"/>
            </w:tcMar>
            <w:vAlign w:val="center"/>
            <w:hideMark/>
          </w:tcPr>
          <w:p w:rsidRPr="009055A9" w:rsidR="0023718B" w:rsidP="000E31AA" w:rsidRDefault="0023718B" w14:paraId="5C1E76DB" w14:textId="6FB6A05C">
            <w:pPr>
              <w:jc w:val="right"/>
              <w:rPr>
                <w:rFonts w:asciiTheme="minorHAnsi" w:hAnsiTheme="minorHAnsi" w:cstheme="minorHAnsi"/>
                <w:sz w:val="16"/>
                <w:szCs w:val="16"/>
              </w:rPr>
            </w:pPr>
            <w:r w:rsidRPr="009055A9">
              <w:rPr>
                <w:rFonts w:asciiTheme="minorHAnsi" w:hAnsiTheme="minorHAnsi" w:cstheme="minorHAnsi"/>
                <w:color w:val="000000"/>
                <w:sz w:val="16"/>
                <w:szCs w:val="16"/>
              </w:rPr>
              <w:t>2,060</w:t>
            </w:r>
          </w:p>
        </w:tc>
        <w:tc>
          <w:tcPr>
            <w:tcW w:w="125" w:type="pct"/>
            <w:shd w:val="clear" w:color="auto" w:fill="auto"/>
            <w:noWrap/>
            <w:tcMar>
              <w:left w:w="0" w:type="dxa"/>
              <w:right w:w="43" w:type="dxa"/>
            </w:tcMar>
            <w:vAlign w:val="center"/>
            <w:hideMark/>
          </w:tcPr>
          <w:p w:rsidRPr="009055A9" w:rsidR="0023718B" w:rsidP="000E31AA" w:rsidRDefault="0023718B" w14:paraId="17C28C66" w14:textId="557D8053">
            <w:pPr>
              <w:jc w:val="right"/>
              <w:rPr>
                <w:rFonts w:asciiTheme="minorHAnsi" w:hAnsiTheme="minorHAnsi" w:cstheme="minorHAnsi"/>
                <w:sz w:val="16"/>
                <w:szCs w:val="16"/>
              </w:rPr>
            </w:pPr>
            <w:r w:rsidRPr="009055A9">
              <w:rPr>
                <w:rFonts w:asciiTheme="minorHAnsi" w:hAnsiTheme="minorHAnsi" w:cstheme="minorHAnsi"/>
                <w:color w:val="000000"/>
                <w:sz w:val="16"/>
                <w:szCs w:val="16"/>
              </w:rPr>
              <w:t>24</w:t>
            </w:r>
          </w:p>
        </w:tc>
        <w:tc>
          <w:tcPr>
            <w:tcW w:w="172" w:type="pct"/>
            <w:shd w:val="clear" w:color="auto" w:fill="auto"/>
            <w:noWrap/>
            <w:tcMar>
              <w:left w:w="0" w:type="dxa"/>
              <w:right w:w="43" w:type="dxa"/>
            </w:tcMar>
            <w:vAlign w:val="center"/>
            <w:hideMark/>
          </w:tcPr>
          <w:p w:rsidRPr="009055A9" w:rsidR="0023718B" w:rsidP="000E31AA" w:rsidRDefault="0023718B" w14:paraId="1D90DA8E" w14:textId="7C9DB74B">
            <w:pPr>
              <w:jc w:val="right"/>
              <w:rPr>
                <w:rFonts w:asciiTheme="minorHAnsi" w:hAnsiTheme="minorHAnsi" w:cstheme="minorHAnsi"/>
                <w:sz w:val="16"/>
                <w:szCs w:val="16"/>
              </w:rPr>
            </w:pPr>
            <w:r w:rsidRPr="009055A9">
              <w:rPr>
                <w:rFonts w:asciiTheme="minorHAnsi" w:hAnsiTheme="minorHAnsi" w:cstheme="minorHAnsi"/>
                <w:color w:val="000000"/>
                <w:sz w:val="16"/>
                <w:szCs w:val="16"/>
              </w:rPr>
              <w:t>893</w:t>
            </w:r>
          </w:p>
        </w:tc>
        <w:tc>
          <w:tcPr>
            <w:tcW w:w="123" w:type="pct"/>
            <w:shd w:val="clear" w:color="auto" w:fill="auto"/>
            <w:noWrap/>
            <w:tcMar>
              <w:left w:w="0" w:type="dxa"/>
              <w:right w:w="43" w:type="dxa"/>
            </w:tcMar>
            <w:vAlign w:val="center"/>
            <w:hideMark/>
          </w:tcPr>
          <w:p w:rsidRPr="009055A9" w:rsidR="0023718B" w:rsidP="000E31AA" w:rsidRDefault="0023718B" w14:paraId="591D4796" w14:textId="5CDB863F">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94" w:type="pct"/>
            <w:shd w:val="clear" w:color="auto" w:fill="auto"/>
            <w:noWrap/>
            <w:tcMar>
              <w:left w:w="0" w:type="dxa"/>
              <w:right w:w="43" w:type="dxa"/>
            </w:tcMar>
            <w:vAlign w:val="center"/>
            <w:hideMark/>
          </w:tcPr>
          <w:p w:rsidRPr="009055A9" w:rsidR="0023718B" w:rsidP="000E31AA" w:rsidRDefault="0023718B" w14:paraId="535022B4" w14:textId="34E3F09D">
            <w:pPr>
              <w:jc w:val="right"/>
              <w:rPr>
                <w:rFonts w:asciiTheme="minorHAnsi" w:hAnsiTheme="minorHAnsi" w:cstheme="minorHAnsi"/>
                <w:sz w:val="16"/>
                <w:szCs w:val="16"/>
              </w:rPr>
            </w:pPr>
            <w:r w:rsidRPr="009055A9">
              <w:rPr>
                <w:rFonts w:asciiTheme="minorHAnsi" w:hAnsiTheme="minorHAnsi" w:cstheme="minorHAnsi"/>
                <w:color w:val="000000"/>
                <w:sz w:val="16"/>
                <w:szCs w:val="16"/>
              </w:rPr>
              <w:t>1,855</w:t>
            </w:r>
          </w:p>
        </w:tc>
        <w:tc>
          <w:tcPr>
            <w:tcW w:w="123" w:type="pct"/>
            <w:shd w:val="clear" w:color="auto" w:fill="auto"/>
            <w:noWrap/>
            <w:tcMar>
              <w:left w:w="0" w:type="dxa"/>
              <w:right w:w="43" w:type="dxa"/>
            </w:tcMar>
            <w:vAlign w:val="center"/>
            <w:hideMark/>
          </w:tcPr>
          <w:p w:rsidRPr="009055A9" w:rsidR="0023718B" w:rsidP="000E31AA" w:rsidRDefault="0023718B" w14:paraId="44502BBB" w14:textId="3D736B8C">
            <w:pPr>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97" w:type="pct"/>
            <w:shd w:val="clear" w:color="auto" w:fill="auto"/>
            <w:noWrap/>
            <w:tcMar>
              <w:left w:w="0" w:type="dxa"/>
              <w:right w:w="43" w:type="dxa"/>
            </w:tcMar>
            <w:vAlign w:val="center"/>
            <w:hideMark/>
          </w:tcPr>
          <w:p w:rsidRPr="009055A9" w:rsidR="0023718B" w:rsidP="000E31AA" w:rsidRDefault="0023718B" w14:paraId="52AA84B1" w14:textId="45233BBC">
            <w:pPr>
              <w:jc w:val="right"/>
              <w:rPr>
                <w:rFonts w:asciiTheme="minorHAnsi" w:hAnsiTheme="minorHAnsi" w:cstheme="minorHAnsi"/>
                <w:sz w:val="16"/>
                <w:szCs w:val="16"/>
              </w:rPr>
            </w:pPr>
            <w:r w:rsidRPr="009055A9">
              <w:rPr>
                <w:rFonts w:asciiTheme="minorHAnsi" w:hAnsiTheme="minorHAnsi" w:cstheme="minorHAnsi"/>
                <w:color w:val="000000"/>
                <w:sz w:val="16"/>
                <w:szCs w:val="16"/>
              </w:rPr>
              <w:t>1,083</w:t>
            </w:r>
          </w:p>
        </w:tc>
        <w:tc>
          <w:tcPr>
            <w:tcW w:w="125" w:type="pct"/>
            <w:shd w:val="clear" w:color="auto" w:fill="auto"/>
            <w:noWrap/>
            <w:tcMar>
              <w:left w:w="0" w:type="dxa"/>
              <w:right w:w="43" w:type="dxa"/>
            </w:tcMar>
            <w:vAlign w:val="center"/>
            <w:hideMark/>
          </w:tcPr>
          <w:p w:rsidRPr="009055A9" w:rsidR="0023718B" w:rsidP="000E31AA" w:rsidRDefault="0023718B" w14:paraId="72B15962" w14:textId="61DBBCF4">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70" w:type="pct"/>
            <w:shd w:val="clear" w:color="auto" w:fill="auto"/>
            <w:noWrap/>
            <w:tcMar>
              <w:left w:w="0" w:type="dxa"/>
              <w:right w:w="43" w:type="dxa"/>
            </w:tcMar>
            <w:vAlign w:val="center"/>
            <w:hideMark/>
          </w:tcPr>
          <w:p w:rsidRPr="009055A9" w:rsidR="0023718B" w:rsidP="000E31AA" w:rsidRDefault="0023718B" w14:paraId="18BEF1B3" w14:textId="25385D53">
            <w:pPr>
              <w:jc w:val="right"/>
              <w:rPr>
                <w:rFonts w:asciiTheme="minorHAnsi" w:hAnsiTheme="minorHAnsi" w:cstheme="minorHAnsi"/>
                <w:sz w:val="16"/>
                <w:szCs w:val="16"/>
              </w:rPr>
            </w:pPr>
            <w:r w:rsidRPr="009055A9">
              <w:rPr>
                <w:rFonts w:asciiTheme="minorHAnsi" w:hAnsiTheme="minorHAnsi" w:cstheme="minorHAnsi"/>
                <w:color w:val="000000"/>
                <w:sz w:val="16"/>
                <w:szCs w:val="16"/>
              </w:rPr>
              <w:t>1,894</w:t>
            </w:r>
          </w:p>
        </w:tc>
        <w:tc>
          <w:tcPr>
            <w:tcW w:w="148" w:type="pct"/>
            <w:shd w:val="clear" w:color="auto" w:fill="auto"/>
            <w:noWrap/>
            <w:tcMar>
              <w:left w:w="0" w:type="dxa"/>
              <w:right w:w="43" w:type="dxa"/>
            </w:tcMar>
            <w:vAlign w:val="center"/>
            <w:hideMark/>
          </w:tcPr>
          <w:p w:rsidRPr="009055A9" w:rsidR="0023718B" w:rsidP="000E31AA" w:rsidRDefault="0023718B" w14:paraId="704B257C" w14:textId="6820659F">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72" w:type="pct"/>
            <w:tcMar>
              <w:left w:w="0" w:type="dxa"/>
              <w:right w:w="43" w:type="dxa"/>
            </w:tcMar>
            <w:vAlign w:val="center"/>
          </w:tcPr>
          <w:p w:rsidRPr="009055A9" w:rsidR="0023718B" w:rsidP="000E31AA" w:rsidRDefault="0023718B" w14:paraId="73882483" w14:textId="3DE78111">
            <w:pPr>
              <w:jc w:val="right"/>
              <w:rPr>
                <w:rFonts w:asciiTheme="minorHAnsi" w:hAnsiTheme="minorHAnsi" w:cstheme="minorHAnsi"/>
                <w:sz w:val="16"/>
                <w:szCs w:val="16"/>
              </w:rPr>
            </w:pPr>
            <w:r w:rsidRPr="009055A9">
              <w:rPr>
                <w:rFonts w:asciiTheme="minorHAnsi" w:hAnsiTheme="minorHAnsi" w:cstheme="minorHAnsi"/>
                <w:color w:val="000000"/>
                <w:sz w:val="16"/>
                <w:szCs w:val="16"/>
              </w:rPr>
              <w:t>1,827</w:t>
            </w:r>
          </w:p>
        </w:tc>
        <w:tc>
          <w:tcPr>
            <w:tcW w:w="124" w:type="pct"/>
            <w:tcMar>
              <w:left w:w="0" w:type="dxa"/>
              <w:right w:w="43" w:type="dxa"/>
            </w:tcMar>
            <w:vAlign w:val="center"/>
          </w:tcPr>
          <w:p w:rsidRPr="009055A9" w:rsidR="0023718B" w:rsidP="000E31AA" w:rsidRDefault="0023718B" w14:paraId="455E9C2E" w14:textId="754F5020">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3" w:type="pct"/>
            <w:tcMar>
              <w:left w:w="0" w:type="dxa"/>
              <w:right w:w="43" w:type="dxa"/>
            </w:tcMar>
            <w:vAlign w:val="center"/>
          </w:tcPr>
          <w:p w:rsidRPr="009055A9" w:rsidR="0023718B" w:rsidP="000E31AA" w:rsidRDefault="0023718B" w14:paraId="3DA9DA63" w14:textId="7EC1CB7D">
            <w:pPr>
              <w:jc w:val="right"/>
              <w:rPr>
                <w:rFonts w:asciiTheme="minorHAnsi" w:hAnsiTheme="minorHAnsi" w:cstheme="minorHAnsi"/>
                <w:sz w:val="16"/>
                <w:szCs w:val="16"/>
              </w:rPr>
            </w:pPr>
            <w:r w:rsidRPr="009055A9">
              <w:rPr>
                <w:rFonts w:asciiTheme="minorHAnsi" w:hAnsiTheme="minorHAnsi" w:cstheme="minorHAnsi"/>
                <w:color w:val="000000"/>
                <w:sz w:val="16"/>
                <w:szCs w:val="16"/>
              </w:rPr>
              <w:t>803</w:t>
            </w:r>
          </w:p>
        </w:tc>
        <w:tc>
          <w:tcPr>
            <w:tcW w:w="146" w:type="pct"/>
            <w:tcMar>
              <w:left w:w="0" w:type="dxa"/>
              <w:right w:w="43" w:type="dxa"/>
            </w:tcMar>
            <w:vAlign w:val="center"/>
          </w:tcPr>
          <w:p w:rsidRPr="009055A9" w:rsidR="0023718B" w:rsidP="000E31AA" w:rsidRDefault="0023718B" w14:paraId="3F1963CD" w14:textId="6BA881F4">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5" w:type="pct"/>
            <w:tcMar>
              <w:left w:w="0" w:type="dxa"/>
              <w:right w:w="43" w:type="dxa"/>
            </w:tcMar>
            <w:vAlign w:val="center"/>
          </w:tcPr>
          <w:p w:rsidRPr="009055A9" w:rsidR="0023718B" w:rsidP="000E31AA" w:rsidRDefault="0023718B" w14:paraId="19957A95" w14:textId="3A8E5E1C">
            <w:pPr>
              <w:jc w:val="right"/>
              <w:rPr>
                <w:rFonts w:asciiTheme="minorHAnsi" w:hAnsiTheme="minorHAnsi" w:cstheme="minorHAnsi"/>
                <w:sz w:val="16"/>
                <w:szCs w:val="16"/>
              </w:rPr>
            </w:pPr>
            <w:r w:rsidRPr="009055A9">
              <w:rPr>
                <w:rFonts w:asciiTheme="minorHAnsi" w:hAnsiTheme="minorHAnsi" w:cstheme="minorHAnsi"/>
                <w:color w:val="000000"/>
                <w:sz w:val="16"/>
                <w:szCs w:val="16"/>
              </w:rPr>
              <w:t>1,387</w:t>
            </w:r>
          </w:p>
        </w:tc>
        <w:tc>
          <w:tcPr>
            <w:tcW w:w="149" w:type="pct"/>
            <w:tcMar>
              <w:left w:w="0" w:type="dxa"/>
              <w:right w:w="43" w:type="dxa"/>
            </w:tcMar>
            <w:vAlign w:val="center"/>
          </w:tcPr>
          <w:p w:rsidRPr="009055A9" w:rsidR="0023718B" w:rsidP="000E31AA" w:rsidRDefault="0023718B" w14:paraId="053B8115" w14:textId="02BD2461">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97" w:type="pct"/>
            <w:tcMar>
              <w:left w:w="0" w:type="dxa"/>
              <w:right w:w="43" w:type="dxa"/>
            </w:tcMar>
            <w:vAlign w:val="center"/>
          </w:tcPr>
          <w:p w:rsidRPr="009055A9" w:rsidR="0023718B" w:rsidP="000E31AA" w:rsidRDefault="0023718B" w14:paraId="414F2B8F" w14:textId="2D29464D">
            <w:pPr>
              <w:jc w:val="right"/>
              <w:rPr>
                <w:rFonts w:asciiTheme="minorHAnsi" w:hAnsiTheme="minorHAnsi" w:cstheme="minorHAnsi"/>
                <w:sz w:val="16"/>
                <w:szCs w:val="16"/>
              </w:rPr>
            </w:pPr>
            <w:r w:rsidRPr="009055A9">
              <w:rPr>
                <w:rFonts w:asciiTheme="minorHAnsi" w:hAnsiTheme="minorHAnsi" w:cstheme="minorHAnsi"/>
                <w:color w:val="000000"/>
                <w:sz w:val="16"/>
                <w:szCs w:val="16"/>
              </w:rPr>
              <w:t>1,972</w:t>
            </w:r>
          </w:p>
        </w:tc>
        <w:tc>
          <w:tcPr>
            <w:tcW w:w="148" w:type="pct"/>
            <w:tcMar>
              <w:left w:w="0" w:type="dxa"/>
              <w:right w:w="43" w:type="dxa"/>
            </w:tcMar>
            <w:vAlign w:val="center"/>
          </w:tcPr>
          <w:p w:rsidRPr="009055A9" w:rsidR="0023718B" w:rsidP="000E31AA" w:rsidRDefault="0023718B" w14:paraId="4C3CF275" w14:textId="237AC022">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6" w:type="pct"/>
            <w:tcMar>
              <w:left w:w="0" w:type="dxa"/>
              <w:right w:w="43" w:type="dxa"/>
            </w:tcMar>
            <w:vAlign w:val="center"/>
          </w:tcPr>
          <w:p w:rsidRPr="009055A9" w:rsidR="0023718B" w:rsidP="000E31AA" w:rsidRDefault="0023718B" w14:paraId="34120B02" w14:textId="37299FC2">
            <w:pPr>
              <w:jc w:val="right"/>
              <w:rPr>
                <w:rFonts w:asciiTheme="minorHAnsi" w:hAnsiTheme="minorHAnsi" w:cstheme="minorHAnsi"/>
                <w:sz w:val="16"/>
                <w:szCs w:val="16"/>
              </w:rPr>
            </w:pPr>
            <w:r w:rsidRPr="009055A9">
              <w:rPr>
                <w:rFonts w:asciiTheme="minorHAnsi" w:hAnsiTheme="minorHAnsi" w:cstheme="minorHAnsi"/>
                <w:color w:val="000000"/>
                <w:sz w:val="16"/>
                <w:szCs w:val="16"/>
              </w:rPr>
              <w:t>776</w:t>
            </w:r>
          </w:p>
        </w:tc>
        <w:tc>
          <w:tcPr>
            <w:tcW w:w="143" w:type="pct"/>
            <w:tcMar>
              <w:left w:w="0" w:type="dxa"/>
              <w:right w:w="43" w:type="dxa"/>
            </w:tcMar>
            <w:vAlign w:val="center"/>
          </w:tcPr>
          <w:p w:rsidRPr="009055A9" w:rsidR="0023718B" w:rsidP="000E31AA" w:rsidRDefault="0023718B" w14:paraId="6B08C7D2" w14:textId="52E2B349">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78" w:type="pct"/>
            <w:shd w:val="clear" w:color="000000" w:fill="FFFFFF"/>
            <w:noWrap/>
            <w:tcMar>
              <w:left w:w="0" w:type="dxa"/>
              <w:right w:w="43" w:type="dxa"/>
            </w:tcMar>
            <w:vAlign w:val="center"/>
          </w:tcPr>
          <w:p w:rsidRPr="003148DB" w:rsidR="0023718B" w:rsidP="000E31AA" w:rsidRDefault="0023718B" w14:paraId="0DE9EE80" w14:textId="090E2F97">
            <w:pPr>
              <w:jc w:val="right"/>
              <w:rPr>
                <w:rFonts w:asciiTheme="minorHAnsi" w:hAnsiTheme="minorHAnsi" w:cstheme="minorHAnsi"/>
                <w:sz w:val="16"/>
                <w:szCs w:val="16"/>
              </w:rPr>
            </w:pPr>
            <w:r w:rsidRPr="003148DB">
              <w:rPr>
                <w:rFonts w:asciiTheme="minorHAnsi" w:hAnsiTheme="minorHAnsi" w:cstheme="minorHAnsi"/>
                <w:color w:val="000000"/>
                <w:sz w:val="16"/>
                <w:szCs w:val="16"/>
              </w:rPr>
              <w:t>1,506</w:t>
            </w:r>
          </w:p>
        </w:tc>
        <w:tc>
          <w:tcPr>
            <w:tcW w:w="151" w:type="pct"/>
            <w:shd w:val="clear" w:color="000000" w:fill="FFFFFF"/>
            <w:noWrap/>
            <w:tcMar>
              <w:left w:w="0" w:type="dxa"/>
              <w:right w:w="43" w:type="dxa"/>
            </w:tcMar>
            <w:vAlign w:val="center"/>
          </w:tcPr>
          <w:p w:rsidRPr="003148DB" w:rsidR="0023718B" w:rsidP="000E31AA" w:rsidRDefault="0023718B" w14:paraId="626F6011" w14:textId="004471AD">
            <w:pPr>
              <w:jc w:val="right"/>
              <w:rPr>
                <w:rFonts w:asciiTheme="minorHAnsi" w:hAnsiTheme="minorHAnsi" w:cstheme="minorHAnsi"/>
                <w:sz w:val="16"/>
                <w:szCs w:val="16"/>
              </w:rPr>
            </w:pPr>
            <w:r w:rsidRPr="003148DB">
              <w:rPr>
                <w:rFonts w:asciiTheme="minorHAnsi" w:hAnsiTheme="minorHAnsi" w:cstheme="minorHAnsi"/>
                <w:color w:val="000000"/>
                <w:sz w:val="16"/>
                <w:szCs w:val="16"/>
              </w:rPr>
              <w:t>11.5</w:t>
            </w:r>
          </w:p>
        </w:tc>
      </w:tr>
      <w:tr w:rsidRPr="003148DB" w:rsidR="0023718B" w:rsidTr="000D41FC" w14:paraId="4CB99C80"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5E6EDE5A"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5E551961" w14:textId="1B40AF3D">
            <w:pPr>
              <w:rPr>
                <w:rFonts w:asciiTheme="minorHAnsi" w:hAnsiTheme="minorHAnsi" w:cstheme="minorHAnsi"/>
                <w:sz w:val="16"/>
                <w:szCs w:val="16"/>
              </w:rPr>
            </w:pPr>
            <w:r w:rsidRPr="009055A9">
              <w:rPr>
                <w:rFonts w:asciiTheme="minorHAnsi" w:hAnsiTheme="minorHAnsi" w:cstheme="minorHAnsi"/>
                <w:sz w:val="16"/>
                <w:szCs w:val="16"/>
              </w:rPr>
              <w:t>Energy Harbor</w:t>
            </w:r>
          </w:p>
        </w:tc>
        <w:tc>
          <w:tcPr>
            <w:tcW w:w="321" w:type="pct"/>
            <w:shd w:val="clear" w:color="auto" w:fill="auto"/>
            <w:noWrap/>
            <w:tcMar>
              <w:left w:w="58" w:type="dxa"/>
              <w:right w:w="29" w:type="dxa"/>
            </w:tcMar>
            <w:vAlign w:val="center"/>
            <w:hideMark/>
          </w:tcPr>
          <w:p w:rsidRPr="009055A9" w:rsidR="0023718B" w:rsidP="000E31AA" w:rsidRDefault="0023718B" w14:paraId="01BB93A8" w14:textId="493478E8">
            <w:pPr>
              <w:rPr>
                <w:rFonts w:asciiTheme="minorHAnsi" w:hAnsiTheme="minorHAnsi" w:cstheme="minorHAnsi"/>
                <w:sz w:val="16"/>
                <w:szCs w:val="16"/>
              </w:rPr>
            </w:pPr>
            <w:r w:rsidRPr="009055A9">
              <w:rPr>
                <w:rFonts w:asciiTheme="minorHAnsi" w:hAnsiTheme="minorHAnsi" w:cstheme="minorHAnsi"/>
                <w:color w:val="000000"/>
                <w:sz w:val="16"/>
                <w:szCs w:val="16"/>
              </w:rPr>
              <w:t>Perry</w:t>
            </w:r>
          </w:p>
        </w:tc>
        <w:tc>
          <w:tcPr>
            <w:tcW w:w="123" w:type="pct"/>
            <w:shd w:val="clear" w:color="auto" w:fill="auto"/>
            <w:noWrap/>
            <w:tcMar>
              <w:left w:w="58" w:type="dxa"/>
              <w:right w:w="58" w:type="dxa"/>
            </w:tcMar>
            <w:vAlign w:val="center"/>
            <w:hideMark/>
          </w:tcPr>
          <w:p w:rsidRPr="009055A9" w:rsidR="0023718B" w:rsidP="000E31AA" w:rsidRDefault="0023718B" w14:paraId="141C3959" w14:textId="49ADAB2D">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19D0D059" w14:textId="020E5F13">
            <w:pPr>
              <w:jc w:val="right"/>
              <w:rPr>
                <w:rFonts w:asciiTheme="minorHAnsi" w:hAnsiTheme="minorHAnsi" w:cstheme="minorHAnsi"/>
                <w:sz w:val="16"/>
                <w:szCs w:val="16"/>
              </w:rPr>
            </w:pPr>
            <w:r w:rsidRPr="009055A9">
              <w:rPr>
                <w:rFonts w:asciiTheme="minorHAnsi" w:hAnsiTheme="minorHAnsi" w:cstheme="minorHAnsi"/>
                <w:color w:val="000000"/>
                <w:sz w:val="16"/>
                <w:szCs w:val="16"/>
              </w:rPr>
              <w:t>2,512</w:t>
            </w:r>
          </w:p>
        </w:tc>
        <w:tc>
          <w:tcPr>
            <w:tcW w:w="123" w:type="pct"/>
            <w:shd w:val="clear" w:color="auto" w:fill="auto"/>
            <w:noWrap/>
            <w:tcMar>
              <w:left w:w="0" w:type="dxa"/>
              <w:right w:w="43" w:type="dxa"/>
            </w:tcMar>
            <w:vAlign w:val="center"/>
            <w:hideMark/>
          </w:tcPr>
          <w:p w:rsidRPr="009055A9" w:rsidR="0023718B" w:rsidP="000E31AA" w:rsidRDefault="0023718B" w14:paraId="7AD5959C" w14:textId="5A258034">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0" w:type="pct"/>
            <w:shd w:val="clear" w:color="auto" w:fill="auto"/>
            <w:noWrap/>
            <w:tcMar>
              <w:left w:w="0" w:type="dxa"/>
              <w:right w:w="43" w:type="dxa"/>
            </w:tcMar>
            <w:vAlign w:val="center"/>
            <w:hideMark/>
          </w:tcPr>
          <w:p w:rsidRPr="009055A9" w:rsidR="0023718B" w:rsidP="000E31AA" w:rsidRDefault="0023718B" w14:paraId="6ED9731C" w14:textId="7A1CDE27">
            <w:pPr>
              <w:jc w:val="right"/>
              <w:rPr>
                <w:rFonts w:asciiTheme="minorHAnsi" w:hAnsiTheme="minorHAnsi" w:cstheme="minorHAnsi"/>
                <w:sz w:val="16"/>
                <w:szCs w:val="16"/>
              </w:rPr>
            </w:pPr>
            <w:r w:rsidRPr="009055A9">
              <w:rPr>
                <w:rFonts w:asciiTheme="minorHAnsi" w:hAnsiTheme="minorHAnsi" w:cstheme="minorHAnsi"/>
                <w:color w:val="000000"/>
                <w:sz w:val="16"/>
                <w:szCs w:val="16"/>
              </w:rPr>
              <w:t>1,126</w:t>
            </w:r>
          </w:p>
        </w:tc>
        <w:tc>
          <w:tcPr>
            <w:tcW w:w="125" w:type="pct"/>
            <w:shd w:val="clear" w:color="auto" w:fill="auto"/>
            <w:noWrap/>
            <w:tcMar>
              <w:left w:w="0" w:type="dxa"/>
              <w:right w:w="43" w:type="dxa"/>
            </w:tcMar>
            <w:vAlign w:val="center"/>
            <w:hideMark/>
          </w:tcPr>
          <w:p w:rsidRPr="009055A9" w:rsidR="0023718B" w:rsidP="000E31AA" w:rsidRDefault="0023718B" w14:paraId="2721F9AD" w14:textId="0E8B6029">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2" w:type="pct"/>
            <w:shd w:val="clear" w:color="auto" w:fill="auto"/>
            <w:noWrap/>
            <w:tcMar>
              <w:left w:w="0" w:type="dxa"/>
              <w:right w:w="43" w:type="dxa"/>
            </w:tcMar>
            <w:vAlign w:val="center"/>
            <w:hideMark/>
          </w:tcPr>
          <w:p w:rsidRPr="009055A9" w:rsidR="0023718B" w:rsidP="000E31AA" w:rsidRDefault="0023718B" w14:paraId="5D74291A" w14:textId="2E9F82B1">
            <w:pPr>
              <w:jc w:val="right"/>
              <w:rPr>
                <w:rFonts w:asciiTheme="minorHAnsi" w:hAnsiTheme="minorHAnsi" w:cstheme="minorHAnsi"/>
                <w:sz w:val="16"/>
                <w:szCs w:val="16"/>
              </w:rPr>
            </w:pPr>
            <w:r w:rsidRPr="009055A9">
              <w:rPr>
                <w:rFonts w:asciiTheme="minorHAnsi" w:hAnsiTheme="minorHAnsi" w:cstheme="minorHAnsi"/>
                <w:color w:val="000000"/>
                <w:sz w:val="16"/>
                <w:szCs w:val="16"/>
              </w:rPr>
              <w:t>2,066</w:t>
            </w:r>
          </w:p>
        </w:tc>
        <w:tc>
          <w:tcPr>
            <w:tcW w:w="123" w:type="pct"/>
            <w:shd w:val="clear" w:color="auto" w:fill="auto"/>
            <w:noWrap/>
            <w:tcMar>
              <w:left w:w="0" w:type="dxa"/>
              <w:right w:w="43" w:type="dxa"/>
            </w:tcMar>
            <w:vAlign w:val="center"/>
            <w:hideMark/>
          </w:tcPr>
          <w:p w:rsidRPr="009055A9" w:rsidR="0023718B" w:rsidP="000E31AA" w:rsidRDefault="0023718B" w14:paraId="4C59C0AF" w14:textId="2D5882EF">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94" w:type="pct"/>
            <w:shd w:val="clear" w:color="auto" w:fill="auto"/>
            <w:noWrap/>
            <w:tcMar>
              <w:left w:w="0" w:type="dxa"/>
              <w:right w:w="43" w:type="dxa"/>
            </w:tcMar>
            <w:vAlign w:val="center"/>
            <w:hideMark/>
          </w:tcPr>
          <w:p w:rsidRPr="009055A9" w:rsidR="0023718B" w:rsidP="000E31AA" w:rsidRDefault="0023718B" w14:paraId="2A41C52E" w14:textId="20AB776E">
            <w:pPr>
              <w:jc w:val="right"/>
              <w:rPr>
                <w:rFonts w:asciiTheme="minorHAnsi" w:hAnsiTheme="minorHAnsi" w:cstheme="minorHAnsi"/>
                <w:sz w:val="16"/>
                <w:szCs w:val="16"/>
              </w:rPr>
            </w:pPr>
            <w:r w:rsidRPr="009055A9">
              <w:rPr>
                <w:rFonts w:asciiTheme="minorHAnsi" w:hAnsiTheme="minorHAnsi" w:cstheme="minorHAnsi"/>
                <w:color w:val="000000"/>
                <w:sz w:val="16"/>
                <w:szCs w:val="16"/>
              </w:rPr>
              <w:t>1,192</w:t>
            </w:r>
          </w:p>
        </w:tc>
        <w:tc>
          <w:tcPr>
            <w:tcW w:w="123" w:type="pct"/>
            <w:shd w:val="clear" w:color="auto" w:fill="auto"/>
            <w:noWrap/>
            <w:tcMar>
              <w:left w:w="0" w:type="dxa"/>
              <w:right w:w="43" w:type="dxa"/>
            </w:tcMar>
            <w:vAlign w:val="center"/>
            <w:hideMark/>
          </w:tcPr>
          <w:p w:rsidRPr="009055A9" w:rsidR="0023718B" w:rsidP="000E31AA" w:rsidRDefault="0023718B" w14:paraId="383633C1" w14:textId="530FDB1F">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97" w:type="pct"/>
            <w:shd w:val="clear" w:color="auto" w:fill="auto"/>
            <w:noWrap/>
            <w:tcMar>
              <w:left w:w="0" w:type="dxa"/>
              <w:right w:w="43" w:type="dxa"/>
            </w:tcMar>
            <w:vAlign w:val="center"/>
            <w:hideMark/>
          </w:tcPr>
          <w:p w:rsidRPr="009055A9" w:rsidR="0023718B" w:rsidP="000E31AA" w:rsidRDefault="0023718B" w14:paraId="126C35E1" w14:textId="5C9B33C5">
            <w:pPr>
              <w:jc w:val="right"/>
              <w:rPr>
                <w:rFonts w:asciiTheme="minorHAnsi" w:hAnsiTheme="minorHAnsi" w:cstheme="minorHAnsi"/>
                <w:sz w:val="16"/>
                <w:szCs w:val="16"/>
              </w:rPr>
            </w:pPr>
            <w:r w:rsidRPr="009055A9">
              <w:rPr>
                <w:rFonts w:asciiTheme="minorHAnsi" w:hAnsiTheme="minorHAnsi" w:cstheme="minorHAnsi"/>
                <w:color w:val="000000"/>
                <w:sz w:val="16"/>
                <w:szCs w:val="16"/>
              </w:rPr>
              <w:t>2,561</w:t>
            </w:r>
          </w:p>
        </w:tc>
        <w:tc>
          <w:tcPr>
            <w:tcW w:w="125" w:type="pct"/>
            <w:shd w:val="clear" w:color="auto" w:fill="auto"/>
            <w:noWrap/>
            <w:tcMar>
              <w:left w:w="0" w:type="dxa"/>
              <w:right w:w="43" w:type="dxa"/>
            </w:tcMar>
            <w:vAlign w:val="center"/>
            <w:hideMark/>
          </w:tcPr>
          <w:p w:rsidRPr="009055A9" w:rsidR="0023718B" w:rsidP="000E31AA" w:rsidRDefault="0023718B" w14:paraId="5C5BA625" w14:textId="1ABB39DA">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0" w:type="pct"/>
            <w:shd w:val="clear" w:color="auto" w:fill="auto"/>
            <w:noWrap/>
            <w:tcMar>
              <w:left w:w="0" w:type="dxa"/>
              <w:right w:w="43" w:type="dxa"/>
            </w:tcMar>
            <w:vAlign w:val="center"/>
            <w:hideMark/>
          </w:tcPr>
          <w:p w:rsidRPr="009055A9" w:rsidR="0023718B" w:rsidP="000E31AA" w:rsidRDefault="0023718B" w14:paraId="4301B621" w14:textId="775954BC">
            <w:pPr>
              <w:jc w:val="right"/>
              <w:rPr>
                <w:rFonts w:asciiTheme="minorHAnsi" w:hAnsiTheme="minorHAnsi" w:cstheme="minorHAnsi"/>
                <w:sz w:val="16"/>
                <w:szCs w:val="16"/>
              </w:rPr>
            </w:pPr>
            <w:r w:rsidRPr="009055A9">
              <w:rPr>
                <w:rFonts w:asciiTheme="minorHAnsi" w:hAnsiTheme="minorHAnsi" w:cstheme="minorHAnsi"/>
                <w:color w:val="000000"/>
                <w:sz w:val="16"/>
                <w:szCs w:val="16"/>
              </w:rPr>
              <w:t>1,265</w:t>
            </w:r>
          </w:p>
        </w:tc>
        <w:tc>
          <w:tcPr>
            <w:tcW w:w="148" w:type="pct"/>
            <w:shd w:val="clear" w:color="auto" w:fill="auto"/>
            <w:noWrap/>
            <w:tcMar>
              <w:left w:w="0" w:type="dxa"/>
              <w:right w:w="43" w:type="dxa"/>
            </w:tcMar>
            <w:vAlign w:val="center"/>
            <w:hideMark/>
          </w:tcPr>
          <w:p w:rsidRPr="009055A9" w:rsidR="0023718B" w:rsidP="000E31AA" w:rsidRDefault="0023718B" w14:paraId="33B4DDEA" w14:textId="6859C08A">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2" w:type="pct"/>
            <w:tcMar>
              <w:left w:w="0" w:type="dxa"/>
              <w:right w:w="43" w:type="dxa"/>
            </w:tcMar>
            <w:vAlign w:val="center"/>
          </w:tcPr>
          <w:p w:rsidRPr="009055A9" w:rsidR="0023718B" w:rsidP="000E31AA" w:rsidRDefault="0023718B" w14:paraId="1F5F7147" w14:textId="563C6305">
            <w:pPr>
              <w:jc w:val="right"/>
              <w:rPr>
                <w:rFonts w:asciiTheme="minorHAnsi" w:hAnsiTheme="minorHAnsi" w:cstheme="minorHAnsi"/>
                <w:sz w:val="16"/>
                <w:szCs w:val="16"/>
              </w:rPr>
            </w:pPr>
            <w:r w:rsidRPr="009055A9">
              <w:rPr>
                <w:rFonts w:asciiTheme="minorHAnsi" w:hAnsiTheme="minorHAnsi" w:cstheme="minorHAnsi"/>
                <w:color w:val="000000"/>
                <w:sz w:val="16"/>
                <w:szCs w:val="16"/>
              </w:rPr>
              <w:t>2,738</w:t>
            </w:r>
          </w:p>
        </w:tc>
        <w:tc>
          <w:tcPr>
            <w:tcW w:w="124" w:type="pct"/>
            <w:tcMar>
              <w:left w:w="0" w:type="dxa"/>
              <w:right w:w="43" w:type="dxa"/>
            </w:tcMar>
            <w:vAlign w:val="center"/>
          </w:tcPr>
          <w:p w:rsidRPr="009055A9" w:rsidR="0023718B" w:rsidP="000E31AA" w:rsidRDefault="0023718B" w14:paraId="67BC14AF" w14:textId="65AF9E71">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3" w:type="pct"/>
            <w:tcMar>
              <w:left w:w="0" w:type="dxa"/>
              <w:right w:w="43" w:type="dxa"/>
            </w:tcMar>
            <w:vAlign w:val="center"/>
          </w:tcPr>
          <w:p w:rsidRPr="009055A9" w:rsidR="0023718B" w:rsidP="000E31AA" w:rsidRDefault="0023718B" w14:paraId="0F010DDA" w14:textId="1D5E36E9">
            <w:pPr>
              <w:jc w:val="right"/>
              <w:rPr>
                <w:rFonts w:asciiTheme="minorHAnsi" w:hAnsiTheme="minorHAnsi" w:cstheme="minorHAnsi"/>
                <w:sz w:val="16"/>
                <w:szCs w:val="16"/>
              </w:rPr>
            </w:pPr>
            <w:r w:rsidRPr="009055A9">
              <w:rPr>
                <w:rFonts w:asciiTheme="minorHAnsi" w:hAnsiTheme="minorHAnsi" w:cstheme="minorHAnsi"/>
                <w:color w:val="000000"/>
                <w:sz w:val="16"/>
                <w:szCs w:val="16"/>
              </w:rPr>
              <w:t>980</w:t>
            </w:r>
          </w:p>
        </w:tc>
        <w:tc>
          <w:tcPr>
            <w:tcW w:w="146" w:type="pct"/>
            <w:tcMar>
              <w:left w:w="0" w:type="dxa"/>
              <w:right w:w="43" w:type="dxa"/>
            </w:tcMar>
            <w:vAlign w:val="center"/>
          </w:tcPr>
          <w:p w:rsidRPr="009055A9" w:rsidR="0023718B" w:rsidP="000E31AA" w:rsidRDefault="0023718B" w14:paraId="5B74A212" w14:textId="426D44AA">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5" w:type="pct"/>
            <w:tcMar>
              <w:left w:w="0" w:type="dxa"/>
              <w:right w:w="43" w:type="dxa"/>
            </w:tcMar>
            <w:vAlign w:val="center"/>
          </w:tcPr>
          <w:p w:rsidRPr="009055A9" w:rsidR="0023718B" w:rsidP="000E31AA" w:rsidRDefault="0023718B" w14:paraId="12E5EBF2" w14:textId="74EFF430">
            <w:pPr>
              <w:jc w:val="right"/>
              <w:rPr>
                <w:rFonts w:asciiTheme="minorHAnsi" w:hAnsiTheme="minorHAnsi" w:cstheme="minorHAnsi"/>
                <w:sz w:val="16"/>
                <w:szCs w:val="16"/>
              </w:rPr>
            </w:pPr>
            <w:r w:rsidRPr="009055A9">
              <w:rPr>
                <w:rFonts w:asciiTheme="minorHAnsi" w:hAnsiTheme="minorHAnsi" w:cstheme="minorHAnsi"/>
                <w:color w:val="000000"/>
                <w:sz w:val="16"/>
                <w:szCs w:val="16"/>
              </w:rPr>
              <w:t>2,150</w:t>
            </w:r>
          </w:p>
        </w:tc>
        <w:tc>
          <w:tcPr>
            <w:tcW w:w="149" w:type="pct"/>
            <w:tcMar>
              <w:left w:w="0" w:type="dxa"/>
              <w:right w:w="43" w:type="dxa"/>
            </w:tcMar>
            <w:vAlign w:val="center"/>
          </w:tcPr>
          <w:p w:rsidRPr="009055A9" w:rsidR="0023718B" w:rsidP="000E31AA" w:rsidRDefault="0023718B" w14:paraId="25C2FF54" w14:textId="3477CBC0">
            <w:pPr>
              <w:jc w:val="right"/>
              <w:rPr>
                <w:rFonts w:asciiTheme="minorHAnsi" w:hAnsiTheme="minorHAnsi" w:cstheme="minorHAnsi"/>
                <w:sz w:val="16"/>
                <w:szCs w:val="16"/>
              </w:rPr>
            </w:pPr>
            <w:r w:rsidRPr="009055A9">
              <w:rPr>
                <w:rFonts w:asciiTheme="minorHAnsi" w:hAnsiTheme="minorHAnsi" w:cstheme="minorHAnsi"/>
                <w:color w:val="000000"/>
                <w:sz w:val="16"/>
                <w:szCs w:val="16"/>
              </w:rPr>
              <w:t>27</w:t>
            </w:r>
          </w:p>
        </w:tc>
        <w:tc>
          <w:tcPr>
            <w:tcW w:w="197" w:type="pct"/>
            <w:tcMar>
              <w:left w:w="0" w:type="dxa"/>
              <w:right w:w="43" w:type="dxa"/>
            </w:tcMar>
            <w:vAlign w:val="center"/>
          </w:tcPr>
          <w:p w:rsidRPr="009055A9" w:rsidR="0023718B" w:rsidP="000E31AA" w:rsidRDefault="0023718B" w14:paraId="5ECB7EE8" w14:textId="72D05765">
            <w:pPr>
              <w:jc w:val="right"/>
              <w:rPr>
                <w:rFonts w:asciiTheme="minorHAnsi" w:hAnsiTheme="minorHAnsi" w:cstheme="minorHAnsi"/>
                <w:sz w:val="16"/>
                <w:szCs w:val="16"/>
              </w:rPr>
            </w:pPr>
            <w:r w:rsidRPr="009055A9">
              <w:rPr>
                <w:rFonts w:asciiTheme="minorHAnsi" w:hAnsiTheme="minorHAnsi" w:cstheme="minorHAnsi"/>
                <w:color w:val="000000"/>
                <w:sz w:val="16"/>
                <w:szCs w:val="16"/>
              </w:rPr>
              <w:t>689</w:t>
            </w:r>
          </w:p>
        </w:tc>
        <w:tc>
          <w:tcPr>
            <w:tcW w:w="148" w:type="pct"/>
            <w:tcMar>
              <w:left w:w="0" w:type="dxa"/>
              <w:right w:w="43" w:type="dxa"/>
            </w:tcMar>
            <w:vAlign w:val="center"/>
          </w:tcPr>
          <w:p w:rsidRPr="009055A9" w:rsidR="0023718B" w:rsidP="000E31AA" w:rsidRDefault="0023718B" w14:paraId="07CA55A3" w14:textId="3DB5A4F1">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96" w:type="pct"/>
            <w:tcMar>
              <w:left w:w="0" w:type="dxa"/>
              <w:right w:w="43" w:type="dxa"/>
            </w:tcMar>
            <w:vAlign w:val="center"/>
          </w:tcPr>
          <w:p w:rsidRPr="009055A9" w:rsidR="0023718B" w:rsidP="000E31AA" w:rsidRDefault="0023718B" w14:paraId="2CEDC50E" w14:textId="7C859713">
            <w:pPr>
              <w:jc w:val="right"/>
              <w:rPr>
                <w:rFonts w:asciiTheme="minorHAnsi" w:hAnsiTheme="minorHAnsi" w:cstheme="minorHAnsi"/>
                <w:sz w:val="16"/>
                <w:szCs w:val="16"/>
              </w:rPr>
            </w:pPr>
            <w:r w:rsidRPr="009055A9">
              <w:rPr>
                <w:rFonts w:asciiTheme="minorHAnsi" w:hAnsiTheme="minorHAnsi" w:cstheme="minorHAnsi"/>
                <w:color w:val="000000"/>
                <w:sz w:val="16"/>
                <w:szCs w:val="16"/>
              </w:rPr>
              <w:t>2,103</w:t>
            </w:r>
          </w:p>
        </w:tc>
        <w:tc>
          <w:tcPr>
            <w:tcW w:w="143" w:type="pct"/>
            <w:tcMar>
              <w:left w:w="0" w:type="dxa"/>
              <w:right w:w="43" w:type="dxa"/>
            </w:tcMar>
            <w:vAlign w:val="center"/>
          </w:tcPr>
          <w:p w:rsidRPr="009055A9" w:rsidR="0023718B" w:rsidP="000E31AA" w:rsidRDefault="0023718B" w14:paraId="3C5195A7" w14:textId="2C01B8D4">
            <w:pPr>
              <w:jc w:val="right"/>
              <w:rPr>
                <w:rFonts w:asciiTheme="minorHAnsi" w:hAnsiTheme="minorHAnsi" w:cstheme="minorHAnsi"/>
                <w:sz w:val="16"/>
                <w:szCs w:val="16"/>
              </w:rPr>
            </w:pPr>
            <w:r w:rsidRPr="009055A9">
              <w:rPr>
                <w:rFonts w:asciiTheme="minorHAnsi" w:hAnsiTheme="minorHAnsi" w:cstheme="minorHAnsi"/>
                <w:color w:val="000000"/>
                <w:sz w:val="16"/>
                <w:szCs w:val="16"/>
              </w:rPr>
              <w:t>25</w:t>
            </w:r>
          </w:p>
        </w:tc>
        <w:tc>
          <w:tcPr>
            <w:tcW w:w="178" w:type="pct"/>
            <w:shd w:val="clear" w:color="000000" w:fill="FFFFFF"/>
            <w:noWrap/>
            <w:tcMar>
              <w:left w:w="0" w:type="dxa"/>
              <w:right w:w="43" w:type="dxa"/>
            </w:tcMar>
            <w:vAlign w:val="center"/>
          </w:tcPr>
          <w:p w:rsidRPr="003148DB" w:rsidR="0023718B" w:rsidP="000E31AA" w:rsidRDefault="0023718B" w14:paraId="3CB23040" w14:textId="5CC9A7B4">
            <w:pPr>
              <w:jc w:val="right"/>
              <w:rPr>
                <w:rFonts w:asciiTheme="minorHAnsi" w:hAnsiTheme="minorHAnsi" w:cstheme="minorHAnsi"/>
                <w:sz w:val="16"/>
                <w:szCs w:val="16"/>
              </w:rPr>
            </w:pPr>
            <w:r w:rsidRPr="003148DB">
              <w:rPr>
                <w:rFonts w:asciiTheme="minorHAnsi" w:hAnsiTheme="minorHAnsi" w:cstheme="minorHAnsi"/>
                <w:color w:val="000000"/>
                <w:sz w:val="16"/>
                <w:szCs w:val="16"/>
              </w:rPr>
              <w:t>1,762</w:t>
            </w:r>
          </w:p>
        </w:tc>
        <w:tc>
          <w:tcPr>
            <w:tcW w:w="151" w:type="pct"/>
            <w:shd w:val="clear" w:color="000000" w:fill="FFFFFF"/>
            <w:noWrap/>
            <w:tcMar>
              <w:left w:w="0" w:type="dxa"/>
              <w:right w:w="43" w:type="dxa"/>
            </w:tcMar>
            <w:vAlign w:val="center"/>
          </w:tcPr>
          <w:p w:rsidRPr="003148DB" w:rsidR="0023718B" w:rsidP="000E31AA" w:rsidRDefault="0023718B" w14:paraId="1AF1E3B7" w14:textId="3F338487">
            <w:pPr>
              <w:jc w:val="right"/>
              <w:rPr>
                <w:rFonts w:asciiTheme="minorHAnsi" w:hAnsiTheme="minorHAnsi" w:cstheme="minorHAnsi"/>
                <w:sz w:val="16"/>
                <w:szCs w:val="16"/>
              </w:rPr>
            </w:pPr>
            <w:r w:rsidRPr="003148DB">
              <w:rPr>
                <w:rFonts w:asciiTheme="minorHAnsi" w:hAnsiTheme="minorHAnsi" w:cstheme="minorHAnsi"/>
                <w:color w:val="000000"/>
                <w:sz w:val="16"/>
                <w:szCs w:val="16"/>
              </w:rPr>
              <w:t>12.3</w:t>
            </w:r>
          </w:p>
        </w:tc>
      </w:tr>
      <w:tr w:rsidRPr="003148DB" w:rsidR="0023718B" w:rsidTr="000D41FC" w14:paraId="4E2A4D6F" w14:textId="77777777">
        <w:trPr>
          <w:trHeight w:val="276"/>
        </w:trPr>
        <w:tc>
          <w:tcPr>
            <w:tcW w:w="268" w:type="pct"/>
            <w:vMerge/>
            <w:shd w:val="clear" w:color="auto" w:fill="auto"/>
            <w:noWrap/>
            <w:tcMar>
              <w:left w:w="58" w:type="dxa"/>
              <w:right w:w="58" w:type="dxa"/>
            </w:tcMar>
            <w:vAlign w:val="center"/>
            <w:hideMark/>
          </w:tcPr>
          <w:p w:rsidRPr="00196D17" w:rsidR="0023718B" w:rsidP="000E31AA" w:rsidRDefault="0023718B" w14:paraId="07B5BD1C"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62249025" w14:textId="2FA1B3ED">
            <w:pPr>
              <w:rPr>
                <w:rFonts w:asciiTheme="minorHAnsi" w:hAnsiTheme="minorHAnsi" w:cstheme="minorHAnsi"/>
                <w:sz w:val="16"/>
                <w:szCs w:val="16"/>
              </w:rPr>
            </w:pPr>
            <w:r w:rsidRPr="009055A9">
              <w:rPr>
                <w:rFonts w:asciiTheme="minorHAnsi" w:hAnsiTheme="minorHAnsi" w:cstheme="minorHAnsi"/>
                <w:color w:val="000000"/>
                <w:sz w:val="16"/>
                <w:szCs w:val="16"/>
              </w:rPr>
              <w:t>Exelon</w:t>
            </w:r>
          </w:p>
        </w:tc>
        <w:tc>
          <w:tcPr>
            <w:tcW w:w="321" w:type="pct"/>
            <w:shd w:val="clear" w:color="auto" w:fill="auto"/>
            <w:noWrap/>
            <w:tcMar>
              <w:left w:w="58" w:type="dxa"/>
              <w:right w:w="29" w:type="dxa"/>
            </w:tcMar>
            <w:vAlign w:val="center"/>
            <w:hideMark/>
          </w:tcPr>
          <w:p w:rsidRPr="009055A9" w:rsidR="0023718B" w:rsidP="000E31AA" w:rsidRDefault="0023718B" w14:paraId="2FBAC564" w14:textId="7E3CD664">
            <w:pPr>
              <w:rPr>
                <w:rFonts w:asciiTheme="minorHAnsi" w:hAnsiTheme="minorHAnsi" w:cstheme="minorHAnsi"/>
                <w:sz w:val="16"/>
                <w:szCs w:val="16"/>
              </w:rPr>
            </w:pPr>
            <w:r w:rsidRPr="009055A9">
              <w:rPr>
                <w:rFonts w:asciiTheme="minorHAnsi" w:hAnsiTheme="minorHAnsi" w:cstheme="minorHAnsi"/>
                <w:color w:val="000000"/>
                <w:sz w:val="16"/>
                <w:szCs w:val="16"/>
              </w:rPr>
              <w:t>R.E. Ginna</w:t>
            </w:r>
          </w:p>
        </w:tc>
        <w:tc>
          <w:tcPr>
            <w:tcW w:w="123" w:type="pct"/>
            <w:shd w:val="clear" w:color="auto" w:fill="auto"/>
            <w:noWrap/>
            <w:tcMar>
              <w:left w:w="58" w:type="dxa"/>
              <w:right w:w="58" w:type="dxa"/>
            </w:tcMar>
            <w:vAlign w:val="center"/>
            <w:hideMark/>
          </w:tcPr>
          <w:p w:rsidRPr="009055A9" w:rsidR="0023718B" w:rsidP="000E31AA" w:rsidRDefault="0023718B" w14:paraId="2B336106" w14:textId="4B425E80">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6D1DF8E5" w14:textId="70BC0246">
            <w:pPr>
              <w:jc w:val="right"/>
              <w:rPr>
                <w:rFonts w:asciiTheme="minorHAnsi" w:hAnsiTheme="minorHAnsi" w:cstheme="minorHAnsi"/>
                <w:sz w:val="16"/>
                <w:szCs w:val="16"/>
              </w:rPr>
            </w:pPr>
            <w:r w:rsidRPr="009055A9">
              <w:rPr>
                <w:rFonts w:asciiTheme="minorHAnsi" w:hAnsiTheme="minorHAnsi" w:cstheme="minorHAnsi"/>
                <w:color w:val="000000"/>
                <w:sz w:val="16"/>
                <w:szCs w:val="16"/>
              </w:rPr>
              <w:t>1,890</w:t>
            </w:r>
          </w:p>
        </w:tc>
        <w:tc>
          <w:tcPr>
            <w:tcW w:w="123" w:type="pct"/>
            <w:shd w:val="clear" w:color="auto" w:fill="auto"/>
            <w:noWrap/>
            <w:tcMar>
              <w:left w:w="0" w:type="dxa"/>
              <w:right w:w="43" w:type="dxa"/>
            </w:tcMar>
            <w:vAlign w:val="center"/>
            <w:hideMark/>
          </w:tcPr>
          <w:p w:rsidRPr="009055A9" w:rsidR="0023718B" w:rsidP="000E31AA" w:rsidRDefault="0023718B" w14:paraId="31E2619A" w14:textId="3B9B72E5">
            <w:pPr>
              <w:jc w:val="right"/>
              <w:rPr>
                <w:rFonts w:asciiTheme="minorHAnsi" w:hAnsiTheme="minorHAnsi" w:cstheme="minorHAnsi"/>
                <w:sz w:val="16"/>
                <w:szCs w:val="16"/>
              </w:rPr>
            </w:pPr>
            <w:r w:rsidRPr="009055A9">
              <w:rPr>
                <w:rFonts w:asciiTheme="minorHAnsi" w:hAnsiTheme="minorHAnsi" w:cstheme="minorHAnsi"/>
                <w:color w:val="000000"/>
                <w:sz w:val="16"/>
                <w:szCs w:val="16"/>
              </w:rPr>
              <w:t>30</w:t>
            </w:r>
          </w:p>
        </w:tc>
        <w:tc>
          <w:tcPr>
            <w:tcW w:w="170" w:type="pct"/>
            <w:shd w:val="clear" w:color="auto" w:fill="auto"/>
            <w:noWrap/>
            <w:tcMar>
              <w:left w:w="0" w:type="dxa"/>
              <w:right w:w="43" w:type="dxa"/>
            </w:tcMar>
            <w:vAlign w:val="center"/>
            <w:hideMark/>
          </w:tcPr>
          <w:p w:rsidRPr="009055A9" w:rsidR="0023718B" w:rsidP="000E31AA" w:rsidRDefault="0023718B" w14:paraId="54C726E3" w14:textId="1AC05A75">
            <w:pPr>
              <w:jc w:val="right"/>
              <w:rPr>
                <w:rFonts w:asciiTheme="minorHAnsi" w:hAnsiTheme="minorHAnsi" w:cstheme="minorHAnsi"/>
                <w:sz w:val="16"/>
                <w:szCs w:val="16"/>
              </w:rPr>
            </w:pPr>
            <w:r w:rsidRPr="009055A9">
              <w:rPr>
                <w:rFonts w:asciiTheme="minorHAnsi" w:hAnsiTheme="minorHAnsi" w:cstheme="minorHAnsi"/>
                <w:color w:val="000000"/>
                <w:sz w:val="16"/>
                <w:szCs w:val="16"/>
              </w:rPr>
              <w:t>933</w:t>
            </w:r>
          </w:p>
        </w:tc>
        <w:tc>
          <w:tcPr>
            <w:tcW w:w="125" w:type="pct"/>
            <w:shd w:val="clear" w:color="auto" w:fill="auto"/>
            <w:noWrap/>
            <w:tcMar>
              <w:left w:w="0" w:type="dxa"/>
              <w:right w:w="43" w:type="dxa"/>
            </w:tcMar>
            <w:vAlign w:val="center"/>
            <w:hideMark/>
          </w:tcPr>
          <w:p w:rsidRPr="009055A9" w:rsidR="0023718B" w:rsidP="000E31AA" w:rsidRDefault="0023718B" w14:paraId="772BB96A" w14:textId="1FB85632">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2" w:type="pct"/>
            <w:shd w:val="clear" w:color="auto" w:fill="auto"/>
            <w:noWrap/>
            <w:tcMar>
              <w:left w:w="0" w:type="dxa"/>
              <w:right w:w="43" w:type="dxa"/>
            </w:tcMar>
            <w:vAlign w:val="center"/>
            <w:hideMark/>
          </w:tcPr>
          <w:p w:rsidRPr="009055A9" w:rsidR="0023718B" w:rsidP="000E31AA" w:rsidRDefault="0023718B" w14:paraId="63750760" w14:textId="1E39475E">
            <w:pPr>
              <w:jc w:val="right"/>
              <w:rPr>
                <w:rFonts w:asciiTheme="minorHAnsi" w:hAnsiTheme="minorHAnsi" w:cstheme="minorHAnsi"/>
                <w:sz w:val="16"/>
                <w:szCs w:val="16"/>
              </w:rPr>
            </w:pPr>
            <w:r w:rsidRPr="009055A9">
              <w:rPr>
                <w:rFonts w:asciiTheme="minorHAnsi" w:hAnsiTheme="minorHAnsi" w:cstheme="minorHAnsi"/>
                <w:color w:val="000000"/>
                <w:sz w:val="16"/>
                <w:szCs w:val="16"/>
              </w:rPr>
              <w:t>1,306</w:t>
            </w:r>
          </w:p>
        </w:tc>
        <w:tc>
          <w:tcPr>
            <w:tcW w:w="123" w:type="pct"/>
            <w:shd w:val="clear" w:color="auto" w:fill="auto"/>
            <w:noWrap/>
            <w:tcMar>
              <w:left w:w="0" w:type="dxa"/>
              <w:right w:w="43" w:type="dxa"/>
            </w:tcMar>
            <w:vAlign w:val="center"/>
            <w:hideMark/>
          </w:tcPr>
          <w:p w:rsidRPr="009055A9" w:rsidR="0023718B" w:rsidP="000E31AA" w:rsidRDefault="0023718B" w14:paraId="1BA8CF0F" w14:textId="6D4CF672">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94" w:type="pct"/>
            <w:shd w:val="clear" w:color="auto" w:fill="auto"/>
            <w:noWrap/>
            <w:tcMar>
              <w:left w:w="0" w:type="dxa"/>
              <w:right w:w="43" w:type="dxa"/>
            </w:tcMar>
            <w:vAlign w:val="center"/>
            <w:hideMark/>
          </w:tcPr>
          <w:p w:rsidRPr="009055A9" w:rsidR="0023718B" w:rsidP="000E31AA" w:rsidRDefault="0023718B" w14:paraId="361C3C7B" w14:textId="18D98A8C">
            <w:pPr>
              <w:jc w:val="right"/>
              <w:rPr>
                <w:rFonts w:asciiTheme="minorHAnsi" w:hAnsiTheme="minorHAnsi" w:cstheme="minorHAnsi"/>
                <w:sz w:val="16"/>
                <w:szCs w:val="16"/>
              </w:rPr>
            </w:pPr>
            <w:r w:rsidRPr="009055A9">
              <w:rPr>
                <w:rFonts w:asciiTheme="minorHAnsi" w:hAnsiTheme="minorHAnsi" w:cstheme="minorHAnsi"/>
                <w:color w:val="000000"/>
                <w:sz w:val="16"/>
                <w:szCs w:val="16"/>
              </w:rPr>
              <w:t>1,217</w:t>
            </w:r>
          </w:p>
        </w:tc>
        <w:tc>
          <w:tcPr>
            <w:tcW w:w="123" w:type="pct"/>
            <w:shd w:val="clear" w:color="auto" w:fill="auto"/>
            <w:noWrap/>
            <w:tcMar>
              <w:left w:w="0" w:type="dxa"/>
              <w:right w:w="43" w:type="dxa"/>
            </w:tcMar>
            <w:vAlign w:val="center"/>
            <w:hideMark/>
          </w:tcPr>
          <w:p w:rsidRPr="009055A9" w:rsidR="0023718B" w:rsidP="000E31AA" w:rsidRDefault="0023718B" w14:paraId="7448FFD7" w14:textId="08D3B0B0">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7" w:type="pct"/>
            <w:shd w:val="clear" w:color="auto" w:fill="auto"/>
            <w:noWrap/>
            <w:tcMar>
              <w:left w:w="0" w:type="dxa"/>
              <w:right w:w="43" w:type="dxa"/>
            </w:tcMar>
            <w:vAlign w:val="center"/>
            <w:hideMark/>
          </w:tcPr>
          <w:p w:rsidRPr="009055A9" w:rsidR="0023718B" w:rsidP="000E31AA" w:rsidRDefault="0023718B" w14:paraId="2F8BCE0C" w14:textId="4AECDAB3">
            <w:pPr>
              <w:jc w:val="right"/>
              <w:rPr>
                <w:rFonts w:asciiTheme="minorHAnsi" w:hAnsiTheme="minorHAnsi" w:cstheme="minorHAnsi"/>
                <w:sz w:val="16"/>
                <w:szCs w:val="16"/>
              </w:rPr>
            </w:pPr>
            <w:r w:rsidRPr="009055A9">
              <w:rPr>
                <w:rFonts w:asciiTheme="minorHAnsi" w:hAnsiTheme="minorHAnsi" w:cstheme="minorHAnsi"/>
                <w:color w:val="000000"/>
                <w:sz w:val="16"/>
                <w:szCs w:val="16"/>
              </w:rPr>
              <w:t>778</w:t>
            </w:r>
          </w:p>
        </w:tc>
        <w:tc>
          <w:tcPr>
            <w:tcW w:w="125" w:type="pct"/>
            <w:shd w:val="clear" w:color="auto" w:fill="auto"/>
            <w:noWrap/>
            <w:tcMar>
              <w:left w:w="0" w:type="dxa"/>
              <w:right w:w="43" w:type="dxa"/>
            </w:tcMar>
            <w:vAlign w:val="center"/>
            <w:hideMark/>
          </w:tcPr>
          <w:p w:rsidRPr="009055A9" w:rsidR="0023718B" w:rsidP="000E31AA" w:rsidRDefault="0023718B" w14:paraId="216C6E6A" w14:textId="32568457">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0" w:type="pct"/>
            <w:shd w:val="clear" w:color="auto" w:fill="auto"/>
            <w:noWrap/>
            <w:tcMar>
              <w:left w:w="0" w:type="dxa"/>
              <w:right w:w="43" w:type="dxa"/>
            </w:tcMar>
            <w:vAlign w:val="center"/>
            <w:hideMark/>
          </w:tcPr>
          <w:p w:rsidRPr="009055A9" w:rsidR="0023718B" w:rsidP="000E31AA" w:rsidRDefault="0023718B" w14:paraId="57D499FE" w14:textId="2A93995E">
            <w:pPr>
              <w:jc w:val="right"/>
              <w:rPr>
                <w:rFonts w:asciiTheme="minorHAnsi" w:hAnsiTheme="minorHAnsi" w:cstheme="minorHAnsi"/>
                <w:sz w:val="16"/>
                <w:szCs w:val="16"/>
              </w:rPr>
            </w:pPr>
            <w:r w:rsidRPr="009055A9">
              <w:rPr>
                <w:rFonts w:asciiTheme="minorHAnsi" w:hAnsiTheme="minorHAnsi" w:cstheme="minorHAnsi"/>
                <w:color w:val="000000"/>
                <w:sz w:val="16"/>
                <w:szCs w:val="16"/>
              </w:rPr>
              <w:t>1,035</w:t>
            </w:r>
          </w:p>
        </w:tc>
        <w:tc>
          <w:tcPr>
            <w:tcW w:w="148" w:type="pct"/>
            <w:shd w:val="clear" w:color="auto" w:fill="auto"/>
            <w:noWrap/>
            <w:tcMar>
              <w:left w:w="0" w:type="dxa"/>
              <w:right w:w="43" w:type="dxa"/>
            </w:tcMar>
            <w:vAlign w:val="center"/>
            <w:hideMark/>
          </w:tcPr>
          <w:p w:rsidRPr="009055A9" w:rsidR="0023718B" w:rsidP="000E31AA" w:rsidRDefault="0023718B" w14:paraId="12249C0A" w14:textId="7C6B1C53">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2" w:type="pct"/>
            <w:tcMar>
              <w:left w:w="0" w:type="dxa"/>
              <w:right w:w="43" w:type="dxa"/>
            </w:tcMar>
            <w:vAlign w:val="center"/>
          </w:tcPr>
          <w:p w:rsidRPr="009055A9" w:rsidR="0023718B" w:rsidP="000E31AA" w:rsidRDefault="0023718B" w14:paraId="64D9FFE5" w14:textId="342AA25A">
            <w:pPr>
              <w:jc w:val="right"/>
              <w:rPr>
                <w:rFonts w:asciiTheme="minorHAnsi" w:hAnsiTheme="minorHAnsi" w:cstheme="minorHAnsi"/>
                <w:sz w:val="16"/>
                <w:szCs w:val="16"/>
              </w:rPr>
            </w:pPr>
            <w:r w:rsidRPr="009055A9">
              <w:rPr>
                <w:rFonts w:asciiTheme="minorHAnsi" w:hAnsiTheme="minorHAnsi" w:cstheme="minorHAnsi"/>
                <w:color w:val="000000"/>
                <w:sz w:val="16"/>
                <w:szCs w:val="16"/>
              </w:rPr>
              <w:t>1,091</w:t>
            </w:r>
          </w:p>
        </w:tc>
        <w:tc>
          <w:tcPr>
            <w:tcW w:w="124" w:type="pct"/>
            <w:tcMar>
              <w:left w:w="0" w:type="dxa"/>
              <w:right w:w="43" w:type="dxa"/>
            </w:tcMar>
            <w:vAlign w:val="center"/>
          </w:tcPr>
          <w:p w:rsidRPr="009055A9" w:rsidR="0023718B" w:rsidP="000E31AA" w:rsidRDefault="0023718B" w14:paraId="450BE86F" w14:textId="62A31675">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3" w:type="pct"/>
            <w:tcMar>
              <w:left w:w="0" w:type="dxa"/>
              <w:right w:w="43" w:type="dxa"/>
            </w:tcMar>
            <w:vAlign w:val="center"/>
          </w:tcPr>
          <w:p w:rsidRPr="009055A9" w:rsidR="0023718B" w:rsidP="000E31AA" w:rsidRDefault="0023718B" w14:paraId="603D9C4F" w14:textId="25A17673">
            <w:pPr>
              <w:jc w:val="right"/>
              <w:rPr>
                <w:rFonts w:asciiTheme="minorHAnsi" w:hAnsiTheme="minorHAnsi" w:cstheme="minorHAnsi"/>
                <w:sz w:val="16"/>
                <w:szCs w:val="16"/>
              </w:rPr>
            </w:pPr>
            <w:r w:rsidRPr="009055A9">
              <w:rPr>
                <w:rFonts w:asciiTheme="minorHAnsi" w:hAnsiTheme="minorHAnsi" w:cstheme="minorHAnsi"/>
                <w:color w:val="000000"/>
                <w:sz w:val="16"/>
                <w:szCs w:val="16"/>
              </w:rPr>
              <w:t>684</w:t>
            </w:r>
          </w:p>
        </w:tc>
        <w:tc>
          <w:tcPr>
            <w:tcW w:w="146" w:type="pct"/>
            <w:tcMar>
              <w:left w:w="0" w:type="dxa"/>
              <w:right w:w="43" w:type="dxa"/>
            </w:tcMar>
            <w:vAlign w:val="center"/>
          </w:tcPr>
          <w:p w:rsidRPr="009055A9" w:rsidR="0023718B" w:rsidP="000E31AA" w:rsidRDefault="0023718B" w14:paraId="738C78F7" w14:textId="3E49DB7D">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5" w:type="pct"/>
            <w:tcMar>
              <w:left w:w="0" w:type="dxa"/>
              <w:right w:w="43" w:type="dxa"/>
            </w:tcMar>
            <w:vAlign w:val="center"/>
          </w:tcPr>
          <w:p w:rsidRPr="009055A9" w:rsidR="0023718B" w:rsidP="000E31AA" w:rsidRDefault="0023718B" w14:paraId="291D0DF8" w14:textId="32762FB7">
            <w:pPr>
              <w:jc w:val="right"/>
              <w:rPr>
                <w:rFonts w:asciiTheme="minorHAnsi" w:hAnsiTheme="minorHAnsi" w:cstheme="minorHAnsi"/>
                <w:sz w:val="16"/>
                <w:szCs w:val="16"/>
              </w:rPr>
            </w:pPr>
            <w:r w:rsidRPr="009055A9">
              <w:rPr>
                <w:rFonts w:asciiTheme="minorHAnsi" w:hAnsiTheme="minorHAnsi" w:cstheme="minorHAnsi"/>
                <w:color w:val="000000"/>
                <w:sz w:val="16"/>
                <w:szCs w:val="16"/>
              </w:rPr>
              <w:t>1,456</w:t>
            </w:r>
          </w:p>
        </w:tc>
        <w:tc>
          <w:tcPr>
            <w:tcW w:w="149" w:type="pct"/>
            <w:tcMar>
              <w:left w:w="0" w:type="dxa"/>
              <w:right w:w="43" w:type="dxa"/>
            </w:tcMar>
            <w:vAlign w:val="center"/>
          </w:tcPr>
          <w:p w:rsidRPr="009055A9" w:rsidR="0023718B" w:rsidP="000E31AA" w:rsidRDefault="0023718B" w14:paraId="67D1B78C" w14:textId="7B114922">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97" w:type="pct"/>
            <w:tcMar>
              <w:left w:w="0" w:type="dxa"/>
              <w:right w:w="43" w:type="dxa"/>
            </w:tcMar>
            <w:vAlign w:val="center"/>
          </w:tcPr>
          <w:p w:rsidRPr="009055A9" w:rsidR="0023718B" w:rsidP="000E31AA" w:rsidRDefault="0023718B" w14:paraId="4F7CB611" w14:textId="612F8C65">
            <w:pPr>
              <w:jc w:val="right"/>
              <w:rPr>
                <w:rFonts w:asciiTheme="minorHAnsi" w:hAnsiTheme="minorHAnsi" w:cstheme="minorHAnsi"/>
                <w:sz w:val="16"/>
                <w:szCs w:val="16"/>
              </w:rPr>
            </w:pPr>
            <w:r w:rsidRPr="009055A9">
              <w:rPr>
                <w:rFonts w:asciiTheme="minorHAnsi" w:hAnsiTheme="minorHAnsi" w:cstheme="minorHAnsi"/>
                <w:color w:val="000000"/>
                <w:sz w:val="16"/>
                <w:szCs w:val="16"/>
              </w:rPr>
              <w:t>1,187</w:t>
            </w:r>
          </w:p>
        </w:tc>
        <w:tc>
          <w:tcPr>
            <w:tcW w:w="148" w:type="pct"/>
            <w:tcMar>
              <w:left w:w="0" w:type="dxa"/>
              <w:right w:w="43" w:type="dxa"/>
            </w:tcMar>
            <w:vAlign w:val="center"/>
          </w:tcPr>
          <w:p w:rsidRPr="009055A9" w:rsidR="0023718B" w:rsidP="000E31AA" w:rsidRDefault="0023718B" w14:paraId="1D8A75E7" w14:textId="7829E005">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6" w:type="pct"/>
            <w:tcMar>
              <w:left w:w="0" w:type="dxa"/>
              <w:right w:w="43" w:type="dxa"/>
            </w:tcMar>
            <w:vAlign w:val="center"/>
          </w:tcPr>
          <w:p w:rsidRPr="009055A9" w:rsidR="0023718B" w:rsidP="000E31AA" w:rsidRDefault="0023718B" w14:paraId="263FD460" w14:textId="79841E24">
            <w:pPr>
              <w:jc w:val="right"/>
              <w:rPr>
                <w:rFonts w:asciiTheme="minorHAnsi" w:hAnsiTheme="minorHAnsi" w:cstheme="minorHAnsi"/>
                <w:sz w:val="16"/>
                <w:szCs w:val="16"/>
              </w:rPr>
            </w:pPr>
            <w:r w:rsidRPr="009055A9">
              <w:rPr>
                <w:rFonts w:asciiTheme="minorHAnsi" w:hAnsiTheme="minorHAnsi" w:cstheme="minorHAnsi"/>
                <w:color w:val="000000"/>
                <w:sz w:val="16"/>
                <w:szCs w:val="16"/>
              </w:rPr>
              <w:t>622</w:t>
            </w:r>
          </w:p>
        </w:tc>
        <w:tc>
          <w:tcPr>
            <w:tcW w:w="143" w:type="pct"/>
            <w:tcMar>
              <w:left w:w="0" w:type="dxa"/>
              <w:right w:w="43" w:type="dxa"/>
            </w:tcMar>
            <w:vAlign w:val="center"/>
          </w:tcPr>
          <w:p w:rsidRPr="009055A9" w:rsidR="0023718B" w:rsidP="000E31AA" w:rsidRDefault="0023718B" w14:paraId="2450B86F" w14:textId="5C8554DF">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8" w:type="pct"/>
            <w:shd w:val="clear" w:color="000000" w:fill="FFFFFF"/>
            <w:noWrap/>
            <w:tcMar>
              <w:left w:w="0" w:type="dxa"/>
              <w:right w:w="43" w:type="dxa"/>
            </w:tcMar>
            <w:vAlign w:val="center"/>
          </w:tcPr>
          <w:p w:rsidRPr="003148DB" w:rsidR="0023718B" w:rsidP="000E31AA" w:rsidRDefault="0023718B" w14:paraId="2182DB4A" w14:textId="366FF2A1">
            <w:pPr>
              <w:jc w:val="right"/>
              <w:rPr>
                <w:rFonts w:asciiTheme="minorHAnsi" w:hAnsiTheme="minorHAnsi" w:cstheme="minorHAnsi"/>
                <w:sz w:val="16"/>
                <w:szCs w:val="16"/>
              </w:rPr>
            </w:pPr>
            <w:r w:rsidRPr="003148DB">
              <w:rPr>
                <w:rFonts w:asciiTheme="minorHAnsi" w:hAnsiTheme="minorHAnsi" w:cstheme="minorHAnsi"/>
                <w:color w:val="000000"/>
                <w:sz w:val="16"/>
                <w:szCs w:val="16"/>
              </w:rPr>
              <w:t>1,109</w:t>
            </w:r>
          </w:p>
        </w:tc>
        <w:tc>
          <w:tcPr>
            <w:tcW w:w="151" w:type="pct"/>
            <w:shd w:val="clear" w:color="000000" w:fill="FFFFFF"/>
            <w:noWrap/>
            <w:tcMar>
              <w:left w:w="0" w:type="dxa"/>
              <w:right w:w="43" w:type="dxa"/>
            </w:tcMar>
            <w:vAlign w:val="center"/>
          </w:tcPr>
          <w:p w:rsidRPr="003148DB" w:rsidR="0023718B" w:rsidP="000E31AA" w:rsidRDefault="0023718B" w14:paraId="34236D71" w14:textId="7FBBDE2E">
            <w:pPr>
              <w:jc w:val="right"/>
              <w:rPr>
                <w:rFonts w:asciiTheme="minorHAnsi" w:hAnsiTheme="minorHAnsi" w:cstheme="minorHAnsi"/>
                <w:sz w:val="16"/>
                <w:szCs w:val="16"/>
              </w:rPr>
            </w:pPr>
            <w:r w:rsidRPr="003148DB">
              <w:rPr>
                <w:rFonts w:asciiTheme="minorHAnsi" w:hAnsiTheme="minorHAnsi" w:cstheme="minorHAnsi"/>
                <w:color w:val="000000"/>
                <w:sz w:val="16"/>
                <w:szCs w:val="16"/>
              </w:rPr>
              <w:t>9.4</w:t>
            </w:r>
          </w:p>
        </w:tc>
      </w:tr>
      <w:tr w:rsidRPr="003148DB" w:rsidR="0023718B" w:rsidTr="000D41FC" w14:paraId="635B93DF" w14:textId="77777777">
        <w:trPr>
          <w:trHeight w:val="276"/>
        </w:trPr>
        <w:tc>
          <w:tcPr>
            <w:tcW w:w="268" w:type="pct"/>
            <w:vMerge/>
            <w:shd w:val="clear" w:color="auto" w:fill="auto"/>
            <w:noWrap/>
            <w:tcMar>
              <w:left w:w="58" w:type="dxa"/>
              <w:right w:w="58" w:type="dxa"/>
            </w:tcMar>
            <w:vAlign w:val="center"/>
            <w:hideMark/>
          </w:tcPr>
          <w:p w:rsidRPr="00196D17" w:rsidR="0023718B" w:rsidP="000E31AA" w:rsidRDefault="0023718B" w14:paraId="47E97CCE"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6365D0BD" w14:textId="729C889D">
            <w:pPr>
              <w:rPr>
                <w:rFonts w:asciiTheme="minorHAnsi" w:hAnsiTheme="minorHAnsi" w:cstheme="minorHAnsi"/>
                <w:sz w:val="16"/>
                <w:szCs w:val="16"/>
              </w:rPr>
            </w:pPr>
            <w:r w:rsidRPr="009055A9">
              <w:rPr>
                <w:rFonts w:asciiTheme="minorHAnsi" w:hAnsiTheme="minorHAnsi" w:cstheme="minorHAnsi"/>
                <w:color w:val="000000"/>
                <w:sz w:val="16"/>
                <w:szCs w:val="16"/>
              </w:rPr>
              <w:t>Entergy Nuclear</w:t>
            </w:r>
          </w:p>
        </w:tc>
        <w:tc>
          <w:tcPr>
            <w:tcW w:w="321" w:type="pct"/>
            <w:shd w:val="clear" w:color="auto" w:fill="auto"/>
            <w:noWrap/>
            <w:tcMar>
              <w:left w:w="58" w:type="dxa"/>
              <w:right w:w="29" w:type="dxa"/>
            </w:tcMar>
            <w:vAlign w:val="center"/>
            <w:hideMark/>
          </w:tcPr>
          <w:p w:rsidRPr="009055A9" w:rsidR="0023718B" w:rsidP="000E31AA" w:rsidRDefault="0023718B" w14:paraId="5405BDB2" w14:textId="6B28D2EA">
            <w:pPr>
              <w:rPr>
                <w:rFonts w:asciiTheme="minorHAnsi" w:hAnsiTheme="minorHAnsi" w:cstheme="minorHAnsi"/>
                <w:sz w:val="16"/>
                <w:szCs w:val="16"/>
              </w:rPr>
            </w:pPr>
            <w:r w:rsidRPr="009055A9">
              <w:rPr>
                <w:rFonts w:asciiTheme="minorHAnsi" w:hAnsiTheme="minorHAnsi" w:cstheme="minorHAnsi"/>
                <w:color w:val="000000"/>
                <w:sz w:val="16"/>
                <w:szCs w:val="16"/>
              </w:rPr>
              <w:t>River Bend</w:t>
            </w:r>
          </w:p>
        </w:tc>
        <w:tc>
          <w:tcPr>
            <w:tcW w:w="123" w:type="pct"/>
            <w:shd w:val="clear" w:color="auto" w:fill="auto"/>
            <w:noWrap/>
            <w:tcMar>
              <w:left w:w="58" w:type="dxa"/>
              <w:right w:w="58" w:type="dxa"/>
            </w:tcMar>
            <w:vAlign w:val="center"/>
            <w:hideMark/>
          </w:tcPr>
          <w:p w:rsidRPr="009055A9" w:rsidR="0023718B" w:rsidP="000E31AA" w:rsidRDefault="0023718B" w14:paraId="7B4B4A19" w14:textId="0FA1358A">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1266ABA1" w14:textId="425D89D0">
            <w:pPr>
              <w:jc w:val="right"/>
              <w:rPr>
                <w:rFonts w:asciiTheme="minorHAnsi" w:hAnsiTheme="minorHAnsi" w:cstheme="minorHAnsi"/>
                <w:sz w:val="16"/>
                <w:szCs w:val="16"/>
              </w:rPr>
            </w:pPr>
            <w:r w:rsidRPr="009055A9">
              <w:rPr>
                <w:rFonts w:asciiTheme="minorHAnsi" w:hAnsiTheme="minorHAnsi" w:cstheme="minorHAnsi"/>
                <w:color w:val="000000"/>
                <w:sz w:val="16"/>
                <w:szCs w:val="16"/>
              </w:rPr>
              <w:t>2,083</w:t>
            </w:r>
          </w:p>
        </w:tc>
        <w:tc>
          <w:tcPr>
            <w:tcW w:w="123" w:type="pct"/>
            <w:shd w:val="clear" w:color="auto" w:fill="auto"/>
            <w:noWrap/>
            <w:tcMar>
              <w:left w:w="0" w:type="dxa"/>
              <w:right w:w="43" w:type="dxa"/>
            </w:tcMar>
            <w:vAlign w:val="center"/>
            <w:hideMark/>
          </w:tcPr>
          <w:p w:rsidRPr="009055A9" w:rsidR="0023718B" w:rsidP="000E31AA" w:rsidRDefault="0023718B" w14:paraId="07D2ED6C" w14:textId="6530EEC9">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0" w:type="pct"/>
            <w:shd w:val="clear" w:color="auto" w:fill="auto"/>
            <w:noWrap/>
            <w:tcMar>
              <w:left w:w="0" w:type="dxa"/>
              <w:right w:w="43" w:type="dxa"/>
            </w:tcMar>
            <w:vAlign w:val="center"/>
            <w:hideMark/>
          </w:tcPr>
          <w:p w:rsidRPr="009055A9" w:rsidR="0023718B" w:rsidP="000E31AA" w:rsidRDefault="0023718B" w14:paraId="41EB08F9" w14:textId="006FD773">
            <w:pPr>
              <w:jc w:val="right"/>
              <w:rPr>
                <w:rFonts w:asciiTheme="minorHAnsi" w:hAnsiTheme="minorHAnsi" w:cstheme="minorHAnsi"/>
                <w:sz w:val="16"/>
                <w:szCs w:val="16"/>
              </w:rPr>
            </w:pPr>
            <w:r w:rsidRPr="009055A9">
              <w:rPr>
                <w:rFonts w:asciiTheme="minorHAnsi" w:hAnsiTheme="minorHAnsi" w:cstheme="minorHAnsi"/>
                <w:color w:val="000000"/>
                <w:sz w:val="16"/>
                <w:szCs w:val="16"/>
              </w:rPr>
              <w:t>1,632</w:t>
            </w:r>
          </w:p>
        </w:tc>
        <w:tc>
          <w:tcPr>
            <w:tcW w:w="125" w:type="pct"/>
            <w:shd w:val="clear" w:color="auto" w:fill="auto"/>
            <w:noWrap/>
            <w:tcMar>
              <w:left w:w="0" w:type="dxa"/>
              <w:right w:w="43" w:type="dxa"/>
            </w:tcMar>
            <w:vAlign w:val="center"/>
            <w:hideMark/>
          </w:tcPr>
          <w:p w:rsidRPr="009055A9" w:rsidR="0023718B" w:rsidP="000E31AA" w:rsidRDefault="0023718B" w14:paraId="70C40FE5" w14:textId="3A4002AC">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2" w:type="pct"/>
            <w:shd w:val="clear" w:color="auto" w:fill="auto"/>
            <w:noWrap/>
            <w:tcMar>
              <w:left w:w="0" w:type="dxa"/>
              <w:right w:w="43" w:type="dxa"/>
            </w:tcMar>
            <w:vAlign w:val="center"/>
            <w:hideMark/>
          </w:tcPr>
          <w:p w:rsidRPr="009055A9" w:rsidR="0023718B" w:rsidP="000E31AA" w:rsidRDefault="0023718B" w14:paraId="2CA2C36C" w14:textId="307769FF">
            <w:pPr>
              <w:jc w:val="right"/>
              <w:rPr>
                <w:rFonts w:asciiTheme="minorHAnsi" w:hAnsiTheme="minorHAnsi" w:cstheme="minorHAnsi"/>
                <w:sz w:val="16"/>
                <w:szCs w:val="16"/>
              </w:rPr>
            </w:pPr>
            <w:r w:rsidRPr="009055A9">
              <w:rPr>
                <w:rFonts w:asciiTheme="minorHAnsi" w:hAnsiTheme="minorHAnsi" w:cstheme="minorHAnsi"/>
                <w:color w:val="000000"/>
                <w:sz w:val="16"/>
                <w:szCs w:val="16"/>
              </w:rPr>
              <w:t>1,421</w:t>
            </w:r>
          </w:p>
        </w:tc>
        <w:tc>
          <w:tcPr>
            <w:tcW w:w="123" w:type="pct"/>
            <w:shd w:val="clear" w:color="auto" w:fill="auto"/>
            <w:noWrap/>
            <w:tcMar>
              <w:left w:w="0" w:type="dxa"/>
              <w:right w:w="43" w:type="dxa"/>
            </w:tcMar>
            <w:vAlign w:val="center"/>
            <w:hideMark/>
          </w:tcPr>
          <w:p w:rsidRPr="009055A9" w:rsidR="0023718B" w:rsidP="000E31AA" w:rsidRDefault="0023718B" w14:paraId="7B2FCA31" w14:textId="1D4FA6A2">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94" w:type="pct"/>
            <w:shd w:val="clear" w:color="auto" w:fill="auto"/>
            <w:noWrap/>
            <w:tcMar>
              <w:left w:w="0" w:type="dxa"/>
              <w:right w:w="43" w:type="dxa"/>
            </w:tcMar>
            <w:vAlign w:val="center"/>
            <w:hideMark/>
          </w:tcPr>
          <w:p w:rsidRPr="009055A9" w:rsidR="0023718B" w:rsidP="000E31AA" w:rsidRDefault="0023718B" w14:paraId="736CB056" w14:textId="238164BC">
            <w:pPr>
              <w:jc w:val="right"/>
              <w:rPr>
                <w:rFonts w:asciiTheme="minorHAnsi" w:hAnsiTheme="minorHAnsi" w:cstheme="minorHAnsi"/>
                <w:sz w:val="16"/>
                <w:szCs w:val="16"/>
              </w:rPr>
            </w:pPr>
            <w:r w:rsidRPr="009055A9">
              <w:rPr>
                <w:rFonts w:asciiTheme="minorHAnsi" w:hAnsiTheme="minorHAnsi" w:cstheme="minorHAnsi"/>
                <w:color w:val="000000"/>
                <w:sz w:val="16"/>
                <w:szCs w:val="16"/>
              </w:rPr>
              <w:t>1,054</w:t>
            </w:r>
          </w:p>
        </w:tc>
        <w:tc>
          <w:tcPr>
            <w:tcW w:w="123" w:type="pct"/>
            <w:shd w:val="clear" w:color="auto" w:fill="auto"/>
            <w:noWrap/>
            <w:tcMar>
              <w:left w:w="0" w:type="dxa"/>
              <w:right w:w="43" w:type="dxa"/>
            </w:tcMar>
            <w:vAlign w:val="center"/>
            <w:hideMark/>
          </w:tcPr>
          <w:p w:rsidRPr="009055A9" w:rsidR="0023718B" w:rsidP="000E31AA" w:rsidRDefault="0023718B" w14:paraId="2BB5BADF" w14:textId="12AD8960">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97" w:type="pct"/>
            <w:shd w:val="clear" w:color="auto" w:fill="auto"/>
            <w:noWrap/>
            <w:tcMar>
              <w:left w:w="0" w:type="dxa"/>
              <w:right w:w="43" w:type="dxa"/>
            </w:tcMar>
            <w:vAlign w:val="center"/>
            <w:hideMark/>
          </w:tcPr>
          <w:p w:rsidRPr="009055A9" w:rsidR="0023718B" w:rsidP="000E31AA" w:rsidRDefault="0023718B" w14:paraId="75CEB894" w14:textId="77646B55">
            <w:pPr>
              <w:jc w:val="right"/>
              <w:rPr>
                <w:rFonts w:asciiTheme="minorHAnsi" w:hAnsiTheme="minorHAnsi" w:cstheme="minorHAnsi"/>
                <w:sz w:val="16"/>
                <w:szCs w:val="16"/>
              </w:rPr>
            </w:pPr>
            <w:r w:rsidRPr="009055A9">
              <w:rPr>
                <w:rFonts w:asciiTheme="minorHAnsi" w:hAnsiTheme="minorHAnsi" w:cstheme="minorHAnsi"/>
                <w:color w:val="000000"/>
                <w:sz w:val="16"/>
                <w:szCs w:val="16"/>
              </w:rPr>
              <w:t>2,184</w:t>
            </w:r>
          </w:p>
        </w:tc>
        <w:tc>
          <w:tcPr>
            <w:tcW w:w="125" w:type="pct"/>
            <w:shd w:val="clear" w:color="auto" w:fill="auto"/>
            <w:noWrap/>
            <w:tcMar>
              <w:left w:w="0" w:type="dxa"/>
              <w:right w:w="43" w:type="dxa"/>
            </w:tcMar>
            <w:vAlign w:val="center"/>
            <w:hideMark/>
          </w:tcPr>
          <w:p w:rsidRPr="009055A9" w:rsidR="0023718B" w:rsidP="000E31AA" w:rsidRDefault="0023718B" w14:paraId="168BEF1E" w14:textId="78F2FE88">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0" w:type="pct"/>
            <w:shd w:val="clear" w:color="auto" w:fill="auto"/>
            <w:noWrap/>
            <w:tcMar>
              <w:left w:w="0" w:type="dxa"/>
              <w:right w:w="43" w:type="dxa"/>
            </w:tcMar>
            <w:vAlign w:val="center"/>
            <w:hideMark/>
          </w:tcPr>
          <w:p w:rsidRPr="009055A9" w:rsidR="0023718B" w:rsidP="000E31AA" w:rsidRDefault="0023718B" w14:paraId="1161145D" w14:textId="476A4F52">
            <w:pPr>
              <w:jc w:val="right"/>
              <w:rPr>
                <w:rFonts w:asciiTheme="minorHAnsi" w:hAnsiTheme="minorHAnsi" w:cstheme="minorHAnsi"/>
                <w:sz w:val="16"/>
                <w:szCs w:val="16"/>
              </w:rPr>
            </w:pPr>
            <w:r w:rsidRPr="009055A9">
              <w:rPr>
                <w:rFonts w:asciiTheme="minorHAnsi" w:hAnsiTheme="minorHAnsi" w:cstheme="minorHAnsi"/>
                <w:color w:val="000000"/>
                <w:sz w:val="16"/>
                <w:szCs w:val="16"/>
              </w:rPr>
              <w:t>1,078</w:t>
            </w:r>
          </w:p>
        </w:tc>
        <w:tc>
          <w:tcPr>
            <w:tcW w:w="148" w:type="pct"/>
            <w:shd w:val="clear" w:color="auto" w:fill="auto"/>
            <w:noWrap/>
            <w:tcMar>
              <w:left w:w="0" w:type="dxa"/>
              <w:right w:w="43" w:type="dxa"/>
            </w:tcMar>
            <w:vAlign w:val="center"/>
            <w:hideMark/>
          </w:tcPr>
          <w:p w:rsidRPr="009055A9" w:rsidR="0023718B" w:rsidP="000E31AA" w:rsidRDefault="0023718B" w14:paraId="5456EBAE" w14:textId="2DCDD577">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2" w:type="pct"/>
            <w:tcMar>
              <w:left w:w="0" w:type="dxa"/>
              <w:right w:w="43" w:type="dxa"/>
            </w:tcMar>
            <w:vAlign w:val="center"/>
          </w:tcPr>
          <w:p w:rsidRPr="009055A9" w:rsidR="0023718B" w:rsidP="000E31AA" w:rsidRDefault="0023718B" w14:paraId="773EC039" w14:textId="4C82F8C4">
            <w:pPr>
              <w:jc w:val="right"/>
              <w:rPr>
                <w:rFonts w:asciiTheme="minorHAnsi" w:hAnsiTheme="minorHAnsi" w:cstheme="minorHAnsi"/>
                <w:sz w:val="16"/>
                <w:szCs w:val="16"/>
              </w:rPr>
            </w:pPr>
            <w:r w:rsidRPr="009055A9">
              <w:rPr>
                <w:rFonts w:asciiTheme="minorHAnsi" w:hAnsiTheme="minorHAnsi" w:cstheme="minorHAnsi"/>
                <w:color w:val="000000"/>
                <w:sz w:val="16"/>
                <w:szCs w:val="16"/>
              </w:rPr>
              <w:t>1,745</w:t>
            </w:r>
          </w:p>
        </w:tc>
        <w:tc>
          <w:tcPr>
            <w:tcW w:w="124" w:type="pct"/>
            <w:tcMar>
              <w:left w:w="0" w:type="dxa"/>
              <w:right w:w="43" w:type="dxa"/>
            </w:tcMar>
            <w:vAlign w:val="center"/>
          </w:tcPr>
          <w:p w:rsidRPr="009055A9" w:rsidR="0023718B" w:rsidP="000E31AA" w:rsidRDefault="0023718B" w14:paraId="55566075" w14:textId="578E5C6E">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3" w:type="pct"/>
            <w:tcMar>
              <w:left w:w="0" w:type="dxa"/>
              <w:right w:w="43" w:type="dxa"/>
            </w:tcMar>
            <w:vAlign w:val="center"/>
          </w:tcPr>
          <w:p w:rsidRPr="009055A9" w:rsidR="0023718B" w:rsidP="000E31AA" w:rsidRDefault="0023718B" w14:paraId="5CB17ED9" w14:textId="0B7CD104">
            <w:pPr>
              <w:jc w:val="right"/>
              <w:rPr>
                <w:rFonts w:asciiTheme="minorHAnsi" w:hAnsiTheme="minorHAnsi" w:cstheme="minorHAnsi"/>
                <w:sz w:val="16"/>
                <w:szCs w:val="16"/>
              </w:rPr>
            </w:pPr>
            <w:r w:rsidRPr="009055A9">
              <w:rPr>
                <w:rFonts w:asciiTheme="minorHAnsi" w:hAnsiTheme="minorHAnsi" w:cstheme="minorHAnsi"/>
                <w:color w:val="000000"/>
                <w:sz w:val="16"/>
                <w:szCs w:val="16"/>
              </w:rPr>
              <w:t>1,512</w:t>
            </w:r>
          </w:p>
        </w:tc>
        <w:tc>
          <w:tcPr>
            <w:tcW w:w="146" w:type="pct"/>
            <w:tcMar>
              <w:left w:w="0" w:type="dxa"/>
              <w:right w:w="43" w:type="dxa"/>
            </w:tcMar>
            <w:vAlign w:val="center"/>
          </w:tcPr>
          <w:p w:rsidRPr="009055A9" w:rsidR="0023718B" w:rsidP="000E31AA" w:rsidRDefault="0023718B" w14:paraId="1E4972F1" w14:textId="4E6B2CE4">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5" w:type="pct"/>
            <w:tcMar>
              <w:left w:w="0" w:type="dxa"/>
              <w:right w:w="43" w:type="dxa"/>
            </w:tcMar>
            <w:vAlign w:val="center"/>
          </w:tcPr>
          <w:p w:rsidRPr="009055A9" w:rsidR="0023718B" w:rsidP="000E31AA" w:rsidRDefault="0023718B" w14:paraId="5612DDC3" w14:textId="00A607A4">
            <w:pPr>
              <w:jc w:val="right"/>
              <w:rPr>
                <w:rFonts w:asciiTheme="minorHAnsi" w:hAnsiTheme="minorHAnsi" w:cstheme="minorHAnsi"/>
                <w:sz w:val="16"/>
                <w:szCs w:val="16"/>
              </w:rPr>
            </w:pPr>
            <w:r w:rsidRPr="009055A9">
              <w:rPr>
                <w:rFonts w:asciiTheme="minorHAnsi" w:hAnsiTheme="minorHAnsi" w:cstheme="minorHAnsi"/>
                <w:color w:val="000000"/>
                <w:sz w:val="16"/>
                <w:szCs w:val="16"/>
              </w:rPr>
              <w:t>2,738</w:t>
            </w:r>
          </w:p>
        </w:tc>
        <w:tc>
          <w:tcPr>
            <w:tcW w:w="149" w:type="pct"/>
            <w:tcMar>
              <w:left w:w="0" w:type="dxa"/>
              <w:right w:w="43" w:type="dxa"/>
            </w:tcMar>
            <w:vAlign w:val="center"/>
          </w:tcPr>
          <w:p w:rsidRPr="009055A9" w:rsidR="0023718B" w:rsidP="000E31AA" w:rsidRDefault="0023718B" w14:paraId="24A3F3AF" w14:textId="7C7FC5C3">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97" w:type="pct"/>
            <w:tcMar>
              <w:left w:w="0" w:type="dxa"/>
              <w:right w:w="43" w:type="dxa"/>
            </w:tcMar>
            <w:vAlign w:val="center"/>
          </w:tcPr>
          <w:p w:rsidRPr="009055A9" w:rsidR="0023718B" w:rsidP="000E31AA" w:rsidRDefault="0023718B" w14:paraId="416533BA" w14:textId="4CD2C9F8">
            <w:pPr>
              <w:jc w:val="right"/>
              <w:rPr>
                <w:rFonts w:asciiTheme="minorHAnsi" w:hAnsiTheme="minorHAnsi" w:cstheme="minorHAnsi"/>
                <w:sz w:val="16"/>
                <w:szCs w:val="16"/>
              </w:rPr>
            </w:pPr>
            <w:r w:rsidRPr="009055A9">
              <w:rPr>
                <w:rFonts w:asciiTheme="minorHAnsi" w:hAnsiTheme="minorHAnsi" w:cstheme="minorHAnsi"/>
                <w:color w:val="000000"/>
                <w:sz w:val="16"/>
                <w:szCs w:val="16"/>
              </w:rPr>
              <w:t>1,539</w:t>
            </w:r>
          </w:p>
        </w:tc>
        <w:tc>
          <w:tcPr>
            <w:tcW w:w="148" w:type="pct"/>
            <w:tcMar>
              <w:left w:w="0" w:type="dxa"/>
              <w:right w:w="43" w:type="dxa"/>
            </w:tcMar>
            <w:vAlign w:val="center"/>
          </w:tcPr>
          <w:p w:rsidRPr="009055A9" w:rsidR="0023718B" w:rsidP="000E31AA" w:rsidRDefault="0023718B" w14:paraId="4BB9820B" w14:textId="4D9B0556">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96" w:type="pct"/>
            <w:tcMar>
              <w:left w:w="0" w:type="dxa"/>
              <w:right w:w="43" w:type="dxa"/>
            </w:tcMar>
            <w:vAlign w:val="center"/>
          </w:tcPr>
          <w:p w:rsidRPr="009055A9" w:rsidR="0023718B" w:rsidP="000E31AA" w:rsidRDefault="0023718B" w14:paraId="360260F2" w14:textId="4F2890B4">
            <w:pPr>
              <w:jc w:val="right"/>
              <w:rPr>
                <w:rFonts w:asciiTheme="minorHAnsi" w:hAnsiTheme="minorHAnsi" w:cstheme="minorHAnsi"/>
                <w:sz w:val="16"/>
                <w:szCs w:val="16"/>
              </w:rPr>
            </w:pPr>
            <w:r w:rsidRPr="009055A9">
              <w:rPr>
                <w:rFonts w:asciiTheme="minorHAnsi" w:hAnsiTheme="minorHAnsi" w:cstheme="minorHAnsi"/>
                <w:color w:val="000000"/>
                <w:sz w:val="16"/>
                <w:szCs w:val="16"/>
              </w:rPr>
              <w:t>2,188</w:t>
            </w:r>
          </w:p>
        </w:tc>
        <w:tc>
          <w:tcPr>
            <w:tcW w:w="143" w:type="pct"/>
            <w:tcMar>
              <w:left w:w="0" w:type="dxa"/>
              <w:right w:w="43" w:type="dxa"/>
            </w:tcMar>
            <w:vAlign w:val="center"/>
          </w:tcPr>
          <w:p w:rsidRPr="009055A9" w:rsidR="0023718B" w:rsidP="000E31AA" w:rsidRDefault="0023718B" w14:paraId="32C857FF" w14:textId="624428C6">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8" w:type="pct"/>
            <w:shd w:val="clear" w:color="000000" w:fill="FFFFFF"/>
            <w:noWrap/>
            <w:tcMar>
              <w:left w:w="0" w:type="dxa"/>
              <w:right w:w="43" w:type="dxa"/>
            </w:tcMar>
            <w:vAlign w:val="center"/>
          </w:tcPr>
          <w:p w:rsidRPr="003148DB" w:rsidR="0023718B" w:rsidP="000E31AA" w:rsidRDefault="0023718B" w14:paraId="259C5F62" w14:textId="654786CA">
            <w:pPr>
              <w:jc w:val="right"/>
              <w:rPr>
                <w:rFonts w:asciiTheme="minorHAnsi" w:hAnsiTheme="minorHAnsi" w:cstheme="minorHAnsi"/>
                <w:sz w:val="16"/>
                <w:szCs w:val="16"/>
              </w:rPr>
            </w:pPr>
            <w:r w:rsidRPr="003148DB">
              <w:rPr>
                <w:rFonts w:asciiTheme="minorHAnsi" w:hAnsiTheme="minorHAnsi" w:cstheme="minorHAnsi"/>
                <w:color w:val="000000"/>
                <w:sz w:val="16"/>
                <w:szCs w:val="16"/>
              </w:rPr>
              <w:t>1,743</w:t>
            </w:r>
          </w:p>
        </w:tc>
        <w:tc>
          <w:tcPr>
            <w:tcW w:w="151" w:type="pct"/>
            <w:shd w:val="clear" w:color="000000" w:fill="FFFFFF"/>
            <w:noWrap/>
            <w:tcMar>
              <w:left w:w="0" w:type="dxa"/>
              <w:right w:w="43" w:type="dxa"/>
            </w:tcMar>
            <w:vAlign w:val="center"/>
          </w:tcPr>
          <w:p w:rsidRPr="003148DB" w:rsidR="0023718B" w:rsidP="000E31AA" w:rsidRDefault="0023718B" w14:paraId="7B03FF06" w14:textId="040AEBCC">
            <w:pPr>
              <w:jc w:val="right"/>
              <w:rPr>
                <w:rFonts w:asciiTheme="minorHAnsi" w:hAnsiTheme="minorHAnsi" w:cstheme="minorHAnsi"/>
                <w:sz w:val="16"/>
                <w:szCs w:val="16"/>
              </w:rPr>
            </w:pPr>
            <w:r w:rsidRPr="003148DB">
              <w:rPr>
                <w:rFonts w:asciiTheme="minorHAnsi" w:hAnsiTheme="minorHAnsi" w:cstheme="minorHAnsi"/>
                <w:color w:val="000000"/>
                <w:sz w:val="16"/>
                <w:szCs w:val="16"/>
              </w:rPr>
              <w:t>12.0</w:t>
            </w:r>
          </w:p>
        </w:tc>
      </w:tr>
      <w:tr w:rsidRPr="003148DB" w:rsidR="0023718B" w:rsidTr="000D41FC" w14:paraId="62D6E29C" w14:textId="77777777">
        <w:trPr>
          <w:trHeight w:val="276"/>
        </w:trPr>
        <w:tc>
          <w:tcPr>
            <w:tcW w:w="268" w:type="pct"/>
            <w:vMerge/>
            <w:shd w:val="clear" w:color="auto" w:fill="auto"/>
            <w:noWrap/>
            <w:tcMar>
              <w:left w:w="58" w:type="dxa"/>
              <w:right w:w="58" w:type="dxa"/>
            </w:tcMar>
            <w:vAlign w:val="center"/>
            <w:hideMark/>
          </w:tcPr>
          <w:p w:rsidRPr="00196D17" w:rsidR="0023718B" w:rsidP="000E31AA" w:rsidRDefault="0023718B" w14:paraId="4B44B43E"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25C38D62" w14:textId="79E24406">
            <w:pPr>
              <w:rPr>
                <w:rFonts w:asciiTheme="minorHAnsi" w:hAnsiTheme="minorHAnsi" w:cstheme="minorHAnsi"/>
                <w:sz w:val="16"/>
                <w:szCs w:val="16"/>
              </w:rPr>
            </w:pPr>
            <w:r w:rsidRPr="009055A9">
              <w:rPr>
                <w:rFonts w:asciiTheme="minorHAnsi" w:hAnsiTheme="minorHAnsi" w:cstheme="minorHAnsi"/>
                <w:color w:val="000000"/>
                <w:sz w:val="16"/>
                <w:szCs w:val="16"/>
              </w:rPr>
              <w:t>NextEra Energy</w:t>
            </w:r>
          </w:p>
        </w:tc>
        <w:tc>
          <w:tcPr>
            <w:tcW w:w="321" w:type="pct"/>
            <w:shd w:val="clear" w:color="auto" w:fill="auto"/>
            <w:noWrap/>
            <w:tcMar>
              <w:left w:w="58" w:type="dxa"/>
              <w:right w:w="29" w:type="dxa"/>
            </w:tcMar>
            <w:vAlign w:val="center"/>
            <w:hideMark/>
          </w:tcPr>
          <w:p w:rsidRPr="009055A9" w:rsidR="0023718B" w:rsidP="000E31AA" w:rsidRDefault="0023718B" w14:paraId="5A13C0CA" w14:textId="293FA798">
            <w:pPr>
              <w:rPr>
                <w:rFonts w:asciiTheme="minorHAnsi" w:hAnsiTheme="minorHAnsi" w:cstheme="minorHAnsi"/>
                <w:sz w:val="16"/>
                <w:szCs w:val="16"/>
              </w:rPr>
            </w:pPr>
            <w:r w:rsidRPr="009055A9">
              <w:rPr>
                <w:rFonts w:asciiTheme="minorHAnsi" w:hAnsiTheme="minorHAnsi" w:cstheme="minorHAnsi"/>
                <w:color w:val="000000"/>
                <w:sz w:val="16"/>
                <w:szCs w:val="16"/>
              </w:rPr>
              <w:t>Seabrook</w:t>
            </w:r>
          </w:p>
        </w:tc>
        <w:tc>
          <w:tcPr>
            <w:tcW w:w="123" w:type="pct"/>
            <w:shd w:val="clear" w:color="auto" w:fill="auto"/>
            <w:noWrap/>
            <w:tcMar>
              <w:left w:w="58" w:type="dxa"/>
              <w:right w:w="58" w:type="dxa"/>
            </w:tcMar>
            <w:vAlign w:val="center"/>
            <w:hideMark/>
          </w:tcPr>
          <w:p w:rsidRPr="009055A9" w:rsidR="0023718B" w:rsidP="000E31AA" w:rsidRDefault="0023718B" w14:paraId="42D7FD91" w14:textId="3A0F19ED">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73278B00" w14:textId="09B56BD3">
            <w:pPr>
              <w:jc w:val="right"/>
              <w:rPr>
                <w:rFonts w:asciiTheme="minorHAnsi" w:hAnsiTheme="minorHAnsi" w:cstheme="minorHAnsi"/>
                <w:sz w:val="16"/>
                <w:szCs w:val="16"/>
              </w:rPr>
            </w:pPr>
            <w:r w:rsidRPr="009055A9">
              <w:rPr>
                <w:rFonts w:asciiTheme="minorHAnsi" w:hAnsiTheme="minorHAnsi" w:cstheme="minorHAnsi"/>
                <w:color w:val="000000"/>
                <w:sz w:val="16"/>
                <w:szCs w:val="16"/>
              </w:rPr>
              <w:t>2,628</w:t>
            </w:r>
          </w:p>
        </w:tc>
        <w:tc>
          <w:tcPr>
            <w:tcW w:w="123" w:type="pct"/>
            <w:shd w:val="clear" w:color="auto" w:fill="auto"/>
            <w:noWrap/>
            <w:tcMar>
              <w:left w:w="0" w:type="dxa"/>
              <w:right w:w="43" w:type="dxa"/>
            </w:tcMar>
            <w:vAlign w:val="center"/>
            <w:hideMark/>
          </w:tcPr>
          <w:p w:rsidRPr="009055A9" w:rsidR="0023718B" w:rsidP="000E31AA" w:rsidRDefault="0023718B" w14:paraId="4F0C6B59" w14:textId="712F6306">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0" w:type="pct"/>
            <w:shd w:val="clear" w:color="auto" w:fill="auto"/>
            <w:noWrap/>
            <w:tcMar>
              <w:left w:w="0" w:type="dxa"/>
              <w:right w:w="43" w:type="dxa"/>
            </w:tcMar>
            <w:vAlign w:val="center"/>
            <w:hideMark/>
          </w:tcPr>
          <w:p w:rsidRPr="009055A9" w:rsidR="0023718B" w:rsidP="000E31AA" w:rsidRDefault="0023718B" w14:paraId="2A7F01FC" w14:textId="323C7C87">
            <w:pPr>
              <w:jc w:val="right"/>
              <w:rPr>
                <w:rFonts w:asciiTheme="minorHAnsi" w:hAnsiTheme="minorHAnsi" w:cstheme="minorHAnsi"/>
                <w:sz w:val="16"/>
                <w:szCs w:val="16"/>
              </w:rPr>
            </w:pPr>
            <w:r w:rsidRPr="009055A9">
              <w:rPr>
                <w:rFonts w:asciiTheme="minorHAnsi" w:hAnsiTheme="minorHAnsi" w:cstheme="minorHAnsi"/>
                <w:color w:val="000000"/>
                <w:sz w:val="16"/>
                <w:szCs w:val="16"/>
              </w:rPr>
              <w:t>1,050</w:t>
            </w:r>
          </w:p>
        </w:tc>
        <w:tc>
          <w:tcPr>
            <w:tcW w:w="125" w:type="pct"/>
            <w:shd w:val="clear" w:color="auto" w:fill="auto"/>
            <w:noWrap/>
            <w:tcMar>
              <w:left w:w="0" w:type="dxa"/>
              <w:right w:w="43" w:type="dxa"/>
            </w:tcMar>
            <w:vAlign w:val="center"/>
            <w:hideMark/>
          </w:tcPr>
          <w:p w:rsidRPr="009055A9" w:rsidR="0023718B" w:rsidP="000E31AA" w:rsidRDefault="0023718B" w14:paraId="657BF36A" w14:textId="7B56F9BA">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72" w:type="pct"/>
            <w:shd w:val="clear" w:color="auto" w:fill="auto"/>
            <w:noWrap/>
            <w:tcMar>
              <w:left w:w="0" w:type="dxa"/>
              <w:right w:w="43" w:type="dxa"/>
            </w:tcMar>
            <w:vAlign w:val="center"/>
            <w:hideMark/>
          </w:tcPr>
          <w:p w:rsidRPr="009055A9" w:rsidR="0023718B" w:rsidP="000E31AA" w:rsidRDefault="0023718B" w14:paraId="5F3625AA" w14:textId="5FBA5066">
            <w:pPr>
              <w:jc w:val="right"/>
              <w:rPr>
                <w:rFonts w:asciiTheme="minorHAnsi" w:hAnsiTheme="minorHAnsi" w:cstheme="minorHAnsi"/>
                <w:sz w:val="16"/>
                <w:szCs w:val="16"/>
              </w:rPr>
            </w:pPr>
            <w:r w:rsidRPr="009055A9">
              <w:rPr>
                <w:rFonts w:asciiTheme="minorHAnsi" w:hAnsiTheme="minorHAnsi" w:cstheme="minorHAnsi"/>
                <w:color w:val="000000"/>
                <w:sz w:val="16"/>
                <w:szCs w:val="16"/>
              </w:rPr>
              <w:t>2,021</w:t>
            </w:r>
          </w:p>
        </w:tc>
        <w:tc>
          <w:tcPr>
            <w:tcW w:w="123" w:type="pct"/>
            <w:shd w:val="clear" w:color="auto" w:fill="auto"/>
            <w:noWrap/>
            <w:tcMar>
              <w:left w:w="0" w:type="dxa"/>
              <w:right w:w="43" w:type="dxa"/>
            </w:tcMar>
            <w:vAlign w:val="center"/>
            <w:hideMark/>
          </w:tcPr>
          <w:p w:rsidRPr="009055A9" w:rsidR="0023718B" w:rsidP="000E31AA" w:rsidRDefault="0023718B" w14:paraId="3B4FC3C6" w14:textId="0BD43E70">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94" w:type="pct"/>
            <w:shd w:val="clear" w:color="auto" w:fill="auto"/>
            <w:noWrap/>
            <w:tcMar>
              <w:left w:w="0" w:type="dxa"/>
              <w:right w:w="43" w:type="dxa"/>
            </w:tcMar>
            <w:vAlign w:val="center"/>
            <w:hideMark/>
          </w:tcPr>
          <w:p w:rsidRPr="009055A9" w:rsidR="0023718B" w:rsidP="000E31AA" w:rsidRDefault="0023718B" w14:paraId="7E1654AC" w14:textId="150B9ADE">
            <w:pPr>
              <w:jc w:val="right"/>
              <w:rPr>
                <w:rFonts w:asciiTheme="minorHAnsi" w:hAnsiTheme="minorHAnsi" w:cstheme="minorHAnsi"/>
                <w:sz w:val="16"/>
                <w:szCs w:val="16"/>
              </w:rPr>
            </w:pPr>
            <w:r w:rsidRPr="009055A9">
              <w:rPr>
                <w:rFonts w:asciiTheme="minorHAnsi" w:hAnsiTheme="minorHAnsi" w:cstheme="minorHAnsi"/>
                <w:color w:val="000000"/>
                <w:sz w:val="16"/>
                <w:szCs w:val="16"/>
              </w:rPr>
              <w:t>2,293</w:t>
            </w:r>
          </w:p>
        </w:tc>
        <w:tc>
          <w:tcPr>
            <w:tcW w:w="123" w:type="pct"/>
            <w:shd w:val="clear" w:color="auto" w:fill="auto"/>
            <w:noWrap/>
            <w:tcMar>
              <w:left w:w="0" w:type="dxa"/>
              <w:right w:w="43" w:type="dxa"/>
            </w:tcMar>
            <w:vAlign w:val="center"/>
            <w:hideMark/>
          </w:tcPr>
          <w:p w:rsidRPr="009055A9" w:rsidR="0023718B" w:rsidP="000E31AA" w:rsidRDefault="0023718B" w14:paraId="39BB5135" w14:textId="4E48126C">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97" w:type="pct"/>
            <w:shd w:val="clear" w:color="auto" w:fill="auto"/>
            <w:noWrap/>
            <w:tcMar>
              <w:left w:w="0" w:type="dxa"/>
              <w:right w:w="43" w:type="dxa"/>
            </w:tcMar>
            <w:vAlign w:val="center"/>
            <w:hideMark/>
          </w:tcPr>
          <w:p w:rsidRPr="009055A9" w:rsidR="0023718B" w:rsidP="000E31AA" w:rsidRDefault="0023718B" w14:paraId="62272882" w14:textId="5C2E6474">
            <w:pPr>
              <w:jc w:val="right"/>
              <w:rPr>
                <w:rFonts w:asciiTheme="minorHAnsi" w:hAnsiTheme="minorHAnsi" w:cstheme="minorHAnsi"/>
                <w:sz w:val="16"/>
                <w:szCs w:val="16"/>
              </w:rPr>
            </w:pPr>
            <w:r w:rsidRPr="009055A9">
              <w:rPr>
                <w:rFonts w:asciiTheme="minorHAnsi" w:hAnsiTheme="minorHAnsi" w:cstheme="minorHAnsi"/>
                <w:color w:val="000000"/>
                <w:sz w:val="16"/>
                <w:szCs w:val="16"/>
              </w:rPr>
              <w:t>848</w:t>
            </w:r>
          </w:p>
        </w:tc>
        <w:tc>
          <w:tcPr>
            <w:tcW w:w="125" w:type="pct"/>
            <w:shd w:val="clear" w:color="auto" w:fill="auto"/>
            <w:noWrap/>
            <w:tcMar>
              <w:left w:w="0" w:type="dxa"/>
              <w:right w:w="43" w:type="dxa"/>
            </w:tcMar>
            <w:vAlign w:val="center"/>
            <w:hideMark/>
          </w:tcPr>
          <w:p w:rsidRPr="009055A9" w:rsidR="0023718B" w:rsidP="000E31AA" w:rsidRDefault="0023718B" w14:paraId="1349DD4B" w14:textId="320D355E">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0" w:type="pct"/>
            <w:shd w:val="clear" w:color="auto" w:fill="auto"/>
            <w:noWrap/>
            <w:tcMar>
              <w:left w:w="0" w:type="dxa"/>
              <w:right w:w="43" w:type="dxa"/>
            </w:tcMar>
            <w:vAlign w:val="center"/>
            <w:hideMark/>
          </w:tcPr>
          <w:p w:rsidRPr="009055A9" w:rsidR="0023718B" w:rsidP="000E31AA" w:rsidRDefault="0023718B" w14:paraId="13BB4676" w14:textId="0B2EA900">
            <w:pPr>
              <w:jc w:val="right"/>
              <w:rPr>
                <w:rFonts w:asciiTheme="minorHAnsi" w:hAnsiTheme="minorHAnsi" w:cstheme="minorHAnsi"/>
                <w:sz w:val="16"/>
                <w:szCs w:val="16"/>
              </w:rPr>
            </w:pPr>
            <w:r w:rsidRPr="009055A9">
              <w:rPr>
                <w:rFonts w:asciiTheme="minorHAnsi" w:hAnsiTheme="minorHAnsi" w:cstheme="minorHAnsi"/>
                <w:color w:val="000000"/>
                <w:sz w:val="16"/>
                <w:szCs w:val="16"/>
              </w:rPr>
              <w:t>1,597</w:t>
            </w:r>
          </w:p>
        </w:tc>
        <w:tc>
          <w:tcPr>
            <w:tcW w:w="148" w:type="pct"/>
            <w:shd w:val="clear" w:color="auto" w:fill="auto"/>
            <w:noWrap/>
            <w:tcMar>
              <w:left w:w="0" w:type="dxa"/>
              <w:right w:w="43" w:type="dxa"/>
            </w:tcMar>
            <w:vAlign w:val="center"/>
            <w:hideMark/>
          </w:tcPr>
          <w:p w:rsidRPr="009055A9" w:rsidR="0023718B" w:rsidP="000E31AA" w:rsidRDefault="0023718B" w14:paraId="128AE9E6" w14:textId="21CA1C99">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2" w:type="pct"/>
            <w:tcMar>
              <w:left w:w="0" w:type="dxa"/>
              <w:right w:w="43" w:type="dxa"/>
            </w:tcMar>
            <w:vAlign w:val="center"/>
          </w:tcPr>
          <w:p w:rsidRPr="009055A9" w:rsidR="0023718B" w:rsidP="000E31AA" w:rsidRDefault="0023718B" w14:paraId="5C9CAF65" w14:textId="61B7EBA0">
            <w:pPr>
              <w:jc w:val="right"/>
              <w:rPr>
                <w:rFonts w:asciiTheme="minorHAnsi" w:hAnsiTheme="minorHAnsi" w:cstheme="minorHAnsi"/>
                <w:sz w:val="16"/>
                <w:szCs w:val="16"/>
              </w:rPr>
            </w:pPr>
            <w:r w:rsidRPr="009055A9">
              <w:rPr>
                <w:rFonts w:asciiTheme="minorHAnsi" w:hAnsiTheme="minorHAnsi" w:cstheme="minorHAnsi"/>
                <w:color w:val="000000"/>
                <w:sz w:val="16"/>
                <w:szCs w:val="16"/>
              </w:rPr>
              <w:t>2,164</w:t>
            </w:r>
          </w:p>
        </w:tc>
        <w:tc>
          <w:tcPr>
            <w:tcW w:w="124" w:type="pct"/>
            <w:tcMar>
              <w:left w:w="0" w:type="dxa"/>
              <w:right w:w="43" w:type="dxa"/>
            </w:tcMar>
            <w:vAlign w:val="center"/>
          </w:tcPr>
          <w:p w:rsidRPr="009055A9" w:rsidR="0023718B" w:rsidP="000E31AA" w:rsidRDefault="0023718B" w14:paraId="4EE0383D" w14:textId="67D7555B">
            <w:pPr>
              <w:jc w:val="right"/>
              <w:rPr>
                <w:rFonts w:asciiTheme="minorHAnsi" w:hAnsiTheme="minorHAnsi" w:cstheme="minorHAnsi"/>
                <w:sz w:val="16"/>
                <w:szCs w:val="16"/>
              </w:rPr>
            </w:pPr>
            <w:r w:rsidRPr="009055A9">
              <w:rPr>
                <w:rFonts w:asciiTheme="minorHAnsi" w:hAnsiTheme="minorHAnsi" w:cstheme="minorHAnsi"/>
                <w:color w:val="000000"/>
                <w:sz w:val="16"/>
                <w:szCs w:val="16"/>
              </w:rPr>
              <w:t>33</w:t>
            </w:r>
          </w:p>
        </w:tc>
        <w:tc>
          <w:tcPr>
            <w:tcW w:w="173" w:type="pct"/>
            <w:tcMar>
              <w:left w:w="0" w:type="dxa"/>
              <w:right w:w="43" w:type="dxa"/>
            </w:tcMar>
            <w:vAlign w:val="center"/>
          </w:tcPr>
          <w:p w:rsidRPr="009055A9" w:rsidR="0023718B" w:rsidP="000E31AA" w:rsidRDefault="0023718B" w14:paraId="16A557DE" w14:textId="4AF2640B">
            <w:pPr>
              <w:jc w:val="right"/>
              <w:rPr>
                <w:rFonts w:asciiTheme="minorHAnsi" w:hAnsiTheme="minorHAnsi" w:cstheme="minorHAnsi"/>
                <w:sz w:val="16"/>
                <w:szCs w:val="16"/>
              </w:rPr>
            </w:pPr>
            <w:r w:rsidRPr="009055A9">
              <w:rPr>
                <w:rFonts w:asciiTheme="minorHAnsi" w:hAnsiTheme="minorHAnsi" w:cstheme="minorHAnsi"/>
                <w:color w:val="000000"/>
                <w:sz w:val="16"/>
                <w:szCs w:val="16"/>
              </w:rPr>
              <w:t>712</w:t>
            </w:r>
          </w:p>
        </w:tc>
        <w:tc>
          <w:tcPr>
            <w:tcW w:w="146" w:type="pct"/>
            <w:tcMar>
              <w:left w:w="0" w:type="dxa"/>
              <w:right w:w="43" w:type="dxa"/>
            </w:tcMar>
            <w:vAlign w:val="center"/>
          </w:tcPr>
          <w:p w:rsidRPr="009055A9" w:rsidR="0023718B" w:rsidP="000E31AA" w:rsidRDefault="0023718B" w14:paraId="13BEF028" w14:textId="4FF4C79F">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5" w:type="pct"/>
            <w:tcMar>
              <w:left w:w="0" w:type="dxa"/>
              <w:right w:w="43" w:type="dxa"/>
            </w:tcMar>
            <w:vAlign w:val="center"/>
          </w:tcPr>
          <w:p w:rsidRPr="009055A9" w:rsidR="0023718B" w:rsidP="000E31AA" w:rsidRDefault="0023718B" w14:paraId="1A32738D" w14:textId="7C9AFF7E">
            <w:pPr>
              <w:jc w:val="right"/>
              <w:rPr>
                <w:rFonts w:asciiTheme="minorHAnsi" w:hAnsiTheme="minorHAnsi" w:cstheme="minorHAnsi"/>
                <w:sz w:val="16"/>
                <w:szCs w:val="16"/>
              </w:rPr>
            </w:pPr>
            <w:r w:rsidRPr="009055A9">
              <w:rPr>
                <w:rFonts w:asciiTheme="minorHAnsi" w:hAnsiTheme="minorHAnsi" w:cstheme="minorHAnsi"/>
                <w:color w:val="000000"/>
                <w:sz w:val="16"/>
                <w:szCs w:val="16"/>
              </w:rPr>
              <w:t>1,533</w:t>
            </w:r>
          </w:p>
        </w:tc>
        <w:tc>
          <w:tcPr>
            <w:tcW w:w="149" w:type="pct"/>
            <w:tcMar>
              <w:left w:w="0" w:type="dxa"/>
              <w:right w:w="43" w:type="dxa"/>
            </w:tcMar>
            <w:vAlign w:val="center"/>
          </w:tcPr>
          <w:p w:rsidRPr="009055A9" w:rsidR="0023718B" w:rsidP="000E31AA" w:rsidRDefault="0023718B" w14:paraId="4355EB23" w14:textId="614871B8">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97" w:type="pct"/>
            <w:tcMar>
              <w:left w:w="0" w:type="dxa"/>
              <w:right w:w="43" w:type="dxa"/>
            </w:tcMar>
            <w:vAlign w:val="center"/>
          </w:tcPr>
          <w:p w:rsidRPr="009055A9" w:rsidR="0023718B" w:rsidP="000E31AA" w:rsidRDefault="0023718B" w14:paraId="43F10257" w14:textId="333F7DE1">
            <w:pPr>
              <w:jc w:val="right"/>
              <w:rPr>
                <w:rFonts w:asciiTheme="minorHAnsi" w:hAnsiTheme="minorHAnsi" w:cstheme="minorHAnsi"/>
                <w:sz w:val="16"/>
                <w:szCs w:val="16"/>
              </w:rPr>
            </w:pPr>
            <w:r w:rsidRPr="009055A9">
              <w:rPr>
                <w:rFonts w:asciiTheme="minorHAnsi" w:hAnsiTheme="minorHAnsi" w:cstheme="minorHAnsi"/>
                <w:color w:val="000000"/>
                <w:sz w:val="16"/>
                <w:szCs w:val="16"/>
              </w:rPr>
              <w:t>1,496</w:t>
            </w:r>
          </w:p>
        </w:tc>
        <w:tc>
          <w:tcPr>
            <w:tcW w:w="148" w:type="pct"/>
            <w:tcMar>
              <w:left w:w="0" w:type="dxa"/>
              <w:right w:w="43" w:type="dxa"/>
            </w:tcMar>
            <w:vAlign w:val="center"/>
          </w:tcPr>
          <w:p w:rsidRPr="009055A9" w:rsidR="0023718B" w:rsidP="000E31AA" w:rsidRDefault="0023718B" w14:paraId="7AA46FB1" w14:textId="25CCF901">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96" w:type="pct"/>
            <w:tcMar>
              <w:left w:w="0" w:type="dxa"/>
              <w:right w:w="43" w:type="dxa"/>
            </w:tcMar>
            <w:vAlign w:val="center"/>
          </w:tcPr>
          <w:p w:rsidRPr="009055A9" w:rsidR="0023718B" w:rsidP="000E31AA" w:rsidRDefault="0023718B" w14:paraId="014313D7" w14:textId="43797427">
            <w:pPr>
              <w:jc w:val="right"/>
              <w:rPr>
                <w:rFonts w:asciiTheme="minorHAnsi" w:hAnsiTheme="minorHAnsi" w:cstheme="minorHAnsi"/>
                <w:sz w:val="16"/>
                <w:szCs w:val="16"/>
              </w:rPr>
            </w:pPr>
            <w:r w:rsidRPr="009055A9">
              <w:rPr>
                <w:rFonts w:asciiTheme="minorHAnsi" w:hAnsiTheme="minorHAnsi" w:cstheme="minorHAnsi"/>
                <w:color w:val="000000"/>
                <w:sz w:val="16"/>
                <w:szCs w:val="16"/>
              </w:rPr>
              <w:t>751</w:t>
            </w:r>
          </w:p>
        </w:tc>
        <w:tc>
          <w:tcPr>
            <w:tcW w:w="143" w:type="pct"/>
            <w:tcMar>
              <w:left w:w="0" w:type="dxa"/>
              <w:right w:w="43" w:type="dxa"/>
            </w:tcMar>
            <w:vAlign w:val="center"/>
          </w:tcPr>
          <w:p w:rsidRPr="009055A9" w:rsidR="0023718B" w:rsidP="000E31AA" w:rsidRDefault="0023718B" w14:paraId="68737BA7" w14:textId="2569DF60">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8" w:type="pct"/>
            <w:shd w:val="clear" w:color="000000" w:fill="FFFFFF"/>
            <w:noWrap/>
            <w:tcMar>
              <w:left w:w="0" w:type="dxa"/>
              <w:right w:w="43" w:type="dxa"/>
            </w:tcMar>
            <w:vAlign w:val="center"/>
          </w:tcPr>
          <w:p w:rsidRPr="003148DB" w:rsidR="0023718B" w:rsidP="000E31AA" w:rsidRDefault="0023718B" w14:paraId="763BC58A" w14:textId="3204A09D">
            <w:pPr>
              <w:jc w:val="right"/>
              <w:rPr>
                <w:rFonts w:asciiTheme="minorHAnsi" w:hAnsiTheme="minorHAnsi" w:cstheme="minorHAnsi"/>
                <w:sz w:val="16"/>
                <w:szCs w:val="16"/>
              </w:rPr>
            </w:pPr>
            <w:r w:rsidRPr="003148DB">
              <w:rPr>
                <w:rFonts w:asciiTheme="minorHAnsi" w:hAnsiTheme="minorHAnsi" w:cstheme="minorHAnsi"/>
                <w:color w:val="000000"/>
                <w:sz w:val="16"/>
                <w:szCs w:val="16"/>
              </w:rPr>
              <w:t>1,554</w:t>
            </w:r>
          </w:p>
        </w:tc>
        <w:tc>
          <w:tcPr>
            <w:tcW w:w="151" w:type="pct"/>
            <w:shd w:val="clear" w:color="000000" w:fill="FFFFFF"/>
            <w:noWrap/>
            <w:tcMar>
              <w:left w:w="0" w:type="dxa"/>
              <w:right w:w="43" w:type="dxa"/>
            </w:tcMar>
            <w:vAlign w:val="center"/>
          </w:tcPr>
          <w:p w:rsidRPr="003148DB" w:rsidR="0023718B" w:rsidP="000E31AA" w:rsidRDefault="0023718B" w14:paraId="6E1626AE" w14:textId="76928704">
            <w:pPr>
              <w:jc w:val="right"/>
              <w:rPr>
                <w:rFonts w:asciiTheme="minorHAnsi" w:hAnsiTheme="minorHAnsi" w:cstheme="minorHAnsi"/>
                <w:sz w:val="16"/>
                <w:szCs w:val="16"/>
              </w:rPr>
            </w:pPr>
            <w:r w:rsidRPr="003148DB">
              <w:rPr>
                <w:rFonts w:asciiTheme="minorHAnsi" w:hAnsiTheme="minorHAnsi" w:cstheme="minorHAnsi"/>
                <w:color w:val="000000"/>
                <w:sz w:val="16"/>
                <w:szCs w:val="16"/>
              </w:rPr>
              <w:t>13.7</w:t>
            </w:r>
          </w:p>
        </w:tc>
      </w:tr>
      <w:tr w:rsidRPr="003148DB" w:rsidR="0023718B" w:rsidTr="000D41FC" w14:paraId="402B5826"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68C06F2F"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39764939" w14:textId="338C7E07">
            <w:pPr>
              <w:rPr>
                <w:rFonts w:asciiTheme="minorHAnsi" w:hAnsiTheme="minorHAnsi" w:cstheme="minorHAnsi"/>
                <w:sz w:val="16"/>
                <w:szCs w:val="16"/>
              </w:rPr>
            </w:pPr>
            <w:r w:rsidRPr="009055A9">
              <w:rPr>
                <w:rFonts w:asciiTheme="minorHAnsi" w:hAnsiTheme="minorHAnsi" w:cstheme="minorHAnsi"/>
                <w:sz w:val="16"/>
                <w:szCs w:val="16"/>
              </w:rPr>
              <w:t>Duke Energy</w:t>
            </w:r>
          </w:p>
        </w:tc>
        <w:tc>
          <w:tcPr>
            <w:tcW w:w="321" w:type="pct"/>
            <w:shd w:val="clear" w:color="auto" w:fill="auto"/>
            <w:noWrap/>
            <w:tcMar>
              <w:left w:w="58" w:type="dxa"/>
              <w:right w:w="29" w:type="dxa"/>
            </w:tcMar>
            <w:vAlign w:val="center"/>
            <w:hideMark/>
          </w:tcPr>
          <w:p w:rsidRPr="009055A9" w:rsidR="0023718B" w:rsidP="000E31AA" w:rsidRDefault="0023718B" w14:paraId="09E3DFCF" w14:textId="0ACB382A">
            <w:pPr>
              <w:rPr>
                <w:rFonts w:asciiTheme="minorHAnsi" w:hAnsiTheme="minorHAnsi" w:cstheme="minorHAnsi"/>
                <w:sz w:val="16"/>
                <w:szCs w:val="16"/>
              </w:rPr>
            </w:pPr>
            <w:r w:rsidRPr="009055A9">
              <w:rPr>
                <w:rFonts w:asciiTheme="minorHAnsi" w:hAnsiTheme="minorHAnsi" w:cstheme="minorHAnsi"/>
                <w:color w:val="000000"/>
                <w:sz w:val="16"/>
                <w:szCs w:val="16"/>
              </w:rPr>
              <w:t>Shearon Harris</w:t>
            </w:r>
          </w:p>
        </w:tc>
        <w:tc>
          <w:tcPr>
            <w:tcW w:w="123" w:type="pct"/>
            <w:shd w:val="clear" w:color="auto" w:fill="auto"/>
            <w:noWrap/>
            <w:tcMar>
              <w:left w:w="58" w:type="dxa"/>
              <w:right w:w="58" w:type="dxa"/>
            </w:tcMar>
            <w:vAlign w:val="center"/>
            <w:hideMark/>
          </w:tcPr>
          <w:p w:rsidRPr="009055A9" w:rsidR="0023718B" w:rsidP="000E31AA" w:rsidRDefault="0023718B" w14:paraId="060DC259" w14:textId="0E53A8D5">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58E58202" w14:textId="75122B47">
            <w:pPr>
              <w:jc w:val="right"/>
              <w:rPr>
                <w:rFonts w:asciiTheme="minorHAnsi" w:hAnsiTheme="minorHAnsi" w:cstheme="minorHAnsi"/>
                <w:sz w:val="16"/>
                <w:szCs w:val="16"/>
              </w:rPr>
            </w:pPr>
            <w:r w:rsidRPr="009055A9">
              <w:rPr>
                <w:rFonts w:asciiTheme="minorHAnsi" w:hAnsiTheme="minorHAnsi" w:cstheme="minorHAnsi"/>
                <w:color w:val="000000"/>
                <w:sz w:val="16"/>
                <w:szCs w:val="16"/>
              </w:rPr>
              <w:t>1,114</w:t>
            </w:r>
          </w:p>
        </w:tc>
        <w:tc>
          <w:tcPr>
            <w:tcW w:w="123" w:type="pct"/>
            <w:shd w:val="clear" w:color="auto" w:fill="auto"/>
            <w:noWrap/>
            <w:tcMar>
              <w:left w:w="0" w:type="dxa"/>
              <w:right w:w="43" w:type="dxa"/>
            </w:tcMar>
            <w:vAlign w:val="center"/>
            <w:hideMark/>
          </w:tcPr>
          <w:p w:rsidRPr="009055A9" w:rsidR="0023718B" w:rsidP="000E31AA" w:rsidRDefault="0023718B" w14:paraId="77B970F9" w14:textId="5F42FF47">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0" w:type="pct"/>
            <w:shd w:val="clear" w:color="auto" w:fill="auto"/>
            <w:noWrap/>
            <w:tcMar>
              <w:left w:w="0" w:type="dxa"/>
              <w:right w:w="43" w:type="dxa"/>
            </w:tcMar>
            <w:vAlign w:val="center"/>
            <w:hideMark/>
          </w:tcPr>
          <w:p w:rsidRPr="009055A9" w:rsidR="0023718B" w:rsidP="000E31AA" w:rsidRDefault="0023718B" w14:paraId="202FF007" w14:textId="757FB156">
            <w:pPr>
              <w:jc w:val="right"/>
              <w:rPr>
                <w:rFonts w:asciiTheme="minorHAnsi" w:hAnsiTheme="minorHAnsi" w:cstheme="minorHAnsi"/>
                <w:sz w:val="16"/>
                <w:szCs w:val="16"/>
              </w:rPr>
            </w:pPr>
            <w:r w:rsidRPr="009055A9">
              <w:rPr>
                <w:rFonts w:asciiTheme="minorHAnsi" w:hAnsiTheme="minorHAnsi" w:cstheme="minorHAnsi"/>
                <w:color w:val="000000"/>
                <w:sz w:val="16"/>
                <w:szCs w:val="16"/>
              </w:rPr>
              <w:t>2,460</w:t>
            </w:r>
          </w:p>
        </w:tc>
        <w:tc>
          <w:tcPr>
            <w:tcW w:w="125" w:type="pct"/>
            <w:shd w:val="clear" w:color="auto" w:fill="auto"/>
            <w:noWrap/>
            <w:tcMar>
              <w:left w:w="0" w:type="dxa"/>
              <w:right w:w="43" w:type="dxa"/>
            </w:tcMar>
            <w:vAlign w:val="center"/>
            <w:hideMark/>
          </w:tcPr>
          <w:p w:rsidRPr="009055A9" w:rsidR="0023718B" w:rsidP="000E31AA" w:rsidRDefault="0023718B" w14:paraId="6A1801D9" w14:textId="5DED5C33">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2" w:type="pct"/>
            <w:shd w:val="clear" w:color="auto" w:fill="auto"/>
            <w:noWrap/>
            <w:tcMar>
              <w:left w:w="0" w:type="dxa"/>
              <w:right w:w="43" w:type="dxa"/>
            </w:tcMar>
            <w:vAlign w:val="center"/>
            <w:hideMark/>
          </w:tcPr>
          <w:p w:rsidRPr="009055A9" w:rsidR="0023718B" w:rsidP="000E31AA" w:rsidRDefault="0023718B" w14:paraId="360BE2B6" w14:textId="213E53A3">
            <w:pPr>
              <w:jc w:val="right"/>
              <w:rPr>
                <w:rFonts w:asciiTheme="minorHAnsi" w:hAnsiTheme="minorHAnsi" w:cstheme="minorHAnsi"/>
                <w:sz w:val="16"/>
                <w:szCs w:val="16"/>
              </w:rPr>
            </w:pPr>
            <w:r w:rsidRPr="009055A9">
              <w:rPr>
                <w:rFonts w:asciiTheme="minorHAnsi" w:hAnsiTheme="minorHAnsi" w:cstheme="minorHAnsi"/>
                <w:color w:val="000000"/>
                <w:sz w:val="16"/>
                <w:szCs w:val="16"/>
              </w:rPr>
              <w:t>1,128</w:t>
            </w:r>
          </w:p>
        </w:tc>
        <w:tc>
          <w:tcPr>
            <w:tcW w:w="123" w:type="pct"/>
            <w:shd w:val="clear" w:color="auto" w:fill="auto"/>
            <w:noWrap/>
            <w:tcMar>
              <w:left w:w="0" w:type="dxa"/>
              <w:right w:w="43" w:type="dxa"/>
            </w:tcMar>
            <w:vAlign w:val="center"/>
            <w:hideMark/>
          </w:tcPr>
          <w:p w:rsidRPr="009055A9" w:rsidR="0023718B" w:rsidP="000E31AA" w:rsidRDefault="0023718B" w14:paraId="010523C8" w14:textId="047D6445">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94" w:type="pct"/>
            <w:shd w:val="clear" w:color="auto" w:fill="auto"/>
            <w:noWrap/>
            <w:tcMar>
              <w:left w:w="0" w:type="dxa"/>
              <w:right w:w="43" w:type="dxa"/>
            </w:tcMar>
            <w:vAlign w:val="center"/>
            <w:hideMark/>
          </w:tcPr>
          <w:p w:rsidRPr="009055A9" w:rsidR="0023718B" w:rsidP="000E31AA" w:rsidRDefault="0023718B" w14:paraId="3D3A63F5" w14:textId="139FC808">
            <w:pPr>
              <w:jc w:val="right"/>
              <w:rPr>
                <w:rFonts w:asciiTheme="minorHAnsi" w:hAnsiTheme="minorHAnsi" w:cstheme="minorHAnsi"/>
                <w:sz w:val="16"/>
                <w:szCs w:val="16"/>
              </w:rPr>
            </w:pPr>
            <w:r w:rsidRPr="009055A9">
              <w:rPr>
                <w:rFonts w:asciiTheme="minorHAnsi" w:hAnsiTheme="minorHAnsi" w:cstheme="minorHAnsi"/>
                <w:color w:val="000000"/>
                <w:sz w:val="16"/>
                <w:szCs w:val="16"/>
              </w:rPr>
              <w:t>1,943</w:t>
            </w:r>
          </w:p>
        </w:tc>
        <w:tc>
          <w:tcPr>
            <w:tcW w:w="123" w:type="pct"/>
            <w:shd w:val="clear" w:color="auto" w:fill="auto"/>
            <w:noWrap/>
            <w:tcMar>
              <w:left w:w="0" w:type="dxa"/>
              <w:right w:w="43" w:type="dxa"/>
            </w:tcMar>
            <w:vAlign w:val="center"/>
            <w:hideMark/>
          </w:tcPr>
          <w:p w:rsidRPr="009055A9" w:rsidR="0023718B" w:rsidP="000E31AA" w:rsidRDefault="0023718B" w14:paraId="04197F9B" w14:textId="1992B2CE">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97" w:type="pct"/>
            <w:shd w:val="clear" w:color="auto" w:fill="auto"/>
            <w:noWrap/>
            <w:tcMar>
              <w:left w:w="0" w:type="dxa"/>
              <w:right w:w="43" w:type="dxa"/>
            </w:tcMar>
            <w:vAlign w:val="center"/>
            <w:hideMark/>
          </w:tcPr>
          <w:p w:rsidRPr="009055A9" w:rsidR="0023718B" w:rsidP="000E31AA" w:rsidRDefault="0023718B" w14:paraId="614114D4" w14:textId="252FECB2">
            <w:pPr>
              <w:jc w:val="right"/>
              <w:rPr>
                <w:rFonts w:asciiTheme="minorHAnsi" w:hAnsiTheme="minorHAnsi" w:cstheme="minorHAnsi"/>
                <w:sz w:val="16"/>
                <w:szCs w:val="16"/>
              </w:rPr>
            </w:pPr>
            <w:r w:rsidRPr="009055A9">
              <w:rPr>
                <w:rFonts w:asciiTheme="minorHAnsi" w:hAnsiTheme="minorHAnsi" w:cstheme="minorHAnsi"/>
                <w:color w:val="000000"/>
                <w:sz w:val="16"/>
                <w:szCs w:val="16"/>
              </w:rPr>
              <w:t>1,870</w:t>
            </w:r>
          </w:p>
        </w:tc>
        <w:tc>
          <w:tcPr>
            <w:tcW w:w="125" w:type="pct"/>
            <w:shd w:val="clear" w:color="auto" w:fill="auto"/>
            <w:noWrap/>
            <w:tcMar>
              <w:left w:w="0" w:type="dxa"/>
              <w:right w:w="43" w:type="dxa"/>
            </w:tcMar>
            <w:vAlign w:val="center"/>
            <w:hideMark/>
          </w:tcPr>
          <w:p w:rsidRPr="009055A9" w:rsidR="0023718B" w:rsidP="000E31AA" w:rsidRDefault="0023718B" w14:paraId="18C8F9B6" w14:textId="7CC67158">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70" w:type="pct"/>
            <w:shd w:val="clear" w:color="auto" w:fill="auto"/>
            <w:noWrap/>
            <w:tcMar>
              <w:left w:w="0" w:type="dxa"/>
              <w:right w:w="43" w:type="dxa"/>
            </w:tcMar>
            <w:vAlign w:val="center"/>
            <w:hideMark/>
          </w:tcPr>
          <w:p w:rsidRPr="009055A9" w:rsidR="0023718B" w:rsidP="000E31AA" w:rsidRDefault="0023718B" w14:paraId="712075C9" w14:textId="1EAD95D6">
            <w:pPr>
              <w:jc w:val="right"/>
              <w:rPr>
                <w:rFonts w:asciiTheme="minorHAnsi" w:hAnsiTheme="minorHAnsi" w:cstheme="minorHAnsi"/>
                <w:sz w:val="16"/>
                <w:szCs w:val="16"/>
              </w:rPr>
            </w:pPr>
            <w:r w:rsidRPr="009055A9">
              <w:rPr>
                <w:rFonts w:asciiTheme="minorHAnsi" w:hAnsiTheme="minorHAnsi" w:cstheme="minorHAnsi"/>
                <w:color w:val="000000"/>
                <w:sz w:val="16"/>
                <w:szCs w:val="16"/>
              </w:rPr>
              <w:t>1,481</w:t>
            </w:r>
          </w:p>
        </w:tc>
        <w:tc>
          <w:tcPr>
            <w:tcW w:w="148" w:type="pct"/>
            <w:shd w:val="clear" w:color="auto" w:fill="auto"/>
            <w:noWrap/>
            <w:tcMar>
              <w:left w:w="0" w:type="dxa"/>
              <w:right w:w="43" w:type="dxa"/>
            </w:tcMar>
            <w:vAlign w:val="center"/>
            <w:hideMark/>
          </w:tcPr>
          <w:p w:rsidRPr="009055A9" w:rsidR="0023718B" w:rsidP="000E31AA" w:rsidRDefault="0023718B" w14:paraId="0553827B" w14:textId="0C2EB27D">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2" w:type="pct"/>
            <w:tcMar>
              <w:left w:w="0" w:type="dxa"/>
              <w:right w:w="43" w:type="dxa"/>
            </w:tcMar>
            <w:vAlign w:val="center"/>
          </w:tcPr>
          <w:p w:rsidRPr="009055A9" w:rsidR="0023718B" w:rsidP="000E31AA" w:rsidRDefault="0023718B" w14:paraId="18583493" w14:textId="768212F7">
            <w:pPr>
              <w:jc w:val="right"/>
              <w:rPr>
                <w:rFonts w:asciiTheme="minorHAnsi" w:hAnsiTheme="minorHAnsi" w:cstheme="minorHAnsi"/>
                <w:sz w:val="16"/>
                <w:szCs w:val="16"/>
              </w:rPr>
            </w:pPr>
            <w:r w:rsidRPr="009055A9">
              <w:rPr>
                <w:rFonts w:asciiTheme="minorHAnsi" w:hAnsiTheme="minorHAnsi" w:cstheme="minorHAnsi"/>
                <w:color w:val="000000"/>
                <w:sz w:val="16"/>
                <w:szCs w:val="16"/>
              </w:rPr>
              <w:t>1,848</w:t>
            </w:r>
          </w:p>
        </w:tc>
        <w:tc>
          <w:tcPr>
            <w:tcW w:w="124" w:type="pct"/>
            <w:tcMar>
              <w:left w:w="0" w:type="dxa"/>
              <w:right w:w="43" w:type="dxa"/>
            </w:tcMar>
            <w:vAlign w:val="center"/>
          </w:tcPr>
          <w:p w:rsidRPr="009055A9" w:rsidR="0023718B" w:rsidP="000E31AA" w:rsidRDefault="0023718B" w14:paraId="377B2413" w14:textId="771E785A">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3" w:type="pct"/>
            <w:tcMar>
              <w:left w:w="0" w:type="dxa"/>
              <w:right w:w="43" w:type="dxa"/>
            </w:tcMar>
            <w:vAlign w:val="center"/>
          </w:tcPr>
          <w:p w:rsidRPr="009055A9" w:rsidR="0023718B" w:rsidP="000E31AA" w:rsidRDefault="0023718B" w14:paraId="2FF53385" w14:textId="66FC00D1">
            <w:pPr>
              <w:jc w:val="right"/>
              <w:rPr>
                <w:rFonts w:asciiTheme="minorHAnsi" w:hAnsiTheme="minorHAnsi" w:cstheme="minorHAnsi"/>
                <w:sz w:val="16"/>
                <w:szCs w:val="16"/>
              </w:rPr>
            </w:pPr>
            <w:r w:rsidRPr="009055A9">
              <w:rPr>
                <w:rFonts w:asciiTheme="minorHAnsi" w:hAnsiTheme="minorHAnsi" w:cstheme="minorHAnsi"/>
                <w:color w:val="000000"/>
                <w:sz w:val="16"/>
                <w:szCs w:val="16"/>
              </w:rPr>
              <w:t>2,139</w:t>
            </w:r>
          </w:p>
        </w:tc>
        <w:tc>
          <w:tcPr>
            <w:tcW w:w="146" w:type="pct"/>
            <w:tcMar>
              <w:left w:w="0" w:type="dxa"/>
              <w:right w:w="43" w:type="dxa"/>
            </w:tcMar>
            <w:vAlign w:val="center"/>
          </w:tcPr>
          <w:p w:rsidRPr="009055A9" w:rsidR="0023718B" w:rsidP="000E31AA" w:rsidRDefault="0023718B" w14:paraId="5C64C6BA" w14:textId="6CB82FF5">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5" w:type="pct"/>
            <w:tcMar>
              <w:left w:w="0" w:type="dxa"/>
              <w:right w:w="43" w:type="dxa"/>
            </w:tcMar>
            <w:vAlign w:val="center"/>
          </w:tcPr>
          <w:p w:rsidRPr="009055A9" w:rsidR="0023718B" w:rsidP="000E31AA" w:rsidRDefault="0023718B" w14:paraId="7B363CE0" w14:textId="7114C8A1">
            <w:pPr>
              <w:jc w:val="right"/>
              <w:rPr>
                <w:rFonts w:asciiTheme="minorHAnsi" w:hAnsiTheme="minorHAnsi" w:cstheme="minorHAnsi"/>
                <w:sz w:val="16"/>
                <w:szCs w:val="16"/>
              </w:rPr>
            </w:pPr>
            <w:r w:rsidRPr="009055A9">
              <w:rPr>
                <w:rFonts w:asciiTheme="minorHAnsi" w:hAnsiTheme="minorHAnsi" w:cstheme="minorHAnsi"/>
                <w:color w:val="000000"/>
                <w:sz w:val="16"/>
                <w:szCs w:val="16"/>
              </w:rPr>
              <w:t>984</w:t>
            </w:r>
          </w:p>
        </w:tc>
        <w:tc>
          <w:tcPr>
            <w:tcW w:w="149" w:type="pct"/>
            <w:tcMar>
              <w:left w:w="0" w:type="dxa"/>
              <w:right w:w="43" w:type="dxa"/>
            </w:tcMar>
            <w:vAlign w:val="center"/>
          </w:tcPr>
          <w:p w:rsidRPr="009055A9" w:rsidR="0023718B" w:rsidP="000E31AA" w:rsidRDefault="0023718B" w14:paraId="1293FE18" w14:textId="4561C7CB">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97" w:type="pct"/>
            <w:tcMar>
              <w:left w:w="0" w:type="dxa"/>
              <w:right w:w="43" w:type="dxa"/>
            </w:tcMar>
            <w:vAlign w:val="center"/>
          </w:tcPr>
          <w:p w:rsidRPr="009055A9" w:rsidR="0023718B" w:rsidP="000E31AA" w:rsidRDefault="0023718B" w14:paraId="02BCB586" w14:textId="533A8199">
            <w:pPr>
              <w:jc w:val="right"/>
              <w:rPr>
                <w:rFonts w:asciiTheme="minorHAnsi" w:hAnsiTheme="minorHAnsi" w:cstheme="minorHAnsi"/>
                <w:sz w:val="16"/>
                <w:szCs w:val="16"/>
              </w:rPr>
            </w:pPr>
            <w:r w:rsidRPr="009055A9">
              <w:rPr>
                <w:rFonts w:asciiTheme="minorHAnsi" w:hAnsiTheme="minorHAnsi" w:cstheme="minorHAnsi"/>
                <w:color w:val="000000"/>
                <w:sz w:val="16"/>
                <w:szCs w:val="16"/>
              </w:rPr>
              <w:t>1,346</w:t>
            </w:r>
          </w:p>
        </w:tc>
        <w:tc>
          <w:tcPr>
            <w:tcW w:w="148" w:type="pct"/>
            <w:tcMar>
              <w:left w:w="0" w:type="dxa"/>
              <w:right w:w="43" w:type="dxa"/>
            </w:tcMar>
            <w:vAlign w:val="center"/>
          </w:tcPr>
          <w:p w:rsidRPr="009055A9" w:rsidR="0023718B" w:rsidP="000E31AA" w:rsidRDefault="0023718B" w14:paraId="26FD7C59" w14:textId="068AB608">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96" w:type="pct"/>
            <w:tcMar>
              <w:left w:w="0" w:type="dxa"/>
              <w:right w:w="43" w:type="dxa"/>
            </w:tcMar>
            <w:vAlign w:val="center"/>
          </w:tcPr>
          <w:p w:rsidRPr="009055A9" w:rsidR="0023718B" w:rsidP="000E31AA" w:rsidRDefault="0023718B" w14:paraId="462B4B69" w14:textId="12761685">
            <w:pPr>
              <w:jc w:val="right"/>
              <w:rPr>
                <w:rFonts w:asciiTheme="minorHAnsi" w:hAnsiTheme="minorHAnsi" w:cstheme="minorHAnsi"/>
                <w:sz w:val="16"/>
                <w:szCs w:val="16"/>
              </w:rPr>
            </w:pPr>
            <w:r w:rsidRPr="009055A9">
              <w:rPr>
                <w:rFonts w:asciiTheme="minorHAnsi" w:hAnsiTheme="minorHAnsi" w:cstheme="minorHAnsi"/>
                <w:color w:val="000000"/>
                <w:sz w:val="16"/>
                <w:szCs w:val="16"/>
              </w:rPr>
              <w:t>1,463</w:t>
            </w:r>
          </w:p>
        </w:tc>
        <w:tc>
          <w:tcPr>
            <w:tcW w:w="143" w:type="pct"/>
            <w:tcMar>
              <w:left w:w="0" w:type="dxa"/>
              <w:right w:w="43" w:type="dxa"/>
            </w:tcMar>
            <w:vAlign w:val="center"/>
          </w:tcPr>
          <w:p w:rsidRPr="009055A9" w:rsidR="0023718B" w:rsidP="000E31AA" w:rsidRDefault="0023718B" w14:paraId="6064725B" w14:textId="574A95FA">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8" w:type="pct"/>
            <w:shd w:val="clear" w:color="000000" w:fill="FFFFFF"/>
            <w:noWrap/>
            <w:tcMar>
              <w:left w:w="0" w:type="dxa"/>
              <w:right w:w="43" w:type="dxa"/>
            </w:tcMar>
            <w:vAlign w:val="center"/>
          </w:tcPr>
          <w:p w:rsidRPr="003148DB" w:rsidR="0023718B" w:rsidP="000E31AA" w:rsidRDefault="0023718B" w14:paraId="6FC14FDE" w14:textId="6E529871">
            <w:pPr>
              <w:jc w:val="right"/>
              <w:rPr>
                <w:rFonts w:asciiTheme="minorHAnsi" w:hAnsiTheme="minorHAnsi" w:cstheme="minorHAnsi"/>
                <w:sz w:val="16"/>
                <w:szCs w:val="16"/>
              </w:rPr>
            </w:pPr>
            <w:r w:rsidRPr="003148DB">
              <w:rPr>
                <w:rFonts w:asciiTheme="minorHAnsi" w:hAnsiTheme="minorHAnsi" w:cstheme="minorHAnsi"/>
                <w:color w:val="000000"/>
                <w:sz w:val="16"/>
                <w:szCs w:val="16"/>
              </w:rPr>
              <w:t>1,616</w:t>
            </w:r>
          </w:p>
        </w:tc>
        <w:tc>
          <w:tcPr>
            <w:tcW w:w="151" w:type="pct"/>
            <w:shd w:val="clear" w:color="000000" w:fill="FFFFFF"/>
            <w:noWrap/>
            <w:tcMar>
              <w:left w:w="0" w:type="dxa"/>
              <w:right w:w="43" w:type="dxa"/>
            </w:tcMar>
            <w:vAlign w:val="center"/>
          </w:tcPr>
          <w:p w:rsidRPr="003148DB" w:rsidR="0023718B" w:rsidP="000E31AA" w:rsidRDefault="0023718B" w14:paraId="6621F7C6" w14:textId="71AF07C8">
            <w:pPr>
              <w:jc w:val="right"/>
              <w:rPr>
                <w:rFonts w:asciiTheme="minorHAnsi" w:hAnsiTheme="minorHAnsi" w:cstheme="minorHAnsi"/>
                <w:sz w:val="16"/>
                <w:szCs w:val="16"/>
              </w:rPr>
            </w:pPr>
            <w:r w:rsidRPr="003148DB">
              <w:rPr>
                <w:rFonts w:asciiTheme="minorHAnsi" w:hAnsiTheme="minorHAnsi" w:cstheme="minorHAnsi"/>
                <w:color w:val="000000"/>
                <w:sz w:val="16"/>
                <w:szCs w:val="16"/>
              </w:rPr>
              <w:t>6.8</w:t>
            </w:r>
          </w:p>
        </w:tc>
      </w:tr>
      <w:tr w:rsidRPr="003148DB" w:rsidR="0023718B" w:rsidTr="000D41FC" w14:paraId="460138DA"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59E16EE3"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3867E670" w14:textId="3D2D8B55">
            <w:pPr>
              <w:rPr>
                <w:rFonts w:asciiTheme="minorHAnsi" w:hAnsiTheme="minorHAnsi" w:cstheme="minorHAnsi"/>
                <w:sz w:val="16"/>
                <w:szCs w:val="16"/>
              </w:rPr>
            </w:pPr>
            <w:r w:rsidRPr="009055A9">
              <w:rPr>
                <w:rFonts w:asciiTheme="minorHAnsi" w:hAnsiTheme="minorHAnsi" w:cstheme="minorHAnsi"/>
                <w:sz w:val="16"/>
                <w:szCs w:val="16"/>
              </w:rPr>
              <w:t>Dominion Generation</w:t>
            </w:r>
          </w:p>
        </w:tc>
        <w:tc>
          <w:tcPr>
            <w:tcW w:w="321" w:type="pct"/>
            <w:shd w:val="clear" w:color="auto" w:fill="auto"/>
            <w:noWrap/>
            <w:tcMar>
              <w:left w:w="58" w:type="dxa"/>
              <w:right w:w="29" w:type="dxa"/>
            </w:tcMar>
            <w:vAlign w:val="center"/>
            <w:hideMark/>
          </w:tcPr>
          <w:p w:rsidRPr="009055A9" w:rsidR="0023718B" w:rsidP="000E31AA" w:rsidRDefault="0023718B" w14:paraId="050026B7" w14:textId="54E58163">
            <w:pPr>
              <w:rPr>
                <w:rFonts w:asciiTheme="minorHAnsi" w:hAnsiTheme="minorHAnsi" w:cstheme="minorHAnsi"/>
                <w:sz w:val="16"/>
                <w:szCs w:val="16"/>
              </w:rPr>
            </w:pPr>
            <w:r w:rsidRPr="009055A9">
              <w:rPr>
                <w:rFonts w:asciiTheme="minorHAnsi" w:hAnsiTheme="minorHAnsi" w:cstheme="minorHAnsi"/>
                <w:sz w:val="16"/>
                <w:szCs w:val="16"/>
              </w:rPr>
              <w:t>V.C. Summer 1</w:t>
            </w:r>
          </w:p>
        </w:tc>
        <w:tc>
          <w:tcPr>
            <w:tcW w:w="123" w:type="pct"/>
            <w:shd w:val="clear" w:color="auto" w:fill="auto"/>
            <w:noWrap/>
            <w:tcMar>
              <w:left w:w="58" w:type="dxa"/>
              <w:right w:w="58" w:type="dxa"/>
            </w:tcMar>
            <w:vAlign w:val="center"/>
            <w:hideMark/>
          </w:tcPr>
          <w:p w:rsidRPr="009055A9" w:rsidR="0023718B" w:rsidP="000E31AA" w:rsidRDefault="0023718B" w14:paraId="71D9EDA7" w14:textId="09DC5102">
            <w:pPr>
              <w:jc w:val="center"/>
              <w:rPr>
                <w:rFonts w:asciiTheme="minorHAnsi" w:hAnsiTheme="minorHAnsi" w:cstheme="minorHAnsi"/>
                <w:sz w:val="16"/>
                <w:szCs w:val="16"/>
              </w:rPr>
            </w:pPr>
            <w:r w:rsidRPr="009055A9">
              <w:rPr>
                <w:rFonts w:asciiTheme="minorHAnsi" w:hAnsiTheme="minorHAnsi" w:cstheme="minorHAnsi"/>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507F2231" w14:textId="2F3A90B9">
            <w:pPr>
              <w:jc w:val="right"/>
              <w:rPr>
                <w:rFonts w:asciiTheme="minorHAnsi" w:hAnsiTheme="minorHAnsi" w:cstheme="minorHAnsi"/>
                <w:sz w:val="16"/>
                <w:szCs w:val="16"/>
              </w:rPr>
            </w:pPr>
            <w:r w:rsidRPr="009055A9">
              <w:rPr>
                <w:rFonts w:asciiTheme="minorHAnsi" w:hAnsiTheme="minorHAnsi" w:cstheme="minorHAnsi"/>
                <w:sz w:val="16"/>
                <w:szCs w:val="16"/>
              </w:rPr>
              <w:t>1,667</w:t>
            </w:r>
          </w:p>
        </w:tc>
        <w:tc>
          <w:tcPr>
            <w:tcW w:w="123" w:type="pct"/>
            <w:shd w:val="clear" w:color="auto" w:fill="auto"/>
            <w:noWrap/>
            <w:tcMar>
              <w:left w:w="0" w:type="dxa"/>
              <w:right w:w="43" w:type="dxa"/>
            </w:tcMar>
            <w:vAlign w:val="center"/>
            <w:hideMark/>
          </w:tcPr>
          <w:p w:rsidRPr="009055A9" w:rsidR="0023718B" w:rsidP="000E31AA" w:rsidRDefault="0023718B" w14:paraId="384F9BD3" w14:textId="3D4E3309">
            <w:pPr>
              <w:jc w:val="right"/>
              <w:rPr>
                <w:rFonts w:asciiTheme="minorHAnsi" w:hAnsiTheme="minorHAnsi" w:cstheme="minorHAnsi"/>
                <w:sz w:val="16"/>
                <w:szCs w:val="16"/>
              </w:rPr>
            </w:pPr>
            <w:r w:rsidRPr="009055A9">
              <w:rPr>
                <w:rFonts w:asciiTheme="minorHAnsi" w:hAnsiTheme="minorHAnsi" w:cstheme="minorHAnsi"/>
                <w:sz w:val="16"/>
                <w:szCs w:val="16"/>
              </w:rPr>
              <w:t>13</w:t>
            </w:r>
          </w:p>
        </w:tc>
        <w:tc>
          <w:tcPr>
            <w:tcW w:w="170" w:type="pct"/>
            <w:shd w:val="clear" w:color="auto" w:fill="auto"/>
            <w:noWrap/>
            <w:tcMar>
              <w:left w:w="0" w:type="dxa"/>
              <w:right w:w="43" w:type="dxa"/>
            </w:tcMar>
            <w:vAlign w:val="center"/>
            <w:hideMark/>
          </w:tcPr>
          <w:p w:rsidRPr="009055A9" w:rsidR="0023718B" w:rsidP="000E31AA" w:rsidRDefault="0023718B" w14:paraId="6119C850" w14:textId="755A1B88">
            <w:pPr>
              <w:jc w:val="right"/>
              <w:rPr>
                <w:rFonts w:asciiTheme="minorHAnsi" w:hAnsiTheme="minorHAnsi" w:cstheme="minorHAnsi"/>
                <w:sz w:val="16"/>
                <w:szCs w:val="16"/>
              </w:rPr>
            </w:pPr>
            <w:r w:rsidRPr="009055A9">
              <w:rPr>
                <w:rFonts w:asciiTheme="minorHAnsi" w:hAnsiTheme="minorHAnsi" w:cstheme="minorHAnsi"/>
                <w:sz w:val="16"/>
                <w:szCs w:val="16"/>
              </w:rPr>
              <w:t>1,112</w:t>
            </w:r>
          </w:p>
        </w:tc>
        <w:tc>
          <w:tcPr>
            <w:tcW w:w="125" w:type="pct"/>
            <w:shd w:val="clear" w:color="auto" w:fill="auto"/>
            <w:noWrap/>
            <w:tcMar>
              <w:left w:w="0" w:type="dxa"/>
              <w:right w:w="43" w:type="dxa"/>
            </w:tcMar>
            <w:vAlign w:val="center"/>
            <w:hideMark/>
          </w:tcPr>
          <w:p w:rsidRPr="009055A9" w:rsidR="0023718B" w:rsidP="000E31AA" w:rsidRDefault="0023718B" w14:paraId="35269D06" w14:textId="37BAB50B">
            <w:pPr>
              <w:jc w:val="right"/>
              <w:rPr>
                <w:rFonts w:asciiTheme="minorHAnsi" w:hAnsiTheme="minorHAnsi" w:cstheme="minorHAnsi"/>
                <w:sz w:val="16"/>
                <w:szCs w:val="16"/>
              </w:rPr>
            </w:pPr>
            <w:r w:rsidRPr="009055A9">
              <w:rPr>
                <w:rFonts w:asciiTheme="minorHAnsi" w:hAnsiTheme="minorHAnsi" w:cstheme="minorHAnsi"/>
                <w:sz w:val="16"/>
                <w:szCs w:val="16"/>
              </w:rPr>
              <w:t>4</w:t>
            </w:r>
          </w:p>
        </w:tc>
        <w:tc>
          <w:tcPr>
            <w:tcW w:w="172" w:type="pct"/>
            <w:shd w:val="clear" w:color="auto" w:fill="auto"/>
            <w:noWrap/>
            <w:tcMar>
              <w:left w:w="0" w:type="dxa"/>
              <w:right w:w="43" w:type="dxa"/>
            </w:tcMar>
            <w:vAlign w:val="center"/>
            <w:hideMark/>
          </w:tcPr>
          <w:p w:rsidRPr="009055A9" w:rsidR="0023718B" w:rsidP="000E31AA" w:rsidRDefault="0023718B" w14:paraId="2562C19A" w14:textId="38705B57">
            <w:pPr>
              <w:jc w:val="right"/>
              <w:rPr>
                <w:rFonts w:asciiTheme="minorHAnsi" w:hAnsiTheme="minorHAnsi" w:cstheme="minorHAnsi"/>
                <w:sz w:val="16"/>
                <w:szCs w:val="16"/>
              </w:rPr>
            </w:pPr>
            <w:r w:rsidRPr="009055A9">
              <w:rPr>
                <w:rFonts w:asciiTheme="minorHAnsi" w:hAnsiTheme="minorHAnsi" w:cstheme="minorHAnsi"/>
                <w:sz w:val="16"/>
                <w:szCs w:val="16"/>
              </w:rPr>
              <w:t>1,792</w:t>
            </w:r>
          </w:p>
        </w:tc>
        <w:tc>
          <w:tcPr>
            <w:tcW w:w="123" w:type="pct"/>
            <w:shd w:val="clear" w:color="auto" w:fill="auto"/>
            <w:noWrap/>
            <w:tcMar>
              <w:left w:w="0" w:type="dxa"/>
              <w:right w:w="43" w:type="dxa"/>
            </w:tcMar>
            <w:vAlign w:val="center"/>
            <w:hideMark/>
          </w:tcPr>
          <w:p w:rsidRPr="009055A9" w:rsidR="0023718B" w:rsidP="000E31AA" w:rsidRDefault="0023718B" w14:paraId="58AA034A" w14:textId="72D1BA44">
            <w:pPr>
              <w:jc w:val="right"/>
              <w:rPr>
                <w:rFonts w:asciiTheme="minorHAnsi" w:hAnsiTheme="minorHAnsi" w:cstheme="minorHAnsi"/>
                <w:sz w:val="16"/>
                <w:szCs w:val="16"/>
              </w:rPr>
            </w:pPr>
            <w:r w:rsidRPr="009055A9">
              <w:rPr>
                <w:rFonts w:asciiTheme="minorHAnsi" w:hAnsiTheme="minorHAnsi" w:cstheme="minorHAnsi"/>
                <w:sz w:val="16"/>
                <w:szCs w:val="16"/>
              </w:rPr>
              <w:t>11</w:t>
            </w:r>
          </w:p>
        </w:tc>
        <w:tc>
          <w:tcPr>
            <w:tcW w:w="194" w:type="pct"/>
            <w:shd w:val="clear" w:color="auto" w:fill="auto"/>
            <w:noWrap/>
            <w:tcMar>
              <w:left w:w="0" w:type="dxa"/>
              <w:right w:w="43" w:type="dxa"/>
            </w:tcMar>
            <w:vAlign w:val="center"/>
            <w:hideMark/>
          </w:tcPr>
          <w:p w:rsidRPr="009055A9" w:rsidR="0023718B" w:rsidP="000E31AA" w:rsidRDefault="0023718B" w14:paraId="0D4D1FA1" w14:textId="2482C995">
            <w:pPr>
              <w:jc w:val="right"/>
              <w:rPr>
                <w:rFonts w:asciiTheme="minorHAnsi" w:hAnsiTheme="minorHAnsi" w:cstheme="minorHAnsi"/>
                <w:sz w:val="16"/>
                <w:szCs w:val="16"/>
              </w:rPr>
            </w:pPr>
            <w:r w:rsidRPr="009055A9">
              <w:rPr>
                <w:rFonts w:asciiTheme="minorHAnsi" w:hAnsiTheme="minorHAnsi" w:cstheme="minorHAnsi"/>
                <w:sz w:val="16"/>
                <w:szCs w:val="16"/>
              </w:rPr>
              <w:t>2,016</w:t>
            </w:r>
          </w:p>
        </w:tc>
        <w:tc>
          <w:tcPr>
            <w:tcW w:w="123" w:type="pct"/>
            <w:shd w:val="clear" w:color="auto" w:fill="auto"/>
            <w:noWrap/>
            <w:tcMar>
              <w:left w:w="0" w:type="dxa"/>
              <w:right w:w="43" w:type="dxa"/>
            </w:tcMar>
            <w:vAlign w:val="center"/>
            <w:hideMark/>
          </w:tcPr>
          <w:p w:rsidRPr="009055A9" w:rsidR="0023718B" w:rsidP="000E31AA" w:rsidRDefault="0023718B" w14:paraId="62C30C9F" w14:textId="5CF345D6">
            <w:pPr>
              <w:jc w:val="right"/>
              <w:rPr>
                <w:rFonts w:asciiTheme="minorHAnsi" w:hAnsiTheme="minorHAnsi" w:cstheme="minorHAnsi"/>
                <w:sz w:val="16"/>
                <w:szCs w:val="16"/>
              </w:rPr>
            </w:pPr>
            <w:r w:rsidRPr="009055A9">
              <w:rPr>
                <w:rFonts w:asciiTheme="minorHAnsi" w:hAnsiTheme="minorHAnsi" w:cstheme="minorHAnsi"/>
                <w:sz w:val="16"/>
                <w:szCs w:val="16"/>
              </w:rPr>
              <w:t>11</w:t>
            </w:r>
          </w:p>
        </w:tc>
        <w:tc>
          <w:tcPr>
            <w:tcW w:w="197" w:type="pct"/>
            <w:shd w:val="clear" w:color="auto" w:fill="auto"/>
            <w:noWrap/>
            <w:tcMar>
              <w:left w:w="0" w:type="dxa"/>
              <w:right w:w="43" w:type="dxa"/>
            </w:tcMar>
            <w:vAlign w:val="center"/>
            <w:hideMark/>
          </w:tcPr>
          <w:p w:rsidRPr="009055A9" w:rsidR="0023718B" w:rsidP="000E31AA" w:rsidRDefault="0023718B" w14:paraId="6FC8253F" w14:textId="38E64829">
            <w:pPr>
              <w:jc w:val="right"/>
              <w:rPr>
                <w:rFonts w:asciiTheme="minorHAnsi" w:hAnsiTheme="minorHAnsi" w:cstheme="minorHAnsi"/>
                <w:sz w:val="16"/>
                <w:szCs w:val="16"/>
              </w:rPr>
            </w:pPr>
            <w:r w:rsidRPr="009055A9">
              <w:rPr>
                <w:rFonts w:asciiTheme="minorHAnsi" w:hAnsiTheme="minorHAnsi" w:cstheme="minorHAnsi"/>
                <w:sz w:val="16"/>
                <w:szCs w:val="16"/>
              </w:rPr>
              <w:t>1,867</w:t>
            </w:r>
          </w:p>
        </w:tc>
        <w:tc>
          <w:tcPr>
            <w:tcW w:w="125" w:type="pct"/>
            <w:shd w:val="clear" w:color="auto" w:fill="auto"/>
            <w:noWrap/>
            <w:tcMar>
              <w:left w:w="0" w:type="dxa"/>
              <w:right w:w="43" w:type="dxa"/>
            </w:tcMar>
            <w:vAlign w:val="center"/>
            <w:hideMark/>
          </w:tcPr>
          <w:p w:rsidRPr="009055A9" w:rsidR="0023718B" w:rsidP="000E31AA" w:rsidRDefault="0023718B" w14:paraId="6C49DAE5" w14:textId="274473CE">
            <w:pPr>
              <w:jc w:val="right"/>
              <w:rPr>
                <w:rFonts w:asciiTheme="minorHAnsi" w:hAnsiTheme="minorHAnsi" w:cstheme="minorHAnsi"/>
                <w:sz w:val="16"/>
                <w:szCs w:val="16"/>
              </w:rPr>
            </w:pPr>
            <w:r w:rsidRPr="009055A9">
              <w:rPr>
                <w:rFonts w:asciiTheme="minorHAnsi" w:hAnsiTheme="minorHAnsi" w:cstheme="minorHAnsi"/>
                <w:sz w:val="16"/>
                <w:szCs w:val="16"/>
              </w:rPr>
              <w:t>16</w:t>
            </w:r>
          </w:p>
        </w:tc>
        <w:tc>
          <w:tcPr>
            <w:tcW w:w="170" w:type="pct"/>
            <w:shd w:val="clear" w:color="auto" w:fill="auto"/>
            <w:noWrap/>
            <w:tcMar>
              <w:left w:w="0" w:type="dxa"/>
              <w:right w:w="43" w:type="dxa"/>
            </w:tcMar>
            <w:vAlign w:val="center"/>
            <w:hideMark/>
          </w:tcPr>
          <w:p w:rsidRPr="009055A9" w:rsidR="0023718B" w:rsidP="000E31AA" w:rsidRDefault="0023718B" w14:paraId="685F6A84" w14:textId="1CB11E90">
            <w:pPr>
              <w:jc w:val="right"/>
              <w:rPr>
                <w:rFonts w:asciiTheme="minorHAnsi" w:hAnsiTheme="minorHAnsi" w:cstheme="minorHAnsi"/>
                <w:sz w:val="16"/>
                <w:szCs w:val="16"/>
              </w:rPr>
            </w:pPr>
            <w:r w:rsidRPr="009055A9">
              <w:rPr>
                <w:rFonts w:asciiTheme="minorHAnsi" w:hAnsiTheme="minorHAnsi" w:cstheme="minorHAnsi"/>
                <w:sz w:val="16"/>
                <w:szCs w:val="16"/>
              </w:rPr>
              <w:t>2,781</w:t>
            </w:r>
          </w:p>
        </w:tc>
        <w:tc>
          <w:tcPr>
            <w:tcW w:w="148" w:type="pct"/>
            <w:shd w:val="clear" w:color="auto" w:fill="auto"/>
            <w:noWrap/>
            <w:tcMar>
              <w:left w:w="0" w:type="dxa"/>
              <w:right w:w="43" w:type="dxa"/>
            </w:tcMar>
            <w:vAlign w:val="center"/>
            <w:hideMark/>
          </w:tcPr>
          <w:p w:rsidRPr="009055A9" w:rsidR="0023718B" w:rsidP="000E31AA" w:rsidRDefault="0023718B" w14:paraId="2F863660" w14:textId="3D590246">
            <w:pPr>
              <w:jc w:val="right"/>
              <w:rPr>
                <w:rFonts w:asciiTheme="minorHAnsi" w:hAnsiTheme="minorHAnsi" w:cstheme="minorHAnsi"/>
                <w:sz w:val="16"/>
                <w:szCs w:val="16"/>
              </w:rPr>
            </w:pPr>
            <w:r w:rsidRPr="009055A9">
              <w:rPr>
                <w:rFonts w:asciiTheme="minorHAnsi" w:hAnsiTheme="minorHAnsi" w:cstheme="minorHAnsi"/>
                <w:sz w:val="16"/>
                <w:szCs w:val="16"/>
              </w:rPr>
              <w:t>28</w:t>
            </w:r>
          </w:p>
        </w:tc>
        <w:tc>
          <w:tcPr>
            <w:tcW w:w="172" w:type="pct"/>
            <w:tcMar>
              <w:left w:w="0" w:type="dxa"/>
              <w:right w:w="43" w:type="dxa"/>
            </w:tcMar>
            <w:vAlign w:val="center"/>
          </w:tcPr>
          <w:p w:rsidRPr="009055A9" w:rsidR="0023718B" w:rsidP="000E31AA" w:rsidRDefault="0023718B" w14:paraId="2756C836" w14:textId="1AB90FC6">
            <w:pPr>
              <w:jc w:val="right"/>
              <w:rPr>
                <w:rFonts w:asciiTheme="minorHAnsi" w:hAnsiTheme="minorHAnsi" w:cstheme="minorHAnsi"/>
                <w:sz w:val="16"/>
                <w:szCs w:val="16"/>
              </w:rPr>
            </w:pPr>
            <w:r w:rsidRPr="009055A9">
              <w:rPr>
                <w:rFonts w:asciiTheme="minorHAnsi" w:hAnsiTheme="minorHAnsi" w:cstheme="minorHAnsi"/>
                <w:sz w:val="16"/>
                <w:szCs w:val="16"/>
              </w:rPr>
              <w:t>3,058</w:t>
            </w:r>
          </w:p>
        </w:tc>
        <w:tc>
          <w:tcPr>
            <w:tcW w:w="124" w:type="pct"/>
            <w:tcMar>
              <w:left w:w="0" w:type="dxa"/>
              <w:right w:w="43" w:type="dxa"/>
            </w:tcMar>
            <w:vAlign w:val="center"/>
          </w:tcPr>
          <w:p w:rsidRPr="009055A9" w:rsidR="0023718B" w:rsidP="000E31AA" w:rsidRDefault="0023718B" w14:paraId="16A69CA2" w14:textId="489ED853">
            <w:pPr>
              <w:jc w:val="right"/>
              <w:rPr>
                <w:rFonts w:asciiTheme="minorHAnsi" w:hAnsiTheme="minorHAnsi" w:cstheme="minorHAnsi"/>
                <w:sz w:val="16"/>
                <w:szCs w:val="16"/>
              </w:rPr>
            </w:pPr>
            <w:r w:rsidRPr="009055A9">
              <w:rPr>
                <w:rFonts w:asciiTheme="minorHAnsi" w:hAnsiTheme="minorHAnsi" w:cstheme="minorHAnsi"/>
                <w:sz w:val="16"/>
                <w:szCs w:val="16"/>
              </w:rPr>
              <w:t>20</w:t>
            </w:r>
          </w:p>
        </w:tc>
        <w:tc>
          <w:tcPr>
            <w:tcW w:w="173" w:type="pct"/>
            <w:tcMar>
              <w:left w:w="0" w:type="dxa"/>
              <w:right w:w="43" w:type="dxa"/>
            </w:tcMar>
            <w:vAlign w:val="center"/>
          </w:tcPr>
          <w:p w:rsidRPr="009055A9" w:rsidR="0023718B" w:rsidP="000E31AA" w:rsidRDefault="0023718B" w14:paraId="4E5773F4" w14:textId="10DDC73D">
            <w:pPr>
              <w:jc w:val="right"/>
              <w:rPr>
                <w:rFonts w:asciiTheme="minorHAnsi" w:hAnsiTheme="minorHAnsi" w:cstheme="minorHAnsi"/>
                <w:sz w:val="16"/>
                <w:szCs w:val="16"/>
              </w:rPr>
            </w:pPr>
            <w:r w:rsidRPr="009055A9">
              <w:rPr>
                <w:rFonts w:asciiTheme="minorHAnsi" w:hAnsiTheme="minorHAnsi" w:cstheme="minorHAnsi"/>
                <w:sz w:val="16"/>
                <w:szCs w:val="16"/>
              </w:rPr>
              <w:t>2,095</w:t>
            </w:r>
          </w:p>
        </w:tc>
        <w:tc>
          <w:tcPr>
            <w:tcW w:w="146" w:type="pct"/>
            <w:tcMar>
              <w:left w:w="0" w:type="dxa"/>
              <w:right w:w="43" w:type="dxa"/>
            </w:tcMar>
            <w:vAlign w:val="center"/>
          </w:tcPr>
          <w:p w:rsidRPr="009055A9" w:rsidR="0023718B" w:rsidP="000E31AA" w:rsidRDefault="0023718B" w14:paraId="3EA429E3" w14:textId="273135E5">
            <w:pPr>
              <w:jc w:val="right"/>
              <w:rPr>
                <w:rFonts w:asciiTheme="minorHAnsi" w:hAnsiTheme="minorHAnsi" w:cstheme="minorHAnsi"/>
                <w:sz w:val="16"/>
                <w:szCs w:val="16"/>
              </w:rPr>
            </w:pPr>
            <w:r w:rsidRPr="009055A9">
              <w:rPr>
                <w:rFonts w:asciiTheme="minorHAnsi" w:hAnsiTheme="minorHAnsi" w:cstheme="minorHAnsi"/>
                <w:sz w:val="16"/>
                <w:szCs w:val="16"/>
              </w:rPr>
              <w:t>11</w:t>
            </w:r>
          </w:p>
        </w:tc>
        <w:tc>
          <w:tcPr>
            <w:tcW w:w="175" w:type="pct"/>
            <w:tcMar>
              <w:left w:w="0" w:type="dxa"/>
              <w:right w:w="43" w:type="dxa"/>
            </w:tcMar>
            <w:vAlign w:val="center"/>
          </w:tcPr>
          <w:p w:rsidRPr="009055A9" w:rsidR="0023718B" w:rsidP="000E31AA" w:rsidRDefault="0023718B" w14:paraId="41200CCB" w14:textId="25ED57A7">
            <w:pPr>
              <w:jc w:val="right"/>
              <w:rPr>
                <w:rFonts w:asciiTheme="minorHAnsi" w:hAnsiTheme="minorHAnsi" w:cstheme="minorHAnsi"/>
                <w:sz w:val="16"/>
                <w:szCs w:val="16"/>
              </w:rPr>
            </w:pPr>
            <w:r w:rsidRPr="009055A9">
              <w:rPr>
                <w:rFonts w:asciiTheme="minorHAnsi" w:hAnsiTheme="minorHAnsi" w:cstheme="minorHAnsi"/>
                <w:sz w:val="16"/>
                <w:szCs w:val="16"/>
              </w:rPr>
              <w:t>2,434</w:t>
            </w:r>
          </w:p>
        </w:tc>
        <w:tc>
          <w:tcPr>
            <w:tcW w:w="149" w:type="pct"/>
            <w:tcMar>
              <w:left w:w="0" w:type="dxa"/>
              <w:right w:w="43" w:type="dxa"/>
            </w:tcMar>
            <w:vAlign w:val="center"/>
          </w:tcPr>
          <w:p w:rsidRPr="009055A9" w:rsidR="0023718B" w:rsidP="000E31AA" w:rsidRDefault="0023718B" w14:paraId="32A9456F" w14:textId="1D4863C2">
            <w:pPr>
              <w:jc w:val="right"/>
              <w:rPr>
                <w:rFonts w:asciiTheme="minorHAnsi" w:hAnsiTheme="minorHAnsi" w:cstheme="minorHAnsi"/>
                <w:sz w:val="16"/>
                <w:szCs w:val="16"/>
              </w:rPr>
            </w:pPr>
            <w:r w:rsidRPr="009055A9">
              <w:rPr>
                <w:rFonts w:asciiTheme="minorHAnsi" w:hAnsiTheme="minorHAnsi" w:cstheme="minorHAnsi"/>
                <w:sz w:val="16"/>
                <w:szCs w:val="16"/>
              </w:rPr>
              <w:t>19</w:t>
            </w:r>
          </w:p>
        </w:tc>
        <w:tc>
          <w:tcPr>
            <w:tcW w:w="197" w:type="pct"/>
            <w:tcMar>
              <w:left w:w="0" w:type="dxa"/>
              <w:right w:w="43" w:type="dxa"/>
            </w:tcMar>
            <w:vAlign w:val="center"/>
          </w:tcPr>
          <w:p w:rsidRPr="009055A9" w:rsidR="0023718B" w:rsidP="000E31AA" w:rsidRDefault="0023718B" w14:paraId="01FA0885" w14:textId="7D27C4E4">
            <w:pPr>
              <w:jc w:val="right"/>
              <w:rPr>
                <w:rFonts w:asciiTheme="minorHAnsi" w:hAnsiTheme="minorHAnsi" w:cstheme="minorHAnsi"/>
                <w:sz w:val="16"/>
                <w:szCs w:val="16"/>
              </w:rPr>
            </w:pPr>
            <w:r w:rsidRPr="009055A9">
              <w:rPr>
                <w:rFonts w:asciiTheme="minorHAnsi" w:hAnsiTheme="minorHAnsi" w:cstheme="minorHAnsi"/>
                <w:sz w:val="16"/>
                <w:szCs w:val="16"/>
              </w:rPr>
              <w:t>1,872</w:t>
            </w:r>
          </w:p>
        </w:tc>
        <w:tc>
          <w:tcPr>
            <w:tcW w:w="148" w:type="pct"/>
            <w:tcMar>
              <w:left w:w="0" w:type="dxa"/>
              <w:right w:w="43" w:type="dxa"/>
            </w:tcMar>
            <w:vAlign w:val="center"/>
          </w:tcPr>
          <w:p w:rsidRPr="009055A9" w:rsidR="0023718B" w:rsidP="000E31AA" w:rsidRDefault="0023718B" w14:paraId="42A47699" w14:textId="79B9609A">
            <w:pPr>
              <w:jc w:val="right"/>
              <w:rPr>
                <w:rFonts w:asciiTheme="minorHAnsi" w:hAnsiTheme="minorHAnsi" w:cstheme="minorHAnsi"/>
                <w:sz w:val="16"/>
                <w:szCs w:val="16"/>
              </w:rPr>
            </w:pPr>
            <w:r w:rsidRPr="009055A9">
              <w:rPr>
                <w:rFonts w:asciiTheme="minorHAnsi" w:hAnsiTheme="minorHAnsi" w:cstheme="minorHAnsi"/>
                <w:sz w:val="16"/>
                <w:szCs w:val="16"/>
              </w:rPr>
              <w:t>10</w:t>
            </w:r>
          </w:p>
        </w:tc>
        <w:tc>
          <w:tcPr>
            <w:tcW w:w="196" w:type="pct"/>
            <w:tcMar>
              <w:left w:w="0" w:type="dxa"/>
              <w:right w:w="43" w:type="dxa"/>
            </w:tcMar>
            <w:vAlign w:val="center"/>
          </w:tcPr>
          <w:p w:rsidRPr="009055A9" w:rsidR="0023718B" w:rsidP="000E31AA" w:rsidRDefault="0023718B" w14:paraId="193EE345" w14:textId="57BBE4DC">
            <w:pPr>
              <w:jc w:val="right"/>
              <w:rPr>
                <w:rFonts w:asciiTheme="minorHAnsi" w:hAnsiTheme="minorHAnsi" w:cstheme="minorHAnsi"/>
                <w:sz w:val="16"/>
                <w:szCs w:val="16"/>
              </w:rPr>
            </w:pPr>
            <w:r w:rsidRPr="009055A9">
              <w:rPr>
                <w:rFonts w:asciiTheme="minorHAnsi" w:hAnsiTheme="minorHAnsi" w:cstheme="minorHAnsi"/>
                <w:sz w:val="16"/>
                <w:szCs w:val="16"/>
              </w:rPr>
              <w:t>980</w:t>
            </w:r>
          </w:p>
        </w:tc>
        <w:tc>
          <w:tcPr>
            <w:tcW w:w="143" w:type="pct"/>
            <w:tcMar>
              <w:left w:w="0" w:type="dxa"/>
              <w:right w:w="43" w:type="dxa"/>
            </w:tcMar>
            <w:vAlign w:val="center"/>
          </w:tcPr>
          <w:p w:rsidRPr="009055A9" w:rsidR="0023718B" w:rsidP="000E31AA" w:rsidRDefault="0023718B" w14:paraId="3DAD473C" w14:textId="5E47C1EF">
            <w:pPr>
              <w:jc w:val="right"/>
              <w:rPr>
                <w:rFonts w:asciiTheme="minorHAnsi" w:hAnsiTheme="minorHAnsi" w:cstheme="minorHAnsi"/>
                <w:sz w:val="16"/>
                <w:szCs w:val="16"/>
              </w:rPr>
            </w:pPr>
            <w:r w:rsidRPr="009055A9">
              <w:rPr>
                <w:rFonts w:asciiTheme="minorHAnsi" w:hAnsiTheme="minorHAnsi" w:cstheme="minorHAnsi"/>
                <w:sz w:val="16"/>
                <w:szCs w:val="16"/>
              </w:rPr>
              <w:t>4</w:t>
            </w:r>
          </w:p>
        </w:tc>
        <w:tc>
          <w:tcPr>
            <w:tcW w:w="178" w:type="pct"/>
            <w:shd w:val="clear" w:color="auto" w:fill="auto"/>
            <w:noWrap/>
            <w:tcMar>
              <w:left w:w="0" w:type="dxa"/>
              <w:right w:w="43" w:type="dxa"/>
            </w:tcMar>
            <w:vAlign w:val="center"/>
          </w:tcPr>
          <w:p w:rsidRPr="003148DB" w:rsidR="0023718B" w:rsidP="000E31AA" w:rsidRDefault="0023718B" w14:paraId="4AE0D458" w14:textId="62CA70AD">
            <w:pPr>
              <w:jc w:val="right"/>
              <w:rPr>
                <w:rFonts w:asciiTheme="minorHAnsi" w:hAnsiTheme="minorHAnsi" w:cstheme="minorHAnsi"/>
                <w:sz w:val="16"/>
                <w:szCs w:val="16"/>
              </w:rPr>
            </w:pPr>
            <w:r w:rsidRPr="003148DB">
              <w:rPr>
                <w:rFonts w:asciiTheme="minorHAnsi" w:hAnsiTheme="minorHAnsi" w:cstheme="minorHAnsi"/>
                <w:sz w:val="16"/>
                <w:szCs w:val="16"/>
              </w:rPr>
              <w:t>1,970</w:t>
            </w:r>
          </w:p>
        </w:tc>
        <w:tc>
          <w:tcPr>
            <w:tcW w:w="151" w:type="pct"/>
            <w:shd w:val="clear" w:color="auto" w:fill="auto"/>
            <w:noWrap/>
            <w:tcMar>
              <w:left w:w="0" w:type="dxa"/>
              <w:right w:w="43" w:type="dxa"/>
            </w:tcMar>
            <w:vAlign w:val="center"/>
          </w:tcPr>
          <w:p w:rsidRPr="003148DB" w:rsidR="0023718B" w:rsidP="000E31AA" w:rsidRDefault="0023718B" w14:paraId="2E3F1B25" w14:textId="0B5181C8">
            <w:pPr>
              <w:jc w:val="right"/>
              <w:rPr>
                <w:rFonts w:asciiTheme="minorHAnsi" w:hAnsiTheme="minorHAnsi" w:cstheme="minorHAnsi"/>
                <w:sz w:val="16"/>
                <w:szCs w:val="16"/>
              </w:rPr>
            </w:pPr>
            <w:r w:rsidRPr="003148DB">
              <w:rPr>
                <w:rFonts w:asciiTheme="minorHAnsi" w:hAnsiTheme="minorHAnsi" w:cstheme="minorHAnsi"/>
                <w:sz w:val="16"/>
                <w:szCs w:val="16"/>
              </w:rPr>
              <w:t>13.4</w:t>
            </w:r>
          </w:p>
        </w:tc>
      </w:tr>
      <w:tr w:rsidRPr="003148DB" w:rsidR="0023718B" w:rsidTr="000D41FC" w14:paraId="0C9B7905"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37EED7F1"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60DEFCBC" w14:textId="4ADF1366">
            <w:pPr>
              <w:rPr>
                <w:rFonts w:asciiTheme="minorHAnsi" w:hAnsiTheme="minorHAnsi" w:cstheme="minorHAnsi"/>
                <w:sz w:val="16"/>
                <w:szCs w:val="16"/>
              </w:rPr>
            </w:pPr>
            <w:r w:rsidRPr="009055A9">
              <w:rPr>
                <w:rFonts w:asciiTheme="minorHAnsi" w:hAnsiTheme="minorHAnsi" w:cstheme="minorHAnsi"/>
                <w:color w:val="000000"/>
                <w:sz w:val="16"/>
                <w:szCs w:val="16"/>
              </w:rPr>
              <w:t>Entergy Nuclear</w:t>
            </w:r>
          </w:p>
        </w:tc>
        <w:tc>
          <w:tcPr>
            <w:tcW w:w="321" w:type="pct"/>
            <w:shd w:val="clear" w:color="auto" w:fill="auto"/>
            <w:noWrap/>
            <w:tcMar>
              <w:left w:w="58" w:type="dxa"/>
              <w:right w:w="29" w:type="dxa"/>
            </w:tcMar>
            <w:vAlign w:val="center"/>
            <w:hideMark/>
          </w:tcPr>
          <w:p w:rsidRPr="009055A9" w:rsidR="0023718B" w:rsidP="000E31AA" w:rsidRDefault="0023718B" w14:paraId="65929D60" w14:textId="4A9A5BA6">
            <w:pPr>
              <w:rPr>
                <w:rFonts w:asciiTheme="minorHAnsi" w:hAnsiTheme="minorHAnsi" w:cstheme="minorHAnsi"/>
                <w:sz w:val="16"/>
                <w:szCs w:val="16"/>
              </w:rPr>
            </w:pPr>
            <w:r w:rsidRPr="009055A9">
              <w:rPr>
                <w:rFonts w:asciiTheme="minorHAnsi" w:hAnsiTheme="minorHAnsi" w:cstheme="minorHAnsi"/>
                <w:sz w:val="16"/>
                <w:szCs w:val="16"/>
              </w:rPr>
              <w:t>Waterford</w:t>
            </w:r>
          </w:p>
        </w:tc>
        <w:tc>
          <w:tcPr>
            <w:tcW w:w="123" w:type="pct"/>
            <w:shd w:val="clear" w:color="auto" w:fill="auto"/>
            <w:noWrap/>
            <w:tcMar>
              <w:left w:w="58" w:type="dxa"/>
              <w:right w:w="58" w:type="dxa"/>
            </w:tcMar>
            <w:vAlign w:val="center"/>
            <w:hideMark/>
          </w:tcPr>
          <w:p w:rsidRPr="009055A9" w:rsidR="0023718B" w:rsidP="000E31AA" w:rsidRDefault="0023718B" w14:paraId="44AC46FD" w14:textId="02021CBE">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202C2CF5" w14:textId="1B9D9BED">
            <w:pPr>
              <w:jc w:val="right"/>
              <w:rPr>
                <w:rFonts w:asciiTheme="minorHAnsi" w:hAnsiTheme="minorHAnsi" w:cstheme="minorHAnsi"/>
                <w:sz w:val="16"/>
                <w:szCs w:val="16"/>
              </w:rPr>
            </w:pPr>
            <w:r w:rsidRPr="009055A9">
              <w:rPr>
                <w:rFonts w:asciiTheme="minorHAnsi" w:hAnsiTheme="minorHAnsi" w:cstheme="minorHAnsi"/>
                <w:color w:val="000000"/>
                <w:sz w:val="16"/>
                <w:szCs w:val="16"/>
              </w:rPr>
              <w:t>1,623</w:t>
            </w:r>
          </w:p>
        </w:tc>
        <w:tc>
          <w:tcPr>
            <w:tcW w:w="123" w:type="pct"/>
            <w:shd w:val="clear" w:color="auto" w:fill="auto"/>
            <w:noWrap/>
            <w:tcMar>
              <w:left w:w="0" w:type="dxa"/>
              <w:right w:w="43" w:type="dxa"/>
            </w:tcMar>
            <w:vAlign w:val="center"/>
            <w:hideMark/>
          </w:tcPr>
          <w:p w:rsidRPr="009055A9" w:rsidR="0023718B" w:rsidP="000E31AA" w:rsidRDefault="0023718B" w14:paraId="59C56CB3" w14:textId="57095884">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0" w:type="pct"/>
            <w:shd w:val="clear" w:color="auto" w:fill="auto"/>
            <w:noWrap/>
            <w:tcMar>
              <w:left w:w="0" w:type="dxa"/>
              <w:right w:w="43" w:type="dxa"/>
            </w:tcMar>
            <w:vAlign w:val="center"/>
            <w:hideMark/>
          </w:tcPr>
          <w:p w:rsidRPr="009055A9" w:rsidR="0023718B" w:rsidP="000E31AA" w:rsidRDefault="0023718B" w14:paraId="05E7E3A0" w14:textId="340B7D78">
            <w:pPr>
              <w:jc w:val="right"/>
              <w:rPr>
                <w:rFonts w:asciiTheme="minorHAnsi" w:hAnsiTheme="minorHAnsi" w:cstheme="minorHAnsi"/>
                <w:sz w:val="16"/>
                <w:szCs w:val="16"/>
              </w:rPr>
            </w:pPr>
            <w:r w:rsidRPr="009055A9">
              <w:rPr>
                <w:rFonts w:asciiTheme="minorHAnsi" w:hAnsiTheme="minorHAnsi" w:cstheme="minorHAnsi"/>
                <w:color w:val="000000"/>
                <w:sz w:val="16"/>
                <w:szCs w:val="16"/>
              </w:rPr>
              <w:t>1,475</w:t>
            </w:r>
          </w:p>
        </w:tc>
        <w:tc>
          <w:tcPr>
            <w:tcW w:w="125" w:type="pct"/>
            <w:shd w:val="clear" w:color="auto" w:fill="auto"/>
            <w:noWrap/>
            <w:tcMar>
              <w:left w:w="0" w:type="dxa"/>
              <w:right w:w="43" w:type="dxa"/>
            </w:tcMar>
            <w:vAlign w:val="center"/>
            <w:hideMark/>
          </w:tcPr>
          <w:p w:rsidRPr="009055A9" w:rsidR="0023718B" w:rsidP="000E31AA" w:rsidRDefault="0023718B" w14:paraId="2C142760" w14:textId="21DB956A">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72" w:type="pct"/>
            <w:shd w:val="clear" w:color="auto" w:fill="auto"/>
            <w:noWrap/>
            <w:tcMar>
              <w:left w:w="0" w:type="dxa"/>
              <w:right w:w="43" w:type="dxa"/>
            </w:tcMar>
            <w:vAlign w:val="center"/>
            <w:hideMark/>
          </w:tcPr>
          <w:p w:rsidRPr="009055A9" w:rsidR="0023718B" w:rsidP="000E31AA" w:rsidRDefault="0023718B" w14:paraId="1C3754D6" w14:textId="147CC0C9">
            <w:pPr>
              <w:jc w:val="right"/>
              <w:rPr>
                <w:rFonts w:asciiTheme="minorHAnsi" w:hAnsiTheme="minorHAnsi" w:cstheme="minorHAnsi"/>
                <w:sz w:val="16"/>
                <w:szCs w:val="16"/>
              </w:rPr>
            </w:pPr>
            <w:r w:rsidRPr="009055A9">
              <w:rPr>
                <w:rFonts w:asciiTheme="minorHAnsi" w:hAnsiTheme="minorHAnsi" w:cstheme="minorHAnsi"/>
                <w:color w:val="000000"/>
                <w:sz w:val="16"/>
                <w:szCs w:val="16"/>
              </w:rPr>
              <w:t>1,451</w:t>
            </w:r>
          </w:p>
        </w:tc>
        <w:tc>
          <w:tcPr>
            <w:tcW w:w="123" w:type="pct"/>
            <w:shd w:val="clear" w:color="auto" w:fill="auto"/>
            <w:noWrap/>
            <w:tcMar>
              <w:left w:w="0" w:type="dxa"/>
              <w:right w:w="43" w:type="dxa"/>
            </w:tcMar>
            <w:vAlign w:val="center"/>
            <w:hideMark/>
          </w:tcPr>
          <w:p w:rsidRPr="009055A9" w:rsidR="0023718B" w:rsidP="000E31AA" w:rsidRDefault="0023718B" w14:paraId="11BE49BF" w14:textId="4516DD9A">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94" w:type="pct"/>
            <w:shd w:val="clear" w:color="auto" w:fill="auto"/>
            <w:noWrap/>
            <w:tcMar>
              <w:left w:w="0" w:type="dxa"/>
              <w:right w:w="43" w:type="dxa"/>
            </w:tcMar>
            <w:vAlign w:val="center"/>
            <w:hideMark/>
          </w:tcPr>
          <w:p w:rsidRPr="009055A9" w:rsidR="0023718B" w:rsidP="000E31AA" w:rsidRDefault="0023718B" w14:paraId="4C1FDA1C" w14:textId="4E8B59D0">
            <w:pPr>
              <w:jc w:val="right"/>
              <w:rPr>
                <w:rFonts w:asciiTheme="minorHAnsi" w:hAnsiTheme="minorHAnsi" w:cstheme="minorHAnsi"/>
                <w:sz w:val="16"/>
                <w:szCs w:val="16"/>
              </w:rPr>
            </w:pPr>
            <w:r w:rsidRPr="009055A9">
              <w:rPr>
                <w:rFonts w:asciiTheme="minorHAnsi" w:hAnsiTheme="minorHAnsi" w:cstheme="minorHAnsi"/>
                <w:color w:val="000000"/>
                <w:sz w:val="16"/>
                <w:szCs w:val="16"/>
              </w:rPr>
              <w:t>2,918</w:t>
            </w:r>
          </w:p>
        </w:tc>
        <w:tc>
          <w:tcPr>
            <w:tcW w:w="123" w:type="pct"/>
            <w:shd w:val="clear" w:color="auto" w:fill="auto"/>
            <w:noWrap/>
            <w:tcMar>
              <w:left w:w="0" w:type="dxa"/>
              <w:right w:w="43" w:type="dxa"/>
            </w:tcMar>
            <w:vAlign w:val="center"/>
            <w:hideMark/>
          </w:tcPr>
          <w:p w:rsidRPr="009055A9" w:rsidR="0023718B" w:rsidP="000E31AA" w:rsidRDefault="0023718B" w14:paraId="7CFF4713" w14:textId="77436416">
            <w:pPr>
              <w:jc w:val="right"/>
              <w:rPr>
                <w:rFonts w:asciiTheme="minorHAnsi" w:hAnsiTheme="minorHAnsi" w:cstheme="minorHAnsi"/>
                <w:sz w:val="16"/>
                <w:szCs w:val="16"/>
              </w:rPr>
            </w:pPr>
            <w:r w:rsidRPr="009055A9">
              <w:rPr>
                <w:rFonts w:asciiTheme="minorHAnsi" w:hAnsiTheme="minorHAnsi" w:cstheme="minorHAnsi"/>
                <w:color w:val="000000"/>
                <w:sz w:val="16"/>
                <w:szCs w:val="16"/>
              </w:rPr>
              <w:t>30</w:t>
            </w:r>
          </w:p>
        </w:tc>
        <w:tc>
          <w:tcPr>
            <w:tcW w:w="197" w:type="pct"/>
            <w:shd w:val="clear" w:color="auto" w:fill="auto"/>
            <w:noWrap/>
            <w:tcMar>
              <w:left w:w="0" w:type="dxa"/>
              <w:right w:w="43" w:type="dxa"/>
            </w:tcMar>
            <w:vAlign w:val="center"/>
            <w:hideMark/>
          </w:tcPr>
          <w:p w:rsidRPr="009055A9" w:rsidR="0023718B" w:rsidP="000E31AA" w:rsidRDefault="0023718B" w14:paraId="68569B1C" w14:textId="594DCF35">
            <w:pPr>
              <w:jc w:val="right"/>
              <w:rPr>
                <w:rFonts w:asciiTheme="minorHAnsi" w:hAnsiTheme="minorHAnsi" w:cstheme="minorHAnsi"/>
                <w:sz w:val="16"/>
                <w:szCs w:val="16"/>
              </w:rPr>
            </w:pPr>
            <w:r w:rsidRPr="009055A9">
              <w:rPr>
                <w:rFonts w:asciiTheme="minorHAnsi" w:hAnsiTheme="minorHAnsi" w:cstheme="minorHAnsi"/>
                <w:color w:val="000000"/>
                <w:sz w:val="16"/>
                <w:szCs w:val="16"/>
              </w:rPr>
              <w:t>930</w:t>
            </w:r>
          </w:p>
        </w:tc>
        <w:tc>
          <w:tcPr>
            <w:tcW w:w="125" w:type="pct"/>
            <w:shd w:val="clear" w:color="auto" w:fill="auto"/>
            <w:noWrap/>
            <w:tcMar>
              <w:left w:w="0" w:type="dxa"/>
              <w:right w:w="43" w:type="dxa"/>
            </w:tcMar>
            <w:vAlign w:val="center"/>
            <w:hideMark/>
          </w:tcPr>
          <w:p w:rsidRPr="009055A9" w:rsidR="0023718B" w:rsidP="000E31AA" w:rsidRDefault="0023718B" w14:paraId="5D898113" w14:textId="09A1E546">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0" w:type="pct"/>
            <w:shd w:val="clear" w:color="auto" w:fill="auto"/>
            <w:noWrap/>
            <w:tcMar>
              <w:left w:w="0" w:type="dxa"/>
              <w:right w:w="43" w:type="dxa"/>
            </w:tcMar>
            <w:vAlign w:val="center"/>
            <w:hideMark/>
          </w:tcPr>
          <w:p w:rsidRPr="009055A9" w:rsidR="0023718B" w:rsidP="000E31AA" w:rsidRDefault="0023718B" w14:paraId="7F299210" w14:textId="5379E382">
            <w:pPr>
              <w:jc w:val="right"/>
              <w:rPr>
                <w:rFonts w:asciiTheme="minorHAnsi" w:hAnsiTheme="minorHAnsi" w:cstheme="minorHAnsi"/>
                <w:sz w:val="16"/>
                <w:szCs w:val="16"/>
              </w:rPr>
            </w:pPr>
            <w:r w:rsidRPr="009055A9">
              <w:rPr>
                <w:rFonts w:asciiTheme="minorHAnsi" w:hAnsiTheme="minorHAnsi" w:cstheme="minorHAnsi"/>
                <w:color w:val="000000"/>
                <w:sz w:val="16"/>
                <w:szCs w:val="16"/>
              </w:rPr>
              <w:t>1,511</w:t>
            </w:r>
          </w:p>
        </w:tc>
        <w:tc>
          <w:tcPr>
            <w:tcW w:w="148" w:type="pct"/>
            <w:shd w:val="clear" w:color="auto" w:fill="auto"/>
            <w:noWrap/>
            <w:tcMar>
              <w:left w:w="0" w:type="dxa"/>
              <w:right w:w="43" w:type="dxa"/>
            </w:tcMar>
            <w:vAlign w:val="center"/>
            <w:hideMark/>
          </w:tcPr>
          <w:p w:rsidRPr="009055A9" w:rsidR="0023718B" w:rsidP="000E31AA" w:rsidRDefault="0023718B" w14:paraId="78D559AF" w14:textId="25354B2E">
            <w:pPr>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72" w:type="pct"/>
            <w:tcMar>
              <w:left w:w="0" w:type="dxa"/>
              <w:right w:w="43" w:type="dxa"/>
            </w:tcMar>
            <w:vAlign w:val="center"/>
          </w:tcPr>
          <w:p w:rsidRPr="009055A9" w:rsidR="0023718B" w:rsidP="000E31AA" w:rsidRDefault="0023718B" w14:paraId="2327DB28" w14:textId="0891E5E0">
            <w:pPr>
              <w:jc w:val="right"/>
              <w:rPr>
                <w:rFonts w:asciiTheme="minorHAnsi" w:hAnsiTheme="minorHAnsi" w:cstheme="minorHAnsi"/>
                <w:sz w:val="16"/>
                <w:szCs w:val="16"/>
              </w:rPr>
            </w:pPr>
            <w:r w:rsidRPr="009055A9">
              <w:rPr>
                <w:rFonts w:asciiTheme="minorHAnsi" w:hAnsiTheme="minorHAnsi" w:cstheme="minorHAnsi"/>
                <w:color w:val="000000"/>
                <w:sz w:val="16"/>
                <w:szCs w:val="16"/>
              </w:rPr>
              <w:t>1,881</w:t>
            </w:r>
          </w:p>
        </w:tc>
        <w:tc>
          <w:tcPr>
            <w:tcW w:w="124" w:type="pct"/>
            <w:tcMar>
              <w:left w:w="0" w:type="dxa"/>
              <w:right w:w="43" w:type="dxa"/>
            </w:tcMar>
            <w:vAlign w:val="center"/>
          </w:tcPr>
          <w:p w:rsidRPr="009055A9" w:rsidR="0023718B" w:rsidP="000E31AA" w:rsidRDefault="0023718B" w14:paraId="7DABA285" w14:textId="602C84C3">
            <w:pPr>
              <w:jc w:val="right"/>
              <w:rPr>
                <w:rFonts w:asciiTheme="minorHAnsi" w:hAnsiTheme="minorHAnsi" w:cstheme="minorHAnsi"/>
                <w:sz w:val="16"/>
                <w:szCs w:val="16"/>
              </w:rPr>
            </w:pPr>
            <w:r w:rsidRPr="009055A9">
              <w:rPr>
                <w:rFonts w:asciiTheme="minorHAnsi" w:hAnsiTheme="minorHAnsi" w:cstheme="minorHAnsi"/>
                <w:color w:val="000000"/>
                <w:sz w:val="16"/>
                <w:szCs w:val="16"/>
              </w:rPr>
              <w:t>25</w:t>
            </w:r>
          </w:p>
        </w:tc>
        <w:tc>
          <w:tcPr>
            <w:tcW w:w="173" w:type="pct"/>
            <w:tcMar>
              <w:left w:w="0" w:type="dxa"/>
              <w:right w:w="43" w:type="dxa"/>
            </w:tcMar>
            <w:vAlign w:val="center"/>
          </w:tcPr>
          <w:p w:rsidRPr="009055A9" w:rsidR="0023718B" w:rsidP="000E31AA" w:rsidRDefault="0023718B" w14:paraId="226DE4EC" w14:textId="26EE0422">
            <w:pPr>
              <w:jc w:val="right"/>
              <w:rPr>
                <w:rFonts w:asciiTheme="minorHAnsi" w:hAnsiTheme="minorHAnsi" w:cstheme="minorHAnsi"/>
                <w:sz w:val="16"/>
                <w:szCs w:val="16"/>
              </w:rPr>
            </w:pPr>
            <w:r w:rsidRPr="009055A9">
              <w:rPr>
                <w:rFonts w:asciiTheme="minorHAnsi" w:hAnsiTheme="minorHAnsi" w:cstheme="minorHAnsi"/>
                <w:color w:val="000000"/>
                <w:sz w:val="16"/>
                <w:szCs w:val="16"/>
              </w:rPr>
              <w:t>1,228</w:t>
            </w:r>
          </w:p>
        </w:tc>
        <w:tc>
          <w:tcPr>
            <w:tcW w:w="146" w:type="pct"/>
            <w:tcMar>
              <w:left w:w="0" w:type="dxa"/>
              <w:right w:w="43" w:type="dxa"/>
            </w:tcMar>
            <w:vAlign w:val="center"/>
          </w:tcPr>
          <w:p w:rsidRPr="009055A9" w:rsidR="0023718B" w:rsidP="000E31AA" w:rsidRDefault="0023718B" w14:paraId="12F00AB0" w14:textId="14215748">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5" w:type="pct"/>
            <w:tcMar>
              <w:left w:w="0" w:type="dxa"/>
              <w:right w:w="43" w:type="dxa"/>
            </w:tcMar>
            <w:vAlign w:val="center"/>
          </w:tcPr>
          <w:p w:rsidRPr="009055A9" w:rsidR="0023718B" w:rsidP="000E31AA" w:rsidRDefault="0023718B" w14:paraId="7D673997" w14:textId="5E1E3135">
            <w:pPr>
              <w:jc w:val="right"/>
              <w:rPr>
                <w:rFonts w:asciiTheme="minorHAnsi" w:hAnsiTheme="minorHAnsi" w:cstheme="minorHAnsi"/>
                <w:sz w:val="16"/>
                <w:szCs w:val="16"/>
              </w:rPr>
            </w:pPr>
            <w:r w:rsidRPr="009055A9">
              <w:rPr>
                <w:rFonts w:asciiTheme="minorHAnsi" w:hAnsiTheme="minorHAnsi" w:cstheme="minorHAnsi"/>
                <w:color w:val="000000"/>
                <w:sz w:val="16"/>
                <w:szCs w:val="16"/>
              </w:rPr>
              <w:t>2,055</w:t>
            </w:r>
          </w:p>
        </w:tc>
        <w:tc>
          <w:tcPr>
            <w:tcW w:w="149" w:type="pct"/>
            <w:tcMar>
              <w:left w:w="0" w:type="dxa"/>
              <w:right w:w="43" w:type="dxa"/>
            </w:tcMar>
            <w:vAlign w:val="center"/>
          </w:tcPr>
          <w:p w:rsidRPr="009055A9" w:rsidR="0023718B" w:rsidP="000E31AA" w:rsidRDefault="0023718B" w14:paraId="7527FFAB" w14:textId="4752A61B">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97" w:type="pct"/>
            <w:tcMar>
              <w:left w:w="0" w:type="dxa"/>
              <w:right w:w="43" w:type="dxa"/>
            </w:tcMar>
            <w:vAlign w:val="center"/>
          </w:tcPr>
          <w:p w:rsidRPr="009055A9" w:rsidR="0023718B" w:rsidP="000E31AA" w:rsidRDefault="0023718B" w14:paraId="5C743AD1" w14:textId="48BB2A35">
            <w:pPr>
              <w:jc w:val="right"/>
              <w:rPr>
                <w:rFonts w:asciiTheme="minorHAnsi" w:hAnsiTheme="minorHAnsi" w:cstheme="minorHAnsi"/>
                <w:sz w:val="16"/>
                <w:szCs w:val="16"/>
              </w:rPr>
            </w:pPr>
            <w:r w:rsidRPr="009055A9">
              <w:rPr>
                <w:rFonts w:asciiTheme="minorHAnsi" w:hAnsiTheme="minorHAnsi" w:cstheme="minorHAnsi"/>
                <w:color w:val="000000"/>
                <w:sz w:val="16"/>
                <w:szCs w:val="16"/>
              </w:rPr>
              <w:t>2,146</w:t>
            </w:r>
          </w:p>
        </w:tc>
        <w:tc>
          <w:tcPr>
            <w:tcW w:w="148" w:type="pct"/>
            <w:tcMar>
              <w:left w:w="0" w:type="dxa"/>
              <w:right w:w="43" w:type="dxa"/>
            </w:tcMar>
            <w:vAlign w:val="center"/>
          </w:tcPr>
          <w:p w:rsidRPr="009055A9" w:rsidR="0023718B" w:rsidP="000E31AA" w:rsidRDefault="0023718B" w14:paraId="54C4E2DB" w14:textId="4F4F0945">
            <w:pPr>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96" w:type="pct"/>
            <w:tcMar>
              <w:left w:w="0" w:type="dxa"/>
              <w:right w:w="43" w:type="dxa"/>
            </w:tcMar>
            <w:vAlign w:val="center"/>
          </w:tcPr>
          <w:p w:rsidRPr="009055A9" w:rsidR="0023718B" w:rsidP="000E31AA" w:rsidRDefault="0023718B" w14:paraId="6508A2C3" w14:textId="262389FD">
            <w:pPr>
              <w:jc w:val="right"/>
              <w:rPr>
                <w:rFonts w:asciiTheme="minorHAnsi" w:hAnsiTheme="minorHAnsi" w:cstheme="minorHAnsi"/>
                <w:sz w:val="16"/>
                <w:szCs w:val="16"/>
              </w:rPr>
            </w:pPr>
            <w:r w:rsidRPr="009055A9">
              <w:rPr>
                <w:rFonts w:asciiTheme="minorHAnsi" w:hAnsiTheme="minorHAnsi" w:cstheme="minorHAnsi"/>
                <w:color w:val="000000"/>
                <w:sz w:val="16"/>
                <w:szCs w:val="16"/>
              </w:rPr>
              <w:t>1,766</w:t>
            </w:r>
          </w:p>
        </w:tc>
        <w:tc>
          <w:tcPr>
            <w:tcW w:w="143" w:type="pct"/>
            <w:tcMar>
              <w:left w:w="0" w:type="dxa"/>
              <w:right w:w="43" w:type="dxa"/>
            </w:tcMar>
            <w:vAlign w:val="center"/>
          </w:tcPr>
          <w:p w:rsidRPr="009055A9" w:rsidR="0023718B" w:rsidP="000E31AA" w:rsidRDefault="0023718B" w14:paraId="659ADABC" w14:textId="3C71744B">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8" w:type="pct"/>
            <w:shd w:val="clear" w:color="000000" w:fill="FFFFFF"/>
            <w:noWrap/>
            <w:tcMar>
              <w:left w:w="0" w:type="dxa"/>
              <w:right w:w="43" w:type="dxa"/>
            </w:tcMar>
            <w:vAlign w:val="center"/>
          </w:tcPr>
          <w:p w:rsidRPr="003148DB" w:rsidR="0023718B" w:rsidP="000E31AA" w:rsidRDefault="0023718B" w14:paraId="2BDE81BE" w14:textId="50EC7C78">
            <w:pPr>
              <w:jc w:val="right"/>
              <w:rPr>
                <w:rFonts w:asciiTheme="minorHAnsi" w:hAnsiTheme="minorHAnsi" w:cstheme="minorHAnsi"/>
                <w:sz w:val="16"/>
                <w:szCs w:val="16"/>
              </w:rPr>
            </w:pPr>
            <w:r w:rsidRPr="003148DB">
              <w:rPr>
                <w:rFonts w:asciiTheme="minorHAnsi" w:hAnsiTheme="minorHAnsi" w:cstheme="minorHAnsi"/>
                <w:color w:val="000000"/>
                <w:sz w:val="16"/>
                <w:szCs w:val="16"/>
              </w:rPr>
              <w:t>1,726</w:t>
            </w:r>
          </w:p>
        </w:tc>
        <w:tc>
          <w:tcPr>
            <w:tcW w:w="151" w:type="pct"/>
            <w:shd w:val="clear" w:color="000000" w:fill="FFFFFF"/>
            <w:noWrap/>
            <w:tcMar>
              <w:left w:w="0" w:type="dxa"/>
              <w:right w:w="43" w:type="dxa"/>
            </w:tcMar>
            <w:vAlign w:val="center"/>
          </w:tcPr>
          <w:p w:rsidRPr="003148DB" w:rsidR="0023718B" w:rsidP="000E31AA" w:rsidRDefault="0023718B" w14:paraId="1224108C" w14:textId="1B6FE4E2">
            <w:pPr>
              <w:jc w:val="right"/>
              <w:rPr>
                <w:rFonts w:asciiTheme="minorHAnsi" w:hAnsiTheme="minorHAnsi" w:cstheme="minorHAnsi"/>
                <w:sz w:val="16"/>
                <w:szCs w:val="16"/>
              </w:rPr>
            </w:pPr>
            <w:r w:rsidRPr="003148DB">
              <w:rPr>
                <w:rFonts w:asciiTheme="minorHAnsi" w:hAnsiTheme="minorHAnsi" w:cstheme="minorHAnsi"/>
                <w:color w:val="000000"/>
                <w:sz w:val="16"/>
                <w:szCs w:val="16"/>
              </w:rPr>
              <w:t>16.2</w:t>
            </w:r>
          </w:p>
        </w:tc>
      </w:tr>
      <w:tr w:rsidRPr="003148DB" w:rsidR="0023718B" w:rsidTr="000D41FC" w14:paraId="6F288D0C" w14:textId="77777777">
        <w:trPr>
          <w:trHeight w:val="264"/>
        </w:trPr>
        <w:tc>
          <w:tcPr>
            <w:tcW w:w="268" w:type="pct"/>
            <w:vMerge w:val="restart"/>
            <w:shd w:val="clear" w:color="auto" w:fill="auto"/>
            <w:noWrap/>
            <w:tcMar>
              <w:left w:w="58" w:type="dxa"/>
              <w:right w:w="58" w:type="dxa"/>
            </w:tcMar>
            <w:vAlign w:val="center"/>
            <w:hideMark/>
          </w:tcPr>
          <w:p w:rsidRPr="00196D17" w:rsidR="0023718B" w:rsidP="000E31AA" w:rsidRDefault="0023718B" w14:paraId="437E6419" w14:textId="6F52DE0C">
            <w:pPr>
              <w:keepNext/>
              <w:keepLines/>
              <w:rPr>
                <w:rFonts w:asciiTheme="minorHAnsi" w:hAnsiTheme="minorHAnsi" w:cstheme="minorHAnsi"/>
                <w:sz w:val="16"/>
                <w:szCs w:val="16"/>
              </w:rPr>
            </w:pPr>
            <w:r w:rsidRPr="00196D17">
              <w:rPr>
                <w:rFonts w:asciiTheme="minorHAnsi" w:hAnsiTheme="minorHAnsi" w:cstheme="minorHAnsi"/>
                <w:sz w:val="16"/>
                <w:szCs w:val="16"/>
              </w:rPr>
              <w:t>Reactor (continued)</w:t>
            </w:r>
          </w:p>
        </w:tc>
        <w:tc>
          <w:tcPr>
            <w:tcW w:w="493" w:type="pct"/>
            <w:shd w:val="clear" w:color="auto" w:fill="auto"/>
            <w:noWrap/>
            <w:tcMar>
              <w:left w:w="58" w:type="dxa"/>
              <w:right w:w="29" w:type="dxa"/>
            </w:tcMar>
            <w:vAlign w:val="center"/>
            <w:hideMark/>
          </w:tcPr>
          <w:p w:rsidRPr="009055A9" w:rsidR="0023718B" w:rsidP="000E31AA" w:rsidRDefault="0023718B" w14:paraId="62D2DE29" w14:textId="52A29D23">
            <w:pPr>
              <w:rPr>
                <w:rFonts w:asciiTheme="minorHAnsi" w:hAnsiTheme="minorHAnsi" w:cstheme="minorHAnsi"/>
                <w:sz w:val="16"/>
                <w:szCs w:val="16"/>
              </w:rPr>
            </w:pPr>
            <w:r w:rsidRPr="009055A9">
              <w:rPr>
                <w:rFonts w:asciiTheme="minorHAnsi" w:hAnsiTheme="minorHAnsi" w:cstheme="minorHAnsi"/>
                <w:color w:val="000000"/>
                <w:sz w:val="16"/>
                <w:szCs w:val="16"/>
              </w:rPr>
              <w:t>Wolf Creek</w:t>
            </w:r>
          </w:p>
        </w:tc>
        <w:tc>
          <w:tcPr>
            <w:tcW w:w="321" w:type="pct"/>
            <w:shd w:val="clear" w:color="auto" w:fill="auto"/>
            <w:noWrap/>
            <w:tcMar>
              <w:left w:w="58" w:type="dxa"/>
              <w:right w:w="29" w:type="dxa"/>
            </w:tcMar>
            <w:vAlign w:val="center"/>
            <w:hideMark/>
          </w:tcPr>
          <w:p w:rsidRPr="009055A9" w:rsidR="0023718B" w:rsidP="000E31AA" w:rsidRDefault="0023718B" w14:paraId="4EA1A4E2" w14:textId="3057354C">
            <w:pPr>
              <w:rPr>
                <w:rFonts w:asciiTheme="minorHAnsi" w:hAnsiTheme="minorHAnsi" w:cstheme="minorHAnsi"/>
                <w:sz w:val="16"/>
                <w:szCs w:val="16"/>
              </w:rPr>
            </w:pPr>
            <w:r w:rsidRPr="009055A9">
              <w:rPr>
                <w:rFonts w:asciiTheme="minorHAnsi" w:hAnsiTheme="minorHAnsi" w:cstheme="minorHAnsi"/>
                <w:color w:val="000000"/>
                <w:sz w:val="16"/>
                <w:szCs w:val="16"/>
              </w:rPr>
              <w:t>Wolf Creek</w:t>
            </w:r>
          </w:p>
        </w:tc>
        <w:tc>
          <w:tcPr>
            <w:tcW w:w="123" w:type="pct"/>
            <w:shd w:val="clear" w:color="auto" w:fill="auto"/>
            <w:noWrap/>
            <w:tcMar>
              <w:left w:w="58" w:type="dxa"/>
              <w:right w:w="58" w:type="dxa"/>
            </w:tcMar>
            <w:vAlign w:val="center"/>
            <w:hideMark/>
          </w:tcPr>
          <w:p w:rsidRPr="009055A9" w:rsidR="0023718B" w:rsidP="000E31AA" w:rsidRDefault="0023718B" w14:paraId="2A3F51B6" w14:textId="6CBC3D25">
            <w:pPr>
              <w:jc w:val="center"/>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3" w:type="pct"/>
            <w:shd w:val="clear" w:color="auto" w:fill="auto"/>
            <w:noWrap/>
            <w:tcMar>
              <w:left w:w="0" w:type="dxa"/>
              <w:right w:w="43" w:type="dxa"/>
            </w:tcMar>
            <w:vAlign w:val="center"/>
            <w:hideMark/>
          </w:tcPr>
          <w:p w:rsidRPr="009055A9" w:rsidR="0023718B" w:rsidP="000E31AA" w:rsidRDefault="0023718B" w14:paraId="5A2E8443" w14:textId="0D9B0CCB">
            <w:pPr>
              <w:jc w:val="right"/>
              <w:rPr>
                <w:rFonts w:asciiTheme="minorHAnsi" w:hAnsiTheme="minorHAnsi" w:cstheme="minorHAnsi"/>
                <w:sz w:val="16"/>
                <w:szCs w:val="16"/>
              </w:rPr>
            </w:pPr>
            <w:r w:rsidRPr="009055A9">
              <w:rPr>
                <w:rFonts w:asciiTheme="minorHAnsi" w:hAnsiTheme="minorHAnsi" w:cstheme="minorHAnsi"/>
                <w:color w:val="000000"/>
                <w:sz w:val="16"/>
                <w:szCs w:val="16"/>
              </w:rPr>
              <w:t>2,117</w:t>
            </w:r>
          </w:p>
        </w:tc>
        <w:tc>
          <w:tcPr>
            <w:tcW w:w="123" w:type="pct"/>
            <w:shd w:val="clear" w:color="auto" w:fill="auto"/>
            <w:noWrap/>
            <w:tcMar>
              <w:left w:w="0" w:type="dxa"/>
              <w:right w:w="43" w:type="dxa"/>
            </w:tcMar>
            <w:vAlign w:val="center"/>
            <w:hideMark/>
          </w:tcPr>
          <w:p w:rsidRPr="009055A9" w:rsidR="0023718B" w:rsidP="000E31AA" w:rsidRDefault="0023718B" w14:paraId="4594F3AD" w14:textId="7A42B344">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70" w:type="pct"/>
            <w:shd w:val="clear" w:color="auto" w:fill="auto"/>
            <w:noWrap/>
            <w:tcMar>
              <w:left w:w="0" w:type="dxa"/>
              <w:right w:w="43" w:type="dxa"/>
            </w:tcMar>
            <w:vAlign w:val="center"/>
            <w:hideMark/>
          </w:tcPr>
          <w:p w:rsidRPr="009055A9" w:rsidR="0023718B" w:rsidP="000E31AA" w:rsidRDefault="0023718B" w14:paraId="7E551EEB" w14:textId="2A9E0F59">
            <w:pPr>
              <w:jc w:val="right"/>
              <w:rPr>
                <w:rFonts w:asciiTheme="minorHAnsi" w:hAnsiTheme="minorHAnsi" w:cstheme="minorHAnsi"/>
                <w:sz w:val="16"/>
                <w:szCs w:val="16"/>
              </w:rPr>
            </w:pPr>
            <w:r w:rsidRPr="009055A9">
              <w:rPr>
                <w:rFonts w:asciiTheme="minorHAnsi" w:hAnsiTheme="minorHAnsi" w:cstheme="minorHAnsi"/>
                <w:color w:val="000000"/>
                <w:sz w:val="16"/>
                <w:szCs w:val="16"/>
              </w:rPr>
              <w:t>1,246</w:t>
            </w:r>
          </w:p>
        </w:tc>
        <w:tc>
          <w:tcPr>
            <w:tcW w:w="125" w:type="pct"/>
            <w:shd w:val="clear" w:color="auto" w:fill="auto"/>
            <w:noWrap/>
            <w:tcMar>
              <w:left w:w="0" w:type="dxa"/>
              <w:right w:w="43" w:type="dxa"/>
            </w:tcMar>
            <w:vAlign w:val="center"/>
            <w:hideMark/>
          </w:tcPr>
          <w:p w:rsidRPr="009055A9" w:rsidR="0023718B" w:rsidP="000E31AA" w:rsidRDefault="0023718B" w14:paraId="22900CDE" w14:textId="2A7CD35B">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72" w:type="pct"/>
            <w:shd w:val="clear" w:color="auto" w:fill="auto"/>
            <w:noWrap/>
            <w:tcMar>
              <w:left w:w="0" w:type="dxa"/>
              <w:right w:w="43" w:type="dxa"/>
            </w:tcMar>
            <w:vAlign w:val="center"/>
            <w:hideMark/>
          </w:tcPr>
          <w:p w:rsidRPr="009055A9" w:rsidR="0023718B" w:rsidP="000E31AA" w:rsidRDefault="0023718B" w14:paraId="0B4A5EEB" w14:textId="4DCEFBF9">
            <w:pPr>
              <w:jc w:val="right"/>
              <w:rPr>
                <w:rFonts w:asciiTheme="minorHAnsi" w:hAnsiTheme="minorHAnsi" w:cstheme="minorHAnsi"/>
                <w:sz w:val="16"/>
                <w:szCs w:val="16"/>
              </w:rPr>
            </w:pPr>
            <w:r w:rsidRPr="009055A9">
              <w:rPr>
                <w:rFonts w:asciiTheme="minorHAnsi" w:hAnsiTheme="minorHAnsi" w:cstheme="minorHAnsi"/>
                <w:color w:val="000000"/>
                <w:sz w:val="16"/>
                <w:szCs w:val="16"/>
              </w:rPr>
              <w:t>2,667</w:t>
            </w:r>
          </w:p>
        </w:tc>
        <w:tc>
          <w:tcPr>
            <w:tcW w:w="123" w:type="pct"/>
            <w:shd w:val="clear" w:color="auto" w:fill="auto"/>
            <w:noWrap/>
            <w:tcMar>
              <w:left w:w="0" w:type="dxa"/>
              <w:right w:w="43" w:type="dxa"/>
            </w:tcMar>
            <w:vAlign w:val="center"/>
            <w:hideMark/>
          </w:tcPr>
          <w:p w:rsidRPr="009055A9" w:rsidR="0023718B" w:rsidP="000E31AA" w:rsidRDefault="0023718B" w14:paraId="3F280EAD" w14:textId="1DEBE16B">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94" w:type="pct"/>
            <w:shd w:val="clear" w:color="auto" w:fill="auto"/>
            <w:noWrap/>
            <w:tcMar>
              <w:left w:w="0" w:type="dxa"/>
              <w:right w:w="43" w:type="dxa"/>
            </w:tcMar>
            <w:vAlign w:val="center"/>
            <w:hideMark/>
          </w:tcPr>
          <w:p w:rsidRPr="009055A9" w:rsidR="0023718B" w:rsidP="000E31AA" w:rsidRDefault="0023718B" w14:paraId="7EC7CA40" w14:textId="3B025A29">
            <w:pPr>
              <w:jc w:val="right"/>
              <w:rPr>
                <w:rFonts w:asciiTheme="minorHAnsi" w:hAnsiTheme="minorHAnsi" w:cstheme="minorHAnsi"/>
                <w:sz w:val="16"/>
                <w:szCs w:val="16"/>
              </w:rPr>
            </w:pPr>
            <w:r w:rsidRPr="009055A9">
              <w:rPr>
                <w:rFonts w:asciiTheme="minorHAnsi" w:hAnsiTheme="minorHAnsi" w:cstheme="minorHAnsi"/>
                <w:color w:val="000000"/>
                <w:sz w:val="16"/>
                <w:szCs w:val="16"/>
              </w:rPr>
              <w:t>1,756</w:t>
            </w:r>
          </w:p>
        </w:tc>
        <w:tc>
          <w:tcPr>
            <w:tcW w:w="123" w:type="pct"/>
            <w:shd w:val="clear" w:color="auto" w:fill="auto"/>
            <w:noWrap/>
            <w:tcMar>
              <w:left w:w="0" w:type="dxa"/>
              <w:right w:w="43" w:type="dxa"/>
            </w:tcMar>
            <w:vAlign w:val="center"/>
            <w:hideMark/>
          </w:tcPr>
          <w:p w:rsidRPr="009055A9" w:rsidR="0023718B" w:rsidP="000E31AA" w:rsidRDefault="0023718B" w14:paraId="51A6FD6C" w14:textId="77E606CC">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97" w:type="pct"/>
            <w:shd w:val="clear" w:color="auto" w:fill="auto"/>
            <w:noWrap/>
            <w:tcMar>
              <w:left w:w="0" w:type="dxa"/>
              <w:right w:w="43" w:type="dxa"/>
            </w:tcMar>
            <w:vAlign w:val="center"/>
            <w:hideMark/>
          </w:tcPr>
          <w:p w:rsidRPr="009055A9" w:rsidR="0023718B" w:rsidP="000E31AA" w:rsidRDefault="0023718B" w14:paraId="0E5501F6" w14:textId="5F68686A">
            <w:pPr>
              <w:jc w:val="right"/>
              <w:rPr>
                <w:rFonts w:asciiTheme="minorHAnsi" w:hAnsiTheme="minorHAnsi" w:cstheme="minorHAnsi"/>
                <w:sz w:val="16"/>
                <w:szCs w:val="16"/>
              </w:rPr>
            </w:pPr>
            <w:r w:rsidRPr="009055A9">
              <w:rPr>
                <w:rFonts w:asciiTheme="minorHAnsi" w:hAnsiTheme="minorHAnsi" w:cstheme="minorHAnsi"/>
                <w:color w:val="000000"/>
                <w:sz w:val="16"/>
                <w:szCs w:val="16"/>
              </w:rPr>
              <w:t>3,286</w:t>
            </w:r>
          </w:p>
        </w:tc>
        <w:tc>
          <w:tcPr>
            <w:tcW w:w="125" w:type="pct"/>
            <w:shd w:val="clear" w:color="auto" w:fill="auto"/>
            <w:noWrap/>
            <w:tcMar>
              <w:left w:w="0" w:type="dxa"/>
              <w:right w:w="43" w:type="dxa"/>
            </w:tcMar>
            <w:vAlign w:val="center"/>
            <w:hideMark/>
          </w:tcPr>
          <w:p w:rsidRPr="009055A9" w:rsidR="0023718B" w:rsidP="000E31AA" w:rsidRDefault="0023718B" w14:paraId="6E38F928" w14:textId="50BADEE8">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0" w:type="pct"/>
            <w:shd w:val="clear" w:color="auto" w:fill="auto"/>
            <w:noWrap/>
            <w:tcMar>
              <w:left w:w="0" w:type="dxa"/>
              <w:right w:w="43" w:type="dxa"/>
            </w:tcMar>
            <w:vAlign w:val="center"/>
            <w:hideMark/>
          </w:tcPr>
          <w:p w:rsidRPr="009055A9" w:rsidR="0023718B" w:rsidP="000E31AA" w:rsidRDefault="0023718B" w14:paraId="1ABB559D" w14:textId="0664D6F7">
            <w:pPr>
              <w:jc w:val="right"/>
              <w:rPr>
                <w:rFonts w:asciiTheme="minorHAnsi" w:hAnsiTheme="minorHAnsi" w:cstheme="minorHAnsi"/>
                <w:sz w:val="16"/>
                <w:szCs w:val="16"/>
              </w:rPr>
            </w:pPr>
            <w:r w:rsidRPr="009055A9">
              <w:rPr>
                <w:rFonts w:asciiTheme="minorHAnsi" w:hAnsiTheme="minorHAnsi" w:cstheme="minorHAnsi"/>
                <w:color w:val="000000"/>
                <w:sz w:val="16"/>
                <w:szCs w:val="16"/>
              </w:rPr>
              <w:t>2,017</w:t>
            </w:r>
          </w:p>
        </w:tc>
        <w:tc>
          <w:tcPr>
            <w:tcW w:w="148" w:type="pct"/>
            <w:shd w:val="clear" w:color="auto" w:fill="auto"/>
            <w:noWrap/>
            <w:tcMar>
              <w:left w:w="0" w:type="dxa"/>
              <w:right w:w="43" w:type="dxa"/>
            </w:tcMar>
            <w:vAlign w:val="center"/>
            <w:hideMark/>
          </w:tcPr>
          <w:p w:rsidRPr="009055A9" w:rsidR="0023718B" w:rsidP="000E31AA" w:rsidRDefault="0023718B" w14:paraId="1FD03909" w14:textId="7E58A558">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2" w:type="pct"/>
            <w:tcMar>
              <w:left w:w="0" w:type="dxa"/>
              <w:right w:w="43" w:type="dxa"/>
            </w:tcMar>
            <w:vAlign w:val="center"/>
          </w:tcPr>
          <w:p w:rsidRPr="009055A9" w:rsidR="0023718B" w:rsidP="000E31AA" w:rsidRDefault="0023718B" w14:paraId="40A19E69" w14:textId="29CC27B1">
            <w:pPr>
              <w:jc w:val="right"/>
              <w:rPr>
                <w:rFonts w:asciiTheme="minorHAnsi" w:hAnsiTheme="minorHAnsi" w:cstheme="minorHAnsi"/>
                <w:sz w:val="16"/>
                <w:szCs w:val="16"/>
              </w:rPr>
            </w:pPr>
            <w:r w:rsidRPr="009055A9">
              <w:rPr>
                <w:rFonts w:asciiTheme="minorHAnsi" w:hAnsiTheme="minorHAnsi" w:cstheme="minorHAnsi"/>
                <w:color w:val="000000"/>
                <w:sz w:val="16"/>
                <w:szCs w:val="16"/>
              </w:rPr>
              <w:t>2,414</w:t>
            </w:r>
          </w:p>
        </w:tc>
        <w:tc>
          <w:tcPr>
            <w:tcW w:w="124" w:type="pct"/>
            <w:tcMar>
              <w:left w:w="0" w:type="dxa"/>
              <w:right w:w="43" w:type="dxa"/>
            </w:tcMar>
            <w:vAlign w:val="center"/>
          </w:tcPr>
          <w:p w:rsidRPr="009055A9" w:rsidR="0023718B" w:rsidP="000E31AA" w:rsidRDefault="0023718B" w14:paraId="0DFEB29B" w14:textId="181B7B8F">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3" w:type="pct"/>
            <w:tcMar>
              <w:left w:w="0" w:type="dxa"/>
              <w:right w:w="43" w:type="dxa"/>
            </w:tcMar>
            <w:vAlign w:val="center"/>
          </w:tcPr>
          <w:p w:rsidRPr="009055A9" w:rsidR="0023718B" w:rsidP="000E31AA" w:rsidRDefault="0023718B" w14:paraId="028AEDCF" w14:textId="715FD0A6">
            <w:pPr>
              <w:jc w:val="right"/>
              <w:rPr>
                <w:rFonts w:asciiTheme="minorHAnsi" w:hAnsiTheme="minorHAnsi" w:cstheme="minorHAnsi"/>
                <w:sz w:val="16"/>
                <w:szCs w:val="16"/>
              </w:rPr>
            </w:pPr>
            <w:r w:rsidRPr="009055A9">
              <w:rPr>
                <w:rFonts w:asciiTheme="minorHAnsi" w:hAnsiTheme="minorHAnsi" w:cstheme="minorHAnsi"/>
                <w:color w:val="000000"/>
                <w:sz w:val="16"/>
                <w:szCs w:val="16"/>
              </w:rPr>
              <w:t>2,032</w:t>
            </w:r>
          </w:p>
        </w:tc>
        <w:tc>
          <w:tcPr>
            <w:tcW w:w="146" w:type="pct"/>
            <w:tcMar>
              <w:left w:w="0" w:type="dxa"/>
              <w:right w:w="43" w:type="dxa"/>
            </w:tcMar>
            <w:vAlign w:val="center"/>
          </w:tcPr>
          <w:p w:rsidRPr="009055A9" w:rsidR="0023718B" w:rsidP="000E31AA" w:rsidRDefault="0023718B" w14:paraId="21F42D6B" w14:textId="03D456E3">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5" w:type="pct"/>
            <w:tcMar>
              <w:left w:w="0" w:type="dxa"/>
              <w:right w:w="43" w:type="dxa"/>
            </w:tcMar>
            <w:vAlign w:val="center"/>
          </w:tcPr>
          <w:p w:rsidRPr="009055A9" w:rsidR="0023718B" w:rsidP="000E31AA" w:rsidRDefault="0023718B" w14:paraId="69CD5334" w14:textId="0415E935">
            <w:pPr>
              <w:jc w:val="right"/>
              <w:rPr>
                <w:rFonts w:asciiTheme="minorHAnsi" w:hAnsiTheme="minorHAnsi" w:cstheme="minorHAnsi"/>
                <w:sz w:val="16"/>
                <w:szCs w:val="16"/>
              </w:rPr>
            </w:pPr>
            <w:r w:rsidRPr="009055A9">
              <w:rPr>
                <w:rFonts w:asciiTheme="minorHAnsi" w:hAnsiTheme="minorHAnsi" w:cstheme="minorHAnsi"/>
                <w:color w:val="000000"/>
                <w:sz w:val="16"/>
                <w:szCs w:val="16"/>
              </w:rPr>
              <w:t>965</w:t>
            </w:r>
          </w:p>
        </w:tc>
        <w:tc>
          <w:tcPr>
            <w:tcW w:w="149" w:type="pct"/>
            <w:tcMar>
              <w:left w:w="0" w:type="dxa"/>
              <w:right w:w="43" w:type="dxa"/>
            </w:tcMar>
            <w:vAlign w:val="center"/>
          </w:tcPr>
          <w:p w:rsidRPr="009055A9" w:rsidR="0023718B" w:rsidP="000E31AA" w:rsidRDefault="0023718B" w14:paraId="7921ECD1" w14:textId="57A04635">
            <w:pPr>
              <w:jc w:val="right"/>
              <w:rPr>
                <w:rFonts w:asciiTheme="minorHAnsi" w:hAnsiTheme="minorHAnsi" w:cstheme="minorHAnsi"/>
                <w:sz w:val="16"/>
                <w:szCs w:val="16"/>
              </w:rPr>
            </w:pPr>
            <w:r w:rsidRPr="009055A9">
              <w:rPr>
                <w:rFonts w:asciiTheme="minorHAnsi" w:hAnsiTheme="minorHAnsi" w:cstheme="minorHAnsi"/>
                <w:color w:val="000000"/>
                <w:sz w:val="16"/>
                <w:szCs w:val="16"/>
              </w:rPr>
              <w:t>1</w:t>
            </w:r>
          </w:p>
        </w:tc>
        <w:tc>
          <w:tcPr>
            <w:tcW w:w="197" w:type="pct"/>
            <w:tcMar>
              <w:left w:w="0" w:type="dxa"/>
              <w:right w:w="43" w:type="dxa"/>
            </w:tcMar>
            <w:vAlign w:val="center"/>
          </w:tcPr>
          <w:p w:rsidRPr="009055A9" w:rsidR="0023718B" w:rsidP="000E31AA" w:rsidRDefault="0023718B" w14:paraId="11C64F1B" w14:textId="3AB242AF">
            <w:pPr>
              <w:jc w:val="right"/>
              <w:rPr>
                <w:rFonts w:asciiTheme="minorHAnsi" w:hAnsiTheme="minorHAnsi" w:cstheme="minorHAnsi"/>
                <w:sz w:val="16"/>
                <w:szCs w:val="16"/>
              </w:rPr>
            </w:pPr>
            <w:r w:rsidRPr="009055A9">
              <w:rPr>
                <w:rFonts w:asciiTheme="minorHAnsi" w:hAnsiTheme="minorHAnsi" w:cstheme="minorHAnsi"/>
                <w:color w:val="000000"/>
                <w:sz w:val="16"/>
                <w:szCs w:val="16"/>
              </w:rPr>
              <w:t>1,777</w:t>
            </w:r>
          </w:p>
        </w:tc>
        <w:tc>
          <w:tcPr>
            <w:tcW w:w="148" w:type="pct"/>
            <w:tcMar>
              <w:left w:w="0" w:type="dxa"/>
              <w:right w:w="43" w:type="dxa"/>
            </w:tcMar>
            <w:vAlign w:val="center"/>
          </w:tcPr>
          <w:p w:rsidRPr="009055A9" w:rsidR="0023718B" w:rsidP="000E31AA" w:rsidRDefault="0023718B" w14:paraId="413E3DBA" w14:textId="63B50ED6">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96" w:type="pct"/>
            <w:tcMar>
              <w:left w:w="0" w:type="dxa"/>
              <w:right w:w="43" w:type="dxa"/>
            </w:tcMar>
            <w:vAlign w:val="center"/>
          </w:tcPr>
          <w:p w:rsidRPr="009055A9" w:rsidR="0023718B" w:rsidP="000E31AA" w:rsidRDefault="0023718B" w14:paraId="4ED84F1C" w14:textId="34070AB9">
            <w:pPr>
              <w:jc w:val="right"/>
              <w:rPr>
                <w:rFonts w:asciiTheme="minorHAnsi" w:hAnsiTheme="minorHAnsi" w:cstheme="minorHAnsi"/>
                <w:sz w:val="16"/>
                <w:szCs w:val="16"/>
              </w:rPr>
            </w:pPr>
            <w:r w:rsidRPr="009055A9">
              <w:rPr>
                <w:rFonts w:asciiTheme="minorHAnsi" w:hAnsiTheme="minorHAnsi" w:cstheme="minorHAnsi"/>
                <w:sz w:val="16"/>
                <w:szCs w:val="16"/>
              </w:rPr>
              <w:t>1,556</w:t>
            </w:r>
          </w:p>
        </w:tc>
        <w:tc>
          <w:tcPr>
            <w:tcW w:w="143" w:type="pct"/>
            <w:tcMar>
              <w:left w:w="0" w:type="dxa"/>
              <w:right w:w="43" w:type="dxa"/>
            </w:tcMar>
            <w:vAlign w:val="center"/>
          </w:tcPr>
          <w:p w:rsidRPr="009055A9" w:rsidR="0023718B" w:rsidP="000E31AA" w:rsidRDefault="0023718B" w14:paraId="717E5365" w14:textId="0D333307">
            <w:pPr>
              <w:jc w:val="right"/>
              <w:rPr>
                <w:rFonts w:asciiTheme="minorHAnsi" w:hAnsiTheme="minorHAnsi" w:cstheme="minorHAnsi"/>
                <w:sz w:val="16"/>
                <w:szCs w:val="16"/>
              </w:rPr>
            </w:pPr>
            <w:r w:rsidRPr="009055A9">
              <w:rPr>
                <w:rFonts w:asciiTheme="minorHAnsi" w:hAnsiTheme="minorHAnsi" w:cstheme="minorHAnsi"/>
                <w:sz w:val="16"/>
                <w:szCs w:val="16"/>
              </w:rPr>
              <w:t>7</w:t>
            </w:r>
          </w:p>
        </w:tc>
        <w:tc>
          <w:tcPr>
            <w:tcW w:w="178" w:type="pct"/>
            <w:shd w:val="clear" w:color="000000" w:fill="FFFFFF"/>
            <w:noWrap/>
            <w:tcMar>
              <w:left w:w="0" w:type="dxa"/>
              <w:right w:w="43" w:type="dxa"/>
            </w:tcMar>
            <w:vAlign w:val="center"/>
          </w:tcPr>
          <w:p w:rsidRPr="003148DB" w:rsidR="0023718B" w:rsidP="000E31AA" w:rsidRDefault="0023718B" w14:paraId="1228CF4F" w14:textId="2EAC6B0C">
            <w:pPr>
              <w:jc w:val="right"/>
              <w:rPr>
                <w:rFonts w:asciiTheme="minorHAnsi" w:hAnsiTheme="minorHAnsi" w:cstheme="minorHAnsi"/>
                <w:sz w:val="16"/>
                <w:szCs w:val="16"/>
              </w:rPr>
            </w:pPr>
            <w:r w:rsidRPr="003148DB">
              <w:rPr>
                <w:rFonts w:asciiTheme="minorHAnsi" w:hAnsiTheme="minorHAnsi" w:cstheme="minorHAnsi"/>
                <w:color w:val="000000"/>
                <w:sz w:val="16"/>
                <w:szCs w:val="16"/>
              </w:rPr>
              <w:t>1,985</w:t>
            </w:r>
          </w:p>
        </w:tc>
        <w:tc>
          <w:tcPr>
            <w:tcW w:w="151" w:type="pct"/>
            <w:shd w:val="clear" w:color="000000" w:fill="FFFFFF"/>
            <w:noWrap/>
            <w:tcMar>
              <w:left w:w="0" w:type="dxa"/>
              <w:right w:w="43" w:type="dxa"/>
            </w:tcMar>
            <w:vAlign w:val="center"/>
          </w:tcPr>
          <w:p w:rsidRPr="003148DB" w:rsidR="0023718B" w:rsidP="000E31AA" w:rsidRDefault="0023718B" w14:paraId="42A5D6A7" w14:textId="27938700">
            <w:pPr>
              <w:jc w:val="right"/>
              <w:rPr>
                <w:rFonts w:asciiTheme="minorHAnsi" w:hAnsiTheme="minorHAnsi" w:cstheme="minorHAnsi"/>
                <w:sz w:val="16"/>
                <w:szCs w:val="16"/>
              </w:rPr>
            </w:pPr>
            <w:r w:rsidRPr="003148DB">
              <w:rPr>
                <w:rFonts w:asciiTheme="minorHAnsi" w:hAnsiTheme="minorHAnsi" w:cstheme="minorHAnsi"/>
                <w:color w:val="000000"/>
                <w:sz w:val="16"/>
                <w:szCs w:val="16"/>
              </w:rPr>
              <w:t>6.8</w:t>
            </w:r>
          </w:p>
        </w:tc>
      </w:tr>
      <w:tr w:rsidRPr="003148DB" w:rsidR="0023718B" w:rsidTr="000D41FC" w14:paraId="210BCD6D"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7A81C4C4" w14:textId="3A20E2D0">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7A65B2CA" w14:textId="2D721DC2">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Entergy Nuclear</w:t>
            </w:r>
          </w:p>
        </w:tc>
        <w:tc>
          <w:tcPr>
            <w:tcW w:w="321" w:type="pct"/>
            <w:shd w:val="clear" w:color="auto" w:fill="auto"/>
            <w:noWrap/>
            <w:tcMar>
              <w:left w:w="58" w:type="dxa"/>
              <w:right w:w="29" w:type="dxa"/>
            </w:tcMar>
            <w:vAlign w:val="center"/>
            <w:hideMark/>
          </w:tcPr>
          <w:p w:rsidRPr="009055A9" w:rsidR="0023718B" w:rsidP="000E31AA" w:rsidRDefault="0023718B" w14:paraId="2A88F14F" w14:textId="1603C8EC">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Arkansas Nuclear One</w:t>
            </w:r>
          </w:p>
        </w:tc>
        <w:tc>
          <w:tcPr>
            <w:tcW w:w="123" w:type="pct"/>
            <w:shd w:val="clear" w:color="auto" w:fill="auto"/>
            <w:noWrap/>
            <w:tcMar>
              <w:left w:w="58" w:type="dxa"/>
              <w:right w:w="58" w:type="dxa"/>
            </w:tcMar>
            <w:vAlign w:val="center"/>
            <w:hideMark/>
          </w:tcPr>
          <w:p w:rsidRPr="009055A9" w:rsidR="0023718B" w:rsidP="000E31AA" w:rsidRDefault="0023718B" w14:paraId="629E3C56" w14:textId="69C81D41">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6B7DAADF" w14:textId="3C028B4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2,309</w:t>
            </w:r>
          </w:p>
        </w:tc>
        <w:tc>
          <w:tcPr>
            <w:tcW w:w="123" w:type="pct"/>
            <w:shd w:val="clear" w:color="auto" w:fill="auto"/>
            <w:noWrap/>
            <w:tcMar>
              <w:left w:w="0" w:type="dxa"/>
              <w:right w:w="43" w:type="dxa"/>
            </w:tcMar>
            <w:vAlign w:val="center"/>
            <w:hideMark/>
          </w:tcPr>
          <w:p w:rsidRPr="009055A9" w:rsidR="0023718B" w:rsidP="000E31AA" w:rsidRDefault="0023718B" w14:paraId="4F1121F9" w14:textId="22442B4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0" w:type="pct"/>
            <w:shd w:val="clear" w:color="auto" w:fill="auto"/>
            <w:noWrap/>
            <w:tcMar>
              <w:left w:w="0" w:type="dxa"/>
              <w:right w:w="43" w:type="dxa"/>
            </w:tcMar>
            <w:vAlign w:val="center"/>
            <w:hideMark/>
          </w:tcPr>
          <w:p w:rsidRPr="009055A9" w:rsidR="0023718B" w:rsidP="000E31AA" w:rsidRDefault="0023718B" w14:paraId="5F513C20" w14:textId="14CF703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2,628</w:t>
            </w:r>
          </w:p>
        </w:tc>
        <w:tc>
          <w:tcPr>
            <w:tcW w:w="125" w:type="pct"/>
            <w:shd w:val="clear" w:color="auto" w:fill="auto"/>
            <w:noWrap/>
            <w:tcMar>
              <w:left w:w="0" w:type="dxa"/>
              <w:right w:w="43" w:type="dxa"/>
            </w:tcMar>
            <w:vAlign w:val="center"/>
            <w:hideMark/>
          </w:tcPr>
          <w:p w:rsidRPr="009055A9" w:rsidR="0023718B" w:rsidP="000E31AA" w:rsidRDefault="0023718B" w14:paraId="4A7C7C54" w14:textId="27E437D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2" w:type="pct"/>
            <w:shd w:val="clear" w:color="auto" w:fill="auto"/>
            <w:noWrap/>
            <w:tcMar>
              <w:left w:w="0" w:type="dxa"/>
              <w:right w:w="43" w:type="dxa"/>
            </w:tcMar>
            <w:vAlign w:val="center"/>
            <w:hideMark/>
          </w:tcPr>
          <w:p w:rsidRPr="009055A9" w:rsidR="0023718B" w:rsidP="000E31AA" w:rsidRDefault="0023718B" w14:paraId="24BA8127" w14:textId="0C5A847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2,820</w:t>
            </w:r>
          </w:p>
        </w:tc>
        <w:tc>
          <w:tcPr>
            <w:tcW w:w="123" w:type="pct"/>
            <w:shd w:val="clear" w:color="auto" w:fill="auto"/>
            <w:noWrap/>
            <w:tcMar>
              <w:left w:w="0" w:type="dxa"/>
              <w:right w:w="43" w:type="dxa"/>
            </w:tcMar>
            <w:vAlign w:val="center"/>
            <w:hideMark/>
          </w:tcPr>
          <w:p w:rsidRPr="009055A9" w:rsidR="0023718B" w:rsidP="000E31AA" w:rsidRDefault="0023718B" w14:paraId="21F97875" w14:textId="5999B73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25</w:t>
            </w:r>
          </w:p>
        </w:tc>
        <w:tc>
          <w:tcPr>
            <w:tcW w:w="194" w:type="pct"/>
            <w:shd w:val="clear" w:color="auto" w:fill="auto"/>
            <w:noWrap/>
            <w:tcMar>
              <w:left w:w="0" w:type="dxa"/>
              <w:right w:w="43" w:type="dxa"/>
            </w:tcMar>
            <w:vAlign w:val="center"/>
            <w:hideMark/>
          </w:tcPr>
          <w:p w:rsidRPr="009055A9" w:rsidR="0023718B" w:rsidP="000E31AA" w:rsidRDefault="0023718B" w14:paraId="7A8ED852" w14:textId="6075DE7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2,407</w:t>
            </w:r>
          </w:p>
        </w:tc>
        <w:tc>
          <w:tcPr>
            <w:tcW w:w="123" w:type="pct"/>
            <w:shd w:val="clear" w:color="auto" w:fill="auto"/>
            <w:noWrap/>
            <w:tcMar>
              <w:left w:w="0" w:type="dxa"/>
              <w:right w:w="43" w:type="dxa"/>
            </w:tcMar>
            <w:vAlign w:val="center"/>
            <w:hideMark/>
          </w:tcPr>
          <w:p w:rsidRPr="009055A9" w:rsidR="0023718B" w:rsidP="000E31AA" w:rsidRDefault="0023718B" w14:paraId="550DCE5B" w14:textId="04958C2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97" w:type="pct"/>
            <w:shd w:val="clear" w:color="auto" w:fill="auto"/>
            <w:noWrap/>
            <w:tcMar>
              <w:left w:w="0" w:type="dxa"/>
              <w:right w:w="43" w:type="dxa"/>
            </w:tcMar>
            <w:vAlign w:val="center"/>
            <w:hideMark/>
          </w:tcPr>
          <w:p w:rsidRPr="009055A9" w:rsidR="0023718B" w:rsidP="000E31AA" w:rsidRDefault="0023718B" w14:paraId="0DB2499C" w14:textId="4642D1E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3,182</w:t>
            </w:r>
          </w:p>
        </w:tc>
        <w:tc>
          <w:tcPr>
            <w:tcW w:w="125" w:type="pct"/>
            <w:shd w:val="clear" w:color="auto" w:fill="auto"/>
            <w:noWrap/>
            <w:tcMar>
              <w:left w:w="0" w:type="dxa"/>
              <w:right w:w="43" w:type="dxa"/>
            </w:tcMar>
            <w:vAlign w:val="center"/>
            <w:hideMark/>
          </w:tcPr>
          <w:p w:rsidRPr="009055A9" w:rsidR="0023718B" w:rsidP="000E31AA" w:rsidRDefault="0023718B" w14:paraId="0BBEA344" w14:textId="2135390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32</w:t>
            </w:r>
          </w:p>
        </w:tc>
        <w:tc>
          <w:tcPr>
            <w:tcW w:w="170" w:type="pct"/>
            <w:shd w:val="clear" w:color="auto" w:fill="auto"/>
            <w:noWrap/>
            <w:tcMar>
              <w:left w:w="0" w:type="dxa"/>
              <w:right w:w="43" w:type="dxa"/>
            </w:tcMar>
            <w:vAlign w:val="center"/>
            <w:hideMark/>
          </w:tcPr>
          <w:p w:rsidRPr="009055A9" w:rsidR="0023718B" w:rsidP="000E31AA" w:rsidRDefault="0023718B" w14:paraId="2B8A2705" w14:textId="0949E4B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2,331</w:t>
            </w:r>
          </w:p>
        </w:tc>
        <w:tc>
          <w:tcPr>
            <w:tcW w:w="148" w:type="pct"/>
            <w:shd w:val="clear" w:color="auto" w:fill="auto"/>
            <w:noWrap/>
            <w:tcMar>
              <w:left w:w="0" w:type="dxa"/>
              <w:right w:w="43" w:type="dxa"/>
            </w:tcMar>
            <w:vAlign w:val="center"/>
            <w:hideMark/>
          </w:tcPr>
          <w:p w:rsidRPr="009055A9" w:rsidR="0023718B" w:rsidP="000E31AA" w:rsidRDefault="0023718B" w14:paraId="6E07B0F2" w14:textId="721B92D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w:t>
            </w:r>
          </w:p>
        </w:tc>
        <w:tc>
          <w:tcPr>
            <w:tcW w:w="172" w:type="pct"/>
            <w:tcMar>
              <w:left w:w="0" w:type="dxa"/>
              <w:right w:w="43" w:type="dxa"/>
            </w:tcMar>
            <w:vAlign w:val="center"/>
          </w:tcPr>
          <w:p w:rsidRPr="009055A9" w:rsidR="0023718B" w:rsidP="000E31AA" w:rsidRDefault="0023718B" w14:paraId="0E4F7E4F" w14:textId="26DDE1C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3,804</w:t>
            </w:r>
          </w:p>
        </w:tc>
        <w:tc>
          <w:tcPr>
            <w:tcW w:w="124" w:type="pct"/>
            <w:tcMar>
              <w:left w:w="0" w:type="dxa"/>
              <w:right w:w="43" w:type="dxa"/>
            </w:tcMar>
            <w:vAlign w:val="center"/>
          </w:tcPr>
          <w:p w:rsidRPr="009055A9" w:rsidR="0023718B" w:rsidP="000E31AA" w:rsidRDefault="0023718B" w14:paraId="7181C10D" w14:textId="292A8F3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35</w:t>
            </w:r>
          </w:p>
        </w:tc>
        <w:tc>
          <w:tcPr>
            <w:tcW w:w="173" w:type="pct"/>
            <w:tcMar>
              <w:left w:w="0" w:type="dxa"/>
              <w:right w:w="43" w:type="dxa"/>
            </w:tcMar>
            <w:vAlign w:val="center"/>
          </w:tcPr>
          <w:p w:rsidRPr="009055A9" w:rsidR="0023718B" w:rsidP="000E31AA" w:rsidRDefault="0023718B" w14:paraId="603FDBE8" w14:textId="60C6071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3,061</w:t>
            </w:r>
          </w:p>
        </w:tc>
        <w:tc>
          <w:tcPr>
            <w:tcW w:w="146" w:type="pct"/>
            <w:tcMar>
              <w:left w:w="0" w:type="dxa"/>
              <w:right w:w="43" w:type="dxa"/>
            </w:tcMar>
            <w:vAlign w:val="center"/>
          </w:tcPr>
          <w:p w:rsidRPr="009055A9" w:rsidR="0023718B" w:rsidP="000E31AA" w:rsidRDefault="0023718B" w14:paraId="268222C6" w14:textId="280B588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75" w:type="pct"/>
            <w:tcMar>
              <w:left w:w="0" w:type="dxa"/>
              <w:right w:w="43" w:type="dxa"/>
            </w:tcMar>
            <w:vAlign w:val="center"/>
          </w:tcPr>
          <w:p w:rsidRPr="009055A9" w:rsidR="0023718B" w:rsidP="000E31AA" w:rsidRDefault="0023718B" w14:paraId="325DBA12" w14:textId="564FCB9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3,013</w:t>
            </w:r>
          </w:p>
        </w:tc>
        <w:tc>
          <w:tcPr>
            <w:tcW w:w="149" w:type="pct"/>
            <w:tcMar>
              <w:left w:w="0" w:type="dxa"/>
              <w:right w:w="43" w:type="dxa"/>
            </w:tcMar>
            <w:vAlign w:val="center"/>
          </w:tcPr>
          <w:p w:rsidRPr="009055A9" w:rsidR="0023718B" w:rsidP="000E31AA" w:rsidRDefault="0023718B" w14:paraId="764E62E8" w14:textId="4E435C6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47</w:t>
            </w:r>
          </w:p>
        </w:tc>
        <w:tc>
          <w:tcPr>
            <w:tcW w:w="197" w:type="pct"/>
            <w:tcMar>
              <w:left w:w="0" w:type="dxa"/>
              <w:right w:w="43" w:type="dxa"/>
            </w:tcMar>
            <w:vAlign w:val="center"/>
          </w:tcPr>
          <w:p w:rsidRPr="009055A9" w:rsidR="0023718B" w:rsidP="000E31AA" w:rsidRDefault="0023718B" w14:paraId="0BF84CC8" w14:textId="093D3D8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3,939</w:t>
            </w:r>
          </w:p>
        </w:tc>
        <w:tc>
          <w:tcPr>
            <w:tcW w:w="148" w:type="pct"/>
            <w:tcMar>
              <w:left w:w="0" w:type="dxa"/>
              <w:right w:w="43" w:type="dxa"/>
            </w:tcMar>
            <w:vAlign w:val="center"/>
          </w:tcPr>
          <w:p w:rsidRPr="009055A9" w:rsidR="0023718B" w:rsidP="000E31AA" w:rsidRDefault="0023718B" w14:paraId="4CE736EE" w14:textId="0D6F2B6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35</w:t>
            </w:r>
          </w:p>
        </w:tc>
        <w:tc>
          <w:tcPr>
            <w:tcW w:w="196" w:type="pct"/>
            <w:tcMar>
              <w:left w:w="0" w:type="dxa"/>
              <w:right w:w="43" w:type="dxa"/>
            </w:tcMar>
            <w:vAlign w:val="center"/>
          </w:tcPr>
          <w:p w:rsidRPr="009055A9" w:rsidR="0023718B" w:rsidP="000E31AA" w:rsidRDefault="0023718B" w14:paraId="0372DF5B" w14:textId="7CE0FEC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2,693</w:t>
            </w:r>
          </w:p>
        </w:tc>
        <w:tc>
          <w:tcPr>
            <w:tcW w:w="143" w:type="pct"/>
            <w:tcMar>
              <w:left w:w="0" w:type="dxa"/>
              <w:right w:w="43" w:type="dxa"/>
            </w:tcMar>
            <w:vAlign w:val="center"/>
          </w:tcPr>
          <w:p w:rsidRPr="009055A9" w:rsidR="0023718B" w:rsidP="000E31AA" w:rsidRDefault="0023718B" w14:paraId="3FD39E20" w14:textId="5E9C36B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w:t>
            </w:r>
          </w:p>
        </w:tc>
        <w:tc>
          <w:tcPr>
            <w:tcW w:w="178" w:type="pct"/>
            <w:shd w:val="clear" w:color="000000" w:fill="FFFFFF"/>
            <w:noWrap/>
            <w:tcMar>
              <w:left w:w="0" w:type="dxa"/>
              <w:right w:w="43" w:type="dxa"/>
            </w:tcMar>
            <w:vAlign w:val="center"/>
          </w:tcPr>
          <w:p w:rsidRPr="003148DB" w:rsidR="0023718B" w:rsidP="000E31AA" w:rsidRDefault="0023718B" w14:paraId="381C34B7" w14:textId="61AEC418">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2,926</w:t>
            </w:r>
          </w:p>
        </w:tc>
        <w:tc>
          <w:tcPr>
            <w:tcW w:w="151" w:type="pct"/>
            <w:shd w:val="clear" w:color="000000" w:fill="FFFFFF"/>
            <w:noWrap/>
            <w:tcMar>
              <w:left w:w="0" w:type="dxa"/>
              <w:right w:w="43" w:type="dxa"/>
            </w:tcMar>
            <w:vAlign w:val="center"/>
          </w:tcPr>
          <w:p w:rsidRPr="003148DB" w:rsidR="0023718B" w:rsidP="000E31AA" w:rsidRDefault="0023718B" w14:paraId="2D1F339D" w14:textId="08A5B64C">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26.6</w:t>
            </w:r>
          </w:p>
        </w:tc>
      </w:tr>
      <w:tr w:rsidRPr="003148DB" w:rsidR="0023718B" w:rsidTr="000D41FC" w14:paraId="1B55EEB1"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5CD49BB3" w14:textId="77777777">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6365F858" w14:textId="6850174E">
            <w:pPr>
              <w:keepNext/>
              <w:keepLines/>
              <w:rPr>
                <w:rFonts w:asciiTheme="minorHAnsi" w:hAnsiTheme="minorHAnsi" w:cstheme="minorHAnsi"/>
                <w:sz w:val="16"/>
                <w:szCs w:val="16"/>
              </w:rPr>
            </w:pPr>
            <w:r w:rsidRPr="009055A9">
              <w:rPr>
                <w:rFonts w:asciiTheme="minorHAnsi" w:hAnsiTheme="minorHAnsi" w:cstheme="minorHAnsi"/>
                <w:sz w:val="16"/>
                <w:szCs w:val="16"/>
              </w:rPr>
              <w:t>Energy Harbor</w:t>
            </w:r>
          </w:p>
        </w:tc>
        <w:tc>
          <w:tcPr>
            <w:tcW w:w="321" w:type="pct"/>
            <w:shd w:val="clear" w:color="auto" w:fill="auto"/>
            <w:noWrap/>
            <w:tcMar>
              <w:left w:w="58" w:type="dxa"/>
              <w:right w:w="29" w:type="dxa"/>
            </w:tcMar>
            <w:vAlign w:val="center"/>
            <w:hideMark/>
          </w:tcPr>
          <w:p w:rsidRPr="009055A9" w:rsidR="0023718B" w:rsidP="000E31AA" w:rsidRDefault="0023718B" w14:paraId="59F52B66" w14:textId="1AD01C8E">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Beaver Valley</w:t>
            </w:r>
          </w:p>
        </w:tc>
        <w:tc>
          <w:tcPr>
            <w:tcW w:w="123" w:type="pct"/>
            <w:shd w:val="clear" w:color="auto" w:fill="auto"/>
            <w:noWrap/>
            <w:tcMar>
              <w:left w:w="58" w:type="dxa"/>
              <w:right w:w="58" w:type="dxa"/>
            </w:tcMar>
            <w:vAlign w:val="center"/>
            <w:hideMark/>
          </w:tcPr>
          <w:p w:rsidRPr="009055A9" w:rsidR="0023718B" w:rsidP="000E31AA" w:rsidRDefault="0023718B" w14:paraId="2D8EC352" w14:textId="18B5773C">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58E7DD68" w14:textId="5645C08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2,924</w:t>
            </w:r>
          </w:p>
        </w:tc>
        <w:tc>
          <w:tcPr>
            <w:tcW w:w="123" w:type="pct"/>
            <w:shd w:val="clear" w:color="auto" w:fill="auto"/>
            <w:noWrap/>
            <w:tcMar>
              <w:left w:w="0" w:type="dxa"/>
              <w:right w:w="43" w:type="dxa"/>
            </w:tcMar>
            <w:vAlign w:val="center"/>
            <w:hideMark/>
          </w:tcPr>
          <w:p w:rsidRPr="009055A9" w:rsidR="0023718B" w:rsidP="000E31AA" w:rsidRDefault="0023718B" w14:paraId="5225B699" w14:textId="00E49BA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70" w:type="pct"/>
            <w:shd w:val="clear" w:color="auto" w:fill="auto"/>
            <w:noWrap/>
            <w:tcMar>
              <w:left w:w="0" w:type="dxa"/>
              <w:right w:w="43" w:type="dxa"/>
            </w:tcMar>
            <w:vAlign w:val="center"/>
            <w:hideMark/>
          </w:tcPr>
          <w:p w:rsidRPr="009055A9" w:rsidR="0023718B" w:rsidP="000E31AA" w:rsidRDefault="0023718B" w14:paraId="0BDAE0EE" w14:textId="5B09160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2,149</w:t>
            </w:r>
          </w:p>
        </w:tc>
        <w:tc>
          <w:tcPr>
            <w:tcW w:w="125" w:type="pct"/>
            <w:shd w:val="clear" w:color="auto" w:fill="auto"/>
            <w:noWrap/>
            <w:tcMar>
              <w:left w:w="0" w:type="dxa"/>
              <w:right w:w="43" w:type="dxa"/>
            </w:tcMar>
            <w:vAlign w:val="center"/>
            <w:hideMark/>
          </w:tcPr>
          <w:p w:rsidRPr="009055A9" w:rsidR="0023718B" w:rsidP="000E31AA" w:rsidRDefault="0023718B" w14:paraId="66F3B9AA" w14:textId="1BD1311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2" w:type="pct"/>
            <w:shd w:val="clear" w:color="auto" w:fill="auto"/>
            <w:noWrap/>
            <w:tcMar>
              <w:left w:w="0" w:type="dxa"/>
              <w:right w:w="43" w:type="dxa"/>
            </w:tcMar>
            <w:vAlign w:val="center"/>
            <w:hideMark/>
          </w:tcPr>
          <w:p w:rsidRPr="009055A9" w:rsidR="0023718B" w:rsidP="000E31AA" w:rsidRDefault="0023718B" w14:paraId="2F26993B" w14:textId="09F1FA4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2,129</w:t>
            </w:r>
          </w:p>
        </w:tc>
        <w:tc>
          <w:tcPr>
            <w:tcW w:w="123" w:type="pct"/>
            <w:shd w:val="clear" w:color="auto" w:fill="auto"/>
            <w:noWrap/>
            <w:tcMar>
              <w:left w:w="0" w:type="dxa"/>
              <w:right w:w="43" w:type="dxa"/>
            </w:tcMar>
            <w:vAlign w:val="center"/>
            <w:hideMark/>
          </w:tcPr>
          <w:p w:rsidRPr="009055A9" w:rsidR="0023718B" w:rsidP="000E31AA" w:rsidRDefault="0023718B" w14:paraId="76D14A8A" w14:textId="7AA2898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94" w:type="pct"/>
            <w:shd w:val="clear" w:color="auto" w:fill="auto"/>
            <w:noWrap/>
            <w:tcMar>
              <w:left w:w="0" w:type="dxa"/>
              <w:right w:w="43" w:type="dxa"/>
            </w:tcMar>
            <w:vAlign w:val="center"/>
            <w:hideMark/>
          </w:tcPr>
          <w:p w:rsidRPr="009055A9" w:rsidR="0023718B" w:rsidP="000E31AA" w:rsidRDefault="0023718B" w14:paraId="562595BB" w14:textId="699849F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3,391</w:t>
            </w:r>
          </w:p>
        </w:tc>
        <w:tc>
          <w:tcPr>
            <w:tcW w:w="123" w:type="pct"/>
            <w:shd w:val="clear" w:color="auto" w:fill="auto"/>
            <w:noWrap/>
            <w:tcMar>
              <w:left w:w="0" w:type="dxa"/>
              <w:right w:w="43" w:type="dxa"/>
            </w:tcMar>
            <w:vAlign w:val="center"/>
            <w:hideMark/>
          </w:tcPr>
          <w:p w:rsidRPr="009055A9" w:rsidR="0023718B" w:rsidP="000E31AA" w:rsidRDefault="0023718B" w14:paraId="7AEDFBAD" w14:textId="53B2178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97" w:type="pct"/>
            <w:shd w:val="clear" w:color="auto" w:fill="auto"/>
            <w:noWrap/>
            <w:tcMar>
              <w:left w:w="0" w:type="dxa"/>
              <w:right w:w="43" w:type="dxa"/>
            </w:tcMar>
            <w:vAlign w:val="center"/>
            <w:hideMark/>
          </w:tcPr>
          <w:p w:rsidRPr="009055A9" w:rsidR="0023718B" w:rsidP="000E31AA" w:rsidRDefault="0023718B" w14:paraId="16DD0666" w14:textId="423AC3B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2,736</w:t>
            </w:r>
          </w:p>
        </w:tc>
        <w:tc>
          <w:tcPr>
            <w:tcW w:w="125" w:type="pct"/>
            <w:shd w:val="clear" w:color="auto" w:fill="auto"/>
            <w:noWrap/>
            <w:tcMar>
              <w:left w:w="0" w:type="dxa"/>
              <w:right w:w="43" w:type="dxa"/>
            </w:tcMar>
            <w:vAlign w:val="center"/>
            <w:hideMark/>
          </w:tcPr>
          <w:p w:rsidRPr="009055A9" w:rsidR="0023718B" w:rsidP="000E31AA" w:rsidRDefault="0023718B" w14:paraId="384B35EC" w14:textId="582C1FE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0" w:type="pct"/>
            <w:shd w:val="clear" w:color="auto" w:fill="auto"/>
            <w:noWrap/>
            <w:tcMar>
              <w:left w:w="0" w:type="dxa"/>
              <w:right w:w="43" w:type="dxa"/>
            </w:tcMar>
            <w:vAlign w:val="center"/>
            <w:hideMark/>
          </w:tcPr>
          <w:p w:rsidRPr="009055A9" w:rsidR="0023718B" w:rsidP="000E31AA" w:rsidRDefault="0023718B" w14:paraId="3860616C" w14:textId="0CE8E9A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2,683</w:t>
            </w:r>
          </w:p>
        </w:tc>
        <w:tc>
          <w:tcPr>
            <w:tcW w:w="148" w:type="pct"/>
            <w:shd w:val="clear" w:color="auto" w:fill="auto"/>
            <w:noWrap/>
            <w:tcMar>
              <w:left w:w="0" w:type="dxa"/>
              <w:right w:w="43" w:type="dxa"/>
            </w:tcMar>
            <w:vAlign w:val="center"/>
            <w:hideMark/>
          </w:tcPr>
          <w:p w:rsidRPr="009055A9" w:rsidR="0023718B" w:rsidP="000E31AA" w:rsidRDefault="0023718B" w14:paraId="64863909" w14:textId="1BE8D65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2" w:type="pct"/>
            <w:tcMar>
              <w:left w:w="0" w:type="dxa"/>
              <w:right w:w="43" w:type="dxa"/>
            </w:tcMar>
            <w:vAlign w:val="center"/>
          </w:tcPr>
          <w:p w:rsidRPr="009055A9" w:rsidR="0023718B" w:rsidP="000E31AA" w:rsidRDefault="0023718B" w14:paraId="15858653" w14:textId="4E73571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3,322</w:t>
            </w:r>
          </w:p>
        </w:tc>
        <w:tc>
          <w:tcPr>
            <w:tcW w:w="124" w:type="pct"/>
            <w:tcMar>
              <w:left w:w="0" w:type="dxa"/>
              <w:right w:w="43" w:type="dxa"/>
            </w:tcMar>
            <w:vAlign w:val="center"/>
          </w:tcPr>
          <w:p w:rsidRPr="009055A9" w:rsidR="0023718B" w:rsidP="000E31AA" w:rsidRDefault="0023718B" w14:paraId="790A692C" w14:textId="39E1E46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3" w:type="pct"/>
            <w:tcMar>
              <w:left w:w="0" w:type="dxa"/>
              <w:right w:w="43" w:type="dxa"/>
            </w:tcMar>
            <w:vAlign w:val="center"/>
          </w:tcPr>
          <w:p w:rsidRPr="009055A9" w:rsidR="0023718B" w:rsidP="000E31AA" w:rsidRDefault="0023718B" w14:paraId="23F73741" w14:textId="2A0325D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2,381</w:t>
            </w:r>
          </w:p>
        </w:tc>
        <w:tc>
          <w:tcPr>
            <w:tcW w:w="146" w:type="pct"/>
            <w:tcMar>
              <w:left w:w="0" w:type="dxa"/>
              <w:right w:w="43" w:type="dxa"/>
            </w:tcMar>
            <w:vAlign w:val="center"/>
          </w:tcPr>
          <w:p w:rsidRPr="009055A9" w:rsidR="0023718B" w:rsidP="000E31AA" w:rsidRDefault="0023718B" w14:paraId="3EE8FCE7" w14:textId="55CFA9A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5" w:type="pct"/>
            <w:tcMar>
              <w:left w:w="0" w:type="dxa"/>
              <w:right w:w="43" w:type="dxa"/>
            </w:tcMar>
            <w:vAlign w:val="center"/>
          </w:tcPr>
          <w:p w:rsidRPr="009055A9" w:rsidR="0023718B" w:rsidP="000E31AA" w:rsidRDefault="0023718B" w14:paraId="6430DD0F" w14:textId="1AAD6CB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1,839</w:t>
            </w:r>
          </w:p>
        </w:tc>
        <w:tc>
          <w:tcPr>
            <w:tcW w:w="149" w:type="pct"/>
            <w:tcMar>
              <w:left w:w="0" w:type="dxa"/>
              <w:right w:w="43" w:type="dxa"/>
            </w:tcMar>
            <w:vAlign w:val="center"/>
          </w:tcPr>
          <w:p w:rsidRPr="009055A9" w:rsidR="0023718B" w:rsidP="000E31AA" w:rsidRDefault="0023718B" w14:paraId="1E5898A7" w14:textId="0A30E05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97" w:type="pct"/>
            <w:tcMar>
              <w:left w:w="0" w:type="dxa"/>
              <w:right w:w="43" w:type="dxa"/>
            </w:tcMar>
            <w:vAlign w:val="center"/>
          </w:tcPr>
          <w:p w:rsidRPr="009055A9" w:rsidR="0023718B" w:rsidP="000E31AA" w:rsidRDefault="0023718B" w14:paraId="26B44951" w14:textId="101BD32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2,292</w:t>
            </w:r>
          </w:p>
        </w:tc>
        <w:tc>
          <w:tcPr>
            <w:tcW w:w="148" w:type="pct"/>
            <w:tcMar>
              <w:left w:w="0" w:type="dxa"/>
              <w:right w:w="43" w:type="dxa"/>
            </w:tcMar>
            <w:vAlign w:val="center"/>
          </w:tcPr>
          <w:p w:rsidRPr="009055A9" w:rsidR="0023718B" w:rsidP="000E31AA" w:rsidRDefault="0023718B" w14:paraId="4FF91B53" w14:textId="1680860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6" w:type="pct"/>
            <w:tcMar>
              <w:left w:w="0" w:type="dxa"/>
              <w:right w:w="43" w:type="dxa"/>
            </w:tcMar>
            <w:vAlign w:val="center"/>
          </w:tcPr>
          <w:p w:rsidRPr="009055A9" w:rsidR="0023718B" w:rsidP="000E31AA" w:rsidRDefault="0023718B" w14:paraId="23686475" w14:textId="5BA305A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1,765</w:t>
            </w:r>
          </w:p>
        </w:tc>
        <w:tc>
          <w:tcPr>
            <w:tcW w:w="143" w:type="pct"/>
            <w:tcMar>
              <w:left w:w="0" w:type="dxa"/>
              <w:right w:w="43" w:type="dxa"/>
            </w:tcMar>
            <w:vAlign w:val="center"/>
          </w:tcPr>
          <w:p w:rsidRPr="009055A9" w:rsidR="0023718B" w:rsidP="000E31AA" w:rsidRDefault="0023718B" w14:paraId="7D1AF29E" w14:textId="181D81B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8" w:type="pct"/>
            <w:shd w:val="clear" w:color="000000" w:fill="FFFFFF"/>
            <w:noWrap/>
            <w:tcMar>
              <w:left w:w="0" w:type="dxa"/>
              <w:right w:w="43" w:type="dxa"/>
            </w:tcMar>
            <w:vAlign w:val="center"/>
          </w:tcPr>
          <w:p w:rsidRPr="003148DB" w:rsidR="0023718B" w:rsidP="000E31AA" w:rsidRDefault="0023718B" w14:paraId="0C46EF15" w14:textId="584F3276">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2,510</w:t>
            </w:r>
          </w:p>
        </w:tc>
        <w:tc>
          <w:tcPr>
            <w:tcW w:w="151" w:type="pct"/>
            <w:shd w:val="clear" w:color="000000" w:fill="FFFFFF"/>
            <w:noWrap/>
            <w:tcMar>
              <w:left w:w="0" w:type="dxa"/>
              <w:right w:w="43" w:type="dxa"/>
            </w:tcMar>
            <w:vAlign w:val="center"/>
          </w:tcPr>
          <w:p w:rsidRPr="003148DB" w:rsidR="0023718B" w:rsidP="000E31AA" w:rsidRDefault="0023718B" w14:paraId="184E9FD2" w14:textId="714FC330">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12.5</w:t>
            </w:r>
          </w:p>
        </w:tc>
      </w:tr>
      <w:tr w:rsidRPr="003148DB" w:rsidR="0023718B" w:rsidTr="000D41FC" w14:paraId="62B0CF54"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4AB2C701" w14:textId="77777777">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47894EE0" w14:textId="28C17D50">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Exelon</w:t>
            </w:r>
          </w:p>
        </w:tc>
        <w:tc>
          <w:tcPr>
            <w:tcW w:w="321" w:type="pct"/>
            <w:shd w:val="clear" w:color="auto" w:fill="auto"/>
            <w:noWrap/>
            <w:tcMar>
              <w:left w:w="58" w:type="dxa"/>
              <w:right w:w="29" w:type="dxa"/>
            </w:tcMar>
            <w:vAlign w:val="center"/>
            <w:hideMark/>
          </w:tcPr>
          <w:p w:rsidRPr="009055A9" w:rsidR="0023718B" w:rsidP="000E31AA" w:rsidRDefault="0023718B" w14:paraId="79A3B539" w14:textId="58BC0F81">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Braidwood</w:t>
            </w:r>
          </w:p>
        </w:tc>
        <w:tc>
          <w:tcPr>
            <w:tcW w:w="123" w:type="pct"/>
            <w:shd w:val="clear" w:color="auto" w:fill="auto"/>
            <w:noWrap/>
            <w:tcMar>
              <w:left w:w="58" w:type="dxa"/>
              <w:right w:w="58" w:type="dxa"/>
            </w:tcMar>
            <w:vAlign w:val="center"/>
            <w:hideMark/>
          </w:tcPr>
          <w:p w:rsidRPr="009055A9" w:rsidR="0023718B" w:rsidP="000E31AA" w:rsidRDefault="0023718B" w14:paraId="186C4159" w14:textId="71CBB806">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0C13ADB4" w14:textId="052EDD5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3,511</w:t>
            </w:r>
          </w:p>
        </w:tc>
        <w:tc>
          <w:tcPr>
            <w:tcW w:w="123" w:type="pct"/>
            <w:shd w:val="clear" w:color="auto" w:fill="auto"/>
            <w:noWrap/>
            <w:tcMar>
              <w:left w:w="0" w:type="dxa"/>
              <w:right w:w="43" w:type="dxa"/>
            </w:tcMar>
            <w:vAlign w:val="center"/>
            <w:hideMark/>
          </w:tcPr>
          <w:p w:rsidRPr="009055A9" w:rsidR="0023718B" w:rsidP="000E31AA" w:rsidRDefault="0023718B" w14:paraId="69FB98F9" w14:textId="5027AAE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33</w:t>
            </w:r>
          </w:p>
        </w:tc>
        <w:tc>
          <w:tcPr>
            <w:tcW w:w="170" w:type="pct"/>
            <w:shd w:val="clear" w:color="auto" w:fill="auto"/>
            <w:noWrap/>
            <w:tcMar>
              <w:left w:w="0" w:type="dxa"/>
              <w:right w:w="43" w:type="dxa"/>
            </w:tcMar>
            <w:vAlign w:val="center"/>
            <w:hideMark/>
          </w:tcPr>
          <w:p w:rsidRPr="009055A9" w:rsidR="0023718B" w:rsidP="000E31AA" w:rsidRDefault="0023718B" w14:paraId="74286657" w14:textId="442676E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2,510</w:t>
            </w:r>
          </w:p>
        </w:tc>
        <w:tc>
          <w:tcPr>
            <w:tcW w:w="125" w:type="pct"/>
            <w:shd w:val="clear" w:color="auto" w:fill="auto"/>
            <w:noWrap/>
            <w:tcMar>
              <w:left w:w="0" w:type="dxa"/>
              <w:right w:w="43" w:type="dxa"/>
            </w:tcMar>
            <w:vAlign w:val="center"/>
            <w:hideMark/>
          </w:tcPr>
          <w:p w:rsidRPr="009055A9" w:rsidR="0023718B" w:rsidP="000E31AA" w:rsidRDefault="0023718B" w14:paraId="4CEB084C" w14:textId="518344E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2" w:type="pct"/>
            <w:shd w:val="clear" w:color="auto" w:fill="auto"/>
            <w:noWrap/>
            <w:tcMar>
              <w:left w:w="0" w:type="dxa"/>
              <w:right w:w="43" w:type="dxa"/>
            </w:tcMar>
            <w:vAlign w:val="center"/>
            <w:hideMark/>
          </w:tcPr>
          <w:p w:rsidRPr="009055A9" w:rsidR="0023718B" w:rsidP="000E31AA" w:rsidRDefault="0023718B" w14:paraId="6FAA2CA4" w14:textId="036BDA6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2,053</w:t>
            </w:r>
          </w:p>
        </w:tc>
        <w:tc>
          <w:tcPr>
            <w:tcW w:w="123" w:type="pct"/>
            <w:shd w:val="clear" w:color="auto" w:fill="auto"/>
            <w:noWrap/>
            <w:tcMar>
              <w:left w:w="0" w:type="dxa"/>
              <w:right w:w="43" w:type="dxa"/>
            </w:tcMar>
            <w:vAlign w:val="center"/>
            <w:hideMark/>
          </w:tcPr>
          <w:p w:rsidRPr="009055A9" w:rsidR="0023718B" w:rsidP="000E31AA" w:rsidRDefault="0023718B" w14:paraId="6E7F7208" w14:textId="2AD1038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94" w:type="pct"/>
            <w:shd w:val="clear" w:color="auto" w:fill="auto"/>
            <w:noWrap/>
            <w:tcMar>
              <w:left w:w="0" w:type="dxa"/>
              <w:right w:w="43" w:type="dxa"/>
            </w:tcMar>
            <w:vAlign w:val="center"/>
            <w:hideMark/>
          </w:tcPr>
          <w:p w:rsidRPr="009055A9" w:rsidR="0023718B" w:rsidP="000E31AA" w:rsidRDefault="0023718B" w14:paraId="2A4690D2" w14:textId="6D8D908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3,013</w:t>
            </w:r>
          </w:p>
        </w:tc>
        <w:tc>
          <w:tcPr>
            <w:tcW w:w="123" w:type="pct"/>
            <w:shd w:val="clear" w:color="auto" w:fill="auto"/>
            <w:noWrap/>
            <w:tcMar>
              <w:left w:w="0" w:type="dxa"/>
              <w:right w:w="43" w:type="dxa"/>
            </w:tcMar>
            <w:vAlign w:val="center"/>
            <w:hideMark/>
          </w:tcPr>
          <w:p w:rsidRPr="009055A9" w:rsidR="0023718B" w:rsidP="000E31AA" w:rsidRDefault="0023718B" w14:paraId="702EA220" w14:textId="63962E9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7" w:type="pct"/>
            <w:shd w:val="clear" w:color="auto" w:fill="auto"/>
            <w:noWrap/>
            <w:tcMar>
              <w:left w:w="0" w:type="dxa"/>
              <w:right w:w="43" w:type="dxa"/>
            </w:tcMar>
            <w:vAlign w:val="center"/>
            <w:hideMark/>
          </w:tcPr>
          <w:p w:rsidRPr="009055A9" w:rsidR="0023718B" w:rsidP="000E31AA" w:rsidRDefault="0023718B" w14:paraId="480E9DA9" w14:textId="363697C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2,491</w:t>
            </w:r>
          </w:p>
        </w:tc>
        <w:tc>
          <w:tcPr>
            <w:tcW w:w="125" w:type="pct"/>
            <w:shd w:val="clear" w:color="auto" w:fill="auto"/>
            <w:noWrap/>
            <w:tcMar>
              <w:left w:w="0" w:type="dxa"/>
              <w:right w:w="43" w:type="dxa"/>
            </w:tcMar>
            <w:vAlign w:val="center"/>
            <w:hideMark/>
          </w:tcPr>
          <w:p w:rsidRPr="009055A9" w:rsidR="0023718B" w:rsidP="000E31AA" w:rsidRDefault="0023718B" w14:paraId="73C335EE" w14:textId="48A813D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70" w:type="pct"/>
            <w:shd w:val="clear" w:color="auto" w:fill="auto"/>
            <w:noWrap/>
            <w:tcMar>
              <w:left w:w="0" w:type="dxa"/>
              <w:right w:w="43" w:type="dxa"/>
            </w:tcMar>
            <w:vAlign w:val="center"/>
            <w:hideMark/>
          </w:tcPr>
          <w:p w:rsidRPr="009055A9" w:rsidR="0023718B" w:rsidP="000E31AA" w:rsidRDefault="0023718B" w14:paraId="22F8EDFD" w14:textId="73C4B64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1,804</w:t>
            </w:r>
          </w:p>
        </w:tc>
        <w:tc>
          <w:tcPr>
            <w:tcW w:w="148" w:type="pct"/>
            <w:shd w:val="clear" w:color="auto" w:fill="auto"/>
            <w:noWrap/>
            <w:tcMar>
              <w:left w:w="0" w:type="dxa"/>
              <w:right w:w="43" w:type="dxa"/>
            </w:tcMar>
            <w:vAlign w:val="center"/>
            <w:hideMark/>
          </w:tcPr>
          <w:p w:rsidRPr="009055A9" w:rsidR="0023718B" w:rsidP="000E31AA" w:rsidRDefault="0023718B" w14:paraId="42CEC692" w14:textId="49DE167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2" w:type="pct"/>
            <w:tcMar>
              <w:left w:w="0" w:type="dxa"/>
              <w:right w:w="43" w:type="dxa"/>
            </w:tcMar>
            <w:vAlign w:val="center"/>
          </w:tcPr>
          <w:p w:rsidRPr="009055A9" w:rsidR="0023718B" w:rsidP="000E31AA" w:rsidRDefault="0023718B" w14:paraId="1EC91555" w14:textId="680FFCC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2,484</w:t>
            </w:r>
          </w:p>
        </w:tc>
        <w:tc>
          <w:tcPr>
            <w:tcW w:w="124" w:type="pct"/>
            <w:tcMar>
              <w:left w:w="0" w:type="dxa"/>
              <w:right w:w="43" w:type="dxa"/>
            </w:tcMar>
            <w:vAlign w:val="center"/>
          </w:tcPr>
          <w:p w:rsidRPr="009055A9" w:rsidR="0023718B" w:rsidP="000E31AA" w:rsidRDefault="0023718B" w14:paraId="055B8C9F" w14:textId="4860AD8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73" w:type="pct"/>
            <w:tcMar>
              <w:left w:w="0" w:type="dxa"/>
              <w:right w:w="43" w:type="dxa"/>
            </w:tcMar>
            <w:vAlign w:val="center"/>
          </w:tcPr>
          <w:p w:rsidRPr="009055A9" w:rsidR="0023718B" w:rsidP="000E31AA" w:rsidRDefault="0023718B" w14:paraId="7187901A" w14:textId="3FED714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2,677</w:t>
            </w:r>
          </w:p>
        </w:tc>
        <w:tc>
          <w:tcPr>
            <w:tcW w:w="146" w:type="pct"/>
            <w:tcMar>
              <w:left w:w="0" w:type="dxa"/>
              <w:right w:w="43" w:type="dxa"/>
            </w:tcMar>
            <w:vAlign w:val="center"/>
          </w:tcPr>
          <w:p w:rsidRPr="009055A9" w:rsidR="0023718B" w:rsidP="000E31AA" w:rsidRDefault="0023718B" w14:paraId="2770BB89" w14:textId="131F7FD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5" w:type="pct"/>
            <w:tcMar>
              <w:left w:w="0" w:type="dxa"/>
              <w:right w:w="43" w:type="dxa"/>
            </w:tcMar>
            <w:vAlign w:val="center"/>
          </w:tcPr>
          <w:p w:rsidRPr="009055A9" w:rsidR="0023718B" w:rsidP="000E31AA" w:rsidRDefault="0023718B" w14:paraId="5EE4EAF8" w14:textId="3A784D2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3,234</w:t>
            </w:r>
          </w:p>
        </w:tc>
        <w:tc>
          <w:tcPr>
            <w:tcW w:w="149" w:type="pct"/>
            <w:tcMar>
              <w:left w:w="0" w:type="dxa"/>
              <w:right w:w="43" w:type="dxa"/>
            </w:tcMar>
            <w:vAlign w:val="center"/>
          </w:tcPr>
          <w:p w:rsidRPr="009055A9" w:rsidR="0023718B" w:rsidP="000E31AA" w:rsidRDefault="0023718B" w14:paraId="32EA198D" w14:textId="34346FD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97" w:type="pct"/>
            <w:tcMar>
              <w:left w:w="0" w:type="dxa"/>
              <w:right w:w="43" w:type="dxa"/>
            </w:tcMar>
            <w:vAlign w:val="center"/>
          </w:tcPr>
          <w:p w:rsidRPr="009055A9" w:rsidR="0023718B" w:rsidP="000E31AA" w:rsidRDefault="0023718B" w14:paraId="60881C58" w14:textId="5AB2639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2,334</w:t>
            </w:r>
          </w:p>
        </w:tc>
        <w:tc>
          <w:tcPr>
            <w:tcW w:w="148" w:type="pct"/>
            <w:tcMar>
              <w:left w:w="0" w:type="dxa"/>
              <w:right w:w="43" w:type="dxa"/>
            </w:tcMar>
            <w:vAlign w:val="center"/>
          </w:tcPr>
          <w:p w:rsidRPr="009055A9" w:rsidR="0023718B" w:rsidP="000E31AA" w:rsidRDefault="0023718B" w14:paraId="57675EE2" w14:textId="08A285D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96" w:type="pct"/>
            <w:tcMar>
              <w:left w:w="0" w:type="dxa"/>
              <w:right w:w="43" w:type="dxa"/>
            </w:tcMar>
            <w:vAlign w:val="center"/>
          </w:tcPr>
          <w:p w:rsidRPr="009055A9" w:rsidR="0023718B" w:rsidP="000E31AA" w:rsidRDefault="0023718B" w14:paraId="766AE025" w14:textId="5DF4A27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1,786</w:t>
            </w:r>
          </w:p>
        </w:tc>
        <w:tc>
          <w:tcPr>
            <w:tcW w:w="143" w:type="pct"/>
            <w:tcMar>
              <w:left w:w="0" w:type="dxa"/>
              <w:right w:w="43" w:type="dxa"/>
            </w:tcMar>
            <w:vAlign w:val="center"/>
          </w:tcPr>
          <w:p w:rsidRPr="009055A9" w:rsidR="0023718B" w:rsidP="000E31AA" w:rsidRDefault="0023718B" w14:paraId="2A72F1B9" w14:textId="0D091BD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8" w:type="pct"/>
            <w:shd w:val="clear" w:color="000000" w:fill="FFFFFF"/>
            <w:noWrap/>
            <w:tcMar>
              <w:left w:w="0" w:type="dxa"/>
              <w:right w:w="43" w:type="dxa"/>
            </w:tcMar>
            <w:vAlign w:val="center"/>
          </w:tcPr>
          <w:p w:rsidRPr="003148DB" w:rsidR="0023718B" w:rsidP="000E31AA" w:rsidRDefault="0023718B" w14:paraId="11A4A9B5" w14:textId="1BFFFEFA">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2,536</w:t>
            </w:r>
          </w:p>
        </w:tc>
        <w:tc>
          <w:tcPr>
            <w:tcW w:w="151" w:type="pct"/>
            <w:shd w:val="clear" w:color="000000" w:fill="FFFFFF"/>
            <w:noWrap/>
            <w:tcMar>
              <w:left w:w="0" w:type="dxa"/>
              <w:right w:w="43" w:type="dxa"/>
            </w:tcMar>
            <w:vAlign w:val="center"/>
          </w:tcPr>
          <w:p w:rsidRPr="003148DB" w:rsidR="0023718B" w:rsidP="000E31AA" w:rsidRDefault="0023718B" w14:paraId="750F2FFC" w14:textId="46E57E15">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14.4</w:t>
            </w:r>
          </w:p>
        </w:tc>
      </w:tr>
      <w:tr w:rsidRPr="003148DB" w:rsidR="0023718B" w:rsidTr="000D41FC" w14:paraId="2524A75F"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340EC23A" w14:textId="77777777">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353DF673" w14:textId="5ECE3BC8">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Duke Energy</w:t>
            </w:r>
          </w:p>
        </w:tc>
        <w:tc>
          <w:tcPr>
            <w:tcW w:w="321" w:type="pct"/>
            <w:shd w:val="clear" w:color="auto" w:fill="auto"/>
            <w:noWrap/>
            <w:tcMar>
              <w:left w:w="58" w:type="dxa"/>
              <w:right w:w="29" w:type="dxa"/>
            </w:tcMar>
            <w:vAlign w:val="center"/>
            <w:hideMark/>
          </w:tcPr>
          <w:p w:rsidRPr="009055A9" w:rsidR="0023718B" w:rsidP="000E31AA" w:rsidRDefault="0023718B" w14:paraId="25246947" w14:textId="55AC0514">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Brunswick</w:t>
            </w:r>
          </w:p>
        </w:tc>
        <w:tc>
          <w:tcPr>
            <w:tcW w:w="123" w:type="pct"/>
            <w:shd w:val="clear" w:color="auto" w:fill="auto"/>
            <w:noWrap/>
            <w:tcMar>
              <w:left w:w="58" w:type="dxa"/>
              <w:right w:w="58" w:type="dxa"/>
            </w:tcMar>
            <w:vAlign w:val="center"/>
            <w:hideMark/>
          </w:tcPr>
          <w:p w:rsidRPr="009055A9" w:rsidR="0023718B" w:rsidP="000E31AA" w:rsidRDefault="0023718B" w14:paraId="00E797EC" w14:textId="48BE1FFF">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4FBBE504" w14:textId="2E9C655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2,311</w:t>
            </w:r>
          </w:p>
        </w:tc>
        <w:tc>
          <w:tcPr>
            <w:tcW w:w="123" w:type="pct"/>
            <w:shd w:val="clear" w:color="auto" w:fill="auto"/>
            <w:noWrap/>
            <w:tcMar>
              <w:left w:w="0" w:type="dxa"/>
              <w:right w:w="43" w:type="dxa"/>
            </w:tcMar>
            <w:vAlign w:val="center"/>
            <w:hideMark/>
          </w:tcPr>
          <w:p w:rsidRPr="009055A9" w:rsidR="0023718B" w:rsidP="000E31AA" w:rsidRDefault="0023718B" w14:paraId="764DB1B4" w14:textId="1315386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0" w:type="pct"/>
            <w:shd w:val="clear" w:color="auto" w:fill="auto"/>
            <w:noWrap/>
            <w:tcMar>
              <w:left w:w="0" w:type="dxa"/>
              <w:right w:w="43" w:type="dxa"/>
            </w:tcMar>
            <w:vAlign w:val="center"/>
            <w:hideMark/>
          </w:tcPr>
          <w:p w:rsidRPr="009055A9" w:rsidR="0023718B" w:rsidP="000E31AA" w:rsidRDefault="0023718B" w14:paraId="1DA7373C" w14:textId="6CE4C2E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2,603</w:t>
            </w:r>
          </w:p>
        </w:tc>
        <w:tc>
          <w:tcPr>
            <w:tcW w:w="125" w:type="pct"/>
            <w:shd w:val="clear" w:color="auto" w:fill="auto"/>
            <w:noWrap/>
            <w:tcMar>
              <w:left w:w="0" w:type="dxa"/>
              <w:right w:w="43" w:type="dxa"/>
            </w:tcMar>
            <w:vAlign w:val="center"/>
            <w:hideMark/>
          </w:tcPr>
          <w:p w:rsidRPr="009055A9" w:rsidR="0023718B" w:rsidP="000E31AA" w:rsidRDefault="0023718B" w14:paraId="32FEC18E" w14:textId="4E0A3A0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2" w:type="pct"/>
            <w:shd w:val="clear" w:color="auto" w:fill="auto"/>
            <w:noWrap/>
            <w:tcMar>
              <w:left w:w="0" w:type="dxa"/>
              <w:right w:w="43" w:type="dxa"/>
            </w:tcMar>
            <w:vAlign w:val="center"/>
            <w:hideMark/>
          </w:tcPr>
          <w:p w:rsidRPr="009055A9" w:rsidR="0023718B" w:rsidP="000E31AA" w:rsidRDefault="0023718B" w14:paraId="7254265F" w14:textId="1FFEDEE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2,697</w:t>
            </w:r>
          </w:p>
        </w:tc>
        <w:tc>
          <w:tcPr>
            <w:tcW w:w="123" w:type="pct"/>
            <w:shd w:val="clear" w:color="auto" w:fill="auto"/>
            <w:noWrap/>
            <w:tcMar>
              <w:left w:w="0" w:type="dxa"/>
              <w:right w:w="43" w:type="dxa"/>
            </w:tcMar>
            <w:vAlign w:val="center"/>
            <w:hideMark/>
          </w:tcPr>
          <w:p w:rsidRPr="009055A9" w:rsidR="0023718B" w:rsidP="000E31AA" w:rsidRDefault="0023718B" w14:paraId="2150F6C9" w14:textId="4946831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4" w:type="pct"/>
            <w:shd w:val="clear" w:color="auto" w:fill="auto"/>
            <w:noWrap/>
            <w:tcMar>
              <w:left w:w="0" w:type="dxa"/>
              <w:right w:w="43" w:type="dxa"/>
            </w:tcMar>
            <w:vAlign w:val="center"/>
            <w:hideMark/>
          </w:tcPr>
          <w:p w:rsidRPr="009055A9" w:rsidR="0023718B" w:rsidP="000E31AA" w:rsidRDefault="0023718B" w14:paraId="3A1842A1" w14:textId="59AADF8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2,779</w:t>
            </w:r>
          </w:p>
        </w:tc>
        <w:tc>
          <w:tcPr>
            <w:tcW w:w="123" w:type="pct"/>
            <w:shd w:val="clear" w:color="auto" w:fill="auto"/>
            <w:noWrap/>
            <w:tcMar>
              <w:left w:w="0" w:type="dxa"/>
              <w:right w:w="43" w:type="dxa"/>
            </w:tcMar>
            <w:vAlign w:val="center"/>
            <w:hideMark/>
          </w:tcPr>
          <w:p w:rsidRPr="009055A9" w:rsidR="0023718B" w:rsidP="000E31AA" w:rsidRDefault="0023718B" w14:paraId="4FC0EA83" w14:textId="5ABE379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97" w:type="pct"/>
            <w:shd w:val="clear" w:color="auto" w:fill="auto"/>
            <w:noWrap/>
            <w:tcMar>
              <w:left w:w="0" w:type="dxa"/>
              <w:right w:w="43" w:type="dxa"/>
            </w:tcMar>
            <w:vAlign w:val="center"/>
            <w:hideMark/>
          </w:tcPr>
          <w:p w:rsidRPr="009055A9" w:rsidR="0023718B" w:rsidP="000E31AA" w:rsidRDefault="0023718B" w14:paraId="36F17D21" w14:textId="01DEC9C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3,789</w:t>
            </w:r>
          </w:p>
        </w:tc>
        <w:tc>
          <w:tcPr>
            <w:tcW w:w="125" w:type="pct"/>
            <w:shd w:val="clear" w:color="auto" w:fill="auto"/>
            <w:noWrap/>
            <w:tcMar>
              <w:left w:w="0" w:type="dxa"/>
              <w:right w:w="43" w:type="dxa"/>
            </w:tcMar>
            <w:vAlign w:val="center"/>
            <w:hideMark/>
          </w:tcPr>
          <w:p w:rsidRPr="009055A9" w:rsidR="0023718B" w:rsidP="000E31AA" w:rsidRDefault="0023718B" w14:paraId="695A3726" w14:textId="226374C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0" w:type="pct"/>
            <w:shd w:val="clear" w:color="auto" w:fill="auto"/>
            <w:noWrap/>
            <w:tcMar>
              <w:left w:w="0" w:type="dxa"/>
              <w:right w:w="43" w:type="dxa"/>
            </w:tcMar>
            <w:vAlign w:val="center"/>
            <w:hideMark/>
          </w:tcPr>
          <w:p w:rsidRPr="009055A9" w:rsidR="0023718B" w:rsidP="000E31AA" w:rsidRDefault="0023718B" w14:paraId="450296AE" w14:textId="32D80BB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3,546</w:t>
            </w:r>
          </w:p>
        </w:tc>
        <w:tc>
          <w:tcPr>
            <w:tcW w:w="148" w:type="pct"/>
            <w:shd w:val="clear" w:color="auto" w:fill="auto"/>
            <w:noWrap/>
            <w:tcMar>
              <w:left w:w="0" w:type="dxa"/>
              <w:right w:w="43" w:type="dxa"/>
            </w:tcMar>
            <w:vAlign w:val="center"/>
            <w:hideMark/>
          </w:tcPr>
          <w:p w:rsidRPr="009055A9" w:rsidR="0023718B" w:rsidP="000E31AA" w:rsidRDefault="0023718B" w14:paraId="0F5B5DF1" w14:textId="2F3B514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2" w:type="pct"/>
            <w:tcMar>
              <w:left w:w="0" w:type="dxa"/>
              <w:right w:w="43" w:type="dxa"/>
            </w:tcMar>
            <w:vAlign w:val="center"/>
          </w:tcPr>
          <w:p w:rsidRPr="009055A9" w:rsidR="0023718B" w:rsidP="000E31AA" w:rsidRDefault="0023718B" w14:paraId="7BEBE4C5" w14:textId="11AA8BC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3,637</w:t>
            </w:r>
          </w:p>
        </w:tc>
        <w:tc>
          <w:tcPr>
            <w:tcW w:w="124" w:type="pct"/>
            <w:tcMar>
              <w:left w:w="0" w:type="dxa"/>
              <w:right w:w="43" w:type="dxa"/>
            </w:tcMar>
            <w:vAlign w:val="center"/>
          </w:tcPr>
          <w:p w:rsidRPr="009055A9" w:rsidR="0023718B" w:rsidP="000E31AA" w:rsidRDefault="0023718B" w14:paraId="33BABF92" w14:textId="56C2245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73" w:type="pct"/>
            <w:tcMar>
              <w:left w:w="0" w:type="dxa"/>
              <w:right w:w="43" w:type="dxa"/>
            </w:tcMar>
            <w:vAlign w:val="center"/>
          </w:tcPr>
          <w:p w:rsidRPr="009055A9" w:rsidR="0023718B" w:rsidP="000E31AA" w:rsidRDefault="0023718B" w14:paraId="0B951AF1" w14:textId="70F91AE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3,011</w:t>
            </w:r>
          </w:p>
        </w:tc>
        <w:tc>
          <w:tcPr>
            <w:tcW w:w="146" w:type="pct"/>
            <w:tcMar>
              <w:left w:w="0" w:type="dxa"/>
              <w:right w:w="43" w:type="dxa"/>
            </w:tcMar>
            <w:vAlign w:val="center"/>
          </w:tcPr>
          <w:p w:rsidRPr="009055A9" w:rsidR="0023718B" w:rsidP="000E31AA" w:rsidRDefault="0023718B" w14:paraId="2A3E8879" w14:textId="1F8944E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5" w:type="pct"/>
            <w:tcMar>
              <w:left w:w="0" w:type="dxa"/>
              <w:right w:w="43" w:type="dxa"/>
            </w:tcMar>
            <w:vAlign w:val="center"/>
          </w:tcPr>
          <w:p w:rsidRPr="009055A9" w:rsidR="0023718B" w:rsidP="000E31AA" w:rsidRDefault="0023718B" w14:paraId="3B951693" w14:textId="7025A5B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2,282</w:t>
            </w:r>
          </w:p>
        </w:tc>
        <w:tc>
          <w:tcPr>
            <w:tcW w:w="149" w:type="pct"/>
            <w:tcMar>
              <w:left w:w="0" w:type="dxa"/>
              <w:right w:w="43" w:type="dxa"/>
            </w:tcMar>
            <w:vAlign w:val="center"/>
          </w:tcPr>
          <w:p w:rsidRPr="009055A9" w:rsidR="0023718B" w:rsidP="000E31AA" w:rsidRDefault="0023718B" w14:paraId="6C1A0C6B" w14:textId="6F54309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97" w:type="pct"/>
            <w:tcMar>
              <w:left w:w="0" w:type="dxa"/>
              <w:right w:w="43" w:type="dxa"/>
            </w:tcMar>
            <w:vAlign w:val="center"/>
          </w:tcPr>
          <w:p w:rsidRPr="009055A9" w:rsidR="0023718B" w:rsidP="000E31AA" w:rsidRDefault="0023718B" w14:paraId="1242FF23" w14:textId="0BD9885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2,561</w:t>
            </w:r>
          </w:p>
        </w:tc>
        <w:tc>
          <w:tcPr>
            <w:tcW w:w="148" w:type="pct"/>
            <w:tcMar>
              <w:left w:w="0" w:type="dxa"/>
              <w:right w:w="43" w:type="dxa"/>
            </w:tcMar>
            <w:vAlign w:val="center"/>
          </w:tcPr>
          <w:p w:rsidRPr="009055A9" w:rsidR="0023718B" w:rsidP="000E31AA" w:rsidRDefault="0023718B" w14:paraId="55DD46DB" w14:textId="3350704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6" w:type="pct"/>
            <w:tcMar>
              <w:left w:w="0" w:type="dxa"/>
              <w:right w:w="43" w:type="dxa"/>
            </w:tcMar>
            <w:vAlign w:val="center"/>
          </w:tcPr>
          <w:p w:rsidRPr="009055A9" w:rsidR="0023718B" w:rsidP="000E31AA" w:rsidRDefault="0023718B" w14:paraId="34D60E13" w14:textId="2FF1667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2,368</w:t>
            </w:r>
          </w:p>
        </w:tc>
        <w:tc>
          <w:tcPr>
            <w:tcW w:w="143" w:type="pct"/>
            <w:tcMar>
              <w:left w:w="0" w:type="dxa"/>
              <w:right w:w="43" w:type="dxa"/>
            </w:tcMar>
            <w:vAlign w:val="center"/>
          </w:tcPr>
          <w:p w:rsidRPr="009055A9" w:rsidR="0023718B" w:rsidP="000E31AA" w:rsidRDefault="0023718B" w14:paraId="712C6E15" w14:textId="5AF4759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78" w:type="pct"/>
            <w:shd w:val="clear" w:color="000000" w:fill="FFFFFF"/>
            <w:noWrap/>
            <w:tcMar>
              <w:left w:w="0" w:type="dxa"/>
              <w:right w:w="43" w:type="dxa"/>
            </w:tcMar>
            <w:vAlign w:val="center"/>
          </w:tcPr>
          <w:p w:rsidRPr="003148DB" w:rsidR="0023718B" w:rsidP="000E31AA" w:rsidRDefault="0023718B" w14:paraId="3F2F9A07" w14:textId="6D22CD7C">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2,871</w:t>
            </w:r>
          </w:p>
        </w:tc>
        <w:tc>
          <w:tcPr>
            <w:tcW w:w="151" w:type="pct"/>
            <w:shd w:val="clear" w:color="000000" w:fill="FFFFFF"/>
            <w:noWrap/>
            <w:tcMar>
              <w:left w:w="0" w:type="dxa"/>
              <w:right w:w="43" w:type="dxa"/>
            </w:tcMar>
            <w:vAlign w:val="center"/>
          </w:tcPr>
          <w:p w:rsidRPr="003148DB" w:rsidR="0023718B" w:rsidP="000E31AA" w:rsidRDefault="0023718B" w14:paraId="2034D038" w14:textId="6B31F06D">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16.1</w:t>
            </w:r>
          </w:p>
        </w:tc>
      </w:tr>
      <w:tr w:rsidRPr="003148DB" w:rsidR="0023718B" w:rsidTr="000D41FC" w14:paraId="7670A8F3"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0A35B5BE" w14:textId="77777777">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4989DF6A" w14:textId="34F97A7E">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Exelon</w:t>
            </w:r>
          </w:p>
        </w:tc>
        <w:tc>
          <w:tcPr>
            <w:tcW w:w="321" w:type="pct"/>
            <w:shd w:val="clear" w:color="auto" w:fill="auto"/>
            <w:noWrap/>
            <w:tcMar>
              <w:left w:w="58" w:type="dxa"/>
              <w:right w:w="29" w:type="dxa"/>
            </w:tcMar>
            <w:vAlign w:val="center"/>
            <w:hideMark/>
          </w:tcPr>
          <w:p w:rsidRPr="009055A9" w:rsidR="0023718B" w:rsidP="000E31AA" w:rsidRDefault="0023718B" w14:paraId="494CB17C" w14:textId="02354BD2">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Calvert Cliffs</w:t>
            </w:r>
          </w:p>
        </w:tc>
        <w:tc>
          <w:tcPr>
            <w:tcW w:w="123" w:type="pct"/>
            <w:shd w:val="clear" w:color="auto" w:fill="auto"/>
            <w:noWrap/>
            <w:tcMar>
              <w:left w:w="58" w:type="dxa"/>
              <w:right w:w="58" w:type="dxa"/>
            </w:tcMar>
            <w:vAlign w:val="center"/>
            <w:hideMark/>
          </w:tcPr>
          <w:p w:rsidRPr="009055A9" w:rsidR="0023718B" w:rsidP="000E31AA" w:rsidRDefault="0023718B" w14:paraId="1E41C2EE" w14:textId="0F92C39D">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5BDFF8FB" w14:textId="68B024E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2,343</w:t>
            </w:r>
          </w:p>
        </w:tc>
        <w:tc>
          <w:tcPr>
            <w:tcW w:w="123" w:type="pct"/>
            <w:shd w:val="clear" w:color="auto" w:fill="auto"/>
            <w:noWrap/>
            <w:tcMar>
              <w:left w:w="0" w:type="dxa"/>
              <w:right w:w="43" w:type="dxa"/>
            </w:tcMar>
            <w:vAlign w:val="center"/>
            <w:hideMark/>
          </w:tcPr>
          <w:p w:rsidRPr="009055A9" w:rsidR="0023718B" w:rsidP="000E31AA" w:rsidRDefault="0023718B" w14:paraId="3A5F8AD4" w14:textId="361CA3D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0" w:type="pct"/>
            <w:shd w:val="clear" w:color="auto" w:fill="auto"/>
            <w:noWrap/>
            <w:tcMar>
              <w:left w:w="0" w:type="dxa"/>
              <w:right w:w="43" w:type="dxa"/>
            </w:tcMar>
            <w:vAlign w:val="center"/>
            <w:hideMark/>
          </w:tcPr>
          <w:p w:rsidRPr="009055A9" w:rsidR="0023718B" w:rsidP="000E31AA" w:rsidRDefault="0023718B" w14:paraId="7E5DB217" w14:textId="054BF6A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2,305</w:t>
            </w:r>
          </w:p>
        </w:tc>
        <w:tc>
          <w:tcPr>
            <w:tcW w:w="125" w:type="pct"/>
            <w:shd w:val="clear" w:color="auto" w:fill="auto"/>
            <w:noWrap/>
            <w:tcMar>
              <w:left w:w="0" w:type="dxa"/>
              <w:right w:w="43" w:type="dxa"/>
            </w:tcMar>
            <w:vAlign w:val="center"/>
            <w:hideMark/>
          </w:tcPr>
          <w:p w:rsidRPr="009055A9" w:rsidR="0023718B" w:rsidP="000E31AA" w:rsidRDefault="0023718B" w14:paraId="6B861CB5" w14:textId="5B17B8E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2" w:type="pct"/>
            <w:shd w:val="clear" w:color="auto" w:fill="auto"/>
            <w:noWrap/>
            <w:tcMar>
              <w:left w:w="0" w:type="dxa"/>
              <w:right w:w="43" w:type="dxa"/>
            </w:tcMar>
            <w:vAlign w:val="center"/>
            <w:hideMark/>
          </w:tcPr>
          <w:p w:rsidRPr="009055A9" w:rsidR="0023718B" w:rsidP="000E31AA" w:rsidRDefault="0023718B" w14:paraId="13082B71" w14:textId="71CFE88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2,225</w:t>
            </w:r>
          </w:p>
        </w:tc>
        <w:tc>
          <w:tcPr>
            <w:tcW w:w="123" w:type="pct"/>
            <w:shd w:val="clear" w:color="auto" w:fill="auto"/>
            <w:noWrap/>
            <w:tcMar>
              <w:left w:w="0" w:type="dxa"/>
              <w:right w:w="43" w:type="dxa"/>
            </w:tcMar>
            <w:vAlign w:val="center"/>
            <w:hideMark/>
          </w:tcPr>
          <w:p w:rsidRPr="009055A9" w:rsidR="0023718B" w:rsidP="000E31AA" w:rsidRDefault="0023718B" w14:paraId="3B773FE1" w14:textId="4F8274F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94" w:type="pct"/>
            <w:shd w:val="clear" w:color="auto" w:fill="auto"/>
            <w:noWrap/>
            <w:tcMar>
              <w:left w:w="0" w:type="dxa"/>
              <w:right w:w="43" w:type="dxa"/>
            </w:tcMar>
            <w:vAlign w:val="center"/>
            <w:hideMark/>
          </w:tcPr>
          <w:p w:rsidRPr="009055A9" w:rsidR="0023718B" w:rsidP="000E31AA" w:rsidRDefault="0023718B" w14:paraId="68DA6C8F" w14:textId="03EF3E9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2,504</w:t>
            </w:r>
          </w:p>
        </w:tc>
        <w:tc>
          <w:tcPr>
            <w:tcW w:w="123" w:type="pct"/>
            <w:shd w:val="clear" w:color="auto" w:fill="auto"/>
            <w:noWrap/>
            <w:tcMar>
              <w:left w:w="0" w:type="dxa"/>
              <w:right w:w="43" w:type="dxa"/>
            </w:tcMar>
            <w:vAlign w:val="center"/>
            <w:hideMark/>
          </w:tcPr>
          <w:p w:rsidRPr="009055A9" w:rsidR="0023718B" w:rsidP="000E31AA" w:rsidRDefault="0023718B" w14:paraId="1E839147" w14:textId="14DE0DC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97" w:type="pct"/>
            <w:shd w:val="clear" w:color="auto" w:fill="auto"/>
            <w:noWrap/>
            <w:tcMar>
              <w:left w:w="0" w:type="dxa"/>
              <w:right w:w="43" w:type="dxa"/>
            </w:tcMar>
            <w:vAlign w:val="center"/>
            <w:hideMark/>
          </w:tcPr>
          <w:p w:rsidRPr="009055A9" w:rsidR="0023718B" w:rsidP="000E31AA" w:rsidRDefault="0023718B" w14:paraId="386916C7" w14:textId="2CCD3F0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2,463</w:t>
            </w:r>
          </w:p>
        </w:tc>
        <w:tc>
          <w:tcPr>
            <w:tcW w:w="125" w:type="pct"/>
            <w:shd w:val="clear" w:color="auto" w:fill="auto"/>
            <w:noWrap/>
            <w:tcMar>
              <w:left w:w="0" w:type="dxa"/>
              <w:right w:w="43" w:type="dxa"/>
            </w:tcMar>
            <w:vAlign w:val="center"/>
            <w:hideMark/>
          </w:tcPr>
          <w:p w:rsidRPr="009055A9" w:rsidR="0023718B" w:rsidP="000E31AA" w:rsidRDefault="0023718B" w14:paraId="329B9CCC" w14:textId="262BD09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0" w:type="pct"/>
            <w:shd w:val="clear" w:color="auto" w:fill="auto"/>
            <w:noWrap/>
            <w:tcMar>
              <w:left w:w="0" w:type="dxa"/>
              <w:right w:w="43" w:type="dxa"/>
            </w:tcMar>
            <w:vAlign w:val="center"/>
            <w:hideMark/>
          </w:tcPr>
          <w:p w:rsidRPr="009055A9" w:rsidR="0023718B" w:rsidP="000E31AA" w:rsidRDefault="0023718B" w14:paraId="16DB030C" w14:textId="44861F7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2,231</w:t>
            </w:r>
          </w:p>
        </w:tc>
        <w:tc>
          <w:tcPr>
            <w:tcW w:w="148" w:type="pct"/>
            <w:shd w:val="clear" w:color="auto" w:fill="auto"/>
            <w:noWrap/>
            <w:tcMar>
              <w:left w:w="0" w:type="dxa"/>
              <w:right w:w="43" w:type="dxa"/>
            </w:tcMar>
            <w:vAlign w:val="center"/>
            <w:hideMark/>
          </w:tcPr>
          <w:p w:rsidRPr="009055A9" w:rsidR="0023718B" w:rsidP="000E31AA" w:rsidRDefault="0023718B" w14:paraId="6B109B07" w14:textId="7F2E08D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2" w:type="pct"/>
            <w:tcMar>
              <w:left w:w="0" w:type="dxa"/>
              <w:right w:w="43" w:type="dxa"/>
            </w:tcMar>
            <w:vAlign w:val="center"/>
          </w:tcPr>
          <w:p w:rsidRPr="009055A9" w:rsidR="0023718B" w:rsidP="000E31AA" w:rsidRDefault="0023718B" w14:paraId="6049A29D" w14:textId="2415314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2,433</w:t>
            </w:r>
          </w:p>
        </w:tc>
        <w:tc>
          <w:tcPr>
            <w:tcW w:w="124" w:type="pct"/>
            <w:tcMar>
              <w:left w:w="0" w:type="dxa"/>
              <w:right w:w="43" w:type="dxa"/>
            </w:tcMar>
            <w:vAlign w:val="center"/>
          </w:tcPr>
          <w:p w:rsidRPr="009055A9" w:rsidR="0023718B" w:rsidP="000E31AA" w:rsidRDefault="0023718B" w14:paraId="3141AEE0" w14:textId="5C10A4F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73" w:type="pct"/>
            <w:tcMar>
              <w:left w:w="0" w:type="dxa"/>
              <w:right w:w="43" w:type="dxa"/>
            </w:tcMar>
            <w:vAlign w:val="center"/>
          </w:tcPr>
          <w:p w:rsidRPr="009055A9" w:rsidR="0023718B" w:rsidP="000E31AA" w:rsidRDefault="0023718B" w14:paraId="597D82C6" w14:textId="05969E8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2,429</w:t>
            </w:r>
          </w:p>
        </w:tc>
        <w:tc>
          <w:tcPr>
            <w:tcW w:w="146" w:type="pct"/>
            <w:tcMar>
              <w:left w:w="0" w:type="dxa"/>
              <w:right w:w="43" w:type="dxa"/>
            </w:tcMar>
            <w:vAlign w:val="center"/>
          </w:tcPr>
          <w:p w:rsidRPr="009055A9" w:rsidR="0023718B" w:rsidP="000E31AA" w:rsidRDefault="0023718B" w14:paraId="7C73D9E1" w14:textId="7E4D983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5" w:type="pct"/>
            <w:tcMar>
              <w:left w:w="0" w:type="dxa"/>
              <w:right w:w="43" w:type="dxa"/>
            </w:tcMar>
            <w:vAlign w:val="center"/>
          </w:tcPr>
          <w:p w:rsidRPr="009055A9" w:rsidR="0023718B" w:rsidP="000E31AA" w:rsidRDefault="0023718B" w14:paraId="2EBA99A8" w14:textId="01D5154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1,800</w:t>
            </w:r>
          </w:p>
        </w:tc>
        <w:tc>
          <w:tcPr>
            <w:tcW w:w="149" w:type="pct"/>
            <w:tcMar>
              <w:left w:w="0" w:type="dxa"/>
              <w:right w:w="43" w:type="dxa"/>
            </w:tcMar>
            <w:vAlign w:val="center"/>
          </w:tcPr>
          <w:p w:rsidRPr="009055A9" w:rsidR="0023718B" w:rsidP="000E31AA" w:rsidRDefault="0023718B" w14:paraId="404BF4F9" w14:textId="669F021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7" w:type="pct"/>
            <w:tcMar>
              <w:left w:w="0" w:type="dxa"/>
              <w:right w:w="43" w:type="dxa"/>
            </w:tcMar>
            <w:vAlign w:val="center"/>
          </w:tcPr>
          <w:p w:rsidRPr="009055A9" w:rsidR="0023718B" w:rsidP="000E31AA" w:rsidRDefault="0023718B" w14:paraId="0AE06CCE" w14:textId="7D20F5E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1,566</w:t>
            </w:r>
          </w:p>
        </w:tc>
        <w:tc>
          <w:tcPr>
            <w:tcW w:w="148" w:type="pct"/>
            <w:tcMar>
              <w:left w:w="0" w:type="dxa"/>
              <w:right w:w="43" w:type="dxa"/>
            </w:tcMar>
            <w:vAlign w:val="center"/>
          </w:tcPr>
          <w:p w:rsidRPr="009055A9" w:rsidR="0023718B" w:rsidP="000E31AA" w:rsidRDefault="0023718B" w14:paraId="7F7D61C3" w14:textId="7486171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96" w:type="pct"/>
            <w:tcMar>
              <w:left w:w="0" w:type="dxa"/>
              <w:right w:w="43" w:type="dxa"/>
            </w:tcMar>
            <w:vAlign w:val="center"/>
          </w:tcPr>
          <w:p w:rsidRPr="009055A9" w:rsidR="0023718B" w:rsidP="000E31AA" w:rsidRDefault="0023718B" w14:paraId="36B50D8B" w14:textId="573204A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2,096</w:t>
            </w:r>
          </w:p>
        </w:tc>
        <w:tc>
          <w:tcPr>
            <w:tcW w:w="143" w:type="pct"/>
            <w:tcMar>
              <w:left w:w="0" w:type="dxa"/>
              <w:right w:w="43" w:type="dxa"/>
            </w:tcMar>
            <w:vAlign w:val="center"/>
          </w:tcPr>
          <w:p w:rsidRPr="009055A9" w:rsidR="0023718B" w:rsidP="000E31AA" w:rsidRDefault="0023718B" w14:paraId="36A36B3B" w14:textId="34E99FB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8" w:type="pct"/>
            <w:shd w:val="clear" w:color="000000" w:fill="FFFFFF"/>
            <w:noWrap/>
            <w:tcMar>
              <w:left w:w="0" w:type="dxa"/>
              <w:right w:w="43" w:type="dxa"/>
            </w:tcMar>
            <w:vAlign w:val="center"/>
          </w:tcPr>
          <w:p w:rsidRPr="003148DB" w:rsidR="0023718B" w:rsidP="000E31AA" w:rsidRDefault="0023718B" w14:paraId="77185A2B" w14:textId="75E17277">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2,218</w:t>
            </w:r>
          </w:p>
        </w:tc>
        <w:tc>
          <w:tcPr>
            <w:tcW w:w="151" w:type="pct"/>
            <w:shd w:val="clear" w:color="000000" w:fill="FFFFFF"/>
            <w:noWrap/>
            <w:tcMar>
              <w:left w:w="0" w:type="dxa"/>
              <w:right w:w="43" w:type="dxa"/>
            </w:tcMar>
            <w:vAlign w:val="center"/>
          </w:tcPr>
          <w:p w:rsidRPr="003148DB" w:rsidR="0023718B" w:rsidP="000E31AA" w:rsidRDefault="0023718B" w14:paraId="7C4822EC" w14:textId="64F13C95">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13.6</w:t>
            </w:r>
          </w:p>
        </w:tc>
      </w:tr>
      <w:tr w:rsidRPr="003148DB" w:rsidR="0023718B" w:rsidTr="000D41FC" w14:paraId="12117C27"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5B0E5DCC" w14:textId="77777777">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51314E20" w14:textId="480ED3CC">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Duke Energy</w:t>
            </w:r>
          </w:p>
        </w:tc>
        <w:tc>
          <w:tcPr>
            <w:tcW w:w="321" w:type="pct"/>
            <w:shd w:val="clear" w:color="auto" w:fill="auto"/>
            <w:noWrap/>
            <w:tcMar>
              <w:left w:w="58" w:type="dxa"/>
              <w:right w:w="29" w:type="dxa"/>
            </w:tcMar>
            <w:vAlign w:val="center"/>
            <w:hideMark/>
          </w:tcPr>
          <w:p w:rsidRPr="009055A9" w:rsidR="0023718B" w:rsidP="000E31AA" w:rsidRDefault="0023718B" w14:paraId="6B8EF47E" w14:textId="1890DBA3">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Catawba</w:t>
            </w:r>
          </w:p>
        </w:tc>
        <w:tc>
          <w:tcPr>
            <w:tcW w:w="123" w:type="pct"/>
            <w:shd w:val="clear" w:color="auto" w:fill="auto"/>
            <w:noWrap/>
            <w:tcMar>
              <w:left w:w="58" w:type="dxa"/>
              <w:right w:w="58" w:type="dxa"/>
            </w:tcMar>
            <w:vAlign w:val="center"/>
            <w:hideMark/>
          </w:tcPr>
          <w:p w:rsidRPr="009055A9" w:rsidR="0023718B" w:rsidP="000E31AA" w:rsidRDefault="0023718B" w14:paraId="664681ED" w14:textId="1F3E57E4">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39F3608D" w14:textId="6A73B22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2,976</w:t>
            </w:r>
          </w:p>
        </w:tc>
        <w:tc>
          <w:tcPr>
            <w:tcW w:w="123" w:type="pct"/>
            <w:shd w:val="clear" w:color="auto" w:fill="auto"/>
            <w:noWrap/>
            <w:tcMar>
              <w:left w:w="0" w:type="dxa"/>
              <w:right w:w="43" w:type="dxa"/>
            </w:tcMar>
            <w:vAlign w:val="center"/>
            <w:hideMark/>
          </w:tcPr>
          <w:p w:rsidRPr="009055A9" w:rsidR="0023718B" w:rsidP="000E31AA" w:rsidRDefault="0023718B" w14:paraId="48CBD9F0" w14:textId="00E9D3E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0" w:type="pct"/>
            <w:shd w:val="clear" w:color="auto" w:fill="auto"/>
            <w:noWrap/>
            <w:tcMar>
              <w:left w:w="0" w:type="dxa"/>
              <w:right w:w="43" w:type="dxa"/>
            </w:tcMar>
            <w:vAlign w:val="center"/>
            <w:hideMark/>
          </w:tcPr>
          <w:p w:rsidRPr="009055A9" w:rsidR="0023718B" w:rsidP="000E31AA" w:rsidRDefault="0023718B" w14:paraId="4F74A86C" w14:textId="5AA6E66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2,670</w:t>
            </w:r>
          </w:p>
        </w:tc>
        <w:tc>
          <w:tcPr>
            <w:tcW w:w="125" w:type="pct"/>
            <w:shd w:val="clear" w:color="auto" w:fill="auto"/>
            <w:noWrap/>
            <w:tcMar>
              <w:left w:w="0" w:type="dxa"/>
              <w:right w:w="43" w:type="dxa"/>
            </w:tcMar>
            <w:vAlign w:val="center"/>
            <w:hideMark/>
          </w:tcPr>
          <w:p w:rsidRPr="009055A9" w:rsidR="0023718B" w:rsidP="000E31AA" w:rsidRDefault="0023718B" w14:paraId="496E2813" w14:textId="4478424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2" w:type="pct"/>
            <w:shd w:val="clear" w:color="auto" w:fill="auto"/>
            <w:noWrap/>
            <w:tcMar>
              <w:left w:w="0" w:type="dxa"/>
              <w:right w:w="43" w:type="dxa"/>
            </w:tcMar>
            <w:vAlign w:val="center"/>
            <w:hideMark/>
          </w:tcPr>
          <w:p w:rsidRPr="009055A9" w:rsidR="0023718B" w:rsidP="000E31AA" w:rsidRDefault="0023718B" w14:paraId="22044FE0" w14:textId="387E123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2,453</w:t>
            </w:r>
          </w:p>
        </w:tc>
        <w:tc>
          <w:tcPr>
            <w:tcW w:w="123" w:type="pct"/>
            <w:shd w:val="clear" w:color="auto" w:fill="auto"/>
            <w:noWrap/>
            <w:tcMar>
              <w:left w:w="0" w:type="dxa"/>
              <w:right w:w="43" w:type="dxa"/>
            </w:tcMar>
            <w:vAlign w:val="center"/>
            <w:hideMark/>
          </w:tcPr>
          <w:p w:rsidRPr="009055A9" w:rsidR="0023718B" w:rsidP="000E31AA" w:rsidRDefault="0023718B" w14:paraId="1A78F83A" w14:textId="060643C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94" w:type="pct"/>
            <w:shd w:val="clear" w:color="auto" w:fill="auto"/>
            <w:noWrap/>
            <w:tcMar>
              <w:left w:w="0" w:type="dxa"/>
              <w:right w:w="43" w:type="dxa"/>
            </w:tcMar>
            <w:vAlign w:val="center"/>
            <w:hideMark/>
          </w:tcPr>
          <w:p w:rsidRPr="009055A9" w:rsidR="0023718B" w:rsidP="000E31AA" w:rsidRDefault="0023718B" w14:paraId="2DD79739" w14:textId="3BD74B0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3,054</w:t>
            </w:r>
          </w:p>
        </w:tc>
        <w:tc>
          <w:tcPr>
            <w:tcW w:w="123" w:type="pct"/>
            <w:shd w:val="clear" w:color="auto" w:fill="auto"/>
            <w:noWrap/>
            <w:tcMar>
              <w:left w:w="0" w:type="dxa"/>
              <w:right w:w="43" w:type="dxa"/>
            </w:tcMar>
            <w:vAlign w:val="center"/>
            <w:hideMark/>
          </w:tcPr>
          <w:p w:rsidRPr="009055A9" w:rsidR="0023718B" w:rsidP="000E31AA" w:rsidRDefault="0023718B" w14:paraId="42D12A7E" w14:textId="7D90BCE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97" w:type="pct"/>
            <w:shd w:val="clear" w:color="auto" w:fill="auto"/>
            <w:noWrap/>
            <w:tcMar>
              <w:left w:w="0" w:type="dxa"/>
              <w:right w:w="43" w:type="dxa"/>
            </w:tcMar>
            <w:vAlign w:val="center"/>
            <w:hideMark/>
          </w:tcPr>
          <w:p w:rsidRPr="009055A9" w:rsidR="0023718B" w:rsidP="000E31AA" w:rsidRDefault="0023718B" w14:paraId="6D57F3DF" w14:textId="5F33EB9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3,007</w:t>
            </w:r>
          </w:p>
        </w:tc>
        <w:tc>
          <w:tcPr>
            <w:tcW w:w="125" w:type="pct"/>
            <w:shd w:val="clear" w:color="auto" w:fill="auto"/>
            <w:noWrap/>
            <w:tcMar>
              <w:left w:w="0" w:type="dxa"/>
              <w:right w:w="43" w:type="dxa"/>
            </w:tcMar>
            <w:vAlign w:val="center"/>
            <w:hideMark/>
          </w:tcPr>
          <w:p w:rsidRPr="009055A9" w:rsidR="0023718B" w:rsidP="000E31AA" w:rsidRDefault="0023718B" w14:paraId="62339285" w14:textId="3CC41AD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0" w:type="pct"/>
            <w:shd w:val="clear" w:color="auto" w:fill="auto"/>
            <w:noWrap/>
            <w:tcMar>
              <w:left w:w="0" w:type="dxa"/>
              <w:right w:w="43" w:type="dxa"/>
            </w:tcMar>
            <w:vAlign w:val="center"/>
            <w:hideMark/>
          </w:tcPr>
          <w:p w:rsidRPr="009055A9" w:rsidR="0023718B" w:rsidP="000E31AA" w:rsidRDefault="0023718B" w14:paraId="6F88D05B" w14:textId="7CF313E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2,091</w:t>
            </w:r>
          </w:p>
        </w:tc>
        <w:tc>
          <w:tcPr>
            <w:tcW w:w="148" w:type="pct"/>
            <w:shd w:val="clear" w:color="auto" w:fill="auto"/>
            <w:noWrap/>
            <w:tcMar>
              <w:left w:w="0" w:type="dxa"/>
              <w:right w:w="43" w:type="dxa"/>
            </w:tcMar>
            <w:vAlign w:val="center"/>
            <w:hideMark/>
          </w:tcPr>
          <w:p w:rsidRPr="009055A9" w:rsidR="0023718B" w:rsidP="000E31AA" w:rsidRDefault="0023718B" w14:paraId="6EAE1D4E" w14:textId="1EBA16D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2" w:type="pct"/>
            <w:tcMar>
              <w:left w:w="0" w:type="dxa"/>
              <w:right w:w="43" w:type="dxa"/>
            </w:tcMar>
            <w:vAlign w:val="center"/>
          </w:tcPr>
          <w:p w:rsidRPr="009055A9" w:rsidR="0023718B" w:rsidP="000E31AA" w:rsidRDefault="0023718B" w14:paraId="2F6FF23C" w14:textId="640BF9A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3,033</w:t>
            </w:r>
          </w:p>
        </w:tc>
        <w:tc>
          <w:tcPr>
            <w:tcW w:w="124" w:type="pct"/>
            <w:tcMar>
              <w:left w:w="0" w:type="dxa"/>
              <w:right w:w="43" w:type="dxa"/>
            </w:tcMar>
            <w:vAlign w:val="center"/>
          </w:tcPr>
          <w:p w:rsidRPr="009055A9" w:rsidR="0023718B" w:rsidP="000E31AA" w:rsidRDefault="0023718B" w14:paraId="49A1F6D6" w14:textId="3A75153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3" w:type="pct"/>
            <w:tcMar>
              <w:left w:w="0" w:type="dxa"/>
              <w:right w:w="43" w:type="dxa"/>
            </w:tcMar>
            <w:vAlign w:val="center"/>
          </w:tcPr>
          <w:p w:rsidRPr="009055A9" w:rsidR="0023718B" w:rsidP="000E31AA" w:rsidRDefault="0023718B" w14:paraId="3C548FD5" w14:textId="38BBDCD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2,406</w:t>
            </w:r>
          </w:p>
        </w:tc>
        <w:tc>
          <w:tcPr>
            <w:tcW w:w="146" w:type="pct"/>
            <w:tcMar>
              <w:left w:w="0" w:type="dxa"/>
              <w:right w:w="43" w:type="dxa"/>
            </w:tcMar>
            <w:vAlign w:val="center"/>
          </w:tcPr>
          <w:p w:rsidRPr="009055A9" w:rsidR="0023718B" w:rsidP="000E31AA" w:rsidRDefault="0023718B" w14:paraId="1BB9E1D8" w14:textId="1A14C3C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5" w:type="pct"/>
            <w:tcMar>
              <w:left w:w="0" w:type="dxa"/>
              <w:right w:w="43" w:type="dxa"/>
            </w:tcMar>
            <w:vAlign w:val="center"/>
          </w:tcPr>
          <w:p w:rsidRPr="009055A9" w:rsidR="0023718B" w:rsidP="000E31AA" w:rsidRDefault="0023718B" w14:paraId="1B0510BA" w14:textId="29A6A92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1,309</w:t>
            </w:r>
          </w:p>
        </w:tc>
        <w:tc>
          <w:tcPr>
            <w:tcW w:w="149" w:type="pct"/>
            <w:tcMar>
              <w:left w:w="0" w:type="dxa"/>
              <w:right w:w="43" w:type="dxa"/>
            </w:tcMar>
            <w:vAlign w:val="center"/>
          </w:tcPr>
          <w:p w:rsidRPr="009055A9" w:rsidR="0023718B" w:rsidP="000E31AA" w:rsidRDefault="0023718B" w14:paraId="0AE64AD0" w14:textId="79B4993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97" w:type="pct"/>
            <w:tcMar>
              <w:left w:w="0" w:type="dxa"/>
              <w:right w:w="43" w:type="dxa"/>
            </w:tcMar>
            <w:vAlign w:val="center"/>
          </w:tcPr>
          <w:p w:rsidRPr="009055A9" w:rsidR="0023718B" w:rsidP="000E31AA" w:rsidRDefault="0023718B" w14:paraId="0934EC83" w14:textId="206758A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2,153</w:t>
            </w:r>
          </w:p>
        </w:tc>
        <w:tc>
          <w:tcPr>
            <w:tcW w:w="148" w:type="pct"/>
            <w:tcMar>
              <w:left w:w="0" w:type="dxa"/>
              <w:right w:w="43" w:type="dxa"/>
            </w:tcMar>
            <w:vAlign w:val="center"/>
          </w:tcPr>
          <w:p w:rsidRPr="009055A9" w:rsidR="0023718B" w:rsidP="000E31AA" w:rsidRDefault="0023718B" w14:paraId="05D7A891" w14:textId="37BFFD6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96" w:type="pct"/>
            <w:tcMar>
              <w:left w:w="0" w:type="dxa"/>
              <w:right w:w="43" w:type="dxa"/>
            </w:tcMar>
            <w:vAlign w:val="center"/>
          </w:tcPr>
          <w:p w:rsidRPr="009055A9" w:rsidR="0023718B" w:rsidP="000E31AA" w:rsidRDefault="0023718B" w14:paraId="053420D6" w14:textId="5B69BF0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1,999</w:t>
            </w:r>
          </w:p>
        </w:tc>
        <w:tc>
          <w:tcPr>
            <w:tcW w:w="143" w:type="pct"/>
            <w:tcMar>
              <w:left w:w="0" w:type="dxa"/>
              <w:right w:w="43" w:type="dxa"/>
            </w:tcMar>
            <w:vAlign w:val="center"/>
          </w:tcPr>
          <w:p w:rsidRPr="009055A9" w:rsidR="0023718B" w:rsidP="000E31AA" w:rsidRDefault="0023718B" w14:paraId="4DDAF276" w14:textId="02D30CA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8" w:type="pct"/>
            <w:shd w:val="clear" w:color="000000" w:fill="FFFFFF"/>
            <w:noWrap/>
            <w:tcMar>
              <w:left w:w="0" w:type="dxa"/>
              <w:right w:w="43" w:type="dxa"/>
            </w:tcMar>
            <w:vAlign w:val="center"/>
          </w:tcPr>
          <w:p w:rsidRPr="003148DB" w:rsidR="0023718B" w:rsidP="000E31AA" w:rsidRDefault="0023718B" w14:paraId="28A7290E" w14:textId="15AE1BFD">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2,468</w:t>
            </w:r>
          </w:p>
        </w:tc>
        <w:tc>
          <w:tcPr>
            <w:tcW w:w="151" w:type="pct"/>
            <w:shd w:val="clear" w:color="000000" w:fill="FFFFFF"/>
            <w:noWrap/>
            <w:tcMar>
              <w:left w:w="0" w:type="dxa"/>
              <w:right w:w="43" w:type="dxa"/>
            </w:tcMar>
            <w:vAlign w:val="center"/>
          </w:tcPr>
          <w:p w:rsidRPr="003148DB" w:rsidR="0023718B" w:rsidP="000E31AA" w:rsidRDefault="0023718B" w14:paraId="2FDED155" w14:textId="5374760D">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13.9</w:t>
            </w:r>
          </w:p>
        </w:tc>
      </w:tr>
      <w:tr w:rsidRPr="003148DB" w:rsidR="0023718B" w:rsidTr="000D41FC" w14:paraId="0365E19F"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43D4A894" w14:textId="77777777">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50540963" w14:textId="2742F944">
            <w:pPr>
              <w:keepNext/>
              <w:keepLines/>
              <w:rPr>
                <w:rFonts w:asciiTheme="minorHAnsi" w:hAnsiTheme="minorHAnsi" w:cstheme="minorHAnsi"/>
                <w:sz w:val="16"/>
                <w:szCs w:val="16"/>
              </w:rPr>
            </w:pPr>
            <w:r w:rsidRPr="009055A9">
              <w:rPr>
                <w:rFonts w:asciiTheme="minorHAnsi" w:hAnsiTheme="minorHAnsi" w:cstheme="minorHAnsi"/>
                <w:sz w:val="16"/>
                <w:szCs w:val="16"/>
              </w:rPr>
              <w:t>Vistra Energy</w:t>
            </w:r>
          </w:p>
        </w:tc>
        <w:tc>
          <w:tcPr>
            <w:tcW w:w="321" w:type="pct"/>
            <w:shd w:val="clear" w:color="auto" w:fill="auto"/>
            <w:noWrap/>
            <w:tcMar>
              <w:left w:w="58" w:type="dxa"/>
              <w:right w:w="29" w:type="dxa"/>
            </w:tcMar>
            <w:vAlign w:val="center"/>
            <w:hideMark/>
          </w:tcPr>
          <w:p w:rsidRPr="009055A9" w:rsidR="0023718B" w:rsidP="000E31AA" w:rsidRDefault="0023718B" w14:paraId="42F8E9B7" w14:textId="69F7EF59">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Comanche Peak</w:t>
            </w:r>
          </w:p>
        </w:tc>
        <w:tc>
          <w:tcPr>
            <w:tcW w:w="123" w:type="pct"/>
            <w:shd w:val="clear" w:color="auto" w:fill="auto"/>
            <w:noWrap/>
            <w:tcMar>
              <w:left w:w="58" w:type="dxa"/>
              <w:right w:w="58" w:type="dxa"/>
            </w:tcMar>
            <w:vAlign w:val="center"/>
            <w:hideMark/>
          </w:tcPr>
          <w:p w:rsidRPr="009055A9" w:rsidR="0023718B" w:rsidP="000E31AA" w:rsidRDefault="0023718B" w14:paraId="622AE7A5" w14:textId="694A0455">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2305A0CD" w14:textId="0E7247D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2,248</w:t>
            </w:r>
          </w:p>
        </w:tc>
        <w:tc>
          <w:tcPr>
            <w:tcW w:w="123" w:type="pct"/>
            <w:shd w:val="clear" w:color="auto" w:fill="auto"/>
            <w:noWrap/>
            <w:tcMar>
              <w:left w:w="0" w:type="dxa"/>
              <w:right w:w="43" w:type="dxa"/>
            </w:tcMar>
            <w:vAlign w:val="center"/>
            <w:hideMark/>
          </w:tcPr>
          <w:p w:rsidRPr="009055A9" w:rsidR="0023718B" w:rsidP="000E31AA" w:rsidRDefault="0023718B" w14:paraId="29F6959E" w14:textId="7FC4713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0" w:type="pct"/>
            <w:shd w:val="clear" w:color="auto" w:fill="auto"/>
            <w:noWrap/>
            <w:tcMar>
              <w:left w:w="0" w:type="dxa"/>
              <w:right w:w="43" w:type="dxa"/>
            </w:tcMar>
            <w:vAlign w:val="center"/>
            <w:hideMark/>
          </w:tcPr>
          <w:p w:rsidRPr="009055A9" w:rsidR="0023718B" w:rsidP="000E31AA" w:rsidRDefault="0023718B" w14:paraId="73D68A43" w14:textId="6DF1F22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2,274</w:t>
            </w:r>
          </w:p>
        </w:tc>
        <w:tc>
          <w:tcPr>
            <w:tcW w:w="125" w:type="pct"/>
            <w:shd w:val="clear" w:color="auto" w:fill="auto"/>
            <w:noWrap/>
            <w:tcMar>
              <w:left w:w="0" w:type="dxa"/>
              <w:right w:w="43" w:type="dxa"/>
            </w:tcMar>
            <w:vAlign w:val="center"/>
            <w:hideMark/>
          </w:tcPr>
          <w:p w:rsidRPr="009055A9" w:rsidR="0023718B" w:rsidP="000E31AA" w:rsidRDefault="0023718B" w14:paraId="08833191" w14:textId="58FBED6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72" w:type="pct"/>
            <w:shd w:val="clear" w:color="auto" w:fill="auto"/>
            <w:noWrap/>
            <w:tcMar>
              <w:left w:w="0" w:type="dxa"/>
              <w:right w:w="43" w:type="dxa"/>
            </w:tcMar>
            <w:vAlign w:val="center"/>
            <w:hideMark/>
          </w:tcPr>
          <w:p w:rsidRPr="009055A9" w:rsidR="0023718B" w:rsidP="000E31AA" w:rsidRDefault="0023718B" w14:paraId="2C1139A8" w14:textId="7735D0D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3,119</w:t>
            </w:r>
          </w:p>
        </w:tc>
        <w:tc>
          <w:tcPr>
            <w:tcW w:w="123" w:type="pct"/>
            <w:shd w:val="clear" w:color="auto" w:fill="auto"/>
            <w:noWrap/>
            <w:tcMar>
              <w:left w:w="0" w:type="dxa"/>
              <w:right w:w="43" w:type="dxa"/>
            </w:tcMar>
            <w:vAlign w:val="center"/>
            <w:hideMark/>
          </w:tcPr>
          <w:p w:rsidRPr="009055A9" w:rsidR="0023718B" w:rsidP="000E31AA" w:rsidRDefault="0023718B" w14:paraId="2BDD9B6E" w14:textId="34C30F2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94" w:type="pct"/>
            <w:shd w:val="clear" w:color="auto" w:fill="auto"/>
            <w:noWrap/>
            <w:tcMar>
              <w:left w:w="0" w:type="dxa"/>
              <w:right w:w="43" w:type="dxa"/>
            </w:tcMar>
            <w:vAlign w:val="center"/>
            <w:hideMark/>
          </w:tcPr>
          <w:p w:rsidRPr="009055A9" w:rsidR="0023718B" w:rsidP="000E31AA" w:rsidRDefault="0023718B" w14:paraId="6FA083AE" w14:textId="580A690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2,351</w:t>
            </w:r>
          </w:p>
        </w:tc>
        <w:tc>
          <w:tcPr>
            <w:tcW w:w="123" w:type="pct"/>
            <w:shd w:val="clear" w:color="auto" w:fill="auto"/>
            <w:noWrap/>
            <w:tcMar>
              <w:left w:w="0" w:type="dxa"/>
              <w:right w:w="43" w:type="dxa"/>
            </w:tcMar>
            <w:vAlign w:val="center"/>
            <w:hideMark/>
          </w:tcPr>
          <w:p w:rsidRPr="009055A9" w:rsidR="0023718B" w:rsidP="000E31AA" w:rsidRDefault="0023718B" w14:paraId="7BE8974E" w14:textId="5825DE9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97" w:type="pct"/>
            <w:shd w:val="clear" w:color="auto" w:fill="auto"/>
            <w:noWrap/>
            <w:tcMar>
              <w:left w:w="0" w:type="dxa"/>
              <w:right w:w="43" w:type="dxa"/>
            </w:tcMar>
            <w:vAlign w:val="center"/>
            <w:hideMark/>
          </w:tcPr>
          <w:p w:rsidRPr="009055A9" w:rsidR="0023718B" w:rsidP="000E31AA" w:rsidRDefault="0023718B" w14:paraId="25017729" w14:textId="718F7E4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2,490</w:t>
            </w:r>
          </w:p>
        </w:tc>
        <w:tc>
          <w:tcPr>
            <w:tcW w:w="125" w:type="pct"/>
            <w:shd w:val="clear" w:color="auto" w:fill="auto"/>
            <w:noWrap/>
            <w:tcMar>
              <w:left w:w="0" w:type="dxa"/>
              <w:right w:w="43" w:type="dxa"/>
            </w:tcMar>
            <w:vAlign w:val="center"/>
            <w:hideMark/>
          </w:tcPr>
          <w:p w:rsidRPr="009055A9" w:rsidR="0023718B" w:rsidP="000E31AA" w:rsidRDefault="0023718B" w14:paraId="4445220E" w14:textId="02BBEDF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0" w:type="pct"/>
            <w:shd w:val="clear" w:color="auto" w:fill="auto"/>
            <w:noWrap/>
            <w:tcMar>
              <w:left w:w="0" w:type="dxa"/>
              <w:right w:w="43" w:type="dxa"/>
            </w:tcMar>
            <w:vAlign w:val="center"/>
            <w:hideMark/>
          </w:tcPr>
          <w:p w:rsidRPr="009055A9" w:rsidR="0023718B" w:rsidP="000E31AA" w:rsidRDefault="0023718B" w14:paraId="2B385BD6" w14:textId="06638DB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3,837</w:t>
            </w:r>
          </w:p>
        </w:tc>
        <w:tc>
          <w:tcPr>
            <w:tcW w:w="148" w:type="pct"/>
            <w:shd w:val="clear" w:color="auto" w:fill="auto"/>
            <w:noWrap/>
            <w:tcMar>
              <w:left w:w="0" w:type="dxa"/>
              <w:right w:w="43" w:type="dxa"/>
            </w:tcMar>
            <w:vAlign w:val="center"/>
            <w:hideMark/>
          </w:tcPr>
          <w:p w:rsidRPr="009055A9" w:rsidR="0023718B" w:rsidP="000E31AA" w:rsidRDefault="0023718B" w14:paraId="2C27F809" w14:textId="415D2A3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2" w:type="pct"/>
            <w:tcMar>
              <w:left w:w="0" w:type="dxa"/>
              <w:right w:w="43" w:type="dxa"/>
            </w:tcMar>
            <w:vAlign w:val="center"/>
          </w:tcPr>
          <w:p w:rsidRPr="009055A9" w:rsidR="0023718B" w:rsidP="000E31AA" w:rsidRDefault="0023718B" w14:paraId="6762E57A" w14:textId="2E2994B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2,514</w:t>
            </w:r>
          </w:p>
        </w:tc>
        <w:tc>
          <w:tcPr>
            <w:tcW w:w="124" w:type="pct"/>
            <w:tcMar>
              <w:left w:w="0" w:type="dxa"/>
              <w:right w:w="43" w:type="dxa"/>
            </w:tcMar>
            <w:vAlign w:val="center"/>
          </w:tcPr>
          <w:p w:rsidRPr="009055A9" w:rsidR="0023718B" w:rsidP="000E31AA" w:rsidRDefault="0023718B" w14:paraId="1A97EAFF" w14:textId="0C3AF95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3" w:type="pct"/>
            <w:tcMar>
              <w:left w:w="0" w:type="dxa"/>
              <w:right w:w="43" w:type="dxa"/>
            </w:tcMar>
            <w:vAlign w:val="center"/>
          </w:tcPr>
          <w:p w:rsidRPr="009055A9" w:rsidR="0023718B" w:rsidP="000E31AA" w:rsidRDefault="0023718B" w14:paraId="5CDE487D" w14:textId="4D7B3AD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2,301</w:t>
            </w:r>
          </w:p>
        </w:tc>
        <w:tc>
          <w:tcPr>
            <w:tcW w:w="146" w:type="pct"/>
            <w:tcMar>
              <w:left w:w="0" w:type="dxa"/>
              <w:right w:w="43" w:type="dxa"/>
            </w:tcMar>
            <w:vAlign w:val="center"/>
          </w:tcPr>
          <w:p w:rsidRPr="009055A9" w:rsidR="0023718B" w:rsidP="000E31AA" w:rsidRDefault="0023718B" w14:paraId="38EC65B8" w14:textId="0B8C4C1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5" w:type="pct"/>
            <w:tcMar>
              <w:left w:w="0" w:type="dxa"/>
              <w:right w:w="43" w:type="dxa"/>
            </w:tcMar>
            <w:vAlign w:val="center"/>
          </w:tcPr>
          <w:p w:rsidRPr="009055A9" w:rsidR="0023718B" w:rsidP="000E31AA" w:rsidRDefault="0023718B" w14:paraId="2229C53C" w14:textId="204F612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3,444</w:t>
            </w:r>
          </w:p>
        </w:tc>
        <w:tc>
          <w:tcPr>
            <w:tcW w:w="149" w:type="pct"/>
            <w:tcMar>
              <w:left w:w="0" w:type="dxa"/>
              <w:right w:w="43" w:type="dxa"/>
            </w:tcMar>
            <w:vAlign w:val="center"/>
          </w:tcPr>
          <w:p w:rsidRPr="009055A9" w:rsidR="0023718B" w:rsidP="000E31AA" w:rsidRDefault="0023718B" w14:paraId="09E995A6" w14:textId="204FC0E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97" w:type="pct"/>
            <w:tcMar>
              <w:left w:w="0" w:type="dxa"/>
              <w:right w:w="43" w:type="dxa"/>
            </w:tcMar>
            <w:vAlign w:val="center"/>
          </w:tcPr>
          <w:p w:rsidRPr="009055A9" w:rsidR="0023718B" w:rsidP="000E31AA" w:rsidRDefault="0023718B" w14:paraId="66E1898F" w14:textId="2EA7672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2,117</w:t>
            </w:r>
          </w:p>
        </w:tc>
        <w:tc>
          <w:tcPr>
            <w:tcW w:w="148" w:type="pct"/>
            <w:tcMar>
              <w:left w:w="0" w:type="dxa"/>
              <w:right w:w="43" w:type="dxa"/>
            </w:tcMar>
            <w:vAlign w:val="center"/>
          </w:tcPr>
          <w:p w:rsidRPr="009055A9" w:rsidR="0023718B" w:rsidP="000E31AA" w:rsidRDefault="0023718B" w14:paraId="49EE6FC3" w14:textId="672D473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96" w:type="pct"/>
            <w:tcMar>
              <w:left w:w="0" w:type="dxa"/>
              <w:right w:w="43" w:type="dxa"/>
            </w:tcMar>
            <w:vAlign w:val="center"/>
          </w:tcPr>
          <w:p w:rsidRPr="009055A9" w:rsidR="0023718B" w:rsidP="000E31AA" w:rsidRDefault="0023718B" w14:paraId="7D012173" w14:textId="4F10FE9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2,157</w:t>
            </w:r>
          </w:p>
        </w:tc>
        <w:tc>
          <w:tcPr>
            <w:tcW w:w="143" w:type="pct"/>
            <w:tcMar>
              <w:left w:w="0" w:type="dxa"/>
              <w:right w:w="43" w:type="dxa"/>
            </w:tcMar>
            <w:vAlign w:val="center"/>
          </w:tcPr>
          <w:p w:rsidRPr="009055A9" w:rsidR="0023718B" w:rsidP="000E31AA" w:rsidRDefault="0023718B" w14:paraId="23F83700" w14:textId="5A03ADE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8" w:type="pct"/>
            <w:shd w:val="clear" w:color="auto" w:fill="auto"/>
            <w:noWrap/>
            <w:tcMar>
              <w:left w:w="0" w:type="dxa"/>
              <w:right w:w="43" w:type="dxa"/>
            </w:tcMar>
            <w:vAlign w:val="center"/>
          </w:tcPr>
          <w:p w:rsidRPr="003148DB" w:rsidR="0023718B" w:rsidP="000E31AA" w:rsidRDefault="0023718B" w14:paraId="14633C33" w14:textId="35E1B2F4">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2,623</w:t>
            </w:r>
          </w:p>
        </w:tc>
        <w:tc>
          <w:tcPr>
            <w:tcW w:w="151" w:type="pct"/>
            <w:shd w:val="clear" w:color="auto" w:fill="auto"/>
            <w:noWrap/>
            <w:tcMar>
              <w:left w:w="0" w:type="dxa"/>
              <w:right w:w="43" w:type="dxa"/>
            </w:tcMar>
            <w:vAlign w:val="center"/>
          </w:tcPr>
          <w:p w:rsidRPr="003148DB" w:rsidR="0023718B" w:rsidP="000E31AA" w:rsidRDefault="0023718B" w14:paraId="3E093C94" w14:textId="2E9B1980">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12.0</w:t>
            </w:r>
          </w:p>
        </w:tc>
      </w:tr>
      <w:tr w:rsidRPr="003148DB" w:rsidR="0023718B" w:rsidTr="000D41FC" w14:paraId="3D343F82"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768D3ACB" w14:textId="77777777">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23157A21" w14:textId="6D1270D7">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Indiana Michigan Power</w:t>
            </w:r>
          </w:p>
        </w:tc>
        <w:tc>
          <w:tcPr>
            <w:tcW w:w="321" w:type="pct"/>
            <w:shd w:val="clear" w:color="auto" w:fill="auto"/>
            <w:noWrap/>
            <w:tcMar>
              <w:left w:w="58" w:type="dxa"/>
              <w:right w:w="29" w:type="dxa"/>
            </w:tcMar>
            <w:vAlign w:val="center"/>
            <w:hideMark/>
          </w:tcPr>
          <w:p w:rsidRPr="009055A9" w:rsidR="0023718B" w:rsidP="000E31AA" w:rsidRDefault="0023718B" w14:paraId="09FB0B8C" w14:textId="23107847">
            <w:pPr>
              <w:keepNext/>
              <w:keepLines/>
              <w:rPr>
                <w:rFonts w:asciiTheme="minorHAnsi" w:hAnsiTheme="minorHAnsi" w:cstheme="minorHAnsi"/>
                <w:sz w:val="16"/>
                <w:szCs w:val="16"/>
              </w:rPr>
            </w:pPr>
            <w:r w:rsidRPr="009055A9">
              <w:rPr>
                <w:rFonts w:asciiTheme="minorHAnsi" w:hAnsiTheme="minorHAnsi" w:cstheme="minorHAnsi"/>
                <w:sz w:val="16"/>
                <w:szCs w:val="16"/>
              </w:rPr>
              <w:t>D.C. Cook</w:t>
            </w:r>
          </w:p>
        </w:tc>
        <w:tc>
          <w:tcPr>
            <w:tcW w:w="123" w:type="pct"/>
            <w:shd w:val="clear" w:color="auto" w:fill="auto"/>
            <w:noWrap/>
            <w:tcMar>
              <w:left w:w="58" w:type="dxa"/>
              <w:right w:w="58" w:type="dxa"/>
            </w:tcMar>
            <w:vAlign w:val="center"/>
            <w:hideMark/>
          </w:tcPr>
          <w:p w:rsidRPr="009055A9" w:rsidR="0023718B" w:rsidP="000E31AA" w:rsidRDefault="0023718B" w14:paraId="7EF6BF3D" w14:textId="27575E4F">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5B138F01" w14:textId="2301A04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4,337</w:t>
            </w:r>
          </w:p>
        </w:tc>
        <w:tc>
          <w:tcPr>
            <w:tcW w:w="123" w:type="pct"/>
            <w:shd w:val="clear" w:color="auto" w:fill="auto"/>
            <w:noWrap/>
            <w:tcMar>
              <w:left w:w="0" w:type="dxa"/>
              <w:right w:w="43" w:type="dxa"/>
            </w:tcMar>
            <w:vAlign w:val="center"/>
            <w:hideMark/>
          </w:tcPr>
          <w:p w:rsidRPr="009055A9" w:rsidR="0023718B" w:rsidP="000E31AA" w:rsidRDefault="0023718B" w14:paraId="1861FF58" w14:textId="67CE487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52</w:t>
            </w:r>
          </w:p>
        </w:tc>
        <w:tc>
          <w:tcPr>
            <w:tcW w:w="170" w:type="pct"/>
            <w:shd w:val="clear" w:color="auto" w:fill="auto"/>
            <w:noWrap/>
            <w:tcMar>
              <w:left w:w="0" w:type="dxa"/>
              <w:right w:w="43" w:type="dxa"/>
            </w:tcMar>
            <w:vAlign w:val="center"/>
            <w:hideMark/>
          </w:tcPr>
          <w:p w:rsidRPr="009055A9" w:rsidR="0023718B" w:rsidP="000E31AA" w:rsidRDefault="0023718B" w14:paraId="028D8E9E" w14:textId="66F9F38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4,017</w:t>
            </w:r>
          </w:p>
        </w:tc>
        <w:tc>
          <w:tcPr>
            <w:tcW w:w="125" w:type="pct"/>
            <w:shd w:val="clear" w:color="auto" w:fill="auto"/>
            <w:noWrap/>
            <w:tcMar>
              <w:left w:w="0" w:type="dxa"/>
              <w:right w:w="43" w:type="dxa"/>
            </w:tcMar>
            <w:vAlign w:val="center"/>
            <w:hideMark/>
          </w:tcPr>
          <w:p w:rsidRPr="009055A9" w:rsidR="0023718B" w:rsidP="000E31AA" w:rsidRDefault="0023718B" w14:paraId="0BA4E6FE" w14:textId="218C670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w:t>
            </w:r>
          </w:p>
        </w:tc>
        <w:tc>
          <w:tcPr>
            <w:tcW w:w="172" w:type="pct"/>
            <w:shd w:val="clear" w:color="auto" w:fill="auto"/>
            <w:noWrap/>
            <w:tcMar>
              <w:left w:w="0" w:type="dxa"/>
              <w:right w:w="43" w:type="dxa"/>
            </w:tcMar>
            <w:vAlign w:val="center"/>
            <w:hideMark/>
          </w:tcPr>
          <w:p w:rsidRPr="009055A9" w:rsidR="0023718B" w:rsidP="000E31AA" w:rsidRDefault="0023718B" w14:paraId="503E5C77" w14:textId="0478293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3,565</w:t>
            </w:r>
          </w:p>
        </w:tc>
        <w:tc>
          <w:tcPr>
            <w:tcW w:w="123" w:type="pct"/>
            <w:shd w:val="clear" w:color="auto" w:fill="auto"/>
            <w:noWrap/>
            <w:tcMar>
              <w:left w:w="0" w:type="dxa"/>
              <w:right w:w="43" w:type="dxa"/>
            </w:tcMar>
            <w:vAlign w:val="center"/>
            <w:hideMark/>
          </w:tcPr>
          <w:p w:rsidRPr="009055A9" w:rsidR="0023718B" w:rsidP="000E31AA" w:rsidRDefault="0023718B" w14:paraId="036E28ED" w14:textId="7712ED2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94" w:type="pct"/>
            <w:shd w:val="clear" w:color="auto" w:fill="auto"/>
            <w:noWrap/>
            <w:tcMar>
              <w:left w:w="0" w:type="dxa"/>
              <w:right w:w="43" w:type="dxa"/>
            </w:tcMar>
            <w:vAlign w:val="center"/>
            <w:hideMark/>
          </w:tcPr>
          <w:p w:rsidRPr="009055A9" w:rsidR="0023718B" w:rsidP="000E31AA" w:rsidRDefault="0023718B" w14:paraId="3424BF46" w14:textId="217528C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3,012</w:t>
            </w:r>
          </w:p>
        </w:tc>
        <w:tc>
          <w:tcPr>
            <w:tcW w:w="123" w:type="pct"/>
            <w:shd w:val="clear" w:color="auto" w:fill="auto"/>
            <w:noWrap/>
            <w:tcMar>
              <w:left w:w="0" w:type="dxa"/>
              <w:right w:w="43" w:type="dxa"/>
            </w:tcMar>
            <w:vAlign w:val="center"/>
            <w:hideMark/>
          </w:tcPr>
          <w:p w:rsidRPr="009055A9" w:rsidR="0023718B" w:rsidP="000E31AA" w:rsidRDefault="0023718B" w14:paraId="00CABC98" w14:textId="4B7614E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97" w:type="pct"/>
            <w:shd w:val="clear" w:color="auto" w:fill="auto"/>
            <w:noWrap/>
            <w:tcMar>
              <w:left w:w="0" w:type="dxa"/>
              <w:right w:w="43" w:type="dxa"/>
            </w:tcMar>
            <w:vAlign w:val="center"/>
            <w:hideMark/>
          </w:tcPr>
          <w:p w:rsidRPr="009055A9" w:rsidR="0023718B" w:rsidP="000E31AA" w:rsidRDefault="0023718B" w14:paraId="7CB1D6BA" w14:textId="60076D9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4,482</w:t>
            </w:r>
          </w:p>
        </w:tc>
        <w:tc>
          <w:tcPr>
            <w:tcW w:w="125" w:type="pct"/>
            <w:shd w:val="clear" w:color="auto" w:fill="auto"/>
            <w:noWrap/>
            <w:tcMar>
              <w:left w:w="0" w:type="dxa"/>
              <w:right w:w="43" w:type="dxa"/>
            </w:tcMar>
            <w:vAlign w:val="center"/>
            <w:hideMark/>
          </w:tcPr>
          <w:p w:rsidRPr="009055A9" w:rsidR="0023718B" w:rsidP="000E31AA" w:rsidRDefault="0023718B" w14:paraId="4D8790A9" w14:textId="6BD3EF1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29</w:t>
            </w:r>
          </w:p>
        </w:tc>
        <w:tc>
          <w:tcPr>
            <w:tcW w:w="170" w:type="pct"/>
            <w:shd w:val="clear" w:color="auto" w:fill="auto"/>
            <w:noWrap/>
            <w:tcMar>
              <w:left w:w="0" w:type="dxa"/>
              <w:right w:w="43" w:type="dxa"/>
            </w:tcMar>
            <w:vAlign w:val="center"/>
            <w:hideMark/>
          </w:tcPr>
          <w:p w:rsidRPr="009055A9" w:rsidR="0023718B" w:rsidP="000E31AA" w:rsidRDefault="0023718B" w14:paraId="64C588C5" w14:textId="68117CB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3,493</w:t>
            </w:r>
          </w:p>
        </w:tc>
        <w:tc>
          <w:tcPr>
            <w:tcW w:w="148" w:type="pct"/>
            <w:shd w:val="clear" w:color="auto" w:fill="auto"/>
            <w:noWrap/>
            <w:tcMar>
              <w:left w:w="0" w:type="dxa"/>
              <w:right w:w="43" w:type="dxa"/>
            </w:tcMar>
            <w:vAlign w:val="center"/>
            <w:hideMark/>
          </w:tcPr>
          <w:p w:rsidRPr="009055A9" w:rsidR="0023718B" w:rsidP="000E31AA" w:rsidRDefault="0023718B" w14:paraId="091CE48E" w14:textId="301B51C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2" w:type="pct"/>
            <w:tcMar>
              <w:left w:w="0" w:type="dxa"/>
              <w:right w:w="43" w:type="dxa"/>
            </w:tcMar>
            <w:vAlign w:val="center"/>
          </w:tcPr>
          <w:p w:rsidRPr="009055A9" w:rsidR="0023718B" w:rsidP="000E31AA" w:rsidRDefault="0023718B" w14:paraId="67A10F3C" w14:textId="231DC32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3,369</w:t>
            </w:r>
          </w:p>
        </w:tc>
        <w:tc>
          <w:tcPr>
            <w:tcW w:w="124" w:type="pct"/>
            <w:tcMar>
              <w:left w:w="0" w:type="dxa"/>
              <w:right w:w="43" w:type="dxa"/>
            </w:tcMar>
            <w:vAlign w:val="center"/>
          </w:tcPr>
          <w:p w:rsidRPr="009055A9" w:rsidR="0023718B" w:rsidP="000E31AA" w:rsidRDefault="0023718B" w14:paraId="44ABD2DC" w14:textId="47D4509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3" w:type="pct"/>
            <w:tcMar>
              <w:left w:w="0" w:type="dxa"/>
              <w:right w:w="43" w:type="dxa"/>
            </w:tcMar>
            <w:vAlign w:val="center"/>
          </w:tcPr>
          <w:p w:rsidRPr="009055A9" w:rsidR="0023718B" w:rsidP="000E31AA" w:rsidRDefault="0023718B" w14:paraId="0EF550C4" w14:textId="372464C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5,122</w:t>
            </w:r>
          </w:p>
        </w:tc>
        <w:tc>
          <w:tcPr>
            <w:tcW w:w="146" w:type="pct"/>
            <w:tcMar>
              <w:left w:w="0" w:type="dxa"/>
              <w:right w:w="43" w:type="dxa"/>
            </w:tcMar>
            <w:vAlign w:val="center"/>
          </w:tcPr>
          <w:p w:rsidRPr="009055A9" w:rsidR="0023718B" w:rsidP="000E31AA" w:rsidRDefault="0023718B" w14:paraId="59081EB1" w14:textId="0A3B21C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25</w:t>
            </w:r>
          </w:p>
        </w:tc>
        <w:tc>
          <w:tcPr>
            <w:tcW w:w="175" w:type="pct"/>
            <w:tcMar>
              <w:left w:w="0" w:type="dxa"/>
              <w:right w:w="43" w:type="dxa"/>
            </w:tcMar>
            <w:vAlign w:val="center"/>
          </w:tcPr>
          <w:p w:rsidRPr="009055A9" w:rsidR="0023718B" w:rsidP="000E31AA" w:rsidRDefault="0023718B" w14:paraId="50F68B3E" w14:textId="198B8FF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3,021</w:t>
            </w:r>
          </w:p>
        </w:tc>
        <w:tc>
          <w:tcPr>
            <w:tcW w:w="149" w:type="pct"/>
            <w:tcMar>
              <w:left w:w="0" w:type="dxa"/>
              <w:right w:w="43" w:type="dxa"/>
            </w:tcMar>
            <w:vAlign w:val="center"/>
          </w:tcPr>
          <w:p w:rsidRPr="009055A9" w:rsidR="0023718B" w:rsidP="000E31AA" w:rsidRDefault="0023718B" w14:paraId="0043F29C" w14:textId="1A1E7A7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7" w:type="pct"/>
            <w:tcMar>
              <w:left w:w="0" w:type="dxa"/>
              <w:right w:w="43" w:type="dxa"/>
            </w:tcMar>
            <w:vAlign w:val="center"/>
          </w:tcPr>
          <w:p w:rsidRPr="009055A9" w:rsidR="0023718B" w:rsidP="000E31AA" w:rsidRDefault="0023718B" w14:paraId="57C5367E" w14:textId="1E4D774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3,368</w:t>
            </w:r>
          </w:p>
        </w:tc>
        <w:tc>
          <w:tcPr>
            <w:tcW w:w="148" w:type="pct"/>
            <w:tcMar>
              <w:left w:w="0" w:type="dxa"/>
              <w:right w:w="43" w:type="dxa"/>
            </w:tcMar>
            <w:vAlign w:val="center"/>
          </w:tcPr>
          <w:p w:rsidRPr="009055A9" w:rsidR="0023718B" w:rsidP="000E31AA" w:rsidRDefault="0023718B" w14:paraId="1482D975" w14:textId="1CE6D52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96" w:type="pct"/>
            <w:tcMar>
              <w:left w:w="0" w:type="dxa"/>
              <w:right w:w="43" w:type="dxa"/>
            </w:tcMar>
            <w:vAlign w:val="center"/>
          </w:tcPr>
          <w:p w:rsidRPr="009055A9" w:rsidR="0023718B" w:rsidP="000E31AA" w:rsidRDefault="0023718B" w14:paraId="4A145A6E" w14:textId="5E8B657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3,988</w:t>
            </w:r>
          </w:p>
        </w:tc>
        <w:tc>
          <w:tcPr>
            <w:tcW w:w="143" w:type="pct"/>
            <w:tcMar>
              <w:left w:w="0" w:type="dxa"/>
              <w:right w:w="43" w:type="dxa"/>
            </w:tcMar>
            <w:vAlign w:val="center"/>
          </w:tcPr>
          <w:p w:rsidRPr="009055A9" w:rsidR="0023718B" w:rsidP="000E31AA" w:rsidRDefault="0023718B" w14:paraId="02F3AB1A" w14:textId="24C0B0E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37</w:t>
            </w:r>
          </w:p>
        </w:tc>
        <w:tc>
          <w:tcPr>
            <w:tcW w:w="178" w:type="pct"/>
            <w:shd w:val="clear" w:color="000000" w:fill="FFFFFF"/>
            <w:noWrap/>
            <w:tcMar>
              <w:left w:w="0" w:type="dxa"/>
              <w:right w:w="43" w:type="dxa"/>
            </w:tcMar>
            <w:vAlign w:val="center"/>
          </w:tcPr>
          <w:p w:rsidRPr="003148DB" w:rsidR="0023718B" w:rsidP="000E31AA" w:rsidRDefault="0023718B" w14:paraId="3478E025" w14:textId="0F2E1BB2">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3,798</w:t>
            </w:r>
          </w:p>
        </w:tc>
        <w:tc>
          <w:tcPr>
            <w:tcW w:w="151" w:type="pct"/>
            <w:shd w:val="clear" w:color="000000" w:fill="FFFFFF"/>
            <w:noWrap/>
            <w:tcMar>
              <w:left w:w="0" w:type="dxa"/>
              <w:right w:w="43" w:type="dxa"/>
            </w:tcMar>
            <w:vAlign w:val="center"/>
          </w:tcPr>
          <w:p w:rsidRPr="003148DB" w:rsidR="0023718B" w:rsidP="000E31AA" w:rsidRDefault="0023718B" w14:paraId="1C3BCD00" w14:textId="76E9271F">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25.5</w:t>
            </w:r>
          </w:p>
        </w:tc>
      </w:tr>
      <w:tr w:rsidRPr="003148DB" w:rsidR="0023718B" w:rsidTr="000D41FC" w14:paraId="6B991B63"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18753525" w14:textId="77777777">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63849AE4" w14:textId="2811D5A1">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Pacific Gas &amp; Electric</w:t>
            </w:r>
          </w:p>
        </w:tc>
        <w:tc>
          <w:tcPr>
            <w:tcW w:w="321" w:type="pct"/>
            <w:shd w:val="clear" w:color="auto" w:fill="auto"/>
            <w:noWrap/>
            <w:tcMar>
              <w:left w:w="58" w:type="dxa"/>
              <w:right w:w="29" w:type="dxa"/>
            </w:tcMar>
            <w:vAlign w:val="center"/>
            <w:hideMark/>
          </w:tcPr>
          <w:p w:rsidRPr="009055A9" w:rsidR="0023718B" w:rsidP="000E31AA" w:rsidRDefault="0023718B" w14:paraId="7136FD7C" w14:textId="2F421DB8">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Diablo Canyon</w:t>
            </w:r>
          </w:p>
        </w:tc>
        <w:tc>
          <w:tcPr>
            <w:tcW w:w="123" w:type="pct"/>
            <w:shd w:val="clear" w:color="auto" w:fill="auto"/>
            <w:noWrap/>
            <w:tcMar>
              <w:left w:w="58" w:type="dxa"/>
              <w:right w:w="58" w:type="dxa"/>
            </w:tcMar>
            <w:vAlign w:val="center"/>
            <w:hideMark/>
          </w:tcPr>
          <w:p w:rsidRPr="009055A9" w:rsidR="0023718B" w:rsidP="000E31AA" w:rsidRDefault="0023718B" w14:paraId="65A76406" w14:textId="056F74EA">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61B51C42" w14:textId="2CC8C26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4,731</w:t>
            </w:r>
          </w:p>
        </w:tc>
        <w:tc>
          <w:tcPr>
            <w:tcW w:w="123" w:type="pct"/>
            <w:shd w:val="clear" w:color="auto" w:fill="auto"/>
            <w:noWrap/>
            <w:tcMar>
              <w:left w:w="0" w:type="dxa"/>
              <w:right w:w="43" w:type="dxa"/>
            </w:tcMar>
            <w:vAlign w:val="center"/>
            <w:hideMark/>
          </w:tcPr>
          <w:p w:rsidRPr="009055A9" w:rsidR="0023718B" w:rsidP="000E31AA" w:rsidRDefault="0023718B" w14:paraId="7C0A0742" w14:textId="72CC694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28</w:t>
            </w:r>
          </w:p>
        </w:tc>
        <w:tc>
          <w:tcPr>
            <w:tcW w:w="170" w:type="pct"/>
            <w:shd w:val="clear" w:color="auto" w:fill="auto"/>
            <w:noWrap/>
            <w:tcMar>
              <w:left w:w="0" w:type="dxa"/>
              <w:right w:w="43" w:type="dxa"/>
            </w:tcMar>
            <w:vAlign w:val="center"/>
            <w:hideMark/>
          </w:tcPr>
          <w:p w:rsidRPr="009055A9" w:rsidR="0023718B" w:rsidP="000E31AA" w:rsidRDefault="0023718B" w14:paraId="27C575C6" w14:textId="5D3D141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3,105</w:t>
            </w:r>
          </w:p>
        </w:tc>
        <w:tc>
          <w:tcPr>
            <w:tcW w:w="125" w:type="pct"/>
            <w:shd w:val="clear" w:color="auto" w:fill="auto"/>
            <w:noWrap/>
            <w:tcMar>
              <w:left w:w="0" w:type="dxa"/>
              <w:right w:w="43" w:type="dxa"/>
            </w:tcMar>
            <w:vAlign w:val="center"/>
            <w:hideMark/>
          </w:tcPr>
          <w:p w:rsidRPr="009055A9" w:rsidR="0023718B" w:rsidP="000E31AA" w:rsidRDefault="0023718B" w14:paraId="5D43FE13" w14:textId="6CD3830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2" w:type="pct"/>
            <w:shd w:val="clear" w:color="auto" w:fill="auto"/>
            <w:noWrap/>
            <w:tcMar>
              <w:left w:w="0" w:type="dxa"/>
              <w:right w:w="43" w:type="dxa"/>
            </w:tcMar>
            <w:vAlign w:val="center"/>
            <w:hideMark/>
          </w:tcPr>
          <w:p w:rsidRPr="009055A9" w:rsidR="0023718B" w:rsidP="000E31AA" w:rsidRDefault="0023718B" w14:paraId="1477143E" w14:textId="7D14091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2,973</w:t>
            </w:r>
          </w:p>
        </w:tc>
        <w:tc>
          <w:tcPr>
            <w:tcW w:w="123" w:type="pct"/>
            <w:shd w:val="clear" w:color="auto" w:fill="auto"/>
            <w:noWrap/>
            <w:tcMar>
              <w:left w:w="0" w:type="dxa"/>
              <w:right w:w="43" w:type="dxa"/>
            </w:tcMar>
            <w:vAlign w:val="center"/>
            <w:hideMark/>
          </w:tcPr>
          <w:p w:rsidRPr="009055A9" w:rsidR="0023718B" w:rsidP="000E31AA" w:rsidRDefault="0023718B" w14:paraId="3750533C" w14:textId="44E44ED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94" w:type="pct"/>
            <w:shd w:val="clear" w:color="auto" w:fill="auto"/>
            <w:noWrap/>
            <w:tcMar>
              <w:left w:w="0" w:type="dxa"/>
              <w:right w:w="43" w:type="dxa"/>
            </w:tcMar>
            <w:vAlign w:val="center"/>
            <w:hideMark/>
          </w:tcPr>
          <w:p w:rsidRPr="009055A9" w:rsidR="0023718B" w:rsidP="000E31AA" w:rsidRDefault="0023718B" w14:paraId="1F95EDEE" w14:textId="30FC829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2,826</w:t>
            </w:r>
          </w:p>
        </w:tc>
        <w:tc>
          <w:tcPr>
            <w:tcW w:w="123" w:type="pct"/>
            <w:shd w:val="clear" w:color="auto" w:fill="auto"/>
            <w:noWrap/>
            <w:tcMar>
              <w:left w:w="0" w:type="dxa"/>
              <w:right w:w="43" w:type="dxa"/>
            </w:tcMar>
            <w:vAlign w:val="center"/>
            <w:hideMark/>
          </w:tcPr>
          <w:p w:rsidRPr="009055A9" w:rsidR="0023718B" w:rsidP="000E31AA" w:rsidRDefault="0023718B" w14:paraId="55D581BA" w14:textId="0EA4552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7" w:type="pct"/>
            <w:shd w:val="clear" w:color="auto" w:fill="auto"/>
            <w:noWrap/>
            <w:tcMar>
              <w:left w:w="0" w:type="dxa"/>
              <w:right w:w="43" w:type="dxa"/>
            </w:tcMar>
            <w:vAlign w:val="center"/>
            <w:hideMark/>
          </w:tcPr>
          <w:p w:rsidRPr="009055A9" w:rsidR="0023718B" w:rsidP="000E31AA" w:rsidRDefault="0023718B" w14:paraId="7ADE943C" w14:textId="458C3CF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2,937</w:t>
            </w:r>
          </w:p>
        </w:tc>
        <w:tc>
          <w:tcPr>
            <w:tcW w:w="125" w:type="pct"/>
            <w:shd w:val="clear" w:color="auto" w:fill="auto"/>
            <w:noWrap/>
            <w:tcMar>
              <w:left w:w="0" w:type="dxa"/>
              <w:right w:w="43" w:type="dxa"/>
            </w:tcMar>
            <w:vAlign w:val="center"/>
            <w:hideMark/>
          </w:tcPr>
          <w:p w:rsidRPr="009055A9" w:rsidR="0023718B" w:rsidP="000E31AA" w:rsidRDefault="0023718B" w14:paraId="47E9AF91" w14:textId="213152F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0" w:type="pct"/>
            <w:shd w:val="clear" w:color="auto" w:fill="auto"/>
            <w:noWrap/>
            <w:tcMar>
              <w:left w:w="0" w:type="dxa"/>
              <w:right w:w="43" w:type="dxa"/>
            </w:tcMar>
            <w:vAlign w:val="center"/>
            <w:hideMark/>
          </w:tcPr>
          <w:p w:rsidRPr="009055A9" w:rsidR="0023718B" w:rsidP="000E31AA" w:rsidRDefault="0023718B" w14:paraId="6B012B8F" w14:textId="25B4424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3,486</w:t>
            </w:r>
          </w:p>
        </w:tc>
        <w:tc>
          <w:tcPr>
            <w:tcW w:w="148" w:type="pct"/>
            <w:shd w:val="clear" w:color="auto" w:fill="auto"/>
            <w:noWrap/>
            <w:tcMar>
              <w:left w:w="0" w:type="dxa"/>
              <w:right w:w="43" w:type="dxa"/>
            </w:tcMar>
            <w:vAlign w:val="center"/>
            <w:hideMark/>
          </w:tcPr>
          <w:p w:rsidRPr="009055A9" w:rsidR="0023718B" w:rsidP="000E31AA" w:rsidRDefault="0023718B" w14:paraId="26F0FDA5" w14:textId="67EB8FD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25</w:t>
            </w:r>
          </w:p>
        </w:tc>
        <w:tc>
          <w:tcPr>
            <w:tcW w:w="172" w:type="pct"/>
            <w:tcMar>
              <w:left w:w="0" w:type="dxa"/>
              <w:right w:w="43" w:type="dxa"/>
            </w:tcMar>
            <w:vAlign w:val="center"/>
          </w:tcPr>
          <w:p w:rsidRPr="009055A9" w:rsidR="0023718B" w:rsidP="000E31AA" w:rsidRDefault="0023718B" w14:paraId="10D94803" w14:textId="52FB29C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3,238</w:t>
            </w:r>
          </w:p>
        </w:tc>
        <w:tc>
          <w:tcPr>
            <w:tcW w:w="124" w:type="pct"/>
            <w:tcMar>
              <w:left w:w="0" w:type="dxa"/>
              <w:right w:w="43" w:type="dxa"/>
            </w:tcMar>
            <w:vAlign w:val="center"/>
          </w:tcPr>
          <w:p w:rsidRPr="009055A9" w:rsidR="0023718B" w:rsidP="000E31AA" w:rsidRDefault="0023718B" w14:paraId="0D255D90" w14:textId="087E102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3" w:type="pct"/>
            <w:tcMar>
              <w:left w:w="0" w:type="dxa"/>
              <w:right w:w="43" w:type="dxa"/>
            </w:tcMar>
            <w:vAlign w:val="center"/>
          </w:tcPr>
          <w:p w:rsidRPr="009055A9" w:rsidR="0023718B" w:rsidP="000E31AA" w:rsidRDefault="0023718B" w14:paraId="71565C47" w14:textId="673F959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2,822</w:t>
            </w:r>
          </w:p>
        </w:tc>
        <w:tc>
          <w:tcPr>
            <w:tcW w:w="146" w:type="pct"/>
            <w:tcMar>
              <w:left w:w="0" w:type="dxa"/>
              <w:right w:w="43" w:type="dxa"/>
            </w:tcMar>
            <w:vAlign w:val="center"/>
          </w:tcPr>
          <w:p w:rsidRPr="009055A9" w:rsidR="0023718B" w:rsidP="000E31AA" w:rsidRDefault="0023718B" w14:paraId="4E5D8B4C" w14:textId="0D5ABCB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5" w:type="pct"/>
            <w:tcMar>
              <w:left w:w="0" w:type="dxa"/>
              <w:right w:w="43" w:type="dxa"/>
            </w:tcMar>
            <w:vAlign w:val="center"/>
          </w:tcPr>
          <w:p w:rsidRPr="009055A9" w:rsidR="0023718B" w:rsidP="000E31AA" w:rsidRDefault="0023718B" w14:paraId="2708C376" w14:textId="6D07744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2,684</w:t>
            </w:r>
          </w:p>
        </w:tc>
        <w:tc>
          <w:tcPr>
            <w:tcW w:w="149" w:type="pct"/>
            <w:tcMar>
              <w:left w:w="0" w:type="dxa"/>
              <w:right w:w="43" w:type="dxa"/>
            </w:tcMar>
            <w:vAlign w:val="center"/>
          </w:tcPr>
          <w:p w:rsidRPr="009055A9" w:rsidR="0023718B" w:rsidP="000E31AA" w:rsidRDefault="0023718B" w14:paraId="7BAD3540" w14:textId="52059F6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97" w:type="pct"/>
            <w:tcMar>
              <w:left w:w="0" w:type="dxa"/>
              <w:right w:w="43" w:type="dxa"/>
            </w:tcMar>
            <w:vAlign w:val="center"/>
          </w:tcPr>
          <w:p w:rsidRPr="009055A9" w:rsidR="0023718B" w:rsidP="000E31AA" w:rsidRDefault="0023718B" w14:paraId="5CA509E6" w14:textId="3CC17FA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2,732</w:t>
            </w:r>
          </w:p>
        </w:tc>
        <w:tc>
          <w:tcPr>
            <w:tcW w:w="148" w:type="pct"/>
            <w:tcMar>
              <w:left w:w="0" w:type="dxa"/>
              <w:right w:w="43" w:type="dxa"/>
            </w:tcMar>
            <w:vAlign w:val="center"/>
          </w:tcPr>
          <w:p w:rsidRPr="009055A9" w:rsidR="0023718B" w:rsidP="000E31AA" w:rsidRDefault="0023718B" w14:paraId="69E08ADC" w14:textId="664ACA7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96" w:type="pct"/>
            <w:tcMar>
              <w:left w:w="0" w:type="dxa"/>
              <w:right w:w="43" w:type="dxa"/>
            </w:tcMar>
            <w:vAlign w:val="center"/>
          </w:tcPr>
          <w:p w:rsidRPr="009055A9" w:rsidR="0023718B" w:rsidP="000E31AA" w:rsidRDefault="0023718B" w14:paraId="71BCC8FF" w14:textId="5E46E65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3,087</w:t>
            </w:r>
          </w:p>
        </w:tc>
        <w:tc>
          <w:tcPr>
            <w:tcW w:w="143" w:type="pct"/>
            <w:tcMar>
              <w:left w:w="0" w:type="dxa"/>
              <w:right w:w="43" w:type="dxa"/>
            </w:tcMar>
            <w:vAlign w:val="center"/>
          </w:tcPr>
          <w:p w:rsidRPr="009055A9" w:rsidR="0023718B" w:rsidP="000E31AA" w:rsidRDefault="0023718B" w14:paraId="614D9CF1" w14:textId="60FE812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8" w:type="pct"/>
            <w:shd w:val="clear" w:color="000000" w:fill="FFFFFF"/>
            <w:noWrap/>
            <w:tcMar>
              <w:left w:w="0" w:type="dxa"/>
              <w:right w:w="43" w:type="dxa"/>
            </w:tcMar>
            <w:vAlign w:val="center"/>
          </w:tcPr>
          <w:p w:rsidRPr="003148DB" w:rsidR="0023718B" w:rsidP="000E31AA" w:rsidRDefault="0023718B" w14:paraId="063F5D9D" w14:textId="698EB796">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3,147</w:t>
            </w:r>
          </w:p>
        </w:tc>
        <w:tc>
          <w:tcPr>
            <w:tcW w:w="151" w:type="pct"/>
            <w:shd w:val="clear" w:color="000000" w:fill="FFFFFF"/>
            <w:noWrap/>
            <w:tcMar>
              <w:left w:w="0" w:type="dxa"/>
              <w:right w:w="43" w:type="dxa"/>
            </w:tcMar>
            <w:vAlign w:val="center"/>
          </w:tcPr>
          <w:p w:rsidRPr="003148DB" w:rsidR="0023718B" w:rsidP="000E31AA" w:rsidRDefault="0023718B" w14:paraId="47F70C21" w14:textId="2325E1EA">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14.8</w:t>
            </w:r>
          </w:p>
        </w:tc>
      </w:tr>
      <w:tr w:rsidRPr="003148DB" w:rsidR="0023718B" w:rsidTr="000D41FC" w14:paraId="74B74D6E"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6BBC9727" w14:textId="77777777">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3CFFAC7A" w14:textId="74D3687B">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Southern Nuclear</w:t>
            </w:r>
          </w:p>
        </w:tc>
        <w:tc>
          <w:tcPr>
            <w:tcW w:w="321" w:type="pct"/>
            <w:shd w:val="clear" w:color="auto" w:fill="auto"/>
            <w:noWrap/>
            <w:tcMar>
              <w:left w:w="58" w:type="dxa"/>
              <w:right w:w="29" w:type="dxa"/>
            </w:tcMar>
            <w:vAlign w:val="center"/>
            <w:hideMark/>
          </w:tcPr>
          <w:p w:rsidRPr="009055A9" w:rsidR="0023718B" w:rsidP="000E31AA" w:rsidRDefault="0023718B" w14:paraId="3788A128" w14:textId="55966A75">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E.I. Hatch</w:t>
            </w:r>
          </w:p>
        </w:tc>
        <w:tc>
          <w:tcPr>
            <w:tcW w:w="123" w:type="pct"/>
            <w:shd w:val="clear" w:color="auto" w:fill="auto"/>
            <w:noWrap/>
            <w:tcMar>
              <w:left w:w="58" w:type="dxa"/>
              <w:right w:w="58" w:type="dxa"/>
            </w:tcMar>
            <w:vAlign w:val="center"/>
            <w:hideMark/>
          </w:tcPr>
          <w:p w:rsidRPr="009055A9" w:rsidR="0023718B" w:rsidP="000E31AA" w:rsidRDefault="0023718B" w14:paraId="0F9B5766" w14:textId="4FD3B591">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55748BB1" w14:textId="1F82239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2,823</w:t>
            </w:r>
          </w:p>
        </w:tc>
        <w:tc>
          <w:tcPr>
            <w:tcW w:w="123" w:type="pct"/>
            <w:shd w:val="clear" w:color="auto" w:fill="auto"/>
            <w:noWrap/>
            <w:tcMar>
              <w:left w:w="0" w:type="dxa"/>
              <w:right w:w="43" w:type="dxa"/>
            </w:tcMar>
            <w:vAlign w:val="center"/>
            <w:hideMark/>
          </w:tcPr>
          <w:p w:rsidRPr="009055A9" w:rsidR="0023718B" w:rsidP="000E31AA" w:rsidRDefault="0023718B" w14:paraId="731FE282" w14:textId="3F66CB4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70" w:type="pct"/>
            <w:shd w:val="clear" w:color="auto" w:fill="auto"/>
            <w:noWrap/>
            <w:tcMar>
              <w:left w:w="0" w:type="dxa"/>
              <w:right w:w="43" w:type="dxa"/>
            </w:tcMar>
            <w:vAlign w:val="center"/>
            <w:hideMark/>
          </w:tcPr>
          <w:p w:rsidRPr="009055A9" w:rsidR="0023718B" w:rsidP="000E31AA" w:rsidRDefault="0023718B" w14:paraId="294193EF" w14:textId="05FF958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3,187</w:t>
            </w:r>
          </w:p>
        </w:tc>
        <w:tc>
          <w:tcPr>
            <w:tcW w:w="125" w:type="pct"/>
            <w:shd w:val="clear" w:color="auto" w:fill="auto"/>
            <w:noWrap/>
            <w:tcMar>
              <w:left w:w="0" w:type="dxa"/>
              <w:right w:w="43" w:type="dxa"/>
            </w:tcMar>
            <w:vAlign w:val="center"/>
            <w:hideMark/>
          </w:tcPr>
          <w:p w:rsidRPr="009055A9" w:rsidR="0023718B" w:rsidP="000E31AA" w:rsidRDefault="0023718B" w14:paraId="53D4F14B" w14:textId="185E298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w:t>
            </w:r>
          </w:p>
        </w:tc>
        <w:tc>
          <w:tcPr>
            <w:tcW w:w="172" w:type="pct"/>
            <w:shd w:val="clear" w:color="auto" w:fill="auto"/>
            <w:noWrap/>
            <w:tcMar>
              <w:left w:w="0" w:type="dxa"/>
              <w:right w:w="43" w:type="dxa"/>
            </w:tcMar>
            <w:vAlign w:val="center"/>
            <w:hideMark/>
          </w:tcPr>
          <w:p w:rsidRPr="009055A9" w:rsidR="0023718B" w:rsidP="000E31AA" w:rsidRDefault="0023718B" w14:paraId="2B39B04D" w14:textId="3853A2C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3,592</w:t>
            </w:r>
          </w:p>
        </w:tc>
        <w:tc>
          <w:tcPr>
            <w:tcW w:w="123" w:type="pct"/>
            <w:shd w:val="clear" w:color="auto" w:fill="auto"/>
            <w:noWrap/>
            <w:tcMar>
              <w:left w:w="0" w:type="dxa"/>
              <w:right w:w="43" w:type="dxa"/>
            </w:tcMar>
            <w:vAlign w:val="center"/>
            <w:hideMark/>
          </w:tcPr>
          <w:p w:rsidRPr="009055A9" w:rsidR="0023718B" w:rsidP="000E31AA" w:rsidRDefault="0023718B" w14:paraId="5F2D3C95" w14:textId="000BC5E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47</w:t>
            </w:r>
          </w:p>
        </w:tc>
        <w:tc>
          <w:tcPr>
            <w:tcW w:w="194" w:type="pct"/>
            <w:shd w:val="clear" w:color="auto" w:fill="auto"/>
            <w:noWrap/>
            <w:tcMar>
              <w:left w:w="0" w:type="dxa"/>
              <w:right w:w="43" w:type="dxa"/>
            </w:tcMar>
            <w:vAlign w:val="center"/>
            <w:hideMark/>
          </w:tcPr>
          <w:p w:rsidRPr="009055A9" w:rsidR="0023718B" w:rsidP="000E31AA" w:rsidRDefault="0023718B" w14:paraId="657A0C53" w14:textId="3C1CC80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3,114</w:t>
            </w:r>
          </w:p>
        </w:tc>
        <w:tc>
          <w:tcPr>
            <w:tcW w:w="123" w:type="pct"/>
            <w:shd w:val="clear" w:color="auto" w:fill="auto"/>
            <w:noWrap/>
            <w:tcMar>
              <w:left w:w="0" w:type="dxa"/>
              <w:right w:w="43" w:type="dxa"/>
            </w:tcMar>
            <w:vAlign w:val="center"/>
            <w:hideMark/>
          </w:tcPr>
          <w:p w:rsidRPr="009055A9" w:rsidR="0023718B" w:rsidP="000E31AA" w:rsidRDefault="0023718B" w14:paraId="1637B115" w14:textId="1204265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97" w:type="pct"/>
            <w:shd w:val="clear" w:color="auto" w:fill="auto"/>
            <w:noWrap/>
            <w:tcMar>
              <w:left w:w="0" w:type="dxa"/>
              <w:right w:w="43" w:type="dxa"/>
            </w:tcMar>
            <w:vAlign w:val="center"/>
            <w:hideMark/>
          </w:tcPr>
          <w:p w:rsidRPr="009055A9" w:rsidR="0023718B" w:rsidP="000E31AA" w:rsidRDefault="0023718B" w14:paraId="71913FCD" w14:textId="5B5BEA8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3,205</w:t>
            </w:r>
          </w:p>
        </w:tc>
        <w:tc>
          <w:tcPr>
            <w:tcW w:w="125" w:type="pct"/>
            <w:shd w:val="clear" w:color="auto" w:fill="auto"/>
            <w:noWrap/>
            <w:tcMar>
              <w:left w:w="0" w:type="dxa"/>
              <w:right w:w="43" w:type="dxa"/>
            </w:tcMar>
            <w:vAlign w:val="center"/>
            <w:hideMark/>
          </w:tcPr>
          <w:p w:rsidRPr="009055A9" w:rsidR="0023718B" w:rsidP="000E31AA" w:rsidRDefault="0023718B" w14:paraId="6C499F1F" w14:textId="7B11F1D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0" w:type="pct"/>
            <w:shd w:val="clear" w:color="auto" w:fill="auto"/>
            <w:noWrap/>
            <w:tcMar>
              <w:left w:w="0" w:type="dxa"/>
              <w:right w:w="43" w:type="dxa"/>
            </w:tcMar>
            <w:vAlign w:val="center"/>
            <w:hideMark/>
          </w:tcPr>
          <w:p w:rsidRPr="009055A9" w:rsidR="0023718B" w:rsidP="000E31AA" w:rsidRDefault="0023718B" w14:paraId="5F6A47A5" w14:textId="4DB40A7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3,078</w:t>
            </w:r>
          </w:p>
        </w:tc>
        <w:tc>
          <w:tcPr>
            <w:tcW w:w="148" w:type="pct"/>
            <w:shd w:val="clear" w:color="auto" w:fill="auto"/>
            <w:noWrap/>
            <w:tcMar>
              <w:left w:w="0" w:type="dxa"/>
              <w:right w:w="43" w:type="dxa"/>
            </w:tcMar>
            <w:vAlign w:val="center"/>
            <w:hideMark/>
          </w:tcPr>
          <w:p w:rsidRPr="009055A9" w:rsidR="0023718B" w:rsidP="000E31AA" w:rsidRDefault="0023718B" w14:paraId="0B4B67A0" w14:textId="3D55D03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w:t>
            </w:r>
          </w:p>
        </w:tc>
        <w:tc>
          <w:tcPr>
            <w:tcW w:w="172" w:type="pct"/>
            <w:tcMar>
              <w:left w:w="0" w:type="dxa"/>
              <w:right w:w="43" w:type="dxa"/>
            </w:tcMar>
            <w:vAlign w:val="center"/>
          </w:tcPr>
          <w:p w:rsidRPr="009055A9" w:rsidR="0023718B" w:rsidP="000E31AA" w:rsidRDefault="0023718B" w14:paraId="2C269FF0" w14:textId="202262F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3,506</w:t>
            </w:r>
          </w:p>
        </w:tc>
        <w:tc>
          <w:tcPr>
            <w:tcW w:w="124" w:type="pct"/>
            <w:tcMar>
              <w:left w:w="0" w:type="dxa"/>
              <w:right w:w="43" w:type="dxa"/>
            </w:tcMar>
            <w:vAlign w:val="center"/>
          </w:tcPr>
          <w:p w:rsidRPr="009055A9" w:rsidR="0023718B" w:rsidP="000E31AA" w:rsidRDefault="0023718B" w14:paraId="004133DD" w14:textId="623C71E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w:t>
            </w:r>
          </w:p>
        </w:tc>
        <w:tc>
          <w:tcPr>
            <w:tcW w:w="173" w:type="pct"/>
            <w:tcMar>
              <w:left w:w="0" w:type="dxa"/>
              <w:right w:w="43" w:type="dxa"/>
            </w:tcMar>
            <w:vAlign w:val="center"/>
          </w:tcPr>
          <w:p w:rsidRPr="009055A9" w:rsidR="0023718B" w:rsidP="000E31AA" w:rsidRDefault="0023718B" w14:paraId="6BDCAA30" w14:textId="43EA9DA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3,194</w:t>
            </w:r>
          </w:p>
        </w:tc>
        <w:tc>
          <w:tcPr>
            <w:tcW w:w="146" w:type="pct"/>
            <w:tcMar>
              <w:left w:w="0" w:type="dxa"/>
              <w:right w:w="43" w:type="dxa"/>
            </w:tcMar>
            <w:vAlign w:val="center"/>
          </w:tcPr>
          <w:p w:rsidRPr="009055A9" w:rsidR="0023718B" w:rsidP="000E31AA" w:rsidRDefault="0023718B" w14:paraId="23B90E0D" w14:textId="1AAE2D3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32</w:t>
            </w:r>
          </w:p>
        </w:tc>
        <w:tc>
          <w:tcPr>
            <w:tcW w:w="175" w:type="pct"/>
            <w:tcMar>
              <w:left w:w="0" w:type="dxa"/>
              <w:right w:w="43" w:type="dxa"/>
            </w:tcMar>
            <w:vAlign w:val="center"/>
          </w:tcPr>
          <w:p w:rsidRPr="009055A9" w:rsidR="0023718B" w:rsidP="000E31AA" w:rsidRDefault="0023718B" w14:paraId="4503FD32" w14:textId="270956E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2,761</w:t>
            </w:r>
          </w:p>
        </w:tc>
        <w:tc>
          <w:tcPr>
            <w:tcW w:w="149" w:type="pct"/>
            <w:tcMar>
              <w:left w:w="0" w:type="dxa"/>
              <w:right w:w="43" w:type="dxa"/>
            </w:tcMar>
            <w:vAlign w:val="center"/>
          </w:tcPr>
          <w:p w:rsidRPr="009055A9" w:rsidR="0023718B" w:rsidP="000E31AA" w:rsidRDefault="0023718B" w14:paraId="00FE92F6" w14:textId="2C5766B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7" w:type="pct"/>
            <w:tcMar>
              <w:left w:w="0" w:type="dxa"/>
              <w:right w:w="43" w:type="dxa"/>
            </w:tcMar>
            <w:vAlign w:val="center"/>
          </w:tcPr>
          <w:p w:rsidRPr="009055A9" w:rsidR="0023718B" w:rsidP="000E31AA" w:rsidRDefault="0023718B" w14:paraId="2DA3D940" w14:textId="300C0D9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2,758</w:t>
            </w:r>
          </w:p>
        </w:tc>
        <w:tc>
          <w:tcPr>
            <w:tcW w:w="148" w:type="pct"/>
            <w:tcMar>
              <w:left w:w="0" w:type="dxa"/>
              <w:right w:w="43" w:type="dxa"/>
            </w:tcMar>
            <w:vAlign w:val="center"/>
          </w:tcPr>
          <w:p w:rsidRPr="009055A9" w:rsidR="0023718B" w:rsidP="000E31AA" w:rsidRDefault="0023718B" w14:paraId="21757BC2" w14:textId="5972198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6" w:type="pct"/>
            <w:tcMar>
              <w:left w:w="0" w:type="dxa"/>
              <w:right w:w="43" w:type="dxa"/>
            </w:tcMar>
            <w:vAlign w:val="center"/>
          </w:tcPr>
          <w:p w:rsidRPr="009055A9" w:rsidR="0023718B" w:rsidP="000E31AA" w:rsidRDefault="0023718B" w14:paraId="16F7BD7E" w14:textId="094AD27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2,868</w:t>
            </w:r>
          </w:p>
        </w:tc>
        <w:tc>
          <w:tcPr>
            <w:tcW w:w="143" w:type="pct"/>
            <w:tcMar>
              <w:left w:w="0" w:type="dxa"/>
              <w:right w:w="43" w:type="dxa"/>
            </w:tcMar>
            <w:vAlign w:val="center"/>
          </w:tcPr>
          <w:p w:rsidRPr="009055A9" w:rsidR="0023718B" w:rsidP="000E31AA" w:rsidRDefault="0023718B" w14:paraId="6736BBA1" w14:textId="167931C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8" w:type="pct"/>
            <w:shd w:val="clear" w:color="000000" w:fill="FFFFFF"/>
            <w:noWrap/>
            <w:tcMar>
              <w:left w:w="0" w:type="dxa"/>
              <w:right w:w="43" w:type="dxa"/>
            </w:tcMar>
            <w:vAlign w:val="center"/>
          </w:tcPr>
          <w:p w:rsidRPr="003148DB" w:rsidR="0023718B" w:rsidP="000E31AA" w:rsidRDefault="0023718B" w14:paraId="66D32111" w14:textId="7F58A179">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3,099</w:t>
            </w:r>
          </w:p>
        </w:tc>
        <w:tc>
          <w:tcPr>
            <w:tcW w:w="151" w:type="pct"/>
            <w:shd w:val="clear" w:color="000000" w:fill="FFFFFF"/>
            <w:noWrap/>
            <w:tcMar>
              <w:left w:w="0" w:type="dxa"/>
              <w:right w:w="43" w:type="dxa"/>
            </w:tcMar>
            <w:vAlign w:val="center"/>
          </w:tcPr>
          <w:p w:rsidRPr="003148DB" w:rsidR="0023718B" w:rsidP="000E31AA" w:rsidRDefault="0023718B" w14:paraId="4CA86F01" w14:textId="0637AC80">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22.2</w:t>
            </w:r>
          </w:p>
        </w:tc>
      </w:tr>
      <w:tr w:rsidRPr="003148DB" w:rsidR="0023718B" w:rsidTr="000D41FC" w14:paraId="549E8E79"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37226D85" w14:textId="77777777">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3ED06B32" w14:textId="1A5F77EE">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Southern Nuclear</w:t>
            </w:r>
          </w:p>
        </w:tc>
        <w:tc>
          <w:tcPr>
            <w:tcW w:w="321" w:type="pct"/>
            <w:shd w:val="clear" w:color="auto" w:fill="auto"/>
            <w:noWrap/>
            <w:tcMar>
              <w:left w:w="58" w:type="dxa"/>
              <w:right w:w="29" w:type="dxa"/>
            </w:tcMar>
            <w:vAlign w:val="center"/>
            <w:hideMark/>
          </w:tcPr>
          <w:p w:rsidRPr="009055A9" w:rsidR="0023718B" w:rsidP="000E31AA" w:rsidRDefault="0023718B" w14:paraId="5CAD3BDF" w14:textId="74E39AD7">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Joseph M. Farley</w:t>
            </w:r>
          </w:p>
        </w:tc>
        <w:tc>
          <w:tcPr>
            <w:tcW w:w="123" w:type="pct"/>
            <w:shd w:val="clear" w:color="auto" w:fill="auto"/>
            <w:noWrap/>
            <w:tcMar>
              <w:left w:w="58" w:type="dxa"/>
              <w:right w:w="58" w:type="dxa"/>
            </w:tcMar>
            <w:vAlign w:val="center"/>
            <w:hideMark/>
          </w:tcPr>
          <w:p w:rsidRPr="009055A9" w:rsidR="0023718B" w:rsidP="000E31AA" w:rsidRDefault="0023718B" w14:paraId="7CDECAA0" w14:textId="671380D2">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0A105C8E" w14:textId="63D91A2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2,513</w:t>
            </w:r>
          </w:p>
        </w:tc>
        <w:tc>
          <w:tcPr>
            <w:tcW w:w="123" w:type="pct"/>
            <w:shd w:val="clear" w:color="auto" w:fill="auto"/>
            <w:noWrap/>
            <w:tcMar>
              <w:left w:w="0" w:type="dxa"/>
              <w:right w:w="43" w:type="dxa"/>
            </w:tcMar>
            <w:vAlign w:val="center"/>
            <w:hideMark/>
          </w:tcPr>
          <w:p w:rsidRPr="009055A9" w:rsidR="0023718B" w:rsidP="000E31AA" w:rsidRDefault="0023718B" w14:paraId="30BB73F3" w14:textId="2CD94CB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29</w:t>
            </w:r>
          </w:p>
        </w:tc>
        <w:tc>
          <w:tcPr>
            <w:tcW w:w="170" w:type="pct"/>
            <w:shd w:val="clear" w:color="auto" w:fill="auto"/>
            <w:noWrap/>
            <w:tcMar>
              <w:left w:w="0" w:type="dxa"/>
              <w:right w:w="43" w:type="dxa"/>
            </w:tcMar>
            <w:vAlign w:val="center"/>
            <w:hideMark/>
          </w:tcPr>
          <w:p w:rsidRPr="009055A9" w:rsidR="0023718B" w:rsidP="000E31AA" w:rsidRDefault="0023718B" w14:paraId="225C0C3E" w14:textId="65A780A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3,968</w:t>
            </w:r>
          </w:p>
        </w:tc>
        <w:tc>
          <w:tcPr>
            <w:tcW w:w="125" w:type="pct"/>
            <w:shd w:val="clear" w:color="auto" w:fill="auto"/>
            <w:noWrap/>
            <w:tcMar>
              <w:left w:w="0" w:type="dxa"/>
              <w:right w:w="43" w:type="dxa"/>
            </w:tcMar>
            <w:vAlign w:val="center"/>
            <w:hideMark/>
          </w:tcPr>
          <w:p w:rsidRPr="009055A9" w:rsidR="0023718B" w:rsidP="000E31AA" w:rsidRDefault="0023718B" w14:paraId="404E6DA1" w14:textId="7153DB6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43</w:t>
            </w:r>
          </w:p>
        </w:tc>
        <w:tc>
          <w:tcPr>
            <w:tcW w:w="172" w:type="pct"/>
            <w:shd w:val="clear" w:color="auto" w:fill="auto"/>
            <w:noWrap/>
            <w:tcMar>
              <w:left w:w="0" w:type="dxa"/>
              <w:right w:w="43" w:type="dxa"/>
            </w:tcMar>
            <w:vAlign w:val="center"/>
            <w:hideMark/>
          </w:tcPr>
          <w:p w:rsidRPr="009055A9" w:rsidR="0023718B" w:rsidP="000E31AA" w:rsidRDefault="0023718B" w14:paraId="1BD0A1CA" w14:textId="77E5CF9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3,724</w:t>
            </w:r>
          </w:p>
        </w:tc>
        <w:tc>
          <w:tcPr>
            <w:tcW w:w="123" w:type="pct"/>
            <w:shd w:val="clear" w:color="auto" w:fill="auto"/>
            <w:noWrap/>
            <w:tcMar>
              <w:left w:w="0" w:type="dxa"/>
              <w:right w:w="43" w:type="dxa"/>
            </w:tcMar>
            <w:vAlign w:val="center"/>
            <w:hideMark/>
          </w:tcPr>
          <w:p w:rsidRPr="009055A9" w:rsidR="0023718B" w:rsidP="000E31AA" w:rsidRDefault="0023718B" w14:paraId="2DDB963B" w14:textId="6239828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39</w:t>
            </w:r>
          </w:p>
        </w:tc>
        <w:tc>
          <w:tcPr>
            <w:tcW w:w="194" w:type="pct"/>
            <w:shd w:val="clear" w:color="auto" w:fill="auto"/>
            <w:noWrap/>
            <w:tcMar>
              <w:left w:w="0" w:type="dxa"/>
              <w:right w:w="43" w:type="dxa"/>
            </w:tcMar>
            <w:vAlign w:val="center"/>
            <w:hideMark/>
          </w:tcPr>
          <w:p w:rsidRPr="009055A9" w:rsidR="0023718B" w:rsidP="000E31AA" w:rsidRDefault="0023718B" w14:paraId="5C1F12B9" w14:textId="0950912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2,681</w:t>
            </w:r>
          </w:p>
        </w:tc>
        <w:tc>
          <w:tcPr>
            <w:tcW w:w="123" w:type="pct"/>
            <w:shd w:val="clear" w:color="auto" w:fill="auto"/>
            <w:noWrap/>
            <w:tcMar>
              <w:left w:w="0" w:type="dxa"/>
              <w:right w:w="43" w:type="dxa"/>
            </w:tcMar>
            <w:vAlign w:val="center"/>
            <w:hideMark/>
          </w:tcPr>
          <w:p w:rsidRPr="009055A9" w:rsidR="0023718B" w:rsidP="000E31AA" w:rsidRDefault="0023718B" w14:paraId="2F1E3360" w14:textId="274C77B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42</w:t>
            </w:r>
          </w:p>
        </w:tc>
        <w:tc>
          <w:tcPr>
            <w:tcW w:w="197" w:type="pct"/>
            <w:shd w:val="clear" w:color="auto" w:fill="auto"/>
            <w:noWrap/>
            <w:tcMar>
              <w:left w:w="0" w:type="dxa"/>
              <w:right w:w="43" w:type="dxa"/>
            </w:tcMar>
            <w:vAlign w:val="center"/>
            <w:hideMark/>
          </w:tcPr>
          <w:p w:rsidRPr="009055A9" w:rsidR="0023718B" w:rsidP="000E31AA" w:rsidRDefault="0023718B" w14:paraId="34A5C07E" w14:textId="239FDCF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2,797</w:t>
            </w:r>
          </w:p>
        </w:tc>
        <w:tc>
          <w:tcPr>
            <w:tcW w:w="125" w:type="pct"/>
            <w:shd w:val="clear" w:color="auto" w:fill="auto"/>
            <w:noWrap/>
            <w:tcMar>
              <w:left w:w="0" w:type="dxa"/>
              <w:right w:w="43" w:type="dxa"/>
            </w:tcMar>
            <w:vAlign w:val="center"/>
            <w:hideMark/>
          </w:tcPr>
          <w:p w:rsidRPr="009055A9" w:rsidR="0023718B" w:rsidP="000E31AA" w:rsidRDefault="0023718B" w14:paraId="55D67AB6" w14:textId="19398EA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0" w:type="pct"/>
            <w:shd w:val="clear" w:color="auto" w:fill="auto"/>
            <w:noWrap/>
            <w:tcMar>
              <w:left w:w="0" w:type="dxa"/>
              <w:right w:w="43" w:type="dxa"/>
            </w:tcMar>
            <w:vAlign w:val="center"/>
            <w:hideMark/>
          </w:tcPr>
          <w:p w:rsidRPr="009055A9" w:rsidR="0023718B" w:rsidP="000E31AA" w:rsidRDefault="0023718B" w14:paraId="202E8943" w14:textId="68C9C8D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1,935</w:t>
            </w:r>
          </w:p>
        </w:tc>
        <w:tc>
          <w:tcPr>
            <w:tcW w:w="148" w:type="pct"/>
            <w:shd w:val="clear" w:color="auto" w:fill="auto"/>
            <w:noWrap/>
            <w:tcMar>
              <w:left w:w="0" w:type="dxa"/>
              <w:right w:w="43" w:type="dxa"/>
            </w:tcMar>
            <w:vAlign w:val="center"/>
            <w:hideMark/>
          </w:tcPr>
          <w:p w:rsidRPr="009055A9" w:rsidR="0023718B" w:rsidP="000E31AA" w:rsidRDefault="0023718B" w14:paraId="34548D75" w14:textId="1DA8BE9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2" w:type="pct"/>
            <w:tcMar>
              <w:left w:w="0" w:type="dxa"/>
              <w:right w:w="43" w:type="dxa"/>
            </w:tcMar>
            <w:vAlign w:val="center"/>
          </w:tcPr>
          <w:p w:rsidRPr="009055A9" w:rsidR="0023718B" w:rsidP="000E31AA" w:rsidRDefault="0023718B" w14:paraId="115EF0C6" w14:textId="6DA3EDD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1,969</w:t>
            </w:r>
          </w:p>
        </w:tc>
        <w:tc>
          <w:tcPr>
            <w:tcW w:w="124" w:type="pct"/>
            <w:tcMar>
              <w:left w:w="0" w:type="dxa"/>
              <w:right w:w="43" w:type="dxa"/>
            </w:tcMar>
            <w:vAlign w:val="center"/>
          </w:tcPr>
          <w:p w:rsidRPr="009055A9" w:rsidR="0023718B" w:rsidP="000E31AA" w:rsidRDefault="0023718B" w14:paraId="2ED3114F" w14:textId="44E7FBD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3" w:type="pct"/>
            <w:tcMar>
              <w:left w:w="0" w:type="dxa"/>
              <w:right w:w="43" w:type="dxa"/>
            </w:tcMar>
            <w:vAlign w:val="center"/>
          </w:tcPr>
          <w:p w:rsidRPr="009055A9" w:rsidR="0023718B" w:rsidP="000E31AA" w:rsidRDefault="0023718B" w14:paraId="3DEC1FF4" w14:textId="12B4491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2,764</w:t>
            </w:r>
          </w:p>
        </w:tc>
        <w:tc>
          <w:tcPr>
            <w:tcW w:w="146" w:type="pct"/>
            <w:tcMar>
              <w:left w:w="0" w:type="dxa"/>
              <w:right w:w="43" w:type="dxa"/>
            </w:tcMar>
            <w:vAlign w:val="center"/>
          </w:tcPr>
          <w:p w:rsidRPr="009055A9" w:rsidR="0023718B" w:rsidP="000E31AA" w:rsidRDefault="0023718B" w14:paraId="26D96114" w14:textId="2964816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w:t>
            </w:r>
          </w:p>
        </w:tc>
        <w:tc>
          <w:tcPr>
            <w:tcW w:w="175" w:type="pct"/>
            <w:tcMar>
              <w:left w:w="0" w:type="dxa"/>
              <w:right w:w="43" w:type="dxa"/>
            </w:tcMar>
            <w:vAlign w:val="center"/>
          </w:tcPr>
          <w:p w:rsidRPr="009055A9" w:rsidR="0023718B" w:rsidP="000E31AA" w:rsidRDefault="0023718B" w14:paraId="625A3866" w14:textId="0FC4E69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2,395</w:t>
            </w:r>
          </w:p>
        </w:tc>
        <w:tc>
          <w:tcPr>
            <w:tcW w:w="149" w:type="pct"/>
            <w:tcMar>
              <w:left w:w="0" w:type="dxa"/>
              <w:right w:w="43" w:type="dxa"/>
            </w:tcMar>
            <w:vAlign w:val="center"/>
          </w:tcPr>
          <w:p w:rsidRPr="009055A9" w:rsidR="0023718B" w:rsidP="000E31AA" w:rsidRDefault="0023718B" w14:paraId="7E09BD0D" w14:textId="0FCE319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7" w:type="pct"/>
            <w:tcMar>
              <w:left w:w="0" w:type="dxa"/>
              <w:right w:w="43" w:type="dxa"/>
            </w:tcMar>
            <w:vAlign w:val="center"/>
          </w:tcPr>
          <w:p w:rsidRPr="009055A9" w:rsidR="0023718B" w:rsidP="000E31AA" w:rsidRDefault="0023718B" w14:paraId="6889AF8A" w14:textId="7450B9A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2,000</w:t>
            </w:r>
          </w:p>
        </w:tc>
        <w:tc>
          <w:tcPr>
            <w:tcW w:w="148" w:type="pct"/>
            <w:tcMar>
              <w:left w:w="0" w:type="dxa"/>
              <w:right w:w="43" w:type="dxa"/>
            </w:tcMar>
            <w:vAlign w:val="center"/>
          </w:tcPr>
          <w:p w:rsidRPr="009055A9" w:rsidR="0023718B" w:rsidP="000E31AA" w:rsidRDefault="0023718B" w14:paraId="20855D2E" w14:textId="57EE3E8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96" w:type="pct"/>
            <w:tcMar>
              <w:left w:w="0" w:type="dxa"/>
              <w:right w:w="43" w:type="dxa"/>
            </w:tcMar>
            <w:vAlign w:val="center"/>
          </w:tcPr>
          <w:p w:rsidRPr="009055A9" w:rsidR="0023718B" w:rsidP="000E31AA" w:rsidRDefault="0023718B" w14:paraId="27D74318" w14:textId="69E2011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2,635</w:t>
            </w:r>
          </w:p>
        </w:tc>
        <w:tc>
          <w:tcPr>
            <w:tcW w:w="143" w:type="pct"/>
            <w:tcMar>
              <w:left w:w="0" w:type="dxa"/>
              <w:right w:w="43" w:type="dxa"/>
            </w:tcMar>
            <w:vAlign w:val="center"/>
          </w:tcPr>
          <w:p w:rsidRPr="009055A9" w:rsidR="0023718B" w:rsidP="000E31AA" w:rsidRDefault="0023718B" w14:paraId="3135811A" w14:textId="1E50716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8" w:type="pct"/>
            <w:shd w:val="clear" w:color="000000" w:fill="FFFFFF"/>
            <w:noWrap/>
            <w:tcMar>
              <w:left w:w="0" w:type="dxa"/>
              <w:right w:w="43" w:type="dxa"/>
            </w:tcMar>
            <w:vAlign w:val="center"/>
          </w:tcPr>
          <w:p w:rsidRPr="003148DB" w:rsidR="0023718B" w:rsidP="000E31AA" w:rsidRDefault="0023718B" w14:paraId="2AC38B3C" w14:textId="20E162A0">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2,671</w:t>
            </w:r>
          </w:p>
        </w:tc>
        <w:tc>
          <w:tcPr>
            <w:tcW w:w="151" w:type="pct"/>
            <w:shd w:val="clear" w:color="000000" w:fill="FFFFFF"/>
            <w:noWrap/>
            <w:tcMar>
              <w:left w:w="0" w:type="dxa"/>
              <w:right w:w="43" w:type="dxa"/>
            </w:tcMar>
            <w:vAlign w:val="center"/>
          </w:tcPr>
          <w:p w:rsidRPr="003148DB" w:rsidR="0023718B" w:rsidP="000E31AA" w:rsidRDefault="0023718B" w14:paraId="2AC14C73" w14:textId="0191497A">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23.5</w:t>
            </w:r>
          </w:p>
        </w:tc>
      </w:tr>
      <w:tr w:rsidRPr="003148DB" w:rsidR="0023718B" w:rsidTr="000D41FC" w14:paraId="2865DAED"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61CCA8B9" w14:textId="77777777">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0371A936" w14:textId="754CB37A">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Exelon</w:t>
            </w:r>
          </w:p>
        </w:tc>
        <w:tc>
          <w:tcPr>
            <w:tcW w:w="321" w:type="pct"/>
            <w:shd w:val="clear" w:color="auto" w:fill="auto"/>
            <w:noWrap/>
            <w:tcMar>
              <w:left w:w="58" w:type="dxa"/>
              <w:right w:w="29" w:type="dxa"/>
            </w:tcMar>
            <w:vAlign w:val="center"/>
            <w:hideMark/>
          </w:tcPr>
          <w:p w:rsidRPr="009055A9" w:rsidR="0023718B" w:rsidP="000E31AA" w:rsidRDefault="0023718B" w14:paraId="3A753497" w14:textId="2AAF7ADE">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LaSalle</w:t>
            </w:r>
          </w:p>
        </w:tc>
        <w:tc>
          <w:tcPr>
            <w:tcW w:w="123" w:type="pct"/>
            <w:shd w:val="clear" w:color="auto" w:fill="auto"/>
            <w:noWrap/>
            <w:tcMar>
              <w:left w:w="58" w:type="dxa"/>
              <w:right w:w="58" w:type="dxa"/>
            </w:tcMar>
            <w:vAlign w:val="center"/>
            <w:hideMark/>
          </w:tcPr>
          <w:p w:rsidRPr="009055A9" w:rsidR="0023718B" w:rsidP="000E31AA" w:rsidRDefault="0023718B" w14:paraId="3D6F52A2" w14:textId="687850BD">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72C1D928" w14:textId="20F5773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2,440</w:t>
            </w:r>
          </w:p>
        </w:tc>
        <w:tc>
          <w:tcPr>
            <w:tcW w:w="123" w:type="pct"/>
            <w:shd w:val="clear" w:color="auto" w:fill="auto"/>
            <w:noWrap/>
            <w:tcMar>
              <w:left w:w="0" w:type="dxa"/>
              <w:right w:w="43" w:type="dxa"/>
            </w:tcMar>
            <w:vAlign w:val="center"/>
            <w:hideMark/>
          </w:tcPr>
          <w:p w:rsidRPr="009055A9" w:rsidR="0023718B" w:rsidP="000E31AA" w:rsidRDefault="0023718B" w14:paraId="11B4B83D" w14:textId="7EF32AF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0" w:type="pct"/>
            <w:shd w:val="clear" w:color="auto" w:fill="auto"/>
            <w:noWrap/>
            <w:tcMar>
              <w:left w:w="0" w:type="dxa"/>
              <w:right w:w="43" w:type="dxa"/>
            </w:tcMar>
            <w:vAlign w:val="center"/>
            <w:hideMark/>
          </w:tcPr>
          <w:p w:rsidRPr="009055A9" w:rsidR="0023718B" w:rsidP="000E31AA" w:rsidRDefault="0023718B" w14:paraId="5D0CB46E" w14:textId="539E4E6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2,698</w:t>
            </w:r>
          </w:p>
        </w:tc>
        <w:tc>
          <w:tcPr>
            <w:tcW w:w="125" w:type="pct"/>
            <w:shd w:val="clear" w:color="auto" w:fill="auto"/>
            <w:noWrap/>
            <w:tcMar>
              <w:left w:w="0" w:type="dxa"/>
              <w:right w:w="43" w:type="dxa"/>
            </w:tcMar>
            <w:vAlign w:val="center"/>
            <w:hideMark/>
          </w:tcPr>
          <w:p w:rsidRPr="009055A9" w:rsidR="0023718B" w:rsidP="000E31AA" w:rsidRDefault="0023718B" w14:paraId="4B72C99C" w14:textId="7E687B5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2" w:type="pct"/>
            <w:shd w:val="clear" w:color="auto" w:fill="auto"/>
            <w:noWrap/>
            <w:tcMar>
              <w:left w:w="0" w:type="dxa"/>
              <w:right w:w="43" w:type="dxa"/>
            </w:tcMar>
            <w:vAlign w:val="center"/>
            <w:hideMark/>
          </w:tcPr>
          <w:p w:rsidRPr="009055A9" w:rsidR="0023718B" w:rsidP="000E31AA" w:rsidRDefault="0023718B" w14:paraId="0DAD43DC" w14:textId="7228FB8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3,270</w:t>
            </w:r>
          </w:p>
        </w:tc>
        <w:tc>
          <w:tcPr>
            <w:tcW w:w="123" w:type="pct"/>
            <w:shd w:val="clear" w:color="auto" w:fill="auto"/>
            <w:noWrap/>
            <w:tcMar>
              <w:left w:w="0" w:type="dxa"/>
              <w:right w:w="43" w:type="dxa"/>
            </w:tcMar>
            <w:vAlign w:val="center"/>
            <w:hideMark/>
          </w:tcPr>
          <w:p w:rsidRPr="009055A9" w:rsidR="0023718B" w:rsidP="000E31AA" w:rsidRDefault="0023718B" w14:paraId="4B110EC3" w14:textId="698C81A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94" w:type="pct"/>
            <w:shd w:val="clear" w:color="auto" w:fill="auto"/>
            <w:noWrap/>
            <w:tcMar>
              <w:left w:w="0" w:type="dxa"/>
              <w:right w:w="43" w:type="dxa"/>
            </w:tcMar>
            <w:vAlign w:val="center"/>
            <w:hideMark/>
          </w:tcPr>
          <w:p w:rsidRPr="009055A9" w:rsidR="0023718B" w:rsidP="000E31AA" w:rsidRDefault="0023718B" w14:paraId="68701F63" w14:textId="6734032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2,829</w:t>
            </w:r>
          </w:p>
        </w:tc>
        <w:tc>
          <w:tcPr>
            <w:tcW w:w="123" w:type="pct"/>
            <w:shd w:val="clear" w:color="auto" w:fill="auto"/>
            <w:noWrap/>
            <w:tcMar>
              <w:left w:w="0" w:type="dxa"/>
              <w:right w:w="43" w:type="dxa"/>
            </w:tcMar>
            <w:vAlign w:val="center"/>
            <w:hideMark/>
          </w:tcPr>
          <w:p w:rsidRPr="009055A9" w:rsidR="0023718B" w:rsidP="000E31AA" w:rsidRDefault="0023718B" w14:paraId="3070FCEC" w14:textId="092DC3C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97" w:type="pct"/>
            <w:shd w:val="clear" w:color="auto" w:fill="auto"/>
            <w:noWrap/>
            <w:tcMar>
              <w:left w:w="0" w:type="dxa"/>
              <w:right w:w="43" w:type="dxa"/>
            </w:tcMar>
            <w:vAlign w:val="center"/>
            <w:hideMark/>
          </w:tcPr>
          <w:p w:rsidRPr="009055A9" w:rsidR="0023718B" w:rsidP="000E31AA" w:rsidRDefault="0023718B" w14:paraId="79A3A90C" w14:textId="6DA6066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2,360</w:t>
            </w:r>
          </w:p>
        </w:tc>
        <w:tc>
          <w:tcPr>
            <w:tcW w:w="125" w:type="pct"/>
            <w:shd w:val="clear" w:color="auto" w:fill="auto"/>
            <w:noWrap/>
            <w:tcMar>
              <w:left w:w="0" w:type="dxa"/>
              <w:right w:w="43" w:type="dxa"/>
            </w:tcMar>
            <w:vAlign w:val="center"/>
            <w:hideMark/>
          </w:tcPr>
          <w:p w:rsidRPr="009055A9" w:rsidR="0023718B" w:rsidP="000E31AA" w:rsidRDefault="0023718B" w14:paraId="16991DDC" w14:textId="5BCB0F0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0" w:type="pct"/>
            <w:shd w:val="clear" w:color="auto" w:fill="auto"/>
            <w:noWrap/>
            <w:tcMar>
              <w:left w:w="0" w:type="dxa"/>
              <w:right w:w="43" w:type="dxa"/>
            </w:tcMar>
            <w:vAlign w:val="center"/>
            <w:hideMark/>
          </w:tcPr>
          <w:p w:rsidRPr="009055A9" w:rsidR="0023718B" w:rsidP="000E31AA" w:rsidRDefault="0023718B" w14:paraId="0B1B3500" w14:textId="4A921F6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2,583</w:t>
            </w:r>
          </w:p>
        </w:tc>
        <w:tc>
          <w:tcPr>
            <w:tcW w:w="148" w:type="pct"/>
            <w:shd w:val="clear" w:color="auto" w:fill="auto"/>
            <w:noWrap/>
            <w:tcMar>
              <w:left w:w="0" w:type="dxa"/>
              <w:right w:w="43" w:type="dxa"/>
            </w:tcMar>
            <w:vAlign w:val="center"/>
            <w:hideMark/>
          </w:tcPr>
          <w:p w:rsidRPr="009055A9" w:rsidR="0023718B" w:rsidP="000E31AA" w:rsidRDefault="0023718B" w14:paraId="2DCCFDB1" w14:textId="5F48140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72" w:type="pct"/>
            <w:tcMar>
              <w:left w:w="0" w:type="dxa"/>
              <w:right w:w="43" w:type="dxa"/>
            </w:tcMar>
            <w:vAlign w:val="center"/>
          </w:tcPr>
          <w:p w:rsidRPr="009055A9" w:rsidR="0023718B" w:rsidP="000E31AA" w:rsidRDefault="0023718B" w14:paraId="49F626E3" w14:textId="6B35F4E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2,998</w:t>
            </w:r>
          </w:p>
        </w:tc>
        <w:tc>
          <w:tcPr>
            <w:tcW w:w="124" w:type="pct"/>
            <w:tcMar>
              <w:left w:w="0" w:type="dxa"/>
              <w:right w:w="43" w:type="dxa"/>
            </w:tcMar>
            <w:vAlign w:val="center"/>
          </w:tcPr>
          <w:p w:rsidRPr="009055A9" w:rsidR="0023718B" w:rsidP="000E31AA" w:rsidRDefault="0023718B" w14:paraId="69114070" w14:textId="100185B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3" w:type="pct"/>
            <w:tcMar>
              <w:left w:w="0" w:type="dxa"/>
              <w:right w:w="43" w:type="dxa"/>
            </w:tcMar>
            <w:vAlign w:val="center"/>
          </w:tcPr>
          <w:p w:rsidRPr="009055A9" w:rsidR="0023718B" w:rsidP="000E31AA" w:rsidRDefault="0023718B" w14:paraId="0981714B" w14:textId="25733C5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3,132</w:t>
            </w:r>
          </w:p>
        </w:tc>
        <w:tc>
          <w:tcPr>
            <w:tcW w:w="146" w:type="pct"/>
            <w:tcMar>
              <w:left w:w="0" w:type="dxa"/>
              <w:right w:w="43" w:type="dxa"/>
            </w:tcMar>
            <w:vAlign w:val="center"/>
          </w:tcPr>
          <w:p w:rsidRPr="009055A9" w:rsidR="0023718B" w:rsidP="000E31AA" w:rsidRDefault="0023718B" w14:paraId="12982824" w14:textId="50DF537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5" w:type="pct"/>
            <w:tcMar>
              <w:left w:w="0" w:type="dxa"/>
              <w:right w:w="43" w:type="dxa"/>
            </w:tcMar>
            <w:vAlign w:val="center"/>
          </w:tcPr>
          <w:p w:rsidRPr="009055A9" w:rsidR="0023718B" w:rsidP="000E31AA" w:rsidRDefault="0023718B" w14:paraId="4857C7A4" w14:textId="2291BEF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1,779</w:t>
            </w:r>
          </w:p>
        </w:tc>
        <w:tc>
          <w:tcPr>
            <w:tcW w:w="149" w:type="pct"/>
            <w:tcMar>
              <w:left w:w="0" w:type="dxa"/>
              <w:right w:w="43" w:type="dxa"/>
            </w:tcMar>
            <w:vAlign w:val="center"/>
          </w:tcPr>
          <w:p w:rsidRPr="009055A9" w:rsidR="0023718B" w:rsidP="000E31AA" w:rsidRDefault="0023718B" w14:paraId="6F4E167E" w14:textId="4C58EA0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97" w:type="pct"/>
            <w:tcMar>
              <w:left w:w="0" w:type="dxa"/>
              <w:right w:w="43" w:type="dxa"/>
            </w:tcMar>
            <w:vAlign w:val="center"/>
          </w:tcPr>
          <w:p w:rsidRPr="009055A9" w:rsidR="0023718B" w:rsidP="000E31AA" w:rsidRDefault="0023718B" w14:paraId="7328EA1C" w14:textId="0A1784B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1,726</w:t>
            </w:r>
          </w:p>
        </w:tc>
        <w:tc>
          <w:tcPr>
            <w:tcW w:w="148" w:type="pct"/>
            <w:tcMar>
              <w:left w:w="0" w:type="dxa"/>
              <w:right w:w="43" w:type="dxa"/>
            </w:tcMar>
            <w:vAlign w:val="center"/>
          </w:tcPr>
          <w:p w:rsidRPr="009055A9" w:rsidR="0023718B" w:rsidP="000E31AA" w:rsidRDefault="0023718B" w14:paraId="40375169" w14:textId="4349FB8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96" w:type="pct"/>
            <w:tcMar>
              <w:left w:w="0" w:type="dxa"/>
              <w:right w:w="43" w:type="dxa"/>
            </w:tcMar>
            <w:vAlign w:val="center"/>
          </w:tcPr>
          <w:p w:rsidRPr="009055A9" w:rsidR="0023718B" w:rsidP="000E31AA" w:rsidRDefault="0023718B" w14:paraId="7F986F6D" w14:textId="084233B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2,436</w:t>
            </w:r>
          </w:p>
        </w:tc>
        <w:tc>
          <w:tcPr>
            <w:tcW w:w="143" w:type="pct"/>
            <w:tcMar>
              <w:left w:w="0" w:type="dxa"/>
              <w:right w:w="43" w:type="dxa"/>
            </w:tcMar>
            <w:vAlign w:val="center"/>
          </w:tcPr>
          <w:p w:rsidRPr="009055A9" w:rsidR="0023718B" w:rsidP="000E31AA" w:rsidRDefault="0023718B" w14:paraId="3A450FA0" w14:textId="6EC7DC7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8" w:type="pct"/>
            <w:shd w:val="clear" w:color="000000" w:fill="FFFFFF"/>
            <w:noWrap/>
            <w:tcMar>
              <w:left w:w="0" w:type="dxa"/>
              <w:right w:w="43" w:type="dxa"/>
            </w:tcMar>
            <w:vAlign w:val="center"/>
          </w:tcPr>
          <w:p w:rsidRPr="003148DB" w:rsidR="0023718B" w:rsidP="000E31AA" w:rsidRDefault="0023718B" w14:paraId="2C2D4E16" w14:textId="3DBC8D62">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2,568</w:t>
            </w:r>
          </w:p>
        </w:tc>
        <w:tc>
          <w:tcPr>
            <w:tcW w:w="151" w:type="pct"/>
            <w:shd w:val="clear" w:color="000000" w:fill="FFFFFF"/>
            <w:noWrap/>
            <w:tcMar>
              <w:left w:w="0" w:type="dxa"/>
              <w:right w:w="43" w:type="dxa"/>
            </w:tcMar>
            <w:vAlign w:val="center"/>
          </w:tcPr>
          <w:p w:rsidRPr="003148DB" w:rsidR="0023718B" w:rsidP="000E31AA" w:rsidRDefault="0023718B" w14:paraId="61197336" w14:textId="0588CE0F">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11.8</w:t>
            </w:r>
          </w:p>
        </w:tc>
      </w:tr>
      <w:tr w:rsidRPr="003148DB" w:rsidR="0023718B" w:rsidTr="000D41FC" w14:paraId="3FD930DF" w14:textId="77777777">
        <w:trPr>
          <w:trHeight w:val="276"/>
        </w:trPr>
        <w:tc>
          <w:tcPr>
            <w:tcW w:w="268" w:type="pct"/>
            <w:vMerge/>
            <w:shd w:val="clear" w:color="auto" w:fill="auto"/>
            <w:noWrap/>
            <w:tcMar>
              <w:left w:w="58" w:type="dxa"/>
              <w:right w:w="58" w:type="dxa"/>
            </w:tcMar>
            <w:vAlign w:val="center"/>
            <w:hideMark/>
          </w:tcPr>
          <w:p w:rsidRPr="00196D17" w:rsidR="0023718B" w:rsidP="000E31AA" w:rsidRDefault="0023718B" w14:paraId="668C76AF"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35B20771" w14:textId="3E8F3351">
            <w:pPr>
              <w:rPr>
                <w:rFonts w:asciiTheme="minorHAnsi" w:hAnsiTheme="minorHAnsi" w:cstheme="minorHAnsi"/>
                <w:sz w:val="16"/>
                <w:szCs w:val="16"/>
              </w:rPr>
            </w:pPr>
            <w:r w:rsidRPr="009055A9">
              <w:rPr>
                <w:rFonts w:asciiTheme="minorHAnsi" w:hAnsiTheme="minorHAnsi" w:cstheme="minorHAnsi"/>
                <w:color w:val="000000"/>
                <w:sz w:val="16"/>
                <w:szCs w:val="16"/>
              </w:rPr>
              <w:t>Exelon</w:t>
            </w:r>
          </w:p>
        </w:tc>
        <w:tc>
          <w:tcPr>
            <w:tcW w:w="321" w:type="pct"/>
            <w:shd w:val="clear" w:color="auto" w:fill="auto"/>
            <w:noWrap/>
            <w:tcMar>
              <w:left w:w="58" w:type="dxa"/>
              <w:right w:w="29" w:type="dxa"/>
            </w:tcMar>
            <w:vAlign w:val="center"/>
            <w:hideMark/>
          </w:tcPr>
          <w:p w:rsidRPr="009055A9" w:rsidR="0023718B" w:rsidP="000E31AA" w:rsidRDefault="0023718B" w14:paraId="09D45B29" w14:textId="3288F2EE">
            <w:pPr>
              <w:rPr>
                <w:rFonts w:asciiTheme="minorHAnsi" w:hAnsiTheme="minorHAnsi" w:cstheme="minorHAnsi"/>
                <w:sz w:val="16"/>
                <w:szCs w:val="16"/>
              </w:rPr>
            </w:pPr>
            <w:r w:rsidRPr="009055A9">
              <w:rPr>
                <w:rFonts w:asciiTheme="minorHAnsi" w:hAnsiTheme="minorHAnsi" w:cstheme="minorHAnsi"/>
                <w:color w:val="000000"/>
                <w:sz w:val="16"/>
                <w:szCs w:val="16"/>
              </w:rPr>
              <w:t>Limerick</w:t>
            </w:r>
          </w:p>
        </w:tc>
        <w:tc>
          <w:tcPr>
            <w:tcW w:w="123" w:type="pct"/>
            <w:shd w:val="clear" w:color="auto" w:fill="auto"/>
            <w:noWrap/>
            <w:tcMar>
              <w:left w:w="58" w:type="dxa"/>
              <w:right w:w="58" w:type="dxa"/>
            </w:tcMar>
            <w:vAlign w:val="center"/>
            <w:hideMark/>
          </w:tcPr>
          <w:p w:rsidRPr="009055A9" w:rsidR="0023718B" w:rsidP="000E31AA" w:rsidRDefault="0023718B" w14:paraId="32B9F6F5" w14:textId="04A3129C">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2343DE49" w14:textId="489B67ED">
            <w:pPr>
              <w:jc w:val="right"/>
              <w:rPr>
                <w:rFonts w:asciiTheme="minorHAnsi" w:hAnsiTheme="minorHAnsi" w:cstheme="minorHAnsi"/>
                <w:sz w:val="16"/>
                <w:szCs w:val="16"/>
              </w:rPr>
            </w:pPr>
            <w:r w:rsidRPr="009055A9">
              <w:rPr>
                <w:rFonts w:asciiTheme="minorHAnsi" w:hAnsiTheme="minorHAnsi" w:cstheme="minorHAnsi"/>
                <w:color w:val="000000"/>
                <w:sz w:val="16"/>
                <w:szCs w:val="16"/>
              </w:rPr>
              <w:t>2,526</w:t>
            </w:r>
          </w:p>
        </w:tc>
        <w:tc>
          <w:tcPr>
            <w:tcW w:w="123" w:type="pct"/>
            <w:shd w:val="clear" w:color="auto" w:fill="auto"/>
            <w:noWrap/>
            <w:tcMar>
              <w:left w:w="0" w:type="dxa"/>
              <w:right w:w="43" w:type="dxa"/>
            </w:tcMar>
            <w:vAlign w:val="center"/>
            <w:hideMark/>
          </w:tcPr>
          <w:p w:rsidRPr="009055A9" w:rsidR="0023718B" w:rsidP="000E31AA" w:rsidRDefault="0023718B" w14:paraId="7DB362B8" w14:textId="3DEA8484">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0" w:type="pct"/>
            <w:shd w:val="clear" w:color="auto" w:fill="auto"/>
            <w:noWrap/>
            <w:tcMar>
              <w:left w:w="0" w:type="dxa"/>
              <w:right w:w="43" w:type="dxa"/>
            </w:tcMar>
            <w:vAlign w:val="center"/>
            <w:hideMark/>
          </w:tcPr>
          <w:p w:rsidRPr="009055A9" w:rsidR="0023718B" w:rsidP="000E31AA" w:rsidRDefault="0023718B" w14:paraId="65DF22A1" w14:textId="0C530978">
            <w:pPr>
              <w:jc w:val="right"/>
              <w:rPr>
                <w:rFonts w:asciiTheme="minorHAnsi" w:hAnsiTheme="minorHAnsi" w:cstheme="minorHAnsi"/>
                <w:sz w:val="16"/>
                <w:szCs w:val="16"/>
              </w:rPr>
            </w:pPr>
            <w:r w:rsidRPr="009055A9">
              <w:rPr>
                <w:rFonts w:asciiTheme="minorHAnsi" w:hAnsiTheme="minorHAnsi" w:cstheme="minorHAnsi"/>
                <w:color w:val="000000"/>
                <w:sz w:val="16"/>
                <w:szCs w:val="16"/>
              </w:rPr>
              <w:t>2,599</w:t>
            </w:r>
          </w:p>
        </w:tc>
        <w:tc>
          <w:tcPr>
            <w:tcW w:w="125" w:type="pct"/>
            <w:shd w:val="clear" w:color="auto" w:fill="auto"/>
            <w:noWrap/>
            <w:tcMar>
              <w:left w:w="0" w:type="dxa"/>
              <w:right w:w="43" w:type="dxa"/>
            </w:tcMar>
            <w:vAlign w:val="center"/>
            <w:hideMark/>
          </w:tcPr>
          <w:p w:rsidRPr="009055A9" w:rsidR="0023718B" w:rsidP="000E31AA" w:rsidRDefault="0023718B" w14:paraId="3C406902" w14:textId="3864816A">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2" w:type="pct"/>
            <w:shd w:val="clear" w:color="auto" w:fill="auto"/>
            <w:noWrap/>
            <w:tcMar>
              <w:left w:w="0" w:type="dxa"/>
              <w:right w:w="43" w:type="dxa"/>
            </w:tcMar>
            <w:vAlign w:val="center"/>
            <w:hideMark/>
          </w:tcPr>
          <w:p w:rsidRPr="009055A9" w:rsidR="0023718B" w:rsidP="000E31AA" w:rsidRDefault="0023718B" w14:paraId="0E09487F" w14:textId="703A0CC7">
            <w:pPr>
              <w:jc w:val="right"/>
              <w:rPr>
                <w:rFonts w:asciiTheme="minorHAnsi" w:hAnsiTheme="minorHAnsi" w:cstheme="minorHAnsi"/>
                <w:sz w:val="16"/>
                <w:szCs w:val="16"/>
              </w:rPr>
            </w:pPr>
            <w:r w:rsidRPr="009055A9">
              <w:rPr>
                <w:rFonts w:asciiTheme="minorHAnsi" w:hAnsiTheme="minorHAnsi" w:cstheme="minorHAnsi"/>
                <w:color w:val="000000"/>
                <w:sz w:val="16"/>
                <w:szCs w:val="16"/>
              </w:rPr>
              <w:t>3,049</w:t>
            </w:r>
          </w:p>
        </w:tc>
        <w:tc>
          <w:tcPr>
            <w:tcW w:w="123" w:type="pct"/>
            <w:shd w:val="clear" w:color="auto" w:fill="auto"/>
            <w:noWrap/>
            <w:tcMar>
              <w:left w:w="0" w:type="dxa"/>
              <w:right w:w="43" w:type="dxa"/>
            </w:tcMar>
            <w:vAlign w:val="center"/>
            <w:hideMark/>
          </w:tcPr>
          <w:p w:rsidRPr="009055A9" w:rsidR="0023718B" w:rsidP="000E31AA" w:rsidRDefault="0023718B" w14:paraId="152EF0A7" w14:textId="41D3A09B">
            <w:pPr>
              <w:jc w:val="right"/>
              <w:rPr>
                <w:rFonts w:asciiTheme="minorHAnsi" w:hAnsiTheme="minorHAnsi" w:cstheme="minorHAnsi"/>
                <w:sz w:val="16"/>
                <w:szCs w:val="16"/>
              </w:rPr>
            </w:pPr>
            <w:r w:rsidRPr="009055A9">
              <w:rPr>
                <w:rFonts w:asciiTheme="minorHAnsi" w:hAnsiTheme="minorHAnsi" w:cstheme="minorHAnsi"/>
                <w:color w:val="000000"/>
                <w:sz w:val="16"/>
                <w:szCs w:val="16"/>
              </w:rPr>
              <w:t>23</w:t>
            </w:r>
          </w:p>
        </w:tc>
        <w:tc>
          <w:tcPr>
            <w:tcW w:w="194" w:type="pct"/>
            <w:shd w:val="clear" w:color="auto" w:fill="auto"/>
            <w:noWrap/>
            <w:tcMar>
              <w:left w:w="0" w:type="dxa"/>
              <w:right w:w="43" w:type="dxa"/>
            </w:tcMar>
            <w:vAlign w:val="center"/>
            <w:hideMark/>
          </w:tcPr>
          <w:p w:rsidRPr="009055A9" w:rsidR="0023718B" w:rsidP="000E31AA" w:rsidRDefault="0023718B" w14:paraId="44D2F934" w14:textId="1C1E421F">
            <w:pPr>
              <w:jc w:val="right"/>
              <w:rPr>
                <w:rFonts w:asciiTheme="minorHAnsi" w:hAnsiTheme="minorHAnsi" w:cstheme="minorHAnsi"/>
                <w:sz w:val="16"/>
                <w:szCs w:val="16"/>
              </w:rPr>
            </w:pPr>
            <w:r w:rsidRPr="009055A9">
              <w:rPr>
                <w:rFonts w:asciiTheme="minorHAnsi" w:hAnsiTheme="minorHAnsi" w:cstheme="minorHAnsi"/>
                <w:color w:val="000000"/>
                <w:sz w:val="16"/>
                <w:szCs w:val="16"/>
              </w:rPr>
              <w:t>3,622</w:t>
            </w:r>
          </w:p>
        </w:tc>
        <w:tc>
          <w:tcPr>
            <w:tcW w:w="123" w:type="pct"/>
            <w:shd w:val="clear" w:color="auto" w:fill="auto"/>
            <w:noWrap/>
            <w:tcMar>
              <w:left w:w="0" w:type="dxa"/>
              <w:right w:w="43" w:type="dxa"/>
            </w:tcMar>
            <w:vAlign w:val="center"/>
            <w:hideMark/>
          </w:tcPr>
          <w:p w:rsidRPr="009055A9" w:rsidR="0023718B" w:rsidP="000E31AA" w:rsidRDefault="0023718B" w14:paraId="6CAF251E" w14:textId="2CAE6693">
            <w:pPr>
              <w:jc w:val="right"/>
              <w:rPr>
                <w:rFonts w:asciiTheme="minorHAnsi" w:hAnsiTheme="minorHAnsi" w:cstheme="minorHAnsi"/>
                <w:sz w:val="16"/>
                <w:szCs w:val="16"/>
              </w:rPr>
            </w:pPr>
            <w:r w:rsidRPr="009055A9">
              <w:rPr>
                <w:rFonts w:asciiTheme="minorHAnsi" w:hAnsiTheme="minorHAnsi" w:cstheme="minorHAnsi"/>
                <w:color w:val="000000"/>
                <w:sz w:val="16"/>
                <w:szCs w:val="16"/>
              </w:rPr>
              <w:t>23</w:t>
            </w:r>
          </w:p>
        </w:tc>
        <w:tc>
          <w:tcPr>
            <w:tcW w:w="197" w:type="pct"/>
            <w:shd w:val="clear" w:color="auto" w:fill="auto"/>
            <w:noWrap/>
            <w:tcMar>
              <w:left w:w="0" w:type="dxa"/>
              <w:right w:w="43" w:type="dxa"/>
            </w:tcMar>
            <w:vAlign w:val="center"/>
            <w:hideMark/>
          </w:tcPr>
          <w:p w:rsidRPr="009055A9" w:rsidR="0023718B" w:rsidP="000E31AA" w:rsidRDefault="0023718B" w14:paraId="162FD8F3" w14:textId="11C34D76">
            <w:pPr>
              <w:jc w:val="right"/>
              <w:rPr>
                <w:rFonts w:asciiTheme="minorHAnsi" w:hAnsiTheme="minorHAnsi" w:cstheme="minorHAnsi"/>
                <w:sz w:val="16"/>
                <w:szCs w:val="16"/>
              </w:rPr>
            </w:pPr>
            <w:r w:rsidRPr="009055A9">
              <w:rPr>
                <w:rFonts w:asciiTheme="minorHAnsi" w:hAnsiTheme="minorHAnsi" w:cstheme="minorHAnsi"/>
                <w:color w:val="000000"/>
                <w:sz w:val="16"/>
                <w:szCs w:val="16"/>
              </w:rPr>
              <w:t>2,751</w:t>
            </w:r>
          </w:p>
        </w:tc>
        <w:tc>
          <w:tcPr>
            <w:tcW w:w="125" w:type="pct"/>
            <w:shd w:val="clear" w:color="auto" w:fill="auto"/>
            <w:noWrap/>
            <w:tcMar>
              <w:left w:w="0" w:type="dxa"/>
              <w:right w:w="43" w:type="dxa"/>
            </w:tcMar>
            <w:vAlign w:val="center"/>
            <w:hideMark/>
          </w:tcPr>
          <w:p w:rsidRPr="009055A9" w:rsidR="0023718B" w:rsidP="000E31AA" w:rsidRDefault="0023718B" w14:paraId="44A2AF3B" w14:textId="0D98085E">
            <w:pPr>
              <w:jc w:val="right"/>
              <w:rPr>
                <w:rFonts w:asciiTheme="minorHAnsi" w:hAnsiTheme="minorHAnsi" w:cstheme="minorHAnsi"/>
                <w:sz w:val="16"/>
                <w:szCs w:val="16"/>
              </w:rPr>
            </w:pPr>
            <w:r w:rsidRPr="009055A9">
              <w:rPr>
                <w:rFonts w:asciiTheme="minorHAnsi" w:hAnsiTheme="minorHAnsi" w:cstheme="minorHAnsi"/>
                <w:color w:val="000000"/>
                <w:sz w:val="16"/>
                <w:szCs w:val="16"/>
              </w:rPr>
              <w:t>24</w:t>
            </w:r>
          </w:p>
        </w:tc>
        <w:tc>
          <w:tcPr>
            <w:tcW w:w="170" w:type="pct"/>
            <w:shd w:val="clear" w:color="auto" w:fill="auto"/>
            <w:noWrap/>
            <w:tcMar>
              <w:left w:w="0" w:type="dxa"/>
              <w:right w:w="43" w:type="dxa"/>
            </w:tcMar>
            <w:vAlign w:val="center"/>
            <w:hideMark/>
          </w:tcPr>
          <w:p w:rsidRPr="009055A9" w:rsidR="0023718B" w:rsidP="000E31AA" w:rsidRDefault="0023718B" w14:paraId="302932D1" w14:textId="50A2D14C">
            <w:pPr>
              <w:jc w:val="right"/>
              <w:rPr>
                <w:rFonts w:asciiTheme="minorHAnsi" w:hAnsiTheme="minorHAnsi" w:cstheme="minorHAnsi"/>
                <w:sz w:val="16"/>
                <w:szCs w:val="16"/>
              </w:rPr>
            </w:pPr>
            <w:r w:rsidRPr="009055A9">
              <w:rPr>
                <w:rFonts w:asciiTheme="minorHAnsi" w:hAnsiTheme="minorHAnsi" w:cstheme="minorHAnsi"/>
                <w:color w:val="000000"/>
                <w:sz w:val="16"/>
                <w:szCs w:val="16"/>
              </w:rPr>
              <w:t>2,551</w:t>
            </w:r>
          </w:p>
        </w:tc>
        <w:tc>
          <w:tcPr>
            <w:tcW w:w="148" w:type="pct"/>
            <w:shd w:val="clear" w:color="auto" w:fill="auto"/>
            <w:noWrap/>
            <w:tcMar>
              <w:left w:w="0" w:type="dxa"/>
              <w:right w:w="43" w:type="dxa"/>
            </w:tcMar>
            <w:vAlign w:val="center"/>
            <w:hideMark/>
          </w:tcPr>
          <w:p w:rsidRPr="009055A9" w:rsidR="0023718B" w:rsidP="000E31AA" w:rsidRDefault="0023718B" w14:paraId="378F413C" w14:textId="7DB8DF7B">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2" w:type="pct"/>
            <w:tcMar>
              <w:left w:w="0" w:type="dxa"/>
              <w:right w:w="43" w:type="dxa"/>
            </w:tcMar>
            <w:vAlign w:val="center"/>
          </w:tcPr>
          <w:p w:rsidRPr="009055A9" w:rsidR="0023718B" w:rsidP="000E31AA" w:rsidRDefault="0023718B" w14:paraId="59B594CF" w14:textId="38627DBA">
            <w:pPr>
              <w:jc w:val="right"/>
              <w:rPr>
                <w:rFonts w:asciiTheme="minorHAnsi" w:hAnsiTheme="minorHAnsi" w:cstheme="minorHAnsi"/>
                <w:sz w:val="16"/>
                <w:szCs w:val="16"/>
              </w:rPr>
            </w:pPr>
            <w:r w:rsidRPr="009055A9">
              <w:rPr>
                <w:rFonts w:asciiTheme="minorHAnsi" w:hAnsiTheme="minorHAnsi" w:cstheme="minorHAnsi"/>
                <w:color w:val="000000"/>
                <w:sz w:val="16"/>
                <w:szCs w:val="16"/>
              </w:rPr>
              <w:t>2,480</w:t>
            </w:r>
          </w:p>
        </w:tc>
        <w:tc>
          <w:tcPr>
            <w:tcW w:w="124" w:type="pct"/>
            <w:tcMar>
              <w:left w:w="0" w:type="dxa"/>
              <w:right w:w="43" w:type="dxa"/>
            </w:tcMar>
            <w:vAlign w:val="center"/>
          </w:tcPr>
          <w:p w:rsidRPr="009055A9" w:rsidR="0023718B" w:rsidP="000E31AA" w:rsidRDefault="0023718B" w14:paraId="1D8B8991" w14:textId="357E0EC7">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3" w:type="pct"/>
            <w:tcMar>
              <w:left w:w="0" w:type="dxa"/>
              <w:right w:w="43" w:type="dxa"/>
            </w:tcMar>
            <w:vAlign w:val="center"/>
          </w:tcPr>
          <w:p w:rsidRPr="009055A9" w:rsidR="0023718B" w:rsidP="000E31AA" w:rsidRDefault="0023718B" w14:paraId="2E9DB9CD" w14:textId="4009C9B3">
            <w:pPr>
              <w:jc w:val="right"/>
              <w:rPr>
                <w:rFonts w:asciiTheme="minorHAnsi" w:hAnsiTheme="minorHAnsi" w:cstheme="minorHAnsi"/>
                <w:sz w:val="16"/>
                <w:szCs w:val="16"/>
              </w:rPr>
            </w:pPr>
            <w:r w:rsidRPr="009055A9">
              <w:rPr>
                <w:rFonts w:asciiTheme="minorHAnsi" w:hAnsiTheme="minorHAnsi" w:cstheme="minorHAnsi"/>
                <w:color w:val="000000"/>
                <w:sz w:val="16"/>
                <w:szCs w:val="16"/>
              </w:rPr>
              <w:t>2,355</w:t>
            </w:r>
          </w:p>
        </w:tc>
        <w:tc>
          <w:tcPr>
            <w:tcW w:w="146" w:type="pct"/>
            <w:tcMar>
              <w:left w:w="0" w:type="dxa"/>
              <w:right w:w="43" w:type="dxa"/>
            </w:tcMar>
            <w:vAlign w:val="center"/>
          </w:tcPr>
          <w:p w:rsidRPr="009055A9" w:rsidR="0023718B" w:rsidP="000E31AA" w:rsidRDefault="0023718B" w14:paraId="0CC7229E" w14:textId="528BB6F6">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5" w:type="pct"/>
            <w:tcMar>
              <w:left w:w="0" w:type="dxa"/>
              <w:right w:w="43" w:type="dxa"/>
            </w:tcMar>
            <w:vAlign w:val="center"/>
          </w:tcPr>
          <w:p w:rsidRPr="009055A9" w:rsidR="0023718B" w:rsidP="000E31AA" w:rsidRDefault="0023718B" w14:paraId="4EC4D21D" w14:textId="54F6DA86">
            <w:pPr>
              <w:jc w:val="right"/>
              <w:rPr>
                <w:rFonts w:asciiTheme="minorHAnsi" w:hAnsiTheme="minorHAnsi" w:cstheme="minorHAnsi"/>
                <w:sz w:val="16"/>
                <w:szCs w:val="16"/>
              </w:rPr>
            </w:pPr>
            <w:r w:rsidRPr="009055A9">
              <w:rPr>
                <w:rFonts w:asciiTheme="minorHAnsi" w:hAnsiTheme="minorHAnsi" w:cstheme="minorHAnsi"/>
                <w:color w:val="000000"/>
                <w:sz w:val="16"/>
                <w:szCs w:val="16"/>
              </w:rPr>
              <w:t>2,741</w:t>
            </w:r>
          </w:p>
        </w:tc>
        <w:tc>
          <w:tcPr>
            <w:tcW w:w="149" w:type="pct"/>
            <w:tcMar>
              <w:left w:w="0" w:type="dxa"/>
              <w:right w:w="43" w:type="dxa"/>
            </w:tcMar>
            <w:vAlign w:val="center"/>
          </w:tcPr>
          <w:p w:rsidRPr="009055A9" w:rsidR="0023718B" w:rsidP="000E31AA" w:rsidRDefault="0023718B" w14:paraId="1119D0B4" w14:textId="1D2A3ABF">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97" w:type="pct"/>
            <w:tcMar>
              <w:left w:w="0" w:type="dxa"/>
              <w:right w:w="43" w:type="dxa"/>
            </w:tcMar>
            <w:vAlign w:val="center"/>
          </w:tcPr>
          <w:p w:rsidRPr="009055A9" w:rsidR="0023718B" w:rsidP="000E31AA" w:rsidRDefault="0023718B" w14:paraId="4F55CB8B" w14:textId="781C72B9">
            <w:pPr>
              <w:jc w:val="right"/>
              <w:rPr>
                <w:rFonts w:asciiTheme="minorHAnsi" w:hAnsiTheme="minorHAnsi" w:cstheme="minorHAnsi"/>
                <w:sz w:val="16"/>
                <w:szCs w:val="16"/>
              </w:rPr>
            </w:pPr>
            <w:r w:rsidRPr="009055A9">
              <w:rPr>
                <w:rFonts w:asciiTheme="minorHAnsi" w:hAnsiTheme="minorHAnsi" w:cstheme="minorHAnsi"/>
                <w:color w:val="000000"/>
                <w:sz w:val="16"/>
                <w:szCs w:val="16"/>
              </w:rPr>
              <w:t>1,990</w:t>
            </w:r>
          </w:p>
        </w:tc>
        <w:tc>
          <w:tcPr>
            <w:tcW w:w="148" w:type="pct"/>
            <w:tcMar>
              <w:left w:w="0" w:type="dxa"/>
              <w:right w:w="43" w:type="dxa"/>
            </w:tcMar>
            <w:vAlign w:val="center"/>
          </w:tcPr>
          <w:p w:rsidRPr="009055A9" w:rsidR="0023718B" w:rsidP="000E31AA" w:rsidRDefault="0023718B" w14:paraId="1223BD20" w14:textId="766A0C07">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96" w:type="pct"/>
            <w:tcMar>
              <w:left w:w="0" w:type="dxa"/>
              <w:right w:w="43" w:type="dxa"/>
            </w:tcMar>
            <w:vAlign w:val="center"/>
          </w:tcPr>
          <w:p w:rsidRPr="009055A9" w:rsidR="0023718B" w:rsidP="000E31AA" w:rsidRDefault="0023718B" w14:paraId="1D69A7D5" w14:textId="5D5C6D3D">
            <w:pPr>
              <w:jc w:val="right"/>
              <w:rPr>
                <w:rFonts w:asciiTheme="minorHAnsi" w:hAnsiTheme="minorHAnsi" w:cstheme="minorHAnsi"/>
                <w:sz w:val="16"/>
                <w:szCs w:val="16"/>
              </w:rPr>
            </w:pPr>
            <w:r w:rsidRPr="009055A9">
              <w:rPr>
                <w:rFonts w:asciiTheme="minorHAnsi" w:hAnsiTheme="minorHAnsi" w:cstheme="minorHAnsi"/>
                <w:color w:val="000000"/>
                <w:sz w:val="16"/>
                <w:szCs w:val="16"/>
              </w:rPr>
              <w:t>1,859</w:t>
            </w:r>
          </w:p>
        </w:tc>
        <w:tc>
          <w:tcPr>
            <w:tcW w:w="143" w:type="pct"/>
            <w:tcMar>
              <w:left w:w="0" w:type="dxa"/>
              <w:right w:w="43" w:type="dxa"/>
            </w:tcMar>
            <w:vAlign w:val="center"/>
          </w:tcPr>
          <w:p w:rsidRPr="009055A9" w:rsidR="0023718B" w:rsidP="000E31AA" w:rsidRDefault="0023718B" w14:paraId="73EFEE41" w14:textId="3DD7B160">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8" w:type="pct"/>
            <w:shd w:val="clear" w:color="000000" w:fill="FFFFFF"/>
            <w:noWrap/>
            <w:tcMar>
              <w:left w:w="0" w:type="dxa"/>
              <w:right w:w="43" w:type="dxa"/>
            </w:tcMar>
            <w:vAlign w:val="center"/>
          </w:tcPr>
          <w:p w:rsidRPr="003148DB" w:rsidR="0023718B" w:rsidP="000E31AA" w:rsidRDefault="0023718B" w14:paraId="0DC67550" w14:textId="6C55D224">
            <w:pPr>
              <w:jc w:val="right"/>
              <w:rPr>
                <w:rFonts w:asciiTheme="minorHAnsi" w:hAnsiTheme="minorHAnsi" w:cstheme="minorHAnsi"/>
                <w:sz w:val="16"/>
                <w:szCs w:val="16"/>
              </w:rPr>
            </w:pPr>
            <w:r w:rsidRPr="003148DB">
              <w:rPr>
                <w:rFonts w:asciiTheme="minorHAnsi" w:hAnsiTheme="minorHAnsi" w:cstheme="minorHAnsi"/>
                <w:color w:val="000000"/>
                <w:sz w:val="16"/>
                <w:szCs w:val="16"/>
              </w:rPr>
              <w:t>2,593</w:t>
            </w:r>
          </w:p>
        </w:tc>
        <w:tc>
          <w:tcPr>
            <w:tcW w:w="151" w:type="pct"/>
            <w:shd w:val="clear" w:color="000000" w:fill="FFFFFF"/>
            <w:noWrap/>
            <w:tcMar>
              <w:left w:w="0" w:type="dxa"/>
              <w:right w:w="43" w:type="dxa"/>
            </w:tcMar>
            <w:vAlign w:val="center"/>
          </w:tcPr>
          <w:p w:rsidRPr="003148DB" w:rsidR="0023718B" w:rsidP="000E31AA" w:rsidRDefault="0023718B" w14:paraId="118F41BA" w14:textId="336B8DDD">
            <w:pPr>
              <w:jc w:val="right"/>
              <w:rPr>
                <w:rFonts w:asciiTheme="minorHAnsi" w:hAnsiTheme="minorHAnsi" w:cstheme="minorHAnsi"/>
                <w:sz w:val="16"/>
                <w:szCs w:val="16"/>
              </w:rPr>
            </w:pPr>
            <w:r w:rsidRPr="003148DB">
              <w:rPr>
                <w:rFonts w:asciiTheme="minorHAnsi" w:hAnsiTheme="minorHAnsi" w:cstheme="minorHAnsi"/>
                <w:color w:val="000000"/>
                <w:sz w:val="16"/>
                <w:szCs w:val="16"/>
              </w:rPr>
              <w:t>15.5</w:t>
            </w:r>
          </w:p>
        </w:tc>
      </w:tr>
      <w:tr w:rsidRPr="003148DB" w:rsidR="0023718B" w:rsidTr="000D41FC" w14:paraId="3DCFFF63"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0A34AC9D"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21CEAF18" w14:textId="0C838AFB">
            <w:pPr>
              <w:rPr>
                <w:rFonts w:asciiTheme="minorHAnsi" w:hAnsiTheme="minorHAnsi" w:cstheme="minorHAnsi"/>
                <w:sz w:val="16"/>
                <w:szCs w:val="16"/>
              </w:rPr>
            </w:pPr>
            <w:r w:rsidRPr="009055A9">
              <w:rPr>
                <w:rFonts w:asciiTheme="minorHAnsi" w:hAnsiTheme="minorHAnsi" w:cstheme="minorHAnsi"/>
                <w:color w:val="000000"/>
                <w:sz w:val="16"/>
                <w:szCs w:val="16"/>
              </w:rPr>
              <w:t>Duke Energy</w:t>
            </w:r>
          </w:p>
        </w:tc>
        <w:tc>
          <w:tcPr>
            <w:tcW w:w="321" w:type="pct"/>
            <w:shd w:val="clear" w:color="auto" w:fill="auto"/>
            <w:noWrap/>
            <w:tcMar>
              <w:left w:w="58" w:type="dxa"/>
              <w:right w:w="29" w:type="dxa"/>
            </w:tcMar>
            <w:vAlign w:val="center"/>
            <w:hideMark/>
          </w:tcPr>
          <w:p w:rsidRPr="009055A9" w:rsidR="0023718B" w:rsidP="000E31AA" w:rsidRDefault="0023718B" w14:paraId="111FFE11" w14:textId="1F72BF26">
            <w:pPr>
              <w:rPr>
                <w:rFonts w:asciiTheme="minorHAnsi" w:hAnsiTheme="minorHAnsi" w:cstheme="minorHAnsi"/>
                <w:sz w:val="16"/>
                <w:szCs w:val="16"/>
              </w:rPr>
            </w:pPr>
            <w:r w:rsidRPr="009055A9">
              <w:rPr>
                <w:rFonts w:asciiTheme="minorHAnsi" w:hAnsiTheme="minorHAnsi" w:cstheme="minorHAnsi"/>
                <w:color w:val="000000"/>
                <w:sz w:val="16"/>
                <w:szCs w:val="16"/>
              </w:rPr>
              <w:t>McGuire</w:t>
            </w:r>
          </w:p>
        </w:tc>
        <w:tc>
          <w:tcPr>
            <w:tcW w:w="123" w:type="pct"/>
            <w:shd w:val="clear" w:color="auto" w:fill="auto"/>
            <w:noWrap/>
            <w:tcMar>
              <w:left w:w="58" w:type="dxa"/>
              <w:right w:w="58" w:type="dxa"/>
            </w:tcMar>
            <w:vAlign w:val="center"/>
            <w:hideMark/>
          </w:tcPr>
          <w:p w:rsidRPr="009055A9" w:rsidR="0023718B" w:rsidP="000E31AA" w:rsidRDefault="0023718B" w14:paraId="13629D8F" w14:textId="180CBF3B">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49432016" w14:textId="73E50E63">
            <w:pPr>
              <w:jc w:val="right"/>
              <w:rPr>
                <w:rFonts w:asciiTheme="minorHAnsi" w:hAnsiTheme="minorHAnsi" w:cstheme="minorHAnsi"/>
                <w:sz w:val="16"/>
                <w:szCs w:val="16"/>
              </w:rPr>
            </w:pPr>
            <w:r w:rsidRPr="009055A9">
              <w:rPr>
                <w:rFonts w:asciiTheme="minorHAnsi" w:hAnsiTheme="minorHAnsi" w:cstheme="minorHAnsi"/>
                <w:color w:val="000000"/>
                <w:sz w:val="16"/>
                <w:szCs w:val="16"/>
              </w:rPr>
              <w:t>2,703</w:t>
            </w:r>
          </w:p>
        </w:tc>
        <w:tc>
          <w:tcPr>
            <w:tcW w:w="123" w:type="pct"/>
            <w:shd w:val="clear" w:color="auto" w:fill="auto"/>
            <w:noWrap/>
            <w:tcMar>
              <w:left w:w="0" w:type="dxa"/>
              <w:right w:w="43" w:type="dxa"/>
            </w:tcMar>
            <w:vAlign w:val="center"/>
            <w:hideMark/>
          </w:tcPr>
          <w:p w:rsidRPr="009055A9" w:rsidR="0023718B" w:rsidP="000E31AA" w:rsidRDefault="0023718B" w14:paraId="2F32BB1E" w14:textId="20253656">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0" w:type="pct"/>
            <w:shd w:val="clear" w:color="auto" w:fill="auto"/>
            <w:noWrap/>
            <w:tcMar>
              <w:left w:w="0" w:type="dxa"/>
              <w:right w:w="43" w:type="dxa"/>
            </w:tcMar>
            <w:vAlign w:val="center"/>
            <w:hideMark/>
          </w:tcPr>
          <w:p w:rsidRPr="009055A9" w:rsidR="0023718B" w:rsidP="000E31AA" w:rsidRDefault="0023718B" w14:paraId="4841408B" w14:textId="41E6D055">
            <w:pPr>
              <w:jc w:val="right"/>
              <w:rPr>
                <w:rFonts w:asciiTheme="minorHAnsi" w:hAnsiTheme="minorHAnsi" w:cstheme="minorHAnsi"/>
                <w:sz w:val="16"/>
                <w:szCs w:val="16"/>
              </w:rPr>
            </w:pPr>
            <w:r w:rsidRPr="009055A9">
              <w:rPr>
                <w:rFonts w:asciiTheme="minorHAnsi" w:hAnsiTheme="minorHAnsi" w:cstheme="minorHAnsi"/>
                <w:color w:val="000000"/>
                <w:sz w:val="16"/>
                <w:szCs w:val="16"/>
              </w:rPr>
              <w:t>2,536</w:t>
            </w:r>
          </w:p>
        </w:tc>
        <w:tc>
          <w:tcPr>
            <w:tcW w:w="125" w:type="pct"/>
            <w:shd w:val="clear" w:color="auto" w:fill="auto"/>
            <w:noWrap/>
            <w:tcMar>
              <w:left w:w="0" w:type="dxa"/>
              <w:right w:w="43" w:type="dxa"/>
            </w:tcMar>
            <w:vAlign w:val="center"/>
            <w:hideMark/>
          </w:tcPr>
          <w:p w:rsidRPr="009055A9" w:rsidR="0023718B" w:rsidP="000E31AA" w:rsidRDefault="0023718B" w14:paraId="0A55FBC0" w14:textId="14EE991D">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2" w:type="pct"/>
            <w:shd w:val="clear" w:color="auto" w:fill="auto"/>
            <w:noWrap/>
            <w:tcMar>
              <w:left w:w="0" w:type="dxa"/>
              <w:right w:w="43" w:type="dxa"/>
            </w:tcMar>
            <w:vAlign w:val="center"/>
            <w:hideMark/>
          </w:tcPr>
          <w:p w:rsidRPr="009055A9" w:rsidR="0023718B" w:rsidP="000E31AA" w:rsidRDefault="0023718B" w14:paraId="1FA7B3C4" w14:textId="3800C2DB">
            <w:pPr>
              <w:jc w:val="right"/>
              <w:rPr>
                <w:rFonts w:asciiTheme="minorHAnsi" w:hAnsiTheme="minorHAnsi" w:cstheme="minorHAnsi"/>
                <w:sz w:val="16"/>
                <w:szCs w:val="16"/>
              </w:rPr>
            </w:pPr>
            <w:r w:rsidRPr="009055A9">
              <w:rPr>
                <w:rFonts w:asciiTheme="minorHAnsi" w:hAnsiTheme="minorHAnsi" w:cstheme="minorHAnsi"/>
                <w:color w:val="000000"/>
                <w:sz w:val="16"/>
                <w:szCs w:val="16"/>
              </w:rPr>
              <w:t>4,370</w:t>
            </w:r>
          </w:p>
        </w:tc>
        <w:tc>
          <w:tcPr>
            <w:tcW w:w="123" w:type="pct"/>
            <w:shd w:val="clear" w:color="auto" w:fill="auto"/>
            <w:noWrap/>
            <w:tcMar>
              <w:left w:w="0" w:type="dxa"/>
              <w:right w:w="43" w:type="dxa"/>
            </w:tcMar>
            <w:vAlign w:val="center"/>
            <w:hideMark/>
          </w:tcPr>
          <w:p w:rsidRPr="009055A9" w:rsidR="0023718B" w:rsidP="000E31AA" w:rsidRDefault="0023718B" w14:paraId="7FA836D3" w14:textId="03F69920">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94" w:type="pct"/>
            <w:shd w:val="clear" w:color="auto" w:fill="auto"/>
            <w:noWrap/>
            <w:tcMar>
              <w:left w:w="0" w:type="dxa"/>
              <w:right w:w="43" w:type="dxa"/>
            </w:tcMar>
            <w:vAlign w:val="center"/>
            <w:hideMark/>
          </w:tcPr>
          <w:p w:rsidRPr="009055A9" w:rsidR="0023718B" w:rsidP="000E31AA" w:rsidRDefault="0023718B" w14:paraId="734C2792" w14:textId="5A15AF6C">
            <w:pPr>
              <w:jc w:val="right"/>
              <w:rPr>
                <w:rFonts w:asciiTheme="minorHAnsi" w:hAnsiTheme="minorHAnsi" w:cstheme="minorHAnsi"/>
                <w:sz w:val="16"/>
                <w:szCs w:val="16"/>
              </w:rPr>
            </w:pPr>
            <w:r w:rsidRPr="009055A9">
              <w:rPr>
                <w:rFonts w:asciiTheme="minorHAnsi" w:hAnsiTheme="minorHAnsi" w:cstheme="minorHAnsi"/>
                <w:color w:val="000000"/>
                <w:sz w:val="16"/>
                <w:szCs w:val="16"/>
              </w:rPr>
              <w:t>3,568</w:t>
            </w:r>
          </w:p>
        </w:tc>
        <w:tc>
          <w:tcPr>
            <w:tcW w:w="123" w:type="pct"/>
            <w:shd w:val="clear" w:color="auto" w:fill="auto"/>
            <w:noWrap/>
            <w:tcMar>
              <w:left w:w="0" w:type="dxa"/>
              <w:right w:w="43" w:type="dxa"/>
            </w:tcMar>
            <w:vAlign w:val="center"/>
            <w:hideMark/>
          </w:tcPr>
          <w:p w:rsidRPr="009055A9" w:rsidR="0023718B" w:rsidP="000E31AA" w:rsidRDefault="0023718B" w14:paraId="4B971409" w14:textId="1153C047">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97" w:type="pct"/>
            <w:shd w:val="clear" w:color="auto" w:fill="auto"/>
            <w:noWrap/>
            <w:tcMar>
              <w:left w:w="0" w:type="dxa"/>
              <w:right w:w="43" w:type="dxa"/>
            </w:tcMar>
            <w:vAlign w:val="center"/>
            <w:hideMark/>
          </w:tcPr>
          <w:p w:rsidRPr="009055A9" w:rsidR="0023718B" w:rsidP="000E31AA" w:rsidRDefault="0023718B" w14:paraId="7DE86AD1" w14:textId="193FA0C4">
            <w:pPr>
              <w:jc w:val="right"/>
              <w:rPr>
                <w:rFonts w:asciiTheme="minorHAnsi" w:hAnsiTheme="minorHAnsi" w:cstheme="minorHAnsi"/>
                <w:sz w:val="16"/>
                <w:szCs w:val="16"/>
              </w:rPr>
            </w:pPr>
            <w:r w:rsidRPr="009055A9">
              <w:rPr>
                <w:rFonts w:asciiTheme="minorHAnsi" w:hAnsiTheme="minorHAnsi" w:cstheme="minorHAnsi"/>
                <w:color w:val="000000"/>
                <w:sz w:val="16"/>
                <w:szCs w:val="16"/>
              </w:rPr>
              <w:t>2,965</w:t>
            </w:r>
          </w:p>
        </w:tc>
        <w:tc>
          <w:tcPr>
            <w:tcW w:w="125" w:type="pct"/>
            <w:shd w:val="clear" w:color="auto" w:fill="auto"/>
            <w:noWrap/>
            <w:tcMar>
              <w:left w:w="0" w:type="dxa"/>
              <w:right w:w="43" w:type="dxa"/>
            </w:tcMar>
            <w:vAlign w:val="center"/>
            <w:hideMark/>
          </w:tcPr>
          <w:p w:rsidRPr="009055A9" w:rsidR="0023718B" w:rsidP="000E31AA" w:rsidRDefault="0023718B" w14:paraId="5856D40D" w14:textId="6729CC9C">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0" w:type="pct"/>
            <w:shd w:val="clear" w:color="auto" w:fill="auto"/>
            <w:noWrap/>
            <w:tcMar>
              <w:left w:w="0" w:type="dxa"/>
              <w:right w:w="43" w:type="dxa"/>
            </w:tcMar>
            <w:vAlign w:val="center"/>
            <w:hideMark/>
          </w:tcPr>
          <w:p w:rsidRPr="009055A9" w:rsidR="0023718B" w:rsidP="000E31AA" w:rsidRDefault="0023718B" w14:paraId="1611E7F1" w14:textId="6A522EBB">
            <w:pPr>
              <w:jc w:val="right"/>
              <w:rPr>
                <w:rFonts w:asciiTheme="minorHAnsi" w:hAnsiTheme="minorHAnsi" w:cstheme="minorHAnsi"/>
                <w:sz w:val="16"/>
                <w:szCs w:val="16"/>
              </w:rPr>
            </w:pPr>
            <w:r w:rsidRPr="009055A9">
              <w:rPr>
                <w:rFonts w:asciiTheme="minorHAnsi" w:hAnsiTheme="minorHAnsi" w:cstheme="minorHAnsi"/>
                <w:color w:val="000000"/>
                <w:sz w:val="16"/>
                <w:szCs w:val="16"/>
              </w:rPr>
              <w:t>4,198</w:t>
            </w:r>
          </w:p>
        </w:tc>
        <w:tc>
          <w:tcPr>
            <w:tcW w:w="148" w:type="pct"/>
            <w:shd w:val="clear" w:color="auto" w:fill="auto"/>
            <w:noWrap/>
            <w:tcMar>
              <w:left w:w="0" w:type="dxa"/>
              <w:right w:w="43" w:type="dxa"/>
            </w:tcMar>
            <w:vAlign w:val="center"/>
            <w:hideMark/>
          </w:tcPr>
          <w:p w:rsidRPr="009055A9" w:rsidR="0023718B" w:rsidP="000E31AA" w:rsidRDefault="0023718B" w14:paraId="47FBCDA2" w14:textId="045CEA4D">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2" w:type="pct"/>
            <w:tcMar>
              <w:left w:w="0" w:type="dxa"/>
              <w:right w:w="43" w:type="dxa"/>
            </w:tcMar>
            <w:vAlign w:val="center"/>
          </w:tcPr>
          <w:p w:rsidRPr="009055A9" w:rsidR="0023718B" w:rsidP="000E31AA" w:rsidRDefault="0023718B" w14:paraId="75618E3D" w14:textId="7B95443E">
            <w:pPr>
              <w:jc w:val="right"/>
              <w:rPr>
                <w:rFonts w:asciiTheme="minorHAnsi" w:hAnsiTheme="minorHAnsi" w:cstheme="minorHAnsi"/>
                <w:sz w:val="16"/>
                <w:szCs w:val="16"/>
              </w:rPr>
            </w:pPr>
            <w:r w:rsidRPr="009055A9">
              <w:rPr>
                <w:rFonts w:asciiTheme="minorHAnsi" w:hAnsiTheme="minorHAnsi" w:cstheme="minorHAnsi"/>
                <w:color w:val="000000"/>
                <w:sz w:val="16"/>
                <w:szCs w:val="16"/>
              </w:rPr>
              <w:t>2,713</w:t>
            </w:r>
          </w:p>
        </w:tc>
        <w:tc>
          <w:tcPr>
            <w:tcW w:w="124" w:type="pct"/>
            <w:tcMar>
              <w:left w:w="0" w:type="dxa"/>
              <w:right w:w="43" w:type="dxa"/>
            </w:tcMar>
            <w:vAlign w:val="center"/>
          </w:tcPr>
          <w:p w:rsidRPr="009055A9" w:rsidR="0023718B" w:rsidP="000E31AA" w:rsidRDefault="0023718B" w14:paraId="00491E5B" w14:textId="2867E82D">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3" w:type="pct"/>
            <w:tcMar>
              <w:left w:w="0" w:type="dxa"/>
              <w:right w:w="43" w:type="dxa"/>
            </w:tcMar>
            <w:vAlign w:val="center"/>
          </w:tcPr>
          <w:p w:rsidRPr="009055A9" w:rsidR="0023718B" w:rsidP="000E31AA" w:rsidRDefault="0023718B" w14:paraId="7340C21D" w14:textId="3542BE52">
            <w:pPr>
              <w:jc w:val="right"/>
              <w:rPr>
                <w:rFonts w:asciiTheme="minorHAnsi" w:hAnsiTheme="minorHAnsi" w:cstheme="minorHAnsi"/>
                <w:sz w:val="16"/>
                <w:szCs w:val="16"/>
              </w:rPr>
            </w:pPr>
            <w:r w:rsidRPr="009055A9">
              <w:rPr>
                <w:rFonts w:asciiTheme="minorHAnsi" w:hAnsiTheme="minorHAnsi" w:cstheme="minorHAnsi"/>
                <w:color w:val="000000"/>
                <w:sz w:val="16"/>
                <w:szCs w:val="16"/>
              </w:rPr>
              <w:t>2,502</w:t>
            </w:r>
          </w:p>
        </w:tc>
        <w:tc>
          <w:tcPr>
            <w:tcW w:w="146" w:type="pct"/>
            <w:tcMar>
              <w:left w:w="0" w:type="dxa"/>
              <w:right w:w="43" w:type="dxa"/>
            </w:tcMar>
            <w:vAlign w:val="center"/>
          </w:tcPr>
          <w:p w:rsidRPr="009055A9" w:rsidR="0023718B" w:rsidP="000E31AA" w:rsidRDefault="0023718B" w14:paraId="26E3FD84" w14:textId="5C8C1D90">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5" w:type="pct"/>
            <w:tcMar>
              <w:left w:w="0" w:type="dxa"/>
              <w:right w:w="43" w:type="dxa"/>
            </w:tcMar>
            <w:vAlign w:val="center"/>
          </w:tcPr>
          <w:p w:rsidRPr="009055A9" w:rsidR="0023718B" w:rsidP="000E31AA" w:rsidRDefault="0023718B" w14:paraId="57143562" w14:textId="06570BFC">
            <w:pPr>
              <w:jc w:val="right"/>
              <w:rPr>
                <w:rFonts w:asciiTheme="minorHAnsi" w:hAnsiTheme="minorHAnsi" w:cstheme="minorHAnsi"/>
                <w:sz w:val="16"/>
                <w:szCs w:val="16"/>
              </w:rPr>
            </w:pPr>
            <w:r w:rsidRPr="009055A9">
              <w:rPr>
                <w:rFonts w:asciiTheme="minorHAnsi" w:hAnsiTheme="minorHAnsi" w:cstheme="minorHAnsi"/>
                <w:color w:val="000000"/>
                <w:sz w:val="16"/>
                <w:szCs w:val="16"/>
              </w:rPr>
              <w:t>3,035</w:t>
            </w:r>
          </w:p>
        </w:tc>
        <w:tc>
          <w:tcPr>
            <w:tcW w:w="149" w:type="pct"/>
            <w:tcMar>
              <w:left w:w="0" w:type="dxa"/>
              <w:right w:w="43" w:type="dxa"/>
            </w:tcMar>
            <w:vAlign w:val="center"/>
          </w:tcPr>
          <w:p w:rsidRPr="009055A9" w:rsidR="0023718B" w:rsidP="000E31AA" w:rsidRDefault="0023718B" w14:paraId="1C0A2C24" w14:textId="547380E3">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7" w:type="pct"/>
            <w:tcMar>
              <w:left w:w="0" w:type="dxa"/>
              <w:right w:w="43" w:type="dxa"/>
            </w:tcMar>
            <w:vAlign w:val="center"/>
          </w:tcPr>
          <w:p w:rsidRPr="009055A9" w:rsidR="0023718B" w:rsidP="000E31AA" w:rsidRDefault="0023718B" w14:paraId="4A1F8A35" w14:textId="6E246319">
            <w:pPr>
              <w:jc w:val="right"/>
              <w:rPr>
                <w:rFonts w:asciiTheme="minorHAnsi" w:hAnsiTheme="minorHAnsi" w:cstheme="minorHAnsi"/>
                <w:sz w:val="16"/>
                <w:szCs w:val="16"/>
              </w:rPr>
            </w:pPr>
            <w:r w:rsidRPr="009055A9">
              <w:rPr>
                <w:rFonts w:asciiTheme="minorHAnsi" w:hAnsiTheme="minorHAnsi" w:cstheme="minorHAnsi"/>
                <w:color w:val="000000"/>
                <w:sz w:val="16"/>
                <w:szCs w:val="16"/>
              </w:rPr>
              <w:t>2,293</w:t>
            </w:r>
          </w:p>
        </w:tc>
        <w:tc>
          <w:tcPr>
            <w:tcW w:w="148" w:type="pct"/>
            <w:tcMar>
              <w:left w:w="0" w:type="dxa"/>
              <w:right w:w="43" w:type="dxa"/>
            </w:tcMar>
            <w:vAlign w:val="center"/>
          </w:tcPr>
          <w:p w:rsidRPr="009055A9" w:rsidR="0023718B" w:rsidP="000E31AA" w:rsidRDefault="0023718B" w14:paraId="73D24C9C" w14:textId="04FA9FBC">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96" w:type="pct"/>
            <w:tcMar>
              <w:left w:w="0" w:type="dxa"/>
              <w:right w:w="43" w:type="dxa"/>
            </w:tcMar>
            <w:vAlign w:val="center"/>
          </w:tcPr>
          <w:p w:rsidRPr="009055A9" w:rsidR="0023718B" w:rsidP="000E31AA" w:rsidRDefault="0023718B" w14:paraId="0F8728CA" w14:textId="1DCEA745">
            <w:pPr>
              <w:jc w:val="right"/>
              <w:rPr>
                <w:rFonts w:asciiTheme="minorHAnsi" w:hAnsiTheme="minorHAnsi" w:cstheme="minorHAnsi"/>
                <w:sz w:val="16"/>
                <w:szCs w:val="16"/>
              </w:rPr>
            </w:pPr>
            <w:r w:rsidRPr="009055A9">
              <w:rPr>
                <w:rFonts w:asciiTheme="minorHAnsi" w:hAnsiTheme="minorHAnsi" w:cstheme="minorHAnsi"/>
                <w:color w:val="000000"/>
                <w:sz w:val="16"/>
                <w:szCs w:val="16"/>
              </w:rPr>
              <w:t>1,687</w:t>
            </w:r>
          </w:p>
        </w:tc>
        <w:tc>
          <w:tcPr>
            <w:tcW w:w="143" w:type="pct"/>
            <w:tcMar>
              <w:left w:w="0" w:type="dxa"/>
              <w:right w:w="43" w:type="dxa"/>
            </w:tcMar>
            <w:vAlign w:val="center"/>
          </w:tcPr>
          <w:p w:rsidRPr="009055A9" w:rsidR="0023718B" w:rsidP="000E31AA" w:rsidRDefault="0023718B" w14:paraId="51A4CCB1" w14:textId="1BF3CFD8">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8" w:type="pct"/>
            <w:shd w:val="clear" w:color="000000" w:fill="FFFFFF"/>
            <w:noWrap/>
            <w:tcMar>
              <w:left w:w="0" w:type="dxa"/>
              <w:right w:w="43" w:type="dxa"/>
            </w:tcMar>
            <w:vAlign w:val="center"/>
          </w:tcPr>
          <w:p w:rsidRPr="003148DB" w:rsidR="0023718B" w:rsidP="000E31AA" w:rsidRDefault="0023718B" w14:paraId="220CABD3" w14:textId="402E2895">
            <w:pPr>
              <w:jc w:val="right"/>
              <w:rPr>
                <w:rFonts w:asciiTheme="minorHAnsi" w:hAnsiTheme="minorHAnsi" w:cstheme="minorHAnsi"/>
                <w:sz w:val="16"/>
                <w:szCs w:val="16"/>
              </w:rPr>
            </w:pPr>
            <w:r w:rsidRPr="003148DB">
              <w:rPr>
                <w:rFonts w:asciiTheme="minorHAnsi" w:hAnsiTheme="minorHAnsi" w:cstheme="minorHAnsi"/>
                <w:color w:val="000000"/>
                <w:sz w:val="16"/>
                <w:szCs w:val="16"/>
              </w:rPr>
              <w:t>2,961</w:t>
            </w:r>
          </w:p>
        </w:tc>
        <w:tc>
          <w:tcPr>
            <w:tcW w:w="151" w:type="pct"/>
            <w:shd w:val="clear" w:color="000000" w:fill="FFFFFF"/>
            <w:noWrap/>
            <w:tcMar>
              <w:left w:w="0" w:type="dxa"/>
              <w:right w:w="43" w:type="dxa"/>
            </w:tcMar>
            <w:vAlign w:val="center"/>
          </w:tcPr>
          <w:p w:rsidRPr="003148DB" w:rsidR="0023718B" w:rsidP="000E31AA" w:rsidRDefault="0023718B" w14:paraId="5B288DAD" w14:textId="45D7B90A">
            <w:pPr>
              <w:jc w:val="right"/>
              <w:rPr>
                <w:rFonts w:asciiTheme="minorHAnsi" w:hAnsiTheme="minorHAnsi" w:cstheme="minorHAnsi"/>
                <w:sz w:val="16"/>
                <w:szCs w:val="16"/>
              </w:rPr>
            </w:pPr>
            <w:r w:rsidRPr="003148DB">
              <w:rPr>
                <w:rFonts w:asciiTheme="minorHAnsi" w:hAnsiTheme="minorHAnsi" w:cstheme="minorHAnsi"/>
                <w:color w:val="000000"/>
                <w:sz w:val="16"/>
                <w:szCs w:val="16"/>
              </w:rPr>
              <w:t>13.8</w:t>
            </w:r>
          </w:p>
        </w:tc>
      </w:tr>
      <w:tr w:rsidRPr="003148DB" w:rsidR="0023718B" w:rsidTr="000D41FC" w14:paraId="67F0C097"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6F855520"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691F967F" w14:textId="6A7AB78F">
            <w:pPr>
              <w:rPr>
                <w:rFonts w:asciiTheme="minorHAnsi" w:hAnsiTheme="minorHAnsi" w:cstheme="minorHAnsi"/>
                <w:sz w:val="16"/>
                <w:szCs w:val="16"/>
              </w:rPr>
            </w:pPr>
            <w:r w:rsidRPr="009055A9">
              <w:rPr>
                <w:rFonts w:asciiTheme="minorHAnsi" w:hAnsiTheme="minorHAnsi" w:cstheme="minorHAnsi"/>
                <w:color w:val="000000"/>
                <w:sz w:val="16"/>
                <w:szCs w:val="16"/>
              </w:rPr>
              <w:t>Dominion Generation</w:t>
            </w:r>
          </w:p>
        </w:tc>
        <w:tc>
          <w:tcPr>
            <w:tcW w:w="321" w:type="pct"/>
            <w:shd w:val="clear" w:color="auto" w:fill="auto"/>
            <w:noWrap/>
            <w:tcMar>
              <w:left w:w="58" w:type="dxa"/>
              <w:right w:w="29" w:type="dxa"/>
            </w:tcMar>
            <w:vAlign w:val="center"/>
            <w:hideMark/>
          </w:tcPr>
          <w:p w:rsidRPr="009055A9" w:rsidR="0023718B" w:rsidP="000E31AA" w:rsidRDefault="0023718B" w14:paraId="7BDD794C" w14:textId="2AFCD700">
            <w:pPr>
              <w:rPr>
                <w:rFonts w:asciiTheme="minorHAnsi" w:hAnsiTheme="minorHAnsi" w:cstheme="minorHAnsi"/>
                <w:sz w:val="16"/>
                <w:szCs w:val="16"/>
              </w:rPr>
            </w:pPr>
            <w:r w:rsidRPr="009055A9">
              <w:rPr>
                <w:rFonts w:asciiTheme="minorHAnsi" w:hAnsiTheme="minorHAnsi" w:cstheme="minorHAnsi"/>
                <w:sz w:val="16"/>
                <w:szCs w:val="16"/>
              </w:rPr>
              <w:t>Millstone</w:t>
            </w:r>
          </w:p>
        </w:tc>
        <w:tc>
          <w:tcPr>
            <w:tcW w:w="123" w:type="pct"/>
            <w:shd w:val="clear" w:color="auto" w:fill="auto"/>
            <w:noWrap/>
            <w:tcMar>
              <w:left w:w="58" w:type="dxa"/>
              <w:right w:w="58" w:type="dxa"/>
            </w:tcMar>
            <w:vAlign w:val="center"/>
            <w:hideMark/>
          </w:tcPr>
          <w:p w:rsidRPr="009055A9" w:rsidR="0023718B" w:rsidP="000E31AA" w:rsidRDefault="0023718B" w14:paraId="7A835FC7" w14:textId="297EE29A">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1CFE4936" w14:textId="27C08B28">
            <w:pPr>
              <w:jc w:val="right"/>
              <w:rPr>
                <w:rFonts w:asciiTheme="minorHAnsi" w:hAnsiTheme="minorHAnsi" w:cstheme="minorHAnsi"/>
                <w:sz w:val="16"/>
                <w:szCs w:val="16"/>
              </w:rPr>
            </w:pPr>
            <w:r w:rsidRPr="009055A9">
              <w:rPr>
                <w:rFonts w:asciiTheme="minorHAnsi" w:hAnsiTheme="minorHAnsi" w:cstheme="minorHAnsi"/>
                <w:color w:val="000000"/>
                <w:sz w:val="16"/>
                <w:szCs w:val="16"/>
              </w:rPr>
              <w:t>2,206</w:t>
            </w:r>
          </w:p>
        </w:tc>
        <w:tc>
          <w:tcPr>
            <w:tcW w:w="123" w:type="pct"/>
            <w:shd w:val="clear" w:color="auto" w:fill="auto"/>
            <w:noWrap/>
            <w:tcMar>
              <w:left w:w="0" w:type="dxa"/>
              <w:right w:w="43" w:type="dxa"/>
            </w:tcMar>
            <w:vAlign w:val="center"/>
            <w:hideMark/>
          </w:tcPr>
          <w:p w:rsidRPr="009055A9" w:rsidR="0023718B" w:rsidP="000E31AA" w:rsidRDefault="0023718B" w14:paraId="624B5017" w14:textId="4B6E701C">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0" w:type="pct"/>
            <w:shd w:val="clear" w:color="auto" w:fill="auto"/>
            <w:noWrap/>
            <w:tcMar>
              <w:left w:w="0" w:type="dxa"/>
              <w:right w:w="43" w:type="dxa"/>
            </w:tcMar>
            <w:vAlign w:val="center"/>
            <w:hideMark/>
          </w:tcPr>
          <w:p w:rsidRPr="009055A9" w:rsidR="0023718B" w:rsidP="000E31AA" w:rsidRDefault="0023718B" w14:paraId="7E4C7A63" w14:textId="4C46DB6C">
            <w:pPr>
              <w:jc w:val="right"/>
              <w:rPr>
                <w:rFonts w:asciiTheme="minorHAnsi" w:hAnsiTheme="minorHAnsi" w:cstheme="minorHAnsi"/>
                <w:sz w:val="16"/>
                <w:szCs w:val="16"/>
              </w:rPr>
            </w:pPr>
            <w:r w:rsidRPr="009055A9">
              <w:rPr>
                <w:rFonts w:asciiTheme="minorHAnsi" w:hAnsiTheme="minorHAnsi" w:cstheme="minorHAnsi"/>
                <w:color w:val="000000"/>
                <w:sz w:val="16"/>
                <w:szCs w:val="16"/>
              </w:rPr>
              <w:t>2,206</w:t>
            </w:r>
          </w:p>
        </w:tc>
        <w:tc>
          <w:tcPr>
            <w:tcW w:w="125" w:type="pct"/>
            <w:shd w:val="clear" w:color="auto" w:fill="auto"/>
            <w:noWrap/>
            <w:tcMar>
              <w:left w:w="0" w:type="dxa"/>
              <w:right w:w="43" w:type="dxa"/>
            </w:tcMar>
            <w:vAlign w:val="center"/>
            <w:hideMark/>
          </w:tcPr>
          <w:p w:rsidRPr="009055A9" w:rsidR="0023718B" w:rsidP="000E31AA" w:rsidRDefault="0023718B" w14:paraId="570027B7" w14:textId="5DC6F11D">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2" w:type="pct"/>
            <w:shd w:val="clear" w:color="auto" w:fill="auto"/>
            <w:noWrap/>
            <w:tcMar>
              <w:left w:w="0" w:type="dxa"/>
              <w:right w:w="43" w:type="dxa"/>
            </w:tcMar>
            <w:vAlign w:val="center"/>
            <w:hideMark/>
          </w:tcPr>
          <w:p w:rsidRPr="009055A9" w:rsidR="0023718B" w:rsidP="000E31AA" w:rsidRDefault="0023718B" w14:paraId="3C008C25" w14:textId="50B25758">
            <w:pPr>
              <w:jc w:val="right"/>
              <w:rPr>
                <w:rFonts w:asciiTheme="minorHAnsi" w:hAnsiTheme="minorHAnsi" w:cstheme="minorHAnsi"/>
                <w:sz w:val="16"/>
                <w:szCs w:val="16"/>
              </w:rPr>
            </w:pPr>
            <w:r w:rsidRPr="009055A9">
              <w:rPr>
                <w:rFonts w:asciiTheme="minorHAnsi" w:hAnsiTheme="minorHAnsi" w:cstheme="minorHAnsi"/>
                <w:color w:val="000000"/>
                <w:sz w:val="16"/>
                <w:szCs w:val="16"/>
              </w:rPr>
              <w:t>2,917</w:t>
            </w:r>
          </w:p>
        </w:tc>
        <w:tc>
          <w:tcPr>
            <w:tcW w:w="123" w:type="pct"/>
            <w:shd w:val="clear" w:color="auto" w:fill="auto"/>
            <w:noWrap/>
            <w:tcMar>
              <w:left w:w="0" w:type="dxa"/>
              <w:right w:w="43" w:type="dxa"/>
            </w:tcMar>
            <w:vAlign w:val="center"/>
            <w:hideMark/>
          </w:tcPr>
          <w:p w:rsidRPr="009055A9" w:rsidR="0023718B" w:rsidP="000E31AA" w:rsidRDefault="0023718B" w14:paraId="7C0D3A29" w14:textId="4199FAF7">
            <w:pPr>
              <w:jc w:val="right"/>
              <w:rPr>
                <w:rFonts w:asciiTheme="minorHAnsi" w:hAnsiTheme="minorHAnsi" w:cstheme="minorHAnsi"/>
                <w:sz w:val="16"/>
                <w:szCs w:val="16"/>
              </w:rPr>
            </w:pPr>
            <w:r w:rsidRPr="009055A9">
              <w:rPr>
                <w:rFonts w:asciiTheme="minorHAnsi" w:hAnsiTheme="minorHAnsi" w:cstheme="minorHAnsi"/>
                <w:color w:val="000000"/>
                <w:sz w:val="16"/>
                <w:szCs w:val="16"/>
              </w:rPr>
              <w:t>25</w:t>
            </w:r>
          </w:p>
        </w:tc>
        <w:tc>
          <w:tcPr>
            <w:tcW w:w="194" w:type="pct"/>
            <w:shd w:val="clear" w:color="auto" w:fill="auto"/>
            <w:noWrap/>
            <w:tcMar>
              <w:left w:w="0" w:type="dxa"/>
              <w:right w:w="43" w:type="dxa"/>
            </w:tcMar>
            <w:vAlign w:val="center"/>
            <w:hideMark/>
          </w:tcPr>
          <w:p w:rsidRPr="009055A9" w:rsidR="0023718B" w:rsidP="000E31AA" w:rsidRDefault="0023718B" w14:paraId="227D251E" w14:textId="173AB496">
            <w:pPr>
              <w:jc w:val="right"/>
              <w:rPr>
                <w:rFonts w:asciiTheme="minorHAnsi" w:hAnsiTheme="minorHAnsi" w:cstheme="minorHAnsi"/>
                <w:sz w:val="16"/>
                <w:szCs w:val="16"/>
              </w:rPr>
            </w:pPr>
            <w:r w:rsidRPr="009055A9">
              <w:rPr>
                <w:rFonts w:asciiTheme="minorHAnsi" w:hAnsiTheme="minorHAnsi" w:cstheme="minorHAnsi"/>
                <w:color w:val="000000"/>
                <w:sz w:val="16"/>
                <w:szCs w:val="16"/>
              </w:rPr>
              <w:t>2,403</w:t>
            </w:r>
          </w:p>
        </w:tc>
        <w:tc>
          <w:tcPr>
            <w:tcW w:w="123" w:type="pct"/>
            <w:shd w:val="clear" w:color="auto" w:fill="auto"/>
            <w:noWrap/>
            <w:tcMar>
              <w:left w:w="0" w:type="dxa"/>
              <w:right w:w="43" w:type="dxa"/>
            </w:tcMar>
            <w:vAlign w:val="center"/>
            <w:hideMark/>
          </w:tcPr>
          <w:p w:rsidRPr="009055A9" w:rsidR="0023718B" w:rsidP="000E31AA" w:rsidRDefault="0023718B" w14:paraId="3605AADE" w14:textId="1199B223">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97" w:type="pct"/>
            <w:shd w:val="clear" w:color="auto" w:fill="auto"/>
            <w:noWrap/>
            <w:tcMar>
              <w:left w:w="0" w:type="dxa"/>
              <w:right w:w="43" w:type="dxa"/>
            </w:tcMar>
            <w:vAlign w:val="center"/>
            <w:hideMark/>
          </w:tcPr>
          <w:p w:rsidRPr="009055A9" w:rsidR="0023718B" w:rsidP="000E31AA" w:rsidRDefault="0023718B" w14:paraId="1278DE9E" w14:textId="33B2A8EE">
            <w:pPr>
              <w:jc w:val="right"/>
              <w:rPr>
                <w:rFonts w:asciiTheme="minorHAnsi" w:hAnsiTheme="minorHAnsi" w:cstheme="minorHAnsi"/>
                <w:sz w:val="16"/>
                <w:szCs w:val="16"/>
              </w:rPr>
            </w:pPr>
            <w:r w:rsidRPr="009055A9">
              <w:rPr>
                <w:rFonts w:asciiTheme="minorHAnsi" w:hAnsiTheme="minorHAnsi" w:cstheme="minorHAnsi"/>
                <w:color w:val="000000"/>
                <w:sz w:val="16"/>
                <w:szCs w:val="16"/>
              </w:rPr>
              <w:t>2,384</w:t>
            </w:r>
          </w:p>
        </w:tc>
        <w:tc>
          <w:tcPr>
            <w:tcW w:w="125" w:type="pct"/>
            <w:shd w:val="clear" w:color="auto" w:fill="auto"/>
            <w:noWrap/>
            <w:tcMar>
              <w:left w:w="0" w:type="dxa"/>
              <w:right w:w="43" w:type="dxa"/>
            </w:tcMar>
            <w:vAlign w:val="center"/>
            <w:hideMark/>
          </w:tcPr>
          <w:p w:rsidRPr="009055A9" w:rsidR="0023718B" w:rsidP="000E31AA" w:rsidRDefault="0023718B" w14:paraId="42011051" w14:textId="0222F43B">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0" w:type="pct"/>
            <w:shd w:val="clear" w:color="auto" w:fill="auto"/>
            <w:noWrap/>
            <w:tcMar>
              <w:left w:w="0" w:type="dxa"/>
              <w:right w:w="43" w:type="dxa"/>
            </w:tcMar>
            <w:vAlign w:val="center"/>
            <w:hideMark/>
          </w:tcPr>
          <w:p w:rsidRPr="009055A9" w:rsidR="0023718B" w:rsidP="000E31AA" w:rsidRDefault="0023718B" w14:paraId="3DDBC0C1" w14:textId="2A84E44C">
            <w:pPr>
              <w:jc w:val="right"/>
              <w:rPr>
                <w:rFonts w:asciiTheme="minorHAnsi" w:hAnsiTheme="minorHAnsi" w:cstheme="minorHAnsi"/>
                <w:sz w:val="16"/>
                <w:szCs w:val="16"/>
              </w:rPr>
            </w:pPr>
            <w:r w:rsidRPr="009055A9">
              <w:rPr>
                <w:rFonts w:asciiTheme="minorHAnsi" w:hAnsiTheme="minorHAnsi" w:cstheme="minorHAnsi"/>
                <w:color w:val="000000"/>
                <w:sz w:val="16"/>
                <w:szCs w:val="16"/>
              </w:rPr>
              <w:t>3,526</w:t>
            </w:r>
          </w:p>
        </w:tc>
        <w:tc>
          <w:tcPr>
            <w:tcW w:w="148" w:type="pct"/>
            <w:shd w:val="clear" w:color="auto" w:fill="auto"/>
            <w:noWrap/>
            <w:tcMar>
              <w:left w:w="0" w:type="dxa"/>
              <w:right w:w="43" w:type="dxa"/>
            </w:tcMar>
            <w:vAlign w:val="center"/>
            <w:hideMark/>
          </w:tcPr>
          <w:p w:rsidRPr="009055A9" w:rsidR="0023718B" w:rsidP="000E31AA" w:rsidRDefault="0023718B" w14:paraId="327E70F9" w14:textId="23E21A44">
            <w:pPr>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72" w:type="pct"/>
            <w:tcMar>
              <w:left w:w="0" w:type="dxa"/>
              <w:right w:w="43" w:type="dxa"/>
            </w:tcMar>
            <w:vAlign w:val="center"/>
          </w:tcPr>
          <w:p w:rsidRPr="009055A9" w:rsidR="0023718B" w:rsidP="000E31AA" w:rsidRDefault="0023718B" w14:paraId="4D7A1EEB" w14:textId="34166611">
            <w:pPr>
              <w:jc w:val="right"/>
              <w:rPr>
                <w:rFonts w:asciiTheme="minorHAnsi" w:hAnsiTheme="minorHAnsi" w:cstheme="minorHAnsi"/>
                <w:sz w:val="16"/>
                <w:szCs w:val="16"/>
              </w:rPr>
            </w:pPr>
            <w:r w:rsidRPr="009055A9">
              <w:rPr>
                <w:rFonts w:asciiTheme="minorHAnsi" w:hAnsiTheme="minorHAnsi" w:cstheme="minorHAnsi"/>
                <w:color w:val="000000"/>
                <w:sz w:val="16"/>
                <w:szCs w:val="16"/>
              </w:rPr>
              <w:t>3,139</w:t>
            </w:r>
          </w:p>
        </w:tc>
        <w:tc>
          <w:tcPr>
            <w:tcW w:w="124" w:type="pct"/>
            <w:tcMar>
              <w:left w:w="0" w:type="dxa"/>
              <w:right w:w="43" w:type="dxa"/>
            </w:tcMar>
            <w:vAlign w:val="center"/>
          </w:tcPr>
          <w:p w:rsidRPr="009055A9" w:rsidR="0023718B" w:rsidP="000E31AA" w:rsidRDefault="0023718B" w14:paraId="1740F9DA" w14:textId="5A5658F7">
            <w:pPr>
              <w:jc w:val="right"/>
              <w:rPr>
                <w:rFonts w:asciiTheme="minorHAnsi" w:hAnsiTheme="minorHAnsi" w:cstheme="minorHAnsi"/>
                <w:sz w:val="16"/>
                <w:szCs w:val="16"/>
              </w:rPr>
            </w:pPr>
            <w:r w:rsidRPr="009055A9">
              <w:rPr>
                <w:rFonts w:asciiTheme="minorHAnsi" w:hAnsiTheme="minorHAnsi" w:cstheme="minorHAnsi"/>
                <w:color w:val="000000"/>
                <w:sz w:val="16"/>
                <w:szCs w:val="16"/>
              </w:rPr>
              <w:t>28</w:t>
            </w:r>
          </w:p>
        </w:tc>
        <w:tc>
          <w:tcPr>
            <w:tcW w:w="173" w:type="pct"/>
            <w:tcMar>
              <w:left w:w="0" w:type="dxa"/>
              <w:right w:w="43" w:type="dxa"/>
            </w:tcMar>
            <w:vAlign w:val="center"/>
          </w:tcPr>
          <w:p w:rsidRPr="009055A9" w:rsidR="0023718B" w:rsidP="000E31AA" w:rsidRDefault="0023718B" w14:paraId="515F474D" w14:textId="3D9FDDD0">
            <w:pPr>
              <w:jc w:val="right"/>
              <w:rPr>
                <w:rFonts w:asciiTheme="minorHAnsi" w:hAnsiTheme="minorHAnsi" w:cstheme="minorHAnsi"/>
                <w:sz w:val="16"/>
                <w:szCs w:val="16"/>
              </w:rPr>
            </w:pPr>
            <w:r w:rsidRPr="009055A9">
              <w:rPr>
                <w:rFonts w:asciiTheme="minorHAnsi" w:hAnsiTheme="minorHAnsi" w:cstheme="minorHAnsi"/>
                <w:color w:val="000000"/>
                <w:sz w:val="16"/>
                <w:szCs w:val="16"/>
              </w:rPr>
              <w:t>2,428</w:t>
            </w:r>
          </w:p>
        </w:tc>
        <w:tc>
          <w:tcPr>
            <w:tcW w:w="146" w:type="pct"/>
            <w:tcMar>
              <w:left w:w="0" w:type="dxa"/>
              <w:right w:w="43" w:type="dxa"/>
            </w:tcMar>
            <w:vAlign w:val="center"/>
          </w:tcPr>
          <w:p w:rsidRPr="009055A9" w:rsidR="0023718B" w:rsidP="000E31AA" w:rsidRDefault="0023718B" w14:paraId="0A64C57A" w14:textId="390D457C">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5" w:type="pct"/>
            <w:tcMar>
              <w:left w:w="0" w:type="dxa"/>
              <w:right w:w="43" w:type="dxa"/>
            </w:tcMar>
            <w:vAlign w:val="center"/>
          </w:tcPr>
          <w:p w:rsidRPr="009055A9" w:rsidR="0023718B" w:rsidP="000E31AA" w:rsidRDefault="0023718B" w14:paraId="3CEEAEE3" w14:textId="4D2F867B">
            <w:pPr>
              <w:jc w:val="right"/>
              <w:rPr>
                <w:rFonts w:asciiTheme="minorHAnsi" w:hAnsiTheme="minorHAnsi" w:cstheme="minorHAnsi"/>
                <w:sz w:val="16"/>
                <w:szCs w:val="16"/>
              </w:rPr>
            </w:pPr>
            <w:r w:rsidRPr="009055A9">
              <w:rPr>
                <w:rFonts w:asciiTheme="minorHAnsi" w:hAnsiTheme="minorHAnsi" w:cstheme="minorHAnsi"/>
                <w:color w:val="000000"/>
                <w:sz w:val="16"/>
                <w:szCs w:val="16"/>
              </w:rPr>
              <w:t>3,271</w:t>
            </w:r>
          </w:p>
        </w:tc>
        <w:tc>
          <w:tcPr>
            <w:tcW w:w="149" w:type="pct"/>
            <w:tcMar>
              <w:left w:w="0" w:type="dxa"/>
              <w:right w:w="43" w:type="dxa"/>
            </w:tcMar>
            <w:vAlign w:val="center"/>
          </w:tcPr>
          <w:p w:rsidRPr="009055A9" w:rsidR="0023718B" w:rsidP="000E31AA" w:rsidRDefault="0023718B" w14:paraId="73555AB0" w14:textId="3346EDC2">
            <w:pPr>
              <w:jc w:val="right"/>
              <w:rPr>
                <w:rFonts w:asciiTheme="minorHAnsi" w:hAnsiTheme="minorHAnsi" w:cstheme="minorHAnsi"/>
                <w:sz w:val="16"/>
                <w:szCs w:val="16"/>
              </w:rPr>
            </w:pPr>
            <w:r w:rsidRPr="009055A9">
              <w:rPr>
                <w:rFonts w:asciiTheme="minorHAnsi" w:hAnsiTheme="minorHAnsi" w:cstheme="minorHAnsi"/>
                <w:color w:val="000000"/>
                <w:sz w:val="16"/>
                <w:szCs w:val="16"/>
              </w:rPr>
              <w:t>26</w:t>
            </w:r>
          </w:p>
        </w:tc>
        <w:tc>
          <w:tcPr>
            <w:tcW w:w="197" w:type="pct"/>
            <w:tcMar>
              <w:left w:w="0" w:type="dxa"/>
              <w:right w:w="43" w:type="dxa"/>
            </w:tcMar>
            <w:vAlign w:val="center"/>
          </w:tcPr>
          <w:p w:rsidRPr="009055A9" w:rsidR="0023718B" w:rsidP="000E31AA" w:rsidRDefault="0023718B" w14:paraId="727C3B3A" w14:textId="431BF37C">
            <w:pPr>
              <w:jc w:val="right"/>
              <w:rPr>
                <w:rFonts w:asciiTheme="minorHAnsi" w:hAnsiTheme="minorHAnsi" w:cstheme="minorHAnsi"/>
                <w:sz w:val="16"/>
                <w:szCs w:val="16"/>
              </w:rPr>
            </w:pPr>
            <w:r w:rsidRPr="009055A9">
              <w:rPr>
                <w:rFonts w:asciiTheme="minorHAnsi" w:hAnsiTheme="minorHAnsi" w:cstheme="minorHAnsi"/>
                <w:color w:val="000000"/>
                <w:sz w:val="16"/>
                <w:szCs w:val="16"/>
              </w:rPr>
              <w:t>2,185</w:t>
            </w:r>
          </w:p>
        </w:tc>
        <w:tc>
          <w:tcPr>
            <w:tcW w:w="148" w:type="pct"/>
            <w:tcMar>
              <w:left w:w="0" w:type="dxa"/>
              <w:right w:w="43" w:type="dxa"/>
            </w:tcMar>
            <w:vAlign w:val="center"/>
          </w:tcPr>
          <w:p w:rsidRPr="009055A9" w:rsidR="0023718B" w:rsidP="000E31AA" w:rsidRDefault="0023718B" w14:paraId="48F24166" w14:textId="2258A4E1">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6" w:type="pct"/>
            <w:tcMar>
              <w:left w:w="0" w:type="dxa"/>
              <w:right w:w="43" w:type="dxa"/>
            </w:tcMar>
            <w:vAlign w:val="center"/>
          </w:tcPr>
          <w:p w:rsidRPr="009055A9" w:rsidR="0023718B" w:rsidP="000E31AA" w:rsidRDefault="0023718B" w14:paraId="094239D1" w14:textId="3DBA147E">
            <w:pPr>
              <w:jc w:val="right"/>
              <w:rPr>
                <w:rFonts w:asciiTheme="minorHAnsi" w:hAnsiTheme="minorHAnsi" w:cstheme="minorHAnsi"/>
                <w:sz w:val="16"/>
                <w:szCs w:val="16"/>
              </w:rPr>
            </w:pPr>
            <w:r w:rsidRPr="009055A9">
              <w:rPr>
                <w:rFonts w:asciiTheme="minorHAnsi" w:hAnsiTheme="minorHAnsi" w:cstheme="minorHAnsi"/>
                <w:color w:val="000000"/>
                <w:sz w:val="16"/>
                <w:szCs w:val="16"/>
              </w:rPr>
              <w:t>2,081</w:t>
            </w:r>
          </w:p>
        </w:tc>
        <w:tc>
          <w:tcPr>
            <w:tcW w:w="143" w:type="pct"/>
            <w:tcMar>
              <w:left w:w="0" w:type="dxa"/>
              <w:right w:w="43" w:type="dxa"/>
            </w:tcMar>
            <w:vAlign w:val="center"/>
          </w:tcPr>
          <w:p w:rsidRPr="009055A9" w:rsidR="0023718B" w:rsidP="000E31AA" w:rsidRDefault="0023718B" w14:paraId="416BDB03" w14:textId="26B10DED">
            <w:pPr>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78" w:type="pct"/>
            <w:shd w:val="clear" w:color="000000" w:fill="FFFFFF"/>
            <w:noWrap/>
            <w:tcMar>
              <w:left w:w="0" w:type="dxa"/>
              <w:right w:w="43" w:type="dxa"/>
            </w:tcMar>
            <w:vAlign w:val="center"/>
          </w:tcPr>
          <w:p w:rsidRPr="003148DB" w:rsidR="0023718B" w:rsidP="000E31AA" w:rsidRDefault="0023718B" w14:paraId="37C0D786" w14:textId="7FE29776">
            <w:pPr>
              <w:jc w:val="right"/>
              <w:rPr>
                <w:rFonts w:asciiTheme="minorHAnsi" w:hAnsiTheme="minorHAnsi" w:cstheme="minorHAnsi"/>
                <w:sz w:val="16"/>
                <w:szCs w:val="16"/>
              </w:rPr>
            </w:pPr>
            <w:r w:rsidRPr="003148DB">
              <w:rPr>
                <w:rFonts w:asciiTheme="minorHAnsi" w:hAnsiTheme="minorHAnsi" w:cstheme="minorHAnsi"/>
                <w:color w:val="000000"/>
                <w:sz w:val="16"/>
                <w:szCs w:val="16"/>
              </w:rPr>
              <w:t>2,613</w:t>
            </w:r>
          </w:p>
        </w:tc>
        <w:tc>
          <w:tcPr>
            <w:tcW w:w="151" w:type="pct"/>
            <w:shd w:val="clear" w:color="000000" w:fill="FFFFFF"/>
            <w:noWrap/>
            <w:tcMar>
              <w:left w:w="0" w:type="dxa"/>
              <w:right w:w="43" w:type="dxa"/>
            </w:tcMar>
            <w:vAlign w:val="center"/>
          </w:tcPr>
          <w:p w:rsidRPr="003148DB" w:rsidR="0023718B" w:rsidP="000E31AA" w:rsidRDefault="0023718B" w14:paraId="7C190C10" w14:textId="32D97A1C">
            <w:pPr>
              <w:jc w:val="right"/>
              <w:rPr>
                <w:rFonts w:asciiTheme="minorHAnsi" w:hAnsiTheme="minorHAnsi" w:cstheme="minorHAnsi"/>
                <w:sz w:val="16"/>
                <w:szCs w:val="16"/>
              </w:rPr>
            </w:pPr>
            <w:r w:rsidRPr="003148DB">
              <w:rPr>
                <w:rFonts w:asciiTheme="minorHAnsi" w:hAnsiTheme="minorHAnsi" w:cstheme="minorHAnsi"/>
                <w:color w:val="000000"/>
                <w:sz w:val="16"/>
                <w:szCs w:val="16"/>
              </w:rPr>
              <w:t>18.0</w:t>
            </w:r>
          </w:p>
        </w:tc>
      </w:tr>
      <w:tr w:rsidRPr="003148DB" w:rsidR="0023718B" w:rsidTr="000D41FC" w14:paraId="2239D8EF"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1A194796"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56DBFA17" w14:textId="71302942">
            <w:pPr>
              <w:rPr>
                <w:rFonts w:asciiTheme="minorHAnsi" w:hAnsiTheme="minorHAnsi" w:cstheme="minorHAnsi"/>
                <w:sz w:val="16"/>
                <w:szCs w:val="16"/>
              </w:rPr>
            </w:pPr>
            <w:r w:rsidRPr="009055A9">
              <w:rPr>
                <w:rFonts w:asciiTheme="minorHAnsi" w:hAnsiTheme="minorHAnsi" w:cstheme="minorHAnsi"/>
                <w:color w:val="000000"/>
                <w:sz w:val="16"/>
                <w:szCs w:val="16"/>
              </w:rPr>
              <w:t>Exelon</w:t>
            </w:r>
          </w:p>
        </w:tc>
        <w:tc>
          <w:tcPr>
            <w:tcW w:w="321" w:type="pct"/>
            <w:shd w:val="clear" w:color="auto" w:fill="auto"/>
            <w:noWrap/>
            <w:tcMar>
              <w:left w:w="58" w:type="dxa"/>
              <w:right w:w="29" w:type="dxa"/>
            </w:tcMar>
            <w:vAlign w:val="center"/>
            <w:hideMark/>
          </w:tcPr>
          <w:p w:rsidRPr="009055A9" w:rsidR="0023718B" w:rsidP="000E31AA" w:rsidRDefault="0023718B" w14:paraId="501631D3" w14:textId="59CDD86D">
            <w:pPr>
              <w:rPr>
                <w:rFonts w:asciiTheme="minorHAnsi" w:hAnsiTheme="minorHAnsi" w:cstheme="minorHAnsi"/>
                <w:sz w:val="16"/>
                <w:szCs w:val="16"/>
              </w:rPr>
            </w:pPr>
            <w:r w:rsidRPr="009055A9">
              <w:rPr>
                <w:rFonts w:asciiTheme="minorHAnsi" w:hAnsiTheme="minorHAnsi" w:cstheme="minorHAnsi"/>
                <w:color w:val="000000"/>
                <w:sz w:val="16"/>
                <w:szCs w:val="16"/>
              </w:rPr>
              <w:t>Nine Mile Point</w:t>
            </w:r>
          </w:p>
        </w:tc>
        <w:tc>
          <w:tcPr>
            <w:tcW w:w="123" w:type="pct"/>
            <w:shd w:val="clear" w:color="auto" w:fill="auto"/>
            <w:noWrap/>
            <w:tcMar>
              <w:left w:w="58" w:type="dxa"/>
              <w:right w:w="58" w:type="dxa"/>
            </w:tcMar>
            <w:vAlign w:val="center"/>
            <w:hideMark/>
          </w:tcPr>
          <w:p w:rsidRPr="009055A9" w:rsidR="0023718B" w:rsidP="000E31AA" w:rsidRDefault="0023718B" w14:paraId="7E8253F3" w14:textId="6E1E55F8">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68DB8B7C" w14:textId="2F8D48EB">
            <w:pPr>
              <w:jc w:val="right"/>
              <w:rPr>
                <w:rFonts w:asciiTheme="minorHAnsi" w:hAnsiTheme="minorHAnsi" w:cstheme="minorHAnsi"/>
                <w:sz w:val="16"/>
                <w:szCs w:val="16"/>
              </w:rPr>
            </w:pPr>
            <w:r w:rsidRPr="009055A9">
              <w:rPr>
                <w:rFonts w:asciiTheme="minorHAnsi" w:hAnsiTheme="minorHAnsi" w:cstheme="minorHAnsi"/>
                <w:color w:val="000000"/>
                <w:sz w:val="16"/>
                <w:szCs w:val="16"/>
              </w:rPr>
              <w:t>2,520</w:t>
            </w:r>
          </w:p>
        </w:tc>
        <w:tc>
          <w:tcPr>
            <w:tcW w:w="123" w:type="pct"/>
            <w:shd w:val="clear" w:color="auto" w:fill="auto"/>
            <w:noWrap/>
            <w:tcMar>
              <w:left w:w="0" w:type="dxa"/>
              <w:right w:w="43" w:type="dxa"/>
            </w:tcMar>
            <w:vAlign w:val="center"/>
            <w:hideMark/>
          </w:tcPr>
          <w:p w:rsidRPr="009055A9" w:rsidR="0023718B" w:rsidP="000E31AA" w:rsidRDefault="0023718B" w14:paraId="4982F7C7" w14:textId="787A518E">
            <w:pPr>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70" w:type="pct"/>
            <w:shd w:val="clear" w:color="auto" w:fill="auto"/>
            <w:noWrap/>
            <w:tcMar>
              <w:left w:w="0" w:type="dxa"/>
              <w:right w:w="43" w:type="dxa"/>
            </w:tcMar>
            <w:vAlign w:val="center"/>
            <w:hideMark/>
          </w:tcPr>
          <w:p w:rsidRPr="009055A9" w:rsidR="0023718B" w:rsidP="000E31AA" w:rsidRDefault="0023718B" w14:paraId="40685E11" w14:textId="61F6DB71">
            <w:pPr>
              <w:jc w:val="right"/>
              <w:rPr>
                <w:rFonts w:asciiTheme="minorHAnsi" w:hAnsiTheme="minorHAnsi" w:cstheme="minorHAnsi"/>
                <w:sz w:val="16"/>
                <w:szCs w:val="16"/>
              </w:rPr>
            </w:pPr>
            <w:r w:rsidRPr="009055A9">
              <w:rPr>
                <w:rFonts w:asciiTheme="minorHAnsi" w:hAnsiTheme="minorHAnsi" w:cstheme="minorHAnsi"/>
                <w:color w:val="000000"/>
                <w:sz w:val="16"/>
                <w:szCs w:val="16"/>
              </w:rPr>
              <w:t>3,132</w:t>
            </w:r>
          </w:p>
        </w:tc>
        <w:tc>
          <w:tcPr>
            <w:tcW w:w="125" w:type="pct"/>
            <w:shd w:val="clear" w:color="auto" w:fill="auto"/>
            <w:noWrap/>
            <w:tcMar>
              <w:left w:w="0" w:type="dxa"/>
              <w:right w:w="43" w:type="dxa"/>
            </w:tcMar>
            <w:vAlign w:val="center"/>
            <w:hideMark/>
          </w:tcPr>
          <w:p w:rsidRPr="009055A9" w:rsidR="0023718B" w:rsidP="000E31AA" w:rsidRDefault="0023718B" w14:paraId="7EED84AB" w14:textId="71FAA2EF">
            <w:pPr>
              <w:jc w:val="right"/>
              <w:rPr>
                <w:rFonts w:asciiTheme="minorHAnsi" w:hAnsiTheme="minorHAnsi" w:cstheme="minorHAnsi"/>
                <w:sz w:val="16"/>
                <w:szCs w:val="16"/>
              </w:rPr>
            </w:pPr>
            <w:r w:rsidRPr="009055A9">
              <w:rPr>
                <w:rFonts w:asciiTheme="minorHAnsi" w:hAnsiTheme="minorHAnsi" w:cstheme="minorHAnsi"/>
                <w:color w:val="000000"/>
                <w:sz w:val="16"/>
                <w:szCs w:val="16"/>
              </w:rPr>
              <w:t>31</w:t>
            </w:r>
          </w:p>
        </w:tc>
        <w:tc>
          <w:tcPr>
            <w:tcW w:w="172" w:type="pct"/>
            <w:shd w:val="clear" w:color="auto" w:fill="auto"/>
            <w:noWrap/>
            <w:tcMar>
              <w:left w:w="0" w:type="dxa"/>
              <w:right w:w="43" w:type="dxa"/>
            </w:tcMar>
            <w:vAlign w:val="center"/>
            <w:hideMark/>
          </w:tcPr>
          <w:p w:rsidRPr="009055A9" w:rsidR="0023718B" w:rsidP="000E31AA" w:rsidRDefault="0023718B" w14:paraId="790793CC" w14:textId="1FABE34C">
            <w:pPr>
              <w:jc w:val="right"/>
              <w:rPr>
                <w:rFonts w:asciiTheme="minorHAnsi" w:hAnsiTheme="minorHAnsi" w:cstheme="minorHAnsi"/>
                <w:sz w:val="16"/>
                <w:szCs w:val="16"/>
              </w:rPr>
            </w:pPr>
            <w:r w:rsidRPr="009055A9">
              <w:rPr>
                <w:rFonts w:asciiTheme="minorHAnsi" w:hAnsiTheme="minorHAnsi" w:cstheme="minorHAnsi"/>
                <w:color w:val="000000"/>
                <w:sz w:val="16"/>
                <w:szCs w:val="16"/>
              </w:rPr>
              <w:t>2,552</w:t>
            </w:r>
          </w:p>
        </w:tc>
        <w:tc>
          <w:tcPr>
            <w:tcW w:w="123" w:type="pct"/>
            <w:shd w:val="clear" w:color="auto" w:fill="auto"/>
            <w:noWrap/>
            <w:tcMar>
              <w:left w:w="0" w:type="dxa"/>
              <w:right w:w="43" w:type="dxa"/>
            </w:tcMar>
            <w:vAlign w:val="center"/>
            <w:hideMark/>
          </w:tcPr>
          <w:p w:rsidRPr="009055A9" w:rsidR="0023718B" w:rsidP="000E31AA" w:rsidRDefault="0023718B" w14:paraId="32BDE6BB" w14:textId="27FD5135">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94" w:type="pct"/>
            <w:shd w:val="clear" w:color="auto" w:fill="auto"/>
            <w:noWrap/>
            <w:tcMar>
              <w:left w:w="0" w:type="dxa"/>
              <w:right w:w="43" w:type="dxa"/>
            </w:tcMar>
            <w:vAlign w:val="center"/>
            <w:hideMark/>
          </w:tcPr>
          <w:p w:rsidRPr="009055A9" w:rsidR="0023718B" w:rsidP="000E31AA" w:rsidRDefault="0023718B" w14:paraId="3A4963E2" w14:textId="612425E1">
            <w:pPr>
              <w:jc w:val="right"/>
              <w:rPr>
                <w:rFonts w:asciiTheme="minorHAnsi" w:hAnsiTheme="minorHAnsi" w:cstheme="minorHAnsi"/>
                <w:sz w:val="16"/>
                <w:szCs w:val="16"/>
              </w:rPr>
            </w:pPr>
            <w:r w:rsidRPr="009055A9">
              <w:rPr>
                <w:rFonts w:asciiTheme="minorHAnsi" w:hAnsiTheme="minorHAnsi" w:cstheme="minorHAnsi"/>
                <w:color w:val="000000"/>
                <w:sz w:val="16"/>
                <w:szCs w:val="16"/>
              </w:rPr>
              <w:t>3,141</w:t>
            </w:r>
          </w:p>
        </w:tc>
        <w:tc>
          <w:tcPr>
            <w:tcW w:w="123" w:type="pct"/>
            <w:shd w:val="clear" w:color="auto" w:fill="auto"/>
            <w:noWrap/>
            <w:tcMar>
              <w:left w:w="0" w:type="dxa"/>
              <w:right w:w="43" w:type="dxa"/>
            </w:tcMar>
            <w:vAlign w:val="center"/>
            <w:hideMark/>
          </w:tcPr>
          <w:p w:rsidRPr="009055A9" w:rsidR="0023718B" w:rsidP="000E31AA" w:rsidRDefault="0023718B" w14:paraId="2C89A7AD" w14:textId="79619E97">
            <w:pPr>
              <w:jc w:val="right"/>
              <w:rPr>
                <w:rFonts w:asciiTheme="minorHAnsi" w:hAnsiTheme="minorHAnsi" w:cstheme="minorHAnsi"/>
                <w:sz w:val="16"/>
                <w:szCs w:val="16"/>
              </w:rPr>
            </w:pPr>
            <w:r w:rsidRPr="009055A9">
              <w:rPr>
                <w:rFonts w:asciiTheme="minorHAnsi" w:hAnsiTheme="minorHAnsi" w:cstheme="minorHAnsi"/>
                <w:color w:val="000000"/>
                <w:sz w:val="16"/>
                <w:szCs w:val="16"/>
              </w:rPr>
              <w:t>24</w:t>
            </w:r>
          </w:p>
        </w:tc>
        <w:tc>
          <w:tcPr>
            <w:tcW w:w="197" w:type="pct"/>
            <w:shd w:val="clear" w:color="auto" w:fill="auto"/>
            <w:noWrap/>
            <w:tcMar>
              <w:left w:w="0" w:type="dxa"/>
              <w:right w:w="43" w:type="dxa"/>
            </w:tcMar>
            <w:vAlign w:val="center"/>
            <w:hideMark/>
          </w:tcPr>
          <w:p w:rsidRPr="009055A9" w:rsidR="0023718B" w:rsidP="000E31AA" w:rsidRDefault="0023718B" w14:paraId="37F251C5" w14:textId="02D574C1">
            <w:pPr>
              <w:jc w:val="right"/>
              <w:rPr>
                <w:rFonts w:asciiTheme="minorHAnsi" w:hAnsiTheme="minorHAnsi" w:cstheme="minorHAnsi"/>
                <w:sz w:val="16"/>
                <w:szCs w:val="16"/>
              </w:rPr>
            </w:pPr>
            <w:r w:rsidRPr="009055A9">
              <w:rPr>
                <w:rFonts w:asciiTheme="minorHAnsi" w:hAnsiTheme="minorHAnsi" w:cstheme="minorHAnsi"/>
                <w:color w:val="000000"/>
                <w:sz w:val="16"/>
                <w:szCs w:val="16"/>
              </w:rPr>
              <w:t>2,678</w:t>
            </w:r>
          </w:p>
        </w:tc>
        <w:tc>
          <w:tcPr>
            <w:tcW w:w="125" w:type="pct"/>
            <w:shd w:val="clear" w:color="auto" w:fill="auto"/>
            <w:noWrap/>
            <w:tcMar>
              <w:left w:w="0" w:type="dxa"/>
              <w:right w:w="43" w:type="dxa"/>
            </w:tcMar>
            <w:vAlign w:val="center"/>
            <w:hideMark/>
          </w:tcPr>
          <w:p w:rsidRPr="009055A9" w:rsidR="0023718B" w:rsidP="000E31AA" w:rsidRDefault="0023718B" w14:paraId="6637B5B3" w14:textId="0251F275">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0" w:type="pct"/>
            <w:shd w:val="clear" w:color="auto" w:fill="auto"/>
            <w:noWrap/>
            <w:tcMar>
              <w:left w:w="0" w:type="dxa"/>
              <w:right w:w="43" w:type="dxa"/>
            </w:tcMar>
            <w:vAlign w:val="center"/>
            <w:hideMark/>
          </w:tcPr>
          <w:p w:rsidRPr="009055A9" w:rsidR="0023718B" w:rsidP="000E31AA" w:rsidRDefault="0023718B" w14:paraId="02428AA5" w14:textId="51F0DFDB">
            <w:pPr>
              <w:jc w:val="right"/>
              <w:rPr>
                <w:rFonts w:asciiTheme="minorHAnsi" w:hAnsiTheme="minorHAnsi" w:cstheme="minorHAnsi"/>
                <w:sz w:val="16"/>
                <w:szCs w:val="16"/>
              </w:rPr>
            </w:pPr>
            <w:r w:rsidRPr="009055A9">
              <w:rPr>
                <w:rFonts w:asciiTheme="minorHAnsi" w:hAnsiTheme="minorHAnsi" w:cstheme="minorHAnsi"/>
                <w:color w:val="000000"/>
                <w:sz w:val="16"/>
                <w:szCs w:val="16"/>
              </w:rPr>
              <w:t>2,256</w:t>
            </w:r>
          </w:p>
        </w:tc>
        <w:tc>
          <w:tcPr>
            <w:tcW w:w="148" w:type="pct"/>
            <w:shd w:val="clear" w:color="auto" w:fill="auto"/>
            <w:noWrap/>
            <w:tcMar>
              <w:left w:w="0" w:type="dxa"/>
              <w:right w:w="43" w:type="dxa"/>
            </w:tcMar>
            <w:vAlign w:val="center"/>
            <w:hideMark/>
          </w:tcPr>
          <w:p w:rsidRPr="009055A9" w:rsidR="0023718B" w:rsidP="000E31AA" w:rsidRDefault="0023718B" w14:paraId="4DCD7DA9" w14:textId="513889CC">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2" w:type="pct"/>
            <w:tcMar>
              <w:left w:w="0" w:type="dxa"/>
              <w:right w:w="43" w:type="dxa"/>
            </w:tcMar>
            <w:vAlign w:val="center"/>
          </w:tcPr>
          <w:p w:rsidRPr="009055A9" w:rsidR="0023718B" w:rsidP="000E31AA" w:rsidRDefault="0023718B" w14:paraId="54E82857" w14:textId="010B4A0E">
            <w:pPr>
              <w:jc w:val="right"/>
              <w:rPr>
                <w:rFonts w:asciiTheme="minorHAnsi" w:hAnsiTheme="minorHAnsi" w:cstheme="minorHAnsi"/>
                <w:sz w:val="16"/>
                <w:szCs w:val="16"/>
              </w:rPr>
            </w:pPr>
            <w:r w:rsidRPr="009055A9">
              <w:rPr>
                <w:rFonts w:asciiTheme="minorHAnsi" w:hAnsiTheme="minorHAnsi" w:cstheme="minorHAnsi"/>
                <w:color w:val="000000"/>
                <w:sz w:val="16"/>
                <w:szCs w:val="16"/>
              </w:rPr>
              <w:t>2,650</w:t>
            </w:r>
          </w:p>
        </w:tc>
        <w:tc>
          <w:tcPr>
            <w:tcW w:w="124" w:type="pct"/>
            <w:tcMar>
              <w:left w:w="0" w:type="dxa"/>
              <w:right w:w="43" w:type="dxa"/>
            </w:tcMar>
            <w:vAlign w:val="center"/>
          </w:tcPr>
          <w:p w:rsidRPr="009055A9" w:rsidR="0023718B" w:rsidP="000E31AA" w:rsidRDefault="0023718B" w14:paraId="2B510E2A" w14:textId="2924A0A0">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3" w:type="pct"/>
            <w:tcMar>
              <w:left w:w="0" w:type="dxa"/>
              <w:right w:w="43" w:type="dxa"/>
            </w:tcMar>
            <w:vAlign w:val="center"/>
          </w:tcPr>
          <w:p w:rsidRPr="009055A9" w:rsidR="0023718B" w:rsidP="000E31AA" w:rsidRDefault="0023718B" w14:paraId="517EB85F" w14:textId="7D32F409">
            <w:pPr>
              <w:jc w:val="right"/>
              <w:rPr>
                <w:rFonts w:asciiTheme="minorHAnsi" w:hAnsiTheme="minorHAnsi" w:cstheme="minorHAnsi"/>
                <w:sz w:val="16"/>
                <w:szCs w:val="16"/>
              </w:rPr>
            </w:pPr>
            <w:r w:rsidRPr="009055A9">
              <w:rPr>
                <w:rFonts w:asciiTheme="minorHAnsi" w:hAnsiTheme="minorHAnsi" w:cstheme="minorHAnsi"/>
                <w:color w:val="000000"/>
                <w:sz w:val="16"/>
                <w:szCs w:val="16"/>
              </w:rPr>
              <w:t>2,295</w:t>
            </w:r>
          </w:p>
        </w:tc>
        <w:tc>
          <w:tcPr>
            <w:tcW w:w="146" w:type="pct"/>
            <w:tcMar>
              <w:left w:w="0" w:type="dxa"/>
              <w:right w:w="43" w:type="dxa"/>
            </w:tcMar>
            <w:vAlign w:val="center"/>
          </w:tcPr>
          <w:p w:rsidRPr="009055A9" w:rsidR="0023718B" w:rsidP="000E31AA" w:rsidRDefault="0023718B" w14:paraId="24FEF8BF" w14:textId="26C907C7">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5" w:type="pct"/>
            <w:tcMar>
              <w:left w:w="0" w:type="dxa"/>
              <w:right w:w="43" w:type="dxa"/>
            </w:tcMar>
            <w:vAlign w:val="center"/>
          </w:tcPr>
          <w:p w:rsidRPr="009055A9" w:rsidR="0023718B" w:rsidP="000E31AA" w:rsidRDefault="0023718B" w14:paraId="3AD7EF0F" w14:textId="093C1AF6">
            <w:pPr>
              <w:jc w:val="right"/>
              <w:rPr>
                <w:rFonts w:asciiTheme="minorHAnsi" w:hAnsiTheme="minorHAnsi" w:cstheme="minorHAnsi"/>
                <w:sz w:val="16"/>
                <w:szCs w:val="16"/>
              </w:rPr>
            </w:pPr>
            <w:r w:rsidRPr="009055A9">
              <w:rPr>
                <w:rFonts w:asciiTheme="minorHAnsi" w:hAnsiTheme="minorHAnsi" w:cstheme="minorHAnsi"/>
                <w:color w:val="000000"/>
                <w:sz w:val="16"/>
                <w:szCs w:val="16"/>
              </w:rPr>
              <w:t>1,746</w:t>
            </w:r>
          </w:p>
        </w:tc>
        <w:tc>
          <w:tcPr>
            <w:tcW w:w="149" w:type="pct"/>
            <w:tcMar>
              <w:left w:w="0" w:type="dxa"/>
              <w:right w:w="43" w:type="dxa"/>
            </w:tcMar>
            <w:vAlign w:val="center"/>
          </w:tcPr>
          <w:p w:rsidRPr="009055A9" w:rsidR="0023718B" w:rsidP="000E31AA" w:rsidRDefault="0023718B" w14:paraId="524A4D46" w14:textId="61E315A6">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97" w:type="pct"/>
            <w:tcMar>
              <w:left w:w="0" w:type="dxa"/>
              <w:right w:w="43" w:type="dxa"/>
            </w:tcMar>
            <w:vAlign w:val="center"/>
          </w:tcPr>
          <w:p w:rsidRPr="009055A9" w:rsidR="0023718B" w:rsidP="000E31AA" w:rsidRDefault="0023718B" w14:paraId="6134108B" w14:textId="5FC269AE">
            <w:pPr>
              <w:jc w:val="right"/>
              <w:rPr>
                <w:rFonts w:asciiTheme="minorHAnsi" w:hAnsiTheme="minorHAnsi" w:cstheme="minorHAnsi"/>
                <w:sz w:val="16"/>
                <w:szCs w:val="16"/>
              </w:rPr>
            </w:pPr>
            <w:r w:rsidRPr="009055A9">
              <w:rPr>
                <w:rFonts w:asciiTheme="minorHAnsi" w:hAnsiTheme="minorHAnsi" w:cstheme="minorHAnsi"/>
                <w:color w:val="000000"/>
                <w:sz w:val="16"/>
                <w:szCs w:val="16"/>
              </w:rPr>
              <w:t>1,930</w:t>
            </w:r>
          </w:p>
        </w:tc>
        <w:tc>
          <w:tcPr>
            <w:tcW w:w="148" w:type="pct"/>
            <w:tcMar>
              <w:left w:w="0" w:type="dxa"/>
              <w:right w:w="43" w:type="dxa"/>
            </w:tcMar>
            <w:vAlign w:val="center"/>
          </w:tcPr>
          <w:p w:rsidRPr="009055A9" w:rsidR="0023718B" w:rsidP="000E31AA" w:rsidRDefault="0023718B" w14:paraId="49B05066" w14:textId="405D1306">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96" w:type="pct"/>
            <w:tcMar>
              <w:left w:w="0" w:type="dxa"/>
              <w:right w:w="43" w:type="dxa"/>
            </w:tcMar>
            <w:vAlign w:val="center"/>
          </w:tcPr>
          <w:p w:rsidRPr="009055A9" w:rsidR="0023718B" w:rsidP="000E31AA" w:rsidRDefault="0023718B" w14:paraId="6B2C5FC2" w14:textId="4DAFACB6">
            <w:pPr>
              <w:jc w:val="right"/>
              <w:rPr>
                <w:rFonts w:asciiTheme="minorHAnsi" w:hAnsiTheme="minorHAnsi" w:cstheme="minorHAnsi"/>
                <w:sz w:val="16"/>
                <w:szCs w:val="16"/>
              </w:rPr>
            </w:pPr>
            <w:r w:rsidRPr="009055A9">
              <w:rPr>
                <w:rFonts w:asciiTheme="minorHAnsi" w:hAnsiTheme="minorHAnsi" w:cstheme="minorHAnsi"/>
                <w:color w:val="000000"/>
                <w:sz w:val="16"/>
                <w:szCs w:val="16"/>
              </w:rPr>
              <w:t>1,984</w:t>
            </w:r>
          </w:p>
        </w:tc>
        <w:tc>
          <w:tcPr>
            <w:tcW w:w="143" w:type="pct"/>
            <w:tcMar>
              <w:left w:w="0" w:type="dxa"/>
              <w:right w:w="43" w:type="dxa"/>
            </w:tcMar>
            <w:vAlign w:val="center"/>
          </w:tcPr>
          <w:p w:rsidRPr="009055A9" w:rsidR="0023718B" w:rsidP="000E31AA" w:rsidRDefault="0023718B" w14:paraId="58BFB40F" w14:textId="6781B2A8">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8" w:type="pct"/>
            <w:shd w:val="clear" w:color="000000" w:fill="FFFFFF"/>
            <w:noWrap/>
            <w:tcMar>
              <w:left w:w="0" w:type="dxa"/>
              <w:right w:w="43" w:type="dxa"/>
            </w:tcMar>
            <w:vAlign w:val="center"/>
          </w:tcPr>
          <w:p w:rsidRPr="003148DB" w:rsidR="0023718B" w:rsidP="000E31AA" w:rsidRDefault="0023718B" w14:paraId="5F5A8C32" w14:textId="5C2E61E8">
            <w:pPr>
              <w:jc w:val="right"/>
              <w:rPr>
                <w:rFonts w:asciiTheme="minorHAnsi" w:hAnsiTheme="minorHAnsi" w:cstheme="minorHAnsi"/>
                <w:sz w:val="16"/>
                <w:szCs w:val="16"/>
              </w:rPr>
            </w:pPr>
            <w:r w:rsidRPr="003148DB">
              <w:rPr>
                <w:rFonts w:asciiTheme="minorHAnsi" w:hAnsiTheme="minorHAnsi" w:cstheme="minorHAnsi"/>
                <w:color w:val="000000"/>
                <w:sz w:val="16"/>
                <w:szCs w:val="16"/>
              </w:rPr>
              <w:t>2,444</w:t>
            </w:r>
          </w:p>
        </w:tc>
        <w:tc>
          <w:tcPr>
            <w:tcW w:w="151" w:type="pct"/>
            <w:shd w:val="clear" w:color="000000" w:fill="FFFFFF"/>
            <w:noWrap/>
            <w:tcMar>
              <w:left w:w="0" w:type="dxa"/>
              <w:right w:w="43" w:type="dxa"/>
            </w:tcMar>
            <w:vAlign w:val="center"/>
          </w:tcPr>
          <w:p w:rsidRPr="003148DB" w:rsidR="0023718B" w:rsidP="000E31AA" w:rsidRDefault="0023718B" w14:paraId="2FC135CD" w14:textId="7A6EE409">
            <w:pPr>
              <w:jc w:val="right"/>
              <w:rPr>
                <w:rFonts w:asciiTheme="minorHAnsi" w:hAnsiTheme="minorHAnsi" w:cstheme="minorHAnsi"/>
                <w:sz w:val="16"/>
                <w:szCs w:val="16"/>
              </w:rPr>
            </w:pPr>
            <w:r w:rsidRPr="003148DB">
              <w:rPr>
                <w:rFonts w:asciiTheme="minorHAnsi" w:hAnsiTheme="minorHAnsi" w:cstheme="minorHAnsi"/>
                <w:color w:val="000000"/>
                <w:sz w:val="16"/>
                <w:szCs w:val="16"/>
              </w:rPr>
              <w:t>16.0</w:t>
            </w:r>
          </w:p>
        </w:tc>
      </w:tr>
      <w:tr w:rsidRPr="003148DB" w:rsidR="0023718B" w:rsidTr="000D41FC" w14:paraId="015E16F5"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20440C0A"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6D8E8C7C" w14:textId="74DE361B">
            <w:pPr>
              <w:rPr>
                <w:rFonts w:asciiTheme="minorHAnsi" w:hAnsiTheme="minorHAnsi" w:cstheme="minorHAnsi"/>
                <w:sz w:val="16"/>
                <w:szCs w:val="16"/>
              </w:rPr>
            </w:pPr>
            <w:r w:rsidRPr="009055A9">
              <w:rPr>
                <w:rFonts w:asciiTheme="minorHAnsi" w:hAnsiTheme="minorHAnsi" w:cstheme="minorHAnsi"/>
                <w:color w:val="000000"/>
                <w:sz w:val="16"/>
                <w:szCs w:val="16"/>
              </w:rPr>
              <w:t>Dominion Generation</w:t>
            </w:r>
          </w:p>
        </w:tc>
        <w:tc>
          <w:tcPr>
            <w:tcW w:w="321" w:type="pct"/>
            <w:shd w:val="clear" w:color="auto" w:fill="auto"/>
            <w:noWrap/>
            <w:tcMar>
              <w:left w:w="58" w:type="dxa"/>
              <w:right w:w="29" w:type="dxa"/>
            </w:tcMar>
            <w:vAlign w:val="center"/>
            <w:hideMark/>
          </w:tcPr>
          <w:p w:rsidRPr="009055A9" w:rsidR="0023718B" w:rsidP="000E31AA" w:rsidRDefault="0023718B" w14:paraId="10B05B60" w14:textId="10631D9A">
            <w:pPr>
              <w:rPr>
                <w:rFonts w:asciiTheme="minorHAnsi" w:hAnsiTheme="minorHAnsi" w:cstheme="minorHAnsi"/>
                <w:sz w:val="16"/>
                <w:szCs w:val="16"/>
              </w:rPr>
            </w:pPr>
            <w:r w:rsidRPr="009055A9">
              <w:rPr>
                <w:rFonts w:asciiTheme="minorHAnsi" w:hAnsiTheme="minorHAnsi" w:cstheme="minorHAnsi"/>
                <w:color w:val="000000"/>
                <w:sz w:val="16"/>
                <w:szCs w:val="16"/>
              </w:rPr>
              <w:t>North Anna</w:t>
            </w:r>
          </w:p>
        </w:tc>
        <w:tc>
          <w:tcPr>
            <w:tcW w:w="123" w:type="pct"/>
            <w:shd w:val="clear" w:color="auto" w:fill="auto"/>
            <w:noWrap/>
            <w:tcMar>
              <w:left w:w="58" w:type="dxa"/>
              <w:right w:w="58" w:type="dxa"/>
            </w:tcMar>
            <w:vAlign w:val="center"/>
            <w:hideMark/>
          </w:tcPr>
          <w:p w:rsidRPr="009055A9" w:rsidR="0023718B" w:rsidP="000E31AA" w:rsidRDefault="0023718B" w14:paraId="58AE1BC2" w14:textId="74512BDC">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2A6BCFEC" w14:textId="21E6659F">
            <w:pPr>
              <w:jc w:val="right"/>
              <w:rPr>
                <w:rFonts w:asciiTheme="minorHAnsi" w:hAnsiTheme="minorHAnsi" w:cstheme="minorHAnsi"/>
                <w:sz w:val="16"/>
                <w:szCs w:val="16"/>
              </w:rPr>
            </w:pPr>
            <w:r w:rsidRPr="009055A9">
              <w:rPr>
                <w:rFonts w:asciiTheme="minorHAnsi" w:hAnsiTheme="minorHAnsi" w:cstheme="minorHAnsi"/>
                <w:color w:val="000000"/>
                <w:sz w:val="16"/>
                <w:szCs w:val="16"/>
              </w:rPr>
              <w:t>1,828</w:t>
            </w:r>
          </w:p>
        </w:tc>
        <w:tc>
          <w:tcPr>
            <w:tcW w:w="123" w:type="pct"/>
            <w:shd w:val="clear" w:color="auto" w:fill="auto"/>
            <w:noWrap/>
            <w:tcMar>
              <w:left w:w="0" w:type="dxa"/>
              <w:right w:w="43" w:type="dxa"/>
            </w:tcMar>
            <w:vAlign w:val="center"/>
            <w:hideMark/>
          </w:tcPr>
          <w:p w:rsidRPr="009055A9" w:rsidR="0023718B" w:rsidP="000E31AA" w:rsidRDefault="0023718B" w14:paraId="05146089" w14:textId="7528EA56">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0" w:type="pct"/>
            <w:shd w:val="clear" w:color="auto" w:fill="auto"/>
            <w:noWrap/>
            <w:tcMar>
              <w:left w:w="0" w:type="dxa"/>
              <w:right w:w="43" w:type="dxa"/>
            </w:tcMar>
            <w:vAlign w:val="center"/>
            <w:hideMark/>
          </w:tcPr>
          <w:p w:rsidRPr="009055A9" w:rsidR="0023718B" w:rsidP="000E31AA" w:rsidRDefault="0023718B" w14:paraId="79C82C67" w14:textId="139A7245">
            <w:pPr>
              <w:jc w:val="right"/>
              <w:rPr>
                <w:rFonts w:asciiTheme="minorHAnsi" w:hAnsiTheme="minorHAnsi" w:cstheme="minorHAnsi"/>
                <w:sz w:val="16"/>
                <w:szCs w:val="16"/>
              </w:rPr>
            </w:pPr>
            <w:r w:rsidRPr="009055A9">
              <w:rPr>
                <w:rFonts w:asciiTheme="minorHAnsi" w:hAnsiTheme="minorHAnsi" w:cstheme="minorHAnsi"/>
                <w:color w:val="000000"/>
                <w:sz w:val="16"/>
                <w:szCs w:val="16"/>
              </w:rPr>
              <w:t>3,085</w:t>
            </w:r>
          </w:p>
        </w:tc>
        <w:tc>
          <w:tcPr>
            <w:tcW w:w="125" w:type="pct"/>
            <w:shd w:val="clear" w:color="auto" w:fill="auto"/>
            <w:noWrap/>
            <w:tcMar>
              <w:left w:w="0" w:type="dxa"/>
              <w:right w:w="43" w:type="dxa"/>
            </w:tcMar>
            <w:vAlign w:val="center"/>
            <w:hideMark/>
          </w:tcPr>
          <w:p w:rsidRPr="009055A9" w:rsidR="0023718B" w:rsidP="000E31AA" w:rsidRDefault="0023718B" w14:paraId="0F5C53F2" w14:textId="574CDFF3">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2" w:type="pct"/>
            <w:shd w:val="clear" w:color="auto" w:fill="auto"/>
            <w:noWrap/>
            <w:tcMar>
              <w:left w:w="0" w:type="dxa"/>
              <w:right w:w="43" w:type="dxa"/>
            </w:tcMar>
            <w:vAlign w:val="center"/>
            <w:hideMark/>
          </w:tcPr>
          <w:p w:rsidRPr="009055A9" w:rsidR="0023718B" w:rsidP="000E31AA" w:rsidRDefault="0023718B" w14:paraId="640D2D60" w14:textId="7BEFDA55">
            <w:pPr>
              <w:jc w:val="right"/>
              <w:rPr>
                <w:rFonts w:asciiTheme="minorHAnsi" w:hAnsiTheme="minorHAnsi" w:cstheme="minorHAnsi"/>
                <w:sz w:val="16"/>
                <w:szCs w:val="16"/>
              </w:rPr>
            </w:pPr>
            <w:r w:rsidRPr="009055A9">
              <w:rPr>
                <w:rFonts w:asciiTheme="minorHAnsi" w:hAnsiTheme="minorHAnsi" w:cstheme="minorHAnsi"/>
                <w:color w:val="000000"/>
                <w:sz w:val="16"/>
                <w:szCs w:val="16"/>
              </w:rPr>
              <w:t>2,031</w:t>
            </w:r>
          </w:p>
        </w:tc>
        <w:tc>
          <w:tcPr>
            <w:tcW w:w="123" w:type="pct"/>
            <w:shd w:val="clear" w:color="auto" w:fill="auto"/>
            <w:noWrap/>
            <w:tcMar>
              <w:left w:w="0" w:type="dxa"/>
              <w:right w:w="43" w:type="dxa"/>
            </w:tcMar>
            <w:vAlign w:val="center"/>
            <w:hideMark/>
          </w:tcPr>
          <w:p w:rsidRPr="009055A9" w:rsidR="0023718B" w:rsidP="000E31AA" w:rsidRDefault="0023718B" w14:paraId="68929A22" w14:textId="4B2C9372">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94" w:type="pct"/>
            <w:shd w:val="clear" w:color="auto" w:fill="auto"/>
            <w:noWrap/>
            <w:tcMar>
              <w:left w:w="0" w:type="dxa"/>
              <w:right w:w="43" w:type="dxa"/>
            </w:tcMar>
            <w:vAlign w:val="center"/>
            <w:hideMark/>
          </w:tcPr>
          <w:p w:rsidRPr="009055A9" w:rsidR="0023718B" w:rsidP="000E31AA" w:rsidRDefault="0023718B" w14:paraId="5B2FF785" w14:textId="0449D285">
            <w:pPr>
              <w:jc w:val="right"/>
              <w:rPr>
                <w:rFonts w:asciiTheme="minorHAnsi" w:hAnsiTheme="minorHAnsi" w:cstheme="minorHAnsi"/>
                <w:sz w:val="16"/>
                <w:szCs w:val="16"/>
              </w:rPr>
            </w:pPr>
            <w:r w:rsidRPr="009055A9">
              <w:rPr>
                <w:rFonts w:asciiTheme="minorHAnsi" w:hAnsiTheme="minorHAnsi" w:cstheme="minorHAnsi"/>
                <w:color w:val="000000"/>
                <w:sz w:val="16"/>
                <w:szCs w:val="16"/>
              </w:rPr>
              <w:t>2,121</w:t>
            </w:r>
          </w:p>
        </w:tc>
        <w:tc>
          <w:tcPr>
            <w:tcW w:w="123" w:type="pct"/>
            <w:shd w:val="clear" w:color="auto" w:fill="auto"/>
            <w:noWrap/>
            <w:tcMar>
              <w:left w:w="0" w:type="dxa"/>
              <w:right w:w="43" w:type="dxa"/>
            </w:tcMar>
            <w:vAlign w:val="center"/>
            <w:hideMark/>
          </w:tcPr>
          <w:p w:rsidRPr="009055A9" w:rsidR="0023718B" w:rsidP="000E31AA" w:rsidRDefault="0023718B" w14:paraId="5A379C1B" w14:textId="587E8CD7">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7" w:type="pct"/>
            <w:shd w:val="clear" w:color="auto" w:fill="auto"/>
            <w:noWrap/>
            <w:tcMar>
              <w:left w:w="0" w:type="dxa"/>
              <w:right w:w="43" w:type="dxa"/>
            </w:tcMar>
            <w:vAlign w:val="center"/>
            <w:hideMark/>
          </w:tcPr>
          <w:p w:rsidRPr="009055A9" w:rsidR="0023718B" w:rsidP="000E31AA" w:rsidRDefault="0023718B" w14:paraId="226C9C24" w14:textId="0B6EA4D1">
            <w:pPr>
              <w:jc w:val="right"/>
              <w:rPr>
                <w:rFonts w:asciiTheme="minorHAnsi" w:hAnsiTheme="minorHAnsi" w:cstheme="minorHAnsi"/>
                <w:sz w:val="16"/>
                <w:szCs w:val="16"/>
              </w:rPr>
            </w:pPr>
            <w:r w:rsidRPr="009055A9">
              <w:rPr>
                <w:rFonts w:asciiTheme="minorHAnsi" w:hAnsiTheme="minorHAnsi" w:cstheme="minorHAnsi"/>
                <w:color w:val="000000"/>
                <w:sz w:val="16"/>
                <w:szCs w:val="16"/>
              </w:rPr>
              <w:t>2,305</w:t>
            </w:r>
          </w:p>
        </w:tc>
        <w:tc>
          <w:tcPr>
            <w:tcW w:w="125" w:type="pct"/>
            <w:shd w:val="clear" w:color="auto" w:fill="auto"/>
            <w:noWrap/>
            <w:tcMar>
              <w:left w:w="0" w:type="dxa"/>
              <w:right w:w="43" w:type="dxa"/>
            </w:tcMar>
            <w:vAlign w:val="center"/>
            <w:hideMark/>
          </w:tcPr>
          <w:p w:rsidRPr="009055A9" w:rsidR="0023718B" w:rsidP="000E31AA" w:rsidRDefault="0023718B" w14:paraId="3BAECCDF" w14:textId="097722D3">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0" w:type="pct"/>
            <w:shd w:val="clear" w:color="auto" w:fill="auto"/>
            <w:noWrap/>
            <w:tcMar>
              <w:left w:w="0" w:type="dxa"/>
              <w:right w:w="43" w:type="dxa"/>
            </w:tcMar>
            <w:vAlign w:val="center"/>
            <w:hideMark/>
          </w:tcPr>
          <w:p w:rsidRPr="009055A9" w:rsidR="0023718B" w:rsidP="000E31AA" w:rsidRDefault="0023718B" w14:paraId="3BF65EE7" w14:textId="4EE160D3">
            <w:pPr>
              <w:jc w:val="right"/>
              <w:rPr>
                <w:rFonts w:asciiTheme="minorHAnsi" w:hAnsiTheme="minorHAnsi" w:cstheme="minorHAnsi"/>
                <w:sz w:val="16"/>
                <w:szCs w:val="16"/>
              </w:rPr>
            </w:pPr>
            <w:r w:rsidRPr="009055A9">
              <w:rPr>
                <w:rFonts w:asciiTheme="minorHAnsi" w:hAnsiTheme="minorHAnsi" w:cstheme="minorHAnsi"/>
                <w:color w:val="000000"/>
                <w:sz w:val="16"/>
                <w:szCs w:val="16"/>
              </w:rPr>
              <w:t>2,269</w:t>
            </w:r>
          </w:p>
        </w:tc>
        <w:tc>
          <w:tcPr>
            <w:tcW w:w="148" w:type="pct"/>
            <w:shd w:val="clear" w:color="auto" w:fill="auto"/>
            <w:noWrap/>
            <w:tcMar>
              <w:left w:w="0" w:type="dxa"/>
              <w:right w:w="43" w:type="dxa"/>
            </w:tcMar>
            <w:vAlign w:val="center"/>
            <w:hideMark/>
          </w:tcPr>
          <w:p w:rsidRPr="009055A9" w:rsidR="0023718B" w:rsidP="000E31AA" w:rsidRDefault="0023718B" w14:paraId="75A3A03A" w14:textId="06A98E6C">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72" w:type="pct"/>
            <w:tcMar>
              <w:left w:w="0" w:type="dxa"/>
              <w:right w:w="43" w:type="dxa"/>
            </w:tcMar>
            <w:vAlign w:val="center"/>
          </w:tcPr>
          <w:p w:rsidRPr="009055A9" w:rsidR="0023718B" w:rsidP="000E31AA" w:rsidRDefault="0023718B" w14:paraId="63F88944" w14:textId="31C98A52">
            <w:pPr>
              <w:jc w:val="right"/>
              <w:rPr>
                <w:rFonts w:asciiTheme="minorHAnsi" w:hAnsiTheme="minorHAnsi" w:cstheme="minorHAnsi"/>
                <w:sz w:val="16"/>
                <w:szCs w:val="16"/>
              </w:rPr>
            </w:pPr>
            <w:r w:rsidRPr="009055A9">
              <w:rPr>
                <w:rFonts w:asciiTheme="minorHAnsi" w:hAnsiTheme="minorHAnsi" w:cstheme="minorHAnsi"/>
                <w:color w:val="000000"/>
                <w:sz w:val="16"/>
                <w:szCs w:val="16"/>
              </w:rPr>
              <w:t>2,267</w:t>
            </w:r>
          </w:p>
        </w:tc>
        <w:tc>
          <w:tcPr>
            <w:tcW w:w="124" w:type="pct"/>
            <w:tcMar>
              <w:left w:w="0" w:type="dxa"/>
              <w:right w:w="43" w:type="dxa"/>
            </w:tcMar>
            <w:vAlign w:val="center"/>
          </w:tcPr>
          <w:p w:rsidRPr="009055A9" w:rsidR="0023718B" w:rsidP="000E31AA" w:rsidRDefault="0023718B" w14:paraId="44E44B70" w14:textId="1BCC3166">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3" w:type="pct"/>
            <w:tcMar>
              <w:left w:w="0" w:type="dxa"/>
              <w:right w:w="43" w:type="dxa"/>
            </w:tcMar>
            <w:vAlign w:val="center"/>
          </w:tcPr>
          <w:p w:rsidRPr="009055A9" w:rsidR="0023718B" w:rsidP="000E31AA" w:rsidRDefault="0023718B" w14:paraId="08B6702C" w14:textId="038FE615">
            <w:pPr>
              <w:jc w:val="right"/>
              <w:rPr>
                <w:rFonts w:asciiTheme="minorHAnsi" w:hAnsiTheme="minorHAnsi" w:cstheme="minorHAnsi"/>
                <w:sz w:val="16"/>
                <w:szCs w:val="16"/>
              </w:rPr>
            </w:pPr>
            <w:r w:rsidRPr="009055A9">
              <w:rPr>
                <w:rFonts w:asciiTheme="minorHAnsi" w:hAnsiTheme="minorHAnsi" w:cstheme="minorHAnsi"/>
                <w:color w:val="000000"/>
                <w:sz w:val="16"/>
                <w:szCs w:val="16"/>
              </w:rPr>
              <w:t>3,048</w:t>
            </w:r>
          </w:p>
        </w:tc>
        <w:tc>
          <w:tcPr>
            <w:tcW w:w="146" w:type="pct"/>
            <w:tcMar>
              <w:left w:w="0" w:type="dxa"/>
              <w:right w:w="43" w:type="dxa"/>
            </w:tcMar>
            <w:vAlign w:val="center"/>
          </w:tcPr>
          <w:p w:rsidRPr="009055A9" w:rsidR="0023718B" w:rsidP="000E31AA" w:rsidRDefault="0023718B" w14:paraId="26EB394B" w14:textId="427A66CE">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75" w:type="pct"/>
            <w:tcMar>
              <w:left w:w="0" w:type="dxa"/>
              <w:right w:w="43" w:type="dxa"/>
            </w:tcMar>
            <w:vAlign w:val="center"/>
          </w:tcPr>
          <w:p w:rsidRPr="009055A9" w:rsidR="0023718B" w:rsidP="000E31AA" w:rsidRDefault="0023718B" w14:paraId="21046EBA" w14:textId="6CC6C8FF">
            <w:pPr>
              <w:jc w:val="right"/>
              <w:rPr>
                <w:rFonts w:asciiTheme="minorHAnsi" w:hAnsiTheme="minorHAnsi" w:cstheme="minorHAnsi"/>
                <w:sz w:val="16"/>
                <w:szCs w:val="16"/>
              </w:rPr>
            </w:pPr>
            <w:r w:rsidRPr="009055A9">
              <w:rPr>
                <w:rFonts w:asciiTheme="minorHAnsi" w:hAnsiTheme="minorHAnsi" w:cstheme="minorHAnsi"/>
                <w:color w:val="000000"/>
                <w:sz w:val="16"/>
                <w:szCs w:val="16"/>
              </w:rPr>
              <w:t>1,905</w:t>
            </w:r>
          </w:p>
        </w:tc>
        <w:tc>
          <w:tcPr>
            <w:tcW w:w="149" w:type="pct"/>
            <w:tcMar>
              <w:left w:w="0" w:type="dxa"/>
              <w:right w:w="43" w:type="dxa"/>
            </w:tcMar>
            <w:vAlign w:val="center"/>
          </w:tcPr>
          <w:p w:rsidRPr="009055A9" w:rsidR="0023718B" w:rsidP="000E31AA" w:rsidRDefault="0023718B" w14:paraId="44D0B7D6" w14:textId="2119C883">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97" w:type="pct"/>
            <w:tcMar>
              <w:left w:w="0" w:type="dxa"/>
              <w:right w:w="43" w:type="dxa"/>
            </w:tcMar>
            <w:vAlign w:val="center"/>
          </w:tcPr>
          <w:p w:rsidRPr="009055A9" w:rsidR="0023718B" w:rsidP="000E31AA" w:rsidRDefault="0023718B" w14:paraId="1D6F4089" w14:textId="752E1663">
            <w:pPr>
              <w:jc w:val="right"/>
              <w:rPr>
                <w:rFonts w:asciiTheme="minorHAnsi" w:hAnsiTheme="minorHAnsi" w:cstheme="minorHAnsi"/>
                <w:sz w:val="16"/>
                <w:szCs w:val="16"/>
              </w:rPr>
            </w:pPr>
            <w:r w:rsidRPr="009055A9">
              <w:rPr>
                <w:rFonts w:asciiTheme="minorHAnsi" w:hAnsiTheme="minorHAnsi" w:cstheme="minorHAnsi"/>
                <w:color w:val="000000"/>
                <w:sz w:val="16"/>
                <w:szCs w:val="16"/>
              </w:rPr>
              <w:t>1,997</w:t>
            </w:r>
          </w:p>
        </w:tc>
        <w:tc>
          <w:tcPr>
            <w:tcW w:w="148" w:type="pct"/>
            <w:tcMar>
              <w:left w:w="0" w:type="dxa"/>
              <w:right w:w="43" w:type="dxa"/>
            </w:tcMar>
            <w:vAlign w:val="center"/>
          </w:tcPr>
          <w:p w:rsidRPr="009055A9" w:rsidR="0023718B" w:rsidP="000E31AA" w:rsidRDefault="0023718B" w14:paraId="4F209A1D" w14:textId="041DDB24">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96" w:type="pct"/>
            <w:tcMar>
              <w:left w:w="0" w:type="dxa"/>
              <w:right w:w="43" w:type="dxa"/>
            </w:tcMar>
            <w:vAlign w:val="center"/>
          </w:tcPr>
          <w:p w:rsidRPr="009055A9" w:rsidR="0023718B" w:rsidP="000E31AA" w:rsidRDefault="0023718B" w14:paraId="5CDB6985" w14:textId="086C9B45">
            <w:pPr>
              <w:jc w:val="right"/>
              <w:rPr>
                <w:rFonts w:asciiTheme="minorHAnsi" w:hAnsiTheme="minorHAnsi" w:cstheme="minorHAnsi"/>
                <w:sz w:val="16"/>
                <w:szCs w:val="16"/>
              </w:rPr>
            </w:pPr>
            <w:r w:rsidRPr="009055A9">
              <w:rPr>
                <w:rFonts w:asciiTheme="minorHAnsi" w:hAnsiTheme="minorHAnsi" w:cstheme="minorHAnsi"/>
                <w:color w:val="000000"/>
                <w:sz w:val="16"/>
                <w:szCs w:val="16"/>
              </w:rPr>
              <w:t>2,793</w:t>
            </w:r>
          </w:p>
        </w:tc>
        <w:tc>
          <w:tcPr>
            <w:tcW w:w="143" w:type="pct"/>
            <w:tcMar>
              <w:left w:w="0" w:type="dxa"/>
              <w:right w:w="43" w:type="dxa"/>
            </w:tcMar>
            <w:vAlign w:val="center"/>
          </w:tcPr>
          <w:p w:rsidRPr="009055A9" w:rsidR="0023718B" w:rsidP="000E31AA" w:rsidRDefault="0023718B" w14:paraId="56E9F1EF" w14:textId="498D5978">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8" w:type="pct"/>
            <w:shd w:val="clear" w:color="000000" w:fill="FFFFFF"/>
            <w:noWrap/>
            <w:tcMar>
              <w:left w:w="0" w:type="dxa"/>
              <w:right w:w="43" w:type="dxa"/>
            </w:tcMar>
            <w:vAlign w:val="center"/>
          </w:tcPr>
          <w:p w:rsidRPr="003148DB" w:rsidR="0023718B" w:rsidP="000E31AA" w:rsidRDefault="0023718B" w14:paraId="2146C8E2" w14:textId="0B2F168C">
            <w:pPr>
              <w:jc w:val="right"/>
              <w:rPr>
                <w:rFonts w:asciiTheme="minorHAnsi" w:hAnsiTheme="minorHAnsi" w:cstheme="minorHAnsi"/>
                <w:sz w:val="16"/>
                <w:szCs w:val="16"/>
              </w:rPr>
            </w:pPr>
            <w:r w:rsidRPr="003148DB">
              <w:rPr>
                <w:rFonts w:asciiTheme="minorHAnsi" w:hAnsiTheme="minorHAnsi" w:cstheme="minorHAnsi"/>
                <w:color w:val="000000"/>
                <w:sz w:val="16"/>
                <w:szCs w:val="16"/>
              </w:rPr>
              <w:t>2,332</w:t>
            </w:r>
          </w:p>
        </w:tc>
        <w:tc>
          <w:tcPr>
            <w:tcW w:w="151" w:type="pct"/>
            <w:shd w:val="clear" w:color="000000" w:fill="FFFFFF"/>
            <w:noWrap/>
            <w:tcMar>
              <w:left w:w="0" w:type="dxa"/>
              <w:right w:w="43" w:type="dxa"/>
            </w:tcMar>
            <w:vAlign w:val="center"/>
          </w:tcPr>
          <w:p w:rsidRPr="003148DB" w:rsidR="0023718B" w:rsidP="000E31AA" w:rsidRDefault="0023718B" w14:paraId="33954AA9" w14:textId="2880B447">
            <w:pPr>
              <w:jc w:val="right"/>
              <w:rPr>
                <w:rFonts w:asciiTheme="minorHAnsi" w:hAnsiTheme="minorHAnsi" w:cstheme="minorHAnsi"/>
                <w:sz w:val="16"/>
                <w:szCs w:val="16"/>
              </w:rPr>
            </w:pPr>
            <w:r w:rsidRPr="003148DB">
              <w:rPr>
                <w:rFonts w:asciiTheme="minorHAnsi" w:hAnsiTheme="minorHAnsi" w:cstheme="minorHAnsi"/>
                <w:color w:val="000000"/>
                <w:sz w:val="16"/>
                <w:szCs w:val="16"/>
              </w:rPr>
              <w:t>9.7</w:t>
            </w:r>
          </w:p>
        </w:tc>
      </w:tr>
      <w:tr w:rsidRPr="003148DB" w:rsidR="0023718B" w:rsidTr="000D41FC" w14:paraId="081E7DD8" w14:textId="77777777">
        <w:trPr>
          <w:trHeight w:val="179"/>
        </w:trPr>
        <w:tc>
          <w:tcPr>
            <w:tcW w:w="268" w:type="pct"/>
            <w:vMerge/>
            <w:shd w:val="clear" w:color="auto" w:fill="auto"/>
            <w:noWrap/>
            <w:tcMar>
              <w:left w:w="58" w:type="dxa"/>
              <w:right w:w="58" w:type="dxa"/>
            </w:tcMar>
            <w:vAlign w:val="center"/>
            <w:hideMark/>
          </w:tcPr>
          <w:p w:rsidRPr="00196D17" w:rsidR="0023718B" w:rsidP="000E31AA" w:rsidRDefault="0023718B" w14:paraId="11A35527"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420669B9" w14:textId="085A1020">
            <w:pPr>
              <w:rPr>
                <w:rFonts w:asciiTheme="minorHAnsi" w:hAnsiTheme="minorHAnsi" w:cstheme="minorHAnsi"/>
                <w:sz w:val="16"/>
                <w:szCs w:val="16"/>
              </w:rPr>
            </w:pPr>
            <w:r w:rsidRPr="009055A9">
              <w:rPr>
                <w:rFonts w:asciiTheme="minorHAnsi" w:hAnsiTheme="minorHAnsi" w:cstheme="minorHAnsi"/>
                <w:color w:val="000000"/>
                <w:sz w:val="16"/>
                <w:szCs w:val="16"/>
              </w:rPr>
              <w:t>Exelon</w:t>
            </w:r>
          </w:p>
        </w:tc>
        <w:tc>
          <w:tcPr>
            <w:tcW w:w="321" w:type="pct"/>
            <w:shd w:val="clear" w:color="auto" w:fill="auto"/>
            <w:noWrap/>
            <w:tcMar>
              <w:left w:w="58" w:type="dxa"/>
              <w:right w:w="29" w:type="dxa"/>
            </w:tcMar>
            <w:vAlign w:val="center"/>
            <w:hideMark/>
          </w:tcPr>
          <w:p w:rsidRPr="009055A9" w:rsidR="0023718B" w:rsidP="000E31AA" w:rsidRDefault="0023718B" w14:paraId="0B12B829" w14:textId="04007ED0">
            <w:pPr>
              <w:rPr>
                <w:rFonts w:asciiTheme="minorHAnsi" w:hAnsiTheme="minorHAnsi" w:cstheme="minorHAnsi"/>
                <w:sz w:val="16"/>
                <w:szCs w:val="16"/>
              </w:rPr>
            </w:pPr>
            <w:r w:rsidRPr="009055A9">
              <w:rPr>
                <w:rFonts w:asciiTheme="minorHAnsi" w:hAnsiTheme="minorHAnsi" w:cstheme="minorHAnsi"/>
                <w:color w:val="000000"/>
                <w:sz w:val="16"/>
                <w:szCs w:val="16"/>
              </w:rPr>
              <w:t>Peach Bottom</w:t>
            </w:r>
          </w:p>
        </w:tc>
        <w:tc>
          <w:tcPr>
            <w:tcW w:w="123" w:type="pct"/>
            <w:shd w:val="clear" w:color="auto" w:fill="auto"/>
            <w:noWrap/>
            <w:tcMar>
              <w:left w:w="58" w:type="dxa"/>
              <w:right w:w="58" w:type="dxa"/>
            </w:tcMar>
            <w:vAlign w:val="center"/>
            <w:hideMark/>
          </w:tcPr>
          <w:p w:rsidRPr="009055A9" w:rsidR="0023718B" w:rsidP="000E31AA" w:rsidRDefault="0023718B" w14:paraId="682FC5DF" w14:textId="01840DAA">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0BC6F912" w14:textId="021C023B">
            <w:pPr>
              <w:jc w:val="right"/>
              <w:rPr>
                <w:rFonts w:asciiTheme="minorHAnsi" w:hAnsiTheme="minorHAnsi" w:cstheme="minorHAnsi"/>
                <w:sz w:val="16"/>
                <w:szCs w:val="16"/>
              </w:rPr>
            </w:pPr>
            <w:r w:rsidRPr="009055A9">
              <w:rPr>
                <w:rFonts w:asciiTheme="minorHAnsi" w:hAnsiTheme="minorHAnsi" w:cstheme="minorHAnsi"/>
                <w:color w:val="000000"/>
                <w:sz w:val="16"/>
                <w:szCs w:val="16"/>
              </w:rPr>
              <w:t>3,075</w:t>
            </w:r>
          </w:p>
        </w:tc>
        <w:tc>
          <w:tcPr>
            <w:tcW w:w="123" w:type="pct"/>
            <w:shd w:val="clear" w:color="auto" w:fill="auto"/>
            <w:noWrap/>
            <w:tcMar>
              <w:left w:w="0" w:type="dxa"/>
              <w:right w:w="43" w:type="dxa"/>
            </w:tcMar>
            <w:vAlign w:val="center"/>
            <w:hideMark/>
          </w:tcPr>
          <w:p w:rsidRPr="009055A9" w:rsidR="0023718B" w:rsidP="000E31AA" w:rsidRDefault="0023718B" w14:paraId="6B4DE115" w14:textId="78218E60">
            <w:pPr>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70" w:type="pct"/>
            <w:shd w:val="clear" w:color="auto" w:fill="auto"/>
            <w:noWrap/>
            <w:tcMar>
              <w:left w:w="0" w:type="dxa"/>
              <w:right w:w="43" w:type="dxa"/>
            </w:tcMar>
            <w:vAlign w:val="center"/>
            <w:hideMark/>
          </w:tcPr>
          <w:p w:rsidRPr="009055A9" w:rsidR="0023718B" w:rsidP="000E31AA" w:rsidRDefault="0023718B" w14:paraId="25C0CFA7" w14:textId="0EC06B8E">
            <w:pPr>
              <w:jc w:val="right"/>
              <w:rPr>
                <w:rFonts w:asciiTheme="minorHAnsi" w:hAnsiTheme="minorHAnsi" w:cstheme="minorHAnsi"/>
                <w:sz w:val="16"/>
                <w:szCs w:val="16"/>
              </w:rPr>
            </w:pPr>
            <w:r w:rsidRPr="009055A9">
              <w:rPr>
                <w:rFonts w:asciiTheme="minorHAnsi" w:hAnsiTheme="minorHAnsi" w:cstheme="minorHAnsi"/>
                <w:color w:val="000000"/>
                <w:sz w:val="16"/>
                <w:szCs w:val="16"/>
              </w:rPr>
              <w:t>2,912</w:t>
            </w:r>
          </w:p>
        </w:tc>
        <w:tc>
          <w:tcPr>
            <w:tcW w:w="125" w:type="pct"/>
            <w:shd w:val="clear" w:color="auto" w:fill="auto"/>
            <w:noWrap/>
            <w:tcMar>
              <w:left w:w="0" w:type="dxa"/>
              <w:right w:w="43" w:type="dxa"/>
            </w:tcMar>
            <w:vAlign w:val="center"/>
            <w:hideMark/>
          </w:tcPr>
          <w:p w:rsidRPr="009055A9" w:rsidR="0023718B" w:rsidP="000E31AA" w:rsidRDefault="0023718B" w14:paraId="70EAF83B" w14:textId="7D0F6EB6">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2" w:type="pct"/>
            <w:shd w:val="clear" w:color="auto" w:fill="auto"/>
            <w:noWrap/>
            <w:tcMar>
              <w:left w:w="0" w:type="dxa"/>
              <w:right w:w="43" w:type="dxa"/>
            </w:tcMar>
            <w:vAlign w:val="center"/>
            <w:hideMark/>
          </w:tcPr>
          <w:p w:rsidRPr="009055A9" w:rsidR="0023718B" w:rsidP="000E31AA" w:rsidRDefault="0023718B" w14:paraId="0141E2FA" w14:textId="1904D7E3">
            <w:pPr>
              <w:jc w:val="right"/>
              <w:rPr>
                <w:rFonts w:asciiTheme="minorHAnsi" w:hAnsiTheme="minorHAnsi" w:cstheme="minorHAnsi"/>
                <w:sz w:val="16"/>
                <w:szCs w:val="16"/>
              </w:rPr>
            </w:pPr>
            <w:r w:rsidRPr="009055A9">
              <w:rPr>
                <w:rFonts w:asciiTheme="minorHAnsi" w:hAnsiTheme="minorHAnsi" w:cstheme="minorHAnsi"/>
                <w:color w:val="000000"/>
                <w:sz w:val="16"/>
                <w:szCs w:val="16"/>
              </w:rPr>
              <w:t>3,802</w:t>
            </w:r>
          </w:p>
        </w:tc>
        <w:tc>
          <w:tcPr>
            <w:tcW w:w="123" w:type="pct"/>
            <w:shd w:val="clear" w:color="auto" w:fill="auto"/>
            <w:noWrap/>
            <w:tcMar>
              <w:left w:w="0" w:type="dxa"/>
              <w:right w:w="43" w:type="dxa"/>
            </w:tcMar>
            <w:vAlign w:val="center"/>
            <w:hideMark/>
          </w:tcPr>
          <w:p w:rsidRPr="009055A9" w:rsidR="0023718B" w:rsidP="000E31AA" w:rsidRDefault="0023718B" w14:paraId="57AD47E4" w14:textId="0E7BAF74">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94" w:type="pct"/>
            <w:shd w:val="clear" w:color="auto" w:fill="auto"/>
            <w:noWrap/>
            <w:tcMar>
              <w:left w:w="0" w:type="dxa"/>
              <w:right w:w="43" w:type="dxa"/>
            </w:tcMar>
            <w:vAlign w:val="center"/>
            <w:hideMark/>
          </w:tcPr>
          <w:p w:rsidRPr="009055A9" w:rsidR="0023718B" w:rsidP="000E31AA" w:rsidRDefault="0023718B" w14:paraId="2DABE314" w14:textId="2E2BD3CD">
            <w:pPr>
              <w:jc w:val="right"/>
              <w:rPr>
                <w:rFonts w:asciiTheme="minorHAnsi" w:hAnsiTheme="minorHAnsi" w:cstheme="minorHAnsi"/>
                <w:sz w:val="16"/>
                <w:szCs w:val="16"/>
              </w:rPr>
            </w:pPr>
            <w:r w:rsidRPr="009055A9">
              <w:rPr>
                <w:rFonts w:asciiTheme="minorHAnsi" w:hAnsiTheme="minorHAnsi" w:cstheme="minorHAnsi"/>
                <w:color w:val="000000"/>
                <w:sz w:val="16"/>
                <w:szCs w:val="16"/>
              </w:rPr>
              <w:t>3,643</w:t>
            </w:r>
          </w:p>
        </w:tc>
        <w:tc>
          <w:tcPr>
            <w:tcW w:w="123" w:type="pct"/>
            <w:shd w:val="clear" w:color="auto" w:fill="auto"/>
            <w:noWrap/>
            <w:tcMar>
              <w:left w:w="0" w:type="dxa"/>
              <w:right w:w="43" w:type="dxa"/>
            </w:tcMar>
            <w:vAlign w:val="center"/>
            <w:hideMark/>
          </w:tcPr>
          <w:p w:rsidRPr="009055A9" w:rsidR="0023718B" w:rsidP="000E31AA" w:rsidRDefault="0023718B" w14:paraId="36332EC3" w14:textId="79AEA4E5">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97" w:type="pct"/>
            <w:shd w:val="clear" w:color="auto" w:fill="auto"/>
            <w:noWrap/>
            <w:tcMar>
              <w:left w:w="0" w:type="dxa"/>
              <w:right w:w="43" w:type="dxa"/>
            </w:tcMar>
            <w:vAlign w:val="center"/>
            <w:hideMark/>
          </w:tcPr>
          <w:p w:rsidRPr="009055A9" w:rsidR="0023718B" w:rsidP="000E31AA" w:rsidRDefault="0023718B" w14:paraId="6495C707" w14:textId="56430856">
            <w:pPr>
              <w:jc w:val="right"/>
              <w:rPr>
                <w:rFonts w:asciiTheme="minorHAnsi" w:hAnsiTheme="minorHAnsi" w:cstheme="minorHAnsi"/>
                <w:sz w:val="16"/>
                <w:szCs w:val="16"/>
              </w:rPr>
            </w:pPr>
            <w:r w:rsidRPr="009055A9">
              <w:rPr>
                <w:rFonts w:asciiTheme="minorHAnsi" w:hAnsiTheme="minorHAnsi" w:cstheme="minorHAnsi"/>
                <w:color w:val="000000"/>
                <w:sz w:val="16"/>
                <w:szCs w:val="16"/>
              </w:rPr>
              <w:t>4,123</w:t>
            </w:r>
          </w:p>
        </w:tc>
        <w:tc>
          <w:tcPr>
            <w:tcW w:w="125" w:type="pct"/>
            <w:shd w:val="clear" w:color="auto" w:fill="auto"/>
            <w:noWrap/>
            <w:tcMar>
              <w:left w:w="0" w:type="dxa"/>
              <w:right w:w="43" w:type="dxa"/>
            </w:tcMar>
            <w:vAlign w:val="center"/>
            <w:hideMark/>
          </w:tcPr>
          <w:p w:rsidRPr="009055A9" w:rsidR="0023718B" w:rsidP="000E31AA" w:rsidRDefault="0023718B" w14:paraId="61014FBA" w14:textId="77A469E8">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0" w:type="pct"/>
            <w:shd w:val="clear" w:color="auto" w:fill="auto"/>
            <w:noWrap/>
            <w:tcMar>
              <w:left w:w="0" w:type="dxa"/>
              <w:right w:w="43" w:type="dxa"/>
            </w:tcMar>
            <w:vAlign w:val="center"/>
            <w:hideMark/>
          </w:tcPr>
          <w:p w:rsidRPr="009055A9" w:rsidR="0023718B" w:rsidP="000E31AA" w:rsidRDefault="0023718B" w14:paraId="0A5C79E6" w14:textId="39B47CA9">
            <w:pPr>
              <w:jc w:val="right"/>
              <w:rPr>
                <w:rFonts w:asciiTheme="minorHAnsi" w:hAnsiTheme="minorHAnsi" w:cstheme="minorHAnsi"/>
                <w:sz w:val="16"/>
                <w:szCs w:val="16"/>
              </w:rPr>
            </w:pPr>
            <w:r w:rsidRPr="009055A9">
              <w:rPr>
                <w:rFonts w:asciiTheme="minorHAnsi" w:hAnsiTheme="minorHAnsi" w:cstheme="minorHAnsi"/>
                <w:color w:val="000000"/>
                <w:sz w:val="16"/>
                <w:szCs w:val="16"/>
              </w:rPr>
              <w:t>3,836</w:t>
            </w:r>
          </w:p>
        </w:tc>
        <w:tc>
          <w:tcPr>
            <w:tcW w:w="148" w:type="pct"/>
            <w:shd w:val="clear" w:color="auto" w:fill="auto"/>
            <w:noWrap/>
            <w:tcMar>
              <w:left w:w="0" w:type="dxa"/>
              <w:right w:w="43" w:type="dxa"/>
            </w:tcMar>
            <w:vAlign w:val="center"/>
            <w:hideMark/>
          </w:tcPr>
          <w:p w:rsidRPr="009055A9" w:rsidR="0023718B" w:rsidP="000E31AA" w:rsidRDefault="0023718B" w14:paraId="18BD328A" w14:textId="353F8055">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2" w:type="pct"/>
            <w:tcMar>
              <w:left w:w="0" w:type="dxa"/>
              <w:right w:w="43" w:type="dxa"/>
            </w:tcMar>
            <w:vAlign w:val="center"/>
          </w:tcPr>
          <w:p w:rsidRPr="009055A9" w:rsidR="0023718B" w:rsidP="000E31AA" w:rsidRDefault="0023718B" w14:paraId="0483AB25" w14:textId="602B057C">
            <w:pPr>
              <w:jc w:val="right"/>
              <w:rPr>
                <w:rFonts w:asciiTheme="minorHAnsi" w:hAnsiTheme="minorHAnsi" w:cstheme="minorHAnsi"/>
                <w:sz w:val="16"/>
                <w:szCs w:val="16"/>
              </w:rPr>
            </w:pPr>
            <w:r w:rsidRPr="009055A9">
              <w:rPr>
                <w:rFonts w:asciiTheme="minorHAnsi" w:hAnsiTheme="minorHAnsi" w:cstheme="minorHAnsi"/>
                <w:color w:val="000000"/>
                <w:sz w:val="16"/>
                <w:szCs w:val="16"/>
              </w:rPr>
              <w:t>4,051</w:t>
            </w:r>
          </w:p>
        </w:tc>
        <w:tc>
          <w:tcPr>
            <w:tcW w:w="124" w:type="pct"/>
            <w:tcMar>
              <w:left w:w="0" w:type="dxa"/>
              <w:right w:w="43" w:type="dxa"/>
            </w:tcMar>
            <w:vAlign w:val="center"/>
          </w:tcPr>
          <w:p w:rsidRPr="009055A9" w:rsidR="0023718B" w:rsidP="000E31AA" w:rsidRDefault="0023718B" w14:paraId="20DB00AE" w14:textId="6D7E4042">
            <w:pPr>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73" w:type="pct"/>
            <w:tcMar>
              <w:left w:w="0" w:type="dxa"/>
              <w:right w:w="43" w:type="dxa"/>
            </w:tcMar>
            <w:vAlign w:val="center"/>
          </w:tcPr>
          <w:p w:rsidRPr="009055A9" w:rsidR="0023718B" w:rsidP="000E31AA" w:rsidRDefault="0023718B" w14:paraId="79D518FE" w14:textId="1F74187E">
            <w:pPr>
              <w:jc w:val="right"/>
              <w:rPr>
                <w:rFonts w:asciiTheme="minorHAnsi" w:hAnsiTheme="minorHAnsi" w:cstheme="minorHAnsi"/>
                <w:sz w:val="16"/>
                <w:szCs w:val="16"/>
              </w:rPr>
            </w:pPr>
            <w:r w:rsidRPr="009055A9">
              <w:rPr>
                <w:rFonts w:asciiTheme="minorHAnsi" w:hAnsiTheme="minorHAnsi" w:cstheme="minorHAnsi"/>
                <w:color w:val="000000"/>
                <w:sz w:val="16"/>
                <w:szCs w:val="16"/>
              </w:rPr>
              <w:t>2,187</w:t>
            </w:r>
          </w:p>
        </w:tc>
        <w:tc>
          <w:tcPr>
            <w:tcW w:w="146" w:type="pct"/>
            <w:tcMar>
              <w:left w:w="0" w:type="dxa"/>
              <w:right w:w="43" w:type="dxa"/>
            </w:tcMar>
            <w:vAlign w:val="center"/>
          </w:tcPr>
          <w:p w:rsidRPr="009055A9" w:rsidR="0023718B" w:rsidP="000E31AA" w:rsidRDefault="0023718B" w14:paraId="1B6875C4" w14:textId="43DC5EA2">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5" w:type="pct"/>
            <w:tcMar>
              <w:left w:w="0" w:type="dxa"/>
              <w:right w:w="43" w:type="dxa"/>
            </w:tcMar>
            <w:vAlign w:val="center"/>
          </w:tcPr>
          <w:p w:rsidRPr="009055A9" w:rsidR="0023718B" w:rsidP="000E31AA" w:rsidRDefault="0023718B" w14:paraId="3A274F53" w14:textId="782743EA">
            <w:pPr>
              <w:jc w:val="right"/>
              <w:rPr>
                <w:rFonts w:asciiTheme="minorHAnsi" w:hAnsiTheme="minorHAnsi" w:cstheme="minorHAnsi"/>
                <w:sz w:val="16"/>
                <w:szCs w:val="16"/>
              </w:rPr>
            </w:pPr>
            <w:r w:rsidRPr="009055A9">
              <w:rPr>
                <w:rFonts w:asciiTheme="minorHAnsi" w:hAnsiTheme="minorHAnsi" w:cstheme="minorHAnsi"/>
                <w:color w:val="000000"/>
                <w:sz w:val="16"/>
                <w:szCs w:val="16"/>
              </w:rPr>
              <w:t>1,728</w:t>
            </w:r>
          </w:p>
        </w:tc>
        <w:tc>
          <w:tcPr>
            <w:tcW w:w="149" w:type="pct"/>
            <w:tcMar>
              <w:left w:w="0" w:type="dxa"/>
              <w:right w:w="43" w:type="dxa"/>
            </w:tcMar>
            <w:vAlign w:val="center"/>
          </w:tcPr>
          <w:p w:rsidRPr="009055A9" w:rsidR="0023718B" w:rsidP="000E31AA" w:rsidRDefault="0023718B" w14:paraId="2E94254E" w14:textId="15656AC3">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97" w:type="pct"/>
            <w:tcMar>
              <w:left w:w="0" w:type="dxa"/>
              <w:right w:w="43" w:type="dxa"/>
            </w:tcMar>
            <w:vAlign w:val="center"/>
          </w:tcPr>
          <w:p w:rsidRPr="009055A9" w:rsidR="0023718B" w:rsidP="000E31AA" w:rsidRDefault="0023718B" w14:paraId="3F12702A" w14:textId="6EBD6CF7">
            <w:pPr>
              <w:jc w:val="right"/>
              <w:rPr>
                <w:rFonts w:asciiTheme="minorHAnsi" w:hAnsiTheme="minorHAnsi" w:cstheme="minorHAnsi"/>
                <w:sz w:val="16"/>
                <w:szCs w:val="16"/>
              </w:rPr>
            </w:pPr>
            <w:r w:rsidRPr="009055A9">
              <w:rPr>
                <w:rFonts w:asciiTheme="minorHAnsi" w:hAnsiTheme="minorHAnsi" w:cstheme="minorHAnsi"/>
                <w:color w:val="000000"/>
                <w:sz w:val="16"/>
                <w:szCs w:val="16"/>
              </w:rPr>
              <w:t>2,336</w:t>
            </w:r>
          </w:p>
        </w:tc>
        <w:tc>
          <w:tcPr>
            <w:tcW w:w="148" w:type="pct"/>
            <w:tcMar>
              <w:left w:w="0" w:type="dxa"/>
              <w:right w:w="43" w:type="dxa"/>
            </w:tcMar>
            <w:vAlign w:val="center"/>
          </w:tcPr>
          <w:p w:rsidRPr="009055A9" w:rsidR="0023718B" w:rsidP="000E31AA" w:rsidRDefault="0023718B" w14:paraId="4C3E09C5" w14:textId="740A2D6C">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6" w:type="pct"/>
            <w:tcMar>
              <w:left w:w="0" w:type="dxa"/>
              <w:right w:w="43" w:type="dxa"/>
            </w:tcMar>
            <w:vAlign w:val="center"/>
          </w:tcPr>
          <w:p w:rsidRPr="009055A9" w:rsidR="0023718B" w:rsidP="000E31AA" w:rsidRDefault="0023718B" w14:paraId="1B461E37" w14:textId="457D8571">
            <w:pPr>
              <w:jc w:val="right"/>
              <w:rPr>
                <w:rFonts w:asciiTheme="minorHAnsi" w:hAnsiTheme="minorHAnsi" w:cstheme="minorHAnsi"/>
                <w:sz w:val="16"/>
                <w:szCs w:val="16"/>
              </w:rPr>
            </w:pPr>
            <w:r w:rsidRPr="009055A9">
              <w:rPr>
                <w:rFonts w:asciiTheme="minorHAnsi" w:hAnsiTheme="minorHAnsi" w:cstheme="minorHAnsi"/>
                <w:color w:val="000000"/>
                <w:sz w:val="16"/>
                <w:szCs w:val="16"/>
              </w:rPr>
              <w:t>1,831</w:t>
            </w:r>
          </w:p>
        </w:tc>
        <w:tc>
          <w:tcPr>
            <w:tcW w:w="143" w:type="pct"/>
            <w:tcMar>
              <w:left w:w="0" w:type="dxa"/>
              <w:right w:w="43" w:type="dxa"/>
            </w:tcMar>
            <w:vAlign w:val="center"/>
          </w:tcPr>
          <w:p w:rsidRPr="009055A9" w:rsidR="0023718B" w:rsidP="000E31AA" w:rsidRDefault="0023718B" w14:paraId="4441DA04" w14:textId="7B75079B">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8" w:type="pct"/>
            <w:shd w:val="clear" w:color="000000" w:fill="FFFFFF"/>
            <w:noWrap/>
            <w:tcMar>
              <w:left w:w="0" w:type="dxa"/>
              <w:right w:w="43" w:type="dxa"/>
            </w:tcMar>
            <w:vAlign w:val="center"/>
          </w:tcPr>
          <w:p w:rsidRPr="003148DB" w:rsidR="0023718B" w:rsidP="000E31AA" w:rsidRDefault="0023718B" w14:paraId="2D48A4A3" w14:textId="6C90E334">
            <w:pPr>
              <w:jc w:val="right"/>
              <w:rPr>
                <w:rFonts w:asciiTheme="minorHAnsi" w:hAnsiTheme="minorHAnsi" w:cstheme="minorHAnsi"/>
                <w:sz w:val="16"/>
                <w:szCs w:val="16"/>
              </w:rPr>
            </w:pPr>
            <w:r w:rsidRPr="003148DB">
              <w:rPr>
                <w:rFonts w:asciiTheme="minorHAnsi" w:hAnsiTheme="minorHAnsi" w:cstheme="minorHAnsi"/>
                <w:color w:val="000000"/>
                <w:sz w:val="16"/>
                <w:szCs w:val="16"/>
              </w:rPr>
              <w:t>3,048</w:t>
            </w:r>
          </w:p>
        </w:tc>
        <w:tc>
          <w:tcPr>
            <w:tcW w:w="151" w:type="pct"/>
            <w:shd w:val="clear" w:color="000000" w:fill="FFFFFF"/>
            <w:noWrap/>
            <w:tcMar>
              <w:left w:w="0" w:type="dxa"/>
              <w:right w:w="43" w:type="dxa"/>
            </w:tcMar>
            <w:vAlign w:val="center"/>
          </w:tcPr>
          <w:p w:rsidRPr="003148DB" w:rsidR="0023718B" w:rsidP="000E31AA" w:rsidRDefault="0023718B" w14:paraId="56E0C626" w14:textId="0D6932D0">
            <w:pPr>
              <w:jc w:val="right"/>
              <w:rPr>
                <w:rFonts w:asciiTheme="minorHAnsi" w:hAnsiTheme="minorHAnsi" w:cstheme="minorHAnsi"/>
                <w:sz w:val="16"/>
                <w:szCs w:val="16"/>
              </w:rPr>
            </w:pPr>
            <w:r w:rsidRPr="003148DB">
              <w:rPr>
                <w:rFonts w:asciiTheme="minorHAnsi" w:hAnsiTheme="minorHAnsi" w:cstheme="minorHAnsi"/>
                <w:color w:val="000000"/>
                <w:sz w:val="16"/>
                <w:szCs w:val="16"/>
              </w:rPr>
              <w:t>16.0</w:t>
            </w:r>
          </w:p>
        </w:tc>
      </w:tr>
      <w:tr w:rsidRPr="003148DB" w:rsidR="0023718B" w:rsidTr="000D41FC" w14:paraId="77CD3EF7" w14:textId="77777777">
        <w:trPr>
          <w:trHeight w:val="276"/>
        </w:trPr>
        <w:tc>
          <w:tcPr>
            <w:tcW w:w="268" w:type="pct"/>
            <w:vMerge/>
            <w:shd w:val="clear" w:color="auto" w:fill="auto"/>
            <w:noWrap/>
            <w:tcMar>
              <w:left w:w="58" w:type="dxa"/>
              <w:right w:w="58" w:type="dxa"/>
            </w:tcMar>
            <w:vAlign w:val="center"/>
            <w:hideMark/>
          </w:tcPr>
          <w:p w:rsidRPr="00196D17" w:rsidR="0023718B" w:rsidP="000E31AA" w:rsidRDefault="0023718B" w14:paraId="14CE7960"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50130A4D" w14:textId="7B5545B1">
            <w:pPr>
              <w:rPr>
                <w:rFonts w:asciiTheme="minorHAnsi" w:hAnsiTheme="minorHAnsi" w:cstheme="minorHAnsi"/>
                <w:sz w:val="16"/>
                <w:szCs w:val="16"/>
              </w:rPr>
            </w:pPr>
            <w:r w:rsidRPr="009055A9">
              <w:rPr>
                <w:rFonts w:asciiTheme="minorHAnsi" w:hAnsiTheme="minorHAnsi" w:cstheme="minorHAnsi"/>
                <w:color w:val="000000"/>
                <w:sz w:val="16"/>
                <w:szCs w:val="16"/>
              </w:rPr>
              <w:t>NextEra Energy</w:t>
            </w:r>
          </w:p>
        </w:tc>
        <w:tc>
          <w:tcPr>
            <w:tcW w:w="321" w:type="pct"/>
            <w:shd w:val="clear" w:color="auto" w:fill="auto"/>
            <w:noWrap/>
            <w:tcMar>
              <w:left w:w="58" w:type="dxa"/>
              <w:right w:w="29" w:type="dxa"/>
            </w:tcMar>
            <w:vAlign w:val="center"/>
            <w:hideMark/>
          </w:tcPr>
          <w:p w:rsidRPr="009055A9" w:rsidR="0023718B" w:rsidP="000E31AA" w:rsidRDefault="0023718B" w14:paraId="057F0F2E" w14:textId="2218BB96">
            <w:pPr>
              <w:rPr>
                <w:rFonts w:asciiTheme="minorHAnsi" w:hAnsiTheme="minorHAnsi" w:cstheme="minorHAnsi"/>
                <w:sz w:val="16"/>
                <w:szCs w:val="16"/>
              </w:rPr>
            </w:pPr>
            <w:r w:rsidRPr="009055A9">
              <w:rPr>
                <w:rFonts w:asciiTheme="minorHAnsi" w:hAnsiTheme="minorHAnsi" w:cstheme="minorHAnsi"/>
                <w:color w:val="000000"/>
                <w:sz w:val="16"/>
                <w:szCs w:val="16"/>
              </w:rPr>
              <w:t>Point Beach</w:t>
            </w:r>
          </w:p>
        </w:tc>
        <w:tc>
          <w:tcPr>
            <w:tcW w:w="123" w:type="pct"/>
            <w:shd w:val="clear" w:color="auto" w:fill="auto"/>
            <w:noWrap/>
            <w:tcMar>
              <w:left w:w="58" w:type="dxa"/>
              <w:right w:w="58" w:type="dxa"/>
            </w:tcMar>
            <w:vAlign w:val="center"/>
            <w:hideMark/>
          </w:tcPr>
          <w:p w:rsidRPr="009055A9" w:rsidR="0023718B" w:rsidP="000E31AA" w:rsidRDefault="0023718B" w14:paraId="76761E11" w14:textId="403A5890">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2C6C6185" w14:textId="3A6AE674">
            <w:pPr>
              <w:jc w:val="right"/>
              <w:rPr>
                <w:rFonts w:asciiTheme="minorHAnsi" w:hAnsiTheme="minorHAnsi" w:cstheme="minorHAnsi"/>
                <w:sz w:val="16"/>
                <w:szCs w:val="16"/>
              </w:rPr>
            </w:pPr>
            <w:r w:rsidRPr="009055A9">
              <w:rPr>
                <w:rFonts w:asciiTheme="minorHAnsi" w:hAnsiTheme="minorHAnsi" w:cstheme="minorHAnsi"/>
                <w:color w:val="000000"/>
                <w:sz w:val="16"/>
                <w:szCs w:val="16"/>
              </w:rPr>
              <w:t>2,340</w:t>
            </w:r>
          </w:p>
        </w:tc>
        <w:tc>
          <w:tcPr>
            <w:tcW w:w="123" w:type="pct"/>
            <w:shd w:val="clear" w:color="auto" w:fill="auto"/>
            <w:noWrap/>
            <w:tcMar>
              <w:left w:w="0" w:type="dxa"/>
              <w:right w:w="43" w:type="dxa"/>
            </w:tcMar>
            <w:vAlign w:val="center"/>
            <w:hideMark/>
          </w:tcPr>
          <w:p w:rsidRPr="009055A9" w:rsidR="0023718B" w:rsidP="000E31AA" w:rsidRDefault="0023718B" w14:paraId="54E60228" w14:textId="56674B73">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0" w:type="pct"/>
            <w:shd w:val="clear" w:color="auto" w:fill="auto"/>
            <w:noWrap/>
            <w:tcMar>
              <w:left w:w="0" w:type="dxa"/>
              <w:right w:w="43" w:type="dxa"/>
            </w:tcMar>
            <w:vAlign w:val="center"/>
            <w:hideMark/>
          </w:tcPr>
          <w:p w:rsidRPr="009055A9" w:rsidR="0023718B" w:rsidP="000E31AA" w:rsidRDefault="0023718B" w14:paraId="16EDA661" w14:textId="7AB1A2AE">
            <w:pPr>
              <w:jc w:val="right"/>
              <w:rPr>
                <w:rFonts w:asciiTheme="minorHAnsi" w:hAnsiTheme="minorHAnsi" w:cstheme="minorHAnsi"/>
                <w:sz w:val="16"/>
                <w:szCs w:val="16"/>
              </w:rPr>
            </w:pPr>
            <w:r w:rsidRPr="009055A9">
              <w:rPr>
                <w:rFonts w:asciiTheme="minorHAnsi" w:hAnsiTheme="minorHAnsi" w:cstheme="minorHAnsi"/>
                <w:color w:val="000000"/>
                <w:sz w:val="16"/>
                <w:szCs w:val="16"/>
              </w:rPr>
              <w:t>2,214</w:t>
            </w:r>
          </w:p>
        </w:tc>
        <w:tc>
          <w:tcPr>
            <w:tcW w:w="125" w:type="pct"/>
            <w:shd w:val="clear" w:color="auto" w:fill="auto"/>
            <w:noWrap/>
            <w:tcMar>
              <w:left w:w="0" w:type="dxa"/>
              <w:right w:w="43" w:type="dxa"/>
            </w:tcMar>
            <w:vAlign w:val="center"/>
            <w:hideMark/>
          </w:tcPr>
          <w:p w:rsidRPr="009055A9" w:rsidR="0023718B" w:rsidP="000E31AA" w:rsidRDefault="0023718B" w14:paraId="361495A8" w14:textId="1B47434C">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72" w:type="pct"/>
            <w:shd w:val="clear" w:color="auto" w:fill="auto"/>
            <w:noWrap/>
            <w:tcMar>
              <w:left w:w="0" w:type="dxa"/>
              <w:right w:w="43" w:type="dxa"/>
            </w:tcMar>
            <w:vAlign w:val="center"/>
            <w:hideMark/>
          </w:tcPr>
          <w:p w:rsidRPr="009055A9" w:rsidR="0023718B" w:rsidP="000E31AA" w:rsidRDefault="0023718B" w14:paraId="4EBE0D45" w14:textId="0CB31C00">
            <w:pPr>
              <w:jc w:val="right"/>
              <w:rPr>
                <w:rFonts w:asciiTheme="minorHAnsi" w:hAnsiTheme="minorHAnsi" w:cstheme="minorHAnsi"/>
                <w:sz w:val="16"/>
                <w:szCs w:val="16"/>
              </w:rPr>
            </w:pPr>
            <w:r w:rsidRPr="009055A9">
              <w:rPr>
                <w:rFonts w:asciiTheme="minorHAnsi" w:hAnsiTheme="minorHAnsi" w:cstheme="minorHAnsi"/>
                <w:color w:val="000000"/>
                <w:sz w:val="16"/>
                <w:szCs w:val="16"/>
              </w:rPr>
              <w:t>4,831</w:t>
            </w:r>
          </w:p>
        </w:tc>
        <w:tc>
          <w:tcPr>
            <w:tcW w:w="123" w:type="pct"/>
            <w:shd w:val="clear" w:color="auto" w:fill="auto"/>
            <w:noWrap/>
            <w:tcMar>
              <w:left w:w="0" w:type="dxa"/>
              <w:right w:w="43" w:type="dxa"/>
            </w:tcMar>
            <w:vAlign w:val="center"/>
            <w:hideMark/>
          </w:tcPr>
          <w:p w:rsidRPr="009055A9" w:rsidR="0023718B" w:rsidP="000E31AA" w:rsidRDefault="0023718B" w14:paraId="6C0FF598" w14:textId="6B80E722">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94" w:type="pct"/>
            <w:shd w:val="clear" w:color="auto" w:fill="auto"/>
            <w:noWrap/>
            <w:tcMar>
              <w:left w:w="0" w:type="dxa"/>
              <w:right w:w="43" w:type="dxa"/>
            </w:tcMar>
            <w:vAlign w:val="center"/>
            <w:hideMark/>
          </w:tcPr>
          <w:p w:rsidRPr="009055A9" w:rsidR="0023718B" w:rsidP="000E31AA" w:rsidRDefault="0023718B" w14:paraId="3B4DA6C7" w14:textId="0B10DB67">
            <w:pPr>
              <w:jc w:val="right"/>
              <w:rPr>
                <w:rFonts w:asciiTheme="minorHAnsi" w:hAnsiTheme="minorHAnsi" w:cstheme="minorHAnsi"/>
                <w:sz w:val="16"/>
                <w:szCs w:val="16"/>
              </w:rPr>
            </w:pPr>
            <w:r w:rsidRPr="009055A9">
              <w:rPr>
                <w:rFonts w:asciiTheme="minorHAnsi" w:hAnsiTheme="minorHAnsi" w:cstheme="minorHAnsi"/>
                <w:color w:val="000000"/>
                <w:sz w:val="16"/>
                <w:szCs w:val="16"/>
              </w:rPr>
              <w:t>1,290</w:t>
            </w:r>
          </w:p>
        </w:tc>
        <w:tc>
          <w:tcPr>
            <w:tcW w:w="123" w:type="pct"/>
            <w:shd w:val="clear" w:color="auto" w:fill="auto"/>
            <w:noWrap/>
            <w:tcMar>
              <w:left w:w="0" w:type="dxa"/>
              <w:right w:w="43" w:type="dxa"/>
            </w:tcMar>
            <w:vAlign w:val="center"/>
            <w:hideMark/>
          </w:tcPr>
          <w:p w:rsidRPr="009055A9" w:rsidR="0023718B" w:rsidP="000E31AA" w:rsidRDefault="0023718B" w14:paraId="2D040320" w14:textId="2B246FEC">
            <w:pPr>
              <w:jc w:val="right"/>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97" w:type="pct"/>
            <w:shd w:val="clear" w:color="auto" w:fill="auto"/>
            <w:noWrap/>
            <w:tcMar>
              <w:left w:w="0" w:type="dxa"/>
              <w:right w:w="43" w:type="dxa"/>
            </w:tcMar>
            <w:vAlign w:val="center"/>
            <w:hideMark/>
          </w:tcPr>
          <w:p w:rsidRPr="009055A9" w:rsidR="0023718B" w:rsidP="000E31AA" w:rsidRDefault="0023718B" w14:paraId="0DF8AC82" w14:textId="373CFF28">
            <w:pPr>
              <w:jc w:val="right"/>
              <w:rPr>
                <w:rFonts w:asciiTheme="minorHAnsi" w:hAnsiTheme="minorHAnsi" w:cstheme="minorHAnsi"/>
                <w:sz w:val="16"/>
                <w:szCs w:val="16"/>
              </w:rPr>
            </w:pPr>
            <w:r w:rsidRPr="009055A9">
              <w:rPr>
                <w:rFonts w:asciiTheme="minorHAnsi" w:hAnsiTheme="minorHAnsi" w:cstheme="minorHAnsi"/>
                <w:color w:val="000000"/>
                <w:sz w:val="16"/>
                <w:szCs w:val="16"/>
              </w:rPr>
              <w:t>1,260</w:t>
            </w:r>
          </w:p>
        </w:tc>
        <w:tc>
          <w:tcPr>
            <w:tcW w:w="125" w:type="pct"/>
            <w:shd w:val="clear" w:color="auto" w:fill="auto"/>
            <w:noWrap/>
            <w:tcMar>
              <w:left w:w="0" w:type="dxa"/>
              <w:right w:w="43" w:type="dxa"/>
            </w:tcMar>
            <w:vAlign w:val="center"/>
            <w:hideMark/>
          </w:tcPr>
          <w:p w:rsidRPr="009055A9" w:rsidR="0023718B" w:rsidP="000E31AA" w:rsidRDefault="0023718B" w14:paraId="17FEAE74" w14:textId="64EE5FE6">
            <w:pPr>
              <w:jc w:val="right"/>
              <w:rPr>
                <w:rFonts w:asciiTheme="minorHAnsi" w:hAnsiTheme="minorHAnsi" w:cstheme="minorHAnsi"/>
                <w:sz w:val="16"/>
                <w:szCs w:val="16"/>
              </w:rPr>
            </w:pPr>
            <w:r w:rsidRPr="009055A9">
              <w:rPr>
                <w:rFonts w:asciiTheme="minorHAnsi" w:hAnsiTheme="minorHAnsi" w:cstheme="minorHAnsi"/>
                <w:color w:val="000000"/>
                <w:sz w:val="16"/>
                <w:szCs w:val="16"/>
              </w:rPr>
              <w:t>0</w:t>
            </w:r>
          </w:p>
        </w:tc>
        <w:tc>
          <w:tcPr>
            <w:tcW w:w="170" w:type="pct"/>
            <w:shd w:val="clear" w:color="auto" w:fill="auto"/>
            <w:noWrap/>
            <w:tcMar>
              <w:left w:w="0" w:type="dxa"/>
              <w:right w:w="43" w:type="dxa"/>
            </w:tcMar>
            <w:vAlign w:val="center"/>
            <w:hideMark/>
          </w:tcPr>
          <w:p w:rsidRPr="009055A9" w:rsidR="0023718B" w:rsidP="000E31AA" w:rsidRDefault="0023718B" w14:paraId="20774699" w14:textId="1F054833">
            <w:pPr>
              <w:jc w:val="right"/>
              <w:rPr>
                <w:rFonts w:asciiTheme="minorHAnsi" w:hAnsiTheme="minorHAnsi" w:cstheme="minorHAnsi"/>
                <w:sz w:val="16"/>
                <w:szCs w:val="16"/>
              </w:rPr>
            </w:pPr>
            <w:r w:rsidRPr="009055A9">
              <w:rPr>
                <w:rFonts w:asciiTheme="minorHAnsi" w:hAnsiTheme="minorHAnsi" w:cstheme="minorHAnsi"/>
                <w:color w:val="000000"/>
                <w:sz w:val="16"/>
                <w:szCs w:val="16"/>
              </w:rPr>
              <w:t>1,771</w:t>
            </w:r>
          </w:p>
        </w:tc>
        <w:tc>
          <w:tcPr>
            <w:tcW w:w="148" w:type="pct"/>
            <w:shd w:val="clear" w:color="auto" w:fill="auto"/>
            <w:noWrap/>
            <w:tcMar>
              <w:left w:w="0" w:type="dxa"/>
              <w:right w:w="43" w:type="dxa"/>
            </w:tcMar>
            <w:vAlign w:val="center"/>
            <w:hideMark/>
          </w:tcPr>
          <w:p w:rsidRPr="009055A9" w:rsidR="0023718B" w:rsidP="000E31AA" w:rsidRDefault="0023718B" w14:paraId="1ADC26BD" w14:textId="730772EA">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2" w:type="pct"/>
            <w:tcMar>
              <w:left w:w="0" w:type="dxa"/>
              <w:right w:w="43" w:type="dxa"/>
            </w:tcMar>
            <w:vAlign w:val="center"/>
          </w:tcPr>
          <w:p w:rsidRPr="009055A9" w:rsidR="0023718B" w:rsidP="000E31AA" w:rsidRDefault="0023718B" w14:paraId="4F9B55BE" w14:textId="7FD08147">
            <w:pPr>
              <w:jc w:val="right"/>
              <w:rPr>
                <w:rFonts w:asciiTheme="minorHAnsi" w:hAnsiTheme="minorHAnsi" w:cstheme="minorHAnsi"/>
                <w:sz w:val="16"/>
                <w:szCs w:val="16"/>
              </w:rPr>
            </w:pPr>
            <w:r w:rsidRPr="009055A9">
              <w:rPr>
                <w:rFonts w:asciiTheme="minorHAnsi" w:hAnsiTheme="minorHAnsi" w:cstheme="minorHAnsi"/>
                <w:color w:val="000000"/>
                <w:sz w:val="16"/>
                <w:szCs w:val="16"/>
              </w:rPr>
              <w:t>1,311</w:t>
            </w:r>
          </w:p>
        </w:tc>
        <w:tc>
          <w:tcPr>
            <w:tcW w:w="124" w:type="pct"/>
            <w:tcMar>
              <w:left w:w="0" w:type="dxa"/>
              <w:right w:w="43" w:type="dxa"/>
            </w:tcMar>
            <w:vAlign w:val="center"/>
          </w:tcPr>
          <w:p w:rsidRPr="009055A9" w:rsidR="0023718B" w:rsidP="000E31AA" w:rsidRDefault="0023718B" w14:paraId="7790F224" w14:textId="7CFC6DCF">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3" w:type="pct"/>
            <w:tcMar>
              <w:left w:w="0" w:type="dxa"/>
              <w:right w:w="43" w:type="dxa"/>
            </w:tcMar>
            <w:vAlign w:val="center"/>
          </w:tcPr>
          <w:p w:rsidRPr="009055A9" w:rsidR="0023718B" w:rsidP="000E31AA" w:rsidRDefault="0023718B" w14:paraId="203ABE3D" w14:textId="7B0DA97D">
            <w:pPr>
              <w:jc w:val="right"/>
              <w:rPr>
                <w:rFonts w:asciiTheme="minorHAnsi" w:hAnsiTheme="minorHAnsi" w:cstheme="minorHAnsi"/>
                <w:sz w:val="16"/>
                <w:szCs w:val="16"/>
              </w:rPr>
            </w:pPr>
            <w:r w:rsidRPr="009055A9">
              <w:rPr>
                <w:rFonts w:asciiTheme="minorHAnsi" w:hAnsiTheme="minorHAnsi" w:cstheme="minorHAnsi"/>
                <w:color w:val="000000"/>
                <w:sz w:val="16"/>
                <w:szCs w:val="16"/>
              </w:rPr>
              <w:t>1,351</w:t>
            </w:r>
          </w:p>
        </w:tc>
        <w:tc>
          <w:tcPr>
            <w:tcW w:w="146" w:type="pct"/>
            <w:tcMar>
              <w:left w:w="0" w:type="dxa"/>
              <w:right w:w="43" w:type="dxa"/>
            </w:tcMar>
            <w:vAlign w:val="center"/>
          </w:tcPr>
          <w:p w:rsidRPr="009055A9" w:rsidR="0023718B" w:rsidP="000E31AA" w:rsidRDefault="0023718B" w14:paraId="48B78D35" w14:textId="562C1406">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5" w:type="pct"/>
            <w:tcMar>
              <w:left w:w="0" w:type="dxa"/>
              <w:right w:w="43" w:type="dxa"/>
            </w:tcMar>
            <w:vAlign w:val="center"/>
          </w:tcPr>
          <w:p w:rsidRPr="009055A9" w:rsidR="0023718B" w:rsidP="000E31AA" w:rsidRDefault="0023718B" w14:paraId="2C33BCEE" w14:textId="74090E81">
            <w:pPr>
              <w:jc w:val="right"/>
              <w:rPr>
                <w:rFonts w:asciiTheme="minorHAnsi" w:hAnsiTheme="minorHAnsi" w:cstheme="minorHAnsi"/>
                <w:sz w:val="16"/>
                <w:szCs w:val="16"/>
              </w:rPr>
            </w:pPr>
            <w:r w:rsidRPr="009055A9">
              <w:rPr>
                <w:rFonts w:asciiTheme="minorHAnsi" w:hAnsiTheme="minorHAnsi" w:cstheme="minorHAnsi"/>
                <w:color w:val="000000"/>
                <w:sz w:val="16"/>
                <w:szCs w:val="16"/>
              </w:rPr>
              <w:t>1,798</w:t>
            </w:r>
          </w:p>
        </w:tc>
        <w:tc>
          <w:tcPr>
            <w:tcW w:w="149" w:type="pct"/>
            <w:tcMar>
              <w:left w:w="0" w:type="dxa"/>
              <w:right w:w="43" w:type="dxa"/>
            </w:tcMar>
            <w:vAlign w:val="center"/>
          </w:tcPr>
          <w:p w:rsidRPr="009055A9" w:rsidR="0023718B" w:rsidP="000E31AA" w:rsidRDefault="0023718B" w14:paraId="1F32399A" w14:textId="1A7E7363">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97" w:type="pct"/>
            <w:tcMar>
              <w:left w:w="0" w:type="dxa"/>
              <w:right w:w="43" w:type="dxa"/>
            </w:tcMar>
            <w:vAlign w:val="center"/>
          </w:tcPr>
          <w:p w:rsidRPr="009055A9" w:rsidR="0023718B" w:rsidP="000E31AA" w:rsidRDefault="0023718B" w14:paraId="3A7D5A2B" w14:textId="001D4EA6">
            <w:pPr>
              <w:jc w:val="right"/>
              <w:rPr>
                <w:rFonts w:asciiTheme="minorHAnsi" w:hAnsiTheme="minorHAnsi" w:cstheme="minorHAnsi"/>
                <w:sz w:val="16"/>
                <w:szCs w:val="16"/>
              </w:rPr>
            </w:pPr>
            <w:r w:rsidRPr="009055A9">
              <w:rPr>
                <w:rFonts w:asciiTheme="minorHAnsi" w:hAnsiTheme="minorHAnsi" w:cstheme="minorHAnsi"/>
                <w:color w:val="000000"/>
                <w:sz w:val="16"/>
                <w:szCs w:val="16"/>
              </w:rPr>
              <w:t>929</w:t>
            </w:r>
          </w:p>
        </w:tc>
        <w:tc>
          <w:tcPr>
            <w:tcW w:w="148" w:type="pct"/>
            <w:tcMar>
              <w:left w:w="0" w:type="dxa"/>
              <w:right w:w="43" w:type="dxa"/>
            </w:tcMar>
            <w:vAlign w:val="center"/>
          </w:tcPr>
          <w:p w:rsidRPr="009055A9" w:rsidR="0023718B" w:rsidP="000E31AA" w:rsidRDefault="0023718B" w14:paraId="1C023535" w14:textId="7F5ED3D3">
            <w:pPr>
              <w:jc w:val="right"/>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96" w:type="pct"/>
            <w:tcMar>
              <w:left w:w="0" w:type="dxa"/>
              <w:right w:w="43" w:type="dxa"/>
            </w:tcMar>
            <w:vAlign w:val="center"/>
          </w:tcPr>
          <w:p w:rsidRPr="009055A9" w:rsidR="0023718B" w:rsidP="000E31AA" w:rsidRDefault="0023718B" w14:paraId="0E611A41" w14:textId="73F13538">
            <w:pPr>
              <w:jc w:val="right"/>
              <w:rPr>
                <w:rFonts w:asciiTheme="minorHAnsi" w:hAnsiTheme="minorHAnsi" w:cstheme="minorHAnsi"/>
                <w:sz w:val="16"/>
                <w:szCs w:val="16"/>
              </w:rPr>
            </w:pPr>
            <w:r w:rsidRPr="009055A9">
              <w:rPr>
                <w:rFonts w:asciiTheme="minorHAnsi" w:hAnsiTheme="minorHAnsi" w:cstheme="minorHAnsi"/>
                <w:color w:val="000000"/>
                <w:sz w:val="16"/>
                <w:szCs w:val="16"/>
              </w:rPr>
              <w:t>998</w:t>
            </w:r>
          </w:p>
        </w:tc>
        <w:tc>
          <w:tcPr>
            <w:tcW w:w="143" w:type="pct"/>
            <w:tcMar>
              <w:left w:w="0" w:type="dxa"/>
              <w:right w:w="43" w:type="dxa"/>
            </w:tcMar>
            <w:vAlign w:val="center"/>
          </w:tcPr>
          <w:p w:rsidRPr="009055A9" w:rsidR="0023718B" w:rsidP="000E31AA" w:rsidRDefault="0023718B" w14:paraId="4E62F4F1" w14:textId="07939F68">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8" w:type="pct"/>
            <w:shd w:val="clear" w:color="000000" w:fill="FFFFFF"/>
            <w:noWrap/>
            <w:tcMar>
              <w:left w:w="0" w:type="dxa"/>
              <w:right w:w="43" w:type="dxa"/>
            </w:tcMar>
            <w:vAlign w:val="center"/>
          </w:tcPr>
          <w:p w:rsidRPr="003148DB" w:rsidR="0023718B" w:rsidP="000E31AA" w:rsidRDefault="0023718B" w14:paraId="0AC6DB42" w14:textId="17CEFEDA">
            <w:pPr>
              <w:jc w:val="right"/>
              <w:rPr>
                <w:rFonts w:asciiTheme="minorHAnsi" w:hAnsiTheme="minorHAnsi" w:cstheme="minorHAnsi"/>
                <w:sz w:val="16"/>
                <w:szCs w:val="16"/>
              </w:rPr>
            </w:pPr>
            <w:r w:rsidRPr="003148DB">
              <w:rPr>
                <w:rFonts w:asciiTheme="minorHAnsi" w:hAnsiTheme="minorHAnsi" w:cstheme="minorHAnsi"/>
                <w:color w:val="000000"/>
                <w:sz w:val="16"/>
                <w:szCs w:val="16"/>
              </w:rPr>
              <w:t>1,827</w:t>
            </w:r>
          </w:p>
        </w:tc>
        <w:tc>
          <w:tcPr>
            <w:tcW w:w="151" w:type="pct"/>
            <w:shd w:val="clear" w:color="000000" w:fill="FFFFFF"/>
            <w:noWrap/>
            <w:tcMar>
              <w:left w:w="0" w:type="dxa"/>
              <w:right w:w="43" w:type="dxa"/>
            </w:tcMar>
            <w:vAlign w:val="center"/>
          </w:tcPr>
          <w:p w:rsidRPr="003148DB" w:rsidR="0023718B" w:rsidP="000E31AA" w:rsidRDefault="0023718B" w14:paraId="09D6281B" w14:textId="7B13A7E4">
            <w:pPr>
              <w:jc w:val="right"/>
              <w:rPr>
                <w:rFonts w:asciiTheme="minorHAnsi" w:hAnsiTheme="minorHAnsi" w:cstheme="minorHAnsi"/>
                <w:sz w:val="16"/>
                <w:szCs w:val="16"/>
              </w:rPr>
            </w:pPr>
            <w:r w:rsidRPr="003148DB">
              <w:rPr>
                <w:rFonts w:asciiTheme="minorHAnsi" w:hAnsiTheme="minorHAnsi" w:cstheme="minorHAnsi"/>
                <w:color w:val="000000"/>
                <w:sz w:val="16"/>
                <w:szCs w:val="16"/>
              </w:rPr>
              <w:t>4.7</w:t>
            </w:r>
          </w:p>
        </w:tc>
      </w:tr>
      <w:tr w:rsidRPr="003148DB" w:rsidR="0023718B" w:rsidTr="000D41FC" w14:paraId="59DDBB41"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17F57B8D"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3F918067" w14:textId="7EFC570E">
            <w:pPr>
              <w:rPr>
                <w:rFonts w:asciiTheme="minorHAnsi" w:hAnsiTheme="minorHAnsi" w:cstheme="minorHAnsi"/>
                <w:sz w:val="16"/>
                <w:szCs w:val="16"/>
              </w:rPr>
            </w:pPr>
            <w:r w:rsidRPr="009055A9">
              <w:rPr>
                <w:rFonts w:asciiTheme="minorHAnsi" w:hAnsiTheme="minorHAnsi" w:cstheme="minorHAnsi"/>
                <w:color w:val="000000"/>
                <w:sz w:val="16"/>
                <w:szCs w:val="16"/>
              </w:rPr>
              <w:t>Xcel Energy</w:t>
            </w:r>
          </w:p>
        </w:tc>
        <w:tc>
          <w:tcPr>
            <w:tcW w:w="321" w:type="pct"/>
            <w:shd w:val="clear" w:color="auto" w:fill="auto"/>
            <w:noWrap/>
            <w:tcMar>
              <w:left w:w="58" w:type="dxa"/>
              <w:right w:w="29" w:type="dxa"/>
            </w:tcMar>
            <w:vAlign w:val="center"/>
            <w:hideMark/>
          </w:tcPr>
          <w:p w:rsidRPr="009055A9" w:rsidR="0023718B" w:rsidP="000E31AA" w:rsidRDefault="0023718B" w14:paraId="4BF7C164" w14:textId="35A670A8">
            <w:pPr>
              <w:rPr>
                <w:rFonts w:asciiTheme="minorHAnsi" w:hAnsiTheme="minorHAnsi" w:cstheme="minorHAnsi"/>
                <w:sz w:val="16"/>
                <w:szCs w:val="16"/>
              </w:rPr>
            </w:pPr>
            <w:r w:rsidRPr="009055A9">
              <w:rPr>
                <w:rFonts w:asciiTheme="minorHAnsi" w:hAnsiTheme="minorHAnsi" w:cstheme="minorHAnsi"/>
                <w:color w:val="000000"/>
                <w:sz w:val="16"/>
                <w:szCs w:val="16"/>
              </w:rPr>
              <w:t>Prairie Island</w:t>
            </w:r>
          </w:p>
        </w:tc>
        <w:tc>
          <w:tcPr>
            <w:tcW w:w="123" w:type="pct"/>
            <w:shd w:val="clear" w:color="auto" w:fill="auto"/>
            <w:noWrap/>
            <w:tcMar>
              <w:left w:w="58" w:type="dxa"/>
              <w:right w:w="58" w:type="dxa"/>
            </w:tcMar>
            <w:vAlign w:val="center"/>
            <w:hideMark/>
          </w:tcPr>
          <w:p w:rsidRPr="009055A9" w:rsidR="0023718B" w:rsidP="000E31AA" w:rsidRDefault="0023718B" w14:paraId="7AC2E839" w14:textId="2B32525A">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2253DD2D" w14:textId="197AB0DA">
            <w:pPr>
              <w:jc w:val="right"/>
              <w:rPr>
                <w:rFonts w:asciiTheme="minorHAnsi" w:hAnsiTheme="minorHAnsi" w:cstheme="minorHAnsi"/>
                <w:sz w:val="16"/>
                <w:szCs w:val="16"/>
              </w:rPr>
            </w:pPr>
            <w:r w:rsidRPr="009055A9">
              <w:rPr>
                <w:rFonts w:asciiTheme="minorHAnsi" w:hAnsiTheme="minorHAnsi" w:cstheme="minorHAnsi"/>
                <w:color w:val="000000"/>
                <w:sz w:val="16"/>
                <w:szCs w:val="16"/>
              </w:rPr>
              <w:t>1,663</w:t>
            </w:r>
          </w:p>
        </w:tc>
        <w:tc>
          <w:tcPr>
            <w:tcW w:w="123" w:type="pct"/>
            <w:shd w:val="clear" w:color="auto" w:fill="auto"/>
            <w:noWrap/>
            <w:tcMar>
              <w:left w:w="0" w:type="dxa"/>
              <w:right w:w="43" w:type="dxa"/>
            </w:tcMar>
            <w:vAlign w:val="center"/>
            <w:hideMark/>
          </w:tcPr>
          <w:p w:rsidRPr="009055A9" w:rsidR="0023718B" w:rsidP="000E31AA" w:rsidRDefault="0023718B" w14:paraId="0658D49A" w14:textId="1E553194">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0" w:type="pct"/>
            <w:shd w:val="clear" w:color="auto" w:fill="auto"/>
            <w:noWrap/>
            <w:tcMar>
              <w:left w:w="0" w:type="dxa"/>
              <w:right w:w="43" w:type="dxa"/>
            </w:tcMar>
            <w:vAlign w:val="center"/>
            <w:hideMark/>
          </w:tcPr>
          <w:p w:rsidRPr="009055A9" w:rsidR="0023718B" w:rsidP="000E31AA" w:rsidRDefault="0023718B" w14:paraId="18E0D5D7" w14:textId="6AA561C5">
            <w:pPr>
              <w:jc w:val="right"/>
              <w:rPr>
                <w:rFonts w:asciiTheme="minorHAnsi" w:hAnsiTheme="minorHAnsi" w:cstheme="minorHAnsi"/>
                <w:sz w:val="16"/>
                <w:szCs w:val="16"/>
              </w:rPr>
            </w:pPr>
            <w:r w:rsidRPr="009055A9">
              <w:rPr>
                <w:rFonts w:asciiTheme="minorHAnsi" w:hAnsiTheme="minorHAnsi" w:cstheme="minorHAnsi"/>
                <w:color w:val="000000"/>
                <w:sz w:val="16"/>
                <w:szCs w:val="16"/>
              </w:rPr>
              <w:t>1,625</w:t>
            </w:r>
          </w:p>
        </w:tc>
        <w:tc>
          <w:tcPr>
            <w:tcW w:w="125" w:type="pct"/>
            <w:shd w:val="clear" w:color="auto" w:fill="auto"/>
            <w:noWrap/>
            <w:tcMar>
              <w:left w:w="0" w:type="dxa"/>
              <w:right w:w="43" w:type="dxa"/>
            </w:tcMar>
            <w:vAlign w:val="center"/>
            <w:hideMark/>
          </w:tcPr>
          <w:p w:rsidRPr="009055A9" w:rsidR="0023718B" w:rsidP="000E31AA" w:rsidRDefault="0023718B" w14:paraId="04784DEF" w14:textId="790DDC8F">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72" w:type="pct"/>
            <w:shd w:val="clear" w:color="auto" w:fill="auto"/>
            <w:noWrap/>
            <w:tcMar>
              <w:left w:w="0" w:type="dxa"/>
              <w:right w:w="43" w:type="dxa"/>
            </w:tcMar>
            <w:vAlign w:val="center"/>
            <w:hideMark/>
          </w:tcPr>
          <w:p w:rsidRPr="009055A9" w:rsidR="0023718B" w:rsidP="000E31AA" w:rsidRDefault="0023718B" w14:paraId="16527F7A" w14:textId="7E10FDAB">
            <w:pPr>
              <w:jc w:val="right"/>
              <w:rPr>
                <w:rFonts w:asciiTheme="minorHAnsi" w:hAnsiTheme="minorHAnsi" w:cstheme="minorHAnsi"/>
                <w:sz w:val="16"/>
                <w:szCs w:val="16"/>
              </w:rPr>
            </w:pPr>
            <w:r w:rsidRPr="009055A9">
              <w:rPr>
                <w:rFonts w:asciiTheme="minorHAnsi" w:hAnsiTheme="minorHAnsi" w:cstheme="minorHAnsi"/>
                <w:color w:val="000000"/>
                <w:sz w:val="16"/>
                <w:szCs w:val="16"/>
              </w:rPr>
              <w:t>1,260</w:t>
            </w:r>
          </w:p>
        </w:tc>
        <w:tc>
          <w:tcPr>
            <w:tcW w:w="123" w:type="pct"/>
            <w:shd w:val="clear" w:color="auto" w:fill="auto"/>
            <w:noWrap/>
            <w:tcMar>
              <w:left w:w="0" w:type="dxa"/>
              <w:right w:w="43" w:type="dxa"/>
            </w:tcMar>
            <w:vAlign w:val="center"/>
            <w:hideMark/>
          </w:tcPr>
          <w:p w:rsidRPr="009055A9" w:rsidR="0023718B" w:rsidP="000E31AA" w:rsidRDefault="0023718B" w14:paraId="75F120E4" w14:textId="7B8E37A7">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94" w:type="pct"/>
            <w:shd w:val="clear" w:color="auto" w:fill="auto"/>
            <w:noWrap/>
            <w:tcMar>
              <w:left w:w="0" w:type="dxa"/>
              <w:right w:w="43" w:type="dxa"/>
            </w:tcMar>
            <w:vAlign w:val="center"/>
            <w:hideMark/>
          </w:tcPr>
          <w:p w:rsidRPr="009055A9" w:rsidR="0023718B" w:rsidP="000E31AA" w:rsidRDefault="0023718B" w14:paraId="3E87C629" w14:textId="285D0BCB">
            <w:pPr>
              <w:jc w:val="right"/>
              <w:rPr>
                <w:rFonts w:asciiTheme="minorHAnsi" w:hAnsiTheme="minorHAnsi" w:cstheme="minorHAnsi"/>
                <w:sz w:val="16"/>
                <w:szCs w:val="16"/>
              </w:rPr>
            </w:pPr>
            <w:r w:rsidRPr="009055A9">
              <w:rPr>
                <w:rFonts w:asciiTheme="minorHAnsi" w:hAnsiTheme="minorHAnsi" w:cstheme="minorHAnsi"/>
                <w:color w:val="000000"/>
                <w:sz w:val="16"/>
                <w:szCs w:val="16"/>
              </w:rPr>
              <w:t>2,057</w:t>
            </w:r>
          </w:p>
        </w:tc>
        <w:tc>
          <w:tcPr>
            <w:tcW w:w="123" w:type="pct"/>
            <w:shd w:val="clear" w:color="auto" w:fill="auto"/>
            <w:noWrap/>
            <w:tcMar>
              <w:left w:w="0" w:type="dxa"/>
              <w:right w:w="43" w:type="dxa"/>
            </w:tcMar>
            <w:vAlign w:val="center"/>
            <w:hideMark/>
          </w:tcPr>
          <w:p w:rsidRPr="009055A9" w:rsidR="0023718B" w:rsidP="000E31AA" w:rsidRDefault="0023718B" w14:paraId="79C9EC22" w14:textId="7ACABCBE">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97" w:type="pct"/>
            <w:shd w:val="clear" w:color="auto" w:fill="auto"/>
            <w:noWrap/>
            <w:tcMar>
              <w:left w:w="0" w:type="dxa"/>
              <w:right w:w="43" w:type="dxa"/>
            </w:tcMar>
            <w:vAlign w:val="center"/>
            <w:hideMark/>
          </w:tcPr>
          <w:p w:rsidRPr="009055A9" w:rsidR="0023718B" w:rsidP="000E31AA" w:rsidRDefault="0023718B" w14:paraId="5274BB01" w14:textId="798685B7">
            <w:pPr>
              <w:jc w:val="right"/>
              <w:rPr>
                <w:rFonts w:asciiTheme="minorHAnsi" w:hAnsiTheme="minorHAnsi" w:cstheme="minorHAnsi"/>
                <w:sz w:val="16"/>
                <w:szCs w:val="16"/>
              </w:rPr>
            </w:pPr>
            <w:r w:rsidRPr="009055A9">
              <w:rPr>
                <w:rFonts w:asciiTheme="minorHAnsi" w:hAnsiTheme="minorHAnsi" w:cstheme="minorHAnsi"/>
                <w:color w:val="000000"/>
                <w:sz w:val="16"/>
                <w:szCs w:val="16"/>
              </w:rPr>
              <w:t>2,822</w:t>
            </w:r>
          </w:p>
        </w:tc>
        <w:tc>
          <w:tcPr>
            <w:tcW w:w="125" w:type="pct"/>
            <w:shd w:val="clear" w:color="auto" w:fill="auto"/>
            <w:noWrap/>
            <w:tcMar>
              <w:left w:w="0" w:type="dxa"/>
              <w:right w:w="43" w:type="dxa"/>
            </w:tcMar>
            <w:vAlign w:val="center"/>
            <w:hideMark/>
          </w:tcPr>
          <w:p w:rsidRPr="009055A9" w:rsidR="0023718B" w:rsidP="000E31AA" w:rsidRDefault="0023718B" w14:paraId="6336E982" w14:textId="6E37D9B2">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0" w:type="pct"/>
            <w:shd w:val="clear" w:color="auto" w:fill="auto"/>
            <w:noWrap/>
            <w:tcMar>
              <w:left w:w="0" w:type="dxa"/>
              <w:right w:w="43" w:type="dxa"/>
            </w:tcMar>
            <w:vAlign w:val="center"/>
            <w:hideMark/>
          </w:tcPr>
          <w:p w:rsidRPr="009055A9" w:rsidR="0023718B" w:rsidP="000E31AA" w:rsidRDefault="0023718B" w14:paraId="4CA8F964" w14:textId="06C6A3A4">
            <w:pPr>
              <w:jc w:val="right"/>
              <w:rPr>
                <w:rFonts w:asciiTheme="minorHAnsi" w:hAnsiTheme="minorHAnsi" w:cstheme="minorHAnsi"/>
                <w:sz w:val="16"/>
                <w:szCs w:val="16"/>
              </w:rPr>
            </w:pPr>
            <w:r w:rsidRPr="009055A9">
              <w:rPr>
                <w:rFonts w:asciiTheme="minorHAnsi" w:hAnsiTheme="minorHAnsi" w:cstheme="minorHAnsi"/>
                <w:color w:val="000000"/>
                <w:sz w:val="16"/>
                <w:szCs w:val="16"/>
              </w:rPr>
              <w:t>1,824</w:t>
            </w:r>
          </w:p>
        </w:tc>
        <w:tc>
          <w:tcPr>
            <w:tcW w:w="148" w:type="pct"/>
            <w:shd w:val="clear" w:color="auto" w:fill="auto"/>
            <w:noWrap/>
            <w:tcMar>
              <w:left w:w="0" w:type="dxa"/>
              <w:right w:w="43" w:type="dxa"/>
            </w:tcMar>
            <w:vAlign w:val="center"/>
            <w:hideMark/>
          </w:tcPr>
          <w:p w:rsidRPr="009055A9" w:rsidR="0023718B" w:rsidP="000E31AA" w:rsidRDefault="0023718B" w14:paraId="09745104" w14:textId="142EBF3F">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2" w:type="pct"/>
            <w:tcMar>
              <w:left w:w="0" w:type="dxa"/>
              <w:right w:w="43" w:type="dxa"/>
            </w:tcMar>
            <w:vAlign w:val="center"/>
          </w:tcPr>
          <w:p w:rsidRPr="009055A9" w:rsidR="0023718B" w:rsidP="000E31AA" w:rsidRDefault="0023718B" w14:paraId="3265EAFE" w14:textId="606B881C">
            <w:pPr>
              <w:jc w:val="right"/>
              <w:rPr>
                <w:rFonts w:asciiTheme="minorHAnsi" w:hAnsiTheme="minorHAnsi" w:cstheme="minorHAnsi"/>
                <w:sz w:val="16"/>
                <w:szCs w:val="16"/>
              </w:rPr>
            </w:pPr>
            <w:r w:rsidRPr="009055A9">
              <w:rPr>
                <w:rFonts w:asciiTheme="minorHAnsi" w:hAnsiTheme="minorHAnsi" w:cstheme="minorHAnsi"/>
                <w:color w:val="000000"/>
                <w:sz w:val="16"/>
                <w:szCs w:val="16"/>
              </w:rPr>
              <w:t>1,940</w:t>
            </w:r>
          </w:p>
        </w:tc>
        <w:tc>
          <w:tcPr>
            <w:tcW w:w="124" w:type="pct"/>
            <w:tcMar>
              <w:left w:w="0" w:type="dxa"/>
              <w:right w:w="43" w:type="dxa"/>
            </w:tcMar>
            <w:vAlign w:val="center"/>
          </w:tcPr>
          <w:p w:rsidRPr="009055A9" w:rsidR="0023718B" w:rsidP="000E31AA" w:rsidRDefault="0023718B" w14:paraId="09EB3A8E" w14:textId="18518B2B">
            <w:pPr>
              <w:jc w:val="right"/>
              <w:rPr>
                <w:rFonts w:asciiTheme="minorHAnsi" w:hAnsiTheme="minorHAnsi" w:cstheme="minorHAnsi"/>
                <w:sz w:val="16"/>
                <w:szCs w:val="16"/>
              </w:rPr>
            </w:pPr>
            <w:r w:rsidRPr="009055A9">
              <w:rPr>
                <w:rFonts w:asciiTheme="minorHAnsi" w:hAnsiTheme="minorHAnsi" w:cstheme="minorHAnsi"/>
                <w:color w:val="000000"/>
                <w:sz w:val="16"/>
                <w:szCs w:val="16"/>
              </w:rPr>
              <w:t>6</w:t>
            </w:r>
          </w:p>
        </w:tc>
        <w:tc>
          <w:tcPr>
            <w:tcW w:w="173" w:type="pct"/>
            <w:tcMar>
              <w:left w:w="0" w:type="dxa"/>
              <w:right w:w="43" w:type="dxa"/>
            </w:tcMar>
            <w:vAlign w:val="center"/>
          </w:tcPr>
          <w:p w:rsidRPr="009055A9" w:rsidR="0023718B" w:rsidP="000E31AA" w:rsidRDefault="0023718B" w14:paraId="26C57250" w14:textId="0B54A0CE">
            <w:pPr>
              <w:jc w:val="right"/>
              <w:rPr>
                <w:rFonts w:asciiTheme="minorHAnsi" w:hAnsiTheme="minorHAnsi" w:cstheme="minorHAnsi"/>
                <w:sz w:val="16"/>
                <w:szCs w:val="16"/>
              </w:rPr>
            </w:pPr>
            <w:r w:rsidRPr="009055A9">
              <w:rPr>
                <w:rFonts w:asciiTheme="minorHAnsi" w:hAnsiTheme="minorHAnsi" w:cstheme="minorHAnsi"/>
                <w:color w:val="000000"/>
                <w:sz w:val="16"/>
                <w:szCs w:val="16"/>
              </w:rPr>
              <w:t>1,579</w:t>
            </w:r>
          </w:p>
        </w:tc>
        <w:tc>
          <w:tcPr>
            <w:tcW w:w="146" w:type="pct"/>
            <w:tcMar>
              <w:left w:w="0" w:type="dxa"/>
              <w:right w:w="43" w:type="dxa"/>
            </w:tcMar>
            <w:vAlign w:val="center"/>
          </w:tcPr>
          <w:p w:rsidRPr="009055A9" w:rsidR="0023718B" w:rsidP="000E31AA" w:rsidRDefault="0023718B" w14:paraId="5274F61D" w14:textId="48A9AA72">
            <w:pPr>
              <w:jc w:val="right"/>
              <w:rPr>
                <w:rFonts w:asciiTheme="minorHAnsi" w:hAnsiTheme="minorHAnsi" w:cstheme="minorHAnsi"/>
                <w:sz w:val="16"/>
                <w:szCs w:val="16"/>
              </w:rPr>
            </w:pPr>
            <w:r w:rsidRPr="009055A9">
              <w:rPr>
                <w:rFonts w:asciiTheme="minorHAnsi" w:hAnsiTheme="minorHAnsi" w:cstheme="minorHAnsi"/>
                <w:color w:val="000000"/>
                <w:sz w:val="16"/>
                <w:szCs w:val="16"/>
              </w:rPr>
              <w:t>4</w:t>
            </w:r>
          </w:p>
        </w:tc>
        <w:tc>
          <w:tcPr>
            <w:tcW w:w="175" w:type="pct"/>
            <w:tcMar>
              <w:left w:w="0" w:type="dxa"/>
              <w:right w:w="43" w:type="dxa"/>
            </w:tcMar>
            <w:vAlign w:val="center"/>
          </w:tcPr>
          <w:p w:rsidRPr="009055A9" w:rsidR="0023718B" w:rsidP="000E31AA" w:rsidRDefault="0023718B" w14:paraId="04ABF03E" w14:textId="2FFCA651">
            <w:pPr>
              <w:jc w:val="right"/>
              <w:rPr>
                <w:rFonts w:asciiTheme="minorHAnsi" w:hAnsiTheme="minorHAnsi" w:cstheme="minorHAnsi"/>
                <w:sz w:val="16"/>
                <w:szCs w:val="16"/>
              </w:rPr>
            </w:pPr>
            <w:r w:rsidRPr="009055A9">
              <w:rPr>
                <w:rFonts w:asciiTheme="minorHAnsi" w:hAnsiTheme="minorHAnsi" w:cstheme="minorHAnsi"/>
                <w:color w:val="000000"/>
                <w:sz w:val="16"/>
                <w:szCs w:val="16"/>
              </w:rPr>
              <w:t>1,275</w:t>
            </w:r>
          </w:p>
        </w:tc>
        <w:tc>
          <w:tcPr>
            <w:tcW w:w="149" w:type="pct"/>
            <w:tcMar>
              <w:left w:w="0" w:type="dxa"/>
              <w:right w:w="43" w:type="dxa"/>
            </w:tcMar>
            <w:vAlign w:val="center"/>
          </w:tcPr>
          <w:p w:rsidRPr="009055A9" w:rsidR="0023718B" w:rsidP="000E31AA" w:rsidRDefault="0023718B" w14:paraId="776A8003" w14:textId="0A852F2C">
            <w:pPr>
              <w:jc w:val="right"/>
              <w:rPr>
                <w:rFonts w:asciiTheme="minorHAnsi" w:hAnsiTheme="minorHAnsi" w:cstheme="minorHAnsi"/>
                <w:sz w:val="16"/>
                <w:szCs w:val="16"/>
              </w:rPr>
            </w:pPr>
            <w:r w:rsidRPr="009055A9">
              <w:rPr>
                <w:rFonts w:asciiTheme="minorHAnsi" w:hAnsiTheme="minorHAnsi" w:cstheme="minorHAnsi"/>
                <w:color w:val="000000"/>
                <w:sz w:val="16"/>
                <w:szCs w:val="16"/>
              </w:rPr>
              <w:t>5</w:t>
            </w:r>
          </w:p>
        </w:tc>
        <w:tc>
          <w:tcPr>
            <w:tcW w:w="197" w:type="pct"/>
            <w:tcMar>
              <w:left w:w="0" w:type="dxa"/>
              <w:right w:w="43" w:type="dxa"/>
            </w:tcMar>
            <w:vAlign w:val="center"/>
          </w:tcPr>
          <w:p w:rsidRPr="009055A9" w:rsidR="0023718B" w:rsidP="000E31AA" w:rsidRDefault="0023718B" w14:paraId="5F95D31B" w14:textId="326F51E0">
            <w:pPr>
              <w:jc w:val="right"/>
              <w:rPr>
                <w:rFonts w:asciiTheme="minorHAnsi" w:hAnsiTheme="minorHAnsi" w:cstheme="minorHAnsi"/>
                <w:sz w:val="16"/>
                <w:szCs w:val="16"/>
              </w:rPr>
            </w:pPr>
            <w:r w:rsidRPr="009055A9">
              <w:rPr>
                <w:rFonts w:asciiTheme="minorHAnsi" w:hAnsiTheme="minorHAnsi" w:cstheme="minorHAnsi"/>
                <w:color w:val="000000"/>
                <w:sz w:val="16"/>
                <w:szCs w:val="16"/>
              </w:rPr>
              <w:t>1,550</w:t>
            </w:r>
          </w:p>
        </w:tc>
        <w:tc>
          <w:tcPr>
            <w:tcW w:w="148" w:type="pct"/>
            <w:tcMar>
              <w:left w:w="0" w:type="dxa"/>
              <w:right w:w="43" w:type="dxa"/>
            </w:tcMar>
            <w:vAlign w:val="center"/>
          </w:tcPr>
          <w:p w:rsidRPr="009055A9" w:rsidR="0023718B" w:rsidP="000E31AA" w:rsidRDefault="0023718B" w14:paraId="1024E974" w14:textId="73A4BC43">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96" w:type="pct"/>
            <w:tcMar>
              <w:left w:w="0" w:type="dxa"/>
              <w:right w:w="43" w:type="dxa"/>
            </w:tcMar>
            <w:vAlign w:val="center"/>
          </w:tcPr>
          <w:p w:rsidRPr="009055A9" w:rsidR="0023718B" w:rsidP="000E31AA" w:rsidRDefault="0023718B" w14:paraId="2EF6829C" w14:textId="11D757E5">
            <w:pPr>
              <w:jc w:val="right"/>
              <w:rPr>
                <w:rFonts w:asciiTheme="minorHAnsi" w:hAnsiTheme="minorHAnsi" w:cstheme="minorHAnsi"/>
                <w:sz w:val="16"/>
                <w:szCs w:val="16"/>
              </w:rPr>
            </w:pPr>
            <w:r w:rsidRPr="009055A9">
              <w:rPr>
                <w:rFonts w:asciiTheme="minorHAnsi" w:hAnsiTheme="minorHAnsi" w:cstheme="minorHAnsi"/>
                <w:color w:val="000000"/>
                <w:sz w:val="16"/>
                <w:szCs w:val="16"/>
              </w:rPr>
              <w:t>1,108</w:t>
            </w:r>
          </w:p>
        </w:tc>
        <w:tc>
          <w:tcPr>
            <w:tcW w:w="143" w:type="pct"/>
            <w:tcMar>
              <w:left w:w="0" w:type="dxa"/>
              <w:right w:w="43" w:type="dxa"/>
            </w:tcMar>
            <w:vAlign w:val="center"/>
          </w:tcPr>
          <w:p w:rsidRPr="009055A9" w:rsidR="0023718B" w:rsidP="000E31AA" w:rsidRDefault="0023718B" w14:paraId="76B77C04" w14:textId="0D53A1EB">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8" w:type="pct"/>
            <w:shd w:val="clear" w:color="000000" w:fill="FFFFFF"/>
            <w:noWrap/>
            <w:tcMar>
              <w:left w:w="0" w:type="dxa"/>
              <w:right w:w="43" w:type="dxa"/>
            </w:tcMar>
            <w:vAlign w:val="center"/>
          </w:tcPr>
          <w:p w:rsidRPr="003148DB" w:rsidR="0023718B" w:rsidP="000E31AA" w:rsidRDefault="0023718B" w14:paraId="4E54B834" w14:textId="3C1CC699">
            <w:pPr>
              <w:jc w:val="right"/>
              <w:rPr>
                <w:rFonts w:asciiTheme="minorHAnsi" w:hAnsiTheme="minorHAnsi" w:cstheme="minorHAnsi"/>
                <w:sz w:val="16"/>
                <w:szCs w:val="16"/>
              </w:rPr>
            </w:pPr>
            <w:r w:rsidRPr="003148DB">
              <w:rPr>
                <w:rFonts w:asciiTheme="minorHAnsi" w:hAnsiTheme="minorHAnsi" w:cstheme="minorHAnsi"/>
                <w:color w:val="000000"/>
                <w:sz w:val="16"/>
                <w:szCs w:val="16"/>
              </w:rPr>
              <w:t>1,700</w:t>
            </w:r>
          </w:p>
        </w:tc>
        <w:tc>
          <w:tcPr>
            <w:tcW w:w="151" w:type="pct"/>
            <w:shd w:val="clear" w:color="000000" w:fill="FFFFFF"/>
            <w:noWrap/>
            <w:tcMar>
              <w:left w:w="0" w:type="dxa"/>
              <w:right w:w="43" w:type="dxa"/>
            </w:tcMar>
            <w:vAlign w:val="center"/>
          </w:tcPr>
          <w:p w:rsidRPr="003148DB" w:rsidR="0023718B" w:rsidP="000E31AA" w:rsidRDefault="0023718B" w14:paraId="232B941C" w14:textId="36FB9D4C">
            <w:pPr>
              <w:jc w:val="right"/>
              <w:rPr>
                <w:rFonts w:asciiTheme="minorHAnsi" w:hAnsiTheme="minorHAnsi" w:cstheme="minorHAnsi"/>
                <w:sz w:val="16"/>
                <w:szCs w:val="16"/>
              </w:rPr>
            </w:pPr>
            <w:r w:rsidRPr="003148DB">
              <w:rPr>
                <w:rFonts w:asciiTheme="minorHAnsi" w:hAnsiTheme="minorHAnsi" w:cstheme="minorHAnsi"/>
                <w:color w:val="000000"/>
                <w:sz w:val="16"/>
                <w:szCs w:val="16"/>
              </w:rPr>
              <w:t>6.8</w:t>
            </w:r>
          </w:p>
        </w:tc>
      </w:tr>
      <w:tr w:rsidRPr="003148DB" w:rsidR="0023718B" w:rsidTr="000D41FC" w14:paraId="51890731"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2A659896"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169B8285" w14:textId="3D5356B0">
            <w:pPr>
              <w:rPr>
                <w:rFonts w:asciiTheme="minorHAnsi" w:hAnsiTheme="minorHAnsi" w:cstheme="minorHAnsi"/>
                <w:sz w:val="16"/>
                <w:szCs w:val="16"/>
              </w:rPr>
            </w:pPr>
            <w:r w:rsidRPr="009055A9">
              <w:rPr>
                <w:rFonts w:asciiTheme="minorHAnsi" w:hAnsiTheme="minorHAnsi" w:cstheme="minorHAnsi"/>
                <w:color w:val="000000"/>
                <w:sz w:val="16"/>
                <w:szCs w:val="16"/>
              </w:rPr>
              <w:t>Exelon</w:t>
            </w:r>
          </w:p>
        </w:tc>
        <w:tc>
          <w:tcPr>
            <w:tcW w:w="321" w:type="pct"/>
            <w:shd w:val="clear" w:color="auto" w:fill="auto"/>
            <w:noWrap/>
            <w:tcMar>
              <w:left w:w="58" w:type="dxa"/>
              <w:right w:w="29" w:type="dxa"/>
            </w:tcMar>
            <w:vAlign w:val="center"/>
            <w:hideMark/>
          </w:tcPr>
          <w:p w:rsidRPr="009055A9" w:rsidR="0023718B" w:rsidP="000E31AA" w:rsidRDefault="0023718B" w14:paraId="66EADB7E" w14:textId="0A43F154">
            <w:pPr>
              <w:rPr>
                <w:rFonts w:asciiTheme="minorHAnsi" w:hAnsiTheme="minorHAnsi" w:cstheme="minorHAnsi"/>
                <w:sz w:val="16"/>
                <w:szCs w:val="16"/>
              </w:rPr>
            </w:pPr>
            <w:r w:rsidRPr="009055A9">
              <w:rPr>
                <w:rFonts w:asciiTheme="minorHAnsi" w:hAnsiTheme="minorHAnsi" w:cstheme="minorHAnsi"/>
                <w:color w:val="000000"/>
                <w:sz w:val="16"/>
                <w:szCs w:val="16"/>
              </w:rPr>
              <w:t>Quad Cities</w:t>
            </w:r>
          </w:p>
        </w:tc>
        <w:tc>
          <w:tcPr>
            <w:tcW w:w="123" w:type="pct"/>
            <w:shd w:val="clear" w:color="auto" w:fill="auto"/>
            <w:noWrap/>
            <w:tcMar>
              <w:left w:w="58" w:type="dxa"/>
              <w:right w:w="58" w:type="dxa"/>
            </w:tcMar>
            <w:vAlign w:val="center"/>
            <w:hideMark/>
          </w:tcPr>
          <w:p w:rsidRPr="009055A9" w:rsidR="0023718B" w:rsidP="000E31AA" w:rsidRDefault="0023718B" w14:paraId="5AF34CEF" w14:textId="3947596C">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42DB56B3" w14:textId="518C067C">
            <w:pPr>
              <w:jc w:val="right"/>
              <w:rPr>
                <w:rFonts w:asciiTheme="minorHAnsi" w:hAnsiTheme="minorHAnsi" w:cstheme="minorHAnsi"/>
                <w:sz w:val="16"/>
                <w:szCs w:val="16"/>
              </w:rPr>
            </w:pPr>
            <w:r w:rsidRPr="009055A9">
              <w:rPr>
                <w:rFonts w:asciiTheme="minorHAnsi" w:hAnsiTheme="minorHAnsi" w:cstheme="minorHAnsi"/>
                <w:color w:val="000000"/>
                <w:sz w:val="16"/>
                <w:szCs w:val="16"/>
              </w:rPr>
              <w:t>2,247</w:t>
            </w:r>
          </w:p>
        </w:tc>
        <w:tc>
          <w:tcPr>
            <w:tcW w:w="123" w:type="pct"/>
            <w:shd w:val="clear" w:color="auto" w:fill="auto"/>
            <w:noWrap/>
            <w:tcMar>
              <w:left w:w="0" w:type="dxa"/>
              <w:right w:w="43" w:type="dxa"/>
            </w:tcMar>
            <w:vAlign w:val="center"/>
            <w:hideMark/>
          </w:tcPr>
          <w:p w:rsidRPr="009055A9" w:rsidR="0023718B" w:rsidP="000E31AA" w:rsidRDefault="0023718B" w14:paraId="7399DDC0" w14:textId="04CD6541">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0" w:type="pct"/>
            <w:shd w:val="clear" w:color="auto" w:fill="auto"/>
            <w:noWrap/>
            <w:tcMar>
              <w:left w:w="0" w:type="dxa"/>
              <w:right w:w="43" w:type="dxa"/>
            </w:tcMar>
            <w:vAlign w:val="center"/>
            <w:hideMark/>
          </w:tcPr>
          <w:p w:rsidRPr="009055A9" w:rsidR="0023718B" w:rsidP="000E31AA" w:rsidRDefault="0023718B" w14:paraId="70DD0EF3" w14:textId="0C56AC92">
            <w:pPr>
              <w:jc w:val="right"/>
              <w:rPr>
                <w:rFonts w:asciiTheme="minorHAnsi" w:hAnsiTheme="minorHAnsi" w:cstheme="minorHAnsi"/>
                <w:sz w:val="16"/>
                <w:szCs w:val="16"/>
              </w:rPr>
            </w:pPr>
            <w:r w:rsidRPr="009055A9">
              <w:rPr>
                <w:rFonts w:asciiTheme="minorHAnsi" w:hAnsiTheme="minorHAnsi" w:cstheme="minorHAnsi"/>
                <w:color w:val="000000"/>
                <w:sz w:val="16"/>
                <w:szCs w:val="16"/>
              </w:rPr>
              <w:t>2,476</w:t>
            </w:r>
          </w:p>
        </w:tc>
        <w:tc>
          <w:tcPr>
            <w:tcW w:w="125" w:type="pct"/>
            <w:shd w:val="clear" w:color="auto" w:fill="auto"/>
            <w:noWrap/>
            <w:tcMar>
              <w:left w:w="0" w:type="dxa"/>
              <w:right w:w="43" w:type="dxa"/>
            </w:tcMar>
            <w:vAlign w:val="center"/>
            <w:hideMark/>
          </w:tcPr>
          <w:p w:rsidRPr="009055A9" w:rsidR="0023718B" w:rsidP="000E31AA" w:rsidRDefault="0023718B" w14:paraId="6B937863" w14:textId="1C7D296D">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2" w:type="pct"/>
            <w:shd w:val="clear" w:color="auto" w:fill="auto"/>
            <w:noWrap/>
            <w:tcMar>
              <w:left w:w="0" w:type="dxa"/>
              <w:right w:w="43" w:type="dxa"/>
            </w:tcMar>
            <w:vAlign w:val="center"/>
            <w:hideMark/>
          </w:tcPr>
          <w:p w:rsidRPr="009055A9" w:rsidR="0023718B" w:rsidP="000E31AA" w:rsidRDefault="0023718B" w14:paraId="137E4E67" w14:textId="21E0908A">
            <w:pPr>
              <w:jc w:val="right"/>
              <w:rPr>
                <w:rFonts w:asciiTheme="minorHAnsi" w:hAnsiTheme="minorHAnsi" w:cstheme="minorHAnsi"/>
                <w:sz w:val="16"/>
                <w:szCs w:val="16"/>
              </w:rPr>
            </w:pPr>
            <w:r w:rsidRPr="009055A9">
              <w:rPr>
                <w:rFonts w:asciiTheme="minorHAnsi" w:hAnsiTheme="minorHAnsi" w:cstheme="minorHAnsi"/>
                <w:color w:val="000000"/>
                <w:sz w:val="16"/>
                <w:szCs w:val="16"/>
              </w:rPr>
              <w:t>2,014</w:t>
            </w:r>
          </w:p>
        </w:tc>
        <w:tc>
          <w:tcPr>
            <w:tcW w:w="123" w:type="pct"/>
            <w:shd w:val="clear" w:color="auto" w:fill="auto"/>
            <w:noWrap/>
            <w:tcMar>
              <w:left w:w="0" w:type="dxa"/>
              <w:right w:w="43" w:type="dxa"/>
            </w:tcMar>
            <w:vAlign w:val="center"/>
            <w:hideMark/>
          </w:tcPr>
          <w:p w:rsidRPr="009055A9" w:rsidR="0023718B" w:rsidP="000E31AA" w:rsidRDefault="0023718B" w14:paraId="6F927033" w14:textId="4222931D">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94" w:type="pct"/>
            <w:shd w:val="clear" w:color="auto" w:fill="auto"/>
            <w:noWrap/>
            <w:tcMar>
              <w:left w:w="0" w:type="dxa"/>
              <w:right w:w="43" w:type="dxa"/>
            </w:tcMar>
            <w:vAlign w:val="center"/>
            <w:hideMark/>
          </w:tcPr>
          <w:p w:rsidRPr="009055A9" w:rsidR="0023718B" w:rsidP="000E31AA" w:rsidRDefault="0023718B" w14:paraId="5FE749DD" w14:textId="1FE2B8FF">
            <w:pPr>
              <w:jc w:val="right"/>
              <w:rPr>
                <w:rFonts w:asciiTheme="minorHAnsi" w:hAnsiTheme="minorHAnsi" w:cstheme="minorHAnsi"/>
                <w:sz w:val="16"/>
                <w:szCs w:val="16"/>
              </w:rPr>
            </w:pPr>
            <w:r w:rsidRPr="009055A9">
              <w:rPr>
                <w:rFonts w:asciiTheme="minorHAnsi" w:hAnsiTheme="minorHAnsi" w:cstheme="minorHAnsi"/>
                <w:color w:val="000000"/>
                <w:sz w:val="16"/>
                <w:szCs w:val="16"/>
              </w:rPr>
              <w:t>2,111</w:t>
            </w:r>
          </w:p>
        </w:tc>
        <w:tc>
          <w:tcPr>
            <w:tcW w:w="123" w:type="pct"/>
            <w:shd w:val="clear" w:color="auto" w:fill="auto"/>
            <w:noWrap/>
            <w:tcMar>
              <w:left w:w="0" w:type="dxa"/>
              <w:right w:w="43" w:type="dxa"/>
            </w:tcMar>
            <w:vAlign w:val="center"/>
            <w:hideMark/>
          </w:tcPr>
          <w:p w:rsidRPr="009055A9" w:rsidR="0023718B" w:rsidP="000E31AA" w:rsidRDefault="0023718B" w14:paraId="47098E82" w14:textId="3F85546E">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97" w:type="pct"/>
            <w:shd w:val="clear" w:color="auto" w:fill="auto"/>
            <w:noWrap/>
            <w:tcMar>
              <w:left w:w="0" w:type="dxa"/>
              <w:right w:w="43" w:type="dxa"/>
            </w:tcMar>
            <w:vAlign w:val="center"/>
            <w:hideMark/>
          </w:tcPr>
          <w:p w:rsidRPr="009055A9" w:rsidR="0023718B" w:rsidP="000E31AA" w:rsidRDefault="0023718B" w14:paraId="54ACE84B" w14:textId="4977E6E7">
            <w:pPr>
              <w:jc w:val="right"/>
              <w:rPr>
                <w:rFonts w:asciiTheme="minorHAnsi" w:hAnsiTheme="minorHAnsi" w:cstheme="minorHAnsi"/>
                <w:sz w:val="16"/>
                <w:szCs w:val="16"/>
              </w:rPr>
            </w:pPr>
            <w:r w:rsidRPr="009055A9">
              <w:rPr>
                <w:rFonts w:asciiTheme="minorHAnsi" w:hAnsiTheme="minorHAnsi" w:cstheme="minorHAnsi"/>
                <w:color w:val="000000"/>
                <w:sz w:val="16"/>
                <w:szCs w:val="16"/>
              </w:rPr>
              <w:t>2,242</w:t>
            </w:r>
          </w:p>
        </w:tc>
        <w:tc>
          <w:tcPr>
            <w:tcW w:w="125" w:type="pct"/>
            <w:shd w:val="clear" w:color="auto" w:fill="auto"/>
            <w:noWrap/>
            <w:tcMar>
              <w:left w:w="0" w:type="dxa"/>
              <w:right w:w="43" w:type="dxa"/>
            </w:tcMar>
            <w:vAlign w:val="center"/>
            <w:hideMark/>
          </w:tcPr>
          <w:p w:rsidRPr="009055A9" w:rsidR="0023718B" w:rsidP="000E31AA" w:rsidRDefault="0023718B" w14:paraId="085861A3" w14:textId="5787982E">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0" w:type="pct"/>
            <w:shd w:val="clear" w:color="auto" w:fill="auto"/>
            <w:noWrap/>
            <w:tcMar>
              <w:left w:w="0" w:type="dxa"/>
              <w:right w:w="43" w:type="dxa"/>
            </w:tcMar>
            <w:vAlign w:val="center"/>
            <w:hideMark/>
          </w:tcPr>
          <w:p w:rsidRPr="009055A9" w:rsidR="0023718B" w:rsidP="000E31AA" w:rsidRDefault="0023718B" w14:paraId="41A65C44" w14:textId="1BC315D0">
            <w:pPr>
              <w:jc w:val="right"/>
              <w:rPr>
                <w:rFonts w:asciiTheme="minorHAnsi" w:hAnsiTheme="minorHAnsi" w:cstheme="minorHAnsi"/>
                <w:sz w:val="16"/>
                <w:szCs w:val="16"/>
              </w:rPr>
            </w:pPr>
            <w:r w:rsidRPr="009055A9">
              <w:rPr>
                <w:rFonts w:asciiTheme="minorHAnsi" w:hAnsiTheme="minorHAnsi" w:cstheme="minorHAnsi"/>
                <w:color w:val="000000"/>
                <w:sz w:val="16"/>
                <w:szCs w:val="16"/>
              </w:rPr>
              <w:t>1,854</w:t>
            </w:r>
          </w:p>
        </w:tc>
        <w:tc>
          <w:tcPr>
            <w:tcW w:w="148" w:type="pct"/>
            <w:shd w:val="clear" w:color="auto" w:fill="auto"/>
            <w:noWrap/>
            <w:tcMar>
              <w:left w:w="0" w:type="dxa"/>
              <w:right w:w="43" w:type="dxa"/>
            </w:tcMar>
            <w:vAlign w:val="center"/>
            <w:hideMark/>
          </w:tcPr>
          <w:p w:rsidRPr="009055A9" w:rsidR="0023718B" w:rsidP="000E31AA" w:rsidRDefault="0023718B" w14:paraId="262E836F" w14:textId="7B2C4CA5">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2" w:type="pct"/>
            <w:tcMar>
              <w:left w:w="0" w:type="dxa"/>
              <w:right w:w="43" w:type="dxa"/>
            </w:tcMar>
            <w:vAlign w:val="center"/>
          </w:tcPr>
          <w:p w:rsidRPr="009055A9" w:rsidR="0023718B" w:rsidP="000E31AA" w:rsidRDefault="0023718B" w14:paraId="602AD133" w14:textId="6D855AC9">
            <w:pPr>
              <w:jc w:val="right"/>
              <w:rPr>
                <w:rFonts w:asciiTheme="minorHAnsi" w:hAnsiTheme="minorHAnsi" w:cstheme="minorHAnsi"/>
                <w:sz w:val="16"/>
                <w:szCs w:val="16"/>
              </w:rPr>
            </w:pPr>
            <w:r w:rsidRPr="009055A9">
              <w:rPr>
                <w:rFonts w:asciiTheme="minorHAnsi" w:hAnsiTheme="minorHAnsi" w:cstheme="minorHAnsi"/>
                <w:color w:val="000000"/>
                <w:sz w:val="16"/>
                <w:szCs w:val="16"/>
              </w:rPr>
              <w:t>1,715</w:t>
            </w:r>
          </w:p>
        </w:tc>
        <w:tc>
          <w:tcPr>
            <w:tcW w:w="124" w:type="pct"/>
            <w:tcMar>
              <w:left w:w="0" w:type="dxa"/>
              <w:right w:w="43" w:type="dxa"/>
            </w:tcMar>
            <w:vAlign w:val="center"/>
          </w:tcPr>
          <w:p w:rsidRPr="009055A9" w:rsidR="0023718B" w:rsidP="000E31AA" w:rsidRDefault="0023718B" w14:paraId="1600FC29" w14:textId="2FF8D32C">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3" w:type="pct"/>
            <w:tcMar>
              <w:left w:w="0" w:type="dxa"/>
              <w:right w:w="43" w:type="dxa"/>
            </w:tcMar>
            <w:vAlign w:val="center"/>
          </w:tcPr>
          <w:p w:rsidRPr="009055A9" w:rsidR="0023718B" w:rsidP="000E31AA" w:rsidRDefault="0023718B" w14:paraId="35634BBA" w14:textId="77CA0617">
            <w:pPr>
              <w:jc w:val="right"/>
              <w:rPr>
                <w:rFonts w:asciiTheme="minorHAnsi" w:hAnsiTheme="minorHAnsi" w:cstheme="minorHAnsi"/>
                <w:sz w:val="16"/>
                <w:szCs w:val="16"/>
              </w:rPr>
            </w:pPr>
            <w:r w:rsidRPr="009055A9">
              <w:rPr>
                <w:rFonts w:asciiTheme="minorHAnsi" w:hAnsiTheme="minorHAnsi" w:cstheme="minorHAnsi"/>
                <w:color w:val="000000"/>
                <w:sz w:val="16"/>
                <w:szCs w:val="16"/>
              </w:rPr>
              <w:t>1,608</w:t>
            </w:r>
          </w:p>
        </w:tc>
        <w:tc>
          <w:tcPr>
            <w:tcW w:w="146" w:type="pct"/>
            <w:tcMar>
              <w:left w:w="0" w:type="dxa"/>
              <w:right w:w="43" w:type="dxa"/>
            </w:tcMar>
            <w:vAlign w:val="center"/>
          </w:tcPr>
          <w:p w:rsidRPr="009055A9" w:rsidR="0023718B" w:rsidP="000E31AA" w:rsidRDefault="0023718B" w14:paraId="78E834F5" w14:textId="1C5888A8">
            <w:pPr>
              <w:jc w:val="right"/>
              <w:rPr>
                <w:rFonts w:asciiTheme="minorHAnsi" w:hAnsiTheme="minorHAnsi" w:cstheme="minorHAnsi"/>
                <w:sz w:val="16"/>
                <w:szCs w:val="16"/>
              </w:rPr>
            </w:pPr>
            <w:r w:rsidRPr="009055A9">
              <w:rPr>
                <w:rFonts w:asciiTheme="minorHAnsi" w:hAnsiTheme="minorHAnsi" w:cstheme="minorHAnsi"/>
                <w:color w:val="000000"/>
                <w:sz w:val="16"/>
                <w:szCs w:val="16"/>
              </w:rPr>
              <w:t>7</w:t>
            </w:r>
          </w:p>
        </w:tc>
        <w:tc>
          <w:tcPr>
            <w:tcW w:w="175" w:type="pct"/>
            <w:tcMar>
              <w:left w:w="0" w:type="dxa"/>
              <w:right w:w="43" w:type="dxa"/>
            </w:tcMar>
            <w:vAlign w:val="center"/>
          </w:tcPr>
          <w:p w:rsidRPr="009055A9" w:rsidR="0023718B" w:rsidP="000E31AA" w:rsidRDefault="0023718B" w14:paraId="4EEFD091" w14:textId="0B7F68E1">
            <w:pPr>
              <w:jc w:val="right"/>
              <w:rPr>
                <w:rFonts w:asciiTheme="minorHAnsi" w:hAnsiTheme="minorHAnsi" w:cstheme="minorHAnsi"/>
                <w:sz w:val="16"/>
                <w:szCs w:val="16"/>
              </w:rPr>
            </w:pPr>
            <w:r w:rsidRPr="009055A9">
              <w:rPr>
                <w:rFonts w:asciiTheme="minorHAnsi" w:hAnsiTheme="minorHAnsi" w:cstheme="minorHAnsi"/>
                <w:color w:val="000000"/>
                <w:sz w:val="16"/>
                <w:szCs w:val="16"/>
              </w:rPr>
              <w:t>2,024</w:t>
            </w:r>
          </w:p>
        </w:tc>
        <w:tc>
          <w:tcPr>
            <w:tcW w:w="149" w:type="pct"/>
            <w:tcMar>
              <w:left w:w="0" w:type="dxa"/>
              <w:right w:w="43" w:type="dxa"/>
            </w:tcMar>
            <w:vAlign w:val="center"/>
          </w:tcPr>
          <w:p w:rsidRPr="009055A9" w:rsidR="0023718B" w:rsidP="000E31AA" w:rsidRDefault="0023718B" w14:paraId="1F1A6DB3" w14:textId="31E73D08">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97" w:type="pct"/>
            <w:tcMar>
              <w:left w:w="0" w:type="dxa"/>
              <w:right w:w="43" w:type="dxa"/>
            </w:tcMar>
            <w:vAlign w:val="center"/>
          </w:tcPr>
          <w:p w:rsidRPr="009055A9" w:rsidR="0023718B" w:rsidP="000E31AA" w:rsidRDefault="0023718B" w14:paraId="75E4ABBE" w14:textId="0F1D25B7">
            <w:pPr>
              <w:jc w:val="right"/>
              <w:rPr>
                <w:rFonts w:asciiTheme="minorHAnsi" w:hAnsiTheme="minorHAnsi" w:cstheme="minorHAnsi"/>
                <w:sz w:val="16"/>
                <w:szCs w:val="16"/>
              </w:rPr>
            </w:pPr>
            <w:r w:rsidRPr="009055A9">
              <w:rPr>
                <w:rFonts w:asciiTheme="minorHAnsi" w:hAnsiTheme="minorHAnsi" w:cstheme="minorHAnsi"/>
                <w:color w:val="000000"/>
                <w:sz w:val="16"/>
                <w:szCs w:val="16"/>
              </w:rPr>
              <w:t>1,502</w:t>
            </w:r>
          </w:p>
        </w:tc>
        <w:tc>
          <w:tcPr>
            <w:tcW w:w="148" w:type="pct"/>
            <w:tcMar>
              <w:left w:w="0" w:type="dxa"/>
              <w:right w:w="43" w:type="dxa"/>
            </w:tcMar>
            <w:vAlign w:val="center"/>
          </w:tcPr>
          <w:p w:rsidRPr="009055A9" w:rsidR="0023718B" w:rsidP="000E31AA" w:rsidRDefault="0023718B" w14:paraId="023073DC" w14:textId="6C3C8DBB">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6" w:type="pct"/>
            <w:tcMar>
              <w:left w:w="0" w:type="dxa"/>
              <w:right w:w="43" w:type="dxa"/>
            </w:tcMar>
            <w:vAlign w:val="center"/>
          </w:tcPr>
          <w:p w:rsidRPr="009055A9" w:rsidR="0023718B" w:rsidP="000E31AA" w:rsidRDefault="0023718B" w14:paraId="5362D398" w14:textId="6A163E3C">
            <w:pPr>
              <w:jc w:val="right"/>
              <w:rPr>
                <w:rFonts w:asciiTheme="minorHAnsi" w:hAnsiTheme="minorHAnsi" w:cstheme="minorHAnsi"/>
                <w:sz w:val="16"/>
                <w:szCs w:val="16"/>
              </w:rPr>
            </w:pPr>
            <w:r w:rsidRPr="009055A9">
              <w:rPr>
                <w:rFonts w:asciiTheme="minorHAnsi" w:hAnsiTheme="minorHAnsi" w:cstheme="minorHAnsi"/>
                <w:color w:val="000000"/>
                <w:sz w:val="16"/>
                <w:szCs w:val="16"/>
              </w:rPr>
              <w:t>1,766</w:t>
            </w:r>
          </w:p>
        </w:tc>
        <w:tc>
          <w:tcPr>
            <w:tcW w:w="143" w:type="pct"/>
            <w:tcMar>
              <w:left w:w="0" w:type="dxa"/>
              <w:right w:w="43" w:type="dxa"/>
            </w:tcMar>
            <w:vAlign w:val="center"/>
          </w:tcPr>
          <w:p w:rsidRPr="009055A9" w:rsidR="0023718B" w:rsidP="000E31AA" w:rsidRDefault="0023718B" w14:paraId="678EC090" w14:textId="725E7503">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8" w:type="pct"/>
            <w:shd w:val="clear" w:color="000000" w:fill="FFFFFF"/>
            <w:noWrap/>
            <w:tcMar>
              <w:left w:w="0" w:type="dxa"/>
              <w:right w:w="43" w:type="dxa"/>
            </w:tcMar>
            <w:vAlign w:val="center"/>
          </w:tcPr>
          <w:p w:rsidRPr="003148DB" w:rsidR="0023718B" w:rsidP="000E31AA" w:rsidRDefault="0023718B" w14:paraId="6174EDEC" w14:textId="6DCE2B8C">
            <w:pPr>
              <w:jc w:val="right"/>
              <w:rPr>
                <w:rFonts w:asciiTheme="minorHAnsi" w:hAnsiTheme="minorHAnsi" w:cstheme="minorHAnsi"/>
                <w:sz w:val="16"/>
                <w:szCs w:val="16"/>
              </w:rPr>
            </w:pPr>
            <w:r w:rsidRPr="003148DB">
              <w:rPr>
                <w:rFonts w:asciiTheme="minorHAnsi" w:hAnsiTheme="minorHAnsi" w:cstheme="minorHAnsi"/>
                <w:color w:val="000000"/>
                <w:sz w:val="16"/>
                <w:szCs w:val="16"/>
              </w:rPr>
              <w:t>1,960</w:t>
            </w:r>
          </w:p>
        </w:tc>
        <w:tc>
          <w:tcPr>
            <w:tcW w:w="151" w:type="pct"/>
            <w:shd w:val="clear" w:color="000000" w:fill="FFFFFF"/>
            <w:noWrap/>
            <w:tcMar>
              <w:left w:w="0" w:type="dxa"/>
              <w:right w:w="43" w:type="dxa"/>
            </w:tcMar>
            <w:vAlign w:val="center"/>
          </w:tcPr>
          <w:p w:rsidRPr="003148DB" w:rsidR="0023718B" w:rsidP="000E31AA" w:rsidRDefault="0023718B" w14:paraId="5DD86434" w14:textId="196989E1">
            <w:pPr>
              <w:jc w:val="right"/>
              <w:rPr>
                <w:rFonts w:asciiTheme="minorHAnsi" w:hAnsiTheme="minorHAnsi" w:cstheme="minorHAnsi"/>
                <w:sz w:val="16"/>
                <w:szCs w:val="16"/>
              </w:rPr>
            </w:pPr>
            <w:r w:rsidRPr="003148DB">
              <w:rPr>
                <w:rFonts w:asciiTheme="minorHAnsi" w:hAnsiTheme="minorHAnsi" w:cstheme="minorHAnsi"/>
                <w:color w:val="000000"/>
                <w:sz w:val="16"/>
                <w:szCs w:val="16"/>
              </w:rPr>
              <w:t>12.8</w:t>
            </w:r>
          </w:p>
        </w:tc>
      </w:tr>
      <w:tr w:rsidRPr="003148DB" w:rsidR="0023718B" w:rsidTr="000D41FC" w14:paraId="7C9AB1D3"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10E5B6A6"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579CBB98" w14:textId="4020696D">
            <w:pPr>
              <w:rPr>
                <w:rFonts w:asciiTheme="minorHAnsi" w:hAnsiTheme="minorHAnsi" w:cstheme="minorHAnsi"/>
                <w:sz w:val="16"/>
                <w:szCs w:val="16"/>
              </w:rPr>
            </w:pPr>
            <w:r>
              <w:rPr>
                <w:rFonts w:asciiTheme="minorHAnsi" w:hAnsiTheme="minorHAnsi" w:cstheme="minorHAnsi"/>
                <w:color w:val="000000"/>
                <w:sz w:val="16"/>
                <w:szCs w:val="16"/>
              </w:rPr>
              <w:t>TVA</w:t>
            </w:r>
          </w:p>
        </w:tc>
        <w:tc>
          <w:tcPr>
            <w:tcW w:w="321" w:type="pct"/>
            <w:shd w:val="clear" w:color="auto" w:fill="auto"/>
            <w:noWrap/>
            <w:tcMar>
              <w:left w:w="58" w:type="dxa"/>
              <w:right w:w="29" w:type="dxa"/>
            </w:tcMar>
            <w:vAlign w:val="center"/>
            <w:hideMark/>
          </w:tcPr>
          <w:p w:rsidRPr="009055A9" w:rsidR="0023718B" w:rsidP="000E31AA" w:rsidRDefault="0023718B" w14:paraId="32D5A663" w14:textId="5680841F">
            <w:pPr>
              <w:rPr>
                <w:rFonts w:asciiTheme="minorHAnsi" w:hAnsiTheme="minorHAnsi" w:cstheme="minorHAnsi"/>
                <w:sz w:val="16"/>
                <w:szCs w:val="16"/>
              </w:rPr>
            </w:pPr>
            <w:r w:rsidRPr="009055A9">
              <w:rPr>
                <w:rFonts w:asciiTheme="minorHAnsi" w:hAnsiTheme="minorHAnsi" w:cstheme="minorHAnsi"/>
                <w:color w:val="000000"/>
                <w:sz w:val="16"/>
                <w:szCs w:val="16"/>
              </w:rPr>
              <w:t>Sequoyah</w:t>
            </w:r>
          </w:p>
        </w:tc>
        <w:tc>
          <w:tcPr>
            <w:tcW w:w="123" w:type="pct"/>
            <w:shd w:val="clear" w:color="auto" w:fill="auto"/>
            <w:noWrap/>
            <w:tcMar>
              <w:left w:w="58" w:type="dxa"/>
              <w:right w:w="58" w:type="dxa"/>
            </w:tcMar>
            <w:vAlign w:val="center"/>
            <w:hideMark/>
          </w:tcPr>
          <w:p w:rsidRPr="009055A9" w:rsidR="0023718B" w:rsidP="000E31AA" w:rsidRDefault="0023718B" w14:paraId="495CFA95" w14:textId="52FA6E99">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0F05FF12" w14:textId="630C6370">
            <w:pPr>
              <w:jc w:val="right"/>
              <w:rPr>
                <w:rFonts w:asciiTheme="minorHAnsi" w:hAnsiTheme="minorHAnsi" w:cstheme="minorHAnsi"/>
                <w:sz w:val="16"/>
                <w:szCs w:val="16"/>
              </w:rPr>
            </w:pPr>
            <w:r w:rsidRPr="009055A9">
              <w:rPr>
                <w:rFonts w:asciiTheme="minorHAnsi" w:hAnsiTheme="minorHAnsi" w:cstheme="minorHAnsi"/>
                <w:color w:val="000000"/>
                <w:sz w:val="16"/>
                <w:szCs w:val="16"/>
              </w:rPr>
              <w:t>2,916</w:t>
            </w:r>
          </w:p>
        </w:tc>
        <w:tc>
          <w:tcPr>
            <w:tcW w:w="123" w:type="pct"/>
            <w:shd w:val="clear" w:color="auto" w:fill="auto"/>
            <w:noWrap/>
            <w:tcMar>
              <w:left w:w="0" w:type="dxa"/>
              <w:right w:w="43" w:type="dxa"/>
            </w:tcMar>
            <w:vAlign w:val="center"/>
            <w:hideMark/>
          </w:tcPr>
          <w:p w:rsidRPr="009055A9" w:rsidR="0023718B" w:rsidP="000E31AA" w:rsidRDefault="0023718B" w14:paraId="74172051" w14:textId="254DF8DA">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0" w:type="pct"/>
            <w:shd w:val="clear" w:color="auto" w:fill="auto"/>
            <w:noWrap/>
            <w:tcMar>
              <w:left w:w="0" w:type="dxa"/>
              <w:right w:w="43" w:type="dxa"/>
            </w:tcMar>
            <w:vAlign w:val="center"/>
            <w:hideMark/>
          </w:tcPr>
          <w:p w:rsidRPr="009055A9" w:rsidR="0023718B" w:rsidP="000E31AA" w:rsidRDefault="0023718B" w14:paraId="363FA7E8" w14:textId="192A730E">
            <w:pPr>
              <w:jc w:val="right"/>
              <w:rPr>
                <w:rFonts w:asciiTheme="minorHAnsi" w:hAnsiTheme="minorHAnsi" w:cstheme="minorHAnsi"/>
                <w:sz w:val="16"/>
                <w:szCs w:val="16"/>
              </w:rPr>
            </w:pPr>
            <w:r w:rsidRPr="009055A9">
              <w:rPr>
                <w:rFonts w:asciiTheme="minorHAnsi" w:hAnsiTheme="minorHAnsi" w:cstheme="minorHAnsi"/>
                <w:color w:val="000000"/>
                <w:sz w:val="16"/>
                <w:szCs w:val="16"/>
              </w:rPr>
              <w:t>2,974</w:t>
            </w:r>
          </w:p>
        </w:tc>
        <w:tc>
          <w:tcPr>
            <w:tcW w:w="125" w:type="pct"/>
            <w:shd w:val="clear" w:color="auto" w:fill="auto"/>
            <w:noWrap/>
            <w:tcMar>
              <w:left w:w="0" w:type="dxa"/>
              <w:right w:w="43" w:type="dxa"/>
            </w:tcMar>
            <w:vAlign w:val="center"/>
            <w:hideMark/>
          </w:tcPr>
          <w:p w:rsidRPr="009055A9" w:rsidR="0023718B" w:rsidP="000E31AA" w:rsidRDefault="0023718B" w14:paraId="43193916" w14:textId="0A6171D4">
            <w:pPr>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72" w:type="pct"/>
            <w:shd w:val="clear" w:color="auto" w:fill="auto"/>
            <w:noWrap/>
            <w:tcMar>
              <w:left w:w="0" w:type="dxa"/>
              <w:right w:w="43" w:type="dxa"/>
            </w:tcMar>
            <w:vAlign w:val="center"/>
            <w:hideMark/>
          </w:tcPr>
          <w:p w:rsidRPr="009055A9" w:rsidR="0023718B" w:rsidP="000E31AA" w:rsidRDefault="0023718B" w14:paraId="39AFD79C" w14:textId="7C7E67FD">
            <w:pPr>
              <w:jc w:val="right"/>
              <w:rPr>
                <w:rFonts w:asciiTheme="minorHAnsi" w:hAnsiTheme="minorHAnsi" w:cstheme="minorHAnsi"/>
                <w:sz w:val="16"/>
                <w:szCs w:val="16"/>
              </w:rPr>
            </w:pPr>
            <w:r w:rsidRPr="009055A9">
              <w:rPr>
                <w:rFonts w:asciiTheme="minorHAnsi" w:hAnsiTheme="minorHAnsi" w:cstheme="minorHAnsi"/>
                <w:color w:val="000000"/>
                <w:sz w:val="16"/>
                <w:szCs w:val="16"/>
              </w:rPr>
              <w:t>2,849</w:t>
            </w:r>
          </w:p>
        </w:tc>
        <w:tc>
          <w:tcPr>
            <w:tcW w:w="123" w:type="pct"/>
            <w:shd w:val="clear" w:color="auto" w:fill="auto"/>
            <w:noWrap/>
            <w:tcMar>
              <w:left w:w="0" w:type="dxa"/>
              <w:right w:w="43" w:type="dxa"/>
            </w:tcMar>
            <w:vAlign w:val="center"/>
            <w:hideMark/>
          </w:tcPr>
          <w:p w:rsidRPr="009055A9" w:rsidR="0023718B" w:rsidP="000E31AA" w:rsidRDefault="0023718B" w14:paraId="29EF549D" w14:textId="77A133BE">
            <w:pPr>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94" w:type="pct"/>
            <w:shd w:val="clear" w:color="auto" w:fill="auto"/>
            <w:noWrap/>
            <w:tcMar>
              <w:left w:w="0" w:type="dxa"/>
              <w:right w:w="43" w:type="dxa"/>
            </w:tcMar>
            <w:vAlign w:val="center"/>
            <w:hideMark/>
          </w:tcPr>
          <w:p w:rsidRPr="009055A9" w:rsidR="0023718B" w:rsidP="000E31AA" w:rsidRDefault="0023718B" w14:paraId="5D8DD5D0" w14:textId="1C23FBF7">
            <w:pPr>
              <w:jc w:val="right"/>
              <w:rPr>
                <w:rFonts w:asciiTheme="minorHAnsi" w:hAnsiTheme="minorHAnsi" w:cstheme="minorHAnsi"/>
                <w:sz w:val="16"/>
                <w:szCs w:val="16"/>
              </w:rPr>
            </w:pPr>
            <w:r w:rsidRPr="009055A9">
              <w:rPr>
                <w:rFonts w:asciiTheme="minorHAnsi" w:hAnsiTheme="minorHAnsi" w:cstheme="minorHAnsi"/>
                <w:color w:val="000000"/>
                <w:sz w:val="16"/>
                <w:szCs w:val="16"/>
              </w:rPr>
              <w:t>5,048</w:t>
            </w:r>
          </w:p>
        </w:tc>
        <w:tc>
          <w:tcPr>
            <w:tcW w:w="123" w:type="pct"/>
            <w:shd w:val="clear" w:color="auto" w:fill="auto"/>
            <w:noWrap/>
            <w:tcMar>
              <w:left w:w="0" w:type="dxa"/>
              <w:right w:w="43" w:type="dxa"/>
            </w:tcMar>
            <w:vAlign w:val="center"/>
            <w:hideMark/>
          </w:tcPr>
          <w:p w:rsidRPr="009055A9" w:rsidR="0023718B" w:rsidP="000E31AA" w:rsidRDefault="0023718B" w14:paraId="2550710B" w14:textId="4A815510">
            <w:pPr>
              <w:jc w:val="right"/>
              <w:rPr>
                <w:rFonts w:asciiTheme="minorHAnsi" w:hAnsiTheme="minorHAnsi" w:cstheme="minorHAnsi"/>
                <w:sz w:val="16"/>
                <w:szCs w:val="16"/>
              </w:rPr>
            </w:pPr>
            <w:r w:rsidRPr="009055A9">
              <w:rPr>
                <w:rFonts w:asciiTheme="minorHAnsi" w:hAnsiTheme="minorHAnsi" w:cstheme="minorHAnsi"/>
                <w:color w:val="000000"/>
                <w:sz w:val="16"/>
                <w:szCs w:val="16"/>
              </w:rPr>
              <w:t>28</w:t>
            </w:r>
          </w:p>
        </w:tc>
        <w:tc>
          <w:tcPr>
            <w:tcW w:w="197" w:type="pct"/>
            <w:shd w:val="clear" w:color="auto" w:fill="auto"/>
            <w:noWrap/>
            <w:tcMar>
              <w:left w:w="0" w:type="dxa"/>
              <w:right w:w="43" w:type="dxa"/>
            </w:tcMar>
            <w:vAlign w:val="center"/>
            <w:hideMark/>
          </w:tcPr>
          <w:p w:rsidRPr="009055A9" w:rsidR="0023718B" w:rsidP="000E31AA" w:rsidRDefault="0023718B" w14:paraId="1A0D7CBA" w14:textId="1BC91C26">
            <w:pPr>
              <w:jc w:val="right"/>
              <w:rPr>
                <w:rFonts w:asciiTheme="minorHAnsi" w:hAnsiTheme="minorHAnsi" w:cstheme="minorHAnsi"/>
                <w:sz w:val="16"/>
                <w:szCs w:val="16"/>
              </w:rPr>
            </w:pPr>
            <w:r w:rsidRPr="009055A9">
              <w:rPr>
                <w:rFonts w:asciiTheme="minorHAnsi" w:hAnsiTheme="minorHAnsi" w:cstheme="minorHAnsi"/>
                <w:color w:val="000000"/>
                <w:sz w:val="16"/>
                <w:szCs w:val="16"/>
              </w:rPr>
              <w:t>2,660</w:t>
            </w:r>
          </w:p>
        </w:tc>
        <w:tc>
          <w:tcPr>
            <w:tcW w:w="125" w:type="pct"/>
            <w:shd w:val="clear" w:color="auto" w:fill="auto"/>
            <w:noWrap/>
            <w:tcMar>
              <w:left w:w="0" w:type="dxa"/>
              <w:right w:w="43" w:type="dxa"/>
            </w:tcMar>
            <w:vAlign w:val="center"/>
            <w:hideMark/>
          </w:tcPr>
          <w:p w:rsidRPr="009055A9" w:rsidR="0023718B" w:rsidP="000E31AA" w:rsidRDefault="0023718B" w14:paraId="1276BB39" w14:textId="5D9EA310">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0" w:type="pct"/>
            <w:shd w:val="clear" w:color="auto" w:fill="auto"/>
            <w:noWrap/>
            <w:tcMar>
              <w:left w:w="0" w:type="dxa"/>
              <w:right w:w="43" w:type="dxa"/>
            </w:tcMar>
            <w:vAlign w:val="center"/>
            <w:hideMark/>
          </w:tcPr>
          <w:p w:rsidRPr="009055A9" w:rsidR="0023718B" w:rsidP="000E31AA" w:rsidRDefault="0023718B" w14:paraId="6FF93067" w14:textId="7380CD36">
            <w:pPr>
              <w:jc w:val="right"/>
              <w:rPr>
                <w:rFonts w:asciiTheme="minorHAnsi" w:hAnsiTheme="minorHAnsi" w:cstheme="minorHAnsi"/>
                <w:sz w:val="16"/>
                <w:szCs w:val="16"/>
              </w:rPr>
            </w:pPr>
            <w:r w:rsidRPr="009055A9">
              <w:rPr>
                <w:rFonts w:asciiTheme="minorHAnsi" w:hAnsiTheme="minorHAnsi" w:cstheme="minorHAnsi"/>
                <w:color w:val="000000"/>
                <w:sz w:val="16"/>
                <w:szCs w:val="16"/>
              </w:rPr>
              <w:t>1,942</w:t>
            </w:r>
          </w:p>
        </w:tc>
        <w:tc>
          <w:tcPr>
            <w:tcW w:w="148" w:type="pct"/>
            <w:shd w:val="clear" w:color="auto" w:fill="auto"/>
            <w:noWrap/>
            <w:tcMar>
              <w:left w:w="0" w:type="dxa"/>
              <w:right w:w="43" w:type="dxa"/>
            </w:tcMar>
            <w:vAlign w:val="center"/>
            <w:hideMark/>
          </w:tcPr>
          <w:p w:rsidRPr="009055A9" w:rsidR="0023718B" w:rsidP="000E31AA" w:rsidRDefault="0023718B" w14:paraId="45C2D02F" w14:textId="4CBCA56B">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2" w:type="pct"/>
            <w:tcMar>
              <w:left w:w="0" w:type="dxa"/>
              <w:right w:w="43" w:type="dxa"/>
            </w:tcMar>
            <w:vAlign w:val="center"/>
          </w:tcPr>
          <w:p w:rsidRPr="009055A9" w:rsidR="0023718B" w:rsidP="000E31AA" w:rsidRDefault="0023718B" w14:paraId="08D09FFF" w14:textId="7C22C53F">
            <w:pPr>
              <w:jc w:val="right"/>
              <w:rPr>
                <w:rFonts w:asciiTheme="minorHAnsi" w:hAnsiTheme="minorHAnsi" w:cstheme="minorHAnsi"/>
                <w:sz w:val="16"/>
                <w:szCs w:val="16"/>
              </w:rPr>
            </w:pPr>
            <w:r w:rsidRPr="009055A9">
              <w:rPr>
                <w:rFonts w:asciiTheme="minorHAnsi" w:hAnsiTheme="minorHAnsi" w:cstheme="minorHAnsi"/>
                <w:color w:val="000000"/>
                <w:sz w:val="16"/>
                <w:szCs w:val="16"/>
              </w:rPr>
              <w:t>2,231</w:t>
            </w:r>
          </w:p>
        </w:tc>
        <w:tc>
          <w:tcPr>
            <w:tcW w:w="124" w:type="pct"/>
            <w:tcMar>
              <w:left w:w="0" w:type="dxa"/>
              <w:right w:w="43" w:type="dxa"/>
            </w:tcMar>
            <w:vAlign w:val="center"/>
          </w:tcPr>
          <w:p w:rsidRPr="009055A9" w:rsidR="0023718B" w:rsidP="000E31AA" w:rsidRDefault="0023718B" w14:paraId="5CA3E301" w14:textId="5CF5F7BF">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3" w:type="pct"/>
            <w:tcMar>
              <w:left w:w="0" w:type="dxa"/>
              <w:right w:w="43" w:type="dxa"/>
            </w:tcMar>
            <w:vAlign w:val="center"/>
          </w:tcPr>
          <w:p w:rsidRPr="009055A9" w:rsidR="0023718B" w:rsidP="000E31AA" w:rsidRDefault="0023718B" w14:paraId="2BB1B440" w14:textId="632E4FF3">
            <w:pPr>
              <w:jc w:val="right"/>
              <w:rPr>
                <w:rFonts w:asciiTheme="minorHAnsi" w:hAnsiTheme="minorHAnsi" w:cstheme="minorHAnsi"/>
                <w:sz w:val="16"/>
                <w:szCs w:val="16"/>
              </w:rPr>
            </w:pPr>
            <w:r w:rsidRPr="009055A9">
              <w:rPr>
                <w:rFonts w:asciiTheme="minorHAnsi" w:hAnsiTheme="minorHAnsi" w:cstheme="minorHAnsi"/>
                <w:color w:val="000000"/>
                <w:sz w:val="16"/>
                <w:szCs w:val="16"/>
              </w:rPr>
              <w:t>2,020</w:t>
            </w:r>
          </w:p>
        </w:tc>
        <w:tc>
          <w:tcPr>
            <w:tcW w:w="146" w:type="pct"/>
            <w:tcMar>
              <w:left w:w="0" w:type="dxa"/>
              <w:right w:w="43" w:type="dxa"/>
            </w:tcMar>
            <w:vAlign w:val="center"/>
          </w:tcPr>
          <w:p w:rsidRPr="009055A9" w:rsidR="0023718B" w:rsidP="000E31AA" w:rsidRDefault="0023718B" w14:paraId="7919D9C8" w14:textId="02BDF6E5">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5" w:type="pct"/>
            <w:tcMar>
              <w:left w:w="0" w:type="dxa"/>
              <w:right w:w="43" w:type="dxa"/>
            </w:tcMar>
            <w:vAlign w:val="center"/>
          </w:tcPr>
          <w:p w:rsidRPr="009055A9" w:rsidR="0023718B" w:rsidP="000E31AA" w:rsidRDefault="0023718B" w14:paraId="2D9D35DE" w14:textId="4CB56BF5">
            <w:pPr>
              <w:jc w:val="right"/>
              <w:rPr>
                <w:rFonts w:asciiTheme="minorHAnsi" w:hAnsiTheme="minorHAnsi" w:cstheme="minorHAnsi"/>
                <w:sz w:val="16"/>
                <w:szCs w:val="16"/>
              </w:rPr>
            </w:pPr>
            <w:r w:rsidRPr="009055A9">
              <w:rPr>
                <w:rFonts w:asciiTheme="minorHAnsi" w:hAnsiTheme="minorHAnsi" w:cstheme="minorHAnsi"/>
                <w:color w:val="000000"/>
                <w:sz w:val="16"/>
                <w:szCs w:val="16"/>
              </w:rPr>
              <w:t>1,526</w:t>
            </w:r>
          </w:p>
        </w:tc>
        <w:tc>
          <w:tcPr>
            <w:tcW w:w="149" w:type="pct"/>
            <w:tcMar>
              <w:left w:w="0" w:type="dxa"/>
              <w:right w:w="43" w:type="dxa"/>
            </w:tcMar>
            <w:vAlign w:val="center"/>
          </w:tcPr>
          <w:p w:rsidRPr="009055A9" w:rsidR="0023718B" w:rsidP="000E31AA" w:rsidRDefault="0023718B" w14:paraId="28D5322B" w14:textId="66FB7BC2">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97" w:type="pct"/>
            <w:tcMar>
              <w:left w:w="0" w:type="dxa"/>
              <w:right w:w="43" w:type="dxa"/>
            </w:tcMar>
            <w:vAlign w:val="center"/>
          </w:tcPr>
          <w:p w:rsidRPr="009055A9" w:rsidR="0023718B" w:rsidP="000E31AA" w:rsidRDefault="0023718B" w14:paraId="6E6E491F" w14:textId="58C7A594">
            <w:pPr>
              <w:jc w:val="right"/>
              <w:rPr>
                <w:rFonts w:asciiTheme="minorHAnsi" w:hAnsiTheme="minorHAnsi" w:cstheme="minorHAnsi"/>
                <w:sz w:val="16"/>
                <w:szCs w:val="16"/>
              </w:rPr>
            </w:pPr>
            <w:r w:rsidRPr="009055A9">
              <w:rPr>
                <w:rFonts w:asciiTheme="minorHAnsi" w:hAnsiTheme="minorHAnsi" w:cstheme="minorHAnsi"/>
                <w:color w:val="000000"/>
                <w:sz w:val="16"/>
                <w:szCs w:val="16"/>
              </w:rPr>
              <w:t>2,641</w:t>
            </w:r>
          </w:p>
        </w:tc>
        <w:tc>
          <w:tcPr>
            <w:tcW w:w="148" w:type="pct"/>
            <w:tcMar>
              <w:left w:w="0" w:type="dxa"/>
              <w:right w:w="43" w:type="dxa"/>
            </w:tcMar>
            <w:vAlign w:val="center"/>
          </w:tcPr>
          <w:p w:rsidRPr="009055A9" w:rsidR="0023718B" w:rsidP="000E31AA" w:rsidRDefault="0023718B" w14:paraId="4038DF1E" w14:textId="7E281260">
            <w:pPr>
              <w:jc w:val="right"/>
              <w:rPr>
                <w:rFonts w:asciiTheme="minorHAnsi" w:hAnsiTheme="minorHAnsi" w:cstheme="minorHAnsi"/>
                <w:sz w:val="16"/>
                <w:szCs w:val="16"/>
              </w:rPr>
            </w:pPr>
            <w:r w:rsidRPr="009055A9">
              <w:rPr>
                <w:rFonts w:asciiTheme="minorHAnsi" w:hAnsiTheme="minorHAnsi" w:cstheme="minorHAnsi"/>
                <w:color w:val="000000"/>
                <w:sz w:val="16"/>
                <w:szCs w:val="16"/>
              </w:rPr>
              <w:t>23</w:t>
            </w:r>
          </w:p>
        </w:tc>
        <w:tc>
          <w:tcPr>
            <w:tcW w:w="196" w:type="pct"/>
            <w:tcMar>
              <w:left w:w="0" w:type="dxa"/>
              <w:right w:w="43" w:type="dxa"/>
            </w:tcMar>
            <w:vAlign w:val="center"/>
          </w:tcPr>
          <w:p w:rsidRPr="009055A9" w:rsidR="0023718B" w:rsidP="000E31AA" w:rsidRDefault="0023718B" w14:paraId="2DE017EA" w14:textId="6255F77E">
            <w:pPr>
              <w:jc w:val="right"/>
              <w:rPr>
                <w:rFonts w:asciiTheme="minorHAnsi" w:hAnsiTheme="minorHAnsi" w:cstheme="minorHAnsi"/>
                <w:sz w:val="16"/>
                <w:szCs w:val="16"/>
              </w:rPr>
            </w:pPr>
            <w:r w:rsidRPr="009055A9">
              <w:rPr>
                <w:rFonts w:asciiTheme="minorHAnsi" w:hAnsiTheme="minorHAnsi" w:cstheme="minorHAnsi"/>
                <w:color w:val="000000"/>
                <w:sz w:val="16"/>
                <w:szCs w:val="16"/>
              </w:rPr>
              <w:t>2,449</w:t>
            </w:r>
          </w:p>
        </w:tc>
        <w:tc>
          <w:tcPr>
            <w:tcW w:w="143" w:type="pct"/>
            <w:tcMar>
              <w:left w:w="0" w:type="dxa"/>
              <w:right w:w="43" w:type="dxa"/>
            </w:tcMar>
            <w:vAlign w:val="center"/>
          </w:tcPr>
          <w:p w:rsidRPr="009055A9" w:rsidR="0023718B" w:rsidP="000E31AA" w:rsidRDefault="0023718B" w14:paraId="55E888A1" w14:textId="1704781D">
            <w:pPr>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78" w:type="pct"/>
            <w:shd w:val="clear" w:color="000000" w:fill="FFFFFF"/>
            <w:noWrap/>
            <w:tcMar>
              <w:left w:w="0" w:type="dxa"/>
              <w:right w:w="43" w:type="dxa"/>
            </w:tcMar>
            <w:vAlign w:val="center"/>
          </w:tcPr>
          <w:p w:rsidRPr="003148DB" w:rsidR="0023718B" w:rsidP="000E31AA" w:rsidRDefault="0023718B" w14:paraId="5DB98326" w14:textId="00DB457F">
            <w:pPr>
              <w:jc w:val="right"/>
              <w:rPr>
                <w:rFonts w:asciiTheme="minorHAnsi" w:hAnsiTheme="minorHAnsi" w:cstheme="minorHAnsi"/>
                <w:sz w:val="16"/>
                <w:szCs w:val="16"/>
              </w:rPr>
            </w:pPr>
            <w:r w:rsidRPr="003148DB">
              <w:rPr>
                <w:rFonts w:asciiTheme="minorHAnsi" w:hAnsiTheme="minorHAnsi" w:cstheme="minorHAnsi"/>
                <w:color w:val="000000"/>
                <w:sz w:val="16"/>
                <w:szCs w:val="16"/>
              </w:rPr>
              <w:t>2,660</w:t>
            </w:r>
          </w:p>
        </w:tc>
        <w:tc>
          <w:tcPr>
            <w:tcW w:w="151" w:type="pct"/>
            <w:shd w:val="clear" w:color="000000" w:fill="FFFFFF"/>
            <w:noWrap/>
            <w:tcMar>
              <w:left w:w="0" w:type="dxa"/>
              <w:right w:w="43" w:type="dxa"/>
            </w:tcMar>
            <w:vAlign w:val="center"/>
          </w:tcPr>
          <w:p w:rsidRPr="003148DB" w:rsidR="0023718B" w:rsidP="000E31AA" w:rsidRDefault="0023718B" w14:paraId="30E92E1C" w14:textId="7705DAEC">
            <w:pPr>
              <w:jc w:val="right"/>
              <w:rPr>
                <w:rFonts w:asciiTheme="minorHAnsi" w:hAnsiTheme="minorHAnsi" w:cstheme="minorHAnsi"/>
                <w:sz w:val="16"/>
                <w:szCs w:val="16"/>
              </w:rPr>
            </w:pPr>
            <w:r w:rsidRPr="003148DB">
              <w:rPr>
                <w:rFonts w:asciiTheme="minorHAnsi" w:hAnsiTheme="minorHAnsi" w:cstheme="minorHAnsi"/>
                <w:color w:val="000000"/>
                <w:sz w:val="16"/>
                <w:szCs w:val="16"/>
              </w:rPr>
              <w:t>17.5</w:t>
            </w:r>
          </w:p>
        </w:tc>
      </w:tr>
      <w:tr w:rsidRPr="003148DB" w:rsidR="0023718B" w:rsidTr="000D41FC" w14:paraId="33064CF5"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55A4DAB2"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3066BFFF" w14:textId="7123A001">
            <w:pPr>
              <w:rPr>
                <w:rFonts w:asciiTheme="minorHAnsi" w:hAnsiTheme="minorHAnsi" w:cstheme="minorHAnsi"/>
                <w:sz w:val="16"/>
                <w:szCs w:val="16"/>
              </w:rPr>
            </w:pPr>
            <w:r w:rsidRPr="009055A9">
              <w:rPr>
                <w:rFonts w:asciiTheme="minorHAnsi" w:hAnsiTheme="minorHAnsi" w:cstheme="minorHAnsi"/>
                <w:color w:val="000000"/>
                <w:sz w:val="16"/>
                <w:szCs w:val="16"/>
              </w:rPr>
              <w:t>STP Nuclear</w:t>
            </w:r>
          </w:p>
        </w:tc>
        <w:tc>
          <w:tcPr>
            <w:tcW w:w="321" w:type="pct"/>
            <w:shd w:val="clear" w:color="auto" w:fill="auto"/>
            <w:noWrap/>
            <w:tcMar>
              <w:left w:w="58" w:type="dxa"/>
              <w:right w:w="29" w:type="dxa"/>
            </w:tcMar>
            <w:vAlign w:val="center"/>
            <w:hideMark/>
          </w:tcPr>
          <w:p w:rsidRPr="009055A9" w:rsidR="0023718B" w:rsidP="000E31AA" w:rsidRDefault="0023718B" w14:paraId="70E0719A" w14:textId="174C4A7C">
            <w:pPr>
              <w:rPr>
                <w:rFonts w:asciiTheme="minorHAnsi" w:hAnsiTheme="minorHAnsi" w:cstheme="minorHAnsi"/>
                <w:sz w:val="16"/>
                <w:szCs w:val="16"/>
              </w:rPr>
            </w:pPr>
            <w:r w:rsidRPr="009055A9">
              <w:rPr>
                <w:rFonts w:asciiTheme="minorHAnsi" w:hAnsiTheme="minorHAnsi" w:cstheme="minorHAnsi"/>
                <w:color w:val="000000"/>
                <w:sz w:val="16"/>
                <w:szCs w:val="16"/>
              </w:rPr>
              <w:t>South Texas Project</w:t>
            </w:r>
          </w:p>
        </w:tc>
        <w:tc>
          <w:tcPr>
            <w:tcW w:w="123" w:type="pct"/>
            <w:shd w:val="clear" w:color="auto" w:fill="auto"/>
            <w:noWrap/>
            <w:tcMar>
              <w:left w:w="58" w:type="dxa"/>
              <w:right w:w="58" w:type="dxa"/>
            </w:tcMar>
            <w:vAlign w:val="center"/>
            <w:hideMark/>
          </w:tcPr>
          <w:p w:rsidRPr="009055A9" w:rsidR="0023718B" w:rsidP="000E31AA" w:rsidRDefault="0023718B" w14:paraId="6D730439" w14:textId="6EA1DDBF">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7075F278" w14:textId="626470EB">
            <w:pPr>
              <w:jc w:val="right"/>
              <w:rPr>
                <w:rFonts w:asciiTheme="minorHAnsi" w:hAnsiTheme="minorHAnsi" w:cstheme="minorHAnsi"/>
                <w:sz w:val="16"/>
                <w:szCs w:val="16"/>
              </w:rPr>
            </w:pPr>
            <w:r w:rsidRPr="009055A9">
              <w:rPr>
                <w:rFonts w:asciiTheme="minorHAnsi" w:hAnsiTheme="minorHAnsi" w:cstheme="minorHAnsi"/>
                <w:color w:val="000000"/>
                <w:sz w:val="16"/>
                <w:szCs w:val="16"/>
              </w:rPr>
              <w:t>2,672</w:t>
            </w:r>
          </w:p>
        </w:tc>
        <w:tc>
          <w:tcPr>
            <w:tcW w:w="123" w:type="pct"/>
            <w:shd w:val="clear" w:color="auto" w:fill="auto"/>
            <w:noWrap/>
            <w:tcMar>
              <w:left w:w="0" w:type="dxa"/>
              <w:right w:w="43" w:type="dxa"/>
            </w:tcMar>
            <w:vAlign w:val="center"/>
            <w:hideMark/>
          </w:tcPr>
          <w:p w:rsidRPr="009055A9" w:rsidR="0023718B" w:rsidP="000E31AA" w:rsidRDefault="0023718B" w14:paraId="77E3D7DB" w14:textId="17439348">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0" w:type="pct"/>
            <w:shd w:val="clear" w:color="auto" w:fill="auto"/>
            <w:noWrap/>
            <w:tcMar>
              <w:left w:w="0" w:type="dxa"/>
              <w:right w:w="43" w:type="dxa"/>
            </w:tcMar>
            <w:vAlign w:val="center"/>
            <w:hideMark/>
          </w:tcPr>
          <w:p w:rsidRPr="009055A9" w:rsidR="0023718B" w:rsidP="000E31AA" w:rsidRDefault="0023718B" w14:paraId="7ADCECE8" w14:textId="44F33F76">
            <w:pPr>
              <w:jc w:val="right"/>
              <w:rPr>
                <w:rFonts w:asciiTheme="minorHAnsi" w:hAnsiTheme="minorHAnsi" w:cstheme="minorHAnsi"/>
                <w:sz w:val="16"/>
                <w:szCs w:val="16"/>
              </w:rPr>
            </w:pPr>
            <w:r w:rsidRPr="009055A9">
              <w:rPr>
                <w:rFonts w:asciiTheme="minorHAnsi" w:hAnsiTheme="minorHAnsi" w:cstheme="minorHAnsi"/>
                <w:color w:val="000000"/>
                <w:sz w:val="16"/>
                <w:szCs w:val="16"/>
              </w:rPr>
              <w:t>2,757</w:t>
            </w:r>
          </w:p>
        </w:tc>
        <w:tc>
          <w:tcPr>
            <w:tcW w:w="125" w:type="pct"/>
            <w:shd w:val="clear" w:color="auto" w:fill="auto"/>
            <w:noWrap/>
            <w:tcMar>
              <w:left w:w="0" w:type="dxa"/>
              <w:right w:w="43" w:type="dxa"/>
            </w:tcMar>
            <w:vAlign w:val="center"/>
            <w:hideMark/>
          </w:tcPr>
          <w:p w:rsidRPr="009055A9" w:rsidR="0023718B" w:rsidP="000E31AA" w:rsidRDefault="0023718B" w14:paraId="08798655" w14:textId="37BAE73F">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2" w:type="pct"/>
            <w:shd w:val="clear" w:color="auto" w:fill="auto"/>
            <w:noWrap/>
            <w:tcMar>
              <w:left w:w="0" w:type="dxa"/>
              <w:right w:w="43" w:type="dxa"/>
            </w:tcMar>
            <w:vAlign w:val="center"/>
            <w:hideMark/>
          </w:tcPr>
          <w:p w:rsidRPr="009055A9" w:rsidR="0023718B" w:rsidP="000E31AA" w:rsidRDefault="0023718B" w14:paraId="39231CB5" w14:textId="54DBFC88">
            <w:pPr>
              <w:jc w:val="right"/>
              <w:rPr>
                <w:rFonts w:asciiTheme="minorHAnsi" w:hAnsiTheme="minorHAnsi" w:cstheme="minorHAnsi"/>
                <w:sz w:val="16"/>
                <w:szCs w:val="16"/>
              </w:rPr>
            </w:pPr>
            <w:r w:rsidRPr="009055A9">
              <w:rPr>
                <w:rFonts w:asciiTheme="minorHAnsi" w:hAnsiTheme="minorHAnsi" w:cstheme="minorHAnsi"/>
                <w:color w:val="000000"/>
                <w:sz w:val="16"/>
                <w:szCs w:val="16"/>
              </w:rPr>
              <w:t>3,082</w:t>
            </w:r>
          </w:p>
        </w:tc>
        <w:tc>
          <w:tcPr>
            <w:tcW w:w="123" w:type="pct"/>
            <w:shd w:val="clear" w:color="auto" w:fill="auto"/>
            <w:noWrap/>
            <w:tcMar>
              <w:left w:w="0" w:type="dxa"/>
              <w:right w:w="43" w:type="dxa"/>
            </w:tcMar>
            <w:vAlign w:val="center"/>
            <w:hideMark/>
          </w:tcPr>
          <w:p w:rsidRPr="009055A9" w:rsidR="0023718B" w:rsidP="000E31AA" w:rsidRDefault="0023718B" w14:paraId="13111D94" w14:textId="735925ED">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4" w:type="pct"/>
            <w:shd w:val="clear" w:color="auto" w:fill="auto"/>
            <w:noWrap/>
            <w:tcMar>
              <w:left w:w="0" w:type="dxa"/>
              <w:right w:w="43" w:type="dxa"/>
            </w:tcMar>
            <w:vAlign w:val="center"/>
            <w:hideMark/>
          </w:tcPr>
          <w:p w:rsidRPr="009055A9" w:rsidR="0023718B" w:rsidP="000E31AA" w:rsidRDefault="0023718B" w14:paraId="12A877BB" w14:textId="299CD3CC">
            <w:pPr>
              <w:jc w:val="right"/>
              <w:rPr>
                <w:rFonts w:asciiTheme="minorHAnsi" w:hAnsiTheme="minorHAnsi" w:cstheme="minorHAnsi"/>
                <w:sz w:val="16"/>
                <w:szCs w:val="16"/>
              </w:rPr>
            </w:pPr>
            <w:r w:rsidRPr="009055A9">
              <w:rPr>
                <w:rFonts w:asciiTheme="minorHAnsi" w:hAnsiTheme="minorHAnsi" w:cstheme="minorHAnsi"/>
                <w:color w:val="000000"/>
                <w:sz w:val="16"/>
                <w:szCs w:val="16"/>
              </w:rPr>
              <w:t>2,302</w:t>
            </w:r>
          </w:p>
        </w:tc>
        <w:tc>
          <w:tcPr>
            <w:tcW w:w="123" w:type="pct"/>
            <w:shd w:val="clear" w:color="auto" w:fill="auto"/>
            <w:noWrap/>
            <w:tcMar>
              <w:left w:w="0" w:type="dxa"/>
              <w:right w:w="43" w:type="dxa"/>
            </w:tcMar>
            <w:vAlign w:val="center"/>
            <w:hideMark/>
          </w:tcPr>
          <w:p w:rsidRPr="009055A9" w:rsidR="0023718B" w:rsidP="000E31AA" w:rsidRDefault="0023718B" w14:paraId="640606EA" w14:textId="484119CF">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97" w:type="pct"/>
            <w:shd w:val="clear" w:color="auto" w:fill="auto"/>
            <w:noWrap/>
            <w:tcMar>
              <w:left w:w="0" w:type="dxa"/>
              <w:right w:w="43" w:type="dxa"/>
            </w:tcMar>
            <w:vAlign w:val="center"/>
            <w:hideMark/>
          </w:tcPr>
          <w:p w:rsidRPr="009055A9" w:rsidR="0023718B" w:rsidP="000E31AA" w:rsidRDefault="0023718B" w14:paraId="564431DF" w14:textId="6F08DC80">
            <w:pPr>
              <w:jc w:val="right"/>
              <w:rPr>
                <w:rFonts w:asciiTheme="minorHAnsi" w:hAnsiTheme="minorHAnsi" w:cstheme="minorHAnsi"/>
                <w:sz w:val="16"/>
                <w:szCs w:val="16"/>
              </w:rPr>
            </w:pPr>
            <w:r w:rsidRPr="009055A9">
              <w:rPr>
                <w:rFonts w:asciiTheme="minorHAnsi" w:hAnsiTheme="minorHAnsi" w:cstheme="minorHAnsi"/>
                <w:color w:val="000000"/>
                <w:sz w:val="16"/>
                <w:szCs w:val="16"/>
              </w:rPr>
              <w:t>2,629</w:t>
            </w:r>
          </w:p>
        </w:tc>
        <w:tc>
          <w:tcPr>
            <w:tcW w:w="125" w:type="pct"/>
            <w:shd w:val="clear" w:color="auto" w:fill="auto"/>
            <w:noWrap/>
            <w:tcMar>
              <w:left w:w="0" w:type="dxa"/>
              <w:right w:w="43" w:type="dxa"/>
            </w:tcMar>
            <w:vAlign w:val="center"/>
            <w:hideMark/>
          </w:tcPr>
          <w:p w:rsidRPr="009055A9" w:rsidR="0023718B" w:rsidP="000E31AA" w:rsidRDefault="0023718B" w14:paraId="113A2350" w14:textId="14A66FD6">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0" w:type="pct"/>
            <w:shd w:val="clear" w:color="auto" w:fill="auto"/>
            <w:noWrap/>
            <w:tcMar>
              <w:left w:w="0" w:type="dxa"/>
              <w:right w:w="43" w:type="dxa"/>
            </w:tcMar>
            <w:vAlign w:val="center"/>
            <w:hideMark/>
          </w:tcPr>
          <w:p w:rsidRPr="009055A9" w:rsidR="0023718B" w:rsidP="000E31AA" w:rsidRDefault="0023718B" w14:paraId="7E696BBB" w14:textId="08D1FB87">
            <w:pPr>
              <w:jc w:val="right"/>
              <w:rPr>
                <w:rFonts w:asciiTheme="minorHAnsi" w:hAnsiTheme="minorHAnsi" w:cstheme="minorHAnsi"/>
                <w:sz w:val="16"/>
                <w:szCs w:val="16"/>
              </w:rPr>
            </w:pPr>
            <w:r w:rsidRPr="009055A9">
              <w:rPr>
                <w:rFonts w:asciiTheme="minorHAnsi" w:hAnsiTheme="minorHAnsi" w:cstheme="minorHAnsi"/>
                <w:color w:val="000000"/>
                <w:sz w:val="16"/>
                <w:szCs w:val="16"/>
              </w:rPr>
              <w:t>2,428</w:t>
            </w:r>
          </w:p>
        </w:tc>
        <w:tc>
          <w:tcPr>
            <w:tcW w:w="148" w:type="pct"/>
            <w:shd w:val="clear" w:color="auto" w:fill="auto"/>
            <w:noWrap/>
            <w:tcMar>
              <w:left w:w="0" w:type="dxa"/>
              <w:right w:w="43" w:type="dxa"/>
            </w:tcMar>
            <w:vAlign w:val="center"/>
            <w:hideMark/>
          </w:tcPr>
          <w:p w:rsidRPr="009055A9" w:rsidR="0023718B" w:rsidP="000E31AA" w:rsidRDefault="0023718B" w14:paraId="2D56E390" w14:textId="0F7341B1">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2" w:type="pct"/>
            <w:tcMar>
              <w:left w:w="0" w:type="dxa"/>
              <w:right w:w="43" w:type="dxa"/>
            </w:tcMar>
            <w:vAlign w:val="center"/>
          </w:tcPr>
          <w:p w:rsidRPr="009055A9" w:rsidR="0023718B" w:rsidP="000E31AA" w:rsidRDefault="0023718B" w14:paraId="20ACCEF0" w14:textId="53ABEA42">
            <w:pPr>
              <w:jc w:val="right"/>
              <w:rPr>
                <w:rFonts w:asciiTheme="minorHAnsi" w:hAnsiTheme="minorHAnsi" w:cstheme="minorHAnsi"/>
                <w:sz w:val="16"/>
                <w:szCs w:val="16"/>
              </w:rPr>
            </w:pPr>
            <w:r w:rsidRPr="009055A9">
              <w:rPr>
                <w:rFonts w:asciiTheme="minorHAnsi" w:hAnsiTheme="minorHAnsi" w:cstheme="minorHAnsi"/>
                <w:color w:val="000000"/>
                <w:sz w:val="16"/>
                <w:szCs w:val="16"/>
              </w:rPr>
              <w:t>3,109</w:t>
            </w:r>
          </w:p>
        </w:tc>
        <w:tc>
          <w:tcPr>
            <w:tcW w:w="124" w:type="pct"/>
            <w:tcMar>
              <w:left w:w="0" w:type="dxa"/>
              <w:right w:w="43" w:type="dxa"/>
            </w:tcMar>
            <w:vAlign w:val="center"/>
          </w:tcPr>
          <w:p w:rsidRPr="009055A9" w:rsidR="0023718B" w:rsidP="000E31AA" w:rsidRDefault="0023718B" w14:paraId="094F76FE" w14:textId="0546C058">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3" w:type="pct"/>
            <w:tcMar>
              <w:left w:w="0" w:type="dxa"/>
              <w:right w:w="43" w:type="dxa"/>
            </w:tcMar>
            <w:vAlign w:val="center"/>
          </w:tcPr>
          <w:p w:rsidRPr="009055A9" w:rsidR="0023718B" w:rsidP="000E31AA" w:rsidRDefault="0023718B" w14:paraId="748E6EDA" w14:textId="064DA5B2">
            <w:pPr>
              <w:jc w:val="right"/>
              <w:rPr>
                <w:rFonts w:asciiTheme="minorHAnsi" w:hAnsiTheme="minorHAnsi" w:cstheme="minorHAnsi"/>
                <w:sz w:val="16"/>
                <w:szCs w:val="16"/>
              </w:rPr>
            </w:pPr>
            <w:r w:rsidRPr="009055A9">
              <w:rPr>
                <w:rFonts w:asciiTheme="minorHAnsi" w:hAnsiTheme="minorHAnsi" w:cstheme="minorHAnsi"/>
                <w:color w:val="000000"/>
                <w:sz w:val="16"/>
                <w:szCs w:val="16"/>
              </w:rPr>
              <w:t>2,474</w:t>
            </w:r>
          </w:p>
        </w:tc>
        <w:tc>
          <w:tcPr>
            <w:tcW w:w="146" w:type="pct"/>
            <w:tcMar>
              <w:left w:w="0" w:type="dxa"/>
              <w:right w:w="43" w:type="dxa"/>
            </w:tcMar>
            <w:vAlign w:val="center"/>
          </w:tcPr>
          <w:p w:rsidRPr="009055A9" w:rsidR="0023718B" w:rsidP="000E31AA" w:rsidRDefault="0023718B" w14:paraId="6E849165" w14:textId="6BDA5A34">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5" w:type="pct"/>
            <w:tcMar>
              <w:left w:w="0" w:type="dxa"/>
              <w:right w:w="43" w:type="dxa"/>
            </w:tcMar>
            <w:vAlign w:val="center"/>
          </w:tcPr>
          <w:p w:rsidRPr="009055A9" w:rsidR="0023718B" w:rsidP="000E31AA" w:rsidRDefault="0023718B" w14:paraId="0CB3E1B5" w14:textId="32C3741A">
            <w:pPr>
              <w:jc w:val="right"/>
              <w:rPr>
                <w:rFonts w:asciiTheme="minorHAnsi" w:hAnsiTheme="minorHAnsi" w:cstheme="minorHAnsi"/>
                <w:sz w:val="16"/>
                <w:szCs w:val="16"/>
              </w:rPr>
            </w:pPr>
            <w:r w:rsidRPr="009055A9">
              <w:rPr>
                <w:rFonts w:asciiTheme="minorHAnsi" w:hAnsiTheme="minorHAnsi" w:cstheme="minorHAnsi"/>
                <w:color w:val="000000"/>
                <w:sz w:val="16"/>
                <w:szCs w:val="16"/>
              </w:rPr>
              <w:t>2,467</w:t>
            </w:r>
          </w:p>
        </w:tc>
        <w:tc>
          <w:tcPr>
            <w:tcW w:w="149" w:type="pct"/>
            <w:tcMar>
              <w:left w:w="0" w:type="dxa"/>
              <w:right w:w="43" w:type="dxa"/>
            </w:tcMar>
            <w:vAlign w:val="center"/>
          </w:tcPr>
          <w:p w:rsidRPr="009055A9" w:rsidR="0023718B" w:rsidP="000E31AA" w:rsidRDefault="0023718B" w14:paraId="7D95C70C" w14:textId="0F49E2FD">
            <w:pPr>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97" w:type="pct"/>
            <w:tcMar>
              <w:left w:w="0" w:type="dxa"/>
              <w:right w:w="43" w:type="dxa"/>
            </w:tcMar>
            <w:vAlign w:val="center"/>
          </w:tcPr>
          <w:p w:rsidRPr="009055A9" w:rsidR="0023718B" w:rsidP="000E31AA" w:rsidRDefault="0023718B" w14:paraId="2730173E" w14:textId="2095B9B6">
            <w:pPr>
              <w:jc w:val="right"/>
              <w:rPr>
                <w:rFonts w:asciiTheme="minorHAnsi" w:hAnsiTheme="minorHAnsi" w:cstheme="minorHAnsi"/>
                <w:sz w:val="16"/>
                <w:szCs w:val="16"/>
              </w:rPr>
            </w:pPr>
            <w:r w:rsidRPr="009055A9">
              <w:rPr>
                <w:rFonts w:asciiTheme="minorHAnsi" w:hAnsiTheme="minorHAnsi" w:cstheme="minorHAnsi"/>
                <w:color w:val="000000"/>
                <w:sz w:val="16"/>
                <w:szCs w:val="16"/>
              </w:rPr>
              <w:t>2,983</w:t>
            </w:r>
          </w:p>
        </w:tc>
        <w:tc>
          <w:tcPr>
            <w:tcW w:w="148" w:type="pct"/>
            <w:tcMar>
              <w:left w:w="0" w:type="dxa"/>
              <w:right w:w="43" w:type="dxa"/>
            </w:tcMar>
            <w:vAlign w:val="center"/>
          </w:tcPr>
          <w:p w:rsidRPr="009055A9" w:rsidR="0023718B" w:rsidP="000E31AA" w:rsidRDefault="0023718B" w14:paraId="6C244C35" w14:textId="2B023EA1">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96" w:type="pct"/>
            <w:tcMar>
              <w:left w:w="0" w:type="dxa"/>
              <w:right w:w="43" w:type="dxa"/>
            </w:tcMar>
            <w:vAlign w:val="center"/>
          </w:tcPr>
          <w:p w:rsidRPr="009055A9" w:rsidR="0023718B" w:rsidP="000E31AA" w:rsidRDefault="0023718B" w14:paraId="795EA8DF" w14:textId="10297338">
            <w:pPr>
              <w:jc w:val="right"/>
              <w:rPr>
                <w:rFonts w:asciiTheme="minorHAnsi" w:hAnsiTheme="minorHAnsi" w:cstheme="minorHAnsi"/>
                <w:sz w:val="16"/>
                <w:szCs w:val="16"/>
              </w:rPr>
            </w:pPr>
            <w:r w:rsidRPr="009055A9">
              <w:rPr>
                <w:rFonts w:asciiTheme="minorHAnsi" w:hAnsiTheme="minorHAnsi" w:cstheme="minorHAnsi"/>
                <w:color w:val="000000"/>
                <w:sz w:val="16"/>
                <w:szCs w:val="16"/>
              </w:rPr>
              <w:t>2,438</w:t>
            </w:r>
          </w:p>
        </w:tc>
        <w:tc>
          <w:tcPr>
            <w:tcW w:w="143" w:type="pct"/>
            <w:tcMar>
              <w:left w:w="0" w:type="dxa"/>
              <w:right w:w="43" w:type="dxa"/>
            </w:tcMar>
            <w:vAlign w:val="center"/>
          </w:tcPr>
          <w:p w:rsidRPr="009055A9" w:rsidR="0023718B" w:rsidP="000E31AA" w:rsidRDefault="0023718B" w14:paraId="06AABBED" w14:textId="2135DED2">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8" w:type="pct"/>
            <w:shd w:val="clear" w:color="000000" w:fill="FFFFFF"/>
            <w:noWrap/>
            <w:tcMar>
              <w:left w:w="0" w:type="dxa"/>
              <w:right w:w="43" w:type="dxa"/>
            </w:tcMar>
            <w:vAlign w:val="center"/>
          </w:tcPr>
          <w:p w:rsidRPr="003148DB" w:rsidR="0023718B" w:rsidP="000E31AA" w:rsidRDefault="0023718B" w14:paraId="7964E440" w14:textId="36AC7C02">
            <w:pPr>
              <w:jc w:val="right"/>
              <w:rPr>
                <w:rFonts w:asciiTheme="minorHAnsi" w:hAnsiTheme="minorHAnsi" w:cstheme="minorHAnsi"/>
                <w:sz w:val="16"/>
                <w:szCs w:val="16"/>
              </w:rPr>
            </w:pPr>
            <w:r w:rsidRPr="003148DB">
              <w:rPr>
                <w:rFonts w:asciiTheme="minorHAnsi" w:hAnsiTheme="minorHAnsi" w:cstheme="minorHAnsi"/>
                <w:color w:val="000000"/>
                <w:sz w:val="16"/>
                <w:szCs w:val="16"/>
              </w:rPr>
              <w:t>2,667</w:t>
            </w:r>
          </w:p>
        </w:tc>
        <w:tc>
          <w:tcPr>
            <w:tcW w:w="151" w:type="pct"/>
            <w:shd w:val="clear" w:color="000000" w:fill="FFFFFF"/>
            <w:noWrap/>
            <w:tcMar>
              <w:left w:w="0" w:type="dxa"/>
              <w:right w:w="43" w:type="dxa"/>
            </w:tcMar>
            <w:vAlign w:val="center"/>
          </w:tcPr>
          <w:p w:rsidRPr="003148DB" w:rsidR="0023718B" w:rsidP="000E31AA" w:rsidRDefault="0023718B" w14:paraId="2E955C65" w14:textId="121E29E1">
            <w:pPr>
              <w:jc w:val="right"/>
              <w:rPr>
                <w:rFonts w:asciiTheme="minorHAnsi" w:hAnsiTheme="minorHAnsi" w:cstheme="minorHAnsi"/>
                <w:sz w:val="16"/>
                <w:szCs w:val="16"/>
              </w:rPr>
            </w:pPr>
            <w:r w:rsidRPr="003148DB">
              <w:rPr>
                <w:rFonts w:asciiTheme="minorHAnsi" w:hAnsiTheme="minorHAnsi" w:cstheme="minorHAnsi"/>
                <w:color w:val="000000"/>
                <w:sz w:val="16"/>
                <w:szCs w:val="16"/>
              </w:rPr>
              <w:t>15.5</w:t>
            </w:r>
          </w:p>
        </w:tc>
      </w:tr>
      <w:tr w:rsidRPr="003148DB" w:rsidR="0023718B" w:rsidTr="000D41FC" w14:paraId="65446D06" w14:textId="77777777">
        <w:trPr>
          <w:trHeight w:val="276"/>
        </w:trPr>
        <w:tc>
          <w:tcPr>
            <w:tcW w:w="268" w:type="pct"/>
            <w:vMerge/>
            <w:shd w:val="clear" w:color="auto" w:fill="auto"/>
            <w:noWrap/>
            <w:tcMar>
              <w:left w:w="58" w:type="dxa"/>
              <w:right w:w="58" w:type="dxa"/>
            </w:tcMar>
            <w:vAlign w:val="center"/>
            <w:hideMark/>
          </w:tcPr>
          <w:p w:rsidRPr="00196D17" w:rsidR="0023718B" w:rsidP="000E31AA" w:rsidRDefault="0023718B" w14:paraId="13C32AAC"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4148CFE4" w14:textId="199A94C1">
            <w:pPr>
              <w:rPr>
                <w:rFonts w:asciiTheme="minorHAnsi" w:hAnsiTheme="minorHAnsi" w:cstheme="minorHAnsi"/>
                <w:sz w:val="16"/>
                <w:szCs w:val="16"/>
              </w:rPr>
            </w:pPr>
            <w:r w:rsidRPr="009055A9">
              <w:rPr>
                <w:rFonts w:asciiTheme="minorHAnsi" w:hAnsiTheme="minorHAnsi" w:cstheme="minorHAnsi"/>
                <w:color w:val="000000"/>
                <w:sz w:val="16"/>
                <w:szCs w:val="16"/>
              </w:rPr>
              <w:t>NextEra Energy</w:t>
            </w:r>
          </w:p>
        </w:tc>
        <w:tc>
          <w:tcPr>
            <w:tcW w:w="321" w:type="pct"/>
            <w:shd w:val="clear" w:color="auto" w:fill="auto"/>
            <w:noWrap/>
            <w:tcMar>
              <w:left w:w="58" w:type="dxa"/>
              <w:right w:w="29" w:type="dxa"/>
            </w:tcMar>
            <w:vAlign w:val="center"/>
            <w:hideMark/>
          </w:tcPr>
          <w:p w:rsidRPr="009055A9" w:rsidR="0023718B" w:rsidP="000E31AA" w:rsidRDefault="0023718B" w14:paraId="215C3BA4" w14:textId="5D35B624">
            <w:pPr>
              <w:rPr>
                <w:rFonts w:asciiTheme="minorHAnsi" w:hAnsiTheme="minorHAnsi" w:cstheme="minorHAnsi"/>
                <w:sz w:val="16"/>
                <w:szCs w:val="16"/>
              </w:rPr>
            </w:pPr>
            <w:r w:rsidRPr="009055A9">
              <w:rPr>
                <w:rFonts w:asciiTheme="minorHAnsi" w:hAnsiTheme="minorHAnsi" w:cstheme="minorHAnsi"/>
                <w:color w:val="000000"/>
                <w:sz w:val="16"/>
                <w:szCs w:val="16"/>
              </w:rPr>
              <w:t>St. Lucie</w:t>
            </w:r>
          </w:p>
        </w:tc>
        <w:tc>
          <w:tcPr>
            <w:tcW w:w="123" w:type="pct"/>
            <w:shd w:val="clear" w:color="auto" w:fill="auto"/>
            <w:noWrap/>
            <w:tcMar>
              <w:left w:w="58" w:type="dxa"/>
              <w:right w:w="58" w:type="dxa"/>
            </w:tcMar>
            <w:vAlign w:val="center"/>
            <w:hideMark/>
          </w:tcPr>
          <w:p w:rsidRPr="009055A9" w:rsidR="0023718B" w:rsidP="000E31AA" w:rsidRDefault="0023718B" w14:paraId="6A68C5F0" w14:textId="4A3A6AC1">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507E6D57" w14:textId="29F1F65E">
            <w:pPr>
              <w:jc w:val="right"/>
              <w:rPr>
                <w:rFonts w:asciiTheme="minorHAnsi" w:hAnsiTheme="minorHAnsi" w:cstheme="minorHAnsi"/>
                <w:sz w:val="16"/>
                <w:szCs w:val="16"/>
              </w:rPr>
            </w:pPr>
            <w:r w:rsidRPr="009055A9">
              <w:rPr>
                <w:rFonts w:asciiTheme="minorHAnsi" w:hAnsiTheme="minorHAnsi" w:cstheme="minorHAnsi"/>
                <w:color w:val="000000"/>
                <w:sz w:val="16"/>
                <w:szCs w:val="16"/>
              </w:rPr>
              <w:t>2,525</w:t>
            </w:r>
          </w:p>
        </w:tc>
        <w:tc>
          <w:tcPr>
            <w:tcW w:w="123" w:type="pct"/>
            <w:shd w:val="clear" w:color="auto" w:fill="auto"/>
            <w:noWrap/>
            <w:tcMar>
              <w:left w:w="0" w:type="dxa"/>
              <w:right w:w="43" w:type="dxa"/>
            </w:tcMar>
            <w:vAlign w:val="center"/>
            <w:hideMark/>
          </w:tcPr>
          <w:p w:rsidRPr="009055A9" w:rsidR="0023718B" w:rsidP="000E31AA" w:rsidRDefault="0023718B" w14:paraId="1D3584B0" w14:textId="0C39552D">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0" w:type="pct"/>
            <w:shd w:val="clear" w:color="auto" w:fill="auto"/>
            <w:noWrap/>
            <w:tcMar>
              <w:left w:w="0" w:type="dxa"/>
              <w:right w:w="43" w:type="dxa"/>
            </w:tcMar>
            <w:vAlign w:val="center"/>
            <w:hideMark/>
          </w:tcPr>
          <w:p w:rsidRPr="009055A9" w:rsidR="0023718B" w:rsidP="000E31AA" w:rsidRDefault="0023718B" w14:paraId="293024DD" w14:textId="2C1D7672">
            <w:pPr>
              <w:jc w:val="right"/>
              <w:rPr>
                <w:rFonts w:asciiTheme="minorHAnsi" w:hAnsiTheme="minorHAnsi" w:cstheme="minorHAnsi"/>
                <w:sz w:val="16"/>
                <w:szCs w:val="16"/>
              </w:rPr>
            </w:pPr>
            <w:r w:rsidRPr="009055A9">
              <w:rPr>
                <w:rFonts w:asciiTheme="minorHAnsi" w:hAnsiTheme="minorHAnsi" w:cstheme="minorHAnsi"/>
                <w:color w:val="000000"/>
                <w:sz w:val="16"/>
                <w:szCs w:val="16"/>
              </w:rPr>
              <w:t>4,534</w:t>
            </w:r>
          </w:p>
        </w:tc>
        <w:tc>
          <w:tcPr>
            <w:tcW w:w="125" w:type="pct"/>
            <w:shd w:val="clear" w:color="auto" w:fill="auto"/>
            <w:noWrap/>
            <w:tcMar>
              <w:left w:w="0" w:type="dxa"/>
              <w:right w:w="43" w:type="dxa"/>
            </w:tcMar>
            <w:vAlign w:val="center"/>
            <w:hideMark/>
          </w:tcPr>
          <w:p w:rsidRPr="009055A9" w:rsidR="0023718B" w:rsidP="000E31AA" w:rsidRDefault="0023718B" w14:paraId="3702EC5B" w14:textId="525717CE">
            <w:pPr>
              <w:jc w:val="right"/>
              <w:rPr>
                <w:rFonts w:asciiTheme="minorHAnsi" w:hAnsiTheme="minorHAnsi" w:cstheme="minorHAnsi"/>
                <w:sz w:val="16"/>
                <w:szCs w:val="16"/>
              </w:rPr>
            </w:pPr>
            <w:r w:rsidRPr="009055A9">
              <w:rPr>
                <w:rFonts w:asciiTheme="minorHAnsi" w:hAnsiTheme="minorHAnsi" w:cstheme="minorHAnsi"/>
                <w:color w:val="000000"/>
                <w:sz w:val="16"/>
                <w:szCs w:val="16"/>
              </w:rPr>
              <w:t>26</w:t>
            </w:r>
          </w:p>
        </w:tc>
        <w:tc>
          <w:tcPr>
            <w:tcW w:w="172" w:type="pct"/>
            <w:shd w:val="clear" w:color="auto" w:fill="auto"/>
            <w:noWrap/>
            <w:tcMar>
              <w:left w:w="0" w:type="dxa"/>
              <w:right w:w="43" w:type="dxa"/>
            </w:tcMar>
            <w:vAlign w:val="center"/>
            <w:hideMark/>
          </w:tcPr>
          <w:p w:rsidRPr="009055A9" w:rsidR="0023718B" w:rsidP="000E31AA" w:rsidRDefault="0023718B" w14:paraId="06323023" w14:textId="12027901">
            <w:pPr>
              <w:jc w:val="right"/>
              <w:rPr>
                <w:rFonts w:asciiTheme="minorHAnsi" w:hAnsiTheme="minorHAnsi" w:cstheme="minorHAnsi"/>
                <w:sz w:val="16"/>
                <w:szCs w:val="16"/>
              </w:rPr>
            </w:pPr>
            <w:r w:rsidRPr="009055A9">
              <w:rPr>
                <w:rFonts w:asciiTheme="minorHAnsi" w:hAnsiTheme="minorHAnsi" w:cstheme="minorHAnsi"/>
                <w:color w:val="000000"/>
                <w:sz w:val="16"/>
                <w:szCs w:val="16"/>
              </w:rPr>
              <w:t>5,204</w:t>
            </w:r>
          </w:p>
        </w:tc>
        <w:tc>
          <w:tcPr>
            <w:tcW w:w="123" w:type="pct"/>
            <w:shd w:val="clear" w:color="auto" w:fill="auto"/>
            <w:noWrap/>
            <w:tcMar>
              <w:left w:w="0" w:type="dxa"/>
              <w:right w:w="43" w:type="dxa"/>
            </w:tcMar>
            <w:vAlign w:val="center"/>
            <w:hideMark/>
          </w:tcPr>
          <w:p w:rsidRPr="009055A9" w:rsidR="0023718B" w:rsidP="000E31AA" w:rsidRDefault="0023718B" w14:paraId="4E6D505B" w14:textId="17DD828D">
            <w:pPr>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94" w:type="pct"/>
            <w:shd w:val="clear" w:color="auto" w:fill="auto"/>
            <w:noWrap/>
            <w:tcMar>
              <w:left w:w="0" w:type="dxa"/>
              <w:right w:w="43" w:type="dxa"/>
            </w:tcMar>
            <w:vAlign w:val="center"/>
            <w:hideMark/>
          </w:tcPr>
          <w:p w:rsidRPr="009055A9" w:rsidR="0023718B" w:rsidP="000E31AA" w:rsidRDefault="0023718B" w14:paraId="52B0A240" w14:textId="43E50BA0">
            <w:pPr>
              <w:jc w:val="right"/>
              <w:rPr>
                <w:rFonts w:asciiTheme="minorHAnsi" w:hAnsiTheme="minorHAnsi" w:cstheme="minorHAnsi"/>
                <w:sz w:val="16"/>
                <w:szCs w:val="16"/>
              </w:rPr>
            </w:pPr>
            <w:r w:rsidRPr="009055A9">
              <w:rPr>
                <w:rFonts w:asciiTheme="minorHAnsi" w:hAnsiTheme="minorHAnsi" w:cstheme="minorHAnsi"/>
                <w:color w:val="000000"/>
                <w:sz w:val="16"/>
                <w:szCs w:val="16"/>
              </w:rPr>
              <w:t>4,887</w:t>
            </w:r>
          </w:p>
        </w:tc>
        <w:tc>
          <w:tcPr>
            <w:tcW w:w="123" w:type="pct"/>
            <w:shd w:val="clear" w:color="auto" w:fill="auto"/>
            <w:noWrap/>
            <w:tcMar>
              <w:left w:w="0" w:type="dxa"/>
              <w:right w:w="43" w:type="dxa"/>
            </w:tcMar>
            <w:vAlign w:val="center"/>
            <w:hideMark/>
          </w:tcPr>
          <w:p w:rsidRPr="009055A9" w:rsidR="0023718B" w:rsidP="000E31AA" w:rsidRDefault="0023718B" w14:paraId="5D4D605E" w14:textId="0B3266E8">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7" w:type="pct"/>
            <w:shd w:val="clear" w:color="auto" w:fill="auto"/>
            <w:noWrap/>
            <w:tcMar>
              <w:left w:w="0" w:type="dxa"/>
              <w:right w:w="43" w:type="dxa"/>
            </w:tcMar>
            <w:vAlign w:val="center"/>
            <w:hideMark/>
          </w:tcPr>
          <w:p w:rsidRPr="009055A9" w:rsidR="0023718B" w:rsidP="000E31AA" w:rsidRDefault="0023718B" w14:paraId="7C76DE4C" w14:textId="223426AB">
            <w:pPr>
              <w:jc w:val="right"/>
              <w:rPr>
                <w:rFonts w:asciiTheme="minorHAnsi" w:hAnsiTheme="minorHAnsi" w:cstheme="minorHAnsi"/>
                <w:sz w:val="16"/>
                <w:szCs w:val="16"/>
              </w:rPr>
            </w:pPr>
            <w:r w:rsidRPr="009055A9">
              <w:rPr>
                <w:rFonts w:asciiTheme="minorHAnsi" w:hAnsiTheme="minorHAnsi" w:cstheme="minorHAnsi"/>
                <w:color w:val="000000"/>
                <w:sz w:val="16"/>
                <w:szCs w:val="16"/>
              </w:rPr>
              <w:t>2,809</w:t>
            </w:r>
          </w:p>
        </w:tc>
        <w:tc>
          <w:tcPr>
            <w:tcW w:w="125" w:type="pct"/>
            <w:shd w:val="clear" w:color="auto" w:fill="auto"/>
            <w:noWrap/>
            <w:tcMar>
              <w:left w:w="0" w:type="dxa"/>
              <w:right w:w="43" w:type="dxa"/>
            </w:tcMar>
            <w:vAlign w:val="center"/>
            <w:hideMark/>
          </w:tcPr>
          <w:p w:rsidRPr="009055A9" w:rsidR="0023718B" w:rsidP="000E31AA" w:rsidRDefault="0023718B" w14:paraId="773AF5E1" w14:textId="5D227F19">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0" w:type="pct"/>
            <w:shd w:val="clear" w:color="auto" w:fill="auto"/>
            <w:noWrap/>
            <w:tcMar>
              <w:left w:w="0" w:type="dxa"/>
              <w:right w:w="43" w:type="dxa"/>
            </w:tcMar>
            <w:vAlign w:val="center"/>
            <w:hideMark/>
          </w:tcPr>
          <w:p w:rsidRPr="009055A9" w:rsidR="0023718B" w:rsidP="000E31AA" w:rsidRDefault="0023718B" w14:paraId="2BF7A4B6" w14:textId="41A58721">
            <w:pPr>
              <w:jc w:val="right"/>
              <w:rPr>
                <w:rFonts w:asciiTheme="minorHAnsi" w:hAnsiTheme="minorHAnsi" w:cstheme="minorHAnsi"/>
                <w:sz w:val="16"/>
                <w:szCs w:val="16"/>
              </w:rPr>
            </w:pPr>
            <w:r w:rsidRPr="009055A9">
              <w:rPr>
                <w:rFonts w:asciiTheme="minorHAnsi" w:hAnsiTheme="minorHAnsi" w:cstheme="minorHAnsi"/>
                <w:color w:val="000000"/>
                <w:sz w:val="16"/>
                <w:szCs w:val="16"/>
              </w:rPr>
              <w:t>2,504</w:t>
            </w:r>
          </w:p>
        </w:tc>
        <w:tc>
          <w:tcPr>
            <w:tcW w:w="148" w:type="pct"/>
            <w:shd w:val="clear" w:color="auto" w:fill="auto"/>
            <w:noWrap/>
            <w:tcMar>
              <w:left w:w="0" w:type="dxa"/>
              <w:right w:w="43" w:type="dxa"/>
            </w:tcMar>
            <w:vAlign w:val="center"/>
            <w:hideMark/>
          </w:tcPr>
          <w:p w:rsidRPr="009055A9" w:rsidR="0023718B" w:rsidP="000E31AA" w:rsidRDefault="0023718B" w14:paraId="5676AA37" w14:textId="0B67ABB6">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2" w:type="pct"/>
            <w:tcMar>
              <w:left w:w="0" w:type="dxa"/>
              <w:right w:w="43" w:type="dxa"/>
            </w:tcMar>
            <w:vAlign w:val="center"/>
          </w:tcPr>
          <w:p w:rsidRPr="009055A9" w:rsidR="0023718B" w:rsidP="000E31AA" w:rsidRDefault="0023718B" w14:paraId="446E1A5A" w14:textId="23331CCA">
            <w:pPr>
              <w:jc w:val="right"/>
              <w:rPr>
                <w:rFonts w:asciiTheme="minorHAnsi" w:hAnsiTheme="minorHAnsi" w:cstheme="minorHAnsi"/>
                <w:sz w:val="16"/>
                <w:szCs w:val="16"/>
              </w:rPr>
            </w:pPr>
            <w:r w:rsidRPr="009055A9">
              <w:rPr>
                <w:rFonts w:asciiTheme="minorHAnsi" w:hAnsiTheme="minorHAnsi" w:cstheme="minorHAnsi"/>
                <w:color w:val="000000"/>
                <w:sz w:val="16"/>
                <w:szCs w:val="16"/>
              </w:rPr>
              <w:t>3,362</w:t>
            </w:r>
          </w:p>
        </w:tc>
        <w:tc>
          <w:tcPr>
            <w:tcW w:w="124" w:type="pct"/>
            <w:tcMar>
              <w:left w:w="0" w:type="dxa"/>
              <w:right w:w="43" w:type="dxa"/>
            </w:tcMar>
            <w:vAlign w:val="center"/>
          </w:tcPr>
          <w:p w:rsidRPr="009055A9" w:rsidR="0023718B" w:rsidP="000E31AA" w:rsidRDefault="0023718B" w14:paraId="0D802947" w14:textId="7AE449A5">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3" w:type="pct"/>
            <w:tcMar>
              <w:left w:w="0" w:type="dxa"/>
              <w:right w:w="43" w:type="dxa"/>
            </w:tcMar>
            <w:vAlign w:val="center"/>
          </w:tcPr>
          <w:p w:rsidRPr="009055A9" w:rsidR="0023718B" w:rsidP="000E31AA" w:rsidRDefault="0023718B" w14:paraId="20CCE291" w14:textId="22EA3E19">
            <w:pPr>
              <w:jc w:val="right"/>
              <w:rPr>
                <w:rFonts w:asciiTheme="minorHAnsi" w:hAnsiTheme="minorHAnsi" w:cstheme="minorHAnsi"/>
                <w:sz w:val="16"/>
                <w:szCs w:val="16"/>
              </w:rPr>
            </w:pPr>
            <w:r w:rsidRPr="009055A9">
              <w:rPr>
                <w:rFonts w:asciiTheme="minorHAnsi" w:hAnsiTheme="minorHAnsi" w:cstheme="minorHAnsi"/>
                <w:color w:val="000000"/>
                <w:sz w:val="16"/>
                <w:szCs w:val="16"/>
              </w:rPr>
              <w:t>2,514</w:t>
            </w:r>
          </w:p>
        </w:tc>
        <w:tc>
          <w:tcPr>
            <w:tcW w:w="146" w:type="pct"/>
            <w:tcMar>
              <w:left w:w="0" w:type="dxa"/>
              <w:right w:w="43" w:type="dxa"/>
            </w:tcMar>
            <w:vAlign w:val="center"/>
          </w:tcPr>
          <w:p w:rsidRPr="009055A9" w:rsidR="0023718B" w:rsidP="000E31AA" w:rsidRDefault="0023718B" w14:paraId="0537D0EC" w14:textId="0F5D0201">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5" w:type="pct"/>
            <w:tcMar>
              <w:left w:w="0" w:type="dxa"/>
              <w:right w:w="43" w:type="dxa"/>
            </w:tcMar>
            <w:vAlign w:val="center"/>
          </w:tcPr>
          <w:p w:rsidRPr="009055A9" w:rsidR="0023718B" w:rsidP="000E31AA" w:rsidRDefault="0023718B" w14:paraId="33B3B46C" w14:textId="7E228753">
            <w:pPr>
              <w:jc w:val="right"/>
              <w:rPr>
                <w:rFonts w:asciiTheme="minorHAnsi" w:hAnsiTheme="minorHAnsi" w:cstheme="minorHAnsi"/>
                <w:sz w:val="16"/>
                <w:szCs w:val="16"/>
              </w:rPr>
            </w:pPr>
            <w:r w:rsidRPr="009055A9">
              <w:rPr>
                <w:rFonts w:asciiTheme="minorHAnsi" w:hAnsiTheme="minorHAnsi" w:cstheme="minorHAnsi"/>
                <w:color w:val="000000"/>
                <w:sz w:val="16"/>
                <w:szCs w:val="16"/>
              </w:rPr>
              <w:t>2,306</w:t>
            </w:r>
          </w:p>
        </w:tc>
        <w:tc>
          <w:tcPr>
            <w:tcW w:w="149" w:type="pct"/>
            <w:tcMar>
              <w:left w:w="0" w:type="dxa"/>
              <w:right w:w="43" w:type="dxa"/>
            </w:tcMar>
            <w:vAlign w:val="center"/>
          </w:tcPr>
          <w:p w:rsidRPr="009055A9" w:rsidR="0023718B" w:rsidP="000E31AA" w:rsidRDefault="0023718B" w14:paraId="55E919FE" w14:textId="0DAE6661">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97" w:type="pct"/>
            <w:tcMar>
              <w:left w:w="0" w:type="dxa"/>
              <w:right w:w="43" w:type="dxa"/>
            </w:tcMar>
            <w:vAlign w:val="center"/>
          </w:tcPr>
          <w:p w:rsidRPr="009055A9" w:rsidR="0023718B" w:rsidP="000E31AA" w:rsidRDefault="0023718B" w14:paraId="2BAA37E7" w14:textId="769A4803">
            <w:pPr>
              <w:jc w:val="right"/>
              <w:rPr>
                <w:rFonts w:asciiTheme="minorHAnsi" w:hAnsiTheme="minorHAnsi" w:cstheme="minorHAnsi"/>
                <w:sz w:val="16"/>
                <w:szCs w:val="16"/>
              </w:rPr>
            </w:pPr>
            <w:r w:rsidRPr="009055A9">
              <w:rPr>
                <w:rFonts w:asciiTheme="minorHAnsi" w:hAnsiTheme="minorHAnsi" w:cstheme="minorHAnsi"/>
                <w:color w:val="000000"/>
                <w:sz w:val="16"/>
                <w:szCs w:val="16"/>
              </w:rPr>
              <w:t>3,187</w:t>
            </w:r>
          </w:p>
        </w:tc>
        <w:tc>
          <w:tcPr>
            <w:tcW w:w="148" w:type="pct"/>
            <w:tcMar>
              <w:left w:w="0" w:type="dxa"/>
              <w:right w:w="43" w:type="dxa"/>
            </w:tcMar>
            <w:vAlign w:val="center"/>
          </w:tcPr>
          <w:p w:rsidRPr="009055A9" w:rsidR="0023718B" w:rsidP="000E31AA" w:rsidRDefault="0023718B" w14:paraId="0B0B2F0E" w14:textId="17C9A4D0">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96" w:type="pct"/>
            <w:tcMar>
              <w:left w:w="0" w:type="dxa"/>
              <w:right w:w="43" w:type="dxa"/>
            </w:tcMar>
            <w:vAlign w:val="center"/>
          </w:tcPr>
          <w:p w:rsidRPr="009055A9" w:rsidR="0023718B" w:rsidP="000E31AA" w:rsidRDefault="0023718B" w14:paraId="798DDA51" w14:textId="2DC46DA5">
            <w:pPr>
              <w:jc w:val="right"/>
              <w:rPr>
                <w:rFonts w:asciiTheme="minorHAnsi" w:hAnsiTheme="minorHAnsi" w:cstheme="minorHAnsi"/>
                <w:sz w:val="16"/>
                <w:szCs w:val="16"/>
              </w:rPr>
            </w:pPr>
            <w:r w:rsidRPr="009055A9">
              <w:rPr>
                <w:rFonts w:asciiTheme="minorHAnsi" w:hAnsiTheme="minorHAnsi" w:cstheme="minorHAnsi"/>
                <w:color w:val="000000"/>
                <w:sz w:val="16"/>
                <w:szCs w:val="16"/>
              </w:rPr>
              <w:t>2,264</w:t>
            </w:r>
          </w:p>
        </w:tc>
        <w:tc>
          <w:tcPr>
            <w:tcW w:w="143" w:type="pct"/>
            <w:tcMar>
              <w:left w:w="0" w:type="dxa"/>
              <w:right w:w="43" w:type="dxa"/>
            </w:tcMar>
            <w:vAlign w:val="center"/>
          </w:tcPr>
          <w:p w:rsidRPr="009055A9" w:rsidR="0023718B" w:rsidP="000E31AA" w:rsidRDefault="0023718B" w14:paraId="05751088" w14:textId="63AF219D">
            <w:pPr>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8" w:type="pct"/>
            <w:shd w:val="clear" w:color="000000" w:fill="FFFFFF"/>
            <w:noWrap/>
            <w:tcMar>
              <w:left w:w="0" w:type="dxa"/>
              <w:right w:w="43" w:type="dxa"/>
            </w:tcMar>
            <w:vAlign w:val="center"/>
          </w:tcPr>
          <w:p w:rsidRPr="003148DB" w:rsidR="0023718B" w:rsidP="000E31AA" w:rsidRDefault="0023718B" w14:paraId="216CE07E" w14:textId="2A39455A">
            <w:pPr>
              <w:jc w:val="right"/>
              <w:rPr>
                <w:rFonts w:asciiTheme="minorHAnsi" w:hAnsiTheme="minorHAnsi" w:cstheme="minorHAnsi"/>
                <w:sz w:val="16"/>
                <w:szCs w:val="16"/>
              </w:rPr>
            </w:pPr>
            <w:r w:rsidRPr="003148DB">
              <w:rPr>
                <w:rFonts w:asciiTheme="minorHAnsi" w:hAnsiTheme="minorHAnsi" w:cstheme="minorHAnsi"/>
                <w:color w:val="000000"/>
                <w:sz w:val="16"/>
                <w:szCs w:val="16"/>
              </w:rPr>
              <w:t>3,281</w:t>
            </w:r>
          </w:p>
        </w:tc>
        <w:tc>
          <w:tcPr>
            <w:tcW w:w="151" w:type="pct"/>
            <w:shd w:val="clear" w:color="000000" w:fill="FFFFFF"/>
            <w:noWrap/>
            <w:tcMar>
              <w:left w:w="0" w:type="dxa"/>
              <w:right w:w="43" w:type="dxa"/>
            </w:tcMar>
            <w:vAlign w:val="center"/>
          </w:tcPr>
          <w:p w:rsidRPr="003148DB" w:rsidR="0023718B" w:rsidP="000E31AA" w:rsidRDefault="0023718B" w14:paraId="68ECF373" w14:textId="72265267">
            <w:pPr>
              <w:jc w:val="right"/>
              <w:rPr>
                <w:rFonts w:asciiTheme="minorHAnsi" w:hAnsiTheme="minorHAnsi" w:cstheme="minorHAnsi"/>
                <w:sz w:val="16"/>
                <w:szCs w:val="16"/>
              </w:rPr>
            </w:pPr>
            <w:r w:rsidRPr="003148DB">
              <w:rPr>
                <w:rFonts w:asciiTheme="minorHAnsi" w:hAnsiTheme="minorHAnsi" w:cstheme="minorHAnsi"/>
                <w:color w:val="000000"/>
                <w:sz w:val="16"/>
                <w:szCs w:val="16"/>
              </w:rPr>
              <w:t>15.5</w:t>
            </w:r>
          </w:p>
        </w:tc>
      </w:tr>
      <w:tr w:rsidRPr="003148DB" w:rsidR="0023718B" w:rsidTr="000D41FC" w14:paraId="6563C99F"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0D176EC0"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570080FC" w14:textId="10AABC33">
            <w:pPr>
              <w:rPr>
                <w:rFonts w:asciiTheme="minorHAnsi" w:hAnsiTheme="minorHAnsi" w:cstheme="minorHAnsi"/>
                <w:sz w:val="16"/>
                <w:szCs w:val="16"/>
              </w:rPr>
            </w:pPr>
            <w:r w:rsidRPr="009055A9">
              <w:rPr>
                <w:rFonts w:asciiTheme="minorHAnsi" w:hAnsiTheme="minorHAnsi" w:cstheme="minorHAnsi"/>
                <w:color w:val="000000"/>
                <w:sz w:val="16"/>
                <w:szCs w:val="16"/>
              </w:rPr>
              <w:t>Dominion Generation</w:t>
            </w:r>
          </w:p>
        </w:tc>
        <w:tc>
          <w:tcPr>
            <w:tcW w:w="321" w:type="pct"/>
            <w:shd w:val="clear" w:color="auto" w:fill="auto"/>
            <w:noWrap/>
            <w:tcMar>
              <w:left w:w="58" w:type="dxa"/>
              <w:right w:w="29" w:type="dxa"/>
            </w:tcMar>
            <w:vAlign w:val="center"/>
            <w:hideMark/>
          </w:tcPr>
          <w:p w:rsidRPr="009055A9" w:rsidR="0023718B" w:rsidP="000E31AA" w:rsidRDefault="0023718B" w14:paraId="49611717" w14:textId="5EBEFBFF">
            <w:pPr>
              <w:rPr>
                <w:rFonts w:asciiTheme="minorHAnsi" w:hAnsiTheme="minorHAnsi" w:cstheme="minorHAnsi"/>
                <w:sz w:val="16"/>
                <w:szCs w:val="16"/>
              </w:rPr>
            </w:pPr>
            <w:r w:rsidRPr="009055A9">
              <w:rPr>
                <w:rFonts w:asciiTheme="minorHAnsi" w:hAnsiTheme="minorHAnsi" w:cstheme="minorHAnsi"/>
                <w:color w:val="000000"/>
                <w:sz w:val="16"/>
                <w:szCs w:val="16"/>
              </w:rPr>
              <w:t>Surry</w:t>
            </w:r>
          </w:p>
        </w:tc>
        <w:tc>
          <w:tcPr>
            <w:tcW w:w="123" w:type="pct"/>
            <w:shd w:val="clear" w:color="auto" w:fill="auto"/>
            <w:noWrap/>
            <w:tcMar>
              <w:left w:w="58" w:type="dxa"/>
              <w:right w:w="58" w:type="dxa"/>
            </w:tcMar>
            <w:vAlign w:val="center"/>
            <w:hideMark/>
          </w:tcPr>
          <w:p w:rsidRPr="009055A9" w:rsidR="0023718B" w:rsidP="000E31AA" w:rsidRDefault="0023718B" w14:paraId="2CBFBB80" w14:textId="3D251C3A">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5288F7CA" w14:textId="708A3799">
            <w:pPr>
              <w:jc w:val="right"/>
              <w:rPr>
                <w:rFonts w:asciiTheme="minorHAnsi" w:hAnsiTheme="minorHAnsi" w:cstheme="minorHAnsi"/>
                <w:sz w:val="16"/>
                <w:szCs w:val="16"/>
              </w:rPr>
            </w:pPr>
            <w:r w:rsidRPr="009055A9">
              <w:rPr>
                <w:rFonts w:asciiTheme="minorHAnsi" w:hAnsiTheme="minorHAnsi" w:cstheme="minorHAnsi"/>
                <w:color w:val="000000"/>
                <w:sz w:val="16"/>
                <w:szCs w:val="16"/>
              </w:rPr>
              <w:t>2,069</w:t>
            </w:r>
          </w:p>
        </w:tc>
        <w:tc>
          <w:tcPr>
            <w:tcW w:w="123" w:type="pct"/>
            <w:shd w:val="clear" w:color="auto" w:fill="auto"/>
            <w:noWrap/>
            <w:tcMar>
              <w:left w:w="0" w:type="dxa"/>
              <w:right w:w="43" w:type="dxa"/>
            </w:tcMar>
            <w:vAlign w:val="center"/>
            <w:hideMark/>
          </w:tcPr>
          <w:p w:rsidRPr="009055A9" w:rsidR="0023718B" w:rsidP="000E31AA" w:rsidRDefault="0023718B" w14:paraId="6B96D580" w14:textId="3AFC6A8F">
            <w:pPr>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0" w:type="pct"/>
            <w:shd w:val="clear" w:color="auto" w:fill="auto"/>
            <w:noWrap/>
            <w:tcMar>
              <w:left w:w="0" w:type="dxa"/>
              <w:right w:w="43" w:type="dxa"/>
            </w:tcMar>
            <w:vAlign w:val="center"/>
            <w:hideMark/>
          </w:tcPr>
          <w:p w:rsidRPr="009055A9" w:rsidR="0023718B" w:rsidP="000E31AA" w:rsidRDefault="0023718B" w14:paraId="14897688" w14:textId="4DFEC2FE">
            <w:pPr>
              <w:jc w:val="right"/>
              <w:rPr>
                <w:rFonts w:asciiTheme="minorHAnsi" w:hAnsiTheme="minorHAnsi" w:cstheme="minorHAnsi"/>
                <w:sz w:val="16"/>
                <w:szCs w:val="16"/>
              </w:rPr>
            </w:pPr>
            <w:r w:rsidRPr="009055A9">
              <w:rPr>
                <w:rFonts w:asciiTheme="minorHAnsi" w:hAnsiTheme="minorHAnsi" w:cstheme="minorHAnsi"/>
                <w:color w:val="000000"/>
                <w:sz w:val="16"/>
                <w:szCs w:val="16"/>
              </w:rPr>
              <w:t>2,147</w:t>
            </w:r>
          </w:p>
        </w:tc>
        <w:tc>
          <w:tcPr>
            <w:tcW w:w="125" w:type="pct"/>
            <w:shd w:val="clear" w:color="auto" w:fill="auto"/>
            <w:noWrap/>
            <w:tcMar>
              <w:left w:w="0" w:type="dxa"/>
              <w:right w:w="43" w:type="dxa"/>
            </w:tcMar>
            <w:vAlign w:val="center"/>
            <w:hideMark/>
          </w:tcPr>
          <w:p w:rsidRPr="009055A9" w:rsidR="0023718B" w:rsidP="000E31AA" w:rsidRDefault="0023718B" w14:paraId="7894E996" w14:textId="1BA94861">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2" w:type="pct"/>
            <w:shd w:val="clear" w:color="auto" w:fill="auto"/>
            <w:noWrap/>
            <w:tcMar>
              <w:left w:w="0" w:type="dxa"/>
              <w:right w:w="43" w:type="dxa"/>
            </w:tcMar>
            <w:vAlign w:val="center"/>
            <w:hideMark/>
          </w:tcPr>
          <w:p w:rsidRPr="009055A9" w:rsidR="0023718B" w:rsidP="000E31AA" w:rsidRDefault="0023718B" w14:paraId="03D229D0" w14:textId="6D144377">
            <w:pPr>
              <w:jc w:val="right"/>
              <w:rPr>
                <w:rFonts w:asciiTheme="minorHAnsi" w:hAnsiTheme="minorHAnsi" w:cstheme="minorHAnsi"/>
                <w:sz w:val="16"/>
                <w:szCs w:val="16"/>
              </w:rPr>
            </w:pPr>
            <w:r w:rsidRPr="009055A9">
              <w:rPr>
                <w:rFonts w:asciiTheme="minorHAnsi" w:hAnsiTheme="minorHAnsi" w:cstheme="minorHAnsi"/>
                <w:color w:val="000000"/>
                <w:sz w:val="16"/>
                <w:szCs w:val="16"/>
              </w:rPr>
              <w:t>2,744</w:t>
            </w:r>
          </w:p>
        </w:tc>
        <w:tc>
          <w:tcPr>
            <w:tcW w:w="123" w:type="pct"/>
            <w:shd w:val="clear" w:color="auto" w:fill="auto"/>
            <w:noWrap/>
            <w:tcMar>
              <w:left w:w="0" w:type="dxa"/>
              <w:right w:w="43" w:type="dxa"/>
            </w:tcMar>
            <w:vAlign w:val="center"/>
            <w:hideMark/>
          </w:tcPr>
          <w:p w:rsidRPr="009055A9" w:rsidR="0023718B" w:rsidP="000E31AA" w:rsidRDefault="0023718B" w14:paraId="309AD007" w14:textId="1BC24487">
            <w:pPr>
              <w:jc w:val="right"/>
              <w:rPr>
                <w:rFonts w:asciiTheme="minorHAnsi" w:hAnsiTheme="minorHAnsi" w:cstheme="minorHAnsi"/>
                <w:sz w:val="16"/>
                <w:szCs w:val="16"/>
              </w:rPr>
            </w:pPr>
            <w:r w:rsidRPr="009055A9">
              <w:rPr>
                <w:rFonts w:asciiTheme="minorHAnsi" w:hAnsiTheme="minorHAnsi" w:cstheme="minorHAnsi"/>
                <w:color w:val="000000"/>
                <w:sz w:val="16"/>
                <w:szCs w:val="16"/>
              </w:rPr>
              <w:t>48</w:t>
            </w:r>
          </w:p>
        </w:tc>
        <w:tc>
          <w:tcPr>
            <w:tcW w:w="194" w:type="pct"/>
            <w:shd w:val="clear" w:color="auto" w:fill="auto"/>
            <w:noWrap/>
            <w:tcMar>
              <w:left w:w="0" w:type="dxa"/>
              <w:right w:w="43" w:type="dxa"/>
            </w:tcMar>
            <w:vAlign w:val="center"/>
            <w:hideMark/>
          </w:tcPr>
          <w:p w:rsidRPr="009055A9" w:rsidR="0023718B" w:rsidP="000E31AA" w:rsidRDefault="0023718B" w14:paraId="3E2B709D" w14:textId="4C54C36E">
            <w:pPr>
              <w:jc w:val="right"/>
              <w:rPr>
                <w:rFonts w:asciiTheme="minorHAnsi" w:hAnsiTheme="minorHAnsi" w:cstheme="minorHAnsi"/>
                <w:sz w:val="16"/>
                <w:szCs w:val="16"/>
              </w:rPr>
            </w:pPr>
            <w:r w:rsidRPr="009055A9">
              <w:rPr>
                <w:rFonts w:asciiTheme="minorHAnsi" w:hAnsiTheme="minorHAnsi" w:cstheme="minorHAnsi"/>
                <w:color w:val="000000"/>
                <w:sz w:val="16"/>
                <w:szCs w:val="16"/>
              </w:rPr>
              <w:t>2,306</w:t>
            </w:r>
          </w:p>
        </w:tc>
        <w:tc>
          <w:tcPr>
            <w:tcW w:w="123" w:type="pct"/>
            <w:shd w:val="clear" w:color="auto" w:fill="auto"/>
            <w:noWrap/>
            <w:tcMar>
              <w:left w:w="0" w:type="dxa"/>
              <w:right w:w="43" w:type="dxa"/>
            </w:tcMar>
            <w:vAlign w:val="center"/>
            <w:hideMark/>
          </w:tcPr>
          <w:p w:rsidRPr="009055A9" w:rsidR="0023718B" w:rsidP="000E31AA" w:rsidRDefault="0023718B" w14:paraId="238C093C" w14:textId="4DFB7165">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97" w:type="pct"/>
            <w:shd w:val="clear" w:color="auto" w:fill="auto"/>
            <w:noWrap/>
            <w:tcMar>
              <w:left w:w="0" w:type="dxa"/>
              <w:right w:w="43" w:type="dxa"/>
            </w:tcMar>
            <w:vAlign w:val="center"/>
            <w:hideMark/>
          </w:tcPr>
          <w:p w:rsidRPr="009055A9" w:rsidR="0023718B" w:rsidP="000E31AA" w:rsidRDefault="0023718B" w14:paraId="4E4B003D" w14:textId="497AE1D5">
            <w:pPr>
              <w:jc w:val="right"/>
              <w:rPr>
                <w:rFonts w:asciiTheme="minorHAnsi" w:hAnsiTheme="minorHAnsi" w:cstheme="minorHAnsi"/>
                <w:sz w:val="16"/>
                <w:szCs w:val="16"/>
              </w:rPr>
            </w:pPr>
            <w:r w:rsidRPr="009055A9">
              <w:rPr>
                <w:rFonts w:asciiTheme="minorHAnsi" w:hAnsiTheme="minorHAnsi" w:cstheme="minorHAnsi"/>
                <w:color w:val="000000"/>
                <w:sz w:val="16"/>
                <w:szCs w:val="16"/>
              </w:rPr>
              <w:t>1,520</w:t>
            </w:r>
          </w:p>
        </w:tc>
        <w:tc>
          <w:tcPr>
            <w:tcW w:w="125" w:type="pct"/>
            <w:shd w:val="clear" w:color="auto" w:fill="auto"/>
            <w:noWrap/>
            <w:tcMar>
              <w:left w:w="0" w:type="dxa"/>
              <w:right w:w="43" w:type="dxa"/>
            </w:tcMar>
            <w:vAlign w:val="center"/>
            <w:hideMark/>
          </w:tcPr>
          <w:p w:rsidRPr="009055A9" w:rsidR="0023718B" w:rsidP="000E31AA" w:rsidRDefault="0023718B" w14:paraId="2E54FBE7" w14:textId="6B1F8E21">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0" w:type="pct"/>
            <w:shd w:val="clear" w:color="auto" w:fill="auto"/>
            <w:noWrap/>
            <w:tcMar>
              <w:left w:w="0" w:type="dxa"/>
              <w:right w:w="43" w:type="dxa"/>
            </w:tcMar>
            <w:vAlign w:val="center"/>
            <w:hideMark/>
          </w:tcPr>
          <w:p w:rsidRPr="009055A9" w:rsidR="0023718B" w:rsidP="000E31AA" w:rsidRDefault="0023718B" w14:paraId="0D509B4C" w14:textId="733B9BE4">
            <w:pPr>
              <w:jc w:val="right"/>
              <w:rPr>
                <w:rFonts w:asciiTheme="minorHAnsi" w:hAnsiTheme="minorHAnsi" w:cstheme="minorHAnsi"/>
                <w:sz w:val="16"/>
                <w:szCs w:val="16"/>
              </w:rPr>
            </w:pPr>
            <w:r w:rsidRPr="009055A9">
              <w:rPr>
                <w:rFonts w:asciiTheme="minorHAnsi" w:hAnsiTheme="minorHAnsi" w:cstheme="minorHAnsi"/>
                <w:color w:val="000000"/>
                <w:sz w:val="16"/>
                <w:szCs w:val="16"/>
              </w:rPr>
              <w:t>1,869</w:t>
            </w:r>
          </w:p>
        </w:tc>
        <w:tc>
          <w:tcPr>
            <w:tcW w:w="148" w:type="pct"/>
            <w:shd w:val="clear" w:color="auto" w:fill="auto"/>
            <w:noWrap/>
            <w:tcMar>
              <w:left w:w="0" w:type="dxa"/>
              <w:right w:w="43" w:type="dxa"/>
            </w:tcMar>
            <w:vAlign w:val="center"/>
            <w:hideMark/>
          </w:tcPr>
          <w:p w:rsidRPr="009055A9" w:rsidR="0023718B" w:rsidP="000E31AA" w:rsidRDefault="0023718B" w14:paraId="686265EF" w14:textId="1A728661">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2" w:type="pct"/>
            <w:tcMar>
              <w:left w:w="0" w:type="dxa"/>
              <w:right w:w="43" w:type="dxa"/>
            </w:tcMar>
            <w:vAlign w:val="center"/>
          </w:tcPr>
          <w:p w:rsidRPr="009055A9" w:rsidR="0023718B" w:rsidP="000E31AA" w:rsidRDefault="0023718B" w14:paraId="33DD78BF" w14:textId="3699F821">
            <w:pPr>
              <w:jc w:val="right"/>
              <w:rPr>
                <w:rFonts w:asciiTheme="minorHAnsi" w:hAnsiTheme="minorHAnsi" w:cstheme="minorHAnsi"/>
                <w:sz w:val="16"/>
                <w:szCs w:val="16"/>
              </w:rPr>
            </w:pPr>
            <w:r w:rsidRPr="009055A9">
              <w:rPr>
                <w:rFonts w:asciiTheme="minorHAnsi" w:hAnsiTheme="minorHAnsi" w:cstheme="minorHAnsi"/>
                <w:color w:val="000000"/>
                <w:sz w:val="16"/>
                <w:szCs w:val="16"/>
              </w:rPr>
              <w:t>3,004</w:t>
            </w:r>
          </w:p>
        </w:tc>
        <w:tc>
          <w:tcPr>
            <w:tcW w:w="124" w:type="pct"/>
            <w:tcMar>
              <w:left w:w="0" w:type="dxa"/>
              <w:right w:w="43" w:type="dxa"/>
            </w:tcMar>
            <w:vAlign w:val="center"/>
          </w:tcPr>
          <w:p w:rsidRPr="009055A9" w:rsidR="0023718B" w:rsidP="000E31AA" w:rsidRDefault="0023718B" w14:paraId="5306FF16" w14:textId="4BD0C901">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3" w:type="pct"/>
            <w:tcMar>
              <w:left w:w="0" w:type="dxa"/>
              <w:right w:w="43" w:type="dxa"/>
            </w:tcMar>
            <w:vAlign w:val="center"/>
          </w:tcPr>
          <w:p w:rsidRPr="009055A9" w:rsidR="0023718B" w:rsidP="000E31AA" w:rsidRDefault="0023718B" w14:paraId="34E4C87E" w14:textId="23BBFBFD">
            <w:pPr>
              <w:jc w:val="right"/>
              <w:rPr>
                <w:rFonts w:asciiTheme="minorHAnsi" w:hAnsiTheme="minorHAnsi" w:cstheme="minorHAnsi"/>
                <w:sz w:val="16"/>
                <w:szCs w:val="16"/>
              </w:rPr>
            </w:pPr>
            <w:r w:rsidRPr="009055A9">
              <w:rPr>
                <w:rFonts w:asciiTheme="minorHAnsi" w:hAnsiTheme="minorHAnsi" w:cstheme="minorHAnsi"/>
                <w:color w:val="000000"/>
                <w:sz w:val="16"/>
                <w:szCs w:val="16"/>
              </w:rPr>
              <w:t>1,535</w:t>
            </w:r>
          </w:p>
        </w:tc>
        <w:tc>
          <w:tcPr>
            <w:tcW w:w="146" w:type="pct"/>
            <w:tcMar>
              <w:left w:w="0" w:type="dxa"/>
              <w:right w:w="43" w:type="dxa"/>
            </w:tcMar>
            <w:vAlign w:val="center"/>
          </w:tcPr>
          <w:p w:rsidRPr="009055A9" w:rsidR="0023718B" w:rsidP="000E31AA" w:rsidRDefault="0023718B" w14:paraId="6AA4EA01" w14:textId="7DBEDD77">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5" w:type="pct"/>
            <w:tcMar>
              <w:left w:w="0" w:type="dxa"/>
              <w:right w:w="43" w:type="dxa"/>
            </w:tcMar>
            <w:vAlign w:val="center"/>
          </w:tcPr>
          <w:p w:rsidRPr="009055A9" w:rsidR="0023718B" w:rsidP="000E31AA" w:rsidRDefault="0023718B" w14:paraId="6832CD3A" w14:textId="1E432627">
            <w:pPr>
              <w:jc w:val="right"/>
              <w:rPr>
                <w:rFonts w:asciiTheme="minorHAnsi" w:hAnsiTheme="minorHAnsi" w:cstheme="minorHAnsi"/>
                <w:sz w:val="16"/>
                <w:szCs w:val="16"/>
              </w:rPr>
            </w:pPr>
            <w:r w:rsidRPr="009055A9">
              <w:rPr>
                <w:rFonts w:asciiTheme="minorHAnsi" w:hAnsiTheme="minorHAnsi" w:cstheme="minorHAnsi"/>
                <w:color w:val="000000"/>
                <w:sz w:val="16"/>
                <w:szCs w:val="16"/>
              </w:rPr>
              <w:t>1,673</w:t>
            </w:r>
          </w:p>
        </w:tc>
        <w:tc>
          <w:tcPr>
            <w:tcW w:w="149" w:type="pct"/>
            <w:tcMar>
              <w:left w:w="0" w:type="dxa"/>
              <w:right w:w="43" w:type="dxa"/>
            </w:tcMar>
            <w:vAlign w:val="center"/>
          </w:tcPr>
          <w:p w:rsidRPr="009055A9" w:rsidR="0023718B" w:rsidP="000E31AA" w:rsidRDefault="0023718B" w14:paraId="5A2B3B97" w14:textId="111B6CD4">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97" w:type="pct"/>
            <w:tcMar>
              <w:left w:w="0" w:type="dxa"/>
              <w:right w:w="43" w:type="dxa"/>
            </w:tcMar>
            <w:vAlign w:val="center"/>
          </w:tcPr>
          <w:p w:rsidRPr="009055A9" w:rsidR="0023718B" w:rsidP="000E31AA" w:rsidRDefault="0023718B" w14:paraId="628DF444" w14:textId="642ABF81">
            <w:pPr>
              <w:jc w:val="right"/>
              <w:rPr>
                <w:rFonts w:asciiTheme="minorHAnsi" w:hAnsiTheme="minorHAnsi" w:cstheme="minorHAnsi"/>
                <w:sz w:val="16"/>
                <w:szCs w:val="16"/>
              </w:rPr>
            </w:pPr>
            <w:r w:rsidRPr="009055A9">
              <w:rPr>
                <w:rFonts w:asciiTheme="minorHAnsi" w:hAnsiTheme="minorHAnsi" w:cstheme="minorHAnsi"/>
                <w:color w:val="000000"/>
                <w:sz w:val="16"/>
                <w:szCs w:val="16"/>
              </w:rPr>
              <w:t>2,205</w:t>
            </w:r>
          </w:p>
        </w:tc>
        <w:tc>
          <w:tcPr>
            <w:tcW w:w="148" w:type="pct"/>
            <w:tcMar>
              <w:left w:w="0" w:type="dxa"/>
              <w:right w:w="43" w:type="dxa"/>
            </w:tcMar>
            <w:vAlign w:val="center"/>
          </w:tcPr>
          <w:p w:rsidRPr="009055A9" w:rsidR="0023718B" w:rsidP="000E31AA" w:rsidRDefault="0023718B" w14:paraId="0623C60B" w14:textId="5701A46F">
            <w:pPr>
              <w:jc w:val="right"/>
              <w:rPr>
                <w:rFonts w:asciiTheme="minorHAnsi" w:hAnsiTheme="minorHAnsi" w:cstheme="minorHAnsi"/>
                <w:sz w:val="16"/>
                <w:szCs w:val="16"/>
              </w:rPr>
            </w:pPr>
            <w:r w:rsidRPr="009055A9">
              <w:rPr>
                <w:rFonts w:asciiTheme="minorHAnsi" w:hAnsiTheme="minorHAnsi" w:cstheme="minorHAnsi"/>
                <w:color w:val="000000"/>
                <w:sz w:val="16"/>
                <w:szCs w:val="16"/>
              </w:rPr>
              <w:t>25</w:t>
            </w:r>
          </w:p>
        </w:tc>
        <w:tc>
          <w:tcPr>
            <w:tcW w:w="196" w:type="pct"/>
            <w:tcMar>
              <w:left w:w="0" w:type="dxa"/>
              <w:right w:w="43" w:type="dxa"/>
            </w:tcMar>
            <w:vAlign w:val="center"/>
          </w:tcPr>
          <w:p w:rsidRPr="009055A9" w:rsidR="0023718B" w:rsidP="000E31AA" w:rsidRDefault="0023718B" w14:paraId="36B68B74" w14:textId="750E17BA">
            <w:pPr>
              <w:jc w:val="right"/>
              <w:rPr>
                <w:rFonts w:asciiTheme="minorHAnsi" w:hAnsiTheme="minorHAnsi" w:cstheme="minorHAnsi"/>
                <w:sz w:val="16"/>
                <w:szCs w:val="16"/>
              </w:rPr>
            </w:pPr>
            <w:r w:rsidRPr="009055A9">
              <w:rPr>
                <w:rFonts w:asciiTheme="minorHAnsi" w:hAnsiTheme="minorHAnsi" w:cstheme="minorHAnsi"/>
                <w:color w:val="000000"/>
                <w:sz w:val="16"/>
                <w:szCs w:val="16"/>
              </w:rPr>
              <w:t>1,511</w:t>
            </w:r>
          </w:p>
        </w:tc>
        <w:tc>
          <w:tcPr>
            <w:tcW w:w="143" w:type="pct"/>
            <w:tcMar>
              <w:left w:w="0" w:type="dxa"/>
              <w:right w:w="43" w:type="dxa"/>
            </w:tcMar>
            <w:vAlign w:val="center"/>
          </w:tcPr>
          <w:p w:rsidRPr="009055A9" w:rsidR="0023718B" w:rsidP="000E31AA" w:rsidRDefault="0023718B" w14:paraId="09C9A319" w14:textId="38B13FDE">
            <w:pPr>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78" w:type="pct"/>
            <w:shd w:val="clear" w:color="000000" w:fill="FFFFFF"/>
            <w:noWrap/>
            <w:tcMar>
              <w:left w:w="0" w:type="dxa"/>
              <w:right w:w="43" w:type="dxa"/>
            </w:tcMar>
            <w:vAlign w:val="center"/>
          </w:tcPr>
          <w:p w:rsidRPr="003148DB" w:rsidR="0023718B" w:rsidP="000E31AA" w:rsidRDefault="0023718B" w14:paraId="21ED6BED" w14:textId="433428E9">
            <w:pPr>
              <w:jc w:val="right"/>
              <w:rPr>
                <w:rFonts w:asciiTheme="minorHAnsi" w:hAnsiTheme="minorHAnsi" w:cstheme="minorHAnsi"/>
                <w:sz w:val="16"/>
                <w:szCs w:val="16"/>
              </w:rPr>
            </w:pPr>
            <w:r w:rsidRPr="003148DB">
              <w:rPr>
                <w:rFonts w:asciiTheme="minorHAnsi" w:hAnsiTheme="minorHAnsi" w:cstheme="minorHAnsi"/>
                <w:color w:val="000000"/>
                <w:sz w:val="16"/>
                <w:szCs w:val="16"/>
              </w:rPr>
              <w:t>2,053</w:t>
            </w:r>
          </w:p>
        </w:tc>
        <w:tc>
          <w:tcPr>
            <w:tcW w:w="151" w:type="pct"/>
            <w:shd w:val="clear" w:color="000000" w:fill="FFFFFF"/>
            <w:noWrap/>
            <w:tcMar>
              <w:left w:w="0" w:type="dxa"/>
              <w:right w:w="43" w:type="dxa"/>
            </w:tcMar>
            <w:vAlign w:val="center"/>
          </w:tcPr>
          <w:p w:rsidRPr="003148DB" w:rsidR="0023718B" w:rsidP="000E31AA" w:rsidRDefault="0023718B" w14:paraId="2C521E5E" w14:textId="43125746">
            <w:pPr>
              <w:jc w:val="right"/>
              <w:rPr>
                <w:rFonts w:asciiTheme="minorHAnsi" w:hAnsiTheme="minorHAnsi" w:cstheme="minorHAnsi"/>
                <w:sz w:val="16"/>
                <w:szCs w:val="16"/>
              </w:rPr>
            </w:pPr>
            <w:r w:rsidRPr="003148DB">
              <w:rPr>
                <w:rFonts w:asciiTheme="minorHAnsi" w:hAnsiTheme="minorHAnsi" w:cstheme="minorHAnsi"/>
                <w:color w:val="000000"/>
                <w:sz w:val="16"/>
                <w:szCs w:val="16"/>
              </w:rPr>
              <w:t>18.9</w:t>
            </w:r>
          </w:p>
        </w:tc>
      </w:tr>
      <w:tr w:rsidRPr="003148DB" w:rsidR="0023718B" w:rsidTr="000D41FC" w14:paraId="581DB422"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403AD1EC"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2B94198F" w14:textId="33D0E0C6">
            <w:pPr>
              <w:rPr>
                <w:rFonts w:asciiTheme="minorHAnsi" w:hAnsiTheme="minorHAnsi" w:cstheme="minorHAnsi"/>
                <w:sz w:val="16"/>
                <w:szCs w:val="16"/>
              </w:rPr>
            </w:pPr>
            <w:r w:rsidRPr="009055A9">
              <w:rPr>
                <w:rFonts w:asciiTheme="minorHAnsi" w:hAnsiTheme="minorHAnsi" w:cstheme="minorHAnsi"/>
                <w:sz w:val="16"/>
                <w:szCs w:val="16"/>
              </w:rPr>
              <w:t>Talen Energy</w:t>
            </w:r>
          </w:p>
        </w:tc>
        <w:tc>
          <w:tcPr>
            <w:tcW w:w="321" w:type="pct"/>
            <w:shd w:val="clear" w:color="auto" w:fill="auto"/>
            <w:noWrap/>
            <w:tcMar>
              <w:left w:w="58" w:type="dxa"/>
              <w:right w:w="29" w:type="dxa"/>
            </w:tcMar>
            <w:vAlign w:val="center"/>
            <w:hideMark/>
          </w:tcPr>
          <w:p w:rsidRPr="009055A9" w:rsidR="0023718B" w:rsidP="000E31AA" w:rsidRDefault="0023718B" w14:paraId="6BA56015" w14:textId="497090A5">
            <w:pPr>
              <w:rPr>
                <w:rFonts w:asciiTheme="minorHAnsi" w:hAnsiTheme="minorHAnsi" w:cstheme="minorHAnsi"/>
                <w:sz w:val="16"/>
                <w:szCs w:val="16"/>
              </w:rPr>
            </w:pPr>
            <w:r w:rsidRPr="009055A9">
              <w:rPr>
                <w:rFonts w:asciiTheme="minorHAnsi" w:hAnsiTheme="minorHAnsi" w:cstheme="minorHAnsi"/>
                <w:color w:val="000000"/>
                <w:sz w:val="16"/>
                <w:szCs w:val="16"/>
              </w:rPr>
              <w:t>Susquehanna</w:t>
            </w:r>
          </w:p>
        </w:tc>
        <w:tc>
          <w:tcPr>
            <w:tcW w:w="123" w:type="pct"/>
            <w:shd w:val="clear" w:color="auto" w:fill="auto"/>
            <w:noWrap/>
            <w:tcMar>
              <w:left w:w="58" w:type="dxa"/>
              <w:right w:w="58" w:type="dxa"/>
            </w:tcMar>
            <w:vAlign w:val="center"/>
            <w:hideMark/>
          </w:tcPr>
          <w:p w:rsidRPr="009055A9" w:rsidR="0023718B" w:rsidP="000E31AA" w:rsidRDefault="0023718B" w14:paraId="4263FD5D" w14:textId="3E1DCF4C">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10FBBCD1" w14:textId="41DED859">
            <w:pPr>
              <w:jc w:val="right"/>
              <w:rPr>
                <w:rFonts w:asciiTheme="minorHAnsi" w:hAnsiTheme="minorHAnsi" w:cstheme="minorHAnsi"/>
                <w:sz w:val="16"/>
                <w:szCs w:val="16"/>
              </w:rPr>
            </w:pPr>
            <w:r w:rsidRPr="009055A9">
              <w:rPr>
                <w:rFonts w:asciiTheme="minorHAnsi" w:hAnsiTheme="minorHAnsi" w:cstheme="minorHAnsi"/>
                <w:color w:val="000000"/>
                <w:sz w:val="16"/>
                <w:szCs w:val="16"/>
              </w:rPr>
              <w:t>3,167</w:t>
            </w:r>
          </w:p>
        </w:tc>
        <w:tc>
          <w:tcPr>
            <w:tcW w:w="123" w:type="pct"/>
            <w:shd w:val="clear" w:color="auto" w:fill="auto"/>
            <w:noWrap/>
            <w:tcMar>
              <w:left w:w="0" w:type="dxa"/>
              <w:right w:w="43" w:type="dxa"/>
            </w:tcMar>
            <w:vAlign w:val="center"/>
            <w:hideMark/>
          </w:tcPr>
          <w:p w:rsidRPr="009055A9" w:rsidR="0023718B" w:rsidP="000E31AA" w:rsidRDefault="0023718B" w14:paraId="24876436" w14:textId="3E0F1BAC">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0" w:type="pct"/>
            <w:shd w:val="clear" w:color="auto" w:fill="auto"/>
            <w:noWrap/>
            <w:tcMar>
              <w:left w:w="0" w:type="dxa"/>
              <w:right w:w="43" w:type="dxa"/>
            </w:tcMar>
            <w:vAlign w:val="center"/>
            <w:hideMark/>
          </w:tcPr>
          <w:p w:rsidRPr="009055A9" w:rsidR="0023718B" w:rsidP="000E31AA" w:rsidRDefault="0023718B" w14:paraId="791C2DA0" w14:textId="381A26EE">
            <w:pPr>
              <w:jc w:val="right"/>
              <w:rPr>
                <w:rFonts w:asciiTheme="minorHAnsi" w:hAnsiTheme="minorHAnsi" w:cstheme="minorHAnsi"/>
                <w:sz w:val="16"/>
                <w:szCs w:val="16"/>
              </w:rPr>
            </w:pPr>
            <w:r w:rsidRPr="009055A9">
              <w:rPr>
                <w:rFonts w:asciiTheme="minorHAnsi" w:hAnsiTheme="minorHAnsi" w:cstheme="minorHAnsi"/>
                <w:color w:val="000000"/>
                <w:sz w:val="16"/>
                <w:szCs w:val="16"/>
              </w:rPr>
              <w:t>3,324</w:t>
            </w:r>
          </w:p>
        </w:tc>
        <w:tc>
          <w:tcPr>
            <w:tcW w:w="125" w:type="pct"/>
            <w:shd w:val="clear" w:color="auto" w:fill="auto"/>
            <w:noWrap/>
            <w:tcMar>
              <w:left w:w="0" w:type="dxa"/>
              <w:right w:w="43" w:type="dxa"/>
            </w:tcMar>
            <w:vAlign w:val="center"/>
            <w:hideMark/>
          </w:tcPr>
          <w:p w:rsidRPr="009055A9" w:rsidR="0023718B" w:rsidP="000E31AA" w:rsidRDefault="0023718B" w14:paraId="490F544D" w14:textId="640E63D5">
            <w:pPr>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2" w:type="pct"/>
            <w:shd w:val="clear" w:color="auto" w:fill="auto"/>
            <w:noWrap/>
            <w:tcMar>
              <w:left w:w="0" w:type="dxa"/>
              <w:right w:w="43" w:type="dxa"/>
            </w:tcMar>
            <w:vAlign w:val="center"/>
            <w:hideMark/>
          </w:tcPr>
          <w:p w:rsidRPr="009055A9" w:rsidR="0023718B" w:rsidP="000E31AA" w:rsidRDefault="0023718B" w14:paraId="6C21ED81" w14:textId="2DC261F2">
            <w:pPr>
              <w:jc w:val="right"/>
              <w:rPr>
                <w:rFonts w:asciiTheme="minorHAnsi" w:hAnsiTheme="minorHAnsi" w:cstheme="minorHAnsi"/>
                <w:sz w:val="16"/>
                <w:szCs w:val="16"/>
              </w:rPr>
            </w:pPr>
            <w:r w:rsidRPr="009055A9">
              <w:rPr>
                <w:rFonts w:asciiTheme="minorHAnsi" w:hAnsiTheme="minorHAnsi" w:cstheme="minorHAnsi"/>
                <w:color w:val="000000"/>
                <w:sz w:val="16"/>
                <w:szCs w:val="16"/>
              </w:rPr>
              <w:t>3,327</w:t>
            </w:r>
          </w:p>
        </w:tc>
        <w:tc>
          <w:tcPr>
            <w:tcW w:w="123" w:type="pct"/>
            <w:shd w:val="clear" w:color="auto" w:fill="auto"/>
            <w:noWrap/>
            <w:tcMar>
              <w:left w:w="0" w:type="dxa"/>
              <w:right w:w="43" w:type="dxa"/>
            </w:tcMar>
            <w:vAlign w:val="center"/>
            <w:hideMark/>
          </w:tcPr>
          <w:p w:rsidRPr="009055A9" w:rsidR="0023718B" w:rsidP="000E31AA" w:rsidRDefault="0023718B" w14:paraId="6CA15E67" w14:textId="10CA5AFC">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94" w:type="pct"/>
            <w:shd w:val="clear" w:color="auto" w:fill="auto"/>
            <w:noWrap/>
            <w:tcMar>
              <w:left w:w="0" w:type="dxa"/>
              <w:right w:w="43" w:type="dxa"/>
            </w:tcMar>
            <w:vAlign w:val="center"/>
            <w:hideMark/>
          </w:tcPr>
          <w:p w:rsidRPr="009055A9" w:rsidR="0023718B" w:rsidP="000E31AA" w:rsidRDefault="0023718B" w14:paraId="05AF8F08" w14:textId="329C25A6">
            <w:pPr>
              <w:jc w:val="right"/>
              <w:rPr>
                <w:rFonts w:asciiTheme="minorHAnsi" w:hAnsiTheme="minorHAnsi" w:cstheme="minorHAnsi"/>
                <w:sz w:val="16"/>
                <w:szCs w:val="16"/>
              </w:rPr>
            </w:pPr>
            <w:r w:rsidRPr="009055A9">
              <w:rPr>
                <w:rFonts w:asciiTheme="minorHAnsi" w:hAnsiTheme="minorHAnsi" w:cstheme="minorHAnsi"/>
                <w:color w:val="000000"/>
                <w:sz w:val="16"/>
                <w:szCs w:val="16"/>
              </w:rPr>
              <w:t>2,914</w:t>
            </w:r>
          </w:p>
        </w:tc>
        <w:tc>
          <w:tcPr>
            <w:tcW w:w="123" w:type="pct"/>
            <w:shd w:val="clear" w:color="auto" w:fill="auto"/>
            <w:noWrap/>
            <w:tcMar>
              <w:left w:w="0" w:type="dxa"/>
              <w:right w:w="43" w:type="dxa"/>
            </w:tcMar>
            <w:vAlign w:val="center"/>
            <w:hideMark/>
          </w:tcPr>
          <w:p w:rsidRPr="009055A9" w:rsidR="0023718B" w:rsidP="000E31AA" w:rsidRDefault="0023718B" w14:paraId="3B0ED1E4" w14:textId="2C3C6AEE">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97" w:type="pct"/>
            <w:shd w:val="clear" w:color="auto" w:fill="auto"/>
            <w:noWrap/>
            <w:tcMar>
              <w:left w:w="0" w:type="dxa"/>
              <w:right w:w="43" w:type="dxa"/>
            </w:tcMar>
            <w:vAlign w:val="center"/>
            <w:hideMark/>
          </w:tcPr>
          <w:p w:rsidRPr="009055A9" w:rsidR="0023718B" w:rsidP="000E31AA" w:rsidRDefault="0023718B" w14:paraId="4296E335" w14:textId="1A4991ED">
            <w:pPr>
              <w:jc w:val="right"/>
              <w:rPr>
                <w:rFonts w:asciiTheme="minorHAnsi" w:hAnsiTheme="minorHAnsi" w:cstheme="minorHAnsi"/>
                <w:sz w:val="16"/>
                <w:szCs w:val="16"/>
              </w:rPr>
            </w:pPr>
            <w:r w:rsidRPr="009055A9">
              <w:rPr>
                <w:rFonts w:asciiTheme="minorHAnsi" w:hAnsiTheme="minorHAnsi" w:cstheme="minorHAnsi"/>
                <w:color w:val="000000"/>
                <w:sz w:val="16"/>
                <w:szCs w:val="16"/>
              </w:rPr>
              <w:t>2,985</w:t>
            </w:r>
          </w:p>
        </w:tc>
        <w:tc>
          <w:tcPr>
            <w:tcW w:w="125" w:type="pct"/>
            <w:shd w:val="clear" w:color="auto" w:fill="auto"/>
            <w:noWrap/>
            <w:tcMar>
              <w:left w:w="0" w:type="dxa"/>
              <w:right w:w="43" w:type="dxa"/>
            </w:tcMar>
            <w:vAlign w:val="center"/>
            <w:hideMark/>
          </w:tcPr>
          <w:p w:rsidRPr="009055A9" w:rsidR="0023718B" w:rsidP="000E31AA" w:rsidRDefault="0023718B" w14:paraId="319737C1" w14:textId="45D77621">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0" w:type="pct"/>
            <w:shd w:val="clear" w:color="auto" w:fill="auto"/>
            <w:noWrap/>
            <w:tcMar>
              <w:left w:w="0" w:type="dxa"/>
              <w:right w:w="43" w:type="dxa"/>
            </w:tcMar>
            <w:vAlign w:val="center"/>
            <w:hideMark/>
          </w:tcPr>
          <w:p w:rsidRPr="009055A9" w:rsidR="0023718B" w:rsidP="000E31AA" w:rsidRDefault="0023718B" w14:paraId="1142B63E" w14:textId="043A9C48">
            <w:pPr>
              <w:jc w:val="right"/>
              <w:rPr>
                <w:rFonts w:asciiTheme="minorHAnsi" w:hAnsiTheme="minorHAnsi" w:cstheme="minorHAnsi"/>
                <w:sz w:val="16"/>
                <w:szCs w:val="16"/>
              </w:rPr>
            </w:pPr>
            <w:r w:rsidRPr="009055A9">
              <w:rPr>
                <w:rFonts w:asciiTheme="minorHAnsi" w:hAnsiTheme="minorHAnsi" w:cstheme="minorHAnsi"/>
                <w:color w:val="000000"/>
                <w:sz w:val="16"/>
                <w:szCs w:val="16"/>
              </w:rPr>
              <w:t>3,435</w:t>
            </w:r>
          </w:p>
        </w:tc>
        <w:tc>
          <w:tcPr>
            <w:tcW w:w="148" w:type="pct"/>
            <w:shd w:val="clear" w:color="auto" w:fill="auto"/>
            <w:noWrap/>
            <w:tcMar>
              <w:left w:w="0" w:type="dxa"/>
              <w:right w:w="43" w:type="dxa"/>
            </w:tcMar>
            <w:vAlign w:val="center"/>
            <w:hideMark/>
          </w:tcPr>
          <w:p w:rsidRPr="009055A9" w:rsidR="0023718B" w:rsidP="000E31AA" w:rsidRDefault="0023718B" w14:paraId="475614CE" w14:textId="6AC7F962">
            <w:pPr>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2" w:type="pct"/>
            <w:tcMar>
              <w:left w:w="0" w:type="dxa"/>
              <w:right w:w="43" w:type="dxa"/>
            </w:tcMar>
            <w:vAlign w:val="center"/>
          </w:tcPr>
          <w:p w:rsidRPr="009055A9" w:rsidR="0023718B" w:rsidP="000E31AA" w:rsidRDefault="0023718B" w14:paraId="7A5193F1" w14:textId="14B71393">
            <w:pPr>
              <w:jc w:val="right"/>
              <w:rPr>
                <w:rFonts w:asciiTheme="minorHAnsi" w:hAnsiTheme="minorHAnsi" w:cstheme="minorHAnsi"/>
                <w:sz w:val="16"/>
                <w:szCs w:val="16"/>
              </w:rPr>
            </w:pPr>
            <w:r w:rsidRPr="009055A9">
              <w:rPr>
                <w:rFonts w:asciiTheme="minorHAnsi" w:hAnsiTheme="minorHAnsi" w:cstheme="minorHAnsi"/>
                <w:color w:val="000000"/>
                <w:sz w:val="16"/>
                <w:szCs w:val="16"/>
              </w:rPr>
              <w:t>3,026</w:t>
            </w:r>
          </w:p>
        </w:tc>
        <w:tc>
          <w:tcPr>
            <w:tcW w:w="124" w:type="pct"/>
            <w:tcMar>
              <w:left w:w="0" w:type="dxa"/>
              <w:right w:w="43" w:type="dxa"/>
            </w:tcMar>
            <w:vAlign w:val="center"/>
          </w:tcPr>
          <w:p w:rsidRPr="009055A9" w:rsidR="0023718B" w:rsidP="000E31AA" w:rsidRDefault="0023718B" w14:paraId="60409C0E" w14:textId="4E76A254">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3" w:type="pct"/>
            <w:tcMar>
              <w:left w:w="0" w:type="dxa"/>
              <w:right w:w="43" w:type="dxa"/>
            </w:tcMar>
            <w:vAlign w:val="center"/>
          </w:tcPr>
          <w:p w:rsidRPr="009055A9" w:rsidR="0023718B" w:rsidP="000E31AA" w:rsidRDefault="0023718B" w14:paraId="490DFC86" w14:textId="383E45A3">
            <w:pPr>
              <w:jc w:val="right"/>
              <w:rPr>
                <w:rFonts w:asciiTheme="minorHAnsi" w:hAnsiTheme="minorHAnsi" w:cstheme="minorHAnsi"/>
                <w:sz w:val="16"/>
                <w:szCs w:val="16"/>
              </w:rPr>
            </w:pPr>
            <w:r w:rsidRPr="009055A9">
              <w:rPr>
                <w:rFonts w:asciiTheme="minorHAnsi" w:hAnsiTheme="minorHAnsi" w:cstheme="minorHAnsi"/>
                <w:color w:val="000000"/>
                <w:sz w:val="16"/>
                <w:szCs w:val="16"/>
              </w:rPr>
              <w:t>3,224</w:t>
            </w:r>
          </w:p>
        </w:tc>
        <w:tc>
          <w:tcPr>
            <w:tcW w:w="146" w:type="pct"/>
            <w:tcMar>
              <w:left w:w="0" w:type="dxa"/>
              <w:right w:w="43" w:type="dxa"/>
            </w:tcMar>
            <w:vAlign w:val="center"/>
          </w:tcPr>
          <w:p w:rsidRPr="009055A9" w:rsidR="0023718B" w:rsidP="000E31AA" w:rsidRDefault="0023718B" w14:paraId="3746CCD0" w14:textId="48023EE1">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75" w:type="pct"/>
            <w:tcMar>
              <w:left w:w="0" w:type="dxa"/>
              <w:right w:w="43" w:type="dxa"/>
            </w:tcMar>
            <w:vAlign w:val="center"/>
          </w:tcPr>
          <w:p w:rsidRPr="009055A9" w:rsidR="0023718B" w:rsidP="000E31AA" w:rsidRDefault="0023718B" w14:paraId="5D8857DA" w14:textId="19330E37">
            <w:pPr>
              <w:jc w:val="right"/>
              <w:rPr>
                <w:rFonts w:asciiTheme="minorHAnsi" w:hAnsiTheme="minorHAnsi" w:cstheme="minorHAnsi"/>
                <w:sz w:val="16"/>
                <w:szCs w:val="16"/>
              </w:rPr>
            </w:pPr>
            <w:r w:rsidRPr="009055A9">
              <w:rPr>
                <w:rFonts w:asciiTheme="minorHAnsi" w:hAnsiTheme="minorHAnsi" w:cstheme="minorHAnsi"/>
                <w:color w:val="000000"/>
                <w:sz w:val="16"/>
                <w:szCs w:val="16"/>
              </w:rPr>
              <w:t>2,806</w:t>
            </w:r>
          </w:p>
        </w:tc>
        <w:tc>
          <w:tcPr>
            <w:tcW w:w="149" w:type="pct"/>
            <w:tcMar>
              <w:left w:w="0" w:type="dxa"/>
              <w:right w:w="43" w:type="dxa"/>
            </w:tcMar>
            <w:vAlign w:val="center"/>
          </w:tcPr>
          <w:p w:rsidRPr="009055A9" w:rsidR="0023718B" w:rsidP="000E31AA" w:rsidRDefault="0023718B" w14:paraId="44CC58F2" w14:textId="56B50A9A">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97" w:type="pct"/>
            <w:tcMar>
              <w:left w:w="0" w:type="dxa"/>
              <w:right w:w="43" w:type="dxa"/>
            </w:tcMar>
            <w:vAlign w:val="center"/>
          </w:tcPr>
          <w:p w:rsidRPr="009055A9" w:rsidR="0023718B" w:rsidP="000E31AA" w:rsidRDefault="0023718B" w14:paraId="086FA267" w14:textId="7A649FBE">
            <w:pPr>
              <w:jc w:val="right"/>
              <w:rPr>
                <w:rFonts w:asciiTheme="minorHAnsi" w:hAnsiTheme="minorHAnsi" w:cstheme="minorHAnsi"/>
                <w:sz w:val="16"/>
                <w:szCs w:val="16"/>
              </w:rPr>
            </w:pPr>
            <w:r w:rsidRPr="009055A9">
              <w:rPr>
                <w:rFonts w:asciiTheme="minorHAnsi" w:hAnsiTheme="minorHAnsi" w:cstheme="minorHAnsi"/>
                <w:color w:val="000000"/>
                <w:sz w:val="16"/>
                <w:szCs w:val="16"/>
              </w:rPr>
              <w:t>2,698</w:t>
            </w:r>
          </w:p>
        </w:tc>
        <w:tc>
          <w:tcPr>
            <w:tcW w:w="148" w:type="pct"/>
            <w:tcMar>
              <w:left w:w="0" w:type="dxa"/>
              <w:right w:w="43" w:type="dxa"/>
            </w:tcMar>
            <w:vAlign w:val="center"/>
          </w:tcPr>
          <w:p w:rsidRPr="009055A9" w:rsidR="0023718B" w:rsidP="000E31AA" w:rsidRDefault="0023718B" w14:paraId="62933C6D" w14:textId="01512826">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96" w:type="pct"/>
            <w:tcMar>
              <w:left w:w="0" w:type="dxa"/>
              <w:right w:w="43" w:type="dxa"/>
            </w:tcMar>
            <w:vAlign w:val="center"/>
          </w:tcPr>
          <w:p w:rsidRPr="009055A9" w:rsidR="0023718B" w:rsidP="000E31AA" w:rsidRDefault="0023718B" w14:paraId="1E6411F8" w14:textId="217DF17B">
            <w:pPr>
              <w:jc w:val="right"/>
              <w:rPr>
                <w:rFonts w:asciiTheme="minorHAnsi" w:hAnsiTheme="minorHAnsi" w:cstheme="minorHAnsi"/>
                <w:sz w:val="16"/>
                <w:szCs w:val="16"/>
              </w:rPr>
            </w:pPr>
            <w:r w:rsidRPr="009055A9">
              <w:rPr>
                <w:rFonts w:asciiTheme="minorHAnsi" w:hAnsiTheme="minorHAnsi" w:cstheme="minorHAnsi"/>
                <w:color w:val="000000"/>
                <w:sz w:val="16"/>
                <w:szCs w:val="16"/>
              </w:rPr>
              <w:t>2,399</w:t>
            </w:r>
          </w:p>
        </w:tc>
        <w:tc>
          <w:tcPr>
            <w:tcW w:w="143" w:type="pct"/>
            <w:tcMar>
              <w:left w:w="0" w:type="dxa"/>
              <w:right w:w="43" w:type="dxa"/>
            </w:tcMar>
            <w:vAlign w:val="center"/>
          </w:tcPr>
          <w:p w:rsidRPr="009055A9" w:rsidR="0023718B" w:rsidP="000E31AA" w:rsidRDefault="0023718B" w14:paraId="76359E15" w14:textId="77A5AD95">
            <w:pPr>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78" w:type="pct"/>
            <w:shd w:val="clear" w:color="000000" w:fill="FFFFFF"/>
            <w:noWrap/>
            <w:tcMar>
              <w:left w:w="0" w:type="dxa"/>
              <w:right w:w="43" w:type="dxa"/>
            </w:tcMar>
            <w:vAlign w:val="center"/>
          </w:tcPr>
          <w:p w:rsidRPr="003148DB" w:rsidR="0023718B" w:rsidP="000E31AA" w:rsidRDefault="0023718B" w14:paraId="4C690A16" w14:textId="31AAF019">
            <w:pPr>
              <w:jc w:val="right"/>
              <w:rPr>
                <w:rFonts w:asciiTheme="minorHAnsi" w:hAnsiTheme="minorHAnsi" w:cstheme="minorHAnsi"/>
                <w:sz w:val="16"/>
                <w:szCs w:val="16"/>
              </w:rPr>
            </w:pPr>
            <w:r w:rsidRPr="003148DB">
              <w:rPr>
                <w:rFonts w:asciiTheme="minorHAnsi" w:hAnsiTheme="minorHAnsi" w:cstheme="minorHAnsi"/>
                <w:color w:val="000000"/>
                <w:sz w:val="16"/>
                <w:szCs w:val="16"/>
              </w:rPr>
              <w:t>3,028</w:t>
            </w:r>
          </w:p>
        </w:tc>
        <w:tc>
          <w:tcPr>
            <w:tcW w:w="151" w:type="pct"/>
            <w:shd w:val="clear" w:color="000000" w:fill="FFFFFF"/>
            <w:noWrap/>
            <w:tcMar>
              <w:left w:w="0" w:type="dxa"/>
              <w:right w:w="43" w:type="dxa"/>
            </w:tcMar>
            <w:vAlign w:val="center"/>
          </w:tcPr>
          <w:p w:rsidRPr="003148DB" w:rsidR="0023718B" w:rsidP="000E31AA" w:rsidRDefault="0023718B" w14:paraId="74B4D35E" w14:textId="05C9B67E">
            <w:pPr>
              <w:jc w:val="right"/>
              <w:rPr>
                <w:rFonts w:asciiTheme="minorHAnsi" w:hAnsiTheme="minorHAnsi" w:cstheme="minorHAnsi"/>
                <w:sz w:val="16"/>
                <w:szCs w:val="16"/>
              </w:rPr>
            </w:pPr>
            <w:r w:rsidRPr="003148DB">
              <w:rPr>
                <w:rFonts w:asciiTheme="minorHAnsi" w:hAnsiTheme="minorHAnsi" w:cstheme="minorHAnsi"/>
                <w:color w:val="000000"/>
                <w:sz w:val="16"/>
                <w:szCs w:val="16"/>
              </w:rPr>
              <w:t>13.5</w:t>
            </w:r>
          </w:p>
        </w:tc>
      </w:tr>
      <w:tr w:rsidRPr="003148DB" w:rsidR="0023718B" w:rsidTr="000D41FC" w14:paraId="65CC143A" w14:textId="77777777">
        <w:trPr>
          <w:trHeight w:val="264"/>
        </w:trPr>
        <w:tc>
          <w:tcPr>
            <w:tcW w:w="268" w:type="pct"/>
            <w:vMerge/>
            <w:shd w:val="clear" w:color="auto" w:fill="auto"/>
            <w:noWrap/>
            <w:tcMar>
              <w:left w:w="58" w:type="dxa"/>
              <w:right w:w="58" w:type="dxa"/>
            </w:tcMar>
            <w:vAlign w:val="center"/>
            <w:hideMark/>
          </w:tcPr>
          <w:p w:rsidRPr="00196D17" w:rsidR="0023718B" w:rsidP="000E31AA" w:rsidRDefault="0023718B" w14:paraId="06946747" w14:textId="77777777">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064AC9FD" w14:textId="4CE30500">
            <w:pPr>
              <w:rPr>
                <w:rFonts w:asciiTheme="minorHAnsi" w:hAnsiTheme="minorHAnsi" w:cstheme="minorHAnsi"/>
                <w:sz w:val="16"/>
                <w:szCs w:val="16"/>
              </w:rPr>
            </w:pPr>
            <w:r w:rsidRPr="009055A9">
              <w:rPr>
                <w:rFonts w:asciiTheme="minorHAnsi" w:hAnsiTheme="minorHAnsi" w:cstheme="minorHAnsi"/>
                <w:color w:val="000000"/>
                <w:sz w:val="16"/>
                <w:szCs w:val="16"/>
              </w:rPr>
              <w:t>NextEra Energy</w:t>
            </w:r>
          </w:p>
        </w:tc>
        <w:tc>
          <w:tcPr>
            <w:tcW w:w="321" w:type="pct"/>
            <w:shd w:val="clear" w:color="auto" w:fill="auto"/>
            <w:noWrap/>
            <w:tcMar>
              <w:left w:w="58" w:type="dxa"/>
              <w:right w:w="29" w:type="dxa"/>
            </w:tcMar>
            <w:vAlign w:val="center"/>
            <w:hideMark/>
          </w:tcPr>
          <w:p w:rsidRPr="009055A9" w:rsidR="0023718B" w:rsidP="000E31AA" w:rsidRDefault="0023718B" w14:paraId="7E33B56A" w14:textId="1E2BD962">
            <w:pPr>
              <w:rPr>
                <w:rFonts w:asciiTheme="minorHAnsi" w:hAnsiTheme="minorHAnsi" w:cstheme="minorHAnsi"/>
                <w:sz w:val="16"/>
                <w:szCs w:val="16"/>
              </w:rPr>
            </w:pPr>
            <w:r w:rsidRPr="009055A9">
              <w:rPr>
                <w:rFonts w:asciiTheme="minorHAnsi" w:hAnsiTheme="minorHAnsi" w:cstheme="minorHAnsi"/>
                <w:sz w:val="16"/>
                <w:szCs w:val="16"/>
              </w:rPr>
              <w:t>Turkey Point</w:t>
            </w:r>
          </w:p>
        </w:tc>
        <w:tc>
          <w:tcPr>
            <w:tcW w:w="123" w:type="pct"/>
            <w:shd w:val="clear" w:color="auto" w:fill="auto"/>
            <w:noWrap/>
            <w:tcMar>
              <w:left w:w="58" w:type="dxa"/>
              <w:right w:w="58" w:type="dxa"/>
            </w:tcMar>
            <w:vAlign w:val="center"/>
            <w:hideMark/>
          </w:tcPr>
          <w:p w:rsidRPr="009055A9" w:rsidR="0023718B" w:rsidP="000E31AA" w:rsidRDefault="0023718B" w14:paraId="20C3A0CA" w14:textId="002E1134">
            <w:pPr>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0BFC33D6" w14:textId="502FFB62">
            <w:pPr>
              <w:jc w:val="right"/>
              <w:rPr>
                <w:rFonts w:asciiTheme="minorHAnsi" w:hAnsiTheme="minorHAnsi" w:cstheme="minorHAnsi"/>
                <w:sz w:val="16"/>
                <w:szCs w:val="16"/>
              </w:rPr>
            </w:pPr>
            <w:r w:rsidRPr="009055A9">
              <w:rPr>
                <w:rFonts w:asciiTheme="minorHAnsi" w:hAnsiTheme="minorHAnsi" w:cstheme="minorHAnsi"/>
                <w:color w:val="000000"/>
                <w:sz w:val="16"/>
                <w:szCs w:val="16"/>
              </w:rPr>
              <w:t>3,813</w:t>
            </w:r>
          </w:p>
        </w:tc>
        <w:tc>
          <w:tcPr>
            <w:tcW w:w="123" w:type="pct"/>
            <w:shd w:val="clear" w:color="auto" w:fill="auto"/>
            <w:noWrap/>
            <w:tcMar>
              <w:left w:w="0" w:type="dxa"/>
              <w:right w:w="43" w:type="dxa"/>
            </w:tcMar>
            <w:vAlign w:val="center"/>
            <w:hideMark/>
          </w:tcPr>
          <w:p w:rsidRPr="009055A9" w:rsidR="0023718B" w:rsidP="000E31AA" w:rsidRDefault="0023718B" w14:paraId="655D5309" w14:textId="33FBA85A">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0" w:type="pct"/>
            <w:shd w:val="clear" w:color="auto" w:fill="auto"/>
            <w:noWrap/>
            <w:tcMar>
              <w:left w:w="0" w:type="dxa"/>
              <w:right w:w="43" w:type="dxa"/>
            </w:tcMar>
            <w:vAlign w:val="center"/>
            <w:hideMark/>
          </w:tcPr>
          <w:p w:rsidRPr="009055A9" w:rsidR="0023718B" w:rsidP="000E31AA" w:rsidRDefault="0023718B" w14:paraId="4847663F" w14:textId="4ED94DAB">
            <w:pPr>
              <w:jc w:val="right"/>
              <w:rPr>
                <w:rFonts w:asciiTheme="minorHAnsi" w:hAnsiTheme="minorHAnsi" w:cstheme="minorHAnsi"/>
                <w:sz w:val="16"/>
                <w:szCs w:val="16"/>
              </w:rPr>
            </w:pPr>
            <w:r w:rsidRPr="009055A9">
              <w:rPr>
                <w:rFonts w:asciiTheme="minorHAnsi" w:hAnsiTheme="minorHAnsi" w:cstheme="minorHAnsi"/>
                <w:color w:val="000000"/>
                <w:sz w:val="16"/>
                <w:szCs w:val="16"/>
              </w:rPr>
              <w:t>3,827</w:t>
            </w:r>
          </w:p>
        </w:tc>
        <w:tc>
          <w:tcPr>
            <w:tcW w:w="125" w:type="pct"/>
            <w:shd w:val="clear" w:color="auto" w:fill="auto"/>
            <w:noWrap/>
            <w:tcMar>
              <w:left w:w="0" w:type="dxa"/>
              <w:right w:w="43" w:type="dxa"/>
            </w:tcMar>
            <w:vAlign w:val="center"/>
            <w:hideMark/>
          </w:tcPr>
          <w:p w:rsidRPr="009055A9" w:rsidR="0023718B" w:rsidP="000E31AA" w:rsidRDefault="0023718B" w14:paraId="762A60E4" w14:textId="7678A5F8">
            <w:pPr>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72" w:type="pct"/>
            <w:shd w:val="clear" w:color="auto" w:fill="auto"/>
            <w:noWrap/>
            <w:tcMar>
              <w:left w:w="0" w:type="dxa"/>
              <w:right w:w="43" w:type="dxa"/>
            </w:tcMar>
            <w:vAlign w:val="center"/>
            <w:hideMark/>
          </w:tcPr>
          <w:p w:rsidRPr="009055A9" w:rsidR="0023718B" w:rsidP="000E31AA" w:rsidRDefault="0023718B" w14:paraId="52D3FB25" w14:textId="1E8B61BF">
            <w:pPr>
              <w:jc w:val="right"/>
              <w:rPr>
                <w:rFonts w:asciiTheme="minorHAnsi" w:hAnsiTheme="minorHAnsi" w:cstheme="minorHAnsi"/>
                <w:sz w:val="16"/>
                <w:szCs w:val="16"/>
              </w:rPr>
            </w:pPr>
            <w:r w:rsidRPr="009055A9">
              <w:rPr>
                <w:rFonts w:asciiTheme="minorHAnsi" w:hAnsiTheme="minorHAnsi" w:cstheme="minorHAnsi"/>
                <w:color w:val="000000"/>
                <w:sz w:val="16"/>
                <w:szCs w:val="16"/>
              </w:rPr>
              <w:t>4,718</w:t>
            </w:r>
          </w:p>
        </w:tc>
        <w:tc>
          <w:tcPr>
            <w:tcW w:w="123" w:type="pct"/>
            <w:shd w:val="clear" w:color="auto" w:fill="auto"/>
            <w:noWrap/>
            <w:tcMar>
              <w:left w:w="0" w:type="dxa"/>
              <w:right w:w="43" w:type="dxa"/>
            </w:tcMar>
            <w:vAlign w:val="center"/>
            <w:hideMark/>
          </w:tcPr>
          <w:p w:rsidRPr="009055A9" w:rsidR="0023718B" w:rsidP="000E31AA" w:rsidRDefault="0023718B" w14:paraId="29569F12" w14:textId="5C380527">
            <w:pPr>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94" w:type="pct"/>
            <w:shd w:val="clear" w:color="auto" w:fill="auto"/>
            <w:noWrap/>
            <w:tcMar>
              <w:left w:w="0" w:type="dxa"/>
              <w:right w:w="43" w:type="dxa"/>
            </w:tcMar>
            <w:vAlign w:val="center"/>
            <w:hideMark/>
          </w:tcPr>
          <w:p w:rsidRPr="009055A9" w:rsidR="0023718B" w:rsidP="000E31AA" w:rsidRDefault="0023718B" w14:paraId="7B214D34" w14:textId="3A9F5F78">
            <w:pPr>
              <w:jc w:val="right"/>
              <w:rPr>
                <w:rFonts w:asciiTheme="minorHAnsi" w:hAnsiTheme="minorHAnsi" w:cstheme="minorHAnsi"/>
                <w:sz w:val="16"/>
                <w:szCs w:val="16"/>
              </w:rPr>
            </w:pPr>
            <w:r w:rsidRPr="009055A9">
              <w:rPr>
                <w:rFonts w:asciiTheme="minorHAnsi" w:hAnsiTheme="minorHAnsi" w:cstheme="minorHAnsi"/>
                <w:color w:val="000000"/>
                <w:sz w:val="16"/>
                <w:szCs w:val="16"/>
              </w:rPr>
              <w:t>8,216</w:t>
            </w:r>
          </w:p>
        </w:tc>
        <w:tc>
          <w:tcPr>
            <w:tcW w:w="123" w:type="pct"/>
            <w:shd w:val="clear" w:color="auto" w:fill="auto"/>
            <w:noWrap/>
            <w:tcMar>
              <w:left w:w="0" w:type="dxa"/>
              <w:right w:w="43" w:type="dxa"/>
            </w:tcMar>
            <w:vAlign w:val="center"/>
            <w:hideMark/>
          </w:tcPr>
          <w:p w:rsidRPr="009055A9" w:rsidR="0023718B" w:rsidP="000E31AA" w:rsidRDefault="0023718B" w14:paraId="479BB1A9" w14:textId="1B52DF11">
            <w:pPr>
              <w:jc w:val="right"/>
              <w:rPr>
                <w:rFonts w:asciiTheme="minorHAnsi" w:hAnsiTheme="minorHAnsi" w:cstheme="minorHAnsi"/>
                <w:sz w:val="16"/>
                <w:szCs w:val="16"/>
              </w:rPr>
            </w:pPr>
            <w:r w:rsidRPr="009055A9">
              <w:rPr>
                <w:rFonts w:asciiTheme="minorHAnsi" w:hAnsiTheme="minorHAnsi" w:cstheme="minorHAnsi"/>
                <w:color w:val="000000"/>
                <w:sz w:val="16"/>
                <w:szCs w:val="16"/>
              </w:rPr>
              <w:t>40</w:t>
            </w:r>
          </w:p>
        </w:tc>
        <w:tc>
          <w:tcPr>
            <w:tcW w:w="197" w:type="pct"/>
            <w:shd w:val="clear" w:color="auto" w:fill="auto"/>
            <w:noWrap/>
            <w:tcMar>
              <w:left w:w="0" w:type="dxa"/>
              <w:right w:w="43" w:type="dxa"/>
            </w:tcMar>
            <w:vAlign w:val="center"/>
            <w:hideMark/>
          </w:tcPr>
          <w:p w:rsidRPr="009055A9" w:rsidR="0023718B" w:rsidP="000E31AA" w:rsidRDefault="0023718B" w14:paraId="3AFB7E48" w14:textId="3828020C">
            <w:pPr>
              <w:jc w:val="right"/>
              <w:rPr>
                <w:rFonts w:asciiTheme="minorHAnsi" w:hAnsiTheme="minorHAnsi" w:cstheme="minorHAnsi"/>
                <w:sz w:val="16"/>
                <w:szCs w:val="16"/>
              </w:rPr>
            </w:pPr>
            <w:r w:rsidRPr="009055A9">
              <w:rPr>
                <w:rFonts w:asciiTheme="minorHAnsi" w:hAnsiTheme="minorHAnsi" w:cstheme="minorHAnsi"/>
                <w:color w:val="000000"/>
                <w:sz w:val="16"/>
                <w:szCs w:val="16"/>
              </w:rPr>
              <w:t>2,247</w:t>
            </w:r>
          </w:p>
        </w:tc>
        <w:tc>
          <w:tcPr>
            <w:tcW w:w="125" w:type="pct"/>
            <w:shd w:val="clear" w:color="auto" w:fill="auto"/>
            <w:noWrap/>
            <w:tcMar>
              <w:left w:w="0" w:type="dxa"/>
              <w:right w:w="43" w:type="dxa"/>
            </w:tcMar>
            <w:vAlign w:val="center"/>
            <w:hideMark/>
          </w:tcPr>
          <w:p w:rsidRPr="009055A9" w:rsidR="0023718B" w:rsidP="000E31AA" w:rsidRDefault="0023718B" w14:paraId="5D285A7C" w14:textId="37C97A69">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0" w:type="pct"/>
            <w:shd w:val="clear" w:color="auto" w:fill="auto"/>
            <w:noWrap/>
            <w:tcMar>
              <w:left w:w="0" w:type="dxa"/>
              <w:right w:w="43" w:type="dxa"/>
            </w:tcMar>
            <w:vAlign w:val="center"/>
            <w:hideMark/>
          </w:tcPr>
          <w:p w:rsidRPr="009055A9" w:rsidR="0023718B" w:rsidP="000E31AA" w:rsidRDefault="0023718B" w14:paraId="70242814" w14:textId="455CFB90">
            <w:pPr>
              <w:jc w:val="right"/>
              <w:rPr>
                <w:rFonts w:asciiTheme="minorHAnsi" w:hAnsiTheme="minorHAnsi" w:cstheme="minorHAnsi"/>
                <w:sz w:val="16"/>
                <w:szCs w:val="16"/>
              </w:rPr>
            </w:pPr>
            <w:r w:rsidRPr="009055A9">
              <w:rPr>
                <w:rFonts w:asciiTheme="minorHAnsi" w:hAnsiTheme="minorHAnsi" w:cstheme="minorHAnsi"/>
                <w:color w:val="000000"/>
                <w:sz w:val="16"/>
                <w:szCs w:val="16"/>
              </w:rPr>
              <w:t>2,904</w:t>
            </w:r>
          </w:p>
        </w:tc>
        <w:tc>
          <w:tcPr>
            <w:tcW w:w="148" w:type="pct"/>
            <w:shd w:val="clear" w:color="auto" w:fill="auto"/>
            <w:noWrap/>
            <w:tcMar>
              <w:left w:w="0" w:type="dxa"/>
              <w:right w:w="43" w:type="dxa"/>
            </w:tcMar>
            <w:vAlign w:val="center"/>
            <w:hideMark/>
          </w:tcPr>
          <w:p w:rsidRPr="009055A9" w:rsidR="0023718B" w:rsidP="000E31AA" w:rsidRDefault="0023718B" w14:paraId="362269B9" w14:textId="73EAEAD2">
            <w:pPr>
              <w:jc w:val="right"/>
              <w:rPr>
                <w:rFonts w:asciiTheme="minorHAnsi" w:hAnsiTheme="minorHAnsi" w:cstheme="minorHAnsi"/>
                <w:sz w:val="16"/>
                <w:szCs w:val="16"/>
              </w:rPr>
            </w:pPr>
            <w:r w:rsidRPr="009055A9">
              <w:rPr>
                <w:rFonts w:asciiTheme="minorHAnsi" w:hAnsiTheme="minorHAnsi" w:cstheme="minorHAnsi"/>
                <w:color w:val="000000"/>
                <w:sz w:val="16"/>
                <w:szCs w:val="16"/>
              </w:rPr>
              <w:t>10</w:t>
            </w:r>
          </w:p>
        </w:tc>
        <w:tc>
          <w:tcPr>
            <w:tcW w:w="172" w:type="pct"/>
            <w:tcMar>
              <w:left w:w="0" w:type="dxa"/>
              <w:right w:w="43" w:type="dxa"/>
            </w:tcMar>
            <w:vAlign w:val="center"/>
          </w:tcPr>
          <w:p w:rsidRPr="009055A9" w:rsidR="0023718B" w:rsidP="000E31AA" w:rsidRDefault="0023718B" w14:paraId="498F8AD3" w14:textId="163F60B8">
            <w:pPr>
              <w:jc w:val="right"/>
              <w:rPr>
                <w:rFonts w:asciiTheme="minorHAnsi" w:hAnsiTheme="minorHAnsi" w:cstheme="minorHAnsi"/>
                <w:sz w:val="16"/>
                <w:szCs w:val="16"/>
              </w:rPr>
            </w:pPr>
            <w:r w:rsidRPr="009055A9">
              <w:rPr>
                <w:rFonts w:asciiTheme="minorHAnsi" w:hAnsiTheme="minorHAnsi" w:cstheme="minorHAnsi"/>
                <w:color w:val="000000"/>
                <w:sz w:val="16"/>
                <w:szCs w:val="16"/>
              </w:rPr>
              <w:t>1,908</w:t>
            </w:r>
          </w:p>
        </w:tc>
        <w:tc>
          <w:tcPr>
            <w:tcW w:w="124" w:type="pct"/>
            <w:tcMar>
              <w:left w:w="0" w:type="dxa"/>
              <w:right w:w="43" w:type="dxa"/>
            </w:tcMar>
            <w:vAlign w:val="center"/>
          </w:tcPr>
          <w:p w:rsidRPr="009055A9" w:rsidR="0023718B" w:rsidP="000E31AA" w:rsidRDefault="0023718B" w14:paraId="59628B47" w14:textId="186E3203">
            <w:pPr>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3" w:type="pct"/>
            <w:tcMar>
              <w:left w:w="0" w:type="dxa"/>
              <w:right w:w="43" w:type="dxa"/>
            </w:tcMar>
            <w:vAlign w:val="center"/>
          </w:tcPr>
          <w:p w:rsidRPr="009055A9" w:rsidR="0023718B" w:rsidP="000E31AA" w:rsidRDefault="0023718B" w14:paraId="4AFA09D2" w14:textId="56815549">
            <w:pPr>
              <w:jc w:val="right"/>
              <w:rPr>
                <w:rFonts w:asciiTheme="minorHAnsi" w:hAnsiTheme="minorHAnsi" w:cstheme="minorHAnsi"/>
                <w:sz w:val="16"/>
                <w:szCs w:val="16"/>
              </w:rPr>
            </w:pPr>
            <w:r w:rsidRPr="009055A9">
              <w:rPr>
                <w:rFonts w:asciiTheme="minorHAnsi" w:hAnsiTheme="minorHAnsi" w:cstheme="minorHAnsi"/>
                <w:color w:val="000000"/>
                <w:sz w:val="16"/>
                <w:szCs w:val="16"/>
              </w:rPr>
              <w:t>2,050</w:t>
            </w:r>
          </w:p>
        </w:tc>
        <w:tc>
          <w:tcPr>
            <w:tcW w:w="146" w:type="pct"/>
            <w:tcMar>
              <w:left w:w="0" w:type="dxa"/>
              <w:right w:w="43" w:type="dxa"/>
            </w:tcMar>
            <w:vAlign w:val="center"/>
          </w:tcPr>
          <w:p w:rsidRPr="009055A9" w:rsidR="0023718B" w:rsidP="000E31AA" w:rsidRDefault="0023718B" w14:paraId="3A5C3C96" w14:textId="3AB1B433">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5" w:type="pct"/>
            <w:tcMar>
              <w:left w:w="0" w:type="dxa"/>
              <w:right w:w="43" w:type="dxa"/>
            </w:tcMar>
            <w:vAlign w:val="center"/>
          </w:tcPr>
          <w:p w:rsidRPr="009055A9" w:rsidR="0023718B" w:rsidP="000E31AA" w:rsidRDefault="0023718B" w14:paraId="1302EB19" w14:textId="4E5AEAD5">
            <w:pPr>
              <w:jc w:val="right"/>
              <w:rPr>
                <w:rFonts w:asciiTheme="minorHAnsi" w:hAnsiTheme="minorHAnsi" w:cstheme="minorHAnsi"/>
                <w:sz w:val="16"/>
                <w:szCs w:val="16"/>
              </w:rPr>
            </w:pPr>
            <w:r w:rsidRPr="009055A9">
              <w:rPr>
                <w:rFonts w:asciiTheme="minorHAnsi" w:hAnsiTheme="minorHAnsi" w:cstheme="minorHAnsi"/>
                <w:color w:val="000000"/>
                <w:sz w:val="16"/>
                <w:szCs w:val="16"/>
              </w:rPr>
              <w:t>2,377</w:t>
            </w:r>
          </w:p>
        </w:tc>
        <w:tc>
          <w:tcPr>
            <w:tcW w:w="149" w:type="pct"/>
            <w:tcMar>
              <w:left w:w="0" w:type="dxa"/>
              <w:right w:w="43" w:type="dxa"/>
            </w:tcMar>
            <w:vAlign w:val="center"/>
          </w:tcPr>
          <w:p w:rsidRPr="009055A9" w:rsidR="0023718B" w:rsidP="000E31AA" w:rsidRDefault="0023718B" w14:paraId="3D03E954" w14:textId="10EFD336">
            <w:pPr>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97" w:type="pct"/>
            <w:tcMar>
              <w:left w:w="0" w:type="dxa"/>
              <w:right w:w="43" w:type="dxa"/>
            </w:tcMar>
            <w:vAlign w:val="center"/>
          </w:tcPr>
          <w:p w:rsidRPr="009055A9" w:rsidR="0023718B" w:rsidP="000E31AA" w:rsidRDefault="0023718B" w14:paraId="1891A781" w14:textId="5B866C52">
            <w:pPr>
              <w:jc w:val="right"/>
              <w:rPr>
                <w:rFonts w:asciiTheme="minorHAnsi" w:hAnsiTheme="minorHAnsi" w:cstheme="minorHAnsi"/>
                <w:sz w:val="16"/>
                <w:szCs w:val="16"/>
              </w:rPr>
            </w:pPr>
            <w:r w:rsidRPr="009055A9">
              <w:rPr>
                <w:rFonts w:asciiTheme="minorHAnsi" w:hAnsiTheme="minorHAnsi" w:cstheme="minorHAnsi"/>
                <w:color w:val="000000"/>
                <w:sz w:val="16"/>
                <w:szCs w:val="16"/>
              </w:rPr>
              <w:t>1,852</w:t>
            </w:r>
          </w:p>
        </w:tc>
        <w:tc>
          <w:tcPr>
            <w:tcW w:w="148" w:type="pct"/>
            <w:tcMar>
              <w:left w:w="0" w:type="dxa"/>
              <w:right w:w="43" w:type="dxa"/>
            </w:tcMar>
            <w:vAlign w:val="center"/>
          </w:tcPr>
          <w:p w:rsidRPr="009055A9" w:rsidR="0023718B" w:rsidP="000E31AA" w:rsidRDefault="0023718B" w14:paraId="24AA39F4" w14:textId="4EF67E59">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6" w:type="pct"/>
            <w:tcMar>
              <w:left w:w="0" w:type="dxa"/>
              <w:right w:w="43" w:type="dxa"/>
            </w:tcMar>
            <w:vAlign w:val="center"/>
          </w:tcPr>
          <w:p w:rsidRPr="009055A9" w:rsidR="0023718B" w:rsidP="000E31AA" w:rsidRDefault="0023718B" w14:paraId="5F1A4AF0" w14:textId="615A0023">
            <w:pPr>
              <w:jc w:val="right"/>
              <w:rPr>
                <w:rFonts w:asciiTheme="minorHAnsi" w:hAnsiTheme="minorHAnsi" w:cstheme="minorHAnsi"/>
                <w:sz w:val="16"/>
                <w:szCs w:val="16"/>
              </w:rPr>
            </w:pPr>
            <w:r w:rsidRPr="009055A9">
              <w:rPr>
                <w:rFonts w:asciiTheme="minorHAnsi" w:hAnsiTheme="minorHAnsi" w:cstheme="minorHAnsi"/>
                <w:color w:val="000000"/>
                <w:sz w:val="16"/>
                <w:szCs w:val="16"/>
              </w:rPr>
              <w:t>1,989</w:t>
            </w:r>
          </w:p>
        </w:tc>
        <w:tc>
          <w:tcPr>
            <w:tcW w:w="143" w:type="pct"/>
            <w:tcMar>
              <w:left w:w="0" w:type="dxa"/>
              <w:right w:w="43" w:type="dxa"/>
            </w:tcMar>
            <w:vAlign w:val="center"/>
          </w:tcPr>
          <w:p w:rsidRPr="009055A9" w:rsidR="0023718B" w:rsidP="000E31AA" w:rsidRDefault="0023718B" w14:paraId="437D6E2E" w14:textId="54C41674">
            <w:pPr>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78" w:type="pct"/>
            <w:shd w:val="clear" w:color="000000" w:fill="FFFFFF"/>
            <w:noWrap/>
            <w:tcMar>
              <w:left w:w="0" w:type="dxa"/>
              <w:right w:w="43" w:type="dxa"/>
            </w:tcMar>
            <w:vAlign w:val="center"/>
          </w:tcPr>
          <w:p w:rsidRPr="003148DB" w:rsidR="0023718B" w:rsidP="000E31AA" w:rsidRDefault="0023718B" w14:paraId="613EABC2" w14:textId="266AB739">
            <w:pPr>
              <w:jc w:val="right"/>
              <w:rPr>
                <w:rFonts w:asciiTheme="minorHAnsi" w:hAnsiTheme="minorHAnsi" w:cstheme="minorHAnsi"/>
                <w:sz w:val="16"/>
                <w:szCs w:val="16"/>
              </w:rPr>
            </w:pPr>
            <w:r w:rsidRPr="003148DB">
              <w:rPr>
                <w:rFonts w:asciiTheme="minorHAnsi" w:hAnsiTheme="minorHAnsi" w:cstheme="minorHAnsi"/>
                <w:color w:val="000000"/>
                <w:sz w:val="16"/>
                <w:szCs w:val="16"/>
              </w:rPr>
              <w:t>3,264</w:t>
            </w:r>
          </w:p>
        </w:tc>
        <w:tc>
          <w:tcPr>
            <w:tcW w:w="151" w:type="pct"/>
            <w:shd w:val="clear" w:color="000000" w:fill="FFFFFF"/>
            <w:noWrap/>
            <w:tcMar>
              <w:left w:w="0" w:type="dxa"/>
              <w:right w:w="43" w:type="dxa"/>
            </w:tcMar>
            <w:vAlign w:val="center"/>
          </w:tcPr>
          <w:p w:rsidRPr="003148DB" w:rsidR="0023718B" w:rsidP="000E31AA" w:rsidRDefault="0023718B" w14:paraId="3C500B3E" w14:textId="6703C911">
            <w:pPr>
              <w:jc w:val="right"/>
              <w:rPr>
                <w:rFonts w:asciiTheme="minorHAnsi" w:hAnsiTheme="minorHAnsi" w:cstheme="minorHAnsi"/>
                <w:sz w:val="16"/>
                <w:szCs w:val="16"/>
              </w:rPr>
            </w:pPr>
            <w:r w:rsidRPr="003148DB">
              <w:rPr>
                <w:rFonts w:asciiTheme="minorHAnsi" w:hAnsiTheme="minorHAnsi" w:cstheme="minorHAnsi"/>
                <w:color w:val="000000"/>
                <w:sz w:val="16"/>
                <w:szCs w:val="16"/>
              </w:rPr>
              <w:t>16.5</w:t>
            </w:r>
          </w:p>
        </w:tc>
      </w:tr>
      <w:tr w:rsidRPr="003148DB" w:rsidR="0023718B" w:rsidTr="000D41FC" w14:paraId="6E69989A" w14:textId="77777777">
        <w:trPr>
          <w:trHeight w:val="264"/>
        </w:trPr>
        <w:tc>
          <w:tcPr>
            <w:tcW w:w="268" w:type="pct"/>
            <w:vMerge/>
            <w:shd w:val="clear" w:color="auto" w:fill="auto"/>
            <w:noWrap/>
            <w:tcMar>
              <w:left w:w="58" w:type="dxa"/>
              <w:right w:w="58" w:type="dxa"/>
            </w:tcMar>
            <w:vAlign w:val="center"/>
          </w:tcPr>
          <w:p w:rsidRPr="00196D17" w:rsidR="0023718B" w:rsidP="000E31AA" w:rsidRDefault="0023718B" w14:paraId="6130D294" w14:textId="0BB9BA90">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23718B" w:rsidP="000E31AA" w:rsidRDefault="0023718B" w14:paraId="363A4B75" w14:textId="6894302F">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Southern Nuclear</w:t>
            </w:r>
          </w:p>
        </w:tc>
        <w:tc>
          <w:tcPr>
            <w:tcW w:w="321" w:type="pct"/>
            <w:shd w:val="clear" w:color="auto" w:fill="auto"/>
            <w:noWrap/>
            <w:tcMar>
              <w:left w:w="58" w:type="dxa"/>
              <w:right w:w="29" w:type="dxa"/>
            </w:tcMar>
            <w:vAlign w:val="center"/>
            <w:hideMark/>
          </w:tcPr>
          <w:p w:rsidRPr="009055A9" w:rsidR="0023718B" w:rsidP="000E31AA" w:rsidRDefault="0023718B" w14:paraId="756DA815" w14:textId="791C9DEA">
            <w:pPr>
              <w:keepNext/>
              <w:keepLines/>
              <w:rPr>
                <w:rFonts w:asciiTheme="minorHAnsi" w:hAnsiTheme="minorHAnsi" w:cstheme="minorHAnsi"/>
                <w:sz w:val="16"/>
                <w:szCs w:val="16"/>
              </w:rPr>
            </w:pPr>
            <w:r w:rsidRPr="009055A9">
              <w:rPr>
                <w:rFonts w:asciiTheme="minorHAnsi" w:hAnsiTheme="minorHAnsi" w:cstheme="minorHAnsi"/>
                <w:sz w:val="16"/>
                <w:szCs w:val="16"/>
              </w:rPr>
              <w:t>Vogtle 1 &amp; 2</w:t>
            </w:r>
          </w:p>
        </w:tc>
        <w:tc>
          <w:tcPr>
            <w:tcW w:w="123" w:type="pct"/>
            <w:shd w:val="clear" w:color="auto" w:fill="auto"/>
            <w:noWrap/>
            <w:tcMar>
              <w:left w:w="58" w:type="dxa"/>
              <w:right w:w="58" w:type="dxa"/>
            </w:tcMar>
            <w:vAlign w:val="center"/>
            <w:hideMark/>
          </w:tcPr>
          <w:p w:rsidRPr="009055A9" w:rsidR="0023718B" w:rsidP="000E31AA" w:rsidRDefault="0023718B" w14:paraId="0AD63301" w14:textId="59A7B7F0">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23718B" w:rsidP="000E31AA" w:rsidRDefault="0023718B" w14:paraId="566F6D20" w14:textId="7E622EA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2,774</w:t>
            </w:r>
          </w:p>
        </w:tc>
        <w:tc>
          <w:tcPr>
            <w:tcW w:w="123" w:type="pct"/>
            <w:shd w:val="clear" w:color="auto" w:fill="auto"/>
            <w:noWrap/>
            <w:tcMar>
              <w:left w:w="0" w:type="dxa"/>
              <w:right w:w="43" w:type="dxa"/>
            </w:tcMar>
            <w:vAlign w:val="center"/>
            <w:hideMark/>
          </w:tcPr>
          <w:p w:rsidRPr="009055A9" w:rsidR="0023718B" w:rsidP="000E31AA" w:rsidRDefault="0023718B" w14:paraId="0BBA5492" w14:textId="0236C43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30</w:t>
            </w:r>
          </w:p>
        </w:tc>
        <w:tc>
          <w:tcPr>
            <w:tcW w:w="170" w:type="pct"/>
            <w:shd w:val="clear" w:color="auto" w:fill="auto"/>
            <w:noWrap/>
            <w:tcMar>
              <w:left w:w="0" w:type="dxa"/>
              <w:right w:w="43" w:type="dxa"/>
            </w:tcMar>
            <w:vAlign w:val="center"/>
            <w:hideMark/>
          </w:tcPr>
          <w:p w:rsidRPr="009055A9" w:rsidR="0023718B" w:rsidP="000E31AA" w:rsidRDefault="0023718B" w14:paraId="064B26C1" w14:textId="010C62B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2,837</w:t>
            </w:r>
          </w:p>
        </w:tc>
        <w:tc>
          <w:tcPr>
            <w:tcW w:w="125" w:type="pct"/>
            <w:shd w:val="clear" w:color="auto" w:fill="auto"/>
            <w:noWrap/>
            <w:tcMar>
              <w:left w:w="0" w:type="dxa"/>
              <w:right w:w="43" w:type="dxa"/>
            </w:tcMar>
            <w:vAlign w:val="center"/>
            <w:hideMark/>
          </w:tcPr>
          <w:p w:rsidRPr="009055A9" w:rsidR="0023718B" w:rsidP="000E31AA" w:rsidRDefault="0023718B" w14:paraId="0C1A790E" w14:textId="2C2B011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w:t>
            </w:r>
          </w:p>
        </w:tc>
        <w:tc>
          <w:tcPr>
            <w:tcW w:w="172" w:type="pct"/>
            <w:shd w:val="clear" w:color="auto" w:fill="auto"/>
            <w:noWrap/>
            <w:tcMar>
              <w:left w:w="0" w:type="dxa"/>
              <w:right w:w="43" w:type="dxa"/>
            </w:tcMar>
            <w:vAlign w:val="center"/>
            <w:hideMark/>
          </w:tcPr>
          <w:p w:rsidRPr="009055A9" w:rsidR="0023718B" w:rsidP="000E31AA" w:rsidRDefault="0023718B" w14:paraId="6EA2D7BD" w14:textId="3171150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3,856</w:t>
            </w:r>
          </w:p>
        </w:tc>
        <w:tc>
          <w:tcPr>
            <w:tcW w:w="123" w:type="pct"/>
            <w:shd w:val="clear" w:color="auto" w:fill="auto"/>
            <w:noWrap/>
            <w:tcMar>
              <w:left w:w="0" w:type="dxa"/>
              <w:right w:w="43" w:type="dxa"/>
            </w:tcMar>
            <w:vAlign w:val="center"/>
            <w:hideMark/>
          </w:tcPr>
          <w:p w:rsidRPr="009055A9" w:rsidR="0023718B" w:rsidP="000E31AA" w:rsidRDefault="0023718B" w14:paraId="783B5CB3" w14:textId="06B0E9D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94" w:type="pct"/>
            <w:shd w:val="clear" w:color="auto" w:fill="auto"/>
            <w:noWrap/>
            <w:tcMar>
              <w:left w:w="0" w:type="dxa"/>
              <w:right w:w="43" w:type="dxa"/>
            </w:tcMar>
            <w:vAlign w:val="center"/>
            <w:hideMark/>
          </w:tcPr>
          <w:p w:rsidRPr="009055A9" w:rsidR="0023718B" w:rsidP="000E31AA" w:rsidRDefault="0023718B" w14:paraId="186046BA" w14:textId="5F63EF3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3,284</w:t>
            </w:r>
          </w:p>
        </w:tc>
        <w:tc>
          <w:tcPr>
            <w:tcW w:w="123" w:type="pct"/>
            <w:shd w:val="clear" w:color="auto" w:fill="auto"/>
            <w:noWrap/>
            <w:tcMar>
              <w:left w:w="0" w:type="dxa"/>
              <w:right w:w="43" w:type="dxa"/>
            </w:tcMar>
            <w:vAlign w:val="center"/>
            <w:hideMark/>
          </w:tcPr>
          <w:p w:rsidRPr="009055A9" w:rsidR="0023718B" w:rsidP="000E31AA" w:rsidRDefault="0023718B" w14:paraId="4085FF40" w14:textId="6AD9853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57</w:t>
            </w:r>
          </w:p>
        </w:tc>
        <w:tc>
          <w:tcPr>
            <w:tcW w:w="197" w:type="pct"/>
            <w:shd w:val="clear" w:color="auto" w:fill="auto"/>
            <w:noWrap/>
            <w:tcMar>
              <w:left w:w="0" w:type="dxa"/>
              <w:right w:w="43" w:type="dxa"/>
            </w:tcMar>
            <w:vAlign w:val="center"/>
            <w:hideMark/>
          </w:tcPr>
          <w:p w:rsidRPr="009055A9" w:rsidR="0023718B" w:rsidP="000E31AA" w:rsidRDefault="0023718B" w14:paraId="6F9DFE22" w14:textId="52EAEDF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2,605</w:t>
            </w:r>
          </w:p>
        </w:tc>
        <w:tc>
          <w:tcPr>
            <w:tcW w:w="125" w:type="pct"/>
            <w:shd w:val="clear" w:color="auto" w:fill="auto"/>
            <w:noWrap/>
            <w:tcMar>
              <w:left w:w="0" w:type="dxa"/>
              <w:right w:w="43" w:type="dxa"/>
            </w:tcMar>
            <w:vAlign w:val="center"/>
            <w:hideMark/>
          </w:tcPr>
          <w:p w:rsidRPr="009055A9" w:rsidR="0023718B" w:rsidP="000E31AA" w:rsidRDefault="0023718B" w14:paraId="1B2B4DEC" w14:textId="19623E8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w:t>
            </w:r>
          </w:p>
        </w:tc>
        <w:tc>
          <w:tcPr>
            <w:tcW w:w="170" w:type="pct"/>
            <w:shd w:val="clear" w:color="auto" w:fill="auto"/>
            <w:noWrap/>
            <w:tcMar>
              <w:left w:w="0" w:type="dxa"/>
              <w:right w:w="43" w:type="dxa"/>
            </w:tcMar>
            <w:vAlign w:val="center"/>
            <w:hideMark/>
          </w:tcPr>
          <w:p w:rsidRPr="009055A9" w:rsidR="0023718B" w:rsidP="000E31AA" w:rsidRDefault="0023718B" w14:paraId="67591C0A" w14:textId="203A586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3,749</w:t>
            </w:r>
          </w:p>
        </w:tc>
        <w:tc>
          <w:tcPr>
            <w:tcW w:w="148" w:type="pct"/>
            <w:shd w:val="clear" w:color="auto" w:fill="auto"/>
            <w:noWrap/>
            <w:tcMar>
              <w:left w:w="0" w:type="dxa"/>
              <w:right w:w="43" w:type="dxa"/>
            </w:tcMar>
            <w:vAlign w:val="center"/>
            <w:hideMark/>
          </w:tcPr>
          <w:p w:rsidRPr="009055A9" w:rsidR="0023718B" w:rsidP="000E31AA" w:rsidRDefault="0023718B" w14:paraId="6095AC82" w14:textId="0483274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34</w:t>
            </w:r>
          </w:p>
        </w:tc>
        <w:tc>
          <w:tcPr>
            <w:tcW w:w="172" w:type="pct"/>
            <w:tcMar>
              <w:left w:w="0" w:type="dxa"/>
              <w:right w:w="43" w:type="dxa"/>
            </w:tcMar>
            <w:vAlign w:val="center"/>
          </w:tcPr>
          <w:p w:rsidRPr="009055A9" w:rsidR="0023718B" w:rsidP="000E31AA" w:rsidRDefault="0023718B" w14:paraId="38F2D494" w14:textId="3686550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3,282</w:t>
            </w:r>
          </w:p>
        </w:tc>
        <w:tc>
          <w:tcPr>
            <w:tcW w:w="124" w:type="pct"/>
            <w:tcMar>
              <w:left w:w="0" w:type="dxa"/>
              <w:right w:w="43" w:type="dxa"/>
            </w:tcMar>
            <w:vAlign w:val="center"/>
          </w:tcPr>
          <w:p w:rsidRPr="009055A9" w:rsidR="0023718B" w:rsidP="000E31AA" w:rsidRDefault="0023718B" w14:paraId="4E2808A0" w14:textId="5A7830D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49</w:t>
            </w:r>
          </w:p>
        </w:tc>
        <w:tc>
          <w:tcPr>
            <w:tcW w:w="173" w:type="pct"/>
            <w:tcMar>
              <w:left w:w="0" w:type="dxa"/>
              <w:right w:w="43" w:type="dxa"/>
            </w:tcMar>
            <w:vAlign w:val="center"/>
          </w:tcPr>
          <w:p w:rsidRPr="009055A9" w:rsidR="0023718B" w:rsidP="000E31AA" w:rsidRDefault="0023718B" w14:paraId="67BFD5D7" w14:textId="4FF6F01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2,651</w:t>
            </w:r>
          </w:p>
        </w:tc>
        <w:tc>
          <w:tcPr>
            <w:tcW w:w="146" w:type="pct"/>
            <w:tcMar>
              <w:left w:w="0" w:type="dxa"/>
              <w:right w:w="43" w:type="dxa"/>
            </w:tcMar>
            <w:vAlign w:val="center"/>
          </w:tcPr>
          <w:p w:rsidRPr="009055A9" w:rsidR="0023718B" w:rsidP="000E31AA" w:rsidRDefault="0023718B" w14:paraId="3CC3AE84" w14:textId="4F65747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28</w:t>
            </w:r>
          </w:p>
        </w:tc>
        <w:tc>
          <w:tcPr>
            <w:tcW w:w="175" w:type="pct"/>
            <w:tcMar>
              <w:left w:w="0" w:type="dxa"/>
              <w:right w:w="43" w:type="dxa"/>
            </w:tcMar>
            <w:vAlign w:val="center"/>
          </w:tcPr>
          <w:p w:rsidRPr="009055A9" w:rsidR="0023718B" w:rsidP="000E31AA" w:rsidRDefault="0023718B" w14:paraId="696E232B" w14:textId="0232492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3,625</w:t>
            </w:r>
          </w:p>
        </w:tc>
        <w:tc>
          <w:tcPr>
            <w:tcW w:w="149" w:type="pct"/>
            <w:tcMar>
              <w:left w:w="0" w:type="dxa"/>
              <w:right w:w="43" w:type="dxa"/>
            </w:tcMar>
            <w:vAlign w:val="center"/>
          </w:tcPr>
          <w:p w:rsidRPr="009055A9" w:rsidR="0023718B" w:rsidP="000E31AA" w:rsidRDefault="0023718B" w14:paraId="73E473D5" w14:textId="5E2D5F6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97" w:type="pct"/>
            <w:tcMar>
              <w:left w:w="0" w:type="dxa"/>
              <w:right w:w="43" w:type="dxa"/>
            </w:tcMar>
            <w:vAlign w:val="center"/>
          </w:tcPr>
          <w:p w:rsidRPr="009055A9" w:rsidR="0023718B" w:rsidP="000E31AA" w:rsidRDefault="0023718B" w14:paraId="049CB5F6" w14:textId="0DB173B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2,552</w:t>
            </w:r>
          </w:p>
        </w:tc>
        <w:tc>
          <w:tcPr>
            <w:tcW w:w="148" w:type="pct"/>
            <w:tcMar>
              <w:left w:w="0" w:type="dxa"/>
              <w:right w:w="43" w:type="dxa"/>
            </w:tcMar>
            <w:vAlign w:val="center"/>
          </w:tcPr>
          <w:p w:rsidRPr="009055A9" w:rsidR="0023718B" w:rsidP="000E31AA" w:rsidRDefault="0023718B" w14:paraId="77E9114B" w14:textId="6BB0418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32</w:t>
            </w:r>
          </w:p>
        </w:tc>
        <w:tc>
          <w:tcPr>
            <w:tcW w:w="196" w:type="pct"/>
            <w:tcMar>
              <w:left w:w="0" w:type="dxa"/>
              <w:right w:w="43" w:type="dxa"/>
            </w:tcMar>
            <w:vAlign w:val="center"/>
          </w:tcPr>
          <w:p w:rsidRPr="009055A9" w:rsidR="0023718B" w:rsidP="000E31AA" w:rsidRDefault="0023718B" w14:paraId="6E3C3865" w14:textId="63CE343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2,040</w:t>
            </w:r>
          </w:p>
        </w:tc>
        <w:tc>
          <w:tcPr>
            <w:tcW w:w="143" w:type="pct"/>
            <w:tcMar>
              <w:left w:w="0" w:type="dxa"/>
              <w:right w:w="43" w:type="dxa"/>
            </w:tcMar>
            <w:vAlign w:val="center"/>
          </w:tcPr>
          <w:p w:rsidRPr="009055A9" w:rsidR="0023718B" w:rsidP="000E31AA" w:rsidRDefault="0023718B" w14:paraId="7B7E9613" w14:textId="78B675C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8" w:type="pct"/>
            <w:shd w:val="clear" w:color="000000" w:fill="FFFFFF"/>
            <w:noWrap/>
            <w:tcMar>
              <w:left w:w="0" w:type="dxa"/>
              <w:right w:w="43" w:type="dxa"/>
            </w:tcMar>
            <w:vAlign w:val="center"/>
          </w:tcPr>
          <w:p w:rsidRPr="003148DB" w:rsidR="0023718B" w:rsidP="000E31AA" w:rsidRDefault="0023718B" w14:paraId="6907E13F" w14:textId="17457655">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3,023</w:t>
            </w:r>
          </w:p>
        </w:tc>
        <w:tc>
          <w:tcPr>
            <w:tcW w:w="151" w:type="pct"/>
            <w:shd w:val="clear" w:color="000000" w:fill="FFFFFF"/>
            <w:noWrap/>
            <w:tcMar>
              <w:left w:w="0" w:type="dxa"/>
              <w:right w:w="43" w:type="dxa"/>
            </w:tcMar>
            <w:vAlign w:val="center"/>
          </w:tcPr>
          <w:p w:rsidRPr="003148DB" w:rsidR="0023718B" w:rsidP="000E31AA" w:rsidRDefault="0023718B" w14:paraId="6E592EE9" w14:textId="5ED95698">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30.2</w:t>
            </w:r>
          </w:p>
        </w:tc>
      </w:tr>
      <w:tr w:rsidRPr="003148DB" w:rsidR="000D41FC" w:rsidTr="000D41FC" w14:paraId="2401C868" w14:textId="77777777">
        <w:trPr>
          <w:trHeight w:val="264"/>
        </w:trPr>
        <w:tc>
          <w:tcPr>
            <w:tcW w:w="268" w:type="pct"/>
            <w:vMerge w:val="restart"/>
            <w:shd w:val="clear" w:color="auto" w:fill="auto"/>
            <w:noWrap/>
            <w:tcMar>
              <w:left w:w="58" w:type="dxa"/>
              <w:right w:w="58" w:type="dxa"/>
            </w:tcMar>
            <w:vAlign w:val="center"/>
            <w:hideMark/>
          </w:tcPr>
          <w:p w:rsidRPr="00196D17" w:rsidR="000E31AA" w:rsidP="000E31AA" w:rsidRDefault="000E31AA" w14:paraId="5F2C6C39" w14:textId="3CB378C3">
            <w:pPr>
              <w:keepNext/>
              <w:keepLines/>
              <w:rPr>
                <w:rFonts w:asciiTheme="minorHAnsi" w:hAnsiTheme="minorHAnsi" w:cstheme="minorHAnsi"/>
                <w:sz w:val="16"/>
                <w:szCs w:val="16"/>
              </w:rPr>
            </w:pPr>
            <w:r w:rsidRPr="00196D17">
              <w:rPr>
                <w:rFonts w:asciiTheme="minorHAnsi" w:hAnsiTheme="minorHAnsi" w:cstheme="minorHAnsi"/>
                <w:sz w:val="16"/>
                <w:szCs w:val="16"/>
              </w:rPr>
              <w:t>Reactor (continued)</w:t>
            </w:r>
          </w:p>
        </w:tc>
        <w:tc>
          <w:tcPr>
            <w:tcW w:w="493" w:type="pct"/>
            <w:shd w:val="clear" w:color="auto" w:fill="auto"/>
            <w:noWrap/>
            <w:tcMar>
              <w:left w:w="58" w:type="dxa"/>
              <w:right w:w="29" w:type="dxa"/>
            </w:tcMar>
            <w:vAlign w:val="center"/>
            <w:hideMark/>
          </w:tcPr>
          <w:p w:rsidRPr="009055A9" w:rsidR="000E31AA" w:rsidP="000E31AA" w:rsidRDefault="000D41FC" w14:paraId="4640BB4C" w14:textId="65AF351E">
            <w:pPr>
              <w:keepNext/>
              <w:keepLines/>
              <w:rPr>
                <w:rFonts w:asciiTheme="minorHAnsi" w:hAnsiTheme="minorHAnsi" w:cstheme="minorHAnsi"/>
                <w:sz w:val="16"/>
                <w:szCs w:val="16"/>
              </w:rPr>
            </w:pPr>
            <w:r>
              <w:rPr>
                <w:rFonts w:asciiTheme="minorHAnsi" w:hAnsiTheme="minorHAnsi" w:cstheme="minorHAnsi"/>
                <w:color w:val="000000"/>
                <w:sz w:val="16"/>
                <w:szCs w:val="16"/>
              </w:rPr>
              <w:t>TVA</w:t>
            </w:r>
          </w:p>
        </w:tc>
        <w:tc>
          <w:tcPr>
            <w:tcW w:w="321" w:type="pct"/>
            <w:shd w:val="clear" w:color="auto" w:fill="auto"/>
            <w:noWrap/>
            <w:tcMar>
              <w:left w:w="58" w:type="dxa"/>
              <w:right w:w="29" w:type="dxa"/>
            </w:tcMar>
            <w:vAlign w:val="center"/>
            <w:hideMark/>
          </w:tcPr>
          <w:p w:rsidRPr="009055A9" w:rsidR="000E31AA" w:rsidP="000E31AA" w:rsidRDefault="000E31AA" w14:paraId="3C5E1E5D" w14:textId="2E6A6A83">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Watts Bar</w:t>
            </w:r>
          </w:p>
        </w:tc>
        <w:tc>
          <w:tcPr>
            <w:tcW w:w="123" w:type="pct"/>
            <w:shd w:val="clear" w:color="auto" w:fill="auto"/>
            <w:noWrap/>
            <w:tcMar>
              <w:left w:w="58" w:type="dxa"/>
              <w:right w:w="58" w:type="dxa"/>
            </w:tcMar>
            <w:vAlign w:val="center"/>
            <w:hideMark/>
          </w:tcPr>
          <w:p w:rsidRPr="009055A9" w:rsidR="000E31AA" w:rsidP="000E31AA" w:rsidRDefault="000E31AA" w14:paraId="01BFA1C4" w14:textId="5D0FD842">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9055A9" w:rsidR="000E31AA" w:rsidP="000E31AA" w:rsidRDefault="000E31AA" w14:paraId="2FAD96B9" w14:textId="3DECAA0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4,799</w:t>
            </w:r>
          </w:p>
        </w:tc>
        <w:tc>
          <w:tcPr>
            <w:tcW w:w="123" w:type="pct"/>
            <w:shd w:val="clear" w:color="auto" w:fill="auto"/>
            <w:noWrap/>
            <w:tcMar>
              <w:left w:w="0" w:type="dxa"/>
              <w:right w:w="43" w:type="dxa"/>
            </w:tcMar>
            <w:vAlign w:val="center"/>
            <w:hideMark/>
          </w:tcPr>
          <w:p w:rsidRPr="009055A9" w:rsidR="000E31AA" w:rsidP="000E31AA" w:rsidRDefault="000E31AA" w14:paraId="317C0BBB" w14:textId="307F682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0" w:type="pct"/>
            <w:shd w:val="clear" w:color="auto" w:fill="auto"/>
            <w:noWrap/>
            <w:tcMar>
              <w:left w:w="0" w:type="dxa"/>
              <w:right w:w="43" w:type="dxa"/>
            </w:tcMar>
            <w:vAlign w:val="center"/>
            <w:hideMark/>
          </w:tcPr>
          <w:p w:rsidRPr="009055A9" w:rsidR="000E31AA" w:rsidP="000E31AA" w:rsidRDefault="000E31AA" w14:paraId="7EDACB36" w14:textId="0722496D">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6,506</w:t>
            </w:r>
          </w:p>
        </w:tc>
        <w:tc>
          <w:tcPr>
            <w:tcW w:w="125" w:type="pct"/>
            <w:shd w:val="clear" w:color="auto" w:fill="auto"/>
            <w:noWrap/>
            <w:tcMar>
              <w:left w:w="0" w:type="dxa"/>
              <w:right w:w="43" w:type="dxa"/>
            </w:tcMar>
            <w:vAlign w:val="center"/>
            <w:hideMark/>
          </w:tcPr>
          <w:p w:rsidRPr="009055A9" w:rsidR="000E31AA" w:rsidP="000E31AA" w:rsidRDefault="000E31AA" w14:paraId="2AB2E55B" w14:textId="2585B7C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40</w:t>
            </w:r>
          </w:p>
        </w:tc>
        <w:tc>
          <w:tcPr>
            <w:tcW w:w="172" w:type="pct"/>
            <w:shd w:val="clear" w:color="auto" w:fill="auto"/>
            <w:noWrap/>
            <w:tcMar>
              <w:left w:w="0" w:type="dxa"/>
              <w:right w:w="43" w:type="dxa"/>
            </w:tcMar>
            <w:vAlign w:val="center"/>
            <w:hideMark/>
          </w:tcPr>
          <w:p w:rsidRPr="009055A9" w:rsidR="000E31AA" w:rsidP="000E31AA" w:rsidRDefault="000E31AA" w14:paraId="2C15AEF3" w14:textId="0A2027C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5,918</w:t>
            </w:r>
          </w:p>
        </w:tc>
        <w:tc>
          <w:tcPr>
            <w:tcW w:w="123" w:type="pct"/>
            <w:shd w:val="clear" w:color="auto" w:fill="auto"/>
            <w:noWrap/>
            <w:tcMar>
              <w:left w:w="0" w:type="dxa"/>
              <w:right w:w="43" w:type="dxa"/>
            </w:tcMar>
            <w:vAlign w:val="center"/>
            <w:hideMark/>
          </w:tcPr>
          <w:p w:rsidRPr="009055A9" w:rsidR="000E31AA" w:rsidP="000E31AA" w:rsidRDefault="000E31AA" w14:paraId="56E5606A" w14:textId="7DA4363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w:t>
            </w:r>
          </w:p>
        </w:tc>
        <w:tc>
          <w:tcPr>
            <w:tcW w:w="194" w:type="pct"/>
            <w:shd w:val="clear" w:color="auto" w:fill="auto"/>
            <w:noWrap/>
            <w:tcMar>
              <w:left w:w="0" w:type="dxa"/>
              <w:right w:w="43" w:type="dxa"/>
            </w:tcMar>
            <w:vAlign w:val="center"/>
            <w:hideMark/>
          </w:tcPr>
          <w:p w:rsidRPr="009055A9" w:rsidR="000E31AA" w:rsidP="000E31AA" w:rsidRDefault="000E31AA" w14:paraId="38B0AEEE" w14:textId="58F0A0C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5,628</w:t>
            </w:r>
          </w:p>
        </w:tc>
        <w:tc>
          <w:tcPr>
            <w:tcW w:w="123" w:type="pct"/>
            <w:shd w:val="clear" w:color="auto" w:fill="auto"/>
            <w:noWrap/>
            <w:tcMar>
              <w:left w:w="0" w:type="dxa"/>
              <w:right w:w="43" w:type="dxa"/>
            </w:tcMar>
            <w:vAlign w:val="center"/>
            <w:hideMark/>
          </w:tcPr>
          <w:p w:rsidRPr="009055A9" w:rsidR="000E31AA" w:rsidP="000E31AA" w:rsidRDefault="000E31AA" w14:paraId="6D33B3EE" w14:textId="5AC3B62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38</w:t>
            </w:r>
          </w:p>
        </w:tc>
        <w:tc>
          <w:tcPr>
            <w:tcW w:w="197" w:type="pct"/>
            <w:shd w:val="clear" w:color="auto" w:fill="auto"/>
            <w:noWrap/>
            <w:tcMar>
              <w:left w:w="0" w:type="dxa"/>
              <w:right w:w="43" w:type="dxa"/>
            </w:tcMar>
            <w:vAlign w:val="center"/>
            <w:hideMark/>
          </w:tcPr>
          <w:p w:rsidRPr="009055A9" w:rsidR="000E31AA" w:rsidP="000E31AA" w:rsidRDefault="000E31AA" w14:paraId="738A98A2" w14:textId="5ECE060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4,477</w:t>
            </w:r>
          </w:p>
        </w:tc>
        <w:tc>
          <w:tcPr>
            <w:tcW w:w="125" w:type="pct"/>
            <w:shd w:val="clear" w:color="auto" w:fill="auto"/>
            <w:noWrap/>
            <w:tcMar>
              <w:left w:w="0" w:type="dxa"/>
              <w:right w:w="43" w:type="dxa"/>
            </w:tcMar>
            <w:vAlign w:val="center"/>
            <w:hideMark/>
          </w:tcPr>
          <w:p w:rsidRPr="009055A9" w:rsidR="000E31AA" w:rsidP="000E31AA" w:rsidRDefault="000E31AA" w14:paraId="270E83B4" w14:textId="16234E7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w:t>
            </w:r>
          </w:p>
        </w:tc>
        <w:tc>
          <w:tcPr>
            <w:tcW w:w="170" w:type="pct"/>
            <w:shd w:val="clear" w:color="auto" w:fill="auto"/>
            <w:noWrap/>
            <w:tcMar>
              <w:left w:w="0" w:type="dxa"/>
              <w:right w:w="43" w:type="dxa"/>
            </w:tcMar>
            <w:vAlign w:val="center"/>
            <w:hideMark/>
          </w:tcPr>
          <w:p w:rsidRPr="009055A9" w:rsidR="000E31AA" w:rsidP="000E31AA" w:rsidRDefault="000E31AA" w14:paraId="72DF45D0" w14:textId="24F6925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5,244</w:t>
            </w:r>
          </w:p>
        </w:tc>
        <w:tc>
          <w:tcPr>
            <w:tcW w:w="148" w:type="pct"/>
            <w:shd w:val="clear" w:color="auto" w:fill="auto"/>
            <w:noWrap/>
            <w:tcMar>
              <w:left w:w="0" w:type="dxa"/>
              <w:right w:w="43" w:type="dxa"/>
            </w:tcMar>
            <w:vAlign w:val="center"/>
            <w:hideMark/>
          </w:tcPr>
          <w:p w:rsidRPr="009055A9" w:rsidR="000E31AA" w:rsidP="000E31AA" w:rsidRDefault="000E31AA" w14:paraId="7A8629F4" w14:textId="1B84E75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34</w:t>
            </w:r>
          </w:p>
        </w:tc>
        <w:tc>
          <w:tcPr>
            <w:tcW w:w="172" w:type="pct"/>
            <w:tcMar>
              <w:left w:w="0" w:type="dxa"/>
              <w:right w:w="43" w:type="dxa"/>
            </w:tcMar>
            <w:vAlign w:val="center"/>
          </w:tcPr>
          <w:p w:rsidRPr="009055A9" w:rsidR="000E31AA" w:rsidP="000E31AA" w:rsidRDefault="000E31AA" w14:paraId="0556AED4" w14:textId="54AB665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4,259</w:t>
            </w:r>
          </w:p>
        </w:tc>
        <w:tc>
          <w:tcPr>
            <w:tcW w:w="124" w:type="pct"/>
            <w:tcMar>
              <w:left w:w="0" w:type="dxa"/>
              <w:right w:w="43" w:type="dxa"/>
            </w:tcMar>
            <w:vAlign w:val="center"/>
          </w:tcPr>
          <w:p w:rsidRPr="009055A9" w:rsidR="000E31AA" w:rsidP="000E31AA" w:rsidRDefault="000E31AA" w14:paraId="5C6D06E8" w14:textId="4E8310B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24</w:t>
            </w:r>
          </w:p>
        </w:tc>
        <w:tc>
          <w:tcPr>
            <w:tcW w:w="173" w:type="pct"/>
            <w:tcMar>
              <w:left w:w="0" w:type="dxa"/>
              <w:right w:w="43" w:type="dxa"/>
            </w:tcMar>
            <w:vAlign w:val="center"/>
          </w:tcPr>
          <w:p w:rsidRPr="009055A9" w:rsidR="000E31AA" w:rsidP="000E31AA" w:rsidRDefault="000E31AA" w14:paraId="73E0BCA6" w14:textId="1525444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1,472</w:t>
            </w:r>
          </w:p>
        </w:tc>
        <w:tc>
          <w:tcPr>
            <w:tcW w:w="146" w:type="pct"/>
            <w:tcMar>
              <w:left w:w="0" w:type="dxa"/>
              <w:right w:w="43" w:type="dxa"/>
            </w:tcMar>
            <w:vAlign w:val="center"/>
          </w:tcPr>
          <w:p w:rsidRPr="009055A9" w:rsidR="000E31AA" w:rsidP="000E31AA" w:rsidRDefault="000E31AA" w14:paraId="7A75AE23" w14:textId="51B82A2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5" w:type="pct"/>
            <w:tcMar>
              <w:left w:w="0" w:type="dxa"/>
              <w:right w:w="43" w:type="dxa"/>
            </w:tcMar>
            <w:vAlign w:val="center"/>
          </w:tcPr>
          <w:p w:rsidRPr="009055A9" w:rsidR="000E31AA" w:rsidP="000E31AA" w:rsidRDefault="000E31AA" w14:paraId="2A0B1A0C" w14:textId="21372C3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2,769</w:t>
            </w:r>
          </w:p>
        </w:tc>
        <w:tc>
          <w:tcPr>
            <w:tcW w:w="149" w:type="pct"/>
            <w:tcMar>
              <w:left w:w="0" w:type="dxa"/>
              <w:right w:w="43" w:type="dxa"/>
            </w:tcMar>
            <w:vAlign w:val="center"/>
          </w:tcPr>
          <w:p w:rsidRPr="009055A9" w:rsidR="000E31AA" w:rsidP="000E31AA" w:rsidRDefault="000E31AA" w14:paraId="09574CC3" w14:textId="5CA8C77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97" w:type="pct"/>
            <w:tcMar>
              <w:left w:w="0" w:type="dxa"/>
              <w:right w:w="43" w:type="dxa"/>
            </w:tcMar>
            <w:vAlign w:val="center"/>
          </w:tcPr>
          <w:p w:rsidRPr="009055A9" w:rsidR="000E31AA" w:rsidP="000E31AA" w:rsidRDefault="000E31AA" w14:paraId="244FDDC8" w14:textId="51FA3AD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2,655</w:t>
            </w:r>
          </w:p>
        </w:tc>
        <w:tc>
          <w:tcPr>
            <w:tcW w:w="148" w:type="pct"/>
            <w:tcMar>
              <w:left w:w="0" w:type="dxa"/>
              <w:right w:w="43" w:type="dxa"/>
            </w:tcMar>
            <w:vAlign w:val="center"/>
          </w:tcPr>
          <w:p w:rsidRPr="009055A9" w:rsidR="000E31AA" w:rsidP="000E31AA" w:rsidRDefault="000E31AA" w14:paraId="4EDF4DD5" w14:textId="07B00C9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96" w:type="pct"/>
            <w:tcMar>
              <w:left w:w="0" w:type="dxa"/>
              <w:right w:w="43" w:type="dxa"/>
            </w:tcMar>
            <w:vAlign w:val="center"/>
          </w:tcPr>
          <w:p w:rsidRPr="009055A9" w:rsidR="000E31AA" w:rsidP="000E31AA" w:rsidRDefault="000E31AA" w14:paraId="0BCB92E8" w14:textId="07DEF4F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1,831</w:t>
            </w:r>
          </w:p>
        </w:tc>
        <w:tc>
          <w:tcPr>
            <w:tcW w:w="143" w:type="pct"/>
            <w:tcMar>
              <w:left w:w="0" w:type="dxa"/>
              <w:right w:w="43" w:type="dxa"/>
            </w:tcMar>
            <w:vAlign w:val="center"/>
          </w:tcPr>
          <w:p w:rsidRPr="009055A9" w:rsidR="000E31AA" w:rsidP="000E31AA" w:rsidRDefault="000E31AA" w14:paraId="26B55D8E" w14:textId="0F6761F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8</w:t>
            </w:r>
          </w:p>
        </w:tc>
        <w:tc>
          <w:tcPr>
            <w:tcW w:w="178" w:type="pct"/>
            <w:shd w:val="clear" w:color="000000" w:fill="FFFFFF"/>
            <w:noWrap/>
            <w:tcMar>
              <w:left w:w="0" w:type="dxa"/>
              <w:right w:w="43" w:type="dxa"/>
            </w:tcMar>
            <w:vAlign w:val="center"/>
          </w:tcPr>
          <w:p w:rsidRPr="003148DB" w:rsidR="000E31AA" w:rsidP="000E31AA" w:rsidRDefault="000E31AA" w14:paraId="08047D57" w14:textId="52DBFC81">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4,142</w:t>
            </w:r>
          </w:p>
        </w:tc>
        <w:tc>
          <w:tcPr>
            <w:tcW w:w="151" w:type="pct"/>
            <w:shd w:val="clear" w:color="000000" w:fill="FFFFFF"/>
            <w:noWrap/>
            <w:tcMar>
              <w:left w:w="0" w:type="dxa"/>
              <w:right w:w="43" w:type="dxa"/>
            </w:tcMar>
            <w:vAlign w:val="center"/>
          </w:tcPr>
          <w:p w:rsidRPr="003148DB" w:rsidR="000E31AA" w:rsidP="000E31AA" w:rsidRDefault="000E31AA" w14:paraId="2F492449" w14:textId="5C72C14B">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23.0</w:t>
            </w:r>
          </w:p>
        </w:tc>
      </w:tr>
      <w:tr w:rsidRPr="003148DB" w:rsidR="000D41FC" w:rsidTr="000D41FC" w14:paraId="64339935" w14:textId="77777777">
        <w:trPr>
          <w:trHeight w:val="264"/>
        </w:trPr>
        <w:tc>
          <w:tcPr>
            <w:tcW w:w="268" w:type="pct"/>
            <w:vMerge/>
            <w:shd w:val="clear" w:color="auto" w:fill="auto"/>
            <w:noWrap/>
            <w:tcMar>
              <w:left w:w="58" w:type="dxa"/>
              <w:right w:w="58" w:type="dxa"/>
            </w:tcMar>
            <w:vAlign w:val="center"/>
            <w:hideMark/>
          </w:tcPr>
          <w:p w:rsidRPr="00196D17" w:rsidR="000E31AA" w:rsidP="000E31AA" w:rsidRDefault="000E31AA" w14:paraId="737206FC" w14:textId="651F3B6F">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0E31AA" w:rsidP="000E31AA" w:rsidRDefault="000D41FC" w14:paraId="7882DD24" w14:textId="445C3E1A">
            <w:pPr>
              <w:keepNext/>
              <w:keepLines/>
              <w:rPr>
                <w:rFonts w:asciiTheme="minorHAnsi" w:hAnsiTheme="minorHAnsi" w:cstheme="minorHAnsi"/>
                <w:sz w:val="16"/>
                <w:szCs w:val="16"/>
              </w:rPr>
            </w:pPr>
            <w:r>
              <w:rPr>
                <w:rFonts w:asciiTheme="minorHAnsi" w:hAnsiTheme="minorHAnsi" w:cstheme="minorHAnsi"/>
                <w:color w:val="000000"/>
                <w:sz w:val="16"/>
                <w:szCs w:val="16"/>
              </w:rPr>
              <w:t>TVA</w:t>
            </w:r>
          </w:p>
        </w:tc>
        <w:tc>
          <w:tcPr>
            <w:tcW w:w="321" w:type="pct"/>
            <w:shd w:val="clear" w:color="auto" w:fill="auto"/>
            <w:noWrap/>
            <w:tcMar>
              <w:left w:w="58" w:type="dxa"/>
              <w:right w:w="29" w:type="dxa"/>
            </w:tcMar>
            <w:vAlign w:val="center"/>
            <w:hideMark/>
          </w:tcPr>
          <w:p w:rsidRPr="009055A9" w:rsidR="000E31AA" w:rsidP="000E31AA" w:rsidRDefault="000E31AA" w14:paraId="4F6AA7FC" w14:textId="16600E54">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Browns Ferry</w:t>
            </w:r>
          </w:p>
        </w:tc>
        <w:tc>
          <w:tcPr>
            <w:tcW w:w="123" w:type="pct"/>
            <w:shd w:val="clear" w:color="auto" w:fill="auto"/>
            <w:noWrap/>
            <w:tcMar>
              <w:left w:w="58" w:type="dxa"/>
              <w:right w:w="58" w:type="dxa"/>
            </w:tcMar>
            <w:vAlign w:val="center"/>
            <w:hideMark/>
          </w:tcPr>
          <w:p w:rsidRPr="009055A9" w:rsidR="000E31AA" w:rsidP="000E31AA" w:rsidRDefault="000E31AA" w14:paraId="49BB5CC4" w14:textId="21C2C768">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3" w:type="pct"/>
            <w:shd w:val="clear" w:color="auto" w:fill="auto"/>
            <w:noWrap/>
            <w:tcMar>
              <w:left w:w="0" w:type="dxa"/>
              <w:right w:w="43" w:type="dxa"/>
            </w:tcMar>
            <w:vAlign w:val="center"/>
            <w:hideMark/>
          </w:tcPr>
          <w:p w:rsidRPr="009055A9" w:rsidR="000E31AA" w:rsidP="000E31AA" w:rsidRDefault="000E31AA" w14:paraId="33E2AC76" w14:textId="6F3A779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3,313</w:t>
            </w:r>
          </w:p>
        </w:tc>
        <w:tc>
          <w:tcPr>
            <w:tcW w:w="123" w:type="pct"/>
            <w:shd w:val="clear" w:color="auto" w:fill="auto"/>
            <w:noWrap/>
            <w:tcMar>
              <w:left w:w="0" w:type="dxa"/>
              <w:right w:w="43" w:type="dxa"/>
            </w:tcMar>
            <w:vAlign w:val="center"/>
            <w:hideMark/>
          </w:tcPr>
          <w:p w:rsidRPr="009055A9" w:rsidR="000E31AA" w:rsidP="000E31AA" w:rsidRDefault="000E31AA" w14:paraId="19FEFBDE" w14:textId="7336B43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0" w:type="pct"/>
            <w:shd w:val="clear" w:color="auto" w:fill="auto"/>
            <w:noWrap/>
            <w:tcMar>
              <w:left w:w="0" w:type="dxa"/>
              <w:right w:w="43" w:type="dxa"/>
            </w:tcMar>
            <w:vAlign w:val="center"/>
            <w:hideMark/>
          </w:tcPr>
          <w:p w:rsidRPr="009055A9" w:rsidR="000E31AA" w:rsidP="000E31AA" w:rsidRDefault="000E31AA" w14:paraId="661134AF" w14:textId="2E94468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4,958</w:t>
            </w:r>
          </w:p>
        </w:tc>
        <w:tc>
          <w:tcPr>
            <w:tcW w:w="125" w:type="pct"/>
            <w:shd w:val="clear" w:color="auto" w:fill="auto"/>
            <w:noWrap/>
            <w:tcMar>
              <w:left w:w="0" w:type="dxa"/>
              <w:right w:w="43" w:type="dxa"/>
            </w:tcMar>
            <w:vAlign w:val="center"/>
            <w:hideMark/>
          </w:tcPr>
          <w:p w:rsidRPr="009055A9" w:rsidR="000E31AA" w:rsidP="000E31AA" w:rsidRDefault="000E31AA" w14:paraId="3D1F10E4" w14:textId="7AE05AF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2" w:type="pct"/>
            <w:shd w:val="clear" w:color="auto" w:fill="auto"/>
            <w:noWrap/>
            <w:tcMar>
              <w:left w:w="0" w:type="dxa"/>
              <w:right w:w="43" w:type="dxa"/>
            </w:tcMar>
            <w:vAlign w:val="center"/>
            <w:hideMark/>
          </w:tcPr>
          <w:p w:rsidRPr="009055A9" w:rsidR="000E31AA" w:rsidP="000E31AA" w:rsidRDefault="000E31AA" w14:paraId="6BD7C335" w14:textId="1C5D70A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3,607</w:t>
            </w:r>
          </w:p>
        </w:tc>
        <w:tc>
          <w:tcPr>
            <w:tcW w:w="123" w:type="pct"/>
            <w:shd w:val="clear" w:color="auto" w:fill="auto"/>
            <w:noWrap/>
            <w:tcMar>
              <w:left w:w="0" w:type="dxa"/>
              <w:right w:w="43" w:type="dxa"/>
            </w:tcMar>
            <w:vAlign w:val="center"/>
            <w:hideMark/>
          </w:tcPr>
          <w:p w:rsidRPr="009055A9" w:rsidR="000E31AA" w:rsidP="000E31AA" w:rsidRDefault="000E31AA" w14:paraId="4F68B3ED" w14:textId="786F01C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9</w:t>
            </w:r>
          </w:p>
        </w:tc>
        <w:tc>
          <w:tcPr>
            <w:tcW w:w="194" w:type="pct"/>
            <w:shd w:val="clear" w:color="auto" w:fill="auto"/>
            <w:noWrap/>
            <w:tcMar>
              <w:left w:w="0" w:type="dxa"/>
              <w:right w:w="43" w:type="dxa"/>
            </w:tcMar>
            <w:vAlign w:val="center"/>
            <w:hideMark/>
          </w:tcPr>
          <w:p w:rsidRPr="009055A9" w:rsidR="000E31AA" w:rsidP="000E31AA" w:rsidRDefault="000E31AA" w14:paraId="7ECB65AF" w14:textId="7D27F38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4,713</w:t>
            </w:r>
          </w:p>
        </w:tc>
        <w:tc>
          <w:tcPr>
            <w:tcW w:w="123" w:type="pct"/>
            <w:shd w:val="clear" w:color="auto" w:fill="auto"/>
            <w:noWrap/>
            <w:tcMar>
              <w:left w:w="0" w:type="dxa"/>
              <w:right w:w="43" w:type="dxa"/>
            </w:tcMar>
            <w:vAlign w:val="center"/>
            <w:hideMark/>
          </w:tcPr>
          <w:p w:rsidRPr="009055A9" w:rsidR="000E31AA" w:rsidP="000E31AA" w:rsidRDefault="000E31AA" w14:paraId="5C08DB91" w14:textId="04CC632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25</w:t>
            </w:r>
          </w:p>
        </w:tc>
        <w:tc>
          <w:tcPr>
            <w:tcW w:w="197" w:type="pct"/>
            <w:shd w:val="clear" w:color="auto" w:fill="auto"/>
            <w:noWrap/>
            <w:tcMar>
              <w:left w:w="0" w:type="dxa"/>
              <w:right w:w="43" w:type="dxa"/>
            </w:tcMar>
            <w:vAlign w:val="center"/>
            <w:hideMark/>
          </w:tcPr>
          <w:p w:rsidRPr="009055A9" w:rsidR="000E31AA" w:rsidP="000E31AA" w:rsidRDefault="000E31AA" w14:paraId="5ADC2037" w14:textId="16BE711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3,922</w:t>
            </w:r>
          </w:p>
        </w:tc>
        <w:tc>
          <w:tcPr>
            <w:tcW w:w="125" w:type="pct"/>
            <w:shd w:val="clear" w:color="auto" w:fill="auto"/>
            <w:noWrap/>
            <w:tcMar>
              <w:left w:w="0" w:type="dxa"/>
              <w:right w:w="43" w:type="dxa"/>
            </w:tcMar>
            <w:vAlign w:val="center"/>
            <w:hideMark/>
          </w:tcPr>
          <w:p w:rsidRPr="009055A9" w:rsidR="000E31AA" w:rsidP="000E31AA" w:rsidRDefault="000E31AA" w14:paraId="49CCD651" w14:textId="0E99146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w:t>
            </w:r>
          </w:p>
        </w:tc>
        <w:tc>
          <w:tcPr>
            <w:tcW w:w="170" w:type="pct"/>
            <w:shd w:val="clear" w:color="auto" w:fill="auto"/>
            <w:noWrap/>
            <w:tcMar>
              <w:left w:w="0" w:type="dxa"/>
              <w:right w:w="43" w:type="dxa"/>
            </w:tcMar>
            <w:vAlign w:val="center"/>
            <w:hideMark/>
          </w:tcPr>
          <w:p w:rsidRPr="009055A9" w:rsidR="000E31AA" w:rsidP="000E31AA" w:rsidRDefault="000E31AA" w14:paraId="5246B053" w14:textId="390AE52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3,897</w:t>
            </w:r>
          </w:p>
        </w:tc>
        <w:tc>
          <w:tcPr>
            <w:tcW w:w="148" w:type="pct"/>
            <w:shd w:val="clear" w:color="auto" w:fill="auto"/>
            <w:noWrap/>
            <w:tcMar>
              <w:left w:w="0" w:type="dxa"/>
              <w:right w:w="43" w:type="dxa"/>
            </w:tcMar>
            <w:vAlign w:val="center"/>
            <w:hideMark/>
          </w:tcPr>
          <w:p w:rsidRPr="009055A9" w:rsidR="000E31AA" w:rsidP="000E31AA" w:rsidRDefault="000E31AA" w14:paraId="7CE74441" w14:textId="0D000E5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72" w:type="pct"/>
            <w:tcMar>
              <w:left w:w="0" w:type="dxa"/>
              <w:right w:w="43" w:type="dxa"/>
            </w:tcMar>
            <w:vAlign w:val="center"/>
          </w:tcPr>
          <w:p w:rsidRPr="009055A9" w:rsidR="000E31AA" w:rsidP="000E31AA" w:rsidRDefault="000E31AA" w14:paraId="03C7A6BD" w14:textId="5633E98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2,746</w:t>
            </w:r>
          </w:p>
        </w:tc>
        <w:tc>
          <w:tcPr>
            <w:tcW w:w="124" w:type="pct"/>
            <w:tcMar>
              <w:left w:w="0" w:type="dxa"/>
              <w:right w:w="43" w:type="dxa"/>
            </w:tcMar>
            <w:vAlign w:val="center"/>
          </w:tcPr>
          <w:p w:rsidRPr="009055A9" w:rsidR="000E31AA" w:rsidP="000E31AA" w:rsidRDefault="000E31AA" w14:paraId="3A98BC69" w14:textId="20923DBA">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17</w:t>
            </w:r>
          </w:p>
        </w:tc>
        <w:tc>
          <w:tcPr>
            <w:tcW w:w="173" w:type="pct"/>
            <w:tcMar>
              <w:left w:w="0" w:type="dxa"/>
              <w:right w:w="43" w:type="dxa"/>
            </w:tcMar>
            <w:vAlign w:val="center"/>
          </w:tcPr>
          <w:p w:rsidRPr="009055A9" w:rsidR="000E31AA" w:rsidP="000E31AA" w:rsidRDefault="000E31AA" w14:paraId="525C7CB1" w14:textId="2556DB1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4,372</w:t>
            </w:r>
          </w:p>
        </w:tc>
        <w:tc>
          <w:tcPr>
            <w:tcW w:w="146" w:type="pct"/>
            <w:tcMar>
              <w:left w:w="0" w:type="dxa"/>
              <w:right w:w="43" w:type="dxa"/>
            </w:tcMar>
            <w:vAlign w:val="center"/>
          </w:tcPr>
          <w:p w:rsidRPr="009055A9" w:rsidR="000E31AA" w:rsidP="000E31AA" w:rsidRDefault="000E31AA" w14:paraId="3C1D378F" w14:textId="101EF47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5" w:type="pct"/>
            <w:tcMar>
              <w:left w:w="0" w:type="dxa"/>
              <w:right w:w="43" w:type="dxa"/>
            </w:tcMar>
            <w:vAlign w:val="center"/>
          </w:tcPr>
          <w:p w:rsidRPr="009055A9" w:rsidR="000E31AA" w:rsidP="000E31AA" w:rsidRDefault="000E31AA" w14:paraId="783DB9DD" w14:textId="0E964D0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3,305</w:t>
            </w:r>
          </w:p>
        </w:tc>
        <w:tc>
          <w:tcPr>
            <w:tcW w:w="149" w:type="pct"/>
            <w:tcMar>
              <w:left w:w="0" w:type="dxa"/>
              <w:right w:w="43" w:type="dxa"/>
            </w:tcMar>
            <w:vAlign w:val="center"/>
          </w:tcPr>
          <w:p w:rsidRPr="009055A9" w:rsidR="000E31AA" w:rsidP="000E31AA" w:rsidRDefault="000E31AA" w14:paraId="10011609" w14:textId="3715FBC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23</w:t>
            </w:r>
          </w:p>
        </w:tc>
        <w:tc>
          <w:tcPr>
            <w:tcW w:w="197" w:type="pct"/>
            <w:tcMar>
              <w:left w:w="0" w:type="dxa"/>
              <w:right w:w="43" w:type="dxa"/>
            </w:tcMar>
            <w:vAlign w:val="center"/>
          </w:tcPr>
          <w:p w:rsidRPr="009055A9" w:rsidR="000E31AA" w:rsidP="000E31AA" w:rsidRDefault="000E31AA" w14:paraId="2B57FE98" w14:textId="6168F34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4,653</w:t>
            </w:r>
          </w:p>
        </w:tc>
        <w:tc>
          <w:tcPr>
            <w:tcW w:w="148" w:type="pct"/>
            <w:tcMar>
              <w:left w:w="0" w:type="dxa"/>
              <w:right w:w="43" w:type="dxa"/>
            </w:tcMar>
            <w:vAlign w:val="center"/>
          </w:tcPr>
          <w:p w:rsidRPr="009055A9" w:rsidR="000E31AA" w:rsidP="000E31AA" w:rsidRDefault="000E31AA" w14:paraId="59B8A279" w14:textId="12490F62">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34</w:t>
            </w:r>
          </w:p>
        </w:tc>
        <w:tc>
          <w:tcPr>
            <w:tcW w:w="196" w:type="pct"/>
            <w:tcMar>
              <w:left w:w="0" w:type="dxa"/>
              <w:right w:w="43" w:type="dxa"/>
            </w:tcMar>
            <w:vAlign w:val="center"/>
          </w:tcPr>
          <w:p w:rsidRPr="009055A9" w:rsidR="000E31AA" w:rsidP="000E31AA" w:rsidRDefault="000E31AA" w14:paraId="1224D530" w14:textId="17DFE55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3,134</w:t>
            </w:r>
          </w:p>
        </w:tc>
        <w:tc>
          <w:tcPr>
            <w:tcW w:w="143" w:type="pct"/>
            <w:tcMar>
              <w:left w:w="0" w:type="dxa"/>
              <w:right w:w="43" w:type="dxa"/>
            </w:tcMar>
            <w:vAlign w:val="center"/>
          </w:tcPr>
          <w:p w:rsidRPr="009055A9" w:rsidR="000E31AA" w:rsidP="000E31AA" w:rsidRDefault="000E31AA" w14:paraId="4B1C8F28" w14:textId="036EF48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78" w:type="pct"/>
            <w:shd w:val="clear" w:color="auto" w:fill="auto"/>
            <w:noWrap/>
            <w:tcMar>
              <w:left w:w="0" w:type="dxa"/>
              <w:right w:w="43" w:type="dxa"/>
            </w:tcMar>
            <w:vAlign w:val="center"/>
          </w:tcPr>
          <w:p w:rsidRPr="003148DB" w:rsidR="000E31AA" w:rsidP="000E31AA" w:rsidRDefault="000E31AA" w14:paraId="4F32653A" w14:textId="396E51AF">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3,875</w:t>
            </w:r>
          </w:p>
        </w:tc>
        <w:tc>
          <w:tcPr>
            <w:tcW w:w="151" w:type="pct"/>
            <w:shd w:val="clear" w:color="auto" w:fill="auto"/>
            <w:noWrap/>
            <w:tcMar>
              <w:left w:w="0" w:type="dxa"/>
              <w:right w:w="43" w:type="dxa"/>
            </w:tcMar>
            <w:vAlign w:val="center"/>
          </w:tcPr>
          <w:p w:rsidRPr="003148DB" w:rsidR="000E31AA" w:rsidP="000E31AA" w:rsidRDefault="000E31AA" w14:paraId="5B624666" w14:textId="58406E94">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20.8</w:t>
            </w:r>
          </w:p>
        </w:tc>
      </w:tr>
      <w:tr w:rsidRPr="003148DB" w:rsidR="000D41FC" w:rsidTr="000D41FC" w14:paraId="1B469050" w14:textId="77777777">
        <w:trPr>
          <w:trHeight w:val="264"/>
        </w:trPr>
        <w:tc>
          <w:tcPr>
            <w:tcW w:w="268" w:type="pct"/>
            <w:vMerge/>
            <w:shd w:val="clear" w:color="auto" w:fill="auto"/>
            <w:noWrap/>
            <w:tcMar>
              <w:left w:w="58" w:type="dxa"/>
              <w:right w:w="58" w:type="dxa"/>
            </w:tcMar>
            <w:vAlign w:val="center"/>
            <w:hideMark/>
          </w:tcPr>
          <w:p w:rsidRPr="00196D17" w:rsidR="000E31AA" w:rsidP="000E31AA" w:rsidRDefault="000E31AA" w14:paraId="2A898482" w14:textId="0A84257E">
            <w:pPr>
              <w:keepNext/>
              <w:keepLines/>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0E31AA" w:rsidP="000E31AA" w:rsidRDefault="000E31AA" w14:paraId="78AD4B89" w14:textId="3017F35B">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Duke Energy</w:t>
            </w:r>
          </w:p>
        </w:tc>
        <w:tc>
          <w:tcPr>
            <w:tcW w:w="321" w:type="pct"/>
            <w:shd w:val="clear" w:color="auto" w:fill="auto"/>
            <w:noWrap/>
            <w:tcMar>
              <w:left w:w="58" w:type="dxa"/>
              <w:right w:w="29" w:type="dxa"/>
            </w:tcMar>
            <w:vAlign w:val="center"/>
            <w:hideMark/>
          </w:tcPr>
          <w:p w:rsidRPr="009055A9" w:rsidR="000E31AA" w:rsidP="000E31AA" w:rsidRDefault="000E31AA" w14:paraId="2B37BE95" w14:textId="1FE12670">
            <w:pPr>
              <w:keepNext/>
              <w:keepLines/>
              <w:rPr>
                <w:rFonts w:asciiTheme="minorHAnsi" w:hAnsiTheme="minorHAnsi" w:cstheme="minorHAnsi"/>
                <w:sz w:val="16"/>
                <w:szCs w:val="16"/>
              </w:rPr>
            </w:pPr>
            <w:r w:rsidRPr="009055A9">
              <w:rPr>
                <w:rFonts w:asciiTheme="minorHAnsi" w:hAnsiTheme="minorHAnsi" w:cstheme="minorHAnsi"/>
                <w:color w:val="000000"/>
                <w:sz w:val="16"/>
                <w:szCs w:val="16"/>
              </w:rPr>
              <w:t>Oconee</w:t>
            </w:r>
          </w:p>
        </w:tc>
        <w:tc>
          <w:tcPr>
            <w:tcW w:w="123" w:type="pct"/>
            <w:shd w:val="clear" w:color="auto" w:fill="auto"/>
            <w:noWrap/>
            <w:tcMar>
              <w:left w:w="58" w:type="dxa"/>
              <w:right w:w="58" w:type="dxa"/>
            </w:tcMar>
            <w:vAlign w:val="center"/>
            <w:hideMark/>
          </w:tcPr>
          <w:p w:rsidRPr="009055A9" w:rsidR="000E31AA" w:rsidP="000E31AA" w:rsidRDefault="000E31AA" w14:paraId="14971EB1" w14:textId="70DAB55B">
            <w:pPr>
              <w:keepNext/>
              <w:keepLines/>
              <w:jc w:val="center"/>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3" w:type="pct"/>
            <w:shd w:val="clear" w:color="auto" w:fill="auto"/>
            <w:noWrap/>
            <w:tcMar>
              <w:left w:w="0" w:type="dxa"/>
              <w:right w:w="43" w:type="dxa"/>
            </w:tcMar>
            <w:vAlign w:val="center"/>
            <w:hideMark/>
          </w:tcPr>
          <w:p w:rsidRPr="009055A9" w:rsidR="000E31AA" w:rsidP="000E31AA" w:rsidRDefault="000E31AA" w14:paraId="04812780" w14:textId="0688AD81">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3,742</w:t>
            </w:r>
          </w:p>
        </w:tc>
        <w:tc>
          <w:tcPr>
            <w:tcW w:w="123" w:type="pct"/>
            <w:shd w:val="clear" w:color="auto" w:fill="auto"/>
            <w:noWrap/>
            <w:tcMar>
              <w:left w:w="0" w:type="dxa"/>
              <w:right w:w="43" w:type="dxa"/>
            </w:tcMar>
            <w:vAlign w:val="center"/>
            <w:hideMark/>
          </w:tcPr>
          <w:p w:rsidRPr="009055A9" w:rsidR="000E31AA" w:rsidP="000E31AA" w:rsidRDefault="000E31AA" w14:paraId="69D4F9A4" w14:textId="531536D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70" w:type="pct"/>
            <w:shd w:val="clear" w:color="auto" w:fill="auto"/>
            <w:noWrap/>
            <w:tcMar>
              <w:left w:w="0" w:type="dxa"/>
              <w:right w:w="43" w:type="dxa"/>
            </w:tcMar>
            <w:vAlign w:val="center"/>
            <w:hideMark/>
          </w:tcPr>
          <w:p w:rsidRPr="009055A9" w:rsidR="000E31AA" w:rsidP="000E31AA" w:rsidRDefault="000E31AA" w14:paraId="2A7A05DC" w14:textId="6F7E0C8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3,309</w:t>
            </w:r>
          </w:p>
        </w:tc>
        <w:tc>
          <w:tcPr>
            <w:tcW w:w="125" w:type="pct"/>
            <w:shd w:val="clear" w:color="auto" w:fill="auto"/>
            <w:noWrap/>
            <w:tcMar>
              <w:left w:w="0" w:type="dxa"/>
              <w:right w:w="43" w:type="dxa"/>
            </w:tcMar>
            <w:vAlign w:val="center"/>
            <w:hideMark/>
          </w:tcPr>
          <w:p w:rsidRPr="009055A9" w:rsidR="000E31AA" w:rsidP="000E31AA" w:rsidRDefault="000E31AA" w14:paraId="263F9760" w14:textId="6F963676">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72" w:type="pct"/>
            <w:shd w:val="clear" w:color="auto" w:fill="auto"/>
            <w:noWrap/>
            <w:tcMar>
              <w:left w:w="0" w:type="dxa"/>
              <w:right w:w="43" w:type="dxa"/>
            </w:tcMar>
            <w:vAlign w:val="center"/>
            <w:hideMark/>
          </w:tcPr>
          <w:p w:rsidRPr="009055A9" w:rsidR="000E31AA" w:rsidP="000E31AA" w:rsidRDefault="000E31AA" w14:paraId="709EF82B" w14:textId="4ECFAAF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2,643</w:t>
            </w:r>
          </w:p>
        </w:tc>
        <w:tc>
          <w:tcPr>
            <w:tcW w:w="123" w:type="pct"/>
            <w:shd w:val="clear" w:color="auto" w:fill="auto"/>
            <w:noWrap/>
            <w:tcMar>
              <w:left w:w="0" w:type="dxa"/>
              <w:right w:w="43" w:type="dxa"/>
            </w:tcMar>
            <w:vAlign w:val="center"/>
            <w:hideMark/>
          </w:tcPr>
          <w:p w:rsidRPr="009055A9" w:rsidR="000E31AA" w:rsidP="000E31AA" w:rsidRDefault="000E31AA" w14:paraId="1DA36F9A" w14:textId="46019B5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94" w:type="pct"/>
            <w:shd w:val="clear" w:color="auto" w:fill="auto"/>
            <w:noWrap/>
            <w:tcMar>
              <w:left w:w="0" w:type="dxa"/>
              <w:right w:w="43" w:type="dxa"/>
            </w:tcMar>
            <w:vAlign w:val="center"/>
            <w:hideMark/>
          </w:tcPr>
          <w:p w:rsidRPr="009055A9" w:rsidR="000E31AA" w:rsidP="000E31AA" w:rsidRDefault="000E31AA" w14:paraId="21FD22AA" w14:textId="6FB9146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3,443</w:t>
            </w:r>
          </w:p>
        </w:tc>
        <w:tc>
          <w:tcPr>
            <w:tcW w:w="123" w:type="pct"/>
            <w:shd w:val="clear" w:color="auto" w:fill="auto"/>
            <w:noWrap/>
            <w:tcMar>
              <w:left w:w="0" w:type="dxa"/>
              <w:right w:w="43" w:type="dxa"/>
            </w:tcMar>
            <w:vAlign w:val="center"/>
            <w:hideMark/>
          </w:tcPr>
          <w:p w:rsidRPr="009055A9" w:rsidR="000E31AA" w:rsidP="000E31AA" w:rsidRDefault="000E31AA" w14:paraId="0727A4AF" w14:textId="1CA4E440">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7" w:type="pct"/>
            <w:shd w:val="clear" w:color="auto" w:fill="auto"/>
            <w:noWrap/>
            <w:tcMar>
              <w:left w:w="0" w:type="dxa"/>
              <w:right w:w="43" w:type="dxa"/>
            </w:tcMar>
            <w:vAlign w:val="center"/>
            <w:hideMark/>
          </w:tcPr>
          <w:p w:rsidRPr="009055A9" w:rsidR="000E31AA" w:rsidP="000E31AA" w:rsidRDefault="000E31AA" w14:paraId="16E587A5" w14:textId="1819AAF5">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3,106</w:t>
            </w:r>
          </w:p>
        </w:tc>
        <w:tc>
          <w:tcPr>
            <w:tcW w:w="125" w:type="pct"/>
            <w:shd w:val="clear" w:color="auto" w:fill="auto"/>
            <w:noWrap/>
            <w:tcMar>
              <w:left w:w="0" w:type="dxa"/>
              <w:right w:w="43" w:type="dxa"/>
            </w:tcMar>
            <w:vAlign w:val="center"/>
            <w:hideMark/>
          </w:tcPr>
          <w:p w:rsidRPr="009055A9" w:rsidR="000E31AA" w:rsidP="000E31AA" w:rsidRDefault="000E31AA" w14:paraId="7E919603" w14:textId="0AFAC85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0" w:type="pct"/>
            <w:shd w:val="clear" w:color="auto" w:fill="auto"/>
            <w:noWrap/>
            <w:tcMar>
              <w:left w:w="0" w:type="dxa"/>
              <w:right w:w="43" w:type="dxa"/>
            </w:tcMar>
            <w:vAlign w:val="center"/>
            <w:hideMark/>
          </w:tcPr>
          <w:p w:rsidRPr="009055A9" w:rsidR="000E31AA" w:rsidP="000E31AA" w:rsidRDefault="000E31AA" w14:paraId="3234DF76" w14:textId="6EE52383">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3,792</w:t>
            </w:r>
          </w:p>
        </w:tc>
        <w:tc>
          <w:tcPr>
            <w:tcW w:w="148" w:type="pct"/>
            <w:shd w:val="clear" w:color="auto" w:fill="auto"/>
            <w:noWrap/>
            <w:tcMar>
              <w:left w:w="0" w:type="dxa"/>
              <w:right w:w="43" w:type="dxa"/>
            </w:tcMar>
            <w:vAlign w:val="center"/>
            <w:hideMark/>
          </w:tcPr>
          <w:p w:rsidRPr="009055A9" w:rsidR="000E31AA" w:rsidP="000E31AA" w:rsidRDefault="000E31AA" w14:paraId="316D7AC6" w14:textId="261E875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28</w:t>
            </w:r>
          </w:p>
        </w:tc>
        <w:tc>
          <w:tcPr>
            <w:tcW w:w="172" w:type="pct"/>
            <w:tcMar>
              <w:left w:w="0" w:type="dxa"/>
              <w:right w:w="43" w:type="dxa"/>
            </w:tcMar>
            <w:vAlign w:val="center"/>
          </w:tcPr>
          <w:p w:rsidRPr="009055A9" w:rsidR="000E31AA" w:rsidP="000E31AA" w:rsidRDefault="000E31AA" w14:paraId="5A90E197" w14:textId="7C3AEE37">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2,841</w:t>
            </w:r>
          </w:p>
        </w:tc>
        <w:tc>
          <w:tcPr>
            <w:tcW w:w="124" w:type="pct"/>
            <w:tcMar>
              <w:left w:w="0" w:type="dxa"/>
              <w:right w:w="43" w:type="dxa"/>
            </w:tcMar>
            <w:vAlign w:val="center"/>
          </w:tcPr>
          <w:p w:rsidRPr="009055A9" w:rsidR="000E31AA" w:rsidP="000E31AA" w:rsidRDefault="000E31AA" w14:paraId="6C1DBE2F" w14:textId="7BD1BD78">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15</w:t>
            </w:r>
          </w:p>
        </w:tc>
        <w:tc>
          <w:tcPr>
            <w:tcW w:w="173" w:type="pct"/>
            <w:tcMar>
              <w:left w:w="0" w:type="dxa"/>
              <w:right w:w="43" w:type="dxa"/>
            </w:tcMar>
            <w:vAlign w:val="center"/>
          </w:tcPr>
          <w:p w:rsidRPr="009055A9" w:rsidR="000E31AA" w:rsidP="000E31AA" w:rsidRDefault="000E31AA" w14:paraId="0AC3F919" w14:textId="385EB0C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2,685</w:t>
            </w:r>
          </w:p>
        </w:tc>
        <w:tc>
          <w:tcPr>
            <w:tcW w:w="146" w:type="pct"/>
            <w:tcMar>
              <w:left w:w="0" w:type="dxa"/>
              <w:right w:w="43" w:type="dxa"/>
            </w:tcMar>
            <w:vAlign w:val="center"/>
          </w:tcPr>
          <w:p w:rsidRPr="009055A9" w:rsidR="000E31AA" w:rsidP="000E31AA" w:rsidRDefault="000E31AA" w14:paraId="7DF25A4C" w14:textId="23B0E32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12</w:t>
            </w:r>
          </w:p>
        </w:tc>
        <w:tc>
          <w:tcPr>
            <w:tcW w:w="175" w:type="pct"/>
            <w:tcMar>
              <w:left w:w="0" w:type="dxa"/>
              <w:right w:w="43" w:type="dxa"/>
            </w:tcMar>
            <w:vAlign w:val="center"/>
          </w:tcPr>
          <w:p w:rsidRPr="009055A9" w:rsidR="000E31AA" w:rsidP="000E31AA" w:rsidRDefault="000E31AA" w14:paraId="022697BB" w14:textId="54079B6C">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2,097</w:t>
            </w:r>
          </w:p>
        </w:tc>
        <w:tc>
          <w:tcPr>
            <w:tcW w:w="149" w:type="pct"/>
            <w:tcMar>
              <w:left w:w="0" w:type="dxa"/>
              <w:right w:w="43" w:type="dxa"/>
            </w:tcMar>
            <w:vAlign w:val="center"/>
          </w:tcPr>
          <w:p w:rsidRPr="009055A9" w:rsidR="000E31AA" w:rsidP="000E31AA" w:rsidRDefault="000E31AA" w14:paraId="466F6D59" w14:textId="42E25DEB">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7" w:type="pct"/>
            <w:tcMar>
              <w:left w:w="0" w:type="dxa"/>
              <w:right w:w="43" w:type="dxa"/>
            </w:tcMar>
            <w:vAlign w:val="center"/>
          </w:tcPr>
          <w:p w:rsidRPr="009055A9" w:rsidR="000E31AA" w:rsidP="000E31AA" w:rsidRDefault="000E31AA" w14:paraId="4D11D9A8" w14:textId="0139D87E">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2,186</w:t>
            </w:r>
          </w:p>
        </w:tc>
        <w:tc>
          <w:tcPr>
            <w:tcW w:w="148" w:type="pct"/>
            <w:tcMar>
              <w:left w:w="0" w:type="dxa"/>
              <w:right w:w="43" w:type="dxa"/>
            </w:tcMar>
            <w:vAlign w:val="center"/>
          </w:tcPr>
          <w:p w:rsidRPr="009055A9" w:rsidR="000E31AA" w:rsidP="000E31AA" w:rsidRDefault="000E31AA" w14:paraId="4CFA0627" w14:textId="2332FE44">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96" w:type="pct"/>
            <w:tcMar>
              <w:left w:w="0" w:type="dxa"/>
              <w:right w:w="43" w:type="dxa"/>
            </w:tcMar>
            <w:vAlign w:val="center"/>
          </w:tcPr>
          <w:p w:rsidRPr="009055A9" w:rsidR="000E31AA" w:rsidP="000E31AA" w:rsidRDefault="000E31AA" w14:paraId="14ED3557" w14:textId="76513BC9">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1,856</w:t>
            </w:r>
          </w:p>
        </w:tc>
        <w:tc>
          <w:tcPr>
            <w:tcW w:w="143" w:type="pct"/>
            <w:tcMar>
              <w:left w:w="0" w:type="dxa"/>
              <w:right w:w="43" w:type="dxa"/>
            </w:tcMar>
            <w:vAlign w:val="center"/>
          </w:tcPr>
          <w:p w:rsidRPr="009055A9" w:rsidR="000E31AA" w:rsidP="000E31AA" w:rsidRDefault="000E31AA" w14:paraId="2CFF95F4" w14:textId="256F857F">
            <w:pPr>
              <w:keepNext/>
              <w:keepLines/>
              <w:jc w:val="right"/>
              <w:rPr>
                <w:rFonts w:asciiTheme="minorHAnsi" w:hAnsiTheme="minorHAnsi" w:cstheme="minorHAnsi"/>
                <w:sz w:val="16"/>
                <w:szCs w:val="16"/>
              </w:rPr>
            </w:pPr>
            <w:r w:rsidRPr="009055A9">
              <w:rPr>
                <w:rFonts w:asciiTheme="minorHAnsi" w:hAnsiTheme="minorHAnsi" w:cstheme="minorHAnsi"/>
                <w:color w:val="000000"/>
                <w:sz w:val="16"/>
                <w:szCs w:val="16"/>
              </w:rPr>
              <w:t>13</w:t>
            </w:r>
          </w:p>
        </w:tc>
        <w:tc>
          <w:tcPr>
            <w:tcW w:w="178" w:type="pct"/>
            <w:shd w:val="clear" w:color="000000" w:fill="FFFFFF"/>
            <w:noWrap/>
            <w:tcMar>
              <w:left w:w="0" w:type="dxa"/>
              <w:right w:w="43" w:type="dxa"/>
            </w:tcMar>
            <w:vAlign w:val="center"/>
          </w:tcPr>
          <w:p w:rsidRPr="003148DB" w:rsidR="000E31AA" w:rsidP="000E31AA" w:rsidRDefault="000E31AA" w14:paraId="500BCDA7" w14:textId="3ADF12F6">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2,882</w:t>
            </w:r>
          </w:p>
        </w:tc>
        <w:tc>
          <w:tcPr>
            <w:tcW w:w="151" w:type="pct"/>
            <w:shd w:val="clear" w:color="000000" w:fill="FFFFFF"/>
            <w:noWrap/>
            <w:tcMar>
              <w:left w:w="0" w:type="dxa"/>
              <w:right w:w="43" w:type="dxa"/>
            </w:tcMar>
            <w:vAlign w:val="center"/>
          </w:tcPr>
          <w:p w:rsidRPr="003148DB" w:rsidR="000E31AA" w:rsidP="000E31AA" w:rsidRDefault="000E31AA" w14:paraId="6FDD63B2" w14:textId="1AE73020">
            <w:pPr>
              <w:keepNext/>
              <w:keepLines/>
              <w:jc w:val="right"/>
              <w:rPr>
                <w:rFonts w:asciiTheme="minorHAnsi" w:hAnsiTheme="minorHAnsi" w:cstheme="minorHAnsi"/>
                <w:sz w:val="16"/>
                <w:szCs w:val="16"/>
              </w:rPr>
            </w:pPr>
            <w:r w:rsidRPr="003148DB">
              <w:rPr>
                <w:rFonts w:asciiTheme="minorHAnsi" w:hAnsiTheme="minorHAnsi" w:cstheme="minorHAnsi"/>
                <w:color w:val="000000"/>
                <w:sz w:val="16"/>
                <w:szCs w:val="16"/>
              </w:rPr>
              <w:t>16.7</w:t>
            </w:r>
          </w:p>
        </w:tc>
      </w:tr>
      <w:tr w:rsidRPr="003148DB" w:rsidR="000D41FC" w:rsidTr="000D41FC" w14:paraId="699FE966" w14:textId="77777777">
        <w:trPr>
          <w:trHeight w:val="264"/>
        </w:trPr>
        <w:tc>
          <w:tcPr>
            <w:tcW w:w="268" w:type="pct"/>
            <w:vMerge/>
            <w:shd w:val="clear" w:color="auto" w:fill="auto"/>
            <w:noWrap/>
            <w:tcMar>
              <w:left w:w="58" w:type="dxa"/>
              <w:right w:w="58" w:type="dxa"/>
            </w:tcMar>
            <w:vAlign w:val="center"/>
            <w:hideMark/>
          </w:tcPr>
          <w:p w:rsidRPr="00196D17" w:rsidR="000E31AA" w:rsidP="000E31AA" w:rsidRDefault="000E31AA" w14:paraId="7D1B0F39" w14:textId="580A92A2">
            <w:pPr>
              <w:rPr>
                <w:rFonts w:asciiTheme="minorHAnsi" w:hAnsiTheme="minorHAnsi" w:cstheme="minorHAnsi"/>
                <w:sz w:val="16"/>
                <w:szCs w:val="16"/>
              </w:rPr>
            </w:pPr>
          </w:p>
        </w:tc>
        <w:tc>
          <w:tcPr>
            <w:tcW w:w="493" w:type="pct"/>
            <w:shd w:val="clear" w:color="auto" w:fill="auto"/>
            <w:noWrap/>
            <w:tcMar>
              <w:left w:w="58" w:type="dxa"/>
              <w:right w:w="29" w:type="dxa"/>
            </w:tcMar>
            <w:vAlign w:val="center"/>
            <w:hideMark/>
          </w:tcPr>
          <w:p w:rsidRPr="009055A9" w:rsidR="000E31AA" w:rsidP="000E31AA" w:rsidRDefault="000E31AA" w14:paraId="1223E676" w14:textId="20EB6C2C">
            <w:pPr>
              <w:rPr>
                <w:rFonts w:asciiTheme="minorHAnsi" w:hAnsiTheme="minorHAnsi" w:cstheme="minorHAnsi"/>
                <w:sz w:val="16"/>
                <w:szCs w:val="16"/>
              </w:rPr>
            </w:pPr>
            <w:r w:rsidRPr="009055A9">
              <w:rPr>
                <w:rFonts w:asciiTheme="minorHAnsi" w:hAnsiTheme="minorHAnsi" w:cstheme="minorHAnsi"/>
                <w:color w:val="000000"/>
                <w:sz w:val="16"/>
                <w:szCs w:val="16"/>
              </w:rPr>
              <w:t>Arizona Public Service</w:t>
            </w:r>
          </w:p>
        </w:tc>
        <w:tc>
          <w:tcPr>
            <w:tcW w:w="321" w:type="pct"/>
            <w:shd w:val="clear" w:color="auto" w:fill="auto"/>
            <w:noWrap/>
            <w:tcMar>
              <w:left w:w="58" w:type="dxa"/>
              <w:right w:w="29" w:type="dxa"/>
            </w:tcMar>
            <w:vAlign w:val="center"/>
            <w:hideMark/>
          </w:tcPr>
          <w:p w:rsidRPr="009055A9" w:rsidR="000E31AA" w:rsidP="000E31AA" w:rsidRDefault="000E31AA" w14:paraId="064CEDF3" w14:textId="0F00D00D">
            <w:pPr>
              <w:rPr>
                <w:rFonts w:asciiTheme="minorHAnsi" w:hAnsiTheme="minorHAnsi" w:cstheme="minorHAnsi"/>
                <w:sz w:val="16"/>
                <w:szCs w:val="16"/>
              </w:rPr>
            </w:pPr>
            <w:r w:rsidRPr="009055A9">
              <w:rPr>
                <w:rFonts w:asciiTheme="minorHAnsi" w:hAnsiTheme="minorHAnsi" w:cstheme="minorHAnsi"/>
                <w:color w:val="000000"/>
                <w:sz w:val="16"/>
                <w:szCs w:val="16"/>
              </w:rPr>
              <w:t>Palo Verde</w:t>
            </w:r>
          </w:p>
        </w:tc>
        <w:tc>
          <w:tcPr>
            <w:tcW w:w="123" w:type="pct"/>
            <w:shd w:val="clear" w:color="auto" w:fill="auto"/>
            <w:noWrap/>
            <w:tcMar>
              <w:left w:w="58" w:type="dxa"/>
              <w:right w:w="58" w:type="dxa"/>
            </w:tcMar>
            <w:vAlign w:val="center"/>
            <w:hideMark/>
          </w:tcPr>
          <w:p w:rsidRPr="009055A9" w:rsidR="000E31AA" w:rsidP="000E31AA" w:rsidRDefault="000E31AA" w14:paraId="505135C7" w14:textId="308B452E">
            <w:pPr>
              <w:jc w:val="center"/>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3" w:type="pct"/>
            <w:shd w:val="clear" w:color="auto" w:fill="auto"/>
            <w:noWrap/>
            <w:tcMar>
              <w:left w:w="0" w:type="dxa"/>
              <w:right w:w="43" w:type="dxa"/>
            </w:tcMar>
            <w:vAlign w:val="center"/>
            <w:hideMark/>
          </w:tcPr>
          <w:p w:rsidRPr="009055A9" w:rsidR="000E31AA" w:rsidP="000E31AA" w:rsidRDefault="000E31AA" w14:paraId="5688FD77" w14:textId="4AC63AA5">
            <w:pPr>
              <w:jc w:val="right"/>
              <w:rPr>
                <w:rFonts w:asciiTheme="minorHAnsi" w:hAnsiTheme="minorHAnsi" w:cstheme="minorHAnsi"/>
                <w:sz w:val="16"/>
                <w:szCs w:val="16"/>
              </w:rPr>
            </w:pPr>
            <w:r w:rsidRPr="009055A9">
              <w:rPr>
                <w:rFonts w:asciiTheme="minorHAnsi" w:hAnsiTheme="minorHAnsi" w:cstheme="minorHAnsi"/>
                <w:color w:val="000000"/>
                <w:sz w:val="16"/>
                <w:szCs w:val="16"/>
              </w:rPr>
              <w:t>6,961</w:t>
            </w:r>
          </w:p>
        </w:tc>
        <w:tc>
          <w:tcPr>
            <w:tcW w:w="123" w:type="pct"/>
            <w:shd w:val="clear" w:color="auto" w:fill="auto"/>
            <w:noWrap/>
            <w:tcMar>
              <w:left w:w="0" w:type="dxa"/>
              <w:right w:w="43" w:type="dxa"/>
            </w:tcMar>
            <w:vAlign w:val="center"/>
            <w:hideMark/>
          </w:tcPr>
          <w:p w:rsidRPr="009055A9" w:rsidR="000E31AA" w:rsidP="000E31AA" w:rsidRDefault="000E31AA" w14:paraId="6070A6D4" w14:textId="5E0AB2FE">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0" w:type="pct"/>
            <w:shd w:val="clear" w:color="auto" w:fill="auto"/>
            <w:noWrap/>
            <w:tcMar>
              <w:left w:w="0" w:type="dxa"/>
              <w:right w:w="43" w:type="dxa"/>
            </w:tcMar>
            <w:vAlign w:val="center"/>
            <w:hideMark/>
          </w:tcPr>
          <w:p w:rsidRPr="009055A9" w:rsidR="000E31AA" w:rsidP="000E31AA" w:rsidRDefault="000E31AA" w14:paraId="5CBD02BB" w14:textId="18D36367">
            <w:pPr>
              <w:jc w:val="right"/>
              <w:rPr>
                <w:rFonts w:asciiTheme="minorHAnsi" w:hAnsiTheme="minorHAnsi" w:cstheme="minorHAnsi"/>
                <w:sz w:val="16"/>
                <w:szCs w:val="16"/>
              </w:rPr>
            </w:pPr>
            <w:r w:rsidRPr="009055A9">
              <w:rPr>
                <w:rFonts w:asciiTheme="minorHAnsi" w:hAnsiTheme="minorHAnsi" w:cstheme="minorHAnsi"/>
                <w:color w:val="000000"/>
                <w:sz w:val="16"/>
                <w:szCs w:val="16"/>
              </w:rPr>
              <w:t>4,873</w:t>
            </w:r>
          </w:p>
        </w:tc>
        <w:tc>
          <w:tcPr>
            <w:tcW w:w="125" w:type="pct"/>
            <w:shd w:val="clear" w:color="auto" w:fill="auto"/>
            <w:noWrap/>
            <w:tcMar>
              <w:left w:w="0" w:type="dxa"/>
              <w:right w:w="43" w:type="dxa"/>
            </w:tcMar>
            <w:vAlign w:val="center"/>
            <w:hideMark/>
          </w:tcPr>
          <w:p w:rsidRPr="009055A9" w:rsidR="000E31AA" w:rsidP="000E31AA" w:rsidRDefault="000E31AA" w14:paraId="5A1EB977" w14:textId="0EFE7B49">
            <w:pPr>
              <w:jc w:val="right"/>
              <w:rPr>
                <w:rFonts w:asciiTheme="minorHAnsi" w:hAnsiTheme="minorHAnsi" w:cstheme="minorHAnsi"/>
                <w:sz w:val="16"/>
                <w:szCs w:val="16"/>
              </w:rPr>
            </w:pPr>
            <w:r w:rsidRPr="009055A9">
              <w:rPr>
                <w:rFonts w:asciiTheme="minorHAnsi" w:hAnsiTheme="minorHAnsi" w:cstheme="minorHAnsi"/>
                <w:color w:val="000000"/>
                <w:sz w:val="16"/>
                <w:szCs w:val="16"/>
              </w:rPr>
              <w:t>19</w:t>
            </w:r>
          </w:p>
        </w:tc>
        <w:tc>
          <w:tcPr>
            <w:tcW w:w="172" w:type="pct"/>
            <w:shd w:val="clear" w:color="auto" w:fill="auto"/>
            <w:noWrap/>
            <w:tcMar>
              <w:left w:w="0" w:type="dxa"/>
              <w:right w:w="43" w:type="dxa"/>
            </w:tcMar>
            <w:vAlign w:val="center"/>
            <w:hideMark/>
          </w:tcPr>
          <w:p w:rsidRPr="009055A9" w:rsidR="000E31AA" w:rsidP="000E31AA" w:rsidRDefault="000E31AA" w14:paraId="67BDFBE5" w14:textId="6205ED62">
            <w:pPr>
              <w:jc w:val="right"/>
              <w:rPr>
                <w:rFonts w:asciiTheme="minorHAnsi" w:hAnsiTheme="minorHAnsi" w:cstheme="minorHAnsi"/>
                <w:sz w:val="16"/>
                <w:szCs w:val="16"/>
              </w:rPr>
            </w:pPr>
            <w:r w:rsidRPr="009055A9">
              <w:rPr>
                <w:rFonts w:asciiTheme="minorHAnsi" w:hAnsiTheme="minorHAnsi" w:cstheme="minorHAnsi"/>
                <w:color w:val="000000"/>
                <w:sz w:val="16"/>
                <w:szCs w:val="16"/>
              </w:rPr>
              <w:t>4,422</w:t>
            </w:r>
          </w:p>
        </w:tc>
        <w:tc>
          <w:tcPr>
            <w:tcW w:w="123" w:type="pct"/>
            <w:shd w:val="clear" w:color="auto" w:fill="auto"/>
            <w:noWrap/>
            <w:tcMar>
              <w:left w:w="0" w:type="dxa"/>
              <w:right w:w="43" w:type="dxa"/>
            </w:tcMar>
            <w:vAlign w:val="center"/>
            <w:hideMark/>
          </w:tcPr>
          <w:p w:rsidRPr="009055A9" w:rsidR="000E31AA" w:rsidP="000E31AA" w:rsidRDefault="000E31AA" w14:paraId="7E756F15" w14:textId="3844CA7C">
            <w:pPr>
              <w:jc w:val="right"/>
              <w:rPr>
                <w:rFonts w:asciiTheme="minorHAnsi" w:hAnsiTheme="minorHAnsi" w:cstheme="minorHAnsi"/>
                <w:sz w:val="16"/>
                <w:szCs w:val="16"/>
              </w:rPr>
            </w:pPr>
            <w:r w:rsidRPr="009055A9">
              <w:rPr>
                <w:rFonts w:asciiTheme="minorHAnsi" w:hAnsiTheme="minorHAnsi" w:cstheme="minorHAnsi"/>
                <w:color w:val="000000"/>
                <w:sz w:val="16"/>
                <w:szCs w:val="16"/>
              </w:rPr>
              <w:t>11</w:t>
            </w:r>
          </w:p>
        </w:tc>
        <w:tc>
          <w:tcPr>
            <w:tcW w:w="194" w:type="pct"/>
            <w:shd w:val="clear" w:color="auto" w:fill="auto"/>
            <w:noWrap/>
            <w:tcMar>
              <w:left w:w="0" w:type="dxa"/>
              <w:right w:w="43" w:type="dxa"/>
            </w:tcMar>
            <w:vAlign w:val="center"/>
            <w:hideMark/>
          </w:tcPr>
          <w:p w:rsidRPr="009055A9" w:rsidR="000E31AA" w:rsidP="000E31AA" w:rsidRDefault="000E31AA" w14:paraId="7A33723C" w14:textId="4C9C8B70">
            <w:pPr>
              <w:jc w:val="right"/>
              <w:rPr>
                <w:rFonts w:asciiTheme="minorHAnsi" w:hAnsiTheme="minorHAnsi" w:cstheme="minorHAnsi"/>
                <w:sz w:val="16"/>
                <w:szCs w:val="16"/>
              </w:rPr>
            </w:pPr>
            <w:r w:rsidRPr="009055A9">
              <w:rPr>
                <w:rFonts w:asciiTheme="minorHAnsi" w:hAnsiTheme="minorHAnsi" w:cstheme="minorHAnsi"/>
                <w:color w:val="000000"/>
                <w:sz w:val="16"/>
                <w:szCs w:val="16"/>
              </w:rPr>
              <w:t>4,377</w:t>
            </w:r>
          </w:p>
        </w:tc>
        <w:tc>
          <w:tcPr>
            <w:tcW w:w="123" w:type="pct"/>
            <w:shd w:val="clear" w:color="auto" w:fill="auto"/>
            <w:noWrap/>
            <w:tcMar>
              <w:left w:w="0" w:type="dxa"/>
              <w:right w:w="43" w:type="dxa"/>
            </w:tcMar>
            <w:vAlign w:val="center"/>
            <w:hideMark/>
          </w:tcPr>
          <w:p w:rsidRPr="009055A9" w:rsidR="000E31AA" w:rsidP="000E31AA" w:rsidRDefault="000E31AA" w14:paraId="22B26082" w14:textId="4BBACFB8">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97" w:type="pct"/>
            <w:shd w:val="clear" w:color="auto" w:fill="auto"/>
            <w:noWrap/>
            <w:tcMar>
              <w:left w:w="0" w:type="dxa"/>
              <w:right w:w="43" w:type="dxa"/>
            </w:tcMar>
            <w:vAlign w:val="center"/>
            <w:hideMark/>
          </w:tcPr>
          <w:p w:rsidRPr="009055A9" w:rsidR="000E31AA" w:rsidP="000E31AA" w:rsidRDefault="000E31AA" w14:paraId="302D26AE" w14:textId="4CA553FE">
            <w:pPr>
              <w:jc w:val="right"/>
              <w:rPr>
                <w:rFonts w:asciiTheme="minorHAnsi" w:hAnsiTheme="minorHAnsi" w:cstheme="minorHAnsi"/>
                <w:sz w:val="16"/>
                <w:szCs w:val="16"/>
              </w:rPr>
            </w:pPr>
            <w:r w:rsidRPr="009055A9">
              <w:rPr>
                <w:rFonts w:asciiTheme="minorHAnsi" w:hAnsiTheme="minorHAnsi" w:cstheme="minorHAnsi"/>
                <w:color w:val="000000"/>
                <w:sz w:val="16"/>
                <w:szCs w:val="16"/>
              </w:rPr>
              <w:t>4,171</w:t>
            </w:r>
          </w:p>
        </w:tc>
        <w:tc>
          <w:tcPr>
            <w:tcW w:w="125" w:type="pct"/>
            <w:shd w:val="clear" w:color="auto" w:fill="auto"/>
            <w:noWrap/>
            <w:tcMar>
              <w:left w:w="0" w:type="dxa"/>
              <w:right w:w="43" w:type="dxa"/>
            </w:tcMar>
            <w:vAlign w:val="center"/>
            <w:hideMark/>
          </w:tcPr>
          <w:p w:rsidRPr="009055A9" w:rsidR="000E31AA" w:rsidP="000E31AA" w:rsidRDefault="000E31AA" w14:paraId="4F31B7AD" w14:textId="356CAB2E">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70" w:type="pct"/>
            <w:shd w:val="clear" w:color="auto" w:fill="auto"/>
            <w:noWrap/>
            <w:tcMar>
              <w:left w:w="0" w:type="dxa"/>
              <w:right w:w="43" w:type="dxa"/>
            </w:tcMar>
            <w:vAlign w:val="center"/>
            <w:hideMark/>
          </w:tcPr>
          <w:p w:rsidRPr="009055A9" w:rsidR="000E31AA" w:rsidP="000E31AA" w:rsidRDefault="000E31AA" w14:paraId="41605937" w14:textId="21133BE6">
            <w:pPr>
              <w:jc w:val="right"/>
              <w:rPr>
                <w:rFonts w:asciiTheme="minorHAnsi" w:hAnsiTheme="minorHAnsi" w:cstheme="minorHAnsi"/>
                <w:sz w:val="16"/>
                <w:szCs w:val="16"/>
              </w:rPr>
            </w:pPr>
            <w:r w:rsidRPr="009055A9">
              <w:rPr>
                <w:rFonts w:asciiTheme="minorHAnsi" w:hAnsiTheme="minorHAnsi" w:cstheme="minorHAnsi"/>
                <w:color w:val="000000"/>
                <w:sz w:val="16"/>
                <w:szCs w:val="16"/>
              </w:rPr>
              <w:t>4,194</w:t>
            </w:r>
          </w:p>
        </w:tc>
        <w:tc>
          <w:tcPr>
            <w:tcW w:w="148" w:type="pct"/>
            <w:shd w:val="clear" w:color="auto" w:fill="auto"/>
            <w:noWrap/>
            <w:tcMar>
              <w:left w:w="0" w:type="dxa"/>
              <w:right w:w="43" w:type="dxa"/>
            </w:tcMar>
            <w:vAlign w:val="center"/>
            <w:hideMark/>
          </w:tcPr>
          <w:p w:rsidRPr="009055A9" w:rsidR="000E31AA" w:rsidP="000E31AA" w:rsidRDefault="000E31AA" w14:paraId="284B6601" w14:textId="2B29B75B">
            <w:pPr>
              <w:jc w:val="right"/>
              <w:rPr>
                <w:rFonts w:asciiTheme="minorHAnsi" w:hAnsiTheme="minorHAnsi" w:cstheme="minorHAnsi"/>
                <w:sz w:val="16"/>
                <w:szCs w:val="16"/>
              </w:rPr>
            </w:pPr>
            <w:r w:rsidRPr="009055A9">
              <w:rPr>
                <w:rFonts w:asciiTheme="minorHAnsi" w:hAnsiTheme="minorHAnsi" w:cstheme="minorHAnsi"/>
                <w:color w:val="000000"/>
                <w:sz w:val="16"/>
                <w:szCs w:val="16"/>
              </w:rPr>
              <w:t>21</w:t>
            </w:r>
          </w:p>
        </w:tc>
        <w:tc>
          <w:tcPr>
            <w:tcW w:w="172" w:type="pct"/>
            <w:tcMar>
              <w:left w:w="0" w:type="dxa"/>
              <w:right w:w="43" w:type="dxa"/>
            </w:tcMar>
            <w:vAlign w:val="center"/>
          </w:tcPr>
          <w:p w:rsidRPr="009055A9" w:rsidR="000E31AA" w:rsidP="000E31AA" w:rsidRDefault="000E31AA" w14:paraId="474CADD1" w14:textId="7A6BE9CF">
            <w:pPr>
              <w:jc w:val="right"/>
              <w:rPr>
                <w:rFonts w:asciiTheme="minorHAnsi" w:hAnsiTheme="minorHAnsi" w:cstheme="minorHAnsi"/>
                <w:sz w:val="16"/>
                <w:szCs w:val="16"/>
              </w:rPr>
            </w:pPr>
            <w:r w:rsidRPr="009055A9">
              <w:rPr>
                <w:rFonts w:asciiTheme="minorHAnsi" w:hAnsiTheme="minorHAnsi" w:cstheme="minorHAnsi"/>
                <w:color w:val="000000"/>
                <w:sz w:val="16"/>
                <w:szCs w:val="16"/>
              </w:rPr>
              <w:t>4,260</w:t>
            </w:r>
          </w:p>
        </w:tc>
        <w:tc>
          <w:tcPr>
            <w:tcW w:w="124" w:type="pct"/>
            <w:tcMar>
              <w:left w:w="0" w:type="dxa"/>
              <w:right w:w="43" w:type="dxa"/>
            </w:tcMar>
            <w:vAlign w:val="center"/>
          </w:tcPr>
          <w:p w:rsidRPr="009055A9" w:rsidR="000E31AA" w:rsidP="000E31AA" w:rsidRDefault="000E31AA" w14:paraId="60A4D9E3" w14:textId="18F59C8B">
            <w:pPr>
              <w:jc w:val="right"/>
              <w:rPr>
                <w:rFonts w:asciiTheme="minorHAnsi" w:hAnsiTheme="minorHAnsi" w:cstheme="minorHAnsi"/>
                <w:sz w:val="16"/>
                <w:szCs w:val="16"/>
              </w:rPr>
            </w:pPr>
            <w:r w:rsidRPr="009055A9">
              <w:rPr>
                <w:rFonts w:asciiTheme="minorHAnsi" w:hAnsiTheme="minorHAnsi" w:cstheme="minorHAnsi"/>
                <w:color w:val="000000"/>
                <w:sz w:val="16"/>
                <w:szCs w:val="16"/>
              </w:rPr>
              <w:t>14</w:t>
            </w:r>
          </w:p>
        </w:tc>
        <w:tc>
          <w:tcPr>
            <w:tcW w:w="173" w:type="pct"/>
            <w:tcMar>
              <w:left w:w="0" w:type="dxa"/>
              <w:right w:w="43" w:type="dxa"/>
            </w:tcMar>
            <w:vAlign w:val="center"/>
          </w:tcPr>
          <w:p w:rsidRPr="009055A9" w:rsidR="000E31AA" w:rsidP="000E31AA" w:rsidRDefault="000E31AA" w14:paraId="04087F21" w14:textId="21833B2B">
            <w:pPr>
              <w:jc w:val="right"/>
              <w:rPr>
                <w:rFonts w:asciiTheme="minorHAnsi" w:hAnsiTheme="minorHAnsi" w:cstheme="minorHAnsi"/>
                <w:sz w:val="16"/>
                <w:szCs w:val="16"/>
              </w:rPr>
            </w:pPr>
            <w:r w:rsidRPr="009055A9">
              <w:rPr>
                <w:rFonts w:asciiTheme="minorHAnsi" w:hAnsiTheme="minorHAnsi" w:cstheme="minorHAnsi"/>
                <w:color w:val="000000"/>
                <w:sz w:val="16"/>
                <w:szCs w:val="16"/>
              </w:rPr>
              <w:t>4,263</w:t>
            </w:r>
          </w:p>
        </w:tc>
        <w:tc>
          <w:tcPr>
            <w:tcW w:w="146" w:type="pct"/>
            <w:tcMar>
              <w:left w:w="0" w:type="dxa"/>
              <w:right w:w="43" w:type="dxa"/>
            </w:tcMar>
            <w:vAlign w:val="center"/>
          </w:tcPr>
          <w:p w:rsidRPr="009055A9" w:rsidR="000E31AA" w:rsidP="000E31AA" w:rsidRDefault="000E31AA" w14:paraId="1AFD54FD" w14:textId="42819CB7">
            <w:pPr>
              <w:jc w:val="right"/>
              <w:rPr>
                <w:rFonts w:asciiTheme="minorHAnsi" w:hAnsiTheme="minorHAnsi" w:cstheme="minorHAnsi"/>
                <w:sz w:val="16"/>
                <w:szCs w:val="16"/>
              </w:rPr>
            </w:pPr>
            <w:r w:rsidRPr="009055A9">
              <w:rPr>
                <w:rFonts w:asciiTheme="minorHAnsi" w:hAnsiTheme="minorHAnsi" w:cstheme="minorHAnsi"/>
                <w:color w:val="000000"/>
                <w:sz w:val="16"/>
                <w:szCs w:val="16"/>
              </w:rPr>
              <w:t>16</w:t>
            </w:r>
          </w:p>
        </w:tc>
        <w:tc>
          <w:tcPr>
            <w:tcW w:w="175" w:type="pct"/>
            <w:tcMar>
              <w:left w:w="0" w:type="dxa"/>
              <w:right w:w="43" w:type="dxa"/>
            </w:tcMar>
            <w:vAlign w:val="center"/>
          </w:tcPr>
          <w:p w:rsidRPr="009055A9" w:rsidR="000E31AA" w:rsidP="000E31AA" w:rsidRDefault="000E31AA" w14:paraId="4529CDA2" w14:textId="0165E5E3">
            <w:pPr>
              <w:jc w:val="right"/>
              <w:rPr>
                <w:rFonts w:asciiTheme="minorHAnsi" w:hAnsiTheme="minorHAnsi" w:cstheme="minorHAnsi"/>
                <w:sz w:val="16"/>
                <w:szCs w:val="16"/>
              </w:rPr>
            </w:pPr>
            <w:r w:rsidRPr="009055A9">
              <w:rPr>
                <w:rFonts w:asciiTheme="minorHAnsi" w:hAnsiTheme="minorHAnsi" w:cstheme="minorHAnsi"/>
                <w:color w:val="000000"/>
                <w:sz w:val="16"/>
                <w:szCs w:val="16"/>
              </w:rPr>
              <w:t>4,225</w:t>
            </w:r>
          </w:p>
        </w:tc>
        <w:tc>
          <w:tcPr>
            <w:tcW w:w="149" w:type="pct"/>
            <w:tcMar>
              <w:left w:w="0" w:type="dxa"/>
              <w:right w:w="43" w:type="dxa"/>
            </w:tcMar>
            <w:vAlign w:val="center"/>
          </w:tcPr>
          <w:p w:rsidRPr="009055A9" w:rsidR="000E31AA" w:rsidP="000E31AA" w:rsidRDefault="000E31AA" w14:paraId="0951C8B0" w14:textId="3D30DAEE">
            <w:pPr>
              <w:jc w:val="right"/>
              <w:rPr>
                <w:rFonts w:asciiTheme="minorHAnsi" w:hAnsiTheme="minorHAnsi" w:cstheme="minorHAnsi"/>
                <w:sz w:val="16"/>
                <w:szCs w:val="16"/>
              </w:rPr>
            </w:pPr>
            <w:r w:rsidRPr="009055A9">
              <w:rPr>
                <w:rFonts w:asciiTheme="minorHAnsi" w:hAnsiTheme="minorHAnsi" w:cstheme="minorHAnsi"/>
                <w:color w:val="000000"/>
                <w:sz w:val="16"/>
                <w:szCs w:val="16"/>
              </w:rPr>
              <w:t>18</w:t>
            </w:r>
          </w:p>
        </w:tc>
        <w:tc>
          <w:tcPr>
            <w:tcW w:w="197" w:type="pct"/>
            <w:tcMar>
              <w:left w:w="0" w:type="dxa"/>
              <w:right w:w="43" w:type="dxa"/>
            </w:tcMar>
            <w:vAlign w:val="center"/>
          </w:tcPr>
          <w:p w:rsidRPr="009055A9" w:rsidR="000E31AA" w:rsidP="000E31AA" w:rsidRDefault="000E31AA" w14:paraId="4338C3DC" w14:textId="164BAF69">
            <w:pPr>
              <w:jc w:val="right"/>
              <w:rPr>
                <w:rFonts w:asciiTheme="minorHAnsi" w:hAnsiTheme="minorHAnsi" w:cstheme="minorHAnsi"/>
                <w:sz w:val="16"/>
                <w:szCs w:val="16"/>
              </w:rPr>
            </w:pPr>
            <w:r w:rsidRPr="009055A9">
              <w:rPr>
                <w:rFonts w:asciiTheme="minorHAnsi" w:hAnsiTheme="minorHAnsi" w:cstheme="minorHAnsi"/>
                <w:color w:val="000000"/>
                <w:sz w:val="16"/>
                <w:szCs w:val="16"/>
              </w:rPr>
              <w:t>4,569</w:t>
            </w:r>
          </w:p>
        </w:tc>
        <w:tc>
          <w:tcPr>
            <w:tcW w:w="148" w:type="pct"/>
            <w:tcMar>
              <w:left w:w="0" w:type="dxa"/>
              <w:right w:w="43" w:type="dxa"/>
            </w:tcMar>
            <w:vAlign w:val="center"/>
          </w:tcPr>
          <w:p w:rsidRPr="009055A9" w:rsidR="000E31AA" w:rsidP="000E31AA" w:rsidRDefault="000E31AA" w14:paraId="38409010" w14:textId="70951101">
            <w:pPr>
              <w:jc w:val="right"/>
              <w:rPr>
                <w:rFonts w:asciiTheme="minorHAnsi" w:hAnsiTheme="minorHAnsi" w:cstheme="minorHAnsi"/>
                <w:sz w:val="16"/>
                <w:szCs w:val="16"/>
              </w:rPr>
            </w:pPr>
            <w:r w:rsidRPr="009055A9">
              <w:rPr>
                <w:rFonts w:asciiTheme="minorHAnsi" w:hAnsiTheme="minorHAnsi" w:cstheme="minorHAnsi"/>
                <w:color w:val="000000"/>
                <w:sz w:val="16"/>
                <w:szCs w:val="16"/>
              </w:rPr>
              <w:t>23</w:t>
            </w:r>
          </w:p>
        </w:tc>
        <w:tc>
          <w:tcPr>
            <w:tcW w:w="196" w:type="pct"/>
            <w:tcMar>
              <w:left w:w="0" w:type="dxa"/>
              <w:right w:w="43" w:type="dxa"/>
            </w:tcMar>
            <w:vAlign w:val="center"/>
          </w:tcPr>
          <w:p w:rsidRPr="009055A9" w:rsidR="000E31AA" w:rsidP="000E31AA" w:rsidRDefault="000E31AA" w14:paraId="46CA66BB" w14:textId="21BA469B">
            <w:pPr>
              <w:jc w:val="right"/>
              <w:rPr>
                <w:rFonts w:asciiTheme="minorHAnsi" w:hAnsiTheme="minorHAnsi" w:cstheme="minorHAnsi"/>
                <w:sz w:val="16"/>
                <w:szCs w:val="16"/>
              </w:rPr>
            </w:pPr>
            <w:r w:rsidRPr="009055A9">
              <w:rPr>
                <w:rFonts w:asciiTheme="minorHAnsi" w:hAnsiTheme="minorHAnsi" w:cstheme="minorHAnsi"/>
                <w:color w:val="000000"/>
                <w:sz w:val="16"/>
                <w:szCs w:val="16"/>
              </w:rPr>
              <w:t>4,530</w:t>
            </w:r>
          </w:p>
        </w:tc>
        <w:tc>
          <w:tcPr>
            <w:tcW w:w="143" w:type="pct"/>
            <w:tcMar>
              <w:left w:w="0" w:type="dxa"/>
              <w:right w:w="43" w:type="dxa"/>
            </w:tcMar>
            <w:vAlign w:val="center"/>
          </w:tcPr>
          <w:p w:rsidRPr="009055A9" w:rsidR="000E31AA" w:rsidP="000E31AA" w:rsidRDefault="000E31AA" w14:paraId="0A484B54" w14:textId="023369E0">
            <w:pPr>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78" w:type="pct"/>
            <w:shd w:val="clear" w:color="000000" w:fill="FFFFFF"/>
            <w:noWrap/>
            <w:tcMar>
              <w:left w:w="0" w:type="dxa"/>
              <w:right w:w="43" w:type="dxa"/>
            </w:tcMar>
            <w:vAlign w:val="center"/>
          </w:tcPr>
          <w:p w:rsidRPr="003148DB" w:rsidR="000E31AA" w:rsidP="000E31AA" w:rsidRDefault="000E31AA" w14:paraId="6F94F1BA" w14:textId="322DFD6A">
            <w:pPr>
              <w:jc w:val="right"/>
              <w:rPr>
                <w:rFonts w:asciiTheme="minorHAnsi" w:hAnsiTheme="minorHAnsi" w:cstheme="minorHAnsi"/>
                <w:sz w:val="16"/>
                <w:szCs w:val="16"/>
              </w:rPr>
            </w:pPr>
            <w:r w:rsidRPr="003148DB">
              <w:rPr>
                <w:rFonts w:asciiTheme="minorHAnsi" w:hAnsiTheme="minorHAnsi" w:cstheme="minorHAnsi"/>
                <w:color w:val="000000"/>
                <w:sz w:val="16"/>
                <w:szCs w:val="16"/>
              </w:rPr>
              <w:t>4,622</w:t>
            </w:r>
          </w:p>
        </w:tc>
        <w:tc>
          <w:tcPr>
            <w:tcW w:w="151" w:type="pct"/>
            <w:shd w:val="clear" w:color="000000" w:fill="FFFFFF"/>
            <w:noWrap/>
            <w:tcMar>
              <w:left w:w="0" w:type="dxa"/>
              <w:right w:w="43" w:type="dxa"/>
            </w:tcMar>
            <w:vAlign w:val="center"/>
          </w:tcPr>
          <w:p w:rsidRPr="003148DB" w:rsidR="000E31AA" w:rsidP="000E31AA" w:rsidRDefault="000E31AA" w14:paraId="400A63B5" w14:textId="295F916B">
            <w:pPr>
              <w:jc w:val="right"/>
              <w:rPr>
                <w:rFonts w:asciiTheme="minorHAnsi" w:hAnsiTheme="minorHAnsi" w:cstheme="minorHAnsi"/>
                <w:sz w:val="16"/>
                <w:szCs w:val="16"/>
              </w:rPr>
            </w:pPr>
            <w:r w:rsidRPr="003148DB">
              <w:rPr>
                <w:rFonts w:asciiTheme="minorHAnsi" w:hAnsiTheme="minorHAnsi" w:cstheme="minorHAnsi"/>
                <w:color w:val="000000"/>
                <w:sz w:val="16"/>
                <w:szCs w:val="16"/>
              </w:rPr>
              <w:t>17.6</w:t>
            </w:r>
          </w:p>
        </w:tc>
      </w:tr>
      <w:tr w:rsidRPr="003148DB" w:rsidR="000D41FC" w:rsidTr="000D41FC" w14:paraId="43BF5DB8" w14:textId="77777777">
        <w:trPr>
          <w:trHeight w:val="264"/>
        </w:trPr>
        <w:tc>
          <w:tcPr>
            <w:tcW w:w="268" w:type="pct"/>
            <w:vMerge/>
            <w:tcBorders>
              <w:bottom w:val="single" w:color="auto" w:sz="4" w:space="0"/>
            </w:tcBorders>
            <w:shd w:val="clear" w:color="auto" w:fill="auto"/>
            <w:noWrap/>
            <w:tcMar>
              <w:left w:w="58" w:type="dxa"/>
              <w:right w:w="58" w:type="dxa"/>
            </w:tcMar>
            <w:vAlign w:val="center"/>
            <w:hideMark/>
          </w:tcPr>
          <w:p w:rsidRPr="00196D17" w:rsidR="000E31AA" w:rsidP="000E31AA" w:rsidRDefault="000E31AA" w14:paraId="36C9D54F" w14:textId="77777777">
            <w:pPr>
              <w:rPr>
                <w:rFonts w:asciiTheme="minorHAnsi" w:hAnsiTheme="minorHAnsi" w:cstheme="minorHAnsi"/>
                <w:sz w:val="16"/>
                <w:szCs w:val="16"/>
              </w:rPr>
            </w:pPr>
          </w:p>
        </w:tc>
        <w:tc>
          <w:tcPr>
            <w:tcW w:w="493" w:type="pct"/>
            <w:tcBorders>
              <w:bottom w:val="single" w:color="auto" w:sz="4" w:space="0"/>
            </w:tcBorders>
            <w:shd w:val="clear" w:color="auto" w:fill="auto"/>
            <w:noWrap/>
            <w:tcMar>
              <w:left w:w="58" w:type="dxa"/>
              <w:right w:w="29" w:type="dxa"/>
            </w:tcMar>
            <w:vAlign w:val="center"/>
            <w:hideMark/>
          </w:tcPr>
          <w:p w:rsidRPr="009055A9" w:rsidR="000E31AA" w:rsidP="000E31AA" w:rsidRDefault="000E31AA" w14:paraId="0AED9B1B" w14:textId="3A122692">
            <w:pPr>
              <w:rPr>
                <w:rFonts w:asciiTheme="minorHAnsi" w:hAnsiTheme="minorHAnsi" w:cstheme="minorHAnsi"/>
                <w:sz w:val="16"/>
                <w:szCs w:val="16"/>
              </w:rPr>
            </w:pPr>
            <w:r w:rsidRPr="009055A9">
              <w:rPr>
                <w:rFonts w:asciiTheme="minorHAnsi" w:hAnsiTheme="minorHAnsi" w:cstheme="minorHAnsi"/>
                <w:color w:val="000000"/>
                <w:sz w:val="16"/>
                <w:szCs w:val="16"/>
              </w:rPr>
              <w:t>PSEG Nuclear</w:t>
            </w:r>
          </w:p>
        </w:tc>
        <w:tc>
          <w:tcPr>
            <w:tcW w:w="321" w:type="pct"/>
            <w:tcBorders>
              <w:bottom w:val="single" w:color="auto" w:sz="4" w:space="0"/>
            </w:tcBorders>
            <w:shd w:val="clear" w:color="auto" w:fill="auto"/>
            <w:noWrap/>
            <w:tcMar>
              <w:left w:w="58" w:type="dxa"/>
              <w:right w:w="29" w:type="dxa"/>
            </w:tcMar>
            <w:vAlign w:val="center"/>
            <w:hideMark/>
          </w:tcPr>
          <w:p w:rsidR="000F61CE" w:rsidP="000E31AA" w:rsidRDefault="000E31AA" w14:paraId="368B4B6B" w14:textId="77777777">
            <w:pPr>
              <w:rPr>
                <w:rFonts w:asciiTheme="minorHAnsi" w:hAnsiTheme="minorHAnsi" w:cstheme="minorHAnsi"/>
                <w:color w:val="000000"/>
                <w:sz w:val="16"/>
                <w:szCs w:val="16"/>
              </w:rPr>
            </w:pPr>
            <w:r w:rsidRPr="009055A9">
              <w:rPr>
                <w:rFonts w:asciiTheme="minorHAnsi" w:hAnsiTheme="minorHAnsi" w:cstheme="minorHAnsi"/>
                <w:color w:val="000000"/>
                <w:sz w:val="16"/>
                <w:szCs w:val="16"/>
              </w:rPr>
              <w:t>Salem/</w:t>
            </w:r>
          </w:p>
          <w:p w:rsidRPr="009055A9" w:rsidR="000E31AA" w:rsidP="000E31AA" w:rsidRDefault="000E31AA" w14:paraId="58641F5E" w14:textId="7E30F09A">
            <w:pPr>
              <w:rPr>
                <w:rFonts w:asciiTheme="minorHAnsi" w:hAnsiTheme="minorHAnsi" w:cstheme="minorHAnsi"/>
                <w:sz w:val="16"/>
                <w:szCs w:val="16"/>
              </w:rPr>
            </w:pPr>
            <w:r w:rsidRPr="009055A9">
              <w:rPr>
                <w:rFonts w:asciiTheme="minorHAnsi" w:hAnsiTheme="minorHAnsi" w:cstheme="minorHAnsi"/>
                <w:color w:val="000000"/>
                <w:sz w:val="16"/>
                <w:szCs w:val="16"/>
              </w:rPr>
              <w:t>Hope Creek</w:t>
            </w:r>
          </w:p>
        </w:tc>
        <w:tc>
          <w:tcPr>
            <w:tcW w:w="123" w:type="pct"/>
            <w:tcBorders>
              <w:bottom w:val="single" w:color="auto" w:sz="4" w:space="0"/>
            </w:tcBorders>
            <w:shd w:val="clear" w:color="auto" w:fill="auto"/>
            <w:noWrap/>
            <w:tcMar>
              <w:left w:w="58" w:type="dxa"/>
              <w:right w:w="58" w:type="dxa"/>
            </w:tcMar>
            <w:vAlign w:val="center"/>
            <w:hideMark/>
          </w:tcPr>
          <w:p w:rsidRPr="009055A9" w:rsidR="000E31AA" w:rsidP="000E31AA" w:rsidRDefault="000E31AA" w14:paraId="14143AB5" w14:textId="56DA682B">
            <w:pPr>
              <w:jc w:val="center"/>
              <w:rPr>
                <w:rFonts w:asciiTheme="minorHAnsi" w:hAnsiTheme="minorHAnsi" w:cstheme="minorHAnsi"/>
                <w:sz w:val="16"/>
                <w:szCs w:val="16"/>
              </w:rPr>
            </w:pPr>
            <w:r w:rsidRPr="009055A9">
              <w:rPr>
                <w:rFonts w:asciiTheme="minorHAnsi" w:hAnsiTheme="minorHAnsi" w:cstheme="minorHAnsi"/>
                <w:color w:val="000000"/>
                <w:sz w:val="16"/>
                <w:szCs w:val="16"/>
              </w:rPr>
              <w:t>3</w:t>
            </w:r>
          </w:p>
        </w:tc>
        <w:tc>
          <w:tcPr>
            <w:tcW w:w="173"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671CF842" w14:textId="57949B62">
            <w:pPr>
              <w:jc w:val="right"/>
              <w:rPr>
                <w:rFonts w:asciiTheme="minorHAnsi" w:hAnsiTheme="minorHAnsi" w:cstheme="minorHAnsi"/>
                <w:sz w:val="16"/>
                <w:szCs w:val="16"/>
              </w:rPr>
            </w:pPr>
            <w:r w:rsidRPr="009055A9">
              <w:rPr>
                <w:rFonts w:asciiTheme="minorHAnsi" w:hAnsiTheme="minorHAnsi" w:cstheme="minorHAnsi"/>
                <w:color w:val="000000"/>
                <w:sz w:val="16"/>
                <w:szCs w:val="16"/>
              </w:rPr>
              <w:t>3,768</w:t>
            </w:r>
          </w:p>
        </w:tc>
        <w:tc>
          <w:tcPr>
            <w:tcW w:w="123"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5D6CF941" w14:textId="28F03FF7">
            <w:pPr>
              <w:jc w:val="right"/>
              <w:rPr>
                <w:rFonts w:asciiTheme="minorHAnsi" w:hAnsiTheme="minorHAnsi" w:cstheme="minorHAnsi"/>
                <w:sz w:val="16"/>
                <w:szCs w:val="16"/>
              </w:rPr>
            </w:pPr>
            <w:r w:rsidRPr="009055A9">
              <w:rPr>
                <w:rFonts w:asciiTheme="minorHAnsi" w:hAnsiTheme="minorHAnsi" w:cstheme="minorHAnsi"/>
                <w:color w:val="000000"/>
                <w:sz w:val="16"/>
                <w:szCs w:val="16"/>
              </w:rPr>
              <w:t>24</w:t>
            </w:r>
          </w:p>
        </w:tc>
        <w:tc>
          <w:tcPr>
            <w:tcW w:w="170"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38A3276D" w14:textId="673DF231">
            <w:pPr>
              <w:jc w:val="right"/>
              <w:rPr>
                <w:rFonts w:asciiTheme="minorHAnsi" w:hAnsiTheme="minorHAnsi" w:cstheme="minorHAnsi"/>
                <w:sz w:val="16"/>
                <w:szCs w:val="16"/>
              </w:rPr>
            </w:pPr>
            <w:r w:rsidRPr="009055A9">
              <w:rPr>
                <w:rFonts w:asciiTheme="minorHAnsi" w:hAnsiTheme="minorHAnsi" w:cstheme="minorHAnsi"/>
                <w:color w:val="000000"/>
                <w:sz w:val="16"/>
                <w:szCs w:val="16"/>
              </w:rPr>
              <w:t>4,291</w:t>
            </w:r>
          </w:p>
        </w:tc>
        <w:tc>
          <w:tcPr>
            <w:tcW w:w="125"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662C6141" w14:textId="4D444F43">
            <w:pPr>
              <w:jc w:val="right"/>
              <w:rPr>
                <w:rFonts w:asciiTheme="minorHAnsi" w:hAnsiTheme="minorHAnsi" w:cstheme="minorHAnsi"/>
                <w:sz w:val="16"/>
                <w:szCs w:val="16"/>
              </w:rPr>
            </w:pPr>
            <w:r w:rsidRPr="009055A9">
              <w:rPr>
                <w:rFonts w:asciiTheme="minorHAnsi" w:hAnsiTheme="minorHAnsi" w:cstheme="minorHAnsi"/>
                <w:color w:val="000000"/>
                <w:sz w:val="16"/>
                <w:szCs w:val="16"/>
              </w:rPr>
              <w:t>28</w:t>
            </w:r>
          </w:p>
        </w:tc>
        <w:tc>
          <w:tcPr>
            <w:tcW w:w="172"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4F9BE097" w14:textId="63B87FCB">
            <w:pPr>
              <w:jc w:val="right"/>
              <w:rPr>
                <w:rFonts w:asciiTheme="minorHAnsi" w:hAnsiTheme="minorHAnsi" w:cstheme="minorHAnsi"/>
                <w:sz w:val="16"/>
                <w:szCs w:val="16"/>
              </w:rPr>
            </w:pPr>
            <w:r w:rsidRPr="009055A9">
              <w:rPr>
                <w:rFonts w:asciiTheme="minorHAnsi" w:hAnsiTheme="minorHAnsi" w:cstheme="minorHAnsi"/>
                <w:color w:val="000000"/>
                <w:sz w:val="16"/>
                <w:szCs w:val="16"/>
              </w:rPr>
              <w:t>4,199</w:t>
            </w:r>
          </w:p>
        </w:tc>
        <w:tc>
          <w:tcPr>
            <w:tcW w:w="123"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2A03E2DD" w14:textId="2AE5BB14">
            <w:pPr>
              <w:jc w:val="right"/>
              <w:rPr>
                <w:rFonts w:asciiTheme="minorHAnsi" w:hAnsiTheme="minorHAnsi" w:cstheme="minorHAnsi"/>
                <w:sz w:val="16"/>
                <w:szCs w:val="16"/>
              </w:rPr>
            </w:pPr>
            <w:r w:rsidRPr="009055A9">
              <w:rPr>
                <w:rFonts w:asciiTheme="minorHAnsi" w:hAnsiTheme="minorHAnsi" w:cstheme="minorHAnsi"/>
                <w:color w:val="000000"/>
                <w:sz w:val="16"/>
                <w:szCs w:val="16"/>
              </w:rPr>
              <w:t>23</w:t>
            </w:r>
          </w:p>
        </w:tc>
        <w:tc>
          <w:tcPr>
            <w:tcW w:w="194"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7223023D" w14:textId="13923DDF">
            <w:pPr>
              <w:jc w:val="right"/>
              <w:rPr>
                <w:rFonts w:asciiTheme="minorHAnsi" w:hAnsiTheme="minorHAnsi" w:cstheme="minorHAnsi"/>
                <w:sz w:val="16"/>
                <w:szCs w:val="16"/>
              </w:rPr>
            </w:pPr>
            <w:r w:rsidRPr="009055A9">
              <w:rPr>
                <w:rFonts w:asciiTheme="minorHAnsi" w:hAnsiTheme="minorHAnsi" w:cstheme="minorHAnsi"/>
                <w:color w:val="000000"/>
                <w:sz w:val="16"/>
                <w:szCs w:val="16"/>
              </w:rPr>
              <w:t>4,288</w:t>
            </w:r>
          </w:p>
        </w:tc>
        <w:tc>
          <w:tcPr>
            <w:tcW w:w="123"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4419C2B7" w14:textId="2A2CA3B9">
            <w:pPr>
              <w:jc w:val="right"/>
              <w:rPr>
                <w:rFonts w:asciiTheme="minorHAnsi" w:hAnsiTheme="minorHAnsi" w:cstheme="minorHAnsi"/>
                <w:sz w:val="16"/>
                <w:szCs w:val="16"/>
              </w:rPr>
            </w:pPr>
            <w:r w:rsidRPr="009055A9">
              <w:rPr>
                <w:rFonts w:asciiTheme="minorHAnsi" w:hAnsiTheme="minorHAnsi" w:cstheme="minorHAnsi"/>
                <w:color w:val="000000"/>
                <w:sz w:val="16"/>
                <w:szCs w:val="16"/>
              </w:rPr>
              <w:t>34</w:t>
            </w:r>
          </w:p>
        </w:tc>
        <w:tc>
          <w:tcPr>
            <w:tcW w:w="197"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2B4FB754" w14:textId="2B0716CB">
            <w:pPr>
              <w:jc w:val="right"/>
              <w:rPr>
                <w:rFonts w:asciiTheme="minorHAnsi" w:hAnsiTheme="minorHAnsi" w:cstheme="minorHAnsi"/>
                <w:sz w:val="16"/>
                <w:szCs w:val="16"/>
              </w:rPr>
            </w:pPr>
            <w:r w:rsidRPr="009055A9">
              <w:rPr>
                <w:rFonts w:asciiTheme="minorHAnsi" w:hAnsiTheme="minorHAnsi" w:cstheme="minorHAnsi"/>
                <w:color w:val="000000"/>
                <w:sz w:val="16"/>
                <w:szCs w:val="16"/>
              </w:rPr>
              <w:t>4,252</w:t>
            </w:r>
          </w:p>
        </w:tc>
        <w:tc>
          <w:tcPr>
            <w:tcW w:w="125"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2C38EAFB" w14:textId="534C6A26">
            <w:pPr>
              <w:jc w:val="right"/>
              <w:rPr>
                <w:rFonts w:asciiTheme="minorHAnsi" w:hAnsiTheme="minorHAnsi" w:cstheme="minorHAnsi"/>
                <w:sz w:val="16"/>
                <w:szCs w:val="16"/>
              </w:rPr>
            </w:pPr>
            <w:r w:rsidRPr="009055A9">
              <w:rPr>
                <w:rFonts w:asciiTheme="minorHAnsi" w:hAnsiTheme="minorHAnsi" w:cstheme="minorHAnsi"/>
                <w:color w:val="000000"/>
                <w:sz w:val="16"/>
                <w:szCs w:val="16"/>
              </w:rPr>
              <w:t>24</w:t>
            </w:r>
          </w:p>
        </w:tc>
        <w:tc>
          <w:tcPr>
            <w:tcW w:w="170"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1E9B7461" w14:textId="178ED295">
            <w:pPr>
              <w:jc w:val="right"/>
              <w:rPr>
                <w:rFonts w:asciiTheme="minorHAnsi" w:hAnsiTheme="minorHAnsi" w:cstheme="minorHAnsi"/>
                <w:sz w:val="16"/>
                <w:szCs w:val="16"/>
              </w:rPr>
            </w:pPr>
            <w:r w:rsidRPr="009055A9">
              <w:rPr>
                <w:rFonts w:asciiTheme="minorHAnsi" w:hAnsiTheme="minorHAnsi" w:cstheme="minorHAnsi"/>
                <w:color w:val="000000"/>
                <w:sz w:val="16"/>
                <w:szCs w:val="16"/>
              </w:rPr>
              <w:t>4,195</w:t>
            </w:r>
          </w:p>
        </w:tc>
        <w:tc>
          <w:tcPr>
            <w:tcW w:w="148" w:type="pct"/>
            <w:tcBorders>
              <w:bottom w:val="single" w:color="auto" w:sz="4" w:space="0"/>
            </w:tcBorders>
            <w:shd w:val="clear" w:color="auto" w:fill="auto"/>
            <w:noWrap/>
            <w:tcMar>
              <w:left w:w="0" w:type="dxa"/>
              <w:right w:w="43" w:type="dxa"/>
            </w:tcMar>
            <w:vAlign w:val="center"/>
            <w:hideMark/>
          </w:tcPr>
          <w:p w:rsidRPr="009055A9" w:rsidR="000E31AA" w:rsidP="000E31AA" w:rsidRDefault="000E31AA" w14:paraId="4CCC74DF" w14:textId="4B7891EC">
            <w:pPr>
              <w:jc w:val="right"/>
              <w:rPr>
                <w:rFonts w:asciiTheme="minorHAnsi" w:hAnsiTheme="minorHAnsi" w:cstheme="minorHAnsi"/>
                <w:sz w:val="16"/>
                <w:szCs w:val="16"/>
              </w:rPr>
            </w:pPr>
            <w:r w:rsidRPr="009055A9">
              <w:rPr>
                <w:rFonts w:asciiTheme="minorHAnsi" w:hAnsiTheme="minorHAnsi" w:cstheme="minorHAnsi"/>
                <w:color w:val="000000"/>
                <w:sz w:val="16"/>
                <w:szCs w:val="16"/>
              </w:rPr>
              <w:t>27</w:t>
            </w:r>
          </w:p>
        </w:tc>
        <w:tc>
          <w:tcPr>
            <w:tcW w:w="172" w:type="pct"/>
            <w:tcBorders>
              <w:bottom w:val="single" w:color="auto" w:sz="4" w:space="0"/>
            </w:tcBorders>
            <w:tcMar>
              <w:left w:w="0" w:type="dxa"/>
              <w:right w:w="43" w:type="dxa"/>
            </w:tcMar>
            <w:vAlign w:val="center"/>
          </w:tcPr>
          <w:p w:rsidRPr="009055A9" w:rsidR="000E31AA" w:rsidP="000E31AA" w:rsidRDefault="000E31AA" w14:paraId="264FF039" w14:textId="6B82F98D">
            <w:pPr>
              <w:jc w:val="right"/>
              <w:rPr>
                <w:rFonts w:asciiTheme="minorHAnsi" w:hAnsiTheme="minorHAnsi" w:cstheme="minorHAnsi"/>
                <w:sz w:val="16"/>
                <w:szCs w:val="16"/>
              </w:rPr>
            </w:pPr>
            <w:r w:rsidRPr="009055A9">
              <w:rPr>
                <w:rFonts w:asciiTheme="minorHAnsi" w:hAnsiTheme="minorHAnsi" w:cstheme="minorHAnsi"/>
                <w:color w:val="000000"/>
                <w:sz w:val="16"/>
                <w:szCs w:val="16"/>
              </w:rPr>
              <w:t>4,424</w:t>
            </w:r>
          </w:p>
        </w:tc>
        <w:tc>
          <w:tcPr>
            <w:tcW w:w="124" w:type="pct"/>
            <w:tcBorders>
              <w:bottom w:val="single" w:color="auto" w:sz="4" w:space="0"/>
            </w:tcBorders>
            <w:tcMar>
              <w:left w:w="0" w:type="dxa"/>
              <w:right w:w="43" w:type="dxa"/>
            </w:tcMar>
            <w:vAlign w:val="center"/>
          </w:tcPr>
          <w:p w:rsidRPr="009055A9" w:rsidR="000E31AA" w:rsidP="000E31AA" w:rsidRDefault="000E31AA" w14:paraId="7DAA3FB3" w14:textId="1AAC88DE">
            <w:pPr>
              <w:jc w:val="right"/>
              <w:rPr>
                <w:rFonts w:asciiTheme="minorHAnsi" w:hAnsiTheme="minorHAnsi" w:cstheme="minorHAnsi"/>
                <w:sz w:val="16"/>
                <w:szCs w:val="16"/>
              </w:rPr>
            </w:pPr>
            <w:r w:rsidRPr="009055A9">
              <w:rPr>
                <w:rFonts w:asciiTheme="minorHAnsi" w:hAnsiTheme="minorHAnsi" w:cstheme="minorHAnsi"/>
                <w:color w:val="000000"/>
                <w:sz w:val="16"/>
                <w:szCs w:val="16"/>
              </w:rPr>
              <w:t>34</w:t>
            </w:r>
          </w:p>
        </w:tc>
        <w:tc>
          <w:tcPr>
            <w:tcW w:w="173" w:type="pct"/>
            <w:tcBorders>
              <w:bottom w:val="single" w:color="auto" w:sz="4" w:space="0"/>
            </w:tcBorders>
            <w:tcMar>
              <w:left w:w="0" w:type="dxa"/>
              <w:right w:w="43" w:type="dxa"/>
            </w:tcMar>
            <w:vAlign w:val="center"/>
          </w:tcPr>
          <w:p w:rsidRPr="009055A9" w:rsidR="000E31AA" w:rsidP="000E31AA" w:rsidRDefault="000E31AA" w14:paraId="37B54DC2" w14:textId="680B5CD3">
            <w:pPr>
              <w:jc w:val="right"/>
              <w:rPr>
                <w:rFonts w:asciiTheme="minorHAnsi" w:hAnsiTheme="minorHAnsi" w:cstheme="minorHAnsi"/>
                <w:sz w:val="16"/>
                <w:szCs w:val="16"/>
              </w:rPr>
            </w:pPr>
            <w:r w:rsidRPr="009055A9">
              <w:rPr>
                <w:rFonts w:asciiTheme="minorHAnsi" w:hAnsiTheme="minorHAnsi" w:cstheme="minorHAnsi"/>
                <w:color w:val="000000"/>
                <w:sz w:val="16"/>
                <w:szCs w:val="16"/>
              </w:rPr>
              <w:t>4,098</w:t>
            </w:r>
          </w:p>
        </w:tc>
        <w:tc>
          <w:tcPr>
            <w:tcW w:w="146" w:type="pct"/>
            <w:tcBorders>
              <w:bottom w:val="single" w:color="auto" w:sz="4" w:space="0"/>
            </w:tcBorders>
            <w:tcMar>
              <w:left w:w="0" w:type="dxa"/>
              <w:right w:w="43" w:type="dxa"/>
            </w:tcMar>
            <w:vAlign w:val="center"/>
          </w:tcPr>
          <w:p w:rsidRPr="009055A9" w:rsidR="000E31AA" w:rsidP="000E31AA" w:rsidRDefault="000E31AA" w14:paraId="4A836C14" w14:textId="16F502FD">
            <w:pPr>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75" w:type="pct"/>
            <w:tcBorders>
              <w:bottom w:val="single" w:color="auto" w:sz="4" w:space="0"/>
            </w:tcBorders>
            <w:tcMar>
              <w:left w:w="0" w:type="dxa"/>
              <w:right w:w="43" w:type="dxa"/>
            </w:tcMar>
            <w:vAlign w:val="center"/>
          </w:tcPr>
          <w:p w:rsidRPr="009055A9" w:rsidR="000E31AA" w:rsidP="000E31AA" w:rsidRDefault="000E31AA" w14:paraId="40849702" w14:textId="508072CF">
            <w:pPr>
              <w:jc w:val="right"/>
              <w:rPr>
                <w:rFonts w:asciiTheme="minorHAnsi" w:hAnsiTheme="minorHAnsi" w:cstheme="minorHAnsi"/>
                <w:sz w:val="16"/>
                <w:szCs w:val="16"/>
              </w:rPr>
            </w:pPr>
            <w:r w:rsidRPr="009055A9">
              <w:rPr>
                <w:rFonts w:asciiTheme="minorHAnsi" w:hAnsiTheme="minorHAnsi" w:cstheme="minorHAnsi"/>
                <w:color w:val="000000"/>
                <w:sz w:val="16"/>
                <w:szCs w:val="16"/>
              </w:rPr>
              <w:t>3,484</w:t>
            </w:r>
          </w:p>
        </w:tc>
        <w:tc>
          <w:tcPr>
            <w:tcW w:w="149" w:type="pct"/>
            <w:tcBorders>
              <w:bottom w:val="single" w:color="auto" w:sz="4" w:space="0"/>
            </w:tcBorders>
            <w:tcMar>
              <w:left w:w="0" w:type="dxa"/>
              <w:right w:w="43" w:type="dxa"/>
            </w:tcMar>
            <w:vAlign w:val="center"/>
          </w:tcPr>
          <w:p w:rsidRPr="009055A9" w:rsidR="000E31AA" w:rsidP="000E31AA" w:rsidRDefault="000E31AA" w14:paraId="266D482D" w14:textId="6AC1534D">
            <w:pPr>
              <w:jc w:val="right"/>
              <w:rPr>
                <w:rFonts w:asciiTheme="minorHAnsi" w:hAnsiTheme="minorHAnsi" w:cstheme="minorHAnsi"/>
                <w:sz w:val="16"/>
                <w:szCs w:val="16"/>
              </w:rPr>
            </w:pPr>
            <w:r w:rsidRPr="009055A9">
              <w:rPr>
                <w:rFonts w:asciiTheme="minorHAnsi" w:hAnsiTheme="minorHAnsi" w:cstheme="minorHAnsi"/>
                <w:color w:val="000000"/>
                <w:sz w:val="16"/>
                <w:szCs w:val="16"/>
              </w:rPr>
              <w:t>25</w:t>
            </w:r>
          </w:p>
        </w:tc>
        <w:tc>
          <w:tcPr>
            <w:tcW w:w="197" w:type="pct"/>
            <w:tcBorders>
              <w:bottom w:val="single" w:color="auto" w:sz="4" w:space="0"/>
            </w:tcBorders>
            <w:tcMar>
              <w:left w:w="0" w:type="dxa"/>
              <w:right w:w="43" w:type="dxa"/>
            </w:tcMar>
            <w:vAlign w:val="center"/>
          </w:tcPr>
          <w:p w:rsidRPr="009055A9" w:rsidR="000E31AA" w:rsidP="000E31AA" w:rsidRDefault="000E31AA" w14:paraId="4C23F7C7" w14:textId="15A5A497">
            <w:pPr>
              <w:jc w:val="right"/>
              <w:rPr>
                <w:rFonts w:asciiTheme="minorHAnsi" w:hAnsiTheme="minorHAnsi" w:cstheme="minorHAnsi"/>
                <w:sz w:val="16"/>
                <w:szCs w:val="16"/>
              </w:rPr>
            </w:pPr>
            <w:r w:rsidRPr="009055A9">
              <w:rPr>
                <w:rFonts w:asciiTheme="minorHAnsi" w:hAnsiTheme="minorHAnsi" w:cstheme="minorHAnsi"/>
                <w:color w:val="000000"/>
                <w:sz w:val="16"/>
                <w:szCs w:val="16"/>
              </w:rPr>
              <w:t>3,432</w:t>
            </w:r>
          </w:p>
        </w:tc>
        <w:tc>
          <w:tcPr>
            <w:tcW w:w="148" w:type="pct"/>
            <w:tcBorders>
              <w:bottom w:val="single" w:color="auto" w:sz="4" w:space="0"/>
            </w:tcBorders>
            <w:tcMar>
              <w:left w:w="0" w:type="dxa"/>
              <w:right w:w="43" w:type="dxa"/>
            </w:tcMar>
            <w:vAlign w:val="center"/>
          </w:tcPr>
          <w:p w:rsidRPr="009055A9" w:rsidR="000E31AA" w:rsidP="000E31AA" w:rsidRDefault="000E31AA" w14:paraId="3E614E1A" w14:textId="0EA7F2C0">
            <w:pPr>
              <w:jc w:val="right"/>
              <w:rPr>
                <w:rFonts w:asciiTheme="minorHAnsi" w:hAnsiTheme="minorHAnsi" w:cstheme="minorHAnsi"/>
                <w:sz w:val="16"/>
                <w:szCs w:val="16"/>
              </w:rPr>
            </w:pPr>
            <w:r w:rsidRPr="009055A9">
              <w:rPr>
                <w:rFonts w:asciiTheme="minorHAnsi" w:hAnsiTheme="minorHAnsi" w:cstheme="minorHAnsi"/>
                <w:color w:val="000000"/>
                <w:sz w:val="16"/>
                <w:szCs w:val="16"/>
              </w:rPr>
              <w:t>20</w:t>
            </w:r>
          </w:p>
        </w:tc>
        <w:tc>
          <w:tcPr>
            <w:tcW w:w="196" w:type="pct"/>
            <w:tcBorders>
              <w:bottom w:val="single" w:color="auto" w:sz="4" w:space="0"/>
            </w:tcBorders>
            <w:tcMar>
              <w:left w:w="0" w:type="dxa"/>
              <w:right w:w="43" w:type="dxa"/>
            </w:tcMar>
            <w:vAlign w:val="center"/>
          </w:tcPr>
          <w:p w:rsidRPr="009055A9" w:rsidR="000E31AA" w:rsidP="000E31AA" w:rsidRDefault="000E31AA" w14:paraId="7B844104" w14:textId="5C186493">
            <w:pPr>
              <w:jc w:val="right"/>
              <w:rPr>
                <w:rFonts w:asciiTheme="minorHAnsi" w:hAnsiTheme="minorHAnsi" w:cstheme="minorHAnsi"/>
                <w:sz w:val="16"/>
                <w:szCs w:val="16"/>
              </w:rPr>
            </w:pPr>
            <w:r w:rsidRPr="009055A9">
              <w:rPr>
                <w:rFonts w:asciiTheme="minorHAnsi" w:hAnsiTheme="minorHAnsi" w:cstheme="minorHAnsi"/>
                <w:color w:val="000000"/>
                <w:sz w:val="16"/>
                <w:szCs w:val="16"/>
              </w:rPr>
              <w:t>3,567</w:t>
            </w:r>
          </w:p>
        </w:tc>
        <w:tc>
          <w:tcPr>
            <w:tcW w:w="143" w:type="pct"/>
            <w:tcBorders>
              <w:bottom w:val="single" w:color="auto" w:sz="4" w:space="0"/>
            </w:tcBorders>
            <w:tcMar>
              <w:left w:w="0" w:type="dxa"/>
              <w:right w:w="43" w:type="dxa"/>
            </w:tcMar>
            <w:vAlign w:val="center"/>
          </w:tcPr>
          <w:p w:rsidRPr="009055A9" w:rsidR="000E31AA" w:rsidP="000E31AA" w:rsidRDefault="000E31AA" w14:paraId="2ECE1556" w14:textId="2ED7376A">
            <w:pPr>
              <w:jc w:val="right"/>
              <w:rPr>
                <w:rFonts w:asciiTheme="minorHAnsi" w:hAnsiTheme="minorHAnsi" w:cstheme="minorHAnsi"/>
                <w:sz w:val="16"/>
                <w:szCs w:val="16"/>
              </w:rPr>
            </w:pPr>
            <w:r w:rsidRPr="009055A9">
              <w:rPr>
                <w:rFonts w:asciiTheme="minorHAnsi" w:hAnsiTheme="minorHAnsi" w:cstheme="minorHAnsi"/>
                <w:color w:val="000000"/>
                <w:sz w:val="16"/>
                <w:szCs w:val="16"/>
              </w:rPr>
              <w:t>22</w:t>
            </w:r>
          </w:p>
        </w:tc>
        <w:tc>
          <w:tcPr>
            <w:tcW w:w="178" w:type="pct"/>
            <w:tcBorders>
              <w:bottom w:val="single" w:color="auto" w:sz="4" w:space="0"/>
            </w:tcBorders>
            <w:shd w:val="clear" w:color="000000" w:fill="FFFFFF"/>
            <w:noWrap/>
            <w:tcMar>
              <w:left w:w="0" w:type="dxa"/>
              <w:right w:w="43" w:type="dxa"/>
            </w:tcMar>
            <w:vAlign w:val="center"/>
          </w:tcPr>
          <w:p w:rsidRPr="003148DB" w:rsidR="000E31AA" w:rsidP="000E31AA" w:rsidRDefault="000E31AA" w14:paraId="5AAC5B5D" w14:textId="525A7B67">
            <w:pPr>
              <w:jc w:val="right"/>
              <w:rPr>
                <w:rFonts w:asciiTheme="minorHAnsi" w:hAnsiTheme="minorHAnsi" w:cstheme="minorHAnsi"/>
                <w:sz w:val="16"/>
                <w:szCs w:val="16"/>
              </w:rPr>
            </w:pPr>
            <w:r w:rsidRPr="003148DB">
              <w:rPr>
                <w:rFonts w:asciiTheme="minorHAnsi" w:hAnsiTheme="minorHAnsi" w:cstheme="minorHAnsi"/>
                <w:color w:val="000000"/>
                <w:sz w:val="16"/>
                <w:szCs w:val="16"/>
              </w:rPr>
              <w:t>4,000</w:t>
            </w:r>
          </w:p>
        </w:tc>
        <w:tc>
          <w:tcPr>
            <w:tcW w:w="151" w:type="pct"/>
            <w:tcBorders>
              <w:bottom w:val="single" w:color="auto" w:sz="4" w:space="0"/>
            </w:tcBorders>
            <w:shd w:val="clear" w:color="000000" w:fill="FFFFFF"/>
            <w:noWrap/>
            <w:tcMar>
              <w:left w:w="0" w:type="dxa"/>
              <w:right w:w="43" w:type="dxa"/>
            </w:tcMar>
            <w:vAlign w:val="center"/>
          </w:tcPr>
          <w:p w:rsidRPr="003148DB" w:rsidR="000E31AA" w:rsidP="000E31AA" w:rsidRDefault="000E31AA" w14:paraId="2139DC26" w14:textId="743D0DD5">
            <w:pPr>
              <w:jc w:val="right"/>
              <w:rPr>
                <w:rFonts w:asciiTheme="minorHAnsi" w:hAnsiTheme="minorHAnsi" w:cstheme="minorHAnsi"/>
                <w:sz w:val="16"/>
                <w:szCs w:val="16"/>
              </w:rPr>
            </w:pPr>
            <w:r w:rsidRPr="003148DB">
              <w:rPr>
                <w:rFonts w:asciiTheme="minorHAnsi" w:hAnsiTheme="minorHAnsi" w:cstheme="minorHAnsi"/>
                <w:color w:val="000000"/>
                <w:sz w:val="16"/>
                <w:szCs w:val="16"/>
              </w:rPr>
              <w:t>25.7</w:t>
            </w:r>
          </w:p>
        </w:tc>
      </w:tr>
      <w:tr w:rsidRPr="003148DB" w:rsidR="000D41FC" w:rsidTr="000D41FC" w14:paraId="42A027F9" w14:textId="77777777">
        <w:trPr>
          <w:trHeight w:val="323"/>
        </w:trPr>
        <w:tc>
          <w:tcPr>
            <w:tcW w:w="268" w:type="pct"/>
            <w:shd w:val="clear" w:color="auto" w:fill="auto"/>
            <w:noWrap/>
            <w:tcMar>
              <w:left w:w="58" w:type="dxa"/>
              <w:right w:w="58" w:type="dxa"/>
            </w:tcMar>
            <w:vAlign w:val="center"/>
            <w:hideMark/>
          </w:tcPr>
          <w:p w:rsidRPr="00F24AA8" w:rsidR="000E31AA" w:rsidP="000E31AA" w:rsidRDefault="000E31AA" w14:paraId="1F7B335D" w14:textId="557DB5F9">
            <w:pPr>
              <w:rPr>
                <w:rFonts w:asciiTheme="minorHAnsi" w:hAnsiTheme="minorHAnsi" w:cstheme="minorHAnsi"/>
                <w:sz w:val="16"/>
                <w:szCs w:val="16"/>
              </w:rPr>
            </w:pPr>
            <w:r w:rsidRPr="00F24AA8">
              <w:rPr>
                <w:rFonts w:asciiTheme="minorHAnsi" w:hAnsiTheme="minorHAnsi" w:cstheme="minorHAnsi"/>
                <w:sz w:val="16"/>
                <w:szCs w:val="16"/>
              </w:rPr>
              <w:t>Reactor - Construction</w:t>
            </w:r>
          </w:p>
        </w:tc>
        <w:tc>
          <w:tcPr>
            <w:tcW w:w="493" w:type="pct"/>
            <w:shd w:val="clear" w:color="auto" w:fill="auto"/>
            <w:noWrap/>
            <w:tcMar>
              <w:left w:w="58" w:type="dxa"/>
              <w:right w:w="29" w:type="dxa"/>
            </w:tcMar>
            <w:vAlign w:val="center"/>
            <w:hideMark/>
          </w:tcPr>
          <w:p w:rsidRPr="00F24AA8" w:rsidR="000E31AA" w:rsidP="000E31AA" w:rsidRDefault="000E31AA" w14:paraId="546E3041" w14:textId="1FE0BFC0">
            <w:pPr>
              <w:rPr>
                <w:rFonts w:asciiTheme="minorHAnsi" w:hAnsiTheme="minorHAnsi" w:cstheme="minorHAnsi"/>
                <w:sz w:val="16"/>
                <w:szCs w:val="16"/>
              </w:rPr>
            </w:pPr>
            <w:r w:rsidRPr="00F24AA8">
              <w:rPr>
                <w:rFonts w:asciiTheme="minorHAnsi" w:hAnsiTheme="minorHAnsi" w:cstheme="minorHAnsi"/>
                <w:color w:val="000000"/>
                <w:sz w:val="16"/>
                <w:szCs w:val="16"/>
              </w:rPr>
              <w:t>Southern Nuclear</w:t>
            </w:r>
          </w:p>
        </w:tc>
        <w:tc>
          <w:tcPr>
            <w:tcW w:w="321" w:type="pct"/>
            <w:shd w:val="clear" w:color="auto" w:fill="auto"/>
            <w:noWrap/>
            <w:tcMar>
              <w:left w:w="58" w:type="dxa"/>
              <w:right w:w="29" w:type="dxa"/>
            </w:tcMar>
            <w:vAlign w:val="center"/>
            <w:hideMark/>
          </w:tcPr>
          <w:p w:rsidRPr="00F24AA8" w:rsidR="000E31AA" w:rsidP="000E31AA" w:rsidRDefault="000E31AA" w14:paraId="223E13AB" w14:textId="59E315CA">
            <w:pPr>
              <w:rPr>
                <w:rFonts w:asciiTheme="minorHAnsi" w:hAnsiTheme="minorHAnsi" w:cstheme="minorHAnsi"/>
                <w:sz w:val="16"/>
                <w:szCs w:val="16"/>
              </w:rPr>
            </w:pPr>
            <w:r w:rsidRPr="00F24AA8">
              <w:rPr>
                <w:rFonts w:asciiTheme="minorHAnsi" w:hAnsiTheme="minorHAnsi" w:cstheme="minorHAnsi"/>
                <w:sz w:val="16"/>
                <w:szCs w:val="16"/>
              </w:rPr>
              <w:t>Vogtle 3 &amp; 4</w:t>
            </w:r>
          </w:p>
        </w:tc>
        <w:tc>
          <w:tcPr>
            <w:tcW w:w="123" w:type="pct"/>
            <w:shd w:val="clear" w:color="auto" w:fill="auto"/>
            <w:noWrap/>
            <w:tcMar>
              <w:left w:w="58" w:type="dxa"/>
              <w:right w:w="58" w:type="dxa"/>
            </w:tcMar>
            <w:vAlign w:val="center"/>
            <w:hideMark/>
          </w:tcPr>
          <w:p w:rsidRPr="00F24AA8" w:rsidR="000E31AA" w:rsidP="000E31AA" w:rsidRDefault="000E31AA" w14:paraId="428549BC" w14:textId="2C189477">
            <w:pPr>
              <w:jc w:val="center"/>
              <w:rPr>
                <w:rFonts w:asciiTheme="minorHAnsi" w:hAnsiTheme="minorHAnsi" w:cstheme="minorHAnsi"/>
                <w:sz w:val="16"/>
                <w:szCs w:val="16"/>
              </w:rPr>
            </w:pPr>
            <w:r w:rsidRPr="00F24AA8">
              <w:rPr>
                <w:rFonts w:asciiTheme="minorHAnsi" w:hAnsiTheme="minorHAnsi" w:cstheme="minorHAnsi"/>
                <w:color w:val="000000"/>
                <w:sz w:val="16"/>
                <w:szCs w:val="16"/>
              </w:rPr>
              <w:t>2</w:t>
            </w:r>
          </w:p>
        </w:tc>
        <w:tc>
          <w:tcPr>
            <w:tcW w:w="173" w:type="pct"/>
            <w:shd w:val="clear" w:color="auto" w:fill="auto"/>
            <w:noWrap/>
            <w:tcMar>
              <w:left w:w="0" w:type="dxa"/>
              <w:right w:w="43" w:type="dxa"/>
            </w:tcMar>
            <w:vAlign w:val="center"/>
            <w:hideMark/>
          </w:tcPr>
          <w:p w:rsidRPr="00F24AA8" w:rsidR="000E31AA" w:rsidP="000E31AA" w:rsidRDefault="000E31AA" w14:paraId="0E6A7722" w14:textId="334690A5">
            <w:pPr>
              <w:jc w:val="right"/>
              <w:rPr>
                <w:rFonts w:asciiTheme="minorHAnsi" w:hAnsiTheme="minorHAnsi" w:cstheme="minorHAnsi"/>
                <w:sz w:val="16"/>
                <w:szCs w:val="16"/>
              </w:rPr>
            </w:pPr>
            <w:r w:rsidRPr="00F24AA8">
              <w:rPr>
                <w:rFonts w:asciiTheme="minorHAnsi" w:hAnsiTheme="minorHAnsi" w:cstheme="minorHAnsi"/>
                <w:color w:val="000000"/>
                <w:sz w:val="16"/>
                <w:szCs w:val="16"/>
              </w:rPr>
              <w:t>47</w:t>
            </w:r>
          </w:p>
        </w:tc>
        <w:tc>
          <w:tcPr>
            <w:tcW w:w="123" w:type="pct"/>
            <w:shd w:val="clear" w:color="auto" w:fill="auto"/>
            <w:noWrap/>
            <w:tcMar>
              <w:left w:w="0" w:type="dxa"/>
              <w:right w:w="43" w:type="dxa"/>
            </w:tcMar>
            <w:vAlign w:val="center"/>
            <w:hideMark/>
          </w:tcPr>
          <w:p w:rsidRPr="00F24AA8" w:rsidR="000E31AA" w:rsidP="000E31AA" w:rsidRDefault="000E31AA" w14:paraId="256911EB" w14:textId="537A626F">
            <w:pPr>
              <w:jc w:val="right"/>
              <w:rPr>
                <w:rFonts w:asciiTheme="minorHAnsi" w:hAnsiTheme="minorHAnsi" w:cstheme="minorHAnsi"/>
                <w:sz w:val="16"/>
                <w:szCs w:val="16"/>
              </w:rPr>
            </w:pPr>
            <w:r w:rsidRPr="00F24AA8">
              <w:rPr>
                <w:rFonts w:asciiTheme="minorHAnsi" w:hAnsiTheme="minorHAnsi" w:cstheme="minorHAnsi"/>
                <w:color w:val="000000"/>
                <w:sz w:val="16"/>
                <w:szCs w:val="16"/>
              </w:rPr>
              <w:t>0</w:t>
            </w:r>
          </w:p>
        </w:tc>
        <w:tc>
          <w:tcPr>
            <w:tcW w:w="170" w:type="pct"/>
            <w:shd w:val="clear" w:color="auto" w:fill="auto"/>
            <w:noWrap/>
            <w:tcMar>
              <w:left w:w="0" w:type="dxa"/>
              <w:right w:w="43" w:type="dxa"/>
            </w:tcMar>
            <w:vAlign w:val="center"/>
            <w:hideMark/>
          </w:tcPr>
          <w:p w:rsidRPr="00F24AA8" w:rsidR="000E31AA" w:rsidP="000E31AA" w:rsidRDefault="000E31AA" w14:paraId="4AE1318C" w14:textId="5B70BA99">
            <w:pPr>
              <w:jc w:val="right"/>
              <w:rPr>
                <w:rFonts w:asciiTheme="minorHAnsi" w:hAnsiTheme="minorHAnsi" w:cstheme="minorHAnsi"/>
                <w:sz w:val="16"/>
                <w:szCs w:val="16"/>
              </w:rPr>
            </w:pPr>
            <w:r w:rsidRPr="00F24AA8">
              <w:rPr>
                <w:rFonts w:asciiTheme="minorHAnsi" w:hAnsiTheme="minorHAnsi" w:cstheme="minorHAnsi"/>
                <w:color w:val="000000"/>
                <w:sz w:val="16"/>
                <w:szCs w:val="16"/>
              </w:rPr>
              <w:t>3,277</w:t>
            </w:r>
          </w:p>
        </w:tc>
        <w:tc>
          <w:tcPr>
            <w:tcW w:w="125" w:type="pct"/>
            <w:shd w:val="clear" w:color="auto" w:fill="auto"/>
            <w:noWrap/>
            <w:tcMar>
              <w:left w:w="0" w:type="dxa"/>
              <w:right w:w="43" w:type="dxa"/>
            </w:tcMar>
            <w:vAlign w:val="center"/>
            <w:hideMark/>
          </w:tcPr>
          <w:p w:rsidRPr="00F24AA8" w:rsidR="000E31AA" w:rsidP="000E31AA" w:rsidRDefault="000E31AA" w14:paraId="3C36A525" w14:textId="123DCD1D">
            <w:pPr>
              <w:jc w:val="right"/>
              <w:rPr>
                <w:rFonts w:asciiTheme="minorHAnsi" w:hAnsiTheme="minorHAnsi" w:cstheme="minorHAnsi"/>
                <w:sz w:val="16"/>
                <w:szCs w:val="16"/>
              </w:rPr>
            </w:pPr>
            <w:r w:rsidRPr="00F24AA8">
              <w:rPr>
                <w:rFonts w:asciiTheme="minorHAnsi" w:hAnsiTheme="minorHAnsi" w:cstheme="minorHAnsi"/>
                <w:color w:val="000000"/>
                <w:sz w:val="16"/>
                <w:szCs w:val="16"/>
              </w:rPr>
              <w:t>56</w:t>
            </w:r>
          </w:p>
        </w:tc>
        <w:tc>
          <w:tcPr>
            <w:tcW w:w="172" w:type="pct"/>
            <w:shd w:val="clear" w:color="auto" w:fill="auto"/>
            <w:noWrap/>
            <w:tcMar>
              <w:left w:w="0" w:type="dxa"/>
              <w:right w:w="43" w:type="dxa"/>
            </w:tcMar>
            <w:vAlign w:val="center"/>
            <w:hideMark/>
          </w:tcPr>
          <w:p w:rsidRPr="00F24AA8" w:rsidR="000E31AA" w:rsidP="000E31AA" w:rsidRDefault="000E31AA" w14:paraId="176A5BC1" w14:textId="61D3A87F">
            <w:pPr>
              <w:jc w:val="right"/>
              <w:rPr>
                <w:rFonts w:asciiTheme="minorHAnsi" w:hAnsiTheme="minorHAnsi" w:cstheme="minorHAnsi"/>
                <w:sz w:val="16"/>
                <w:szCs w:val="16"/>
              </w:rPr>
            </w:pPr>
            <w:r w:rsidRPr="00F24AA8">
              <w:rPr>
                <w:rFonts w:asciiTheme="minorHAnsi" w:hAnsiTheme="minorHAnsi" w:cstheme="minorHAnsi"/>
                <w:color w:val="000000"/>
                <w:sz w:val="16"/>
                <w:szCs w:val="16"/>
              </w:rPr>
              <w:t>3,933</w:t>
            </w:r>
          </w:p>
        </w:tc>
        <w:tc>
          <w:tcPr>
            <w:tcW w:w="123" w:type="pct"/>
            <w:shd w:val="clear" w:color="auto" w:fill="auto"/>
            <w:noWrap/>
            <w:tcMar>
              <w:left w:w="0" w:type="dxa"/>
              <w:right w:w="43" w:type="dxa"/>
            </w:tcMar>
            <w:vAlign w:val="center"/>
            <w:hideMark/>
          </w:tcPr>
          <w:p w:rsidRPr="00F24AA8" w:rsidR="000E31AA" w:rsidP="000E31AA" w:rsidRDefault="000E31AA" w14:paraId="664EB063" w14:textId="1DA2D3A1">
            <w:pPr>
              <w:jc w:val="right"/>
              <w:rPr>
                <w:rFonts w:asciiTheme="minorHAnsi" w:hAnsiTheme="minorHAnsi" w:cstheme="minorHAnsi"/>
                <w:sz w:val="16"/>
                <w:szCs w:val="16"/>
              </w:rPr>
            </w:pPr>
            <w:r w:rsidRPr="00F24AA8">
              <w:rPr>
                <w:rFonts w:asciiTheme="minorHAnsi" w:hAnsiTheme="minorHAnsi" w:cstheme="minorHAnsi"/>
                <w:color w:val="000000"/>
                <w:sz w:val="16"/>
                <w:szCs w:val="16"/>
              </w:rPr>
              <w:t>80</w:t>
            </w:r>
          </w:p>
        </w:tc>
        <w:tc>
          <w:tcPr>
            <w:tcW w:w="194" w:type="pct"/>
            <w:shd w:val="clear" w:color="auto" w:fill="auto"/>
            <w:noWrap/>
            <w:tcMar>
              <w:left w:w="0" w:type="dxa"/>
              <w:right w:w="43" w:type="dxa"/>
            </w:tcMar>
            <w:vAlign w:val="center"/>
            <w:hideMark/>
          </w:tcPr>
          <w:p w:rsidRPr="00F24AA8" w:rsidR="000E31AA" w:rsidP="000E31AA" w:rsidRDefault="000E31AA" w14:paraId="73D1A56C" w14:textId="5968C609">
            <w:pPr>
              <w:jc w:val="right"/>
              <w:rPr>
                <w:rFonts w:asciiTheme="minorHAnsi" w:hAnsiTheme="minorHAnsi" w:cstheme="minorHAnsi"/>
                <w:sz w:val="16"/>
                <w:szCs w:val="16"/>
              </w:rPr>
            </w:pPr>
            <w:r w:rsidRPr="00F24AA8">
              <w:rPr>
                <w:rFonts w:asciiTheme="minorHAnsi" w:hAnsiTheme="minorHAnsi" w:cstheme="minorHAnsi"/>
                <w:color w:val="000000"/>
                <w:sz w:val="16"/>
                <w:szCs w:val="16"/>
              </w:rPr>
              <w:t>5,440</w:t>
            </w:r>
          </w:p>
        </w:tc>
        <w:tc>
          <w:tcPr>
            <w:tcW w:w="123" w:type="pct"/>
            <w:shd w:val="clear" w:color="auto" w:fill="auto"/>
            <w:noWrap/>
            <w:tcMar>
              <w:left w:w="0" w:type="dxa"/>
              <w:right w:w="43" w:type="dxa"/>
            </w:tcMar>
            <w:vAlign w:val="center"/>
            <w:hideMark/>
          </w:tcPr>
          <w:p w:rsidRPr="00F24AA8" w:rsidR="000E31AA" w:rsidP="000E31AA" w:rsidRDefault="000E31AA" w14:paraId="4CC409CF" w14:textId="53CF6EBD">
            <w:pPr>
              <w:jc w:val="right"/>
              <w:rPr>
                <w:rFonts w:asciiTheme="minorHAnsi" w:hAnsiTheme="minorHAnsi" w:cstheme="minorHAnsi"/>
                <w:sz w:val="16"/>
                <w:szCs w:val="16"/>
              </w:rPr>
            </w:pPr>
            <w:r w:rsidRPr="00F24AA8">
              <w:rPr>
                <w:rFonts w:asciiTheme="minorHAnsi" w:hAnsiTheme="minorHAnsi" w:cstheme="minorHAnsi"/>
                <w:color w:val="000000"/>
                <w:sz w:val="16"/>
                <w:szCs w:val="16"/>
              </w:rPr>
              <w:t>101</w:t>
            </w:r>
          </w:p>
        </w:tc>
        <w:tc>
          <w:tcPr>
            <w:tcW w:w="197" w:type="pct"/>
            <w:shd w:val="clear" w:color="auto" w:fill="auto"/>
            <w:noWrap/>
            <w:tcMar>
              <w:left w:w="0" w:type="dxa"/>
              <w:right w:w="43" w:type="dxa"/>
            </w:tcMar>
            <w:vAlign w:val="center"/>
            <w:hideMark/>
          </w:tcPr>
          <w:p w:rsidRPr="00F24AA8" w:rsidR="000E31AA" w:rsidP="000E31AA" w:rsidRDefault="000E31AA" w14:paraId="17B9217E" w14:textId="19659D89">
            <w:pPr>
              <w:jc w:val="right"/>
              <w:rPr>
                <w:rFonts w:asciiTheme="minorHAnsi" w:hAnsiTheme="minorHAnsi" w:cstheme="minorHAnsi"/>
                <w:sz w:val="16"/>
                <w:szCs w:val="16"/>
              </w:rPr>
            </w:pPr>
            <w:r w:rsidRPr="00F24AA8">
              <w:rPr>
                <w:rFonts w:asciiTheme="minorHAnsi" w:hAnsiTheme="minorHAnsi" w:cstheme="minorHAnsi"/>
                <w:color w:val="000000"/>
                <w:sz w:val="16"/>
                <w:szCs w:val="16"/>
              </w:rPr>
              <w:t>5,862</w:t>
            </w:r>
          </w:p>
        </w:tc>
        <w:tc>
          <w:tcPr>
            <w:tcW w:w="125" w:type="pct"/>
            <w:shd w:val="clear" w:color="auto" w:fill="auto"/>
            <w:noWrap/>
            <w:tcMar>
              <w:left w:w="0" w:type="dxa"/>
              <w:right w:w="43" w:type="dxa"/>
            </w:tcMar>
            <w:vAlign w:val="center"/>
            <w:hideMark/>
          </w:tcPr>
          <w:p w:rsidRPr="00F24AA8" w:rsidR="000E31AA" w:rsidP="000E31AA" w:rsidRDefault="000E31AA" w14:paraId="3446A9B4" w14:textId="0219C2D5">
            <w:pPr>
              <w:jc w:val="right"/>
              <w:rPr>
                <w:rFonts w:asciiTheme="minorHAnsi" w:hAnsiTheme="minorHAnsi" w:cstheme="minorHAnsi"/>
                <w:sz w:val="16"/>
                <w:szCs w:val="16"/>
              </w:rPr>
            </w:pPr>
            <w:r w:rsidRPr="00F24AA8">
              <w:rPr>
                <w:rFonts w:asciiTheme="minorHAnsi" w:hAnsiTheme="minorHAnsi" w:cstheme="minorHAnsi"/>
                <w:color w:val="000000"/>
                <w:sz w:val="16"/>
                <w:szCs w:val="16"/>
              </w:rPr>
              <w:t>98</w:t>
            </w:r>
          </w:p>
        </w:tc>
        <w:tc>
          <w:tcPr>
            <w:tcW w:w="170" w:type="pct"/>
            <w:shd w:val="clear" w:color="auto" w:fill="auto"/>
            <w:noWrap/>
            <w:tcMar>
              <w:left w:w="0" w:type="dxa"/>
              <w:right w:w="43" w:type="dxa"/>
            </w:tcMar>
            <w:vAlign w:val="center"/>
            <w:hideMark/>
          </w:tcPr>
          <w:p w:rsidRPr="00F24AA8" w:rsidR="000E31AA" w:rsidP="000E31AA" w:rsidRDefault="000E31AA" w14:paraId="15E92A72" w14:textId="026719F2">
            <w:pPr>
              <w:jc w:val="right"/>
              <w:rPr>
                <w:rFonts w:asciiTheme="minorHAnsi" w:hAnsiTheme="minorHAnsi" w:cstheme="minorHAnsi"/>
                <w:sz w:val="16"/>
                <w:szCs w:val="16"/>
              </w:rPr>
            </w:pPr>
            <w:r w:rsidRPr="00F24AA8">
              <w:rPr>
                <w:rFonts w:asciiTheme="minorHAnsi" w:hAnsiTheme="minorHAnsi" w:cstheme="minorHAnsi"/>
                <w:color w:val="000000"/>
                <w:sz w:val="16"/>
                <w:szCs w:val="16"/>
              </w:rPr>
              <w:t>9,055</w:t>
            </w:r>
          </w:p>
        </w:tc>
        <w:tc>
          <w:tcPr>
            <w:tcW w:w="148" w:type="pct"/>
            <w:shd w:val="clear" w:color="auto" w:fill="auto"/>
            <w:noWrap/>
            <w:tcMar>
              <w:left w:w="0" w:type="dxa"/>
              <w:right w:w="43" w:type="dxa"/>
            </w:tcMar>
            <w:vAlign w:val="center"/>
            <w:hideMark/>
          </w:tcPr>
          <w:p w:rsidRPr="00F24AA8" w:rsidR="000E31AA" w:rsidP="000E31AA" w:rsidRDefault="000E31AA" w14:paraId="2D0E18E7" w14:textId="652B6A34">
            <w:pPr>
              <w:jc w:val="right"/>
              <w:rPr>
                <w:rFonts w:asciiTheme="minorHAnsi" w:hAnsiTheme="minorHAnsi" w:cstheme="minorHAnsi"/>
                <w:sz w:val="16"/>
                <w:szCs w:val="16"/>
              </w:rPr>
            </w:pPr>
            <w:r w:rsidRPr="00F24AA8">
              <w:rPr>
                <w:rFonts w:asciiTheme="minorHAnsi" w:hAnsiTheme="minorHAnsi" w:cstheme="minorHAnsi"/>
                <w:color w:val="000000"/>
                <w:sz w:val="16"/>
                <w:szCs w:val="16"/>
              </w:rPr>
              <w:t>168</w:t>
            </w:r>
          </w:p>
        </w:tc>
        <w:tc>
          <w:tcPr>
            <w:tcW w:w="172" w:type="pct"/>
            <w:shd w:val="clear" w:color="auto" w:fill="auto"/>
            <w:tcMar>
              <w:left w:w="0" w:type="dxa"/>
              <w:right w:w="43" w:type="dxa"/>
            </w:tcMar>
            <w:vAlign w:val="center"/>
          </w:tcPr>
          <w:p w:rsidRPr="00F24AA8" w:rsidR="000E31AA" w:rsidP="00231315" w:rsidRDefault="000E31AA" w14:paraId="4CF3F890" w14:textId="4D96339E">
            <w:pPr>
              <w:jc w:val="right"/>
              <w:rPr>
                <w:rFonts w:asciiTheme="minorHAnsi" w:hAnsiTheme="minorHAnsi" w:cstheme="minorHAnsi"/>
                <w:sz w:val="16"/>
                <w:szCs w:val="16"/>
              </w:rPr>
            </w:pPr>
            <w:r w:rsidRPr="00F24AA8">
              <w:rPr>
                <w:rFonts w:asciiTheme="minorHAnsi" w:hAnsiTheme="minorHAnsi" w:cstheme="minorHAnsi"/>
                <w:color w:val="000000"/>
                <w:sz w:val="16"/>
                <w:szCs w:val="16"/>
              </w:rPr>
              <w:t>7,833</w:t>
            </w:r>
          </w:p>
        </w:tc>
        <w:tc>
          <w:tcPr>
            <w:tcW w:w="124" w:type="pct"/>
            <w:shd w:val="clear" w:color="auto" w:fill="auto"/>
            <w:tcMar>
              <w:left w:w="0" w:type="dxa"/>
              <w:right w:w="43" w:type="dxa"/>
            </w:tcMar>
            <w:vAlign w:val="center"/>
          </w:tcPr>
          <w:p w:rsidRPr="00F24AA8" w:rsidR="000E31AA" w:rsidP="00231315" w:rsidRDefault="000E31AA" w14:paraId="5CE2326C" w14:textId="16470F5D">
            <w:pPr>
              <w:jc w:val="right"/>
              <w:rPr>
                <w:rFonts w:asciiTheme="minorHAnsi" w:hAnsiTheme="minorHAnsi" w:cstheme="minorHAnsi"/>
                <w:sz w:val="16"/>
                <w:szCs w:val="16"/>
              </w:rPr>
            </w:pPr>
            <w:r w:rsidRPr="00F24AA8">
              <w:rPr>
                <w:rFonts w:asciiTheme="minorHAnsi" w:hAnsiTheme="minorHAnsi" w:cstheme="minorHAnsi"/>
                <w:color w:val="000000"/>
                <w:sz w:val="16"/>
                <w:szCs w:val="16"/>
              </w:rPr>
              <w:t>149</w:t>
            </w:r>
          </w:p>
        </w:tc>
        <w:tc>
          <w:tcPr>
            <w:tcW w:w="173" w:type="pct"/>
            <w:shd w:val="clear" w:color="auto" w:fill="auto"/>
            <w:tcMar>
              <w:left w:w="0" w:type="dxa"/>
              <w:right w:w="43" w:type="dxa"/>
            </w:tcMar>
            <w:vAlign w:val="center"/>
          </w:tcPr>
          <w:p w:rsidRPr="00F24AA8" w:rsidR="000E31AA" w:rsidP="000E31AA" w:rsidRDefault="000E31AA" w14:paraId="330F6519" w14:textId="3F2529E4">
            <w:pPr>
              <w:jc w:val="right"/>
              <w:rPr>
                <w:rFonts w:asciiTheme="minorHAnsi" w:hAnsiTheme="minorHAnsi" w:cstheme="minorHAnsi"/>
                <w:sz w:val="16"/>
                <w:szCs w:val="16"/>
              </w:rPr>
            </w:pPr>
            <w:r w:rsidRPr="00F24AA8">
              <w:rPr>
                <w:rFonts w:asciiTheme="minorHAnsi" w:hAnsiTheme="minorHAnsi" w:cstheme="minorHAnsi"/>
                <w:color w:val="000000"/>
                <w:sz w:val="16"/>
                <w:szCs w:val="16"/>
              </w:rPr>
              <w:t>12,079</w:t>
            </w:r>
          </w:p>
        </w:tc>
        <w:tc>
          <w:tcPr>
            <w:tcW w:w="146" w:type="pct"/>
            <w:shd w:val="clear" w:color="auto" w:fill="auto"/>
            <w:tcMar>
              <w:left w:w="0" w:type="dxa"/>
              <w:right w:w="43" w:type="dxa"/>
            </w:tcMar>
            <w:vAlign w:val="center"/>
          </w:tcPr>
          <w:p w:rsidRPr="00F24AA8" w:rsidR="000E31AA" w:rsidP="000E31AA" w:rsidRDefault="000E31AA" w14:paraId="00051B11" w14:textId="0FC4F822">
            <w:pPr>
              <w:jc w:val="right"/>
              <w:rPr>
                <w:rFonts w:asciiTheme="minorHAnsi" w:hAnsiTheme="minorHAnsi" w:cstheme="minorHAnsi"/>
                <w:sz w:val="16"/>
                <w:szCs w:val="16"/>
              </w:rPr>
            </w:pPr>
            <w:r w:rsidRPr="00F24AA8">
              <w:rPr>
                <w:rFonts w:asciiTheme="minorHAnsi" w:hAnsiTheme="minorHAnsi" w:cstheme="minorHAnsi"/>
                <w:color w:val="000000"/>
                <w:sz w:val="16"/>
                <w:szCs w:val="16"/>
              </w:rPr>
              <w:t>228</w:t>
            </w:r>
          </w:p>
        </w:tc>
        <w:tc>
          <w:tcPr>
            <w:tcW w:w="175" w:type="pct"/>
            <w:shd w:val="clear" w:color="auto" w:fill="auto"/>
            <w:tcMar>
              <w:left w:w="0" w:type="dxa"/>
              <w:right w:w="43" w:type="dxa"/>
            </w:tcMar>
            <w:vAlign w:val="center"/>
          </w:tcPr>
          <w:p w:rsidRPr="00F24AA8" w:rsidR="000E31AA" w:rsidP="000E31AA" w:rsidRDefault="000E31AA" w14:paraId="45D28687" w14:textId="126FDDD6">
            <w:pPr>
              <w:jc w:val="right"/>
              <w:rPr>
                <w:rFonts w:asciiTheme="minorHAnsi" w:hAnsiTheme="minorHAnsi" w:cstheme="minorHAnsi"/>
                <w:sz w:val="16"/>
                <w:szCs w:val="16"/>
              </w:rPr>
            </w:pPr>
            <w:r w:rsidRPr="00F24AA8">
              <w:rPr>
                <w:rFonts w:asciiTheme="minorHAnsi" w:hAnsiTheme="minorHAnsi" w:cstheme="minorHAnsi"/>
                <w:color w:val="000000"/>
                <w:sz w:val="16"/>
                <w:szCs w:val="16"/>
              </w:rPr>
              <w:t>12,256</w:t>
            </w:r>
          </w:p>
        </w:tc>
        <w:tc>
          <w:tcPr>
            <w:tcW w:w="149" w:type="pct"/>
            <w:shd w:val="clear" w:color="auto" w:fill="auto"/>
            <w:tcMar>
              <w:left w:w="0" w:type="dxa"/>
              <w:right w:w="43" w:type="dxa"/>
            </w:tcMar>
            <w:vAlign w:val="center"/>
          </w:tcPr>
          <w:p w:rsidRPr="00F24AA8" w:rsidR="000E31AA" w:rsidP="000E31AA" w:rsidRDefault="000E31AA" w14:paraId="30DED592" w14:textId="689E1808">
            <w:pPr>
              <w:jc w:val="right"/>
              <w:rPr>
                <w:rFonts w:asciiTheme="minorHAnsi" w:hAnsiTheme="minorHAnsi" w:cstheme="minorHAnsi"/>
                <w:sz w:val="16"/>
                <w:szCs w:val="16"/>
              </w:rPr>
            </w:pPr>
            <w:r w:rsidRPr="00F24AA8">
              <w:rPr>
                <w:rFonts w:asciiTheme="minorHAnsi" w:hAnsiTheme="minorHAnsi" w:cstheme="minorHAnsi"/>
                <w:color w:val="000000"/>
                <w:sz w:val="16"/>
                <w:szCs w:val="16"/>
              </w:rPr>
              <w:t>247</w:t>
            </w:r>
          </w:p>
        </w:tc>
        <w:tc>
          <w:tcPr>
            <w:tcW w:w="197" w:type="pct"/>
            <w:shd w:val="clear" w:color="auto" w:fill="auto"/>
            <w:tcMar>
              <w:left w:w="0" w:type="dxa"/>
              <w:right w:w="43" w:type="dxa"/>
            </w:tcMar>
            <w:vAlign w:val="center"/>
          </w:tcPr>
          <w:p w:rsidRPr="00F24AA8" w:rsidR="000E31AA" w:rsidP="000E31AA" w:rsidRDefault="000E31AA" w14:paraId="2D755EB2" w14:textId="140CDB14">
            <w:pPr>
              <w:jc w:val="right"/>
              <w:rPr>
                <w:rFonts w:asciiTheme="minorHAnsi" w:hAnsiTheme="minorHAnsi" w:cstheme="minorHAnsi"/>
                <w:sz w:val="16"/>
                <w:szCs w:val="16"/>
              </w:rPr>
            </w:pPr>
            <w:r w:rsidRPr="00F24AA8">
              <w:rPr>
                <w:rFonts w:asciiTheme="minorHAnsi" w:hAnsiTheme="minorHAnsi" w:cstheme="minorHAnsi"/>
                <w:color w:val="000000"/>
                <w:sz w:val="16"/>
                <w:szCs w:val="16"/>
              </w:rPr>
              <w:t>15,829</w:t>
            </w:r>
          </w:p>
        </w:tc>
        <w:tc>
          <w:tcPr>
            <w:tcW w:w="148" w:type="pct"/>
            <w:shd w:val="clear" w:color="auto" w:fill="auto"/>
            <w:tcMar>
              <w:left w:w="0" w:type="dxa"/>
              <w:right w:w="43" w:type="dxa"/>
            </w:tcMar>
            <w:vAlign w:val="center"/>
          </w:tcPr>
          <w:p w:rsidRPr="00F24AA8" w:rsidR="000E31AA" w:rsidP="000E31AA" w:rsidRDefault="000E31AA" w14:paraId="61BCDE02" w14:textId="4C3D3E85">
            <w:pPr>
              <w:jc w:val="right"/>
              <w:rPr>
                <w:rFonts w:asciiTheme="minorHAnsi" w:hAnsiTheme="minorHAnsi" w:cstheme="minorHAnsi"/>
                <w:sz w:val="16"/>
                <w:szCs w:val="16"/>
              </w:rPr>
            </w:pPr>
            <w:r w:rsidRPr="00F24AA8">
              <w:rPr>
                <w:rFonts w:asciiTheme="minorHAnsi" w:hAnsiTheme="minorHAnsi" w:cstheme="minorHAnsi"/>
                <w:color w:val="000000"/>
                <w:sz w:val="16"/>
                <w:szCs w:val="16"/>
              </w:rPr>
              <w:t>344</w:t>
            </w:r>
          </w:p>
        </w:tc>
        <w:tc>
          <w:tcPr>
            <w:tcW w:w="196" w:type="pct"/>
            <w:shd w:val="clear" w:color="auto" w:fill="auto"/>
            <w:tcMar>
              <w:left w:w="0" w:type="dxa"/>
              <w:right w:w="43" w:type="dxa"/>
            </w:tcMar>
            <w:vAlign w:val="center"/>
          </w:tcPr>
          <w:p w:rsidRPr="00F24AA8" w:rsidR="000E31AA" w:rsidP="000E31AA" w:rsidRDefault="000E31AA" w14:paraId="643DC2F0" w14:textId="64944D41">
            <w:pPr>
              <w:jc w:val="right"/>
              <w:rPr>
                <w:rFonts w:asciiTheme="minorHAnsi" w:hAnsiTheme="minorHAnsi" w:cstheme="minorHAnsi"/>
                <w:sz w:val="16"/>
                <w:szCs w:val="16"/>
              </w:rPr>
            </w:pPr>
            <w:r w:rsidRPr="00F24AA8">
              <w:rPr>
                <w:rFonts w:asciiTheme="minorHAnsi" w:hAnsiTheme="minorHAnsi" w:cstheme="minorHAnsi"/>
                <w:color w:val="000000"/>
                <w:sz w:val="16"/>
                <w:szCs w:val="16"/>
              </w:rPr>
              <w:t>18,168</w:t>
            </w:r>
          </w:p>
        </w:tc>
        <w:tc>
          <w:tcPr>
            <w:tcW w:w="143" w:type="pct"/>
            <w:shd w:val="clear" w:color="auto" w:fill="auto"/>
            <w:tcMar>
              <w:left w:w="0" w:type="dxa"/>
              <w:right w:w="43" w:type="dxa"/>
            </w:tcMar>
            <w:vAlign w:val="center"/>
          </w:tcPr>
          <w:p w:rsidRPr="00F24AA8" w:rsidR="000E31AA" w:rsidP="000E31AA" w:rsidRDefault="000E31AA" w14:paraId="10735A67" w14:textId="2864A7C2">
            <w:pPr>
              <w:jc w:val="right"/>
              <w:rPr>
                <w:rFonts w:asciiTheme="minorHAnsi" w:hAnsiTheme="minorHAnsi" w:cstheme="minorHAnsi"/>
                <w:sz w:val="16"/>
                <w:szCs w:val="16"/>
              </w:rPr>
            </w:pPr>
            <w:r w:rsidRPr="00F24AA8">
              <w:rPr>
                <w:rFonts w:asciiTheme="minorHAnsi" w:hAnsiTheme="minorHAnsi" w:cstheme="minorHAnsi"/>
                <w:color w:val="000000"/>
                <w:sz w:val="16"/>
                <w:szCs w:val="16"/>
              </w:rPr>
              <w:t>383</w:t>
            </w:r>
          </w:p>
        </w:tc>
        <w:tc>
          <w:tcPr>
            <w:tcW w:w="178" w:type="pct"/>
            <w:shd w:val="clear" w:color="auto" w:fill="auto"/>
            <w:noWrap/>
            <w:tcMar>
              <w:left w:w="0" w:type="dxa"/>
              <w:right w:w="43" w:type="dxa"/>
            </w:tcMar>
            <w:vAlign w:val="center"/>
          </w:tcPr>
          <w:p w:rsidRPr="00F24AA8" w:rsidR="000E31AA" w:rsidP="000E31AA" w:rsidRDefault="000E31AA" w14:paraId="10DE2652" w14:textId="6548A867">
            <w:pPr>
              <w:jc w:val="right"/>
              <w:rPr>
                <w:rFonts w:asciiTheme="minorHAnsi" w:hAnsiTheme="minorHAnsi" w:cstheme="minorHAnsi"/>
                <w:sz w:val="16"/>
                <w:szCs w:val="16"/>
              </w:rPr>
            </w:pPr>
            <w:r w:rsidRPr="00F24AA8">
              <w:rPr>
                <w:rFonts w:asciiTheme="minorHAnsi" w:hAnsiTheme="minorHAnsi" w:cstheme="minorHAnsi"/>
                <w:color w:val="000000"/>
                <w:sz w:val="16"/>
                <w:szCs w:val="16"/>
              </w:rPr>
              <w:t>8,525</w:t>
            </w:r>
          </w:p>
        </w:tc>
        <w:tc>
          <w:tcPr>
            <w:tcW w:w="151" w:type="pct"/>
            <w:shd w:val="clear" w:color="auto" w:fill="auto"/>
            <w:noWrap/>
            <w:tcMar>
              <w:left w:w="0" w:type="dxa"/>
              <w:right w:w="43" w:type="dxa"/>
            </w:tcMar>
            <w:vAlign w:val="center"/>
          </w:tcPr>
          <w:p w:rsidRPr="003148DB" w:rsidR="000E31AA" w:rsidP="000E31AA" w:rsidRDefault="000E31AA" w14:paraId="3570C772" w14:textId="2F71535B">
            <w:pPr>
              <w:jc w:val="right"/>
              <w:rPr>
                <w:rFonts w:asciiTheme="minorHAnsi" w:hAnsiTheme="minorHAnsi" w:cstheme="minorHAnsi"/>
                <w:sz w:val="16"/>
                <w:szCs w:val="16"/>
              </w:rPr>
            </w:pPr>
            <w:r w:rsidRPr="00F24AA8">
              <w:rPr>
                <w:rFonts w:asciiTheme="minorHAnsi" w:hAnsiTheme="minorHAnsi" w:cstheme="minorHAnsi"/>
                <w:color w:val="000000"/>
                <w:sz w:val="16"/>
                <w:szCs w:val="16"/>
              </w:rPr>
              <w:t>168.5</w:t>
            </w:r>
          </w:p>
        </w:tc>
      </w:tr>
      <w:tr w:rsidRPr="003148DB" w:rsidR="000D41FC" w:rsidTr="000D41FC" w14:paraId="0750C3AA" w14:textId="77777777">
        <w:trPr>
          <w:trHeight w:val="276"/>
        </w:trPr>
        <w:tc>
          <w:tcPr>
            <w:tcW w:w="1082" w:type="pct"/>
            <w:gridSpan w:val="3"/>
            <w:shd w:val="clear" w:color="000000" w:fill="FFFFFF"/>
            <w:noWrap/>
            <w:tcMar>
              <w:left w:w="58" w:type="dxa"/>
              <w:right w:w="58" w:type="dxa"/>
            </w:tcMar>
            <w:vAlign w:val="center"/>
            <w:hideMark/>
          </w:tcPr>
          <w:p w:rsidRPr="00AC41AC" w:rsidR="000E31AA" w:rsidP="000E31AA" w:rsidRDefault="000E31AA" w14:paraId="0D4FA510" w14:textId="1E5D6985">
            <w:pPr>
              <w:jc w:val="right"/>
              <w:rPr>
                <w:rFonts w:asciiTheme="minorHAnsi" w:hAnsiTheme="minorHAnsi" w:cstheme="minorHAnsi"/>
                <w:sz w:val="16"/>
                <w:szCs w:val="16"/>
              </w:rPr>
            </w:pPr>
            <w:r w:rsidRPr="00AC41AC">
              <w:rPr>
                <w:rFonts w:asciiTheme="minorHAnsi" w:hAnsiTheme="minorHAnsi" w:cstheme="minorHAnsi"/>
                <w:bCs/>
                <w:sz w:val="16"/>
                <w:szCs w:val="16"/>
              </w:rPr>
              <w:t>Totals</w:t>
            </w:r>
          </w:p>
        </w:tc>
        <w:tc>
          <w:tcPr>
            <w:tcW w:w="123" w:type="pct"/>
            <w:shd w:val="clear" w:color="000000" w:fill="FFFFFF"/>
            <w:noWrap/>
            <w:tcMar>
              <w:left w:w="58" w:type="dxa"/>
              <w:right w:w="58" w:type="dxa"/>
            </w:tcMar>
            <w:vAlign w:val="center"/>
            <w:hideMark/>
          </w:tcPr>
          <w:p w:rsidRPr="00AC41AC" w:rsidR="000E31AA" w:rsidP="000E31AA" w:rsidRDefault="000E31AA" w14:paraId="437C01D2" w14:textId="4DBEA2D3">
            <w:pPr>
              <w:jc w:val="center"/>
              <w:rPr>
                <w:rFonts w:asciiTheme="minorHAnsi" w:hAnsiTheme="minorHAnsi" w:cstheme="minorHAnsi"/>
                <w:sz w:val="16"/>
                <w:szCs w:val="16"/>
              </w:rPr>
            </w:pPr>
            <w:r w:rsidRPr="00AC41AC">
              <w:rPr>
                <w:rFonts w:asciiTheme="minorHAnsi" w:hAnsiTheme="minorHAnsi" w:cstheme="minorHAnsi"/>
                <w:sz w:val="16"/>
                <w:szCs w:val="16"/>
              </w:rPr>
              <w:t>100</w:t>
            </w:r>
          </w:p>
        </w:tc>
        <w:tc>
          <w:tcPr>
            <w:tcW w:w="173" w:type="pct"/>
            <w:shd w:val="clear" w:color="000000" w:fill="FFFFFF"/>
            <w:noWrap/>
            <w:tcMar>
              <w:left w:w="0" w:type="dxa"/>
              <w:right w:w="43" w:type="dxa"/>
            </w:tcMar>
            <w:vAlign w:val="center"/>
            <w:hideMark/>
          </w:tcPr>
          <w:p w:rsidRPr="00AC41AC" w:rsidR="000E31AA" w:rsidP="000E31AA" w:rsidRDefault="000E31AA" w14:paraId="075EB92C" w14:textId="3A477E7B">
            <w:pPr>
              <w:jc w:val="right"/>
              <w:rPr>
                <w:rFonts w:asciiTheme="minorHAnsi" w:hAnsiTheme="minorHAnsi" w:cstheme="minorHAnsi"/>
                <w:sz w:val="16"/>
                <w:szCs w:val="16"/>
              </w:rPr>
            </w:pPr>
            <w:r w:rsidRPr="00AC41AC">
              <w:rPr>
                <w:rFonts w:asciiTheme="minorHAnsi" w:hAnsiTheme="minorHAnsi" w:cstheme="minorHAnsi"/>
                <w:sz w:val="16"/>
                <w:szCs w:val="16"/>
              </w:rPr>
              <w:t>137,266</w:t>
            </w:r>
          </w:p>
        </w:tc>
        <w:tc>
          <w:tcPr>
            <w:tcW w:w="123" w:type="pct"/>
            <w:shd w:val="clear" w:color="000000" w:fill="FFFFFF"/>
            <w:noWrap/>
            <w:tcMar>
              <w:left w:w="0" w:type="dxa"/>
              <w:right w:w="43" w:type="dxa"/>
            </w:tcMar>
            <w:vAlign w:val="center"/>
            <w:hideMark/>
          </w:tcPr>
          <w:p w:rsidRPr="00AC41AC" w:rsidR="000E31AA" w:rsidP="000E31AA" w:rsidRDefault="000E31AA" w14:paraId="57F28554" w14:textId="2575C671">
            <w:pPr>
              <w:jc w:val="right"/>
              <w:rPr>
                <w:rFonts w:asciiTheme="minorHAnsi" w:hAnsiTheme="minorHAnsi" w:cstheme="minorHAnsi"/>
                <w:sz w:val="16"/>
                <w:szCs w:val="16"/>
              </w:rPr>
            </w:pPr>
            <w:r w:rsidRPr="00AC41AC">
              <w:rPr>
                <w:rFonts w:asciiTheme="minorHAnsi" w:hAnsiTheme="minorHAnsi" w:cstheme="minorHAnsi"/>
                <w:sz w:val="16"/>
                <w:szCs w:val="16"/>
              </w:rPr>
              <w:t>808</w:t>
            </w:r>
          </w:p>
        </w:tc>
        <w:tc>
          <w:tcPr>
            <w:tcW w:w="170" w:type="pct"/>
            <w:shd w:val="clear" w:color="000000" w:fill="FFFFFF"/>
            <w:noWrap/>
            <w:tcMar>
              <w:left w:w="0" w:type="dxa"/>
              <w:right w:w="43" w:type="dxa"/>
            </w:tcMar>
            <w:vAlign w:val="center"/>
            <w:hideMark/>
          </w:tcPr>
          <w:p w:rsidRPr="00AC41AC" w:rsidR="000E31AA" w:rsidP="000E31AA" w:rsidRDefault="000E31AA" w14:paraId="0DF1D823" w14:textId="73B3C466">
            <w:pPr>
              <w:jc w:val="right"/>
              <w:rPr>
                <w:rFonts w:asciiTheme="minorHAnsi" w:hAnsiTheme="minorHAnsi" w:cstheme="minorHAnsi"/>
                <w:sz w:val="16"/>
                <w:szCs w:val="16"/>
              </w:rPr>
            </w:pPr>
            <w:r w:rsidRPr="00AC41AC">
              <w:rPr>
                <w:rFonts w:asciiTheme="minorHAnsi" w:hAnsiTheme="minorHAnsi" w:cstheme="minorHAnsi"/>
                <w:sz w:val="16"/>
                <w:szCs w:val="16"/>
              </w:rPr>
              <w:t>143,035</w:t>
            </w:r>
          </w:p>
        </w:tc>
        <w:tc>
          <w:tcPr>
            <w:tcW w:w="125" w:type="pct"/>
            <w:shd w:val="clear" w:color="000000" w:fill="FFFFFF"/>
            <w:noWrap/>
            <w:tcMar>
              <w:left w:w="0" w:type="dxa"/>
              <w:right w:w="43" w:type="dxa"/>
            </w:tcMar>
            <w:vAlign w:val="center"/>
            <w:hideMark/>
          </w:tcPr>
          <w:p w:rsidRPr="00AC41AC" w:rsidR="000E31AA" w:rsidP="000E31AA" w:rsidRDefault="000E31AA" w14:paraId="11FD6A6B" w14:textId="71DB6C6E">
            <w:pPr>
              <w:jc w:val="right"/>
              <w:rPr>
                <w:rFonts w:asciiTheme="minorHAnsi" w:hAnsiTheme="minorHAnsi" w:cstheme="minorHAnsi"/>
                <w:sz w:val="16"/>
                <w:szCs w:val="16"/>
              </w:rPr>
            </w:pPr>
            <w:r w:rsidRPr="00AC41AC">
              <w:rPr>
                <w:rFonts w:asciiTheme="minorHAnsi" w:hAnsiTheme="minorHAnsi" w:cstheme="minorHAnsi"/>
                <w:sz w:val="16"/>
                <w:szCs w:val="16"/>
              </w:rPr>
              <w:t>858</w:t>
            </w:r>
          </w:p>
        </w:tc>
        <w:tc>
          <w:tcPr>
            <w:tcW w:w="172" w:type="pct"/>
            <w:shd w:val="clear" w:color="000000" w:fill="FFFFFF"/>
            <w:noWrap/>
            <w:tcMar>
              <w:left w:w="0" w:type="dxa"/>
              <w:right w:w="43" w:type="dxa"/>
            </w:tcMar>
            <w:vAlign w:val="center"/>
            <w:hideMark/>
          </w:tcPr>
          <w:p w:rsidRPr="00AC41AC" w:rsidR="000E31AA" w:rsidP="000E31AA" w:rsidRDefault="000E31AA" w14:paraId="41E84B16" w14:textId="4AA87249">
            <w:pPr>
              <w:jc w:val="right"/>
              <w:rPr>
                <w:rFonts w:asciiTheme="minorHAnsi" w:hAnsiTheme="minorHAnsi" w:cstheme="minorHAnsi"/>
                <w:sz w:val="16"/>
                <w:szCs w:val="16"/>
              </w:rPr>
            </w:pPr>
            <w:r w:rsidRPr="00AC41AC">
              <w:rPr>
                <w:rFonts w:asciiTheme="minorHAnsi" w:hAnsiTheme="minorHAnsi" w:cstheme="minorHAnsi"/>
                <w:sz w:val="16"/>
                <w:szCs w:val="16"/>
              </w:rPr>
              <w:t>152,765</w:t>
            </w:r>
          </w:p>
        </w:tc>
        <w:tc>
          <w:tcPr>
            <w:tcW w:w="123" w:type="pct"/>
            <w:shd w:val="clear" w:color="000000" w:fill="FFFFFF"/>
            <w:noWrap/>
            <w:tcMar>
              <w:left w:w="0" w:type="dxa"/>
              <w:right w:w="43" w:type="dxa"/>
            </w:tcMar>
            <w:vAlign w:val="center"/>
            <w:hideMark/>
          </w:tcPr>
          <w:p w:rsidRPr="00AC41AC" w:rsidR="000E31AA" w:rsidP="000E31AA" w:rsidRDefault="000E31AA" w14:paraId="07955806" w14:textId="054B8665">
            <w:pPr>
              <w:jc w:val="right"/>
              <w:rPr>
                <w:rFonts w:asciiTheme="minorHAnsi" w:hAnsiTheme="minorHAnsi" w:cstheme="minorHAnsi"/>
                <w:sz w:val="16"/>
                <w:szCs w:val="16"/>
              </w:rPr>
            </w:pPr>
            <w:r w:rsidRPr="00AC41AC">
              <w:rPr>
                <w:rFonts w:asciiTheme="minorHAnsi" w:hAnsiTheme="minorHAnsi" w:cstheme="minorHAnsi"/>
                <w:sz w:val="16"/>
                <w:szCs w:val="16"/>
              </w:rPr>
              <w:t>919</w:t>
            </w:r>
          </w:p>
        </w:tc>
        <w:tc>
          <w:tcPr>
            <w:tcW w:w="194" w:type="pct"/>
            <w:shd w:val="clear" w:color="000000" w:fill="FFFFFF"/>
            <w:noWrap/>
            <w:tcMar>
              <w:left w:w="0" w:type="dxa"/>
              <w:right w:w="43" w:type="dxa"/>
            </w:tcMar>
            <w:vAlign w:val="center"/>
            <w:hideMark/>
          </w:tcPr>
          <w:p w:rsidRPr="00AC41AC" w:rsidR="000E31AA" w:rsidP="000E31AA" w:rsidRDefault="000E31AA" w14:paraId="075E872B" w14:textId="7CE2F81F">
            <w:pPr>
              <w:jc w:val="right"/>
              <w:rPr>
                <w:rFonts w:asciiTheme="minorHAnsi" w:hAnsiTheme="minorHAnsi" w:cstheme="minorHAnsi"/>
                <w:sz w:val="16"/>
                <w:szCs w:val="16"/>
              </w:rPr>
            </w:pPr>
            <w:r w:rsidRPr="00AC41AC">
              <w:rPr>
                <w:rFonts w:asciiTheme="minorHAnsi" w:hAnsiTheme="minorHAnsi" w:cstheme="minorHAnsi"/>
                <w:sz w:val="16"/>
                <w:szCs w:val="16"/>
              </w:rPr>
              <w:t>155,617</w:t>
            </w:r>
          </w:p>
        </w:tc>
        <w:tc>
          <w:tcPr>
            <w:tcW w:w="123" w:type="pct"/>
            <w:shd w:val="clear" w:color="000000" w:fill="FFFFFF"/>
            <w:noWrap/>
            <w:tcMar>
              <w:left w:w="0" w:type="dxa"/>
              <w:right w:w="43" w:type="dxa"/>
            </w:tcMar>
            <w:vAlign w:val="center"/>
            <w:hideMark/>
          </w:tcPr>
          <w:p w:rsidRPr="00AC41AC" w:rsidR="000E31AA" w:rsidP="000E31AA" w:rsidRDefault="000E31AA" w14:paraId="50743DCF" w14:textId="36E4E975">
            <w:pPr>
              <w:jc w:val="right"/>
              <w:rPr>
                <w:rFonts w:asciiTheme="minorHAnsi" w:hAnsiTheme="minorHAnsi" w:cstheme="minorHAnsi"/>
                <w:sz w:val="16"/>
                <w:szCs w:val="16"/>
              </w:rPr>
            </w:pPr>
            <w:r w:rsidRPr="00AC41AC">
              <w:rPr>
                <w:rFonts w:asciiTheme="minorHAnsi" w:hAnsiTheme="minorHAnsi" w:cstheme="minorHAnsi"/>
                <w:sz w:val="16"/>
                <w:szCs w:val="16"/>
              </w:rPr>
              <w:t>963</w:t>
            </w:r>
          </w:p>
        </w:tc>
        <w:tc>
          <w:tcPr>
            <w:tcW w:w="197" w:type="pct"/>
            <w:shd w:val="clear" w:color="000000" w:fill="FFFFFF"/>
            <w:noWrap/>
            <w:tcMar>
              <w:left w:w="0" w:type="dxa"/>
              <w:right w:w="43" w:type="dxa"/>
            </w:tcMar>
            <w:vAlign w:val="center"/>
            <w:hideMark/>
          </w:tcPr>
          <w:p w:rsidRPr="00AC41AC" w:rsidR="000E31AA" w:rsidP="000E31AA" w:rsidRDefault="000E31AA" w14:paraId="16740917" w14:textId="67B4B50B">
            <w:pPr>
              <w:jc w:val="right"/>
              <w:rPr>
                <w:rFonts w:asciiTheme="minorHAnsi" w:hAnsiTheme="minorHAnsi" w:cstheme="minorHAnsi"/>
                <w:sz w:val="16"/>
                <w:szCs w:val="16"/>
              </w:rPr>
            </w:pPr>
            <w:r w:rsidRPr="00AC41AC">
              <w:rPr>
                <w:rFonts w:asciiTheme="minorHAnsi" w:hAnsiTheme="minorHAnsi" w:cstheme="minorHAnsi"/>
                <w:sz w:val="16"/>
                <w:szCs w:val="16"/>
              </w:rPr>
              <w:t>140,879</w:t>
            </w:r>
          </w:p>
        </w:tc>
        <w:tc>
          <w:tcPr>
            <w:tcW w:w="125" w:type="pct"/>
            <w:shd w:val="clear" w:color="000000" w:fill="FFFFFF"/>
            <w:noWrap/>
            <w:tcMar>
              <w:left w:w="0" w:type="dxa"/>
              <w:right w:w="43" w:type="dxa"/>
            </w:tcMar>
            <w:vAlign w:val="center"/>
            <w:hideMark/>
          </w:tcPr>
          <w:p w:rsidRPr="00AC41AC" w:rsidR="000E31AA" w:rsidP="000E31AA" w:rsidRDefault="000E31AA" w14:paraId="7C8D777E" w14:textId="7D62C323">
            <w:pPr>
              <w:jc w:val="right"/>
              <w:rPr>
                <w:rFonts w:asciiTheme="minorHAnsi" w:hAnsiTheme="minorHAnsi" w:cstheme="minorHAnsi"/>
                <w:sz w:val="16"/>
                <w:szCs w:val="16"/>
              </w:rPr>
            </w:pPr>
            <w:r w:rsidRPr="00AC41AC">
              <w:rPr>
                <w:rFonts w:asciiTheme="minorHAnsi" w:hAnsiTheme="minorHAnsi" w:cstheme="minorHAnsi"/>
                <w:sz w:val="16"/>
                <w:szCs w:val="16"/>
              </w:rPr>
              <w:t>830</w:t>
            </w:r>
          </w:p>
        </w:tc>
        <w:tc>
          <w:tcPr>
            <w:tcW w:w="170" w:type="pct"/>
            <w:shd w:val="clear" w:color="000000" w:fill="FFFFFF"/>
            <w:noWrap/>
            <w:tcMar>
              <w:left w:w="0" w:type="dxa"/>
              <w:right w:w="43" w:type="dxa"/>
            </w:tcMar>
            <w:vAlign w:val="center"/>
            <w:hideMark/>
          </w:tcPr>
          <w:p w:rsidRPr="00AC41AC" w:rsidR="000E31AA" w:rsidP="000E31AA" w:rsidRDefault="000E31AA" w14:paraId="5A2E0932" w14:textId="7D3964B4">
            <w:pPr>
              <w:jc w:val="right"/>
              <w:rPr>
                <w:rFonts w:asciiTheme="minorHAnsi" w:hAnsiTheme="minorHAnsi" w:cstheme="minorHAnsi"/>
                <w:sz w:val="16"/>
                <w:szCs w:val="16"/>
              </w:rPr>
            </w:pPr>
            <w:r w:rsidRPr="00AC41AC">
              <w:rPr>
                <w:rFonts w:asciiTheme="minorHAnsi" w:hAnsiTheme="minorHAnsi" w:cstheme="minorHAnsi"/>
                <w:sz w:val="16"/>
                <w:szCs w:val="16"/>
              </w:rPr>
              <w:t>144,638</w:t>
            </w:r>
          </w:p>
        </w:tc>
        <w:tc>
          <w:tcPr>
            <w:tcW w:w="148" w:type="pct"/>
            <w:shd w:val="clear" w:color="000000" w:fill="FFFFFF"/>
            <w:noWrap/>
            <w:tcMar>
              <w:left w:w="0" w:type="dxa"/>
              <w:right w:w="43" w:type="dxa"/>
            </w:tcMar>
            <w:vAlign w:val="center"/>
            <w:hideMark/>
          </w:tcPr>
          <w:p w:rsidRPr="00AC41AC" w:rsidR="000E31AA" w:rsidP="000E31AA" w:rsidRDefault="000E31AA" w14:paraId="332396B6" w14:textId="30E7DB8E">
            <w:pPr>
              <w:jc w:val="right"/>
              <w:rPr>
                <w:rFonts w:asciiTheme="minorHAnsi" w:hAnsiTheme="minorHAnsi" w:cstheme="minorHAnsi"/>
                <w:sz w:val="16"/>
                <w:szCs w:val="16"/>
              </w:rPr>
            </w:pPr>
            <w:r w:rsidRPr="00AC41AC">
              <w:rPr>
                <w:rFonts w:asciiTheme="minorHAnsi" w:hAnsiTheme="minorHAnsi" w:cstheme="minorHAnsi"/>
                <w:sz w:val="16"/>
                <w:szCs w:val="16"/>
              </w:rPr>
              <w:t>891</w:t>
            </w:r>
          </w:p>
        </w:tc>
        <w:tc>
          <w:tcPr>
            <w:tcW w:w="172" w:type="pct"/>
            <w:shd w:val="clear" w:color="000000" w:fill="FFFFFF"/>
            <w:tcMar>
              <w:left w:w="0" w:type="dxa"/>
              <w:right w:w="43" w:type="dxa"/>
            </w:tcMar>
            <w:vAlign w:val="center"/>
          </w:tcPr>
          <w:p w:rsidRPr="00AC41AC" w:rsidR="000E31AA" w:rsidP="000E31AA" w:rsidRDefault="000E31AA" w14:paraId="48A961BC" w14:textId="49DEAA0E">
            <w:pPr>
              <w:jc w:val="right"/>
              <w:rPr>
                <w:rFonts w:asciiTheme="minorHAnsi" w:hAnsiTheme="minorHAnsi" w:cstheme="minorHAnsi"/>
                <w:sz w:val="16"/>
                <w:szCs w:val="16"/>
              </w:rPr>
            </w:pPr>
            <w:r w:rsidRPr="00AC41AC">
              <w:rPr>
                <w:rFonts w:asciiTheme="minorHAnsi" w:hAnsiTheme="minorHAnsi" w:cstheme="minorHAnsi"/>
                <w:sz w:val="16"/>
                <w:szCs w:val="16"/>
              </w:rPr>
              <w:t>142,826</w:t>
            </w:r>
          </w:p>
        </w:tc>
        <w:tc>
          <w:tcPr>
            <w:tcW w:w="124" w:type="pct"/>
            <w:shd w:val="clear" w:color="000000" w:fill="FFFFFF"/>
            <w:tcMar>
              <w:left w:w="0" w:type="dxa"/>
              <w:right w:w="43" w:type="dxa"/>
            </w:tcMar>
            <w:vAlign w:val="center"/>
          </w:tcPr>
          <w:p w:rsidRPr="00AC41AC" w:rsidR="000E31AA" w:rsidP="000E31AA" w:rsidRDefault="000E31AA" w14:paraId="643D3F42" w14:textId="7E2EC242">
            <w:pPr>
              <w:jc w:val="right"/>
              <w:rPr>
                <w:rFonts w:asciiTheme="minorHAnsi" w:hAnsiTheme="minorHAnsi" w:cstheme="minorHAnsi"/>
                <w:sz w:val="16"/>
                <w:szCs w:val="16"/>
              </w:rPr>
            </w:pPr>
            <w:r w:rsidRPr="00AC41AC">
              <w:rPr>
                <w:rFonts w:asciiTheme="minorHAnsi" w:hAnsiTheme="minorHAnsi" w:cstheme="minorHAnsi"/>
                <w:sz w:val="16"/>
                <w:szCs w:val="16"/>
              </w:rPr>
              <w:t>971</w:t>
            </w:r>
          </w:p>
        </w:tc>
        <w:tc>
          <w:tcPr>
            <w:tcW w:w="173" w:type="pct"/>
            <w:shd w:val="clear" w:color="000000" w:fill="FFFFFF"/>
            <w:tcMar>
              <w:left w:w="0" w:type="dxa"/>
              <w:right w:w="43" w:type="dxa"/>
            </w:tcMar>
            <w:vAlign w:val="center"/>
          </w:tcPr>
          <w:p w:rsidRPr="00AC41AC" w:rsidR="000E31AA" w:rsidP="000E31AA" w:rsidRDefault="000E31AA" w14:paraId="28C88588" w14:textId="2EDC347F">
            <w:pPr>
              <w:jc w:val="right"/>
              <w:rPr>
                <w:rFonts w:asciiTheme="minorHAnsi" w:hAnsiTheme="minorHAnsi" w:cstheme="minorHAnsi"/>
                <w:sz w:val="16"/>
                <w:szCs w:val="16"/>
              </w:rPr>
            </w:pPr>
            <w:r w:rsidRPr="00AC41AC">
              <w:rPr>
                <w:rFonts w:asciiTheme="minorHAnsi" w:hAnsiTheme="minorHAnsi" w:cstheme="minorHAnsi"/>
                <w:sz w:val="16"/>
                <w:szCs w:val="16"/>
              </w:rPr>
              <w:t>131,408</w:t>
            </w:r>
          </w:p>
        </w:tc>
        <w:tc>
          <w:tcPr>
            <w:tcW w:w="146" w:type="pct"/>
            <w:shd w:val="clear" w:color="000000" w:fill="FFFFFF"/>
            <w:tcMar>
              <w:left w:w="0" w:type="dxa"/>
              <w:right w:w="43" w:type="dxa"/>
            </w:tcMar>
            <w:vAlign w:val="center"/>
          </w:tcPr>
          <w:p w:rsidRPr="00AC41AC" w:rsidR="000E31AA" w:rsidP="000E31AA" w:rsidRDefault="000E31AA" w14:paraId="3BEBF46E" w14:textId="57371EDE">
            <w:pPr>
              <w:jc w:val="right"/>
              <w:rPr>
                <w:rFonts w:asciiTheme="minorHAnsi" w:hAnsiTheme="minorHAnsi" w:cstheme="minorHAnsi"/>
                <w:sz w:val="16"/>
                <w:szCs w:val="16"/>
              </w:rPr>
            </w:pPr>
            <w:r w:rsidRPr="00AC41AC">
              <w:rPr>
                <w:rFonts w:asciiTheme="minorHAnsi" w:hAnsiTheme="minorHAnsi" w:cstheme="minorHAnsi"/>
                <w:sz w:val="16"/>
                <w:szCs w:val="16"/>
              </w:rPr>
              <w:t>847</w:t>
            </w:r>
          </w:p>
        </w:tc>
        <w:tc>
          <w:tcPr>
            <w:tcW w:w="175" w:type="pct"/>
            <w:shd w:val="clear" w:color="000000" w:fill="FFFFFF"/>
            <w:tcMar>
              <w:left w:w="0" w:type="dxa"/>
              <w:right w:w="43" w:type="dxa"/>
            </w:tcMar>
            <w:vAlign w:val="center"/>
          </w:tcPr>
          <w:p w:rsidRPr="00AC41AC" w:rsidR="000E31AA" w:rsidP="000E31AA" w:rsidRDefault="000E31AA" w14:paraId="4903E7B2" w14:textId="78A805C2">
            <w:pPr>
              <w:jc w:val="right"/>
              <w:rPr>
                <w:rFonts w:asciiTheme="minorHAnsi" w:hAnsiTheme="minorHAnsi" w:cstheme="minorHAnsi"/>
                <w:sz w:val="16"/>
                <w:szCs w:val="16"/>
              </w:rPr>
            </w:pPr>
            <w:r w:rsidRPr="00AC41AC">
              <w:rPr>
                <w:rFonts w:asciiTheme="minorHAnsi" w:hAnsiTheme="minorHAnsi" w:cstheme="minorHAnsi"/>
                <w:sz w:val="16"/>
                <w:szCs w:val="16"/>
              </w:rPr>
              <w:t>132,466</w:t>
            </w:r>
          </w:p>
        </w:tc>
        <w:tc>
          <w:tcPr>
            <w:tcW w:w="149" w:type="pct"/>
            <w:shd w:val="clear" w:color="000000" w:fill="FFFFFF"/>
            <w:tcMar>
              <w:left w:w="0" w:type="dxa"/>
              <w:right w:w="43" w:type="dxa"/>
            </w:tcMar>
            <w:vAlign w:val="center"/>
          </w:tcPr>
          <w:p w:rsidRPr="00AC41AC" w:rsidR="000E31AA" w:rsidP="000E31AA" w:rsidRDefault="000E31AA" w14:paraId="5D537665" w14:textId="60F1DEE2">
            <w:pPr>
              <w:jc w:val="right"/>
              <w:rPr>
                <w:rFonts w:asciiTheme="minorHAnsi" w:hAnsiTheme="minorHAnsi" w:cstheme="minorHAnsi"/>
                <w:sz w:val="16"/>
                <w:szCs w:val="16"/>
              </w:rPr>
            </w:pPr>
            <w:r w:rsidRPr="00AC41AC">
              <w:rPr>
                <w:rFonts w:asciiTheme="minorHAnsi" w:hAnsiTheme="minorHAnsi" w:cstheme="minorHAnsi"/>
                <w:sz w:val="16"/>
                <w:szCs w:val="16"/>
              </w:rPr>
              <w:t>932</w:t>
            </w:r>
          </w:p>
        </w:tc>
        <w:tc>
          <w:tcPr>
            <w:tcW w:w="197" w:type="pct"/>
            <w:shd w:val="clear" w:color="000000" w:fill="FFFFFF"/>
            <w:tcMar>
              <w:left w:w="0" w:type="dxa"/>
              <w:right w:w="43" w:type="dxa"/>
            </w:tcMar>
            <w:vAlign w:val="center"/>
          </w:tcPr>
          <w:p w:rsidRPr="00AC41AC" w:rsidR="000E31AA" w:rsidP="000E31AA" w:rsidRDefault="000E31AA" w14:paraId="32F7FA29" w14:textId="3A00643C">
            <w:pPr>
              <w:jc w:val="right"/>
              <w:rPr>
                <w:rFonts w:asciiTheme="minorHAnsi" w:hAnsiTheme="minorHAnsi" w:cstheme="minorHAnsi"/>
                <w:sz w:val="16"/>
                <w:szCs w:val="16"/>
              </w:rPr>
            </w:pPr>
            <w:r w:rsidRPr="00AC41AC">
              <w:rPr>
                <w:rFonts w:asciiTheme="minorHAnsi" w:hAnsiTheme="minorHAnsi" w:cstheme="minorHAnsi"/>
                <w:sz w:val="16"/>
                <w:szCs w:val="16"/>
              </w:rPr>
              <w:t>134,103</w:t>
            </w:r>
          </w:p>
        </w:tc>
        <w:tc>
          <w:tcPr>
            <w:tcW w:w="148" w:type="pct"/>
            <w:shd w:val="clear" w:color="000000" w:fill="FFFFFF"/>
            <w:tcMar>
              <w:left w:w="0" w:type="dxa"/>
              <w:right w:w="43" w:type="dxa"/>
            </w:tcMar>
            <w:vAlign w:val="center"/>
          </w:tcPr>
          <w:p w:rsidRPr="00AC41AC" w:rsidR="000E31AA" w:rsidP="000E31AA" w:rsidRDefault="000E31AA" w14:paraId="6AE657DB" w14:textId="3C122D5C">
            <w:pPr>
              <w:jc w:val="right"/>
              <w:rPr>
                <w:rFonts w:asciiTheme="minorHAnsi" w:hAnsiTheme="minorHAnsi" w:cstheme="minorHAnsi"/>
                <w:sz w:val="16"/>
                <w:szCs w:val="16"/>
              </w:rPr>
            </w:pPr>
            <w:r w:rsidRPr="00AC41AC">
              <w:rPr>
                <w:rFonts w:asciiTheme="minorHAnsi" w:hAnsiTheme="minorHAnsi" w:cstheme="minorHAnsi"/>
                <w:sz w:val="16"/>
                <w:szCs w:val="16"/>
              </w:rPr>
              <w:t>1,134</w:t>
            </w:r>
          </w:p>
        </w:tc>
        <w:tc>
          <w:tcPr>
            <w:tcW w:w="196" w:type="pct"/>
            <w:shd w:val="clear" w:color="000000" w:fill="FFFFFF"/>
            <w:tcMar>
              <w:left w:w="0" w:type="dxa"/>
              <w:right w:w="43" w:type="dxa"/>
            </w:tcMar>
            <w:vAlign w:val="center"/>
          </w:tcPr>
          <w:p w:rsidRPr="00AC41AC" w:rsidR="000E31AA" w:rsidP="000E31AA" w:rsidRDefault="000E31AA" w14:paraId="2B2EB9AF" w14:textId="2062FAEA">
            <w:pPr>
              <w:jc w:val="right"/>
              <w:rPr>
                <w:rFonts w:asciiTheme="minorHAnsi" w:hAnsiTheme="minorHAnsi" w:cstheme="minorHAnsi"/>
                <w:sz w:val="16"/>
                <w:szCs w:val="16"/>
              </w:rPr>
            </w:pPr>
            <w:r w:rsidRPr="00AC41AC">
              <w:rPr>
                <w:rFonts w:asciiTheme="minorHAnsi" w:hAnsiTheme="minorHAnsi" w:cstheme="minorHAnsi"/>
                <w:sz w:val="16"/>
                <w:szCs w:val="16"/>
              </w:rPr>
              <w:t>123,914</w:t>
            </w:r>
          </w:p>
        </w:tc>
        <w:tc>
          <w:tcPr>
            <w:tcW w:w="143" w:type="pct"/>
            <w:shd w:val="clear" w:color="000000" w:fill="FFFFFF"/>
            <w:tcMar>
              <w:left w:w="0" w:type="dxa"/>
              <w:right w:w="43" w:type="dxa"/>
            </w:tcMar>
            <w:vAlign w:val="center"/>
          </w:tcPr>
          <w:p w:rsidRPr="00AC41AC" w:rsidR="000E31AA" w:rsidP="000E31AA" w:rsidRDefault="000E31AA" w14:paraId="40653CA1" w14:textId="1040AA58">
            <w:pPr>
              <w:jc w:val="right"/>
              <w:rPr>
                <w:rFonts w:asciiTheme="minorHAnsi" w:hAnsiTheme="minorHAnsi" w:cstheme="minorHAnsi"/>
                <w:sz w:val="16"/>
                <w:szCs w:val="16"/>
              </w:rPr>
            </w:pPr>
            <w:r w:rsidRPr="00AC41AC">
              <w:rPr>
                <w:rFonts w:asciiTheme="minorHAnsi" w:hAnsiTheme="minorHAnsi" w:cstheme="minorHAnsi"/>
                <w:sz w:val="16"/>
                <w:szCs w:val="16"/>
              </w:rPr>
              <w:t>1,059</w:t>
            </w:r>
          </w:p>
        </w:tc>
        <w:tc>
          <w:tcPr>
            <w:tcW w:w="178" w:type="pct"/>
            <w:shd w:val="clear" w:color="000000" w:fill="FFFFFF"/>
            <w:noWrap/>
            <w:tcMar>
              <w:left w:w="0" w:type="dxa"/>
              <w:right w:w="43" w:type="dxa"/>
            </w:tcMar>
            <w:vAlign w:val="center"/>
          </w:tcPr>
          <w:p w:rsidRPr="00AC41AC" w:rsidR="000E31AA" w:rsidP="000E31AA" w:rsidRDefault="000E31AA" w14:paraId="77598BE5" w14:textId="1BD3A273">
            <w:pPr>
              <w:jc w:val="right"/>
              <w:rPr>
                <w:rFonts w:asciiTheme="minorHAnsi" w:hAnsiTheme="minorHAnsi" w:cstheme="minorHAnsi"/>
                <w:sz w:val="16"/>
                <w:szCs w:val="16"/>
              </w:rPr>
            </w:pPr>
            <w:r w:rsidRPr="00AC41AC">
              <w:rPr>
                <w:rFonts w:asciiTheme="minorHAnsi" w:hAnsiTheme="minorHAnsi" w:cstheme="minorHAnsi"/>
                <w:color w:val="000000"/>
                <w:sz w:val="16"/>
                <w:szCs w:val="16"/>
              </w:rPr>
              <w:t>139,902</w:t>
            </w:r>
          </w:p>
        </w:tc>
        <w:tc>
          <w:tcPr>
            <w:tcW w:w="151" w:type="pct"/>
            <w:shd w:val="clear" w:color="000000" w:fill="FFFFFF"/>
            <w:noWrap/>
            <w:tcMar>
              <w:left w:w="0" w:type="dxa"/>
              <w:right w:w="43" w:type="dxa"/>
            </w:tcMar>
            <w:vAlign w:val="center"/>
          </w:tcPr>
          <w:p w:rsidRPr="00AC41AC" w:rsidR="000E31AA" w:rsidP="000E31AA" w:rsidRDefault="000E31AA" w14:paraId="4158D0D8" w14:textId="210BDD43">
            <w:pPr>
              <w:jc w:val="right"/>
              <w:rPr>
                <w:rFonts w:asciiTheme="minorHAnsi" w:hAnsiTheme="minorHAnsi" w:cstheme="minorHAnsi"/>
                <w:sz w:val="16"/>
                <w:szCs w:val="16"/>
              </w:rPr>
            </w:pPr>
            <w:r w:rsidRPr="00AC41AC">
              <w:rPr>
                <w:rFonts w:asciiTheme="minorHAnsi" w:hAnsiTheme="minorHAnsi" w:cstheme="minorHAnsi"/>
                <w:color w:val="000000"/>
                <w:sz w:val="16"/>
                <w:szCs w:val="16"/>
              </w:rPr>
              <w:t>928.4</w:t>
            </w:r>
          </w:p>
        </w:tc>
      </w:tr>
    </w:tbl>
    <w:p w:rsidR="00D520BD" w:rsidP="00D520BD" w:rsidRDefault="00D520BD" w14:paraId="406F1864" w14:textId="46D4347E">
      <w:pPr>
        <w:rPr>
          <w:rFonts w:cs="Arial"/>
          <w:sz w:val="22"/>
          <w:szCs w:val="22"/>
        </w:rPr>
      </w:pPr>
    </w:p>
    <w:p w:rsidRPr="00A4214E" w:rsidR="00D520BD" w:rsidP="00D520BD" w:rsidRDefault="00D520BD" w14:paraId="17E07093" w14:textId="77777777">
      <w:pPr>
        <w:keepNext/>
        <w:spacing w:after="120"/>
        <w:ind w:right="-14"/>
        <w:rPr>
          <w:rFonts w:eastAsia="Arial" w:cs="Arial"/>
          <w:szCs w:val="16"/>
        </w:rPr>
      </w:pPr>
      <w:r w:rsidRPr="00A4214E">
        <w:rPr>
          <w:rFonts w:eastAsia="Arial" w:cs="Arial"/>
          <w:szCs w:val="16"/>
          <w:u w:val="single" w:color="000000"/>
        </w:rPr>
        <w:t>Notes on Appendix A</w:t>
      </w:r>
      <w:r w:rsidRPr="00BC6018">
        <w:rPr>
          <w:rFonts w:eastAsia="Arial"/>
        </w:rPr>
        <w:t>:</w:t>
      </w:r>
    </w:p>
    <w:p w:rsidRPr="00F24AA8" w:rsidR="00D520BD" w:rsidP="005C6BA3" w:rsidRDefault="00D520BD" w14:paraId="184B7752" w14:textId="75F793F2">
      <w:pPr>
        <w:pStyle w:val="ListParagraph"/>
        <w:keepNext/>
        <w:numPr>
          <w:ilvl w:val="0"/>
          <w:numId w:val="22"/>
        </w:numPr>
        <w:spacing w:before="120" w:after="120"/>
        <w:ind w:right="43"/>
        <w:contextualSpacing w:val="0"/>
        <w:rPr>
          <w:rFonts w:eastAsia="Arial" w:cs="Arial"/>
          <w:szCs w:val="16"/>
        </w:rPr>
      </w:pPr>
      <w:r w:rsidRPr="00F24AA8">
        <w:rPr>
          <w:rFonts w:eastAsia="Arial" w:cs="Arial"/>
          <w:szCs w:val="16"/>
        </w:rPr>
        <w:t>Site construction at Vogtle Units 3 and 4 began in calendar year (</w:t>
      </w:r>
      <w:r w:rsidRPr="00F24AA8">
        <w:t>CY) </w:t>
      </w:r>
      <w:r w:rsidRPr="00F24AA8">
        <w:rPr>
          <w:rFonts w:eastAsia="Arial" w:cs="Arial"/>
          <w:szCs w:val="16"/>
        </w:rPr>
        <w:t>2009</w:t>
      </w:r>
      <w:r w:rsidR="005F6974">
        <w:rPr>
          <w:rFonts w:eastAsia="Arial" w:cs="Arial"/>
          <w:szCs w:val="16"/>
        </w:rPr>
        <w:t xml:space="preserve">.  Site construction is </w:t>
      </w:r>
      <w:r w:rsidR="00552EE7">
        <w:rPr>
          <w:rFonts w:eastAsia="Arial" w:cs="Arial"/>
          <w:szCs w:val="16"/>
        </w:rPr>
        <w:t xml:space="preserve">expected to be complete prior to </w:t>
      </w:r>
      <w:r w:rsidR="00B72A6E">
        <w:rPr>
          <w:rFonts w:eastAsia="Arial" w:cs="Arial"/>
          <w:szCs w:val="16"/>
        </w:rPr>
        <w:t xml:space="preserve">the </w:t>
      </w:r>
      <w:r w:rsidR="00CD2DC8">
        <w:rPr>
          <w:rFonts w:eastAsia="Arial" w:cs="Arial"/>
          <w:szCs w:val="16"/>
        </w:rPr>
        <w:t xml:space="preserve">compliance </w:t>
      </w:r>
      <w:r w:rsidR="00B72A6E">
        <w:rPr>
          <w:rFonts w:eastAsia="Arial" w:cs="Arial"/>
          <w:szCs w:val="16"/>
        </w:rPr>
        <w:t>date of the final rule</w:t>
      </w:r>
      <w:r w:rsidR="00A71D4E">
        <w:rPr>
          <w:rFonts w:eastAsia="Arial" w:cs="Arial"/>
          <w:szCs w:val="16"/>
        </w:rPr>
        <w:t>.</w:t>
      </w:r>
      <w:r w:rsidR="00B72A6E">
        <w:rPr>
          <w:rFonts w:eastAsia="Arial" w:cs="Arial"/>
          <w:szCs w:val="16"/>
        </w:rPr>
        <w:t xml:space="preserve"> </w:t>
      </w:r>
    </w:p>
    <w:p w:rsidRPr="00E45B04" w:rsidR="00D520BD" w:rsidP="00D520BD" w:rsidRDefault="00BE22CA" w14:paraId="214D99DF" w14:textId="5B1C4EF6">
      <w:pPr>
        <w:pStyle w:val="ListParagraph"/>
        <w:numPr>
          <w:ilvl w:val="0"/>
          <w:numId w:val="22"/>
        </w:numPr>
        <w:spacing w:before="120" w:after="120"/>
        <w:ind w:right="43"/>
        <w:contextualSpacing w:val="0"/>
        <w:rPr>
          <w:rFonts w:eastAsia="Arial" w:cs="Arial"/>
          <w:szCs w:val="16"/>
        </w:rPr>
      </w:pPr>
      <w:r>
        <w:rPr>
          <w:rFonts w:eastAsia="Arial" w:cs="Arial"/>
          <w:szCs w:val="16"/>
        </w:rPr>
        <w:t xml:space="preserve">Construction of </w:t>
      </w:r>
      <w:r w:rsidRPr="00A4214E" w:rsidR="00D520BD">
        <w:rPr>
          <w:rFonts w:eastAsia="Arial" w:cs="Arial"/>
          <w:szCs w:val="16"/>
        </w:rPr>
        <w:t>Watts Bar</w:t>
      </w:r>
      <w:r>
        <w:rPr>
          <w:rFonts w:eastAsia="Arial" w:cs="Arial"/>
          <w:szCs w:val="16"/>
        </w:rPr>
        <w:t xml:space="preserve"> </w:t>
      </w:r>
      <w:r w:rsidRPr="00A4214E" w:rsidR="00D520BD">
        <w:rPr>
          <w:rFonts w:eastAsia="Arial" w:cs="Arial"/>
          <w:szCs w:val="16"/>
        </w:rPr>
        <w:t xml:space="preserve">Unit 2 restarted in </w:t>
      </w:r>
      <w:r w:rsidRPr="009223FB" w:rsidR="00D520BD">
        <w:t>CY </w:t>
      </w:r>
      <w:r w:rsidRPr="00A4214E" w:rsidR="00D520BD">
        <w:rPr>
          <w:rFonts w:eastAsia="Arial" w:cs="Arial"/>
          <w:szCs w:val="16"/>
        </w:rPr>
        <w:t>2008</w:t>
      </w:r>
      <w:r w:rsidR="00D520BD">
        <w:rPr>
          <w:rFonts w:eastAsia="Arial" w:cs="Arial"/>
          <w:szCs w:val="16"/>
        </w:rPr>
        <w:t xml:space="preserve"> and completed in </w:t>
      </w:r>
      <w:r w:rsidRPr="009223FB" w:rsidR="00D520BD">
        <w:t>CY </w:t>
      </w:r>
      <w:r w:rsidR="00D520BD">
        <w:rPr>
          <w:rFonts w:eastAsia="Arial" w:cs="Arial"/>
          <w:szCs w:val="16"/>
        </w:rPr>
        <w:t>2015;</w:t>
      </w:r>
      <w:r w:rsidRPr="00A4214E" w:rsidR="00D520BD">
        <w:rPr>
          <w:rFonts w:eastAsia="Arial" w:cs="Arial"/>
          <w:szCs w:val="16"/>
        </w:rPr>
        <w:t xml:space="preserve"> the licensee </w:t>
      </w:r>
      <w:r w:rsidR="00D520BD">
        <w:rPr>
          <w:rFonts w:eastAsia="Arial" w:cs="Arial"/>
          <w:szCs w:val="16"/>
        </w:rPr>
        <w:t>did</w:t>
      </w:r>
      <w:r w:rsidRPr="00A4214E" w:rsidR="00D520BD">
        <w:rPr>
          <w:rFonts w:eastAsia="Arial" w:cs="Arial"/>
          <w:szCs w:val="16"/>
        </w:rPr>
        <w:t xml:space="preserve"> not report separately for the construction site.</w:t>
      </w:r>
    </w:p>
    <w:p w:rsidRPr="00646A79" w:rsidR="00D520BD" w:rsidP="00D520BD" w:rsidRDefault="00D520BD" w14:paraId="3914D5BB" w14:textId="77777777">
      <w:pPr>
        <w:rPr>
          <w:sz w:val="22"/>
          <w:szCs w:val="22"/>
        </w:rPr>
        <w:sectPr w:rsidRPr="00646A79" w:rsidR="00D520BD" w:rsidSect="009C5BA2">
          <w:footerReference w:type="default" r:id="rId36"/>
          <w:pgSz w:w="20160" w:h="12240" w:orient="landscape" w:code="5"/>
          <w:pgMar w:top="720" w:right="1080" w:bottom="1080" w:left="720" w:header="576" w:footer="576" w:gutter="0"/>
          <w:pgNumType w:start="1"/>
          <w:cols w:space="720"/>
          <w:docGrid w:linePitch="272"/>
        </w:sectPr>
      </w:pPr>
    </w:p>
    <w:p w:rsidRPr="00834DCE" w:rsidR="00D520BD" w:rsidP="00D520BD" w:rsidRDefault="00D520BD" w14:paraId="6F5838FA" w14:textId="77777777">
      <w:pPr>
        <w:rPr>
          <w:rFonts w:eastAsiaTheme="minorEastAsia"/>
          <w:b/>
          <w:i/>
          <w:sz w:val="28"/>
          <w:szCs w:val="28"/>
        </w:rPr>
      </w:pPr>
      <w:bookmarkStart w:name="_Toc369786580" w:id="296"/>
      <w:bookmarkStart w:name="_Toc370806859" w:id="297"/>
      <w:bookmarkEnd w:id="295"/>
      <w:r w:rsidRPr="00177575">
        <w:rPr>
          <w:rFonts w:eastAsiaTheme="minorEastAsia"/>
          <w:b/>
          <w:i/>
          <w:sz w:val="28"/>
          <w:szCs w:val="28"/>
        </w:rPr>
        <w:t>Appendix B:  General Inputs</w:t>
      </w:r>
      <w:bookmarkEnd w:id="296"/>
      <w:bookmarkEnd w:id="297"/>
    </w:p>
    <w:p w:rsidRPr="00A215BF" w:rsidR="00D520BD" w:rsidP="00D520BD" w:rsidRDefault="00D520BD" w14:paraId="268ECB0E" w14:textId="77777777">
      <w:pPr>
        <w:rPr>
          <w:rFonts w:eastAsiaTheme="minorEastAsia"/>
          <w:b/>
          <w:i/>
          <w:sz w:val="22"/>
          <w:szCs w:val="28"/>
        </w:rPr>
      </w:pPr>
    </w:p>
    <w:tbl>
      <w:tblPr>
        <w:tblStyle w:val="TableGrid"/>
        <w:tblW w:w="5000" w:type="pct"/>
        <w:tblCellMar>
          <w:top w:w="14" w:type="dxa"/>
          <w:left w:w="115" w:type="dxa"/>
          <w:bottom w:w="14" w:type="dxa"/>
          <w:right w:w="115" w:type="dxa"/>
        </w:tblCellMar>
        <w:tblLook w:val="04A0" w:firstRow="1" w:lastRow="0" w:firstColumn="1" w:lastColumn="0" w:noHBand="0" w:noVBand="1"/>
      </w:tblPr>
      <w:tblGrid>
        <w:gridCol w:w="3024"/>
        <w:gridCol w:w="1273"/>
        <w:gridCol w:w="5053"/>
      </w:tblGrid>
      <w:tr w:rsidRPr="00260F01" w:rsidR="00D520BD" w:rsidTr="001416A2" w14:paraId="2B42C672" w14:textId="77777777">
        <w:trPr>
          <w:cantSplit/>
          <w:tblHeader/>
        </w:trPr>
        <w:tc>
          <w:tcPr>
            <w:tcW w:w="1617" w:type="pct"/>
            <w:shd w:val="clear" w:color="auto" w:fill="D9D9D9" w:themeFill="background1" w:themeFillShade="D9"/>
            <w:vAlign w:val="center"/>
          </w:tcPr>
          <w:p w:rsidRPr="002D77F8" w:rsidR="00D520BD" w:rsidP="00982BD1" w:rsidRDefault="00D520BD" w14:paraId="4F1091DB" w14:textId="77777777">
            <w:pPr>
              <w:tabs>
                <w:tab w:val="left" w:pos="4260"/>
                <w:tab w:val="left" w:pos="5220"/>
              </w:tabs>
              <w:spacing w:before="3"/>
              <w:ind w:right="-20"/>
              <w:jc w:val="center"/>
              <w:rPr>
                <w:rFonts w:eastAsia="Arial"/>
                <w:b/>
                <w:sz w:val="16"/>
              </w:rPr>
            </w:pPr>
            <w:r w:rsidRPr="002D77F8">
              <w:rPr>
                <w:rFonts w:eastAsia="Arial"/>
                <w:b/>
                <w:sz w:val="16"/>
              </w:rPr>
              <w:t>Model Inputs</w:t>
            </w:r>
          </w:p>
        </w:tc>
        <w:tc>
          <w:tcPr>
            <w:tcW w:w="681" w:type="pct"/>
            <w:shd w:val="clear" w:color="auto" w:fill="D9D9D9" w:themeFill="background1" w:themeFillShade="D9"/>
            <w:vAlign w:val="center"/>
          </w:tcPr>
          <w:p w:rsidRPr="002D77F8" w:rsidR="00FD1EAF" w:rsidP="00982BD1" w:rsidRDefault="00FD1EAF" w14:paraId="5F9A98B4" w14:textId="2AB78C95">
            <w:pPr>
              <w:tabs>
                <w:tab w:val="left" w:pos="4260"/>
                <w:tab w:val="left" w:pos="5220"/>
              </w:tabs>
              <w:spacing w:before="3"/>
              <w:ind w:right="-20"/>
              <w:jc w:val="center"/>
              <w:rPr>
                <w:rFonts w:eastAsia="Arial"/>
                <w:b/>
                <w:sz w:val="16"/>
              </w:rPr>
            </w:pPr>
            <w:r w:rsidRPr="002D77F8">
              <w:rPr>
                <w:rFonts w:eastAsia="Arial"/>
                <w:b/>
                <w:sz w:val="16"/>
              </w:rPr>
              <w:t>Mean</w:t>
            </w:r>
          </w:p>
          <w:p w:rsidRPr="002D77F8" w:rsidR="00D520BD" w:rsidP="00982BD1" w:rsidRDefault="00D520BD" w14:paraId="49B85A1F" w14:textId="401E25BD">
            <w:pPr>
              <w:tabs>
                <w:tab w:val="left" w:pos="4260"/>
                <w:tab w:val="left" w:pos="5220"/>
              </w:tabs>
              <w:spacing w:before="3"/>
              <w:ind w:right="-20"/>
              <w:jc w:val="center"/>
              <w:rPr>
                <w:rFonts w:eastAsia="Arial"/>
                <w:b/>
                <w:sz w:val="16"/>
              </w:rPr>
            </w:pPr>
            <w:r w:rsidRPr="002D77F8">
              <w:rPr>
                <w:rFonts w:eastAsia="Arial"/>
                <w:b/>
                <w:sz w:val="16"/>
              </w:rPr>
              <w:t>Value</w:t>
            </w:r>
          </w:p>
        </w:tc>
        <w:tc>
          <w:tcPr>
            <w:tcW w:w="2702" w:type="pct"/>
            <w:shd w:val="clear" w:color="auto" w:fill="D9D9D9" w:themeFill="background1" w:themeFillShade="D9"/>
            <w:vAlign w:val="center"/>
          </w:tcPr>
          <w:p w:rsidRPr="002D77F8" w:rsidR="00D520BD" w:rsidP="00982BD1" w:rsidRDefault="00D520BD" w14:paraId="40662FC1" w14:textId="77777777">
            <w:pPr>
              <w:tabs>
                <w:tab w:val="left" w:pos="4260"/>
                <w:tab w:val="left" w:pos="5220"/>
              </w:tabs>
              <w:spacing w:before="3"/>
              <w:ind w:right="-20"/>
              <w:jc w:val="center"/>
              <w:rPr>
                <w:rFonts w:eastAsia="Arial"/>
                <w:b/>
                <w:sz w:val="16"/>
              </w:rPr>
            </w:pPr>
            <w:r w:rsidRPr="002D77F8">
              <w:rPr>
                <w:rFonts w:eastAsia="Arial"/>
                <w:b/>
                <w:sz w:val="16"/>
              </w:rPr>
              <w:t>Data Source</w:t>
            </w:r>
          </w:p>
        </w:tc>
      </w:tr>
      <w:tr w:rsidRPr="00260F01" w:rsidR="00D520BD" w:rsidTr="00982BD1" w14:paraId="6398DD75" w14:textId="77777777">
        <w:trPr>
          <w:cantSplit/>
        </w:trPr>
        <w:tc>
          <w:tcPr>
            <w:tcW w:w="5000" w:type="pct"/>
            <w:gridSpan w:val="3"/>
            <w:shd w:val="clear" w:color="auto" w:fill="D9D9D9" w:themeFill="background1" w:themeFillShade="D9"/>
            <w:vAlign w:val="center"/>
          </w:tcPr>
          <w:p w:rsidRPr="002D77F8" w:rsidR="00D520BD" w:rsidP="00982BD1" w:rsidRDefault="00D520BD" w14:paraId="3BC3DA42" w14:textId="77777777">
            <w:pPr>
              <w:tabs>
                <w:tab w:val="left" w:pos="4260"/>
                <w:tab w:val="left" w:pos="5220"/>
              </w:tabs>
              <w:spacing w:before="3"/>
              <w:ind w:right="-20"/>
              <w:rPr>
                <w:rFonts w:eastAsia="Arial"/>
                <w:b/>
                <w:sz w:val="16"/>
              </w:rPr>
            </w:pPr>
            <w:r w:rsidRPr="002D77F8">
              <w:rPr>
                <w:rFonts w:eastAsia="Arial"/>
                <w:b/>
                <w:sz w:val="16"/>
              </w:rPr>
              <w:t>Final Rule—Effective Date and Scope</w:t>
            </w:r>
          </w:p>
        </w:tc>
      </w:tr>
      <w:tr w:rsidRPr="00260F01" w:rsidR="00D520BD" w:rsidTr="001416A2" w14:paraId="1B5F11ED" w14:textId="77777777">
        <w:trPr>
          <w:cantSplit/>
        </w:trPr>
        <w:tc>
          <w:tcPr>
            <w:tcW w:w="1617" w:type="pct"/>
            <w:tcBorders>
              <w:bottom w:val="single" w:color="auto" w:sz="4" w:space="0"/>
            </w:tcBorders>
            <w:vAlign w:val="center"/>
          </w:tcPr>
          <w:p w:rsidRPr="002D77F8" w:rsidR="00D520BD" w:rsidP="00982BD1" w:rsidRDefault="00D520BD" w14:paraId="7A74B647" w14:textId="77777777">
            <w:pPr>
              <w:tabs>
                <w:tab w:val="left" w:pos="4260"/>
                <w:tab w:val="left" w:pos="5220"/>
              </w:tabs>
              <w:spacing w:before="3"/>
              <w:ind w:right="-20"/>
              <w:rPr>
                <w:rFonts w:eastAsia="Arial"/>
                <w:sz w:val="16"/>
              </w:rPr>
            </w:pPr>
            <w:r w:rsidRPr="002D77F8">
              <w:rPr>
                <w:rFonts w:eastAsia="Arial"/>
                <w:sz w:val="16"/>
              </w:rPr>
              <w:t>Year rule finalized</w:t>
            </w:r>
          </w:p>
        </w:tc>
        <w:tc>
          <w:tcPr>
            <w:tcW w:w="681" w:type="pct"/>
            <w:tcBorders>
              <w:bottom w:val="single" w:color="auto" w:sz="4" w:space="0"/>
            </w:tcBorders>
            <w:vAlign w:val="center"/>
          </w:tcPr>
          <w:p w:rsidRPr="002D77F8" w:rsidR="00D520BD" w:rsidP="00982BD1" w:rsidRDefault="00D520BD" w14:paraId="6A81CDC2" w14:textId="315E51CF">
            <w:pPr>
              <w:tabs>
                <w:tab w:val="left" w:pos="4260"/>
                <w:tab w:val="left" w:pos="5220"/>
              </w:tabs>
              <w:spacing w:before="3"/>
              <w:ind w:right="-20"/>
              <w:jc w:val="center"/>
              <w:rPr>
                <w:rFonts w:eastAsia="Arial"/>
                <w:sz w:val="16"/>
              </w:rPr>
            </w:pPr>
            <w:r w:rsidRPr="002D77F8">
              <w:rPr>
                <w:rFonts w:eastAsia="Arial"/>
                <w:sz w:val="16"/>
              </w:rPr>
              <w:t>20</w:t>
            </w:r>
            <w:r w:rsidRPr="002D77F8" w:rsidR="004E39D6">
              <w:rPr>
                <w:rFonts w:eastAsia="Arial"/>
                <w:sz w:val="16"/>
              </w:rPr>
              <w:t>22</w:t>
            </w:r>
          </w:p>
        </w:tc>
        <w:tc>
          <w:tcPr>
            <w:tcW w:w="2702" w:type="pct"/>
            <w:tcBorders>
              <w:bottom w:val="single" w:color="auto" w:sz="4" w:space="0"/>
            </w:tcBorders>
            <w:vAlign w:val="center"/>
          </w:tcPr>
          <w:p w:rsidRPr="002D77F8" w:rsidR="00D520BD" w:rsidP="00982BD1" w:rsidRDefault="00D520BD" w14:paraId="10BF7102" w14:textId="77777777">
            <w:pPr>
              <w:tabs>
                <w:tab w:val="left" w:pos="4260"/>
                <w:tab w:val="left" w:pos="5220"/>
              </w:tabs>
              <w:spacing w:before="3"/>
              <w:ind w:right="-20"/>
              <w:rPr>
                <w:rFonts w:eastAsia="Arial"/>
                <w:sz w:val="16"/>
              </w:rPr>
            </w:pPr>
            <w:r w:rsidRPr="002D77F8">
              <w:rPr>
                <w:rFonts w:eastAsia="Arial"/>
                <w:sz w:val="16"/>
              </w:rPr>
              <w:t>U.S. Nuclear Regulatory Commission (NRC) staff assumption</w:t>
            </w:r>
          </w:p>
        </w:tc>
      </w:tr>
      <w:tr w:rsidRPr="00260F01" w:rsidR="00D520BD" w:rsidTr="001416A2" w14:paraId="79530265" w14:textId="77777777">
        <w:trPr>
          <w:cantSplit/>
        </w:trPr>
        <w:tc>
          <w:tcPr>
            <w:tcW w:w="1617" w:type="pct"/>
            <w:vAlign w:val="center"/>
          </w:tcPr>
          <w:p w:rsidRPr="002D77F8" w:rsidR="00D520BD" w:rsidP="00982BD1" w:rsidRDefault="00D520BD" w14:paraId="293F6D6B" w14:textId="77777777">
            <w:pPr>
              <w:tabs>
                <w:tab w:val="left" w:pos="4260"/>
                <w:tab w:val="left" w:pos="5220"/>
              </w:tabs>
              <w:spacing w:before="3"/>
              <w:ind w:right="-20"/>
              <w:rPr>
                <w:rFonts w:eastAsia="Arial"/>
                <w:sz w:val="16"/>
              </w:rPr>
            </w:pPr>
            <w:r w:rsidRPr="002D77F8">
              <w:rPr>
                <w:rFonts w:eastAsia="Arial"/>
                <w:sz w:val="16"/>
              </w:rPr>
              <w:t>Year rule effective</w:t>
            </w:r>
          </w:p>
        </w:tc>
        <w:tc>
          <w:tcPr>
            <w:tcW w:w="681" w:type="pct"/>
            <w:shd w:val="clear" w:color="auto" w:fill="auto"/>
            <w:vAlign w:val="center"/>
          </w:tcPr>
          <w:p w:rsidRPr="002D77F8" w:rsidR="00D520BD" w:rsidP="00982BD1" w:rsidRDefault="00D520BD" w14:paraId="01555DD1" w14:textId="624E5A53">
            <w:pPr>
              <w:tabs>
                <w:tab w:val="left" w:pos="4260"/>
                <w:tab w:val="left" w:pos="5220"/>
              </w:tabs>
              <w:spacing w:before="3"/>
              <w:ind w:right="-20"/>
              <w:jc w:val="center"/>
              <w:rPr>
                <w:rFonts w:eastAsia="Arial"/>
                <w:sz w:val="16"/>
              </w:rPr>
            </w:pPr>
            <w:r w:rsidRPr="002D77F8">
              <w:rPr>
                <w:rFonts w:eastAsia="Arial"/>
                <w:sz w:val="16"/>
              </w:rPr>
              <w:t>20</w:t>
            </w:r>
            <w:r w:rsidRPr="002D77F8" w:rsidR="004E39D6">
              <w:rPr>
                <w:rFonts w:eastAsia="Arial"/>
                <w:sz w:val="16"/>
              </w:rPr>
              <w:t>2</w:t>
            </w:r>
            <w:r w:rsidRPr="002D77F8" w:rsidR="00F24AA8">
              <w:rPr>
                <w:rFonts w:eastAsia="Arial"/>
                <w:sz w:val="16"/>
              </w:rPr>
              <w:t>3</w:t>
            </w:r>
          </w:p>
        </w:tc>
        <w:tc>
          <w:tcPr>
            <w:tcW w:w="2702" w:type="pct"/>
            <w:vAlign w:val="center"/>
          </w:tcPr>
          <w:p w:rsidRPr="002D77F8" w:rsidR="00D520BD" w:rsidP="00982BD1" w:rsidRDefault="00D520BD" w14:paraId="42FCDA64" w14:textId="77777777">
            <w:pPr>
              <w:tabs>
                <w:tab w:val="left" w:pos="4260"/>
                <w:tab w:val="left" w:pos="5220"/>
              </w:tabs>
              <w:spacing w:before="3"/>
              <w:ind w:right="-20"/>
              <w:rPr>
                <w:rFonts w:eastAsia="Arial"/>
                <w:sz w:val="16"/>
              </w:rPr>
            </w:pPr>
            <w:r w:rsidRPr="002D77F8">
              <w:rPr>
                <w:rFonts w:eastAsia="Arial"/>
                <w:sz w:val="16"/>
              </w:rPr>
              <w:t>NRC staff assumption</w:t>
            </w:r>
          </w:p>
        </w:tc>
      </w:tr>
      <w:tr w:rsidRPr="00260F01" w:rsidR="00D520BD" w:rsidTr="001416A2" w14:paraId="0F0F4DB3" w14:textId="77777777">
        <w:trPr>
          <w:cantSplit/>
          <w:trHeight w:val="93"/>
        </w:trPr>
        <w:tc>
          <w:tcPr>
            <w:tcW w:w="1617" w:type="pct"/>
            <w:vAlign w:val="center"/>
          </w:tcPr>
          <w:p w:rsidRPr="00422E0E" w:rsidR="00D520BD" w:rsidP="00982BD1" w:rsidRDefault="00D520BD" w14:paraId="008FE0B8" w14:textId="3CC14A26">
            <w:pPr>
              <w:tabs>
                <w:tab w:val="left" w:pos="4260"/>
                <w:tab w:val="left" w:pos="5220"/>
              </w:tabs>
              <w:spacing w:before="3"/>
              <w:ind w:right="-20"/>
              <w:rPr>
                <w:rFonts w:eastAsia="Arial"/>
                <w:sz w:val="16"/>
              </w:rPr>
            </w:pPr>
            <w:r w:rsidRPr="002D77F8">
              <w:rPr>
                <w:rFonts w:eastAsia="Arial"/>
                <w:sz w:val="16"/>
              </w:rPr>
              <w:t>Total number of fitness</w:t>
            </w:r>
            <w:r w:rsidRPr="00260F01" w:rsidR="00A60A46">
              <w:rPr>
                <w:rFonts w:eastAsia="Arial" w:cs="Arial"/>
                <w:sz w:val="16"/>
                <w:szCs w:val="16"/>
              </w:rPr>
              <w:t xml:space="preserve"> </w:t>
            </w:r>
            <w:r w:rsidRPr="00422E0E">
              <w:rPr>
                <w:rFonts w:eastAsia="Arial"/>
                <w:sz w:val="16"/>
              </w:rPr>
              <w:t>for</w:t>
            </w:r>
            <w:r w:rsidRPr="00260F01" w:rsidR="00A60A46">
              <w:rPr>
                <w:rFonts w:eastAsia="Arial" w:cs="Arial"/>
                <w:sz w:val="16"/>
                <w:szCs w:val="16"/>
              </w:rPr>
              <w:t xml:space="preserve"> </w:t>
            </w:r>
            <w:r w:rsidRPr="00422E0E">
              <w:rPr>
                <w:rFonts w:eastAsia="Arial"/>
                <w:sz w:val="16"/>
              </w:rPr>
              <w:t>duty (FFD) programs</w:t>
            </w:r>
          </w:p>
        </w:tc>
        <w:tc>
          <w:tcPr>
            <w:tcW w:w="681" w:type="pct"/>
            <w:vAlign w:val="center"/>
          </w:tcPr>
          <w:p w:rsidRPr="00422E0E" w:rsidR="00D520BD" w:rsidP="00982BD1" w:rsidRDefault="00D520BD" w14:paraId="2AACA86B" w14:textId="1578EFC4">
            <w:pPr>
              <w:tabs>
                <w:tab w:val="left" w:pos="4260"/>
                <w:tab w:val="left" w:pos="5220"/>
              </w:tabs>
              <w:spacing w:before="3"/>
              <w:ind w:right="-20"/>
              <w:jc w:val="center"/>
              <w:rPr>
                <w:rFonts w:eastAsia="Arial"/>
                <w:sz w:val="16"/>
              </w:rPr>
            </w:pPr>
            <w:r w:rsidRPr="00422E0E">
              <w:rPr>
                <w:rFonts w:eastAsia="Arial"/>
                <w:sz w:val="16"/>
              </w:rPr>
              <w:t>2</w:t>
            </w:r>
            <w:r w:rsidRPr="00422E0E" w:rsidR="00B24668">
              <w:rPr>
                <w:rFonts w:eastAsia="Arial"/>
                <w:sz w:val="16"/>
              </w:rPr>
              <w:t>4</w:t>
            </w:r>
          </w:p>
        </w:tc>
        <w:tc>
          <w:tcPr>
            <w:tcW w:w="2702" w:type="pct"/>
            <w:vAlign w:val="center"/>
          </w:tcPr>
          <w:p w:rsidRPr="00422E0E" w:rsidR="00D520BD" w:rsidP="00982BD1" w:rsidRDefault="00D520BD" w14:paraId="3CC5E5D7" w14:textId="78C2E5B6">
            <w:pPr>
              <w:tabs>
                <w:tab w:val="left" w:pos="4260"/>
                <w:tab w:val="left" w:pos="5220"/>
              </w:tabs>
              <w:spacing w:before="3"/>
              <w:ind w:right="-20"/>
              <w:rPr>
                <w:rFonts w:eastAsia="Arial"/>
                <w:sz w:val="16"/>
              </w:rPr>
            </w:pPr>
            <w:r w:rsidRPr="00422E0E">
              <w:rPr>
                <w:rFonts w:eastAsia="Arial"/>
                <w:sz w:val="16"/>
              </w:rPr>
              <w:t>NRC FFD Program Performance Results Calendar Year (CY) 201</w:t>
            </w:r>
            <w:r w:rsidRPr="00422E0E" w:rsidR="004E39D6">
              <w:rPr>
                <w:rFonts w:eastAsia="Arial"/>
                <w:sz w:val="16"/>
              </w:rPr>
              <w:t>9</w:t>
            </w:r>
          </w:p>
        </w:tc>
      </w:tr>
      <w:tr w:rsidRPr="00260F01" w:rsidR="00D520BD" w:rsidTr="001416A2" w14:paraId="0FC835D3" w14:textId="77777777">
        <w:trPr>
          <w:cantSplit/>
          <w:trHeight w:val="597"/>
        </w:trPr>
        <w:tc>
          <w:tcPr>
            <w:tcW w:w="1617" w:type="pct"/>
            <w:vAlign w:val="center"/>
          </w:tcPr>
          <w:p w:rsidRPr="00422E0E" w:rsidR="00D520BD" w:rsidP="00982BD1" w:rsidRDefault="00D520BD" w14:paraId="59248D10" w14:textId="77777777">
            <w:pPr>
              <w:tabs>
                <w:tab w:val="left" w:pos="4260"/>
                <w:tab w:val="left" w:pos="5220"/>
              </w:tabs>
              <w:spacing w:before="3"/>
              <w:ind w:right="-20"/>
              <w:rPr>
                <w:rFonts w:eastAsia="Arial"/>
                <w:sz w:val="16"/>
              </w:rPr>
            </w:pPr>
            <w:r w:rsidRPr="00422E0E">
              <w:rPr>
                <w:rFonts w:eastAsia="Arial"/>
                <w:sz w:val="16"/>
              </w:rPr>
              <w:t>Total number of sites</w:t>
            </w:r>
          </w:p>
        </w:tc>
        <w:tc>
          <w:tcPr>
            <w:tcW w:w="681" w:type="pct"/>
            <w:vAlign w:val="center"/>
          </w:tcPr>
          <w:p w:rsidRPr="00422E0E" w:rsidR="00D520BD" w:rsidP="00982BD1" w:rsidRDefault="004E39D6" w14:paraId="6A449220" w14:textId="6A70446D">
            <w:pPr>
              <w:tabs>
                <w:tab w:val="left" w:pos="4260"/>
                <w:tab w:val="left" w:pos="5220"/>
              </w:tabs>
              <w:spacing w:before="3"/>
              <w:ind w:right="-20"/>
              <w:jc w:val="center"/>
              <w:rPr>
                <w:rFonts w:eastAsia="Arial"/>
                <w:sz w:val="16"/>
              </w:rPr>
            </w:pPr>
            <w:r w:rsidRPr="00422E0E">
              <w:rPr>
                <w:rFonts w:eastAsia="Arial"/>
                <w:sz w:val="16"/>
              </w:rPr>
              <w:t>5</w:t>
            </w:r>
            <w:r w:rsidRPr="00422E0E" w:rsidR="004C063D">
              <w:rPr>
                <w:rFonts w:eastAsia="Arial"/>
                <w:sz w:val="16"/>
              </w:rPr>
              <w:t>9</w:t>
            </w:r>
          </w:p>
        </w:tc>
        <w:tc>
          <w:tcPr>
            <w:tcW w:w="2702" w:type="pct"/>
            <w:vAlign w:val="center"/>
          </w:tcPr>
          <w:p w:rsidRPr="00422E0E" w:rsidR="00D520BD" w:rsidP="00982BD1" w:rsidRDefault="002F318C" w14:paraId="63A6C45E" w14:textId="70D51167">
            <w:pPr>
              <w:tabs>
                <w:tab w:val="left" w:pos="4260"/>
                <w:tab w:val="left" w:pos="5220"/>
              </w:tabs>
              <w:spacing w:before="3"/>
              <w:ind w:right="-20"/>
              <w:rPr>
                <w:rFonts w:eastAsia="Arial"/>
                <w:sz w:val="16"/>
              </w:rPr>
            </w:pPr>
            <w:r w:rsidRPr="00422E0E">
              <w:rPr>
                <w:rFonts w:eastAsia="Arial"/>
                <w:sz w:val="16"/>
              </w:rPr>
              <w:t xml:space="preserve">NRC FFD </w:t>
            </w:r>
            <w:r w:rsidRPr="00422E0E" w:rsidR="00222B0F">
              <w:rPr>
                <w:rFonts w:eastAsia="Arial"/>
                <w:sz w:val="16"/>
              </w:rPr>
              <w:t>P</w:t>
            </w:r>
            <w:r w:rsidRPr="00422E0E" w:rsidR="00D520BD">
              <w:rPr>
                <w:rFonts w:eastAsia="Arial"/>
                <w:sz w:val="16"/>
              </w:rPr>
              <w:t xml:space="preserve">rogram Performance </w:t>
            </w:r>
            <w:r w:rsidRPr="00422E0E" w:rsidR="00222B0F">
              <w:rPr>
                <w:rFonts w:eastAsia="Arial"/>
                <w:sz w:val="16"/>
              </w:rPr>
              <w:t>Results</w:t>
            </w:r>
            <w:r w:rsidRPr="00422E0E" w:rsidDel="00222B0F" w:rsidR="00D520BD">
              <w:rPr>
                <w:rFonts w:eastAsia="Arial"/>
                <w:sz w:val="16"/>
              </w:rPr>
              <w:t xml:space="preserve"> </w:t>
            </w:r>
            <w:r w:rsidRPr="00422E0E" w:rsidR="00D520BD">
              <w:rPr>
                <w:rFonts w:eastAsia="Arial"/>
                <w:sz w:val="16"/>
              </w:rPr>
              <w:t>CY </w:t>
            </w:r>
            <w:r w:rsidRPr="00422E0E" w:rsidR="00AB67BA">
              <w:rPr>
                <w:rFonts w:eastAsia="Arial"/>
                <w:sz w:val="16"/>
              </w:rPr>
              <w:t>2019</w:t>
            </w:r>
            <w:r w:rsidRPr="00422E0E" w:rsidR="00D520BD">
              <w:rPr>
                <w:rFonts w:eastAsia="Arial"/>
                <w:sz w:val="16"/>
              </w:rPr>
              <w:t xml:space="preserve"> (see Appendix</w:t>
            </w:r>
            <w:r w:rsidR="003773CC">
              <w:rPr>
                <w:rFonts w:eastAsia="Arial" w:cs="Arial"/>
                <w:sz w:val="16"/>
                <w:szCs w:val="16"/>
              </w:rPr>
              <w:t> </w:t>
            </w:r>
            <w:r w:rsidRPr="00422E0E" w:rsidR="00D520BD">
              <w:rPr>
                <w:rFonts w:eastAsia="Arial"/>
                <w:sz w:val="16"/>
              </w:rPr>
              <w:t xml:space="preserve">A). </w:t>
            </w:r>
            <w:r w:rsidR="009042A2">
              <w:rPr>
                <w:rFonts w:eastAsia="Arial" w:cs="Arial"/>
                <w:sz w:val="16"/>
                <w:szCs w:val="16"/>
              </w:rPr>
              <w:t xml:space="preserve"> </w:t>
            </w:r>
            <w:r w:rsidRPr="00422E0E" w:rsidR="00D520BD">
              <w:rPr>
                <w:rFonts w:eastAsia="Arial"/>
                <w:sz w:val="16"/>
              </w:rPr>
              <w:t xml:space="preserve">Total sites = </w:t>
            </w:r>
            <w:r w:rsidRPr="00422E0E" w:rsidR="006F1ABB">
              <w:rPr>
                <w:rFonts w:eastAsia="Arial"/>
                <w:sz w:val="16"/>
              </w:rPr>
              <w:t>51</w:t>
            </w:r>
            <w:r w:rsidRPr="00422E0E" w:rsidR="00D520BD">
              <w:rPr>
                <w:rFonts w:eastAsia="Arial"/>
                <w:sz w:val="16"/>
              </w:rPr>
              <w:t xml:space="preserve"> operating </w:t>
            </w:r>
            <w:r w:rsidRPr="00422E0E" w:rsidR="007A548B">
              <w:rPr>
                <w:rFonts w:eastAsia="Arial"/>
                <w:sz w:val="16"/>
              </w:rPr>
              <w:t xml:space="preserve">power </w:t>
            </w:r>
            <w:r w:rsidRPr="00422E0E" w:rsidR="00D520BD">
              <w:rPr>
                <w:rFonts w:eastAsia="Arial"/>
                <w:sz w:val="16"/>
              </w:rPr>
              <w:t>reactor sites</w:t>
            </w:r>
            <w:r w:rsidRPr="00422E0E" w:rsidR="00646A79">
              <w:rPr>
                <w:rFonts w:eastAsia="Arial"/>
                <w:sz w:val="16"/>
              </w:rPr>
              <w:t>,</w:t>
            </w:r>
            <w:r w:rsidRPr="00422E0E" w:rsidR="00D520BD">
              <w:rPr>
                <w:rFonts w:eastAsia="Arial"/>
                <w:sz w:val="16"/>
              </w:rPr>
              <w:t xml:space="preserve"> 2 </w:t>
            </w:r>
            <w:r w:rsidRPr="00422E0E" w:rsidR="007A548B">
              <w:rPr>
                <w:rFonts w:eastAsia="Arial"/>
                <w:sz w:val="16"/>
              </w:rPr>
              <w:t xml:space="preserve">Category I </w:t>
            </w:r>
            <w:r w:rsidR="0088161E">
              <w:rPr>
                <w:rFonts w:eastAsia="Arial"/>
                <w:sz w:val="16"/>
              </w:rPr>
              <w:t>special nuclear material licensees</w:t>
            </w:r>
            <w:r w:rsidRPr="00422E0E" w:rsidR="00646A79">
              <w:rPr>
                <w:rFonts w:eastAsia="Arial"/>
                <w:sz w:val="16"/>
              </w:rPr>
              <w:t>,</w:t>
            </w:r>
            <w:r w:rsidRPr="00422E0E" w:rsidR="00D520BD">
              <w:rPr>
                <w:rFonts w:eastAsia="Arial"/>
                <w:sz w:val="16"/>
              </w:rPr>
              <w:t xml:space="preserve"> 5 corporate offices</w:t>
            </w:r>
            <w:r w:rsidRPr="00422E0E" w:rsidR="00646A79">
              <w:rPr>
                <w:rFonts w:eastAsia="Arial"/>
                <w:sz w:val="16"/>
              </w:rPr>
              <w:t>,</w:t>
            </w:r>
            <w:r w:rsidRPr="00422E0E" w:rsidR="00D520BD">
              <w:rPr>
                <w:rFonts w:eastAsia="Arial"/>
                <w:sz w:val="16"/>
              </w:rPr>
              <w:t xml:space="preserve"> and 1 contractor/vendor (C/V).  (This analysis excludes sites that are in decommissioning or sites with announced dates when their unit will permanently cease commercial operation</w:t>
            </w:r>
            <w:r w:rsidRPr="00422E0E" w:rsidR="00646A79">
              <w:rPr>
                <w:rFonts w:eastAsia="Arial"/>
                <w:sz w:val="16"/>
              </w:rPr>
              <w:t>,</w:t>
            </w:r>
            <w:r w:rsidRPr="00422E0E" w:rsidR="00D520BD">
              <w:rPr>
                <w:rFonts w:eastAsia="Arial"/>
                <w:sz w:val="16"/>
              </w:rPr>
              <w:t xml:space="preserve"> as described in Section</w:t>
            </w:r>
            <w:r w:rsidR="003773CC">
              <w:rPr>
                <w:rFonts w:eastAsia="Arial" w:cs="Arial"/>
                <w:sz w:val="16"/>
                <w:szCs w:val="16"/>
              </w:rPr>
              <w:t> </w:t>
            </w:r>
            <w:r w:rsidRPr="00422E0E" w:rsidR="00D520BD">
              <w:rPr>
                <w:rFonts w:eastAsia="Arial"/>
                <w:sz w:val="16"/>
              </w:rPr>
              <w:t>4.2.2.)</w:t>
            </w:r>
          </w:p>
        </w:tc>
      </w:tr>
      <w:tr w:rsidRPr="00260F01" w:rsidR="00D520BD" w:rsidTr="001416A2" w14:paraId="68DCB511" w14:textId="77777777">
        <w:trPr>
          <w:cantSplit/>
        </w:trPr>
        <w:tc>
          <w:tcPr>
            <w:tcW w:w="1617" w:type="pct"/>
            <w:vAlign w:val="center"/>
          </w:tcPr>
          <w:p w:rsidRPr="00743849" w:rsidR="00D520BD" w:rsidP="00982BD1" w:rsidRDefault="00D520BD" w14:paraId="0EC593CE" w14:textId="77777777">
            <w:pPr>
              <w:tabs>
                <w:tab w:val="left" w:pos="4260"/>
                <w:tab w:val="left" w:pos="5220"/>
              </w:tabs>
              <w:spacing w:before="3"/>
              <w:ind w:right="-20"/>
              <w:rPr>
                <w:rFonts w:eastAsia="Arial"/>
                <w:sz w:val="16"/>
              </w:rPr>
            </w:pPr>
            <w:r w:rsidRPr="00743849">
              <w:rPr>
                <w:rFonts w:eastAsia="Arial"/>
                <w:sz w:val="16"/>
              </w:rPr>
              <w:t>Number of sites using a licensee testing facility (LTF)</w:t>
            </w:r>
          </w:p>
        </w:tc>
        <w:tc>
          <w:tcPr>
            <w:tcW w:w="681" w:type="pct"/>
            <w:vAlign w:val="center"/>
          </w:tcPr>
          <w:p w:rsidRPr="00743849" w:rsidR="00D520BD" w:rsidP="00982BD1" w:rsidRDefault="004E39D6" w14:paraId="4CC4097F" w14:textId="4C625F82">
            <w:pPr>
              <w:tabs>
                <w:tab w:val="left" w:pos="4260"/>
                <w:tab w:val="left" w:pos="5220"/>
              </w:tabs>
              <w:spacing w:before="3"/>
              <w:ind w:right="-20"/>
              <w:jc w:val="center"/>
              <w:rPr>
                <w:rFonts w:eastAsia="Arial"/>
                <w:sz w:val="16"/>
              </w:rPr>
            </w:pPr>
            <w:r w:rsidRPr="00743849">
              <w:rPr>
                <w:rFonts w:eastAsia="Arial"/>
                <w:sz w:val="16"/>
              </w:rPr>
              <w:t>3</w:t>
            </w:r>
          </w:p>
        </w:tc>
        <w:tc>
          <w:tcPr>
            <w:tcW w:w="2702" w:type="pct"/>
            <w:vAlign w:val="center"/>
          </w:tcPr>
          <w:p w:rsidRPr="00743849" w:rsidR="00D520BD" w:rsidP="00982BD1" w:rsidRDefault="00D520BD" w14:paraId="17AD27CE" w14:textId="67F35DC4">
            <w:pPr>
              <w:tabs>
                <w:tab w:val="left" w:pos="4260"/>
                <w:tab w:val="left" w:pos="5220"/>
              </w:tabs>
              <w:spacing w:before="3"/>
              <w:ind w:right="-20"/>
              <w:rPr>
                <w:rFonts w:eastAsia="Arial"/>
                <w:sz w:val="16"/>
              </w:rPr>
            </w:pPr>
            <w:r w:rsidRPr="00743849">
              <w:rPr>
                <w:rFonts w:eastAsia="Arial"/>
                <w:sz w:val="16"/>
              </w:rPr>
              <w:t>NRC FFD Program Performance Results CY 201</w:t>
            </w:r>
            <w:r w:rsidRPr="00743849" w:rsidR="004E39D6">
              <w:rPr>
                <w:rFonts w:eastAsia="Arial"/>
                <w:sz w:val="16"/>
              </w:rPr>
              <w:t>9</w:t>
            </w:r>
          </w:p>
        </w:tc>
      </w:tr>
      <w:tr w:rsidRPr="00260F01" w:rsidR="00D520BD" w:rsidTr="001416A2" w14:paraId="059C624C" w14:textId="77777777">
        <w:trPr>
          <w:cantSplit/>
        </w:trPr>
        <w:tc>
          <w:tcPr>
            <w:tcW w:w="1617" w:type="pct"/>
            <w:vAlign w:val="center"/>
          </w:tcPr>
          <w:p w:rsidRPr="00AA0749" w:rsidR="00D520BD" w:rsidP="00982BD1" w:rsidRDefault="00D520BD" w14:paraId="761B45F5" w14:textId="6F36CC39">
            <w:pPr>
              <w:tabs>
                <w:tab w:val="left" w:pos="4260"/>
                <w:tab w:val="left" w:pos="5220"/>
              </w:tabs>
              <w:spacing w:before="3"/>
              <w:ind w:right="-20"/>
              <w:rPr>
                <w:rFonts w:eastAsia="Arial"/>
                <w:sz w:val="16"/>
              </w:rPr>
            </w:pPr>
            <w:r w:rsidRPr="002D77F8">
              <w:rPr>
                <w:rFonts w:eastAsia="Arial"/>
                <w:sz w:val="16"/>
              </w:rPr>
              <w:t>Number of sites only using a U.S. </w:t>
            </w:r>
            <w:r w:rsidRPr="00260F01" w:rsidR="004B0F30">
              <w:rPr>
                <w:rFonts w:eastAsia="Arial" w:cs="Arial"/>
                <w:sz w:val="16"/>
                <w:szCs w:val="16"/>
              </w:rPr>
              <w:t xml:space="preserve">Department of </w:t>
            </w:r>
            <w:r w:rsidRPr="00AA0749">
              <w:rPr>
                <w:rFonts w:eastAsia="Arial"/>
                <w:sz w:val="16"/>
              </w:rPr>
              <w:t>Health and Human Services (HHS)</w:t>
            </w:r>
            <w:r w:rsidRPr="00AA0749">
              <w:rPr>
                <w:rFonts w:eastAsia="Arial"/>
                <w:sz w:val="16"/>
              </w:rPr>
              <w:noBreakHyphen/>
              <w:t>certified laboratory</w:t>
            </w:r>
          </w:p>
        </w:tc>
        <w:tc>
          <w:tcPr>
            <w:tcW w:w="681" w:type="pct"/>
            <w:vAlign w:val="center"/>
          </w:tcPr>
          <w:p w:rsidRPr="00AA0749" w:rsidR="00D520BD" w:rsidP="00982BD1" w:rsidRDefault="004E39D6" w14:paraId="0F57C0B7" w14:textId="7B6F8152">
            <w:pPr>
              <w:tabs>
                <w:tab w:val="left" w:pos="4260"/>
                <w:tab w:val="left" w:pos="5220"/>
              </w:tabs>
              <w:spacing w:before="3"/>
              <w:ind w:right="-20"/>
              <w:jc w:val="center"/>
              <w:rPr>
                <w:rFonts w:eastAsia="Arial"/>
                <w:sz w:val="16"/>
              </w:rPr>
            </w:pPr>
            <w:r w:rsidRPr="00AA0749">
              <w:rPr>
                <w:rFonts w:eastAsia="Arial"/>
                <w:sz w:val="16"/>
              </w:rPr>
              <w:t>5</w:t>
            </w:r>
            <w:r w:rsidRPr="00AA0749" w:rsidR="004C063D">
              <w:rPr>
                <w:rFonts w:eastAsia="Arial"/>
                <w:sz w:val="16"/>
              </w:rPr>
              <w:t>6</w:t>
            </w:r>
          </w:p>
        </w:tc>
        <w:tc>
          <w:tcPr>
            <w:tcW w:w="2702" w:type="pct"/>
            <w:vAlign w:val="center"/>
          </w:tcPr>
          <w:p w:rsidRPr="00AA0749" w:rsidR="00D520BD" w:rsidP="00982BD1" w:rsidRDefault="00D520BD" w14:paraId="3488F7EF" w14:textId="4C1A5148">
            <w:pPr>
              <w:tabs>
                <w:tab w:val="left" w:pos="4260"/>
                <w:tab w:val="left" w:pos="5220"/>
              </w:tabs>
              <w:spacing w:before="3"/>
              <w:ind w:right="-20"/>
              <w:rPr>
                <w:rFonts w:eastAsia="Arial"/>
                <w:sz w:val="16"/>
              </w:rPr>
            </w:pPr>
            <w:r w:rsidRPr="00AA0749">
              <w:rPr>
                <w:rFonts w:eastAsia="Arial"/>
                <w:sz w:val="16"/>
              </w:rPr>
              <w:t>NRC FFD Program Performance Results CY 201</w:t>
            </w:r>
            <w:r w:rsidRPr="00AA0749" w:rsidR="004E39D6">
              <w:rPr>
                <w:rFonts w:eastAsia="Arial"/>
                <w:sz w:val="16"/>
              </w:rPr>
              <w:t>9</w:t>
            </w:r>
          </w:p>
        </w:tc>
      </w:tr>
      <w:tr w:rsidRPr="00260F01" w:rsidR="00D520BD" w:rsidTr="001416A2" w14:paraId="71E4D8F4" w14:textId="77777777">
        <w:trPr>
          <w:cantSplit/>
          <w:trHeight w:val="1803"/>
        </w:trPr>
        <w:tc>
          <w:tcPr>
            <w:tcW w:w="1617" w:type="pct"/>
            <w:vAlign w:val="center"/>
          </w:tcPr>
          <w:p w:rsidRPr="00AA0749" w:rsidR="00D520BD" w:rsidP="00982BD1" w:rsidRDefault="00D520BD" w14:paraId="5B73A23F" w14:textId="77777777">
            <w:pPr>
              <w:tabs>
                <w:tab w:val="left" w:pos="4260"/>
                <w:tab w:val="left" w:pos="5220"/>
              </w:tabs>
              <w:spacing w:before="3"/>
              <w:ind w:right="-20"/>
              <w:rPr>
                <w:rFonts w:eastAsia="Arial"/>
                <w:sz w:val="16"/>
              </w:rPr>
            </w:pPr>
            <w:r w:rsidRPr="00AA0749">
              <w:rPr>
                <w:rFonts w:eastAsia="Arial"/>
                <w:sz w:val="16"/>
              </w:rPr>
              <w:t>Number of workers subject to a 10 CFR Part 26 FFD program</w:t>
            </w:r>
          </w:p>
        </w:tc>
        <w:tc>
          <w:tcPr>
            <w:tcW w:w="681" w:type="pct"/>
            <w:shd w:val="clear" w:color="auto" w:fill="auto"/>
            <w:vAlign w:val="center"/>
          </w:tcPr>
          <w:p w:rsidRPr="00AA0749" w:rsidR="00D520BD" w:rsidP="00982BD1" w:rsidRDefault="000E0865" w14:paraId="7E244444" w14:textId="1504B3D4">
            <w:pPr>
              <w:tabs>
                <w:tab w:val="left" w:pos="4260"/>
                <w:tab w:val="left" w:pos="5220"/>
              </w:tabs>
              <w:spacing w:before="3"/>
              <w:ind w:right="-20"/>
              <w:jc w:val="center"/>
              <w:rPr>
                <w:rFonts w:eastAsia="Arial"/>
                <w:sz w:val="16"/>
              </w:rPr>
            </w:pPr>
            <w:r w:rsidRPr="00AA0749">
              <w:rPr>
                <w:rFonts w:eastAsia="Arial"/>
                <w:sz w:val="16"/>
              </w:rPr>
              <w:t>92,356</w:t>
            </w:r>
          </w:p>
        </w:tc>
        <w:tc>
          <w:tcPr>
            <w:tcW w:w="2702" w:type="pct"/>
            <w:shd w:val="clear" w:color="auto" w:fill="auto"/>
            <w:vAlign w:val="center"/>
          </w:tcPr>
          <w:p w:rsidRPr="00AA0749" w:rsidR="00D520BD" w:rsidP="00982BD1" w:rsidRDefault="00D520BD" w14:paraId="505BEECC" w14:textId="19B53C71">
            <w:pPr>
              <w:tabs>
                <w:tab w:val="left" w:pos="4260"/>
                <w:tab w:val="left" w:pos="5220"/>
              </w:tabs>
              <w:spacing w:before="3"/>
              <w:ind w:right="-20"/>
              <w:rPr>
                <w:rFonts w:eastAsia="Arial"/>
                <w:sz w:val="16"/>
              </w:rPr>
            </w:pPr>
            <w:r w:rsidRPr="00AA0749">
              <w:rPr>
                <w:rFonts w:eastAsia="Arial"/>
                <w:sz w:val="16"/>
              </w:rPr>
              <w:t>NRC FFD Program Performance Results CY</w:t>
            </w:r>
            <w:r w:rsidRPr="00AA0749" w:rsidR="00CC2BE6">
              <w:rPr>
                <w:rFonts w:eastAsia="Arial"/>
                <w:sz w:val="16"/>
              </w:rPr>
              <w:t>s</w:t>
            </w:r>
            <w:r w:rsidRPr="00AA0749">
              <w:rPr>
                <w:rFonts w:eastAsia="Arial"/>
                <w:sz w:val="16"/>
              </w:rPr>
              <w:t> 2009–201</w:t>
            </w:r>
            <w:r w:rsidRPr="00AA0749" w:rsidR="000E0865">
              <w:rPr>
                <w:rFonts w:eastAsia="Arial"/>
                <w:sz w:val="16"/>
              </w:rPr>
              <w:t>9</w:t>
            </w:r>
            <w:r w:rsidRPr="00AA0749">
              <w:rPr>
                <w:rFonts w:eastAsia="Arial"/>
                <w:sz w:val="16"/>
              </w:rPr>
              <w:t>.  In the annual 10 CFR 26.717 FFD program performance report submitted to the NRC</w:t>
            </w:r>
            <w:r w:rsidRPr="00AA0749" w:rsidR="00646A79">
              <w:rPr>
                <w:rFonts w:eastAsia="Arial"/>
                <w:sz w:val="16"/>
              </w:rPr>
              <w:t>,</w:t>
            </w:r>
            <w:r w:rsidRPr="00AA0749">
              <w:rPr>
                <w:rFonts w:eastAsia="Arial"/>
                <w:sz w:val="16"/>
              </w:rPr>
              <w:t xml:space="preserve"> each licensee or other entity reports the average number of licensee employees and C/Vs subject to random testing in the reporting year.  The average of the yearly total for all </w:t>
            </w:r>
            <w:r w:rsidRPr="00AA0749" w:rsidR="00EB2719">
              <w:rPr>
                <w:rFonts w:eastAsia="Arial"/>
                <w:sz w:val="16"/>
              </w:rPr>
              <w:t>FFD</w:t>
            </w:r>
            <w:r w:rsidRPr="00AA0749">
              <w:rPr>
                <w:rFonts w:eastAsia="Arial"/>
                <w:sz w:val="16"/>
              </w:rPr>
              <w:t xml:space="preserve"> sites in CY</w:t>
            </w:r>
            <w:r w:rsidRPr="00AA0749" w:rsidR="00CC2BE6">
              <w:rPr>
                <w:rFonts w:eastAsia="Arial"/>
                <w:sz w:val="16"/>
              </w:rPr>
              <w:t>s</w:t>
            </w:r>
            <w:r w:rsidRPr="00AA0749">
              <w:rPr>
                <w:rFonts w:eastAsia="Arial"/>
                <w:sz w:val="16"/>
              </w:rPr>
              <w:t> 2009–201</w:t>
            </w:r>
            <w:r w:rsidRPr="00AA0749" w:rsidR="00EB2719">
              <w:rPr>
                <w:rFonts w:eastAsia="Arial"/>
                <w:sz w:val="16"/>
              </w:rPr>
              <w:t>9</w:t>
            </w:r>
            <w:r w:rsidRPr="00AA0749">
              <w:rPr>
                <w:rFonts w:eastAsia="Arial"/>
                <w:sz w:val="16"/>
              </w:rPr>
              <w:t xml:space="preserve"> is the best approximation of the total number of individuals in the workforce who require training on policy changes resulting from the rule.  Adjusted for construction sites </w:t>
            </w:r>
            <w:r w:rsidRPr="00260F01" w:rsidR="00F37C23">
              <w:rPr>
                <w:rFonts w:eastAsia="Arial" w:cs="Arial"/>
                <w:sz w:val="16"/>
                <w:szCs w:val="16"/>
              </w:rPr>
              <w:t>becoming</w:t>
            </w:r>
            <w:r w:rsidRPr="00AA0749">
              <w:rPr>
                <w:rFonts w:eastAsia="Arial"/>
                <w:sz w:val="16"/>
              </w:rPr>
              <w:t xml:space="preserve"> operational in CY</w:t>
            </w:r>
            <w:r w:rsidRPr="00AA0749" w:rsidR="007F3A88">
              <w:rPr>
                <w:rFonts w:eastAsia="Arial"/>
                <w:sz w:val="16"/>
              </w:rPr>
              <w:t>s</w:t>
            </w:r>
            <w:r w:rsidRPr="00AA0749">
              <w:rPr>
                <w:rFonts w:eastAsia="Arial"/>
                <w:sz w:val="16"/>
              </w:rPr>
              <w:t> 20</w:t>
            </w:r>
            <w:r w:rsidRPr="00AA0749" w:rsidR="004E39D6">
              <w:rPr>
                <w:rFonts w:eastAsia="Arial"/>
                <w:sz w:val="16"/>
              </w:rPr>
              <w:t>21</w:t>
            </w:r>
            <w:r w:rsidRPr="00AA0749">
              <w:rPr>
                <w:rFonts w:eastAsia="Arial"/>
                <w:sz w:val="16"/>
              </w:rPr>
              <w:t xml:space="preserve"> and 202</w:t>
            </w:r>
            <w:r w:rsidRPr="00AA0749" w:rsidR="004E39D6">
              <w:rPr>
                <w:rFonts w:eastAsia="Arial"/>
                <w:sz w:val="16"/>
              </w:rPr>
              <w:t>2</w:t>
            </w:r>
            <w:r w:rsidRPr="00AA0749">
              <w:rPr>
                <w:rFonts w:eastAsia="Arial"/>
                <w:sz w:val="16"/>
              </w:rPr>
              <w:t>.</w:t>
            </w:r>
          </w:p>
        </w:tc>
      </w:tr>
      <w:tr w:rsidRPr="00260F01" w:rsidR="00D520BD" w:rsidTr="001416A2" w14:paraId="2F4944A5" w14:textId="77777777">
        <w:trPr>
          <w:cantSplit/>
        </w:trPr>
        <w:tc>
          <w:tcPr>
            <w:tcW w:w="1617" w:type="pct"/>
            <w:vAlign w:val="center"/>
          </w:tcPr>
          <w:p w:rsidRPr="00AA0749" w:rsidR="00D520BD" w:rsidP="00982BD1" w:rsidRDefault="00D520BD" w14:paraId="73640877" w14:textId="77777777">
            <w:pPr>
              <w:tabs>
                <w:tab w:val="left" w:pos="4260"/>
                <w:tab w:val="left" w:pos="5220"/>
              </w:tabs>
              <w:spacing w:before="3"/>
              <w:ind w:right="-20"/>
              <w:rPr>
                <w:rFonts w:eastAsia="Arial"/>
                <w:sz w:val="16"/>
              </w:rPr>
            </w:pPr>
            <w:r w:rsidRPr="00AA0749">
              <w:rPr>
                <w:rFonts w:eastAsia="Arial"/>
                <w:sz w:val="16"/>
              </w:rPr>
              <w:t>Average number of workers subject to a 10 CFR Part 26 FFD program per site</w:t>
            </w:r>
          </w:p>
        </w:tc>
        <w:tc>
          <w:tcPr>
            <w:tcW w:w="681" w:type="pct"/>
            <w:shd w:val="clear" w:color="auto" w:fill="auto"/>
            <w:vAlign w:val="center"/>
          </w:tcPr>
          <w:p w:rsidRPr="00AA0749" w:rsidR="00D520BD" w:rsidP="006F21ED" w:rsidRDefault="00D520BD" w14:paraId="73B4A4D4" w14:textId="7A33034C">
            <w:pPr>
              <w:tabs>
                <w:tab w:val="left" w:pos="4260"/>
                <w:tab w:val="left" w:pos="5220"/>
              </w:tabs>
              <w:spacing w:before="3"/>
              <w:ind w:right="-20"/>
              <w:jc w:val="center"/>
              <w:rPr>
                <w:rFonts w:eastAsia="Arial"/>
                <w:sz w:val="16"/>
              </w:rPr>
            </w:pPr>
            <w:r w:rsidRPr="00AA0749">
              <w:rPr>
                <w:rFonts w:eastAsia="Arial"/>
                <w:sz w:val="16"/>
              </w:rPr>
              <w:t>1</w:t>
            </w:r>
            <w:r w:rsidRPr="00AA0749" w:rsidR="00646A79">
              <w:rPr>
                <w:rFonts w:eastAsia="Arial"/>
                <w:sz w:val="16"/>
              </w:rPr>
              <w:t>,</w:t>
            </w:r>
            <w:r w:rsidRPr="00AA0749" w:rsidR="00EB2719">
              <w:rPr>
                <w:rFonts w:eastAsia="Arial"/>
                <w:sz w:val="16"/>
              </w:rPr>
              <w:t>565</w:t>
            </w:r>
          </w:p>
        </w:tc>
        <w:tc>
          <w:tcPr>
            <w:tcW w:w="2702" w:type="pct"/>
            <w:shd w:val="clear" w:color="auto" w:fill="auto"/>
            <w:vAlign w:val="center"/>
          </w:tcPr>
          <w:p w:rsidRPr="00AA0749" w:rsidR="00D520BD" w:rsidP="00982BD1" w:rsidRDefault="00D520BD" w14:paraId="74244A74" w14:textId="1D6ECCDC">
            <w:pPr>
              <w:tabs>
                <w:tab w:val="left" w:pos="4260"/>
                <w:tab w:val="left" w:pos="5220"/>
              </w:tabs>
              <w:spacing w:before="3"/>
              <w:ind w:right="-20"/>
              <w:rPr>
                <w:rFonts w:eastAsia="Arial"/>
                <w:sz w:val="16"/>
              </w:rPr>
            </w:pPr>
            <w:r w:rsidRPr="00AA0749">
              <w:rPr>
                <w:rFonts w:eastAsia="Arial"/>
                <w:sz w:val="16"/>
              </w:rPr>
              <w:t>Calculated from the NRC FFD Program Performance Results CY</w:t>
            </w:r>
            <w:r w:rsidRPr="00AA0749" w:rsidR="00CC2BE6">
              <w:rPr>
                <w:rFonts w:eastAsia="Arial"/>
                <w:sz w:val="16"/>
              </w:rPr>
              <w:t>s</w:t>
            </w:r>
            <w:r w:rsidRPr="00AA0749">
              <w:rPr>
                <w:rFonts w:eastAsia="Arial"/>
                <w:sz w:val="16"/>
              </w:rPr>
              <w:t> 2009–201</w:t>
            </w:r>
            <w:r w:rsidRPr="00AA0749" w:rsidR="00E02DCD">
              <w:rPr>
                <w:rFonts w:eastAsia="Arial"/>
                <w:sz w:val="16"/>
              </w:rPr>
              <w:t>9</w:t>
            </w:r>
            <w:r w:rsidRPr="00AA0749">
              <w:rPr>
                <w:rFonts w:eastAsia="Arial"/>
                <w:sz w:val="16"/>
              </w:rPr>
              <w:t xml:space="preserve"> [(</w:t>
            </w:r>
            <w:r w:rsidRPr="00260F01" w:rsidR="00266B74">
              <w:rPr>
                <w:rFonts w:eastAsia="Arial" w:cs="Arial"/>
                <w:sz w:val="16"/>
                <w:szCs w:val="16"/>
              </w:rPr>
              <w:t>t</w:t>
            </w:r>
            <w:r w:rsidRPr="00260F01">
              <w:rPr>
                <w:rFonts w:eastAsia="Arial" w:cs="Arial"/>
                <w:sz w:val="16"/>
                <w:szCs w:val="16"/>
              </w:rPr>
              <w:t>otal</w:t>
            </w:r>
            <w:r w:rsidRPr="00AA0749">
              <w:rPr>
                <w:rFonts w:eastAsia="Arial"/>
                <w:sz w:val="16"/>
              </w:rPr>
              <w:t xml:space="preserve"> number of individuals subject to random testing per year) / (total number of sites)]</w:t>
            </w:r>
          </w:p>
        </w:tc>
      </w:tr>
      <w:tr w:rsidRPr="00260F01" w:rsidR="00D520BD" w:rsidTr="001416A2" w14:paraId="4A74304C" w14:textId="77777777">
        <w:trPr>
          <w:cantSplit/>
        </w:trPr>
        <w:tc>
          <w:tcPr>
            <w:tcW w:w="1617" w:type="pct"/>
            <w:vAlign w:val="center"/>
          </w:tcPr>
          <w:p w:rsidRPr="00AA0749" w:rsidR="00D520BD" w:rsidP="00982BD1" w:rsidRDefault="00D520BD" w14:paraId="28DB3533" w14:textId="77777777">
            <w:pPr>
              <w:tabs>
                <w:tab w:val="left" w:pos="4260"/>
                <w:tab w:val="left" w:pos="5220"/>
              </w:tabs>
              <w:spacing w:before="3"/>
              <w:ind w:right="-20"/>
              <w:rPr>
                <w:rFonts w:eastAsia="Arial"/>
                <w:sz w:val="16"/>
              </w:rPr>
            </w:pPr>
            <w:r w:rsidRPr="00AA0749">
              <w:rPr>
                <w:rFonts w:eastAsia="Arial"/>
                <w:sz w:val="16"/>
              </w:rPr>
              <w:t>Number of drug tests conducted per year</w:t>
            </w:r>
          </w:p>
        </w:tc>
        <w:tc>
          <w:tcPr>
            <w:tcW w:w="681" w:type="pct"/>
            <w:shd w:val="clear" w:color="auto" w:fill="auto"/>
            <w:vAlign w:val="center"/>
          </w:tcPr>
          <w:p w:rsidRPr="00AA0749" w:rsidR="00D520BD" w:rsidP="00743849" w:rsidRDefault="008B59BB" w14:paraId="7C94B566" w14:textId="22950D2D">
            <w:pPr>
              <w:tabs>
                <w:tab w:val="left" w:pos="4260"/>
                <w:tab w:val="left" w:pos="5220"/>
              </w:tabs>
              <w:spacing w:before="3"/>
              <w:ind w:right="-20"/>
              <w:jc w:val="center"/>
              <w:rPr>
                <w:rFonts w:eastAsia="Arial"/>
                <w:sz w:val="16"/>
              </w:rPr>
            </w:pPr>
            <w:r w:rsidRPr="00AA0749">
              <w:rPr>
                <w:rFonts w:eastAsia="Arial"/>
                <w:sz w:val="16"/>
              </w:rPr>
              <w:t>133</w:t>
            </w:r>
            <w:r w:rsidRPr="00AA0749" w:rsidR="007830A1">
              <w:rPr>
                <w:rFonts w:eastAsia="Arial"/>
                <w:sz w:val="16"/>
              </w:rPr>
              <w:t>,141</w:t>
            </w:r>
            <w:r w:rsidRPr="00AA0749" w:rsidR="00D520BD">
              <w:rPr>
                <w:rFonts w:eastAsia="Arial"/>
                <w:sz w:val="16"/>
              </w:rPr>
              <w:t xml:space="preserve"> </w:t>
            </w:r>
          </w:p>
        </w:tc>
        <w:tc>
          <w:tcPr>
            <w:tcW w:w="2702" w:type="pct"/>
            <w:shd w:val="clear" w:color="auto" w:fill="auto"/>
            <w:vAlign w:val="center"/>
          </w:tcPr>
          <w:p w:rsidRPr="00AA0749" w:rsidR="00D520BD" w:rsidP="00982BD1" w:rsidRDefault="00D520BD" w14:paraId="6FFFFC05" w14:textId="637ACE81">
            <w:pPr>
              <w:tabs>
                <w:tab w:val="left" w:pos="4260"/>
                <w:tab w:val="left" w:pos="5220"/>
              </w:tabs>
              <w:spacing w:before="3"/>
              <w:ind w:right="-20"/>
              <w:rPr>
                <w:rFonts w:eastAsia="Arial"/>
                <w:sz w:val="16"/>
              </w:rPr>
            </w:pPr>
            <w:r w:rsidRPr="00AA0749">
              <w:rPr>
                <w:rFonts w:eastAsia="Arial"/>
                <w:sz w:val="16"/>
              </w:rPr>
              <w:t>NRC FFD Program Performance Results (average of total number of tests conducted for CY</w:t>
            </w:r>
            <w:r w:rsidRPr="00AA0749" w:rsidR="00D67DFB">
              <w:rPr>
                <w:rFonts w:eastAsia="Arial"/>
                <w:sz w:val="16"/>
              </w:rPr>
              <w:t>s</w:t>
            </w:r>
            <w:r w:rsidRPr="00AA0749">
              <w:rPr>
                <w:rFonts w:eastAsia="Arial"/>
                <w:sz w:val="16"/>
              </w:rPr>
              <w:t> 2009–201</w:t>
            </w:r>
            <w:r w:rsidRPr="00AA0749" w:rsidR="0051087B">
              <w:rPr>
                <w:rFonts w:eastAsia="Arial"/>
                <w:sz w:val="16"/>
              </w:rPr>
              <w:t>9</w:t>
            </w:r>
            <w:r w:rsidRPr="00AA0749">
              <w:rPr>
                <w:rFonts w:eastAsia="Arial"/>
                <w:sz w:val="16"/>
              </w:rPr>
              <w:t>)</w:t>
            </w:r>
            <w:r w:rsidRPr="00AA0749" w:rsidR="00646A79">
              <w:rPr>
                <w:rFonts w:eastAsia="Arial"/>
                <w:sz w:val="16"/>
              </w:rPr>
              <w:t>,</w:t>
            </w:r>
            <w:r w:rsidRPr="00AA0749">
              <w:rPr>
                <w:rFonts w:eastAsia="Arial"/>
                <w:sz w:val="16"/>
              </w:rPr>
              <w:t xml:space="preserve"> adjusted for construction sites </w:t>
            </w:r>
            <w:r w:rsidRPr="00260F01" w:rsidR="00266B74">
              <w:rPr>
                <w:rFonts w:eastAsia="Arial" w:cs="Arial"/>
                <w:sz w:val="16"/>
                <w:szCs w:val="16"/>
              </w:rPr>
              <w:t>becoming</w:t>
            </w:r>
            <w:r w:rsidRPr="00AA0749">
              <w:rPr>
                <w:rFonts w:eastAsia="Arial"/>
                <w:sz w:val="16"/>
              </w:rPr>
              <w:t xml:space="preserve"> operational (used operating site data at the co</w:t>
            </w:r>
            <w:r w:rsidR="001826DD">
              <w:rPr>
                <w:rFonts w:eastAsia="Arial" w:cs="Arial"/>
                <w:sz w:val="16"/>
                <w:szCs w:val="16"/>
              </w:rPr>
              <w:noBreakHyphen/>
            </w:r>
            <w:r w:rsidRPr="00AA0749">
              <w:rPr>
                <w:rFonts w:eastAsia="Arial"/>
                <w:sz w:val="16"/>
              </w:rPr>
              <w:t>located reactors to model test results)</w:t>
            </w:r>
          </w:p>
        </w:tc>
      </w:tr>
      <w:tr w:rsidRPr="00260F01" w:rsidR="00D520BD" w:rsidTr="001416A2" w14:paraId="061425A0" w14:textId="77777777">
        <w:trPr>
          <w:cantSplit/>
          <w:trHeight w:val="669"/>
        </w:trPr>
        <w:tc>
          <w:tcPr>
            <w:tcW w:w="1617" w:type="pct"/>
            <w:vAlign w:val="center"/>
          </w:tcPr>
          <w:p w:rsidRPr="00AA0749" w:rsidR="00D520BD" w:rsidP="00982BD1" w:rsidRDefault="00D520BD" w14:paraId="666D9D69" w14:textId="77777777">
            <w:pPr>
              <w:tabs>
                <w:tab w:val="left" w:pos="4260"/>
                <w:tab w:val="left" w:pos="5220"/>
              </w:tabs>
              <w:spacing w:before="3"/>
              <w:ind w:right="-20"/>
              <w:rPr>
                <w:rFonts w:eastAsia="Arial"/>
                <w:sz w:val="16"/>
              </w:rPr>
            </w:pPr>
            <w:r w:rsidRPr="00AA0749">
              <w:rPr>
                <w:rFonts w:eastAsia="Arial"/>
                <w:sz w:val="16"/>
              </w:rPr>
              <w:t>Number of drug tests conducted per site per year</w:t>
            </w:r>
          </w:p>
        </w:tc>
        <w:tc>
          <w:tcPr>
            <w:tcW w:w="681" w:type="pct"/>
            <w:shd w:val="clear" w:color="auto" w:fill="auto"/>
            <w:vAlign w:val="center"/>
          </w:tcPr>
          <w:p w:rsidRPr="00AA0749" w:rsidR="00D520BD" w:rsidP="006F21ED" w:rsidRDefault="00D520BD" w14:paraId="33F01E91" w14:textId="22864AB4">
            <w:pPr>
              <w:tabs>
                <w:tab w:val="left" w:pos="4260"/>
                <w:tab w:val="left" w:pos="5220"/>
              </w:tabs>
              <w:spacing w:before="3"/>
              <w:ind w:right="-20"/>
              <w:jc w:val="center"/>
              <w:rPr>
                <w:rFonts w:eastAsia="Arial"/>
                <w:sz w:val="16"/>
              </w:rPr>
            </w:pPr>
            <w:r w:rsidRPr="00AA0749">
              <w:rPr>
                <w:rFonts w:eastAsia="Arial"/>
                <w:sz w:val="16"/>
              </w:rPr>
              <w:t>2</w:t>
            </w:r>
            <w:r w:rsidRPr="00AA0749" w:rsidR="00646A79">
              <w:rPr>
                <w:rFonts w:eastAsia="Arial"/>
                <w:sz w:val="16"/>
              </w:rPr>
              <w:t>,</w:t>
            </w:r>
            <w:r w:rsidRPr="00AA0749" w:rsidR="00656471">
              <w:rPr>
                <w:rFonts w:eastAsia="Arial"/>
                <w:sz w:val="16"/>
              </w:rPr>
              <w:t>257</w:t>
            </w:r>
          </w:p>
        </w:tc>
        <w:tc>
          <w:tcPr>
            <w:tcW w:w="2702" w:type="pct"/>
            <w:shd w:val="clear" w:color="auto" w:fill="auto"/>
            <w:vAlign w:val="center"/>
          </w:tcPr>
          <w:p w:rsidRPr="00AA0749" w:rsidR="00D520BD" w:rsidP="00982BD1" w:rsidRDefault="00D520BD" w14:paraId="1DD16B75" w14:textId="33FD5D9C">
            <w:pPr>
              <w:tabs>
                <w:tab w:val="left" w:pos="4260"/>
                <w:tab w:val="left" w:pos="5220"/>
              </w:tabs>
              <w:spacing w:before="3"/>
              <w:ind w:right="-20"/>
              <w:rPr>
                <w:rFonts w:eastAsia="Arial"/>
                <w:sz w:val="16"/>
              </w:rPr>
            </w:pPr>
            <w:r w:rsidRPr="00AA0749">
              <w:rPr>
                <w:rFonts w:eastAsia="Arial"/>
                <w:sz w:val="16"/>
              </w:rPr>
              <w:t>Calculated from the NRC FFD Program Performance Results CY</w:t>
            </w:r>
            <w:r w:rsidRPr="00AA0749" w:rsidR="00CC2BE6">
              <w:rPr>
                <w:rFonts w:eastAsia="Arial"/>
                <w:sz w:val="16"/>
              </w:rPr>
              <w:t>s</w:t>
            </w:r>
            <w:r w:rsidRPr="00AA0749">
              <w:rPr>
                <w:rFonts w:eastAsia="Arial"/>
                <w:sz w:val="16"/>
              </w:rPr>
              <w:t> 2009–</w:t>
            </w:r>
            <w:r w:rsidRPr="00AA0749" w:rsidR="004E39D6">
              <w:rPr>
                <w:rFonts w:eastAsia="Arial"/>
                <w:sz w:val="16"/>
              </w:rPr>
              <w:t>2</w:t>
            </w:r>
            <w:r w:rsidRPr="00AA0749">
              <w:rPr>
                <w:rFonts w:eastAsia="Arial"/>
                <w:sz w:val="16"/>
              </w:rPr>
              <w:t>01</w:t>
            </w:r>
            <w:r w:rsidRPr="00AA0749" w:rsidR="006C65B3">
              <w:rPr>
                <w:rFonts w:eastAsia="Arial"/>
                <w:sz w:val="16"/>
              </w:rPr>
              <w:t>9</w:t>
            </w:r>
            <w:r w:rsidRPr="00260F01">
              <w:rPr>
                <w:rFonts w:eastAsia="Arial" w:cs="Arial"/>
                <w:sz w:val="16"/>
                <w:szCs w:val="16"/>
              </w:rPr>
              <w:t xml:space="preserve"> [(</w:t>
            </w:r>
            <w:r w:rsidRPr="00260F01" w:rsidR="006B6D5F">
              <w:rPr>
                <w:rFonts w:eastAsia="Arial" w:cs="Arial"/>
                <w:sz w:val="16"/>
                <w:szCs w:val="16"/>
              </w:rPr>
              <w:t>t</w:t>
            </w:r>
            <w:r w:rsidRPr="00260F01">
              <w:rPr>
                <w:rFonts w:eastAsia="Arial" w:cs="Arial"/>
                <w:sz w:val="16"/>
                <w:szCs w:val="16"/>
              </w:rPr>
              <w:t>otal</w:t>
            </w:r>
            <w:r w:rsidRPr="00AA0749">
              <w:rPr>
                <w:rFonts w:eastAsia="Arial"/>
                <w:sz w:val="16"/>
              </w:rPr>
              <w:t xml:space="preserve"> number of drug tests conducted per year) / (total number of sites)]</w:t>
            </w:r>
          </w:p>
        </w:tc>
      </w:tr>
      <w:tr w:rsidRPr="00260F01" w:rsidR="00D520BD" w:rsidTr="00982BD1" w14:paraId="26DCC76D" w14:textId="77777777">
        <w:trPr>
          <w:cantSplit/>
        </w:trPr>
        <w:tc>
          <w:tcPr>
            <w:tcW w:w="5000" w:type="pct"/>
            <w:gridSpan w:val="3"/>
            <w:shd w:val="clear" w:color="auto" w:fill="D9D9D9" w:themeFill="background1" w:themeFillShade="D9"/>
            <w:vAlign w:val="center"/>
          </w:tcPr>
          <w:p w:rsidRPr="00AA0749" w:rsidR="00D520BD" w:rsidP="00982BD1" w:rsidRDefault="00D520BD" w14:paraId="4DF40E7E" w14:textId="77777777">
            <w:pPr>
              <w:tabs>
                <w:tab w:val="left" w:pos="4260"/>
                <w:tab w:val="left" w:pos="5220"/>
              </w:tabs>
              <w:spacing w:before="3"/>
              <w:ind w:right="-20"/>
              <w:rPr>
                <w:rFonts w:eastAsia="Arial"/>
                <w:b/>
                <w:sz w:val="16"/>
              </w:rPr>
            </w:pPr>
            <w:r w:rsidRPr="00AA0749">
              <w:rPr>
                <w:rFonts w:eastAsia="Arial"/>
                <w:b/>
                <w:sz w:val="16"/>
              </w:rPr>
              <w:t>Industry Implementation (One-Time)—Hourly Wage Rates</w:t>
            </w:r>
          </w:p>
        </w:tc>
      </w:tr>
      <w:tr w:rsidRPr="00260F01" w:rsidR="00D520BD" w:rsidTr="001416A2" w14:paraId="048A4BC7" w14:textId="77777777">
        <w:trPr>
          <w:cantSplit/>
        </w:trPr>
        <w:tc>
          <w:tcPr>
            <w:tcW w:w="1617" w:type="pct"/>
            <w:vAlign w:val="center"/>
          </w:tcPr>
          <w:p w:rsidRPr="00AF6C40" w:rsidR="00D520BD" w:rsidP="00982BD1" w:rsidRDefault="00D520BD" w14:paraId="7EDB574B" w14:textId="77777777">
            <w:pPr>
              <w:tabs>
                <w:tab w:val="left" w:pos="4260"/>
                <w:tab w:val="left" w:pos="5220"/>
              </w:tabs>
              <w:spacing w:before="3"/>
              <w:ind w:right="-20"/>
              <w:rPr>
                <w:rFonts w:eastAsia="Arial"/>
                <w:sz w:val="16"/>
              </w:rPr>
            </w:pPr>
            <w:r w:rsidRPr="00AF6C40">
              <w:rPr>
                <w:rFonts w:eastAsia="Arial"/>
                <w:sz w:val="16"/>
              </w:rPr>
              <w:t>Clerical</w:t>
            </w:r>
          </w:p>
        </w:tc>
        <w:tc>
          <w:tcPr>
            <w:tcW w:w="681" w:type="pct"/>
            <w:shd w:val="clear" w:color="auto" w:fill="auto"/>
            <w:vAlign w:val="center"/>
          </w:tcPr>
          <w:p w:rsidRPr="00AF6C40" w:rsidR="00D520BD" w:rsidP="00982BD1" w:rsidRDefault="00D520BD" w14:paraId="3FB0C903" w14:textId="2FC0B360">
            <w:pPr>
              <w:tabs>
                <w:tab w:val="left" w:pos="4260"/>
                <w:tab w:val="left" w:pos="5220"/>
              </w:tabs>
              <w:spacing w:before="3"/>
              <w:ind w:right="-20"/>
              <w:jc w:val="center"/>
              <w:rPr>
                <w:rFonts w:eastAsia="Arial"/>
                <w:sz w:val="16"/>
              </w:rPr>
            </w:pPr>
            <w:r w:rsidRPr="00AF6C40">
              <w:rPr>
                <w:rFonts w:eastAsia="Arial"/>
                <w:sz w:val="16"/>
              </w:rPr>
              <w:t>$</w:t>
            </w:r>
            <w:r w:rsidRPr="00AF6C40" w:rsidR="006C65B3">
              <w:rPr>
                <w:rFonts w:eastAsia="Arial"/>
                <w:sz w:val="16"/>
              </w:rPr>
              <w:t>23.84</w:t>
            </w:r>
            <w:r w:rsidRPr="00AF6C40" w:rsidR="00226021">
              <w:rPr>
                <w:rFonts w:eastAsia="Arial"/>
                <w:sz w:val="16"/>
              </w:rPr>
              <w:t>/hour</w:t>
            </w:r>
          </w:p>
        </w:tc>
        <w:tc>
          <w:tcPr>
            <w:tcW w:w="2702" w:type="pct"/>
            <w:vMerge w:val="restart"/>
            <w:vAlign w:val="center"/>
          </w:tcPr>
          <w:p w:rsidRPr="00AF6C40" w:rsidR="00D520BD" w:rsidP="00982BD1" w:rsidRDefault="00D520BD" w14:paraId="7C1C6029" w14:textId="24003ABF">
            <w:pPr>
              <w:tabs>
                <w:tab w:val="left" w:pos="4260"/>
                <w:tab w:val="left" w:pos="5220"/>
              </w:tabs>
              <w:spacing w:before="3"/>
              <w:ind w:right="-20"/>
              <w:rPr>
                <w:rFonts w:eastAsia="Arial"/>
                <w:sz w:val="16"/>
              </w:rPr>
            </w:pPr>
            <w:r w:rsidRPr="00AF6C40">
              <w:rPr>
                <w:rFonts w:eastAsia="Arial"/>
                <w:sz w:val="16"/>
              </w:rPr>
              <w:t xml:space="preserve">Model facility data:  </w:t>
            </w:r>
            <w:r w:rsidRPr="00AF6C40" w:rsidR="00646A79">
              <w:rPr>
                <w:rFonts w:eastAsia="Arial"/>
                <w:sz w:val="16"/>
              </w:rPr>
              <w:t>“</w:t>
            </w:r>
            <w:r w:rsidRPr="00AF6C40">
              <w:rPr>
                <w:rFonts w:eastAsia="Arial"/>
                <w:sz w:val="16"/>
              </w:rPr>
              <w:t>Inputs—Wages</w:t>
            </w:r>
            <w:r w:rsidRPr="00AF6C40" w:rsidR="00646A79">
              <w:rPr>
                <w:rFonts w:eastAsia="Arial"/>
                <w:sz w:val="16"/>
              </w:rPr>
              <w:t>”</w:t>
            </w:r>
            <w:r w:rsidRPr="00AF6C40">
              <w:rPr>
                <w:rFonts w:eastAsia="Arial"/>
                <w:sz w:val="16"/>
              </w:rPr>
              <w:t xml:space="preserve"> (from January to May 2002) provided to the NRC by the Nuclear Energy Institute on FFD drug and alcohol testing programs.</w:t>
            </w:r>
          </w:p>
          <w:p w:rsidRPr="00AF6C40" w:rsidR="00D520BD" w:rsidP="00982BD1" w:rsidRDefault="00D520BD" w14:paraId="67A2108F" w14:textId="77777777">
            <w:pPr>
              <w:tabs>
                <w:tab w:val="left" w:pos="4260"/>
                <w:tab w:val="left" w:pos="5220"/>
              </w:tabs>
              <w:spacing w:before="3"/>
              <w:ind w:right="-20"/>
              <w:rPr>
                <w:rFonts w:eastAsia="Arial"/>
                <w:sz w:val="16"/>
              </w:rPr>
            </w:pPr>
          </w:p>
          <w:p w:rsidRPr="00AF6C40" w:rsidR="00D520BD" w:rsidP="00982BD1" w:rsidRDefault="00D520BD" w14:paraId="4F622DF7" w14:textId="1FF21F3D">
            <w:pPr>
              <w:tabs>
                <w:tab w:val="left" w:pos="4260"/>
                <w:tab w:val="left" w:pos="5220"/>
              </w:tabs>
              <w:spacing w:before="3"/>
              <w:ind w:right="-20"/>
              <w:rPr>
                <w:rFonts w:eastAsia="Arial"/>
                <w:sz w:val="16"/>
              </w:rPr>
            </w:pPr>
            <w:r w:rsidRPr="00AF6C40">
              <w:rPr>
                <w:rFonts w:eastAsia="Arial"/>
                <w:sz w:val="16"/>
              </w:rPr>
              <w:t>These data were used in the regulatory impact analysis for the 10 CFR Part 26 FFD final rule (March 2008)</w:t>
            </w:r>
            <w:r w:rsidRPr="00AF6C40" w:rsidR="00A27CFC">
              <w:rPr>
                <w:rFonts w:eastAsia="Arial"/>
                <w:sz w:val="16"/>
              </w:rPr>
              <w:t xml:space="preserve"> </w:t>
            </w:r>
            <w:r w:rsidRPr="00260F01" w:rsidR="006B6D5F">
              <w:rPr>
                <w:rFonts w:eastAsia="Arial" w:cs="Arial"/>
                <w:sz w:val="16"/>
                <w:szCs w:val="16"/>
              </w:rPr>
              <w:t>and</w:t>
            </w:r>
            <w:r w:rsidRPr="00AF6C40" w:rsidR="00A27CFC">
              <w:rPr>
                <w:rFonts w:eastAsia="Arial"/>
                <w:sz w:val="16"/>
              </w:rPr>
              <w:t xml:space="preserve"> were converted</w:t>
            </w:r>
            <w:r w:rsidRPr="00AF6C40">
              <w:rPr>
                <w:rFonts w:eastAsia="Arial"/>
                <w:sz w:val="16"/>
              </w:rPr>
              <w:t xml:space="preserve"> </w:t>
            </w:r>
            <w:r w:rsidRPr="00AF6C40" w:rsidR="00A27CFC">
              <w:rPr>
                <w:rFonts w:eastAsia="Arial"/>
                <w:sz w:val="16"/>
              </w:rPr>
              <w:t>in</w:t>
            </w:r>
            <w:r w:rsidRPr="00AF6C40">
              <w:rPr>
                <w:rFonts w:eastAsia="Arial"/>
                <w:sz w:val="16"/>
              </w:rPr>
              <w:t>to 20</w:t>
            </w:r>
            <w:r w:rsidRPr="00AF6C40" w:rsidR="004E39D6">
              <w:rPr>
                <w:rFonts w:eastAsia="Arial"/>
                <w:sz w:val="16"/>
              </w:rPr>
              <w:t>2</w:t>
            </w:r>
            <w:r w:rsidRPr="00AF6C40" w:rsidR="003D3885">
              <w:rPr>
                <w:rFonts w:eastAsia="Arial"/>
                <w:sz w:val="16"/>
              </w:rPr>
              <w:t>2</w:t>
            </w:r>
            <w:r w:rsidRPr="00AF6C40">
              <w:rPr>
                <w:rFonts w:eastAsia="Arial"/>
                <w:sz w:val="16"/>
              </w:rPr>
              <w:t xml:space="preserve"> dollars.</w:t>
            </w:r>
          </w:p>
        </w:tc>
      </w:tr>
      <w:tr w:rsidRPr="00260F01" w:rsidR="00D520BD" w:rsidTr="001416A2" w14:paraId="102DAF52" w14:textId="77777777">
        <w:trPr>
          <w:cantSplit/>
        </w:trPr>
        <w:tc>
          <w:tcPr>
            <w:tcW w:w="1617" w:type="pct"/>
            <w:vAlign w:val="center"/>
          </w:tcPr>
          <w:p w:rsidRPr="00AF6C40" w:rsidR="00D520BD" w:rsidP="00982BD1" w:rsidRDefault="00D520BD" w14:paraId="4889CC1D" w14:textId="26A53A68">
            <w:pPr>
              <w:tabs>
                <w:tab w:val="left" w:pos="4260"/>
                <w:tab w:val="left" w:pos="5220"/>
              </w:tabs>
              <w:spacing w:before="3"/>
              <w:ind w:right="-20"/>
              <w:rPr>
                <w:rFonts w:eastAsia="Arial"/>
                <w:sz w:val="16"/>
              </w:rPr>
            </w:pPr>
            <w:r w:rsidRPr="00AF6C40">
              <w:rPr>
                <w:rFonts w:eastAsia="Arial"/>
                <w:sz w:val="16"/>
              </w:rPr>
              <w:t xml:space="preserve">Facility Worker (weighted average of licensee and </w:t>
            </w:r>
            <w:r w:rsidRPr="00260F01" w:rsidR="00230905">
              <w:rPr>
                <w:rFonts w:eastAsia="Arial" w:cs="Arial"/>
                <w:sz w:val="16"/>
                <w:szCs w:val="16"/>
              </w:rPr>
              <w:t>contractor</w:t>
            </w:r>
            <w:r w:rsidRPr="00260F01">
              <w:rPr>
                <w:rFonts w:eastAsia="Arial" w:cs="Arial"/>
                <w:sz w:val="16"/>
                <w:szCs w:val="16"/>
              </w:rPr>
              <w:t>/</w:t>
            </w:r>
            <w:r w:rsidRPr="00260F01" w:rsidR="00230905">
              <w:rPr>
                <w:rFonts w:eastAsia="Arial" w:cs="Arial"/>
                <w:sz w:val="16"/>
                <w:szCs w:val="16"/>
              </w:rPr>
              <w:t>vendor</w:t>
            </w:r>
            <w:r w:rsidRPr="00AF6C40">
              <w:rPr>
                <w:rFonts w:eastAsia="Arial"/>
                <w:sz w:val="16"/>
              </w:rPr>
              <w:t xml:space="preserve"> workers)</w:t>
            </w:r>
          </w:p>
        </w:tc>
        <w:tc>
          <w:tcPr>
            <w:tcW w:w="681" w:type="pct"/>
            <w:shd w:val="clear" w:color="auto" w:fill="auto"/>
            <w:vAlign w:val="center"/>
          </w:tcPr>
          <w:p w:rsidRPr="00AF6C40" w:rsidR="00D520BD" w:rsidP="00982BD1" w:rsidRDefault="00D520BD" w14:paraId="69683E90" w14:textId="4DD9FEC6">
            <w:pPr>
              <w:tabs>
                <w:tab w:val="left" w:pos="4260"/>
                <w:tab w:val="left" w:pos="5220"/>
              </w:tabs>
              <w:spacing w:before="3"/>
              <w:ind w:right="-20"/>
              <w:jc w:val="center"/>
              <w:rPr>
                <w:rFonts w:eastAsia="Arial"/>
                <w:sz w:val="16"/>
              </w:rPr>
            </w:pPr>
            <w:r w:rsidRPr="00AF6C40">
              <w:rPr>
                <w:rFonts w:eastAsia="Arial"/>
                <w:sz w:val="16"/>
              </w:rPr>
              <w:t>$</w:t>
            </w:r>
            <w:r w:rsidRPr="00AF6C40" w:rsidR="006C65B3">
              <w:rPr>
                <w:rFonts w:eastAsia="Arial"/>
                <w:sz w:val="16"/>
              </w:rPr>
              <w:t>70.65</w:t>
            </w:r>
            <w:r w:rsidRPr="00AF6C40" w:rsidR="00226021">
              <w:rPr>
                <w:rFonts w:eastAsia="Arial"/>
                <w:sz w:val="16"/>
              </w:rPr>
              <w:t>/hour</w:t>
            </w:r>
          </w:p>
        </w:tc>
        <w:tc>
          <w:tcPr>
            <w:tcW w:w="2702" w:type="pct"/>
            <w:vMerge/>
            <w:vAlign w:val="center"/>
          </w:tcPr>
          <w:p w:rsidRPr="00AF6C40" w:rsidR="00D520BD" w:rsidP="00982BD1" w:rsidRDefault="00D520BD" w14:paraId="5F3505D5" w14:textId="77777777">
            <w:pPr>
              <w:tabs>
                <w:tab w:val="left" w:pos="4260"/>
                <w:tab w:val="left" w:pos="5220"/>
              </w:tabs>
              <w:spacing w:before="3"/>
              <w:ind w:right="-20"/>
              <w:rPr>
                <w:rFonts w:eastAsia="Arial"/>
                <w:sz w:val="16"/>
              </w:rPr>
            </w:pPr>
          </w:p>
        </w:tc>
      </w:tr>
      <w:tr w:rsidRPr="00260F01" w:rsidR="00D520BD" w:rsidTr="001416A2" w14:paraId="7C764F07" w14:textId="77777777">
        <w:trPr>
          <w:cantSplit/>
        </w:trPr>
        <w:tc>
          <w:tcPr>
            <w:tcW w:w="1617" w:type="pct"/>
            <w:vAlign w:val="center"/>
          </w:tcPr>
          <w:p w:rsidRPr="00AF6C40" w:rsidR="00D520BD" w:rsidP="00982BD1" w:rsidRDefault="00D520BD" w14:paraId="43ABA8B1" w14:textId="77777777">
            <w:pPr>
              <w:tabs>
                <w:tab w:val="left" w:pos="4260"/>
                <w:tab w:val="left" w:pos="5220"/>
              </w:tabs>
              <w:spacing w:before="3"/>
              <w:ind w:right="-20"/>
              <w:rPr>
                <w:rFonts w:eastAsia="Arial"/>
                <w:sz w:val="16"/>
              </w:rPr>
            </w:pPr>
            <w:r w:rsidRPr="00AF6C40">
              <w:rPr>
                <w:rFonts w:eastAsia="Arial"/>
                <w:sz w:val="16"/>
              </w:rPr>
              <w:t>FFD Manager</w:t>
            </w:r>
          </w:p>
        </w:tc>
        <w:tc>
          <w:tcPr>
            <w:tcW w:w="681" w:type="pct"/>
            <w:shd w:val="clear" w:color="auto" w:fill="auto"/>
            <w:vAlign w:val="center"/>
          </w:tcPr>
          <w:p w:rsidRPr="00AF6C40" w:rsidR="00D520BD" w:rsidP="00982BD1" w:rsidRDefault="00D520BD" w14:paraId="2B736837" w14:textId="74725BFD">
            <w:pPr>
              <w:tabs>
                <w:tab w:val="left" w:pos="4260"/>
                <w:tab w:val="left" w:pos="5220"/>
              </w:tabs>
              <w:spacing w:before="3"/>
              <w:ind w:right="-20"/>
              <w:jc w:val="center"/>
              <w:rPr>
                <w:rFonts w:eastAsia="Arial"/>
                <w:sz w:val="16"/>
              </w:rPr>
            </w:pPr>
            <w:r w:rsidRPr="00AF6C40">
              <w:rPr>
                <w:rFonts w:eastAsia="Arial"/>
                <w:sz w:val="16"/>
              </w:rPr>
              <w:t>$</w:t>
            </w:r>
            <w:r w:rsidRPr="00AF6C40" w:rsidR="00226021">
              <w:rPr>
                <w:rFonts w:eastAsia="Arial"/>
                <w:sz w:val="16"/>
              </w:rPr>
              <w:t>47.79/hour</w:t>
            </w:r>
          </w:p>
        </w:tc>
        <w:tc>
          <w:tcPr>
            <w:tcW w:w="2702" w:type="pct"/>
            <w:vMerge/>
            <w:vAlign w:val="center"/>
          </w:tcPr>
          <w:p w:rsidRPr="00AF6C40" w:rsidR="00D520BD" w:rsidP="00982BD1" w:rsidRDefault="00D520BD" w14:paraId="0571DEA0" w14:textId="77777777">
            <w:pPr>
              <w:tabs>
                <w:tab w:val="left" w:pos="4260"/>
                <w:tab w:val="left" w:pos="5220"/>
              </w:tabs>
              <w:spacing w:before="3"/>
              <w:ind w:right="-20"/>
              <w:rPr>
                <w:rFonts w:eastAsia="Arial"/>
                <w:sz w:val="16"/>
              </w:rPr>
            </w:pPr>
          </w:p>
        </w:tc>
      </w:tr>
      <w:tr w:rsidRPr="00260F01" w:rsidR="00D520BD" w:rsidTr="001416A2" w14:paraId="62C49DCE" w14:textId="77777777">
        <w:trPr>
          <w:cantSplit/>
        </w:trPr>
        <w:tc>
          <w:tcPr>
            <w:tcW w:w="1617" w:type="pct"/>
            <w:vAlign w:val="center"/>
          </w:tcPr>
          <w:p w:rsidRPr="00AF6C40" w:rsidR="00D520BD" w:rsidP="00982BD1" w:rsidRDefault="00D520BD" w14:paraId="61C2B481" w14:textId="77777777">
            <w:pPr>
              <w:tabs>
                <w:tab w:val="left" w:pos="4260"/>
                <w:tab w:val="left" w:pos="5220"/>
              </w:tabs>
              <w:spacing w:before="3"/>
              <w:ind w:right="-20"/>
              <w:rPr>
                <w:rFonts w:eastAsia="Arial"/>
                <w:sz w:val="16"/>
              </w:rPr>
            </w:pPr>
            <w:r w:rsidRPr="00AF6C40">
              <w:rPr>
                <w:rFonts w:eastAsia="Arial"/>
                <w:sz w:val="16"/>
              </w:rPr>
              <w:t>FFD Staff</w:t>
            </w:r>
          </w:p>
        </w:tc>
        <w:tc>
          <w:tcPr>
            <w:tcW w:w="681" w:type="pct"/>
            <w:shd w:val="clear" w:color="auto" w:fill="auto"/>
            <w:vAlign w:val="center"/>
          </w:tcPr>
          <w:p w:rsidRPr="00AF6C40" w:rsidR="00D520BD" w:rsidP="00982BD1" w:rsidRDefault="00D520BD" w14:paraId="0593A789" w14:textId="600894E4">
            <w:pPr>
              <w:tabs>
                <w:tab w:val="left" w:pos="4260"/>
                <w:tab w:val="left" w:pos="5220"/>
              </w:tabs>
              <w:spacing w:before="3"/>
              <w:ind w:right="-20"/>
              <w:jc w:val="center"/>
              <w:rPr>
                <w:rFonts w:eastAsia="Arial"/>
                <w:sz w:val="16"/>
              </w:rPr>
            </w:pPr>
            <w:r w:rsidRPr="00AF6C40">
              <w:rPr>
                <w:rFonts w:eastAsia="Arial"/>
                <w:sz w:val="16"/>
              </w:rPr>
              <w:t>$</w:t>
            </w:r>
            <w:r w:rsidRPr="00AF6C40" w:rsidR="00730DC4">
              <w:rPr>
                <w:rFonts w:eastAsia="Arial"/>
                <w:sz w:val="16"/>
              </w:rPr>
              <w:t>41.20/hour</w:t>
            </w:r>
          </w:p>
        </w:tc>
        <w:tc>
          <w:tcPr>
            <w:tcW w:w="2702" w:type="pct"/>
            <w:vMerge/>
            <w:vAlign w:val="center"/>
          </w:tcPr>
          <w:p w:rsidRPr="00AF6C40" w:rsidR="00D520BD" w:rsidP="00982BD1" w:rsidRDefault="00D520BD" w14:paraId="0C8EF11D" w14:textId="77777777">
            <w:pPr>
              <w:tabs>
                <w:tab w:val="left" w:pos="4260"/>
                <w:tab w:val="left" w:pos="5220"/>
              </w:tabs>
              <w:spacing w:before="3"/>
              <w:ind w:right="-20"/>
              <w:rPr>
                <w:rFonts w:eastAsia="Arial"/>
                <w:sz w:val="16"/>
              </w:rPr>
            </w:pPr>
          </w:p>
        </w:tc>
      </w:tr>
      <w:tr w:rsidRPr="00260F01" w:rsidR="00D520BD" w:rsidTr="001416A2" w14:paraId="6E7B46C3" w14:textId="77777777">
        <w:trPr>
          <w:cantSplit/>
        </w:trPr>
        <w:tc>
          <w:tcPr>
            <w:tcW w:w="1617" w:type="pct"/>
            <w:vAlign w:val="center"/>
          </w:tcPr>
          <w:p w:rsidRPr="00AF6C40" w:rsidR="00D520BD" w:rsidP="00982BD1" w:rsidRDefault="00D520BD" w14:paraId="2BE6D17D" w14:textId="77777777">
            <w:pPr>
              <w:tabs>
                <w:tab w:val="left" w:pos="4260"/>
                <w:tab w:val="left" w:pos="5220"/>
              </w:tabs>
              <w:spacing w:before="3"/>
              <w:ind w:right="-20"/>
              <w:rPr>
                <w:rFonts w:eastAsia="Arial"/>
                <w:sz w:val="16"/>
              </w:rPr>
            </w:pPr>
            <w:r w:rsidRPr="00AF6C40">
              <w:rPr>
                <w:rFonts w:eastAsia="Arial"/>
                <w:sz w:val="16"/>
              </w:rPr>
              <w:t>LTF Laboratory Technician</w:t>
            </w:r>
          </w:p>
        </w:tc>
        <w:tc>
          <w:tcPr>
            <w:tcW w:w="681" w:type="pct"/>
            <w:shd w:val="clear" w:color="auto" w:fill="auto"/>
            <w:vAlign w:val="center"/>
          </w:tcPr>
          <w:p w:rsidRPr="00AF6C40" w:rsidR="00D520BD" w:rsidP="00982BD1" w:rsidRDefault="00D520BD" w14:paraId="50FF603B" w14:textId="68ADCE8A">
            <w:pPr>
              <w:tabs>
                <w:tab w:val="left" w:pos="4260"/>
                <w:tab w:val="left" w:pos="5220"/>
              </w:tabs>
              <w:spacing w:before="3"/>
              <w:ind w:right="-20"/>
              <w:jc w:val="center"/>
              <w:rPr>
                <w:rFonts w:eastAsia="Arial"/>
                <w:sz w:val="16"/>
              </w:rPr>
            </w:pPr>
            <w:r w:rsidRPr="00AF6C40">
              <w:rPr>
                <w:rFonts w:eastAsia="Arial"/>
                <w:sz w:val="16"/>
              </w:rPr>
              <w:t>$</w:t>
            </w:r>
            <w:r w:rsidRPr="00AF6C40" w:rsidR="00730DC4">
              <w:rPr>
                <w:rFonts w:eastAsia="Arial"/>
                <w:sz w:val="16"/>
              </w:rPr>
              <w:t>40.84/hour</w:t>
            </w:r>
          </w:p>
        </w:tc>
        <w:tc>
          <w:tcPr>
            <w:tcW w:w="2702" w:type="pct"/>
            <w:vMerge/>
            <w:vAlign w:val="center"/>
          </w:tcPr>
          <w:p w:rsidRPr="00AF6C40" w:rsidR="00D520BD" w:rsidP="00982BD1" w:rsidRDefault="00D520BD" w14:paraId="701B9DA2" w14:textId="77777777">
            <w:pPr>
              <w:tabs>
                <w:tab w:val="left" w:pos="4260"/>
                <w:tab w:val="left" w:pos="5220"/>
              </w:tabs>
              <w:spacing w:before="3"/>
              <w:ind w:right="-20"/>
              <w:rPr>
                <w:rFonts w:eastAsia="Arial"/>
                <w:sz w:val="16"/>
              </w:rPr>
            </w:pPr>
          </w:p>
        </w:tc>
      </w:tr>
      <w:tr w:rsidRPr="00260F01" w:rsidR="00D520BD" w:rsidTr="001416A2" w14:paraId="04A0B478" w14:textId="77777777">
        <w:trPr>
          <w:cantSplit/>
        </w:trPr>
        <w:tc>
          <w:tcPr>
            <w:tcW w:w="1617" w:type="pct"/>
            <w:vAlign w:val="center"/>
          </w:tcPr>
          <w:p w:rsidRPr="00AF6C40" w:rsidR="00D520BD" w:rsidP="00982BD1" w:rsidRDefault="00D520BD" w14:paraId="0A568ADF" w14:textId="77777777">
            <w:pPr>
              <w:tabs>
                <w:tab w:val="left" w:pos="4260"/>
                <w:tab w:val="left" w:pos="5220"/>
              </w:tabs>
              <w:spacing w:before="3"/>
              <w:ind w:right="-20"/>
              <w:rPr>
                <w:rFonts w:eastAsia="Arial"/>
                <w:sz w:val="16"/>
              </w:rPr>
            </w:pPr>
            <w:r w:rsidRPr="00AF6C40">
              <w:rPr>
                <w:rFonts w:eastAsia="Arial"/>
                <w:sz w:val="16"/>
              </w:rPr>
              <w:t>LTF Laboratory Supervisor</w:t>
            </w:r>
          </w:p>
        </w:tc>
        <w:tc>
          <w:tcPr>
            <w:tcW w:w="681" w:type="pct"/>
            <w:shd w:val="clear" w:color="auto" w:fill="auto"/>
            <w:vAlign w:val="center"/>
          </w:tcPr>
          <w:p w:rsidRPr="00AF6C40" w:rsidR="00D520BD" w:rsidP="00982BD1" w:rsidRDefault="00D520BD" w14:paraId="351A535F" w14:textId="7525EDA7">
            <w:pPr>
              <w:tabs>
                <w:tab w:val="left" w:pos="4260"/>
                <w:tab w:val="left" w:pos="5220"/>
              </w:tabs>
              <w:spacing w:before="3"/>
              <w:ind w:right="-20"/>
              <w:jc w:val="center"/>
              <w:rPr>
                <w:rFonts w:eastAsia="Arial"/>
                <w:sz w:val="16"/>
              </w:rPr>
            </w:pPr>
            <w:r w:rsidRPr="00AF6C40">
              <w:rPr>
                <w:rFonts w:eastAsia="Arial"/>
                <w:sz w:val="16"/>
              </w:rPr>
              <w:t>$</w:t>
            </w:r>
            <w:r w:rsidRPr="00AF6C40" w:rsidR="00730DC4">
              <w:rPr>
                <w:rFonts w:eastAsia="Arial"/>
                <w:sz w:val="16"/>
              </w:rPr>
              <w:t>68.66/hour</w:t>
            </w:r>
          </w:p>
        </w:tc>
        <w:tc>
          <w:tcPr>
            <w:tcW w:w="2702" w:type="pct"/>
            <w:vMerge/>
            <w:vAlign w:val="center"/>
          </w:tcPr>
          <w:p w:rsidRPr="00AF6C40" w:rsidR="00D520BD" w:rsidP="00982BD1" w:rsidRDefault="00D520BD" w14:paraId="4DFD2C7E" w14:textId="77777777">
            <w:pPr>
              <w:tabs>
                <w:tab w:val="left" w:pos="4260"/>
                <w:tab w:val="left" w:pos="5220"/>
              </w:tabs>
              <w:spacing w:before="3"/>
              <w:ind w:right="-20"/>
              <w:rPr>
                <w:rFonts w:eastAsia="Arial"/>
                <w:sz w:val="16"/>
              </w:rPr>
            </w:pPr>
          </w:p>
        </w:tc>
      </w:tr>
      <w:tr w:rsidRPr="00260F01" w:rsidR="00D520BD" w:rsidTr="001416A2" w14:paraId="75270B5F" w14:textId="77777777">
        <w:trPr>
          <w:cantSplit/>
          <w:trHeight w:val="147"/>
        </w:trPr>
        <w:tc>
          <w:tcPr>
            <w:tcW w:w="1617" w:type="pct"/>
            <w:vAlign w:val="center"/>
          </w:tcPr>
          <w:p w:rsidRPr="00AF6C40" w:rsidR="00D520BD" w:rsidP="00982BD1" w:rsidRDefault="00D520BD" w14:paraId="24381924" w14:textId="77777777">
            <w:pPr>
              <w:tabs>
                <w:tab w:val="left" w:pos="4260"/>
                <w:tab w:val="left" w:pos="5220"/>
              </w:tabs>
              <w:spacing w:before="3"/>
              <w:ind w:right="-20"/>
              <w:rPr>
                <w:rFonts w:eastAsia="Arial"/>
                <w:sz w:val="16"/>
              </w:rPr>
            </w:pPr>
            <w:r w:rsidRPr="00AF6C40">
              <w:rPr>
                <w:rFonts w:eastAsia="Arial"/>
                <w:sz w:val="16"/>
              </w:rPr>
              <w:t>Legal</w:t>
            </w:r>
          </w:p>
        </w:tc>
        <w:tc>
          <w:tcPr>
            <w:tcW w:w="681" w:type="pct"/>
            <w:shd w:val="clear" w:color="auto" w:fill="auto"/>
            <w:vAlign w:val="center"/>
          </w:tcPr>
          <w:p w:rsidRPr="00AF6C40" w:rsidR="00D520BD" w:rsidP="00982BD1" w:rsidRDefault="00D520BD" w14:paraId="172940BD" w14:textId="54FA48B7">
            <w:pPr>
              <w:tabs>
                <w:tab w:val="left" w:pos="4260"/>
                <w:tab w:val="left" w:pos="5220"/>
              </w:tabs>
              <w:spacing w:before="3"/>
              <w:ind w:right="-20"/>
              <w:jc w:val="center"/>
              <w:rPr>
                <w:rFonts w:eastAsia="Arial"/>
                <w:sz w:val="16"/>
              </w:rPr>
            </w:pPr>
            <w:r w:rsidRPr="00AF6C40">
              <w:rPr>
                <w:rFonts w:eastAsia="Arial"/>
                <w:sz w:val="16"/>
              </w:rPr>
              <w:t>$</w:t>
            </w:r>
            <w:r w:rsidRPr="00AF6C40" w:rsidR="00730DC4">
              <w:rPr>
                <w:rFonts w:eastAsia="Arial"/>
                <w:sz w:val="16"/>
              </w:rPr>
              <w:t>137.32/hour</w:t>
            </w:r>
          </w:p>
        </w:tc>
        <w:tc>
          <w:tcPr>
            <w:tcW w:w="2702" w:type="pct"/>
            <w:vMerge/>
            <w:vAlign w:val="center"/>
          </w:tcPr>
          <w:p w:rsidRPr="00AF6C40" w:rsidR="00D520BD" w:rsidP="00982BD1" w:rsidRDefault="00D520BD" w14:paraId="24A55127" w14:textId="77777777">
            <w:pPr>
              <w:tabs>
                <w:tab w:val="left" w:pos="4260"/>
                <w:tab w:val="left" w:pos="5220"/>
              </w:tabs>
              <w:spacing w:before="3"/>
              <w:ind w:right="-20"/>
              <w:rPr>
                <w:rFonts w:eastAsia="Arial"/>
                <w:sz w:val="16"/>
              </w:rPr>
            </w:pPr>
          </w:p>
        </w:tc>
      </w:tr>
      <w:tr w:rsidRPr="00260F01" w:rsidR="00D520BD" w:rsidTr="001416A2" w14:paraId="4B64E286" w14:textId="77777777">
        <w:trPr>
          <w:cantSplit/>
          <w:trHeight w:val="192"/>
        </w:trPr>
        <w:tc>
          <w:tcPr>
            <w:tcW w:w="1617" w:type="pct"/>
            <w:vAlign w:val="center"/>
          </w:tcPr>
          <w:p w:rsidRPr="00AF6C40" w:rsidR="00D520BD" w:rsidP="00982BD1" w:rsidRDefault="00D520BD" w14:paraId="75EC4347" w14:textId="77777777">
            <w:pPr>
              <w:tabs>
                <w:tab w:val="left" w:pos="4260"/>
                <w:tab w:val="left" w:pos="5220"/>
              </w:tabs>
              <w:spacing w:before="3"/>
              <w:ind w:right="-20"/>
              <w:rPr>
                <w:rFonts w:eastAsia="Arial"/>
                <w:sz w:val="16"/>
              </w:rPr>
            </w:pPr>
            <w:r w:rsidRPr="00AF6C40">
              <w:rPr>
                <w:rFonts w:eastAsia="Arial"/>
                <w:sz w:val="16"/>
              </w:rPr>
              <w:t>Medical Review Officer (MRO)</w:t>
            </w:r>
          </w:p>
        </w:tc>
        <w:tc>
          <w:tcPr>
            <w:tcW w:w="681" w:type="pct"/>
            <w:shd w:val="clear" w:color="auto" w:fill="auto"/>
            <w:vAlign w:val="center"/>
          </w:tcPr>
          <w:p w:rsidRPr="00AF6C40" w:rsidR="00D520BD" w:rsidP="00982BD1" w:rsidRDefault="00D520BD" w14:paraId="03DE0018" w14:textId="09E20809">
            <w:pPr>
              <w:tabs>
                <w:tab w:val="left" w:pos="4260"/>
                <w:tab w:val="left" w:pos="5220"/>
              </w:tabs>
              <w:spacing w:before="3"/>
              <w:ind w:right="-20"/>
              <w:jc w:val="center"/>
              <w:rPr>
                <w:rFonts w:eastAsia="Arial"/>
                <w:sz w:val="16"/>
              </w:rPr>
            </w:pPr>
            <w:r w:rsidRPr="00AF6C40">
              <w:rPr>
                <w:rFonts w:eastAsia="Arial"/>
                <w:sz w:val="16"/>
              </w:rPr>
              <w:t>$</w:t>
            </w:r>
            <w:r w:rsidRPr="00AF6C40" w:rsidR="00730DC4">
              <w:rPr>
                <w:rFonts w:eastAsia="Arial"/>
                <w:sz w:val="16"/>
              </w:rPr>
              <w:t>151.36/hour</w:t>
            </w:r>
          </w:p>
        </w:tc>
        <w:tc>
          <w:tcPr>
            <w:tcW w:w="2702" w:type="pct"/>
            <w:vMerge/>
            <w:vAlign w:val="center"/>
          </w:tcPr>
          <w:p w:rsidRPr="00AF6C40" w:rsidR="00D520BD" w:rsidP="00982BD1" w:rsidRDefault="00D520BD" w14:paraId="76B65196" w14:textId="77777777">
            <w:pPr>
              <w:tabs>
                <w:tab w:val="left" w:pos="4260"/>
                <w:tab w:val="left" w:pos="5220"/>
              </w:tabs>
              <w:spacing w:before="3"/>
              <w:ind w:right="-20"/>
              <w:rPr>
                <w:rFonts w:eastAsia="Arial"/>
                <w:sz w:val="16"/>
              </w:rPr>
            </w:pPr>
          </w:p>
        </w:tc>
      </w:tr>
      <w:tr w:rsidRPr="00260F01" w:rsidR="00D520BD" w:rsidTr="00982BD1" w14:paraId="25F616EB" w14:textId="77777777">
        <w:trPr>
          <w:cantSplit/>
        </w:trPr>
        <w:tc>
          <w:tcPr>
            <w:tcW w:w="5000" w:type="pct"/>
            <w:gridSpan w:val="3"/>
            <w:shd w:val="clear" w:color="auto" w:fill="D9D9D9" w:themeFill="background1" w:themeFillShade="D9"/>
            <w:vAlign w:val="center"/>
          </w:tcPr>
          <w:p w:rsidRPr="00AF6C40" w:rsidR="00D520BD" w:rsidP="00982BD1" w:rsidRDefault="00D520BD" w14:paraId="78531268" w14:textId="77777777">
            <w:pPr>
              <w:rPr>
                <w:rFonts w:eastAsia="Arial"/>
                <w:b/>
                <w:sz w:val="16"/>
              </w:rPr>
            </w:pPr>
            <w:r w:rsidRPr="00AF6C40">
              <w:rPr>
                <w:rFonts w:eastAsia="Arial"/>
                <w:b/>
                <w:sz w:val="16"/>
              </w:rPr>
              <w:t>Industry Implementation (One-Time)—Training</w:t>
            </w:r>
          </w:p>
        </w:tc>
      </w:tr>
      <w:tr w:rsidRPr="00260F01" w:rsidR="00D520BD" w:rsidTr="001416A2" w14:paraId="2C758425" w14:textId="77777777">
        <w:trPr>
          <w:cantSplit/>
          <w:trHeight w:val="1425"/>
        </w:trPr>
        <w:tc>
          <w:tcPr>
            <w:tcW w:w="1617" w:type="pct"/>
            <w:vAlign w:val="center"/>
          </w:tcPr>
          <w:p w:rsidRPr="00AF6C40" w:rsidR="00D520BD" w:rsidP="00982BD1" w:rsidRDefault="00D520BD" w14:paraId="6CDA0804" w14:textId="77777777">
            <w:pPr>
              <w:rPr>
                <w:rFonts w:eastAsia="Arial"/>
                <w:sz w:val="16"/>
              </w:rPr>
            </w:pPr>
            <w:r w:rsidRPr="00AF6C40">
              <w:rPr>
                <w:rFonts w:eastAsia="Arial"/>
                <w:sz w:val="16"/>
              </w:rPr>
              <w:t>Number of sites that distribute a summary of FFD program rule changes to employees outside of routine training</w:t>
            </w:r>
          </w:p>
        </w:tc>
        <w:tc>
          <w:tcPr>
            <w:tcW w:w="681" w:type="pct"/>
            <w:vAlign w:val="center"/>
          </w:tcPr>
          <w:p w:rsidRPr="00AF6C40" w:rsidR="00D520BD" w:rsidP="00982BD1" w:rsidRDefault="00253E04" w14:paraId="037268B5" w14:textId="0AF8C33D">
            <w:pPr>
              <w:jc w:val="center"/>
              <w:rPr>
                <w:rFonts w:eastAsia="Arial"/>
                <w:sz w:val="16"/>
              </w:rPr>
            </w:pPr>
            <w:r w:rsidRPr="00AF6C40">
              <w:rPr>
                <w:rFonts w:eastAsia="Arial"/>
                <w:sz w:val="16"/>
              </w:rPr>
              <w:t>3</w:t>
            </w:r>
          </w:p>
        </w:tc>
        <w:tc>
          <w:tcPr>
            <w:tcW w:w="2702" w:type="pct"/>
            <w:vAlign w:val="center"/>
          </w:tcPr>
          <w:p w:rsidR="00AF6C40" w:rsidP="00982BD1" w:rsidRDefault="00D520BD" w14:paraId="4AEE223D" w14:textId="646BCDED">
            <w:pPr>
              <w:tabs>
                <w:tab w:val="left" w:pos="4260"/>
                <w:tab w:val="left" w:pos="5220"/>
              </w:tabs>
              <w:spacing w:before="3"/>
              <w:ind w:right="-20"/>
              <w:rPr>
                <w:rFonts w:eastAsia="Arial"/>
                <w:sz w:val="16"/>
              </w:rPr>
            </w:pPr>
            <w:r w:rsidRPr="00AF6C40">
              <w:rPr>
                <w:rFonts w:eastAsia="Arial"/>
                <w:sz w:val="16"/>
              </w:rPr>
              <w:t>NRC staff assumption.  Based on the implementation timeframe</w:t>
            </w:r>
            <w:r w:rsidRPr="00AF6C40" w:rsidR="00646A79">
              <w:rPr>
                <w:rFonts w:eastAsia="Arial"/>
                <w:sz w:val="16"/>
              </w:rPr>
              <w:t>,</w:t>
            </w:r>
            <w:r w:rsidRPr="00AF6C40">
              <w:rPr>
                <w:rFonts w:eastAsia="Arial"/>
                <w:sz w:val="16"/>
              </w:rPr>
              <w:t xml:space="preserve"> most licensees and other entities will incorporate training on the new FFD program requirements into existing annual training/refresher training opportunities</w:t>
            </w:r>
            <w:r w:rsidRPr="00AF6C40" w:rsidR="00646A79">
              <w:rPr>
                <w:rFonts w:eastAsia="Arial"/>
                <w:sz w:val="16"/>
              </w:rPr>
              <w:t>,</w:t>
            </w:r>
            <w:r w:rsidRPr="00AF6C40">
              <w:rPr>
                <w:rFonts w:eastAsia="Arial"/>
                <w:sz w:val="16"/>
              </w:rPr>
              <w:t xml:space="preserve"> as well as post information at the collection sites and on bulletin boards</w:t>
            </w:r>
            <w:r w:rsidRPr="00AF6C40" w:rsidR="00646A79">
              <w:rPr>
                <w:rFonts w:eastAsia="Arial"/>
                <w:sz w:val="16"/>
              </w:rPr>
              <w:t>,</w:t>
            </w:r>
            <w:r w:rsidRPr="00AF6C40">
              <w:rPr>
                <w:rFonts w:eastAsia="Arial"/>
                <w:sz w:val="16"/>
              </w:rPr>
              <w:t xml:space="preserve"> etc.  </w:t>
            </w:r>
            <w:r w:rsidRPr="00260F01" w:rsidR="001500B7">
              <w:rPr>
                <w:rFonts w:eastAsia="Arial" w:cs="Arial"/>
                <w:sz w:val="16"/>
                <w:szCs w:val="16"/>
              </w:rPr>
              <w:t xml:space="preserve">The </w:t>
            </w:r>
            <w:r w:rsidRPr="00AF6C40" w:rsidR="00473139">
              <w:rPr>
                <w:rFonts w:eastAsia="Arial"/>
                <w:sz w:val="16"/>
              </w:rPr>
              <w:t>NRC</w:t>
            </w:r>
            <w:r w:rsidRPr="00AF6C40" w:rsidR="009C776D">
              <w:rPr>
                <w:rFonts w:eastAsia="Arial"/>
                <w:sz w:val="16"/>
              </w:rPr>
              <w:t xml:space="preserve"> staff e</w:t>
            </w:r>
            <w:r w:rsidRPr="00AF6C40">
              <w:rPr>
                <w:rFonts w:eastAsia="Arial"/>
                <w:sz w:val="16"/>
              </w:rPr>
              <w:t>stimate</w:t>
            </w:r>
            <w:r w:rsidRPr="00AF6C40" w:rsidR="009C776D">
              <w:rPr>
                <w:rFonts w:eastAsia="Arial"/>
                <w:sz w:val="16"/>
              </w:rPr>
              <w:t>s</w:t>
            </w:r>
            <w:r w:rsidRPr="00AF6C40">
              <w:rPr>
                <w:rFonts w:eastAsia="Arial"/>
                <w:sz w:val="16"/>
              </w:rPr>
              <w:t xml:space="preserve"> that</w:t>
            </w:r>
            <w:r w:rsidRPr="00AF6C40" w:rsidR="009C776D">
              <w:rPr>
                <w:rFonts w:eastAsia="Arial"/>
                <w:sz w:val="16"/>
              </w:rPr>
              <w:t xml:space="preserve"> between 0 and</w:t>
            </w:r>
            <w:r w:rsidRPr="00AF6C40">
              <w:rPr>
                <w:rFonts w:eastAsia="Arial"/>
                <w:sz w:val="16"/>
              </w:rPr>
              <w:t xml:space="preserve"> </w:t>
            </w:r>
            <w:r w:rsidRPr="00AF6C40" w:rsidR="009C776D">
              <w:rPr>
                <w:rFonts w:eastAsia="Arial"/>
                <w:sz w:val="16"/>
              </w:rPr>
              <w:t>1</w:t>
            </w:r>
            <w:r w:rsidRPr="00AF6C40">
              <w:rPr>
                <w:rFonts w:eastAsia="Arial"/>
                <w:sz w:val="16"/>
              </w:rPr>
              <w:t>0</w:t>
            </w:r>
            <w:r w:rsidRPr="00260F01" w:rsidR="001500B7">
              <w:rPr>
                <w:rFonts w:eastAsia="Arial" w:cs="Arial"/>
                <w:sz w:val="16"/>
                <w:szCs w:val="16"/>
              </w:rPr>
              <w:t> percent</w:t>
            </w:r>
            <w:r w:rsidRPr="00AF6C40">
              <w:rPr>
                <w:rFonts w:eastAsia="Arial"/>
                <w:sz w:val="16"/>
              </w:rPr>
              <w:t xml:space="preserve"> of sites will conduct training specifically on rule changes and outside routine training.</w:t>
            </w:r>
          </w:p>
          <w:p w:rsidRPr="00AF6C40" w:rsidR="00D520BD" w:rsidP="00982BD1" w:rsidRDefault="00D520BD" w14:paraId="273B63EF" w14:textId="031B573B">
            <w:pPr>
              <w:tabs>
                <w:tab w:val="left" w:pos="4260"/>
                <w:tab w:val="left" w:pos="5220"/>
              </w:tabs>
              <w:spacing w:before="3"/>
              <w:ind w:right="-20"/>
              <w:rPr>
                <w:rFonts w:eastAsia="Arial"/>
                <w:sz w:val="16"/>
              </w:rPr>
            </w:pPr>
            <w:r w:rsidRPr="00AF6C40">
              <w:rPr>
                <w:rFonts w:eastAsia="Arial"/>
                <w:sz w:val="16"/>
              </w:rPr>
              <w:t>(0.</w:t>
            </w:r>
            <w:r w:rsidRPr="00AF6C40" w:rsidR="008368C7">
              <w:rPr>
                <w:rFonts w:eastAsia="Arial"/>
                <w:sz w:val="16"/>
              </w:rPr>
              <w:t>05</w:t>
            </w:r>
            <w:r w:rsidR="0013159B">
              <w:rPr>
                <w:rFonts w:eastAsia="Arial" w:cs="Arial"/>
                <w:sz w:val="16"/>
                <w:szCs w:val="16"/>
              </w:rPr>
              <w:t xml:space="preserve"> </w:t>
            </w:r>
            <w:r w:rsidRPr="00260F01" w:rsidR="00C74180">
              <w:rPr>
                <w:rFonts w:eastAsia="Arial" w:cs="Arial"/>
                <w:sz w:val="16"/>
                <w:szCs w:val="16"/>
              </w:rPr>
              <w:t>×</w:t>
            </w:r>
            <w:r w:rsidR="0013159B">
              <w:rPr>
                <w:rFonts w:eastAsia="Arial" w:cs="Arial"/>
                <w:sz w:val="16"/>
                <w:szCs w:val="16"/>
              </w:rPr>
              <w:t xml:space="preserve"> </w:t>
            </w:r>
            <w:r w:rsidRPr="00AF6C40" w:rsidR="004E39D6">
              <w:rPr>
                <w:rFonts w:eastAsia="Arial"/>
                <w:sz w:val="16"/>
              </w:rPr>
              <w:t>5</w:t>
            </w:r>
            <w:r w:rsidRPr="00AF6C40" w:rsidR="000D4D11">
              <w:rPr>
                <w:rFonts w:eastAsia="Arial"/>
                <w:sz w:val="16"/>
              </w:rPr>
              <w:t>9</w:t>
            </w:r>
            <w:r w:rsidRPr="00AF6C40">
              <w:rPr>
                <w:rFonts w:eastAsia="Arial"/>
                <w:sz w:val="16"/>
              </w:rPr>
              <w:t xml:space="preserve"> sites = </w:t>
            </w:r>
            <w:r w:rsidRPr="00AF6C40" w:rsidR="008368C7">
              <w:rPr>
                <w:rFonts w:eastAsia="Arial"/>
                <w:sz w:val="16"/>
              </w:rPr>
              <w:t>3</w:t>
            </w:r>
            <w:r w:rsidR="0013159B">
              <w:rPr>
                <w:rFonts w:eastAsia="Arial" w:cs="Arial"/>
                <w:sz w:val="16"/>
                <w:szCs w:val="16"/>
              </w:rPr>
              <w:t> </w:t>
            </w:r>
            <w:r w:rsidRPr="00AF6C40">
              <w:rPr>
                <w:rFonts w:eastAsia="Arial"/>
                <w:sz w:val="16"/>
              </w:rPr>
              <w:t>sites)</w:t>
            </w:r>
          </w:p>
        </w:tc>
      </w:tr>
      <w:tr w:rsidRPr="00260F01" w:rsidR="00D520BD" w:rsidTr="001416A2" w14:paraId="07247E41" w14:textId="77777777">
        <w:trPr>
          <w:cantSplit/>
        </w:trPr>
        <w:tc>
          <w:tcPr>
            <w:tcW w:w="1617" w:type="pct"/>
            <w:vAlign w:val="center"/>
          </w:tcPr>
          <w:p w:rsidRPr="000E1B5F" w:rsidR="00D520BD" w:rsidP="00982BD1" w:rsidRDefault="00D520BD" w14:paraId="335B3B63" w14:textId="77777777">
            <w:pPr>
              <w:tabs>
                <w:tab w:val="left" w:pos="4260"/>
                <w:tab w:val="left" w:pos="5220"/>
              </w:tabs>
              <w:spacing w:before="3"/>
              <w:ind w:right="-20"/>
              <w:rPr>
                <w:rFonts w:eastAsia="Arial"/>
                <w:sz w:val="16"/>
              </w:rPr>
            </w:pPr>
            <w:r w:rsidRPr="000E1B5F">
              <w:rPr>
                <w:rFonts w:eastAsia="Arial"/>
                <w:sz w:val="16"/>
              </w:rPr>
              <w:t>Number of FFD programs with a blind performance test sample (BPTS) supplier contract</w:t>
            </w:r>
          </w:p>
        </w:tc>
        <w:tc>
          <w:tcPr>
            <w:tcW w:w="681" w:type="pct"/>
            <w:vAlign w:val="center"/>
          </w:tcPr>
          <w:p w:rsidRPr="000E1B5F" w:rsidR="00D520BD" w:rsidP="00982BD1" w:rsidRDefault="00D520BD" w14:paraId="4E02046E" w14:textId="39965778">
            <w:pPr>
              <w:tabs>
                <w:tab w:val="left" w:pos="4260"/>
                <w:tab w:val="left" w:pos="5220"/>
              </w:tabs>
              <w:spacing w:before="3"/>
              <w:ind w:right="-20"/>
              <w:jc w:val="center"/>
              <w:rPr>
                <w:rFonts w:eastAsia="Arial"/>
                <w:sz w:val="16"/>
              </w:rPr>
            </w:pPr>
            <w:r w:rsidRPr="000E1B5F">
              <w:rPr>
                <w:rFonts w:eastAsia="Arial"/>
                <w:sz w:val="16"/>
              </w:rPr>
              <w:t>2</w:t>
            </w:r>
            <w:r w:rsidRPr="000E1B5F" w:rsidR="00810AF6">
              <w:rPr>
                <w:rFonts w:eastAsia="Arial"/>
                <w:sz w:val="16"/>
              </w:rPr>
              <w:t>4</w:t>
            </w:r>
          </w:p>
        </w:tc>
        <w:tc>
          <w:tcPr>
            <w:tcW w:w="2702" w:type="pct"/>
            <w:vAlign w:val="center"/>
          </w:tcPr>
          <w:p w:rsidRPr="00011039" w:rsidR="00D520BD" w:rsidP="005B6E91" w:rsidRDefault="00D520BD" w14:paraId="071D391B" w14:textId="17244D28">
            <w:pPr>
              <w:tabs>
                <w:tab w:val="left" w:pos="4260"/>
                <w:tab w:val="left" w:pos="5220"/>
              </w:tabs>
              <w:spacing w:before="3"/>
              <w:ind w:right="-20"/>
              <w:rPr>
                <w:rFonts w:eastAsia="Arial"/>
                <w:sz w:val="16"/>
              </w:rPr>
            </w:pPr>
            <w:r w:rsidRPr="000E1B5F">
              <w:rPr>
                <w:rFonts w:eastAsia="Arial"/>
                <w:sz w:val="16"/>
              </w:rPr>
              <w:t>NRC staff assumption</w:t>
            </w:r>
            <w:r w:rsidRPr="000E1B5F" w:rsidR="004E39D6">
              <w:rPr>
                <w:rFonts w:eastAsia="Arial"/>
                <w:sz w:val="16"/>
              </w:rPr>
              <w:t xml:space="preserve"> </w:t>
            </w:r>
            <w:r w:rsidRPr="00011039">
              <w:rPr>
                <w:rFonts w:eastAsia="Arial"/>
                <w:sz w:val="16"/>
              </w:rPr>
              <w:t xml:space="preserve">(all </w:t>
            </w:r>
            <w:r w:rsidR="000E1B5F">
              <w:rPr>
                <w:rFonts w:eastAsia="Arial"/>
                <w:sz w:val="16"/>
              </w:rPr>
              <w:t>FFD programs</w:t>
            </w:r>
            <w:r w:rsidRPr="00011039">
              <w:rPr>
                <w:rFonts w:eastAsia="Arial"/>
                <w:sz w:val="16"/>
              </w:rPr>
              <w:t xml:space="preserve"> have a contract with a BPTS supplier)</w:t>
            </w:r>
          </w:p>
        </w:tc>
      </w:tr>
      <w:tr w:rsidRPr="00260F01" w:rsidR="00D520BD" w:rsidTr="001416A2" w14:paraId="6F3FFB24" w14:textId="77777777">
        <w:trPr>
          <w:cantSplit/>
        </w:trPr>
        <w:tc>
          <w:tcPr>
            <w:tcW w:w="1617" w:type="pct"/>
            <w:vAlign w:val="center"/>
          </w:tcPr>
          <w:p w:rsidRPr="000E1B5F" w:rsidR="00D520BD" w:rsidP="00982BD1" w:rsidRDefault="00D520BD" w14:paraId="1E0C34FE" w14:textId="77777777">
            <w:pPr>
              <w:tabs>
                <w:tab w:val="left" w:pos="4260"/>
                <w:tab w:val="left" w:pos="5220"/>
              </w:tabs>
              <w:spacing w:before="3"/>
              <w:ind w:right="-20"/>
              <w:rPr>
                <w:rFonts w:eastAsia="Arial"/>
                <w:sz w:val="16"/>
              </w:rPr>
            </w:pPr>
            <w:r w:rsidRPr="000E1B5F">
              <w:rPr>
                <w:rFonts w:eastAsia="Arial"/>
                <w:sz w:val="16"/>
              </w:rPr>
              <w:t>Cost of LTF training materials</w:t>
            </w:r>
          </w:p>
        </w:tc>
        <w:tc>
          <w:tcPr>
            <w:tcW w:w="681" w:type="pct"/>
            <w:vAlign w:val="center"/>
          </w:tcPr>
          <w:p w:rsidRPr="000E1B5F" w:rsidR="00D520BD" w:rsidP="006F21ED" w:rsidRDefault="00D520BD" w14:paraId="6F8D33FE" w14:textId="0574F758">
            <w:pPr>
              <w:tabs>
                <w:tab w:val="left" w:pos="4260"/>
                <w:tab w:val="left" w:pos="5220"/>
              </w:tabs>
              <w:spacing w:before="3"/>
              <w:ind w:right="-20"/>
              <w:jc w:val="center"/>
              <w:rPr>
                <w:rFonts w:eastAsia="Arial"/>
                <w:sz w:val="16"/>
              </w:rPr>
            </w:pPr>
            <w:r w:rsidRPr="000E1B5F">
              <w:rPr>
                <w:rFonts w:eastAsia="Arial"/>
                <w:sz w:val="16"/>
              </w:rPr>
              <w:t>$5</w:t>
            </w:r>
            <w:r w:rsidRPr="000E1B5F" w:rsidR="00BD18A2">
              <w:rPr>
                <w:rFonts w:eastAsia="Arial"/>
                <w:sz w:val="16"/>
              </w:rPr>
              <w:t>33.33</w:t>
            </w:r>
            <w:r w:rsidRPr="000E1B5F">
              <w:rPr>
                <w:rFonts w:eastAsia="Arial"/>
                <w:sz w:val="16"/>
              </w:rPr>
              <w:t xml:space="preserve"> per</w:t>
            </w:r>
            <w:r w:rsidRPr="000E1B5F" w:rsidR="006F21ED">
              <w:rPr>
                <w:rFonts w:eastAsia="Arial"/>
                <w:sz w:val="16"/>
              </w:rPr>
              <w:t> </w:t>
            </w:r>
            <w:r w:rsidRPr="000E1B5F">
              <w:rPr>
                <w:rFonts w:eastAsia="Arial"/>
                <w:sz w:val="16"/>
              </w:rPr>
              <w:t>LTF</w:t>
            </w:r>
          </w:p>
        </w:tc>
        <w:tc>
          <w:tcPr>
            <w:tcW w:w="2702" w:type="pct"/>
            <w:vAlign w:val="center"/>
          </w:tcPr>
          <w:p w:rsidRPr="000E1B5F" w:rsidR="00D520BD" w:rsidP="00982BD1" w:rsidRDefault="00D520BD" w14:paraId="17108160" w14:textId="407717E0">
            <w:pPr>
              <w:tabs>
                <w:tab w:val="left" w:pos="4260"/>
                <w:tab w:val="left" w:pos="5220"/>
              </w:tabs>
              <w:spacing w:before="3"/>
              <w:ind w:right="-20"/>
              <w:rPr>
                <w:rFonts w:eastAsia="Arial"/>
                <w:sz w:val="16"/>
              </w:rPr>
            </w:pPr>
            <w:r w:rsidRPr="000E1B5F">
              <w:rPr>
                <w:rFonts w:eastAsia="Arial"/>
                <w:sz w:val="16"/>
              </w:rPr>
              <w:t>NRC staff assumption based on the 2008 10 CFR Part 26 FFD final rule regulatory analysis (March 2008)</w:t>
            </w:r>
          </w:p>
        </w:tc>
      </w:tr>
      <w:tr w:rsidRPr="00260F01" w:rsidR="00D520BD" w:rsidTr="001416A2" w14:paraId="44978355" w14:textId="77777777">
        <w:trPr>
          <w:cantSplit/>
        </w:trPr>
        <w:tc>
          <w:tcPr>
            <w:tcW w:w="1617" w:type="pct"/>
            <w:vAlign w:val="center"/>
          </w:tcPr>
          <w:p w:rsidRPr="000E1B5F" w:rsidR="00D520BD" w:rsidP="00982BD1" w:rsidRDefault="00D520BD" w14:paraId="049287EC" w14:textId="77777777">
            <w:pPr>
              <w:tabs>
                <w:tab w:val="left" w:pos="4260"/>
                <w:tab w:val="left" w:pos="5220"/>
              </w:tabs>
              <w:spacing w:before="3"/>
              <w:ind w:right="-20"/>
              <w:rPr>
                <w:rFonts w:eastAsia="Arial"/>
                <w:sz w:val="16"/>
              </w:rPr>
            </w:pPr>
            <w:r w:rsidRPr="000E1B5F">
              <w:rPr>
                <w:rFonts w:eastAsia="Arial"/>
                <w:sz w:val="16"/>
              </w:rPr>
              <w:t>Number of Laboratory Technicians per LTF</w:t>
            </w:r>
          </w:p>
        </w:tc>
        <w:tc>
          <w:tcPr>
            <w:tcW w:w="681" w:type="pct"/>
            <w:vAlign w:val="center"/>
          </w:tcPr>
          <w:p w:rsidRPr="000E1B5F" w:rsidR="00D520BD" w:rsidP="00982BD1" w:rsidRDefault="00D520BD" w14:paraId="04751552" w14:textId="77777777">
            <w:pPr>
              <w:tabs>
                <w:tab w:val="left" w:pos="4260"/>
                <w:tab w:val="left" w:pos="5220"/>
              </w:tabs>
              <w:spacing w:before="3"/>
              <w:ind w:right="-20"/>
              <w:jc w:val="center"/>
              <w:rPr>
                <w:rFonts w:eastAsia="Arial"/>
                <w:sz w:val="16"/>
              </w:rPr>
            </w:pPr>
            <w:r w:rsidRPr="000E1B5F">
              <w:rPr>
                <w:rFonts w:eastAsia="Arial"/>
                <w:sz w:val="16"/>
              </w:rPr>
              <w:t>2</w:t>
            </w:r>
          </w:p>
        </w:tc>
        <w:tc>
          <w:tcPr>
            <w:tcW w:w="2702" w:type="pct"/>
            <w:vAlign w:val="center"/>
          </w:tcPr>
          <w:p w:rsidRPr="000E1B5F" w:rsidR="00D520BD" w:rsidP="00982BD1" w:rsidRDefault="00D520BD" w14:paraId="1ABFA131" w14:textId="3D1704A0">
            <w:pPr>
              <w:tabs>
                <w:tab w:val="left" w:pos="4260"/>
                <w:tab w:val="left" w:pos="5220"/>
              </w:tabs>
              <w:spacing w:before="3"/>
              <w:ind w:right="-20"/>
              <w:rPr>
                <w:rFonts w:eastAsia="Arial"/>
                <w:sz w:val="16"/>
              </w:rPr>
            </w:pPr>
            <w:r w:rsidRPr="000E1B5F">
              <w:rPr>
                <w:rFonts w:eastAsia="Arial"/>
                <w:sz w:val="16"/>
              </w:rPr>
              <w:t>NRC staff assumption based on communications in CY</w:t>
            </w:r>
            <w:r w:rsidRPr="000E1B5F" w:rsidR="003F03D3">
              <w:rPr>
                <w:rFonts w:eastAsia="Arial"/>
                <w:sz w:val="16"/>
              </w:rPr>
              <w:t xml:space="preserve"> </w:t>
            </w:r>
            <w:r w:rsidRPr="000E1B5F" w:rsidR="00AF1805">
              <w:rPr>
                <w:rFonts w:eastAsia="Arial"/>
                <w:sz w:val="16"/>
              </w:rPr>
              <w:t>2021</w:t>
            </w:r>
            <w:r w:rsidRPr="000E1B5F" w:rsidR="00A97FD2">
              <w:rPr>
                <w:rFonts w:eastAsia="Arial"/>
                <w:sz w:val="16"/>
              </w:rPr>
              <w:t xml:space="preserve"> </w:t>
            </w:r>
            <w:r w:rsidRPr="000E1B5F">
              <w:rPr>
                <w:rFonts w:eastAsia="Arial"/>
                <w:sz w:val="16"/>
              </w:rPr>
              <w:t>with licensees using LTFs</w:t>
            </w:r>
          </w:p>
        </w:tc>
      </w:tr>
      <w:tr w:rsidRPr="00260F01" w:rsidR="00D520BD" w:rsidTr="00982BD1" w14:paraId="6510A28D" w14:textId="77777777">
        <w:trPr>
          <w:cantSplit/>
        </w:trPr>
        <w:tc>
          <w:tcPr>
            <w:tcW w:w="5000" w:type="pct"/>
            <w:gridSpan w:val="3"/>
            <w:shd w:val="clear" w:color="auto" w:fill="D9D9D9" w:themeFill="background1" w:themeFillShade="D9"/>
            <w:vAlign w:val="center"/>
          </w:tcPr>
          <w:p w:rsidRPr="000E1B5F" w:rsidR="00D520BD" w:rsidP="006F21ED" w:rsidRDefault="00D520BD" w14:paraId="45A84FF7" w14:textId="77777777">
            <w:pPr>
              <w:tabs>
                <w:tab w:val="left" w:pos="4260"/>
                <w:tab w:val="left" w:pos="5220"/>
              </w:tabs>
              <w:spacing w:before="3"/>
              <w:ind w:right="-14"/>
              <w:rPr>
                <w:rFonts w:eastAsia="Arial"/>
                <w:b/>
                <w:sz w:val="16"/>
              </w:rPr>
            </w:pPr>
            <w:r w:rsidRPr="000E1B5F">
              <w:rPr>
                <w:rFonts w:eastAsia="Arial"/>
                <w:b/>
                <w:sz w:val="16"/>
              </w:rPr>
              <w:t>Industry Operations (Annual)—Costs</w:t>
            </w:r>
          </w:p>
        </w:tc>
      </w:tr>
      <w:tr w:rsidRPr="00260F01" w:rsidR="00D520BD" w:rsidTr="001416A2" w14:paraId="4CF7BDB7" w14:textId="77777777">
        <w:trPr>
          <w:cantSplit/>
        </w:trPr>
        <w:tc>
          <w:tcPr>
            <w:tcW w:w="1617" w:type="pct"/>
            <w:vAlign w:val="center"/>
          </w:tcPr>
          <w:p w:rsidRPr="000E1B5F" w:rsidR="00D520BD" w:rsidP="006F21ED" w:rsidRDefault="00D520BD" w14:paraId="4A38E3AC" w14:textId="77777777">
            <w:pPr>
              <w:tabs>
                <w:tab w:val="left" w:pos="4260"/>
                <w:tab w:val="left" w:pos="5220"/>
              </w:tabs>
              <w:spacing w:before="3"/>
              <w:ind w:right="-14"/>
              <w:rPr>
                <w:rFonts w:eastAsia="Arial"/>
                <w:sz w:val="16"/>
              </w:rPr>
            </w:pPr>
            <w:r w:rsidRPr="000E1B5F">
              <w:rPr>
                <w:rFonts w:eastAsia="Arial"/>
                <w:sz w:val="16"/>
              </w:rPr>
              <w:t>Initial testing for one additional drug at an LTF</w:t>
            </w:r>
          </w:p>
        </w:tc>
        <w:tc>
          <w:tcPr>
            <w:tcW w:w="681" w:type="pct"/>
            <w:shd w:val="clear" w:color="auto" w:fill="FFFFFF" w:themeFill="background1"/>
            <w:vAlign w:val="center"/>
          </w:tcPr>
          <w:p w:rsidRPr="000E1B5F" w:rsidR="00503B13" w:rsidP="006F21ED" w:rsidRDefault="00855E82" w14:paraId="7EE073A7" w14:textId="77777777">
            <w:pPr>
              <w:tabs>
                <w:tab w:val="left" w:pos="4260"/>
                <w:tab w:val="left" w:pos="5220"/>
              </w:tabs>
              <w:spacing w:before="3"/>
              <w:ind w:right="-14"/>
              <w:jc w:val="center"/>
              <w:rPr>
                <w:rFonts w:eastAsia="Arial"/>
                <w:sz w:val="16"/>
              </w:rPr>
            </w:pPr>
            <w:r w:rsidRPr="000E1B5F">
              <w:rPr>
                <w:rFonts w:eastAsia="Arial"/>
                <w:sz w:val="16"/>
              </w:rPr>
              <w:t>$3.59</w:t>
            </w:r>
            <w:r w:rsidRPr="000E1B5F" w:rsidR="00D520BD">
              <w:rPr>
                <w:rFonts w:eastAsia="Arial"/>
                <w:sz w:val="16"/>
              </w:rPr>
              <w:t xml:space="preserve"> </w:t>
            </w:r>
          </w:p>
          <w:p w:rsidRPr="000E1B5F" w:rsidR="00D520BD" w:rsidP="006F21ED" w:rsidRDefault="00D520BD" w14:paraId="58534F1D" w14:textId="0FC4759B">
            <w:pPr>
              <w:tabs>
                <w:tab w:val="left" w:pos="4260"/>
                <w:tab w:val="left" w:pos="5220"/>
              </w:tabs>
              <w:spacing w:before="3"/>
              <w:ind w:right="-14"/>
              <w:jc w:val="center"/>
              <w:rPr>
                <w:rFonts w:eastAsia="Arial"/>
                <w:sz w:val="16"/>
              </w:rPr>
            </w:pPr>
            <w:r w:rsidRPr="000E1B5F">
              <w:rPr>
                <w:rFonts w:eastAsia="Arial"/>
                <w:sz w:val="16"/>
              </w:rPr>
              <w:t>per</w:t>
            </w:r>
            <w:r w:rsidRPr="000E1B5F" w:rsidR="006F21ED">
              <w:rPr>
                <w:rFonts w:eastAsia="Arial"/>
                <w:sz w:val="16"/>
              </w:rPr>
              <w:t> </w:t>
            </w:r>
            <w:r w:rsidRPr="000E1B5F">
              <w:rPr>
                <w:rFonts w:eastAsia="Arial"/>
                <w:sz w:val="16"/>
              </w:rPr>
              <w:t>test</w:t>
            </w:r>
          </w:p>
        </w:tc>
        <w:tc>
          <w:tcPr>
            <w:tcW w:w="2702" w:type="pct"/>
            <w:vAlign w:val="center"/>
          </w:tcPr>
          <w:p w:rsidRPr="000E1B5F" w:rsidR="00D520BD" w:rsidP="006F21ED" w:rsidRDefault="00D520BD" w14:paraId="0F0EFC75" w14:textId="0D67602A">
            <w:pPr>
              <w:tabs>
                <w:tab w:val="left" w:pos="4260"/>
                <w:tab w:val="left" w:pos="5220"/>
              </w:tabs>
              <w:spacing w:before="3"/>
              <w:ind w:right="-14"/>
              <w:rPr>
                <w:rFonts w:eastAsia="Arial"/>
                <w:sz w:val="16"/>
              </w:rPr>
            </w:pPr>
            <w:r w:rsidRPr="000E1B5F">
              <w:rPr>
                <w:rFonts w:eastAsia="Arial"/>
                <w:sz w:val="16"/>
              </w:rPr>
              <w:t>NRC staff assumption based on feedback received in CY</w:t>
            </w:r>
            <w:r w:rsidRPr="000E1B5F" w:rsidR="00063438">
              <w:rPr>
                <w:rFonts w:eastAsia="Arial"/>
                <w:sz w:val="16"/>
              </w:rPr>
              <w:t> </w:t>
            </w:r>
            <w:r w:rsidRPr="000E1B5F" w:rsidR="00B003EE">
              <w:rPr>
                <w:rFonts w:eastAsia="Arial"/>
                <w:sz w:val="16"/>
              </w:rPr>
              <w:t>2021</w:t>
            </w:r>
            <w:r w:rsidRPr="000E1B5F">
              <w:rPr>
                <w:rFonts w:eastAsia="Arial"/>
                <w:sz w:val="16"/>
              </w:rPr>
              <w:t xml:space="preserve"> from licensees using LTFs</w:t>
            </w:r>
          </w:p>
        </w:tc>
      </w:tr>
      <w:tr w:rsidRPr="00260F01" w:rsidR="00D520BD" w:rsidTr="001416A2" w14:paraId="0DCDAA9A" w14:textId="77777777">
        <w:trPr>
          <w:cantSplit/>
        </w:trPr>
        <w:tc>
          <w:tcPr>
            <w:tcW w:w="1617" w:type="pct"/>
            <w:vAlign w:val="center"/>
          </w:tcPr>
          <w:p w:rsidRPr="000E1B5F" w:rsidR="00D520BD" w:rsidP="00982BD1" w:rsidRDefault="00D520BD" w14:paraId="5735EB92" w14:textId="5C290576">
            <w:pPr>
              <w:tabs>
                <w:tab w:val="left" w:pos="4260"/>
                <w:tab w:val="left" w:pos="5220"/>
              </w:tabs>
              <w:spacing w:before="3"/>
              <w:ind w:right="-14"/>
              <w:rPr>
                <w:rFonts w:eastAsia="Arial"/>
                <w:sz w:val="16"/>
              </w:rPr>
            </w:pPr>
            <w:r w:rsidRPr="000E1B5F">
              <w:rPr>
                <w:rFonts w:eastAsia="Arial"/>
                <w:sz w:val="16"/>
              </w:rPr>
              <w:t>Initial and confirmatory drug testing</w:t>
            </w:r>
            <w:r w:rsidRPr="000E1B5F" w:rsidR="00646A79">
              <w:rPr>
                <w:rFonts w:eastAsia="Arial"/>
                <w:sz w:val="16"/>
              </w:rPr>
              <w:t>,</w:t>
            </w:r>
            <w:r w:rsidRPr="000E1B5F">
              <w:rPr>
                <w:rFonts w:eastAsia="Arial"/>
                <w:sz w:val="16"/>
              </w:rPr>
              <w:t xml:space="preserve"> HHS-certified laboratory</w:t>
            </w:r>
          </w:p>
          <w:p w:rsidRPr="00260F01" w:rsidR="00D520BD" w:rsidP="00982BD1" w:rsidRDefault="00D520BD" w14:paraId="4A9B34ED" w14:textId="77777777">
            <w:pPr>
              <w:tabs>
                <w:tab w:val="left" w:pos="4260"/>
                <w:tab w:val="left" w:pos="5220"/>
              </w:tabs>
              <w:spacing w:before="3"/>
              <w:ind w:right="-14"/>
              <w:rPr>
                <w:sz w:val="16"/>
              </w:rPr>
            </w:pPr>
            <w:r w:rsidRPr="000E1B5F">
              <w:rPr>
                <w:rFonts w:eastAsia="Arial"/>
                <w:sz w:val="16"/>
              </w:rPr>
              <w:t>(sites using an LTF for initial testing)</w:t>
            </w:r>
          </w:p>
        </w:tc>
        <w:tc>
          <w:tcPr>
            <w:tcW w:w="681" w:type="pct"/>
            <w:tcBorders>
              <w:bottom w:val="single" w:color="auto" w:sz="4" w:space="0"/>
            </w:tcBorders>
            <w:shd w:val="clear" w:color="auto" w:fill="auto"/>
            <w:vAlign w:val="center"/>
          </w:tcPr>
          <w:p w:rsidRPr="00260F01" w:rsidR="00D520BD" w:rsidP="006F21ED" w:rsidRDefault="00D520BD" w14:paraId="20E14E11" w14:textId="79BEB009">
            <w:pPr>
              <w:tabs>
                <w:tab w:val="left" w:pos="4260"/>
                <w:tab w:val="left" w:pos="5220"/>
              </w:tabs>
              <w:spacing w:before="3"/>
              <w:ind w:right="-14"/>
              <w:jc w:val="center"/>
              <w:rPr>
                <w:sz w:val="16"/>
              </w:rPr>
            </w:pPr>
            <w:r w:rsidRPr="000E1B5F">
              <w:rPr>
                <w:rFonts w:eastAsia="Arial"/>
                <w:sz w:val="16"/>
              </w:rPr>
              <w:t>$</w:t>
            </w:r>
            <w:r w:rsidRPr="000E1B5F" w:rsidR="00451250">
              <w:rPr>
                <w:rFonts w:eastAsia="Arial"/>
                <w:sz w:val="16"/>
              </w:rPr>
              <w:t>28.83</w:t>
            </w:r>
            <w:r w:rsidRPr="000E1B5F">
              <w:rPr>
                <w:rFonts w:eastAsia="Arial"/>
                <w:sz w:val="16"/>
              </w:rPr>
              <w:t xml:space="preserve"> per</w:t>
            </w:r>
            <w:r w:rsidRPr="000E1B5F" w:rsidR="006F21ED">
              <w:rPr>
                <w:rFonts w:eastAsia="Arial"/>
                <w:sz w:val="16"/>
              </w:rPr>
              <w:t> </w:t>
            </w:r>
            <w:r w:rsidRPr="000E1B5F">
              <w:rPr>
                <w:rFonts w:eastAsia="Arial"/>
                <w:sz w:val="16"/>
              </w:rPr>
              <w:t>specimen</w:t>
            </w:r>
          </w:p>
        </w:tc>
        <w:tc>
          <w:tcPr>
            <w:tcW w:w="2702" w:type="pct"/>
            <w:vAlign w:val="center"/>
          </w:tcPr>
          <w:p w:rsidRPr="00260F01" w:rsidR="00D520BD" w:rsidP="00982BD1" w:rsidRDefault="00D520BD" w14:paraId="7E7C9E31" w14:textId="70D800D1">
            <w:pPr>
              <w:tabs>
                <w:tab w:val="left" w:pos="4260"/>
                <w:tab w:val="left" w:pos="5220"/>
              </w:tabs>
              <w:spacing w:before="3"/>
              <w:ind w:right="-14"/>
              <w:rPr>
                <w:sz w:val="16"/>
              </w:rPr>
            </w:pPr>
            <w:r w:rsidRPr="000E1B5F">
              <w:rPr>
                <w:rFonts w:eastAsia="Arial"/>
                <w:sz w:val="16"/>
              </w:rPr>
              <w:t>NRC staff assumption based on industry feedback received in CY</w:t>
            </w:r>
            <w:r w:rsidRPr="000E1B5F" w:rsidR="00EA5B2C">
              <w:rPr>
                <w:rFonts w:eastAsia="Arial"/>
                <w:sz w:val="16"/>
              </w:rPr>
              <w:t> </w:t>
            </w:r>
            <w:r w:rsidRPr="000E1B5F" w:rsidR="002E68CD">
              <w:rPr>
                <w:rFonts w:eastAsia="Arial"/>
                <w:sz w:val="16"/>
              </w:rPr>
              <w:t>2021</w:t>
            </w:r>
            <w:r w:rsidRPr="000E1B5F">
              <w:rPr>
                <w:rFonts w:eastAsia="Arial"/>
                <w:sz w:val="16"/>
              </w:rPr>
              <w:t xml:space="preserve"> (weighted average of LTF testing costs for positive results from CY</w:t>
            </w:r>
            <w:r w:rsidRPr="000E1B5F" w:rsidR="007C619C">
              <w:rPr>
                <w:rFonts w:eastAsia="Arial"/>
                <w:sz w:val="16"/>
              </w:rPr>
              <w:t>s</w:t>
            </w:r>
            <w:r w:rsidRPr="000E1B5F">
              <w:rPr>
                <w:rFonts w:eastAsia="Arial"/>
                <w:sz w:val="16"/>
              </w:rPr>
              <w:t> 2009–201</w:t>
            </w:r>
            <w:r w:rsidRPr="000E1B5F" w:rsidR="002E68CD">
              <w:rPr>
                <w:rFonts w:eastAsia="Arial"/>
                <w:sz w:val="16"/>
              </w:rPr>
              <w:t>9</w:t>
            </w:r>
            <w:r w:rsidRPr="000E1B5F">
              <w:rPr>
                <w:rFonts w:eastAsia="Arial"/>
                <w:sz w:val="16"/>
              </w:rPr>
              <w:t>)</w:t>
            </w:r>
          </w:p>
        </w:tc>
      </w:tr>
      <w:tr w:rsidRPr="00260F01" w:rsidR="00AE4E1E" w:rsidTr="001416A2" w14:paraId="1F19F086" w14:textId="77777777">
        <w:trPr>
          <w:cantSplit/>
        </w:trPr>
        <w:tc>
          <w:tcPr>
            <w:tcW w:w="1617" w:type="pct"/>
            <w:vAlign w:val="center"/>
          </w:tcPr>
          <w:p w:rsidRPr="00260F01" w:rsidR="00146EF5" w:rsidP="00146EF5" w:rsidRDefault="00146EF5" w14:paraId="21271B15" w14:textId="77777777">
            <w:pPr>
              <w:tabs>
                <w:tab w:val="left" w:pos="4260"/>
                <w:tab w:val="left" w:pos="5220"/>
              </w:tabs>
              <w:spacing w:before="3"/>
              <w:ind w:right="-14"/>
              <w:rPr>
                <w:sz w:val="16"/>
              </w:rPr>
            </w:pPr>
            <w:r w:rsidRPr="00260F01">
              <w:rPr>
                <w:sz w:val="16"/>
              </w:rPr>
              <w:t xml:space="preserve">Initial and confirmatory drug testing, HHS-certified laboratory </w:t>
            </w:r>
          </w:p>
          <w:p w:rsidRPr="00260F01" w:rsidR="00AE4E1E" w:rsidP="00982BD1" w:rsidRDefault="00146EF5" w14:paraId="113CCA7D" w14:textId="7446B92F">
            <w:pPr>
              <w:tabs>
                <w:tab w:val="left" w:pos="4260"/>
                <w:tab w:val="left" w:pos="5220"/>
              </w:tabs>
              <w:spacing w:before="3"/>
              <w:ind w:right="-14"/>
              <w:rPr>
                <w:sz w:val="16"/>
              </w:rPr>
            </w:pPr>
            <w:r w:rsidRPr="00260F01">
              <w:rPr>
                <w:sz w:val="16"/>
              </w:rPr>
              <w:t>(sites only using HHS-certified laboratories)</w:t>
            </w:r>
          </w:p>
        </w:tc>
        <w:tc>
          <w:tcPr>
            <w:tcW w:w="681" w:type="pct"/>
            <w:shd w:val="clear" w:color="auto" w:fill="FFFFFF" w:themeFill="background1"/>
            <w:vAlign w:val="center"/>
          </w:tcPr>
          <w:p w:rsidRPr="00260F01" w:rsidR="00503B13" w:rsidP="00A91777" w:rsidRDefault="001818AF" w14:paraId="3AADD0A9" w14:textId="77777777">
            <w:pPr>
              <w:tabs>
                <w:tab w:val="left" w:pos="4260"/>
                <w:tab w:val="left" w:pos="5220"/>
              </w:tabs>
              <w:spacing w:before="3"/>
              <w:ind w:right="-14"/>
              <w:jc w:val="center"/>
              <w:rPr>
                <w:sz w:val="16"/>
              </w:rPr>
            </w:pPr>
            <w:r w:rsidRPr="00260F01">
              <w:rPr>
                <w:sz w:val="16"/>
              </w:rPr>
              <w:t xml:space="preserve">$12.88 </w:t>
            </w:r>
          </w:p>
          <w:p w:rsidRPr="00260F01" w:rsidR="00AE4E1E" w:rsidP="00A91777" w:rsidRDefault="001818AF" w14:paraId="6430E26B" w14:textId="03C1BE4A">
            <w:pPr>
              <w:tabs>
                <w:tab w:val="left" w:pos="4260"/>
                <w:tab w:val="left" w:pos="5220"/>
              </w:tabs>
              <w:spacing w:before="3"/>
              <w:ind w:right="-14"/>
              <w:jc w:val="center"/>
              <w:rPr>
                <w:sz w:val="16"/>
              </w:rPr>
            </w:pPr>
            <w:r w:rsidRPr="00260F01">
              <w:rPr>
                <w:sz w:val="16"/>
              </w:rPr>
              <w:t>per specimen</w:t>
            </w:r>
          </w:p>
        </w:tc>
        <w:tc>
          <w:tcPr>
            <w:tcW w:w="2702" w:type="pct"/>
            <w:vAlign w:val="center"/>
          </w:tcPr>
          <w:p w:rsidRPr="00260F01" w:rsidR="00AE4E1E" w:rsidP="00982BD1" w:rsidRDefault="00146EF5" w14:paraId="426B07E0" w14:textId="1F73F339">
            <w:pPr>
              <w:tabs>
                <w:tab w:val="left" w:pos="4260"/>
                <w:tab w:val="left" w:pos="5220"/>
              </w:tabs>
              <w:spacing w:before="3"/>
              <w:ind w:right="-14"/>
              <w:rPr>
                <w:sz w:val="16"/>
              </w:rPr>
            </w:pPr>
            <w:r w:rsidRPr="000E1B5F">
              <w:rPr>
                <w:rFonts w:eastAsia="Arial"/>
                <w:sz w:val="16"/>
              </w:rPr>
              <w:t>NRC staff assumption based on industry feedback received in CY</w:t>
            </w:r>
            <w:r w:rsidRPr="000E1B5F" w:rsidR="00587A8B">
              <w:rPr>
                <w:rFonts w:eastAsia="Arial"/>
                <w:sz w:val="16"/>
              </w:rPr>
              <w:t>s</w:t>
            </w:r>
            <w:r w:rsidRPr="000E1B5F">
              <w:rPr>
                <w:rFonts w:eastAsia="Arial"/>
                <w:sz w:val="16"/>
              </w:rPr>
              <w:t> 2020 and 2021</w:t>
            </w:r>
          </w:p>
        </w:tc>
      </w:tr>
      <w:tr w:rsidRPr="00260F01" w:rsidR="00D520BD" w:rsidTr="001416A2" w14:paraId="6295E729" w14:textId="77777777">
        <w:trPr>
          <w:cantSplit/>
        </w:trPr>
        <w:tc>
          <w:tcPr>
            <w:tcW w:w="1617" w:type="pct"/>
            <w:vAlign w:val="center"/>
          </w:tcPr>
          <w:p w:rsidRPr="00260F01" w:rsidR="005E1115" w:rsidP="00982BD1" w:rsidRDefault="00D520BD" w14:paraId="011F9DE6" w14:textId="02FBFB17">
            <w:pPr>
              <w:tabs>
                <w:tab w:val="left" w:pos="4260"/>
                <w:tab w:val="left" w:pos="5220"/>
              </w:tabs>
              <w:spacing w:before="3"/>
              <w:ind w:right="-14"/>
              <w:rPr>
                <w:sz w:val="16"/>
              </w:rPr>
            </w:pPr>
            <w:r w:rsidRPr="00260F01">
              <w:rPr>
                <w:sz w:val="16"/>
              </w:rPr>
              <w:t>Testing for 6-AM</w:t>
            </w:r>
          </w:p>
          <w:p w:rsidRPr="000E1B5F" w:rsidR="00D520BD" w:rsidP="00982BD1" w:rsidRDefault="00D520BD" w14:paraId="26167F88" w14:textId="241CD4E2">
            <w:pPr>
              <w:tabs>
                <w:tab w:val="left" w:pos="4260"/>
                <w:tab w:val="left" w:pos="5220"/>
              </w:tabs>
              <w:spacing w:before="3"/>
              <w:ind w:right="-14"/>
              <w:rPr>
                <w:rFonts w:eastAsia="Arial"/>
                <w:sz w:val="16"/>
              </w:rPr>
            </w:pPr>
            <w:r w:rsidRPr="00260F01">
              <w:rPr>
                <w:sz w:val="16"/>
              </w:rPr>
              <w:t>(sites only using an HHS-certified laboratory)</w:t>
            </w:r>
          </w:p>
        </w:tc>
        <w:tc>
          <w:tcPr>
            <w:tcW w:w="681" w:type="pct"/>
            <w:shd w:val="clear" w:color="auto" w:fill="FFFFFF" w:themeFill="background1"/>
            <w:vAlign w:val="center"/>
          </w:tcPr>
          <w:p w:rsidRPr="00260F01" w:rsidR="00C553A3" w:rsidP="00A91777" w:rsidRDefault="00D520BD" w14:paraId="588B94AB" w14:textId="6E441F34">
            <w:pPr>
              <w:tabs>
                <w:tab w:val="left" w:pos="4260"/>
                <w:tab w:val="left" w:pos="5220"/>
              </w:tabs>
              <w:spacing w:before="3"/>
              <w:ind w:right="-14"/>
              <w:jc w:val="center"/>
              <w:rPr>
                <w:sz w:val="16"/>
                <w:szCs w:val="16"/>
              </w:rPr>
            </w:pPr>
            <w:r w:rsidRPr="00260F01">
              <w:rPr>
                <w:sz w:val="16"/>
                <w:szCs w:val="16"/>
              </w:rPr>
              <w:t>$0.</w:t>
            </w:r>
            <w:r w:rsidRPr="00260F01" w:rsidR="00124A2A">
              <w:rPr>
                <w:sz w:val="16"/>
                <w:szCs w:val="16"/>
              </w:rPr>
              <w:t>39</w:t>
            </w:r>
          </w:p>
          <w:p w:rsidRPr="000E1B5F" w:rsidR="00D520BD" w:rsidP="00A91777" w:rsidRDefault="00CC2BE6" w14:paraId="2840951B" w14:textId="6CD59394">
            <w:pPr>
              <w:tabs>
                <w:tab w:val="left" w:pos="4260"/>
                <w:tab w:val="left" w:pos="5220"/>
              </w:tabs>
              <w:spacing w:before="3"/>
              <w:ind w:right="-14"/>
              <w:jc w:val="center"/>
              <w:rPr>
                <w:rFonts w:eastAsia="Arial"/>
                <w:sz w:val="16"/>
              </w:rPr>
            </w:pPr>
            <w:r w:rsidRPr="00260F01">
              <w:rPr>
                <w:sz w:val="16"/>
                <w:szCs w:val="16"/>
              </w:rPr>
              <w:t xml:space="preserve"> </w:t>
            </w:r>
            <w:r w:rsidRPr="00260F01" w:rsidR="00D520BD">
              <w:rPr>
                <w:sz w:val="16"/>
                <w:szCs w:val="16"/>
              </w:rPr>
              <w:t>per</w:t>
            </w:r>
            <w:r w:rsidRPr="00260F01" w:rsidR="006F21ED">
              <w:rPr>
                <w:sz w:val="16"/>
                <w:szCs w:val="16"/>
              </w:rPr>
              <w:t> </w:t>
            </w:r>
            <w:r w:rsidRPr="00260F01" w:rsidR="00D520BD">
              <w:rPr>
                <w:sz w:val="16"/>
                <w:szCs w:val="16"/>
              </w:rPr>
              <w:t>test</w:t>
            </w:r>
          </w:p>
        </w:tc>
        <w:tc>
          <w:tcPr>
            <w:tcW w:w="2702" w:type="pct"/>
            <w:vAlign w:val="center"/>
          </w:tcPr>
          <w:p w:rsidRPr="000E1B5F" w:rsidR="00D520BD" w:rsidP="00982BD1" w:rsidRDefault="00D520BD" w14:paraId="50A4EFF2" w14:textId="35EE2587">
            <w:pPr>
              <w:tabs>
                <w:tab w:val="left" w:pos="4260"/>
                <w:tab w:val="left" w:pos="5220"/>
              </w:tabs>
              <w:spacing w:before="3"/>
              <w:ind w:right="-14"/>
              <w:rPr>
                <w:rFonts w:eastAsia="Arial"/>
                <w:sz w:val="16"/>
              </w:rPr>
            </w:pPr>
            <w:r w:rsidRPr="00260F01">
              <w:rPr>
                <w:sz w:val="16"/>
              </w:rPr>
              <w:t xml:space="preserve">NRC staff assumption partially informed by the 49 CFR Part 40 </w:t>
            </w:r>
            <w:r w:rsidRPr="00260F01" w:rsidR="005B6E91">
              <w:rPr>
                <w:sz w:val="16"/>
              </w:rPr>
              <w:t>f</w:t>
            </w:r>
            <w:r w:rsidRPr="00260F01">
              <w:rPr>
                <w:sz w:val="16"/>
              </w:rPr>
              <w:t xml:space="preserve">inal </w:t>
            </w:r>
            <w:r w:rsidRPr="00260F01" w:rsidR="005B6E91">
              <w:rPr>
                <w:sz w:val="16"/>
              </w:rPr>
              <w:t>r</w:t>
            </w:r>
            <w:r w:rsidRPr="00260F01">
              <w:rPr>
                <w:sz w:val="16"/>
              </w:rPr>
              <w:t>ule (</w:t>
            </w:r>
            <w:r w:rsidRPr="00260F01" w:rsidR="00ED66A3">
              <w:rPr>
                <w:sz w:val="16"/>
              </w:rPr>
              <w:t>75 FR 49850</w:t>
            </w:r>
            <w:r w:rsidRPr="00260F01" w:rsidR="002E68CD">
              <w:rPr>
                <w:sz w:val="16"/>
              </w:rPr>
              <w:t>; August 16, 2010</w:t>
            </w:r>
            <w:r w:rsidRPr="00260F01">
              <w:rPr>
                <w:sz w:val="16"/>
              </w:rPr>
              <w:t>) that aligned the U.S. Department of Transportation (DOT) drug testing panel with the 2008 HHS Guidelines (it reported an average cost per 6</w:t>
            </w:r>
            <w:r w:rsidRPr="00260F01">
              <w:rPr>
                <w:sz w:val="16"/>
              </w:rPr>
              <w:noBreakHyphen/>
              <w:t>AM test as $0.26)</w:t>
            </w:r>
          </w:p>
        </w:tc>
      </w:tr>
      <w:tr w:rsidRPr="00260F01" w:rsidR="00C30EAA" w:rsidTr="001416A2" w14:paraId="1769E710" w14:textId="77777777">
        <w:trPr>
          <w:cantSplit/>
        </w:trPr>
        <w:tc>
          <w:tcPr>
            <w:tcW w:w="1617" w:type="pct"/>
            <w:vAlign w:val="center"/>
          </w:tcPr>
          <w:p w:rsidRPr="00EE28D9" w:rsidR="003B0A20" w:rsidP="003B0A20" w:rsidRDefault="003B0A20" w14:paraId="1E4AB0BA" w14:textId="3AE26FEA">
            <w:pPr>
              <w:tabs>
                <w:tab w:val="left" w:pos="4260"/>
                <w:tab w:val="left" w:pos="5220"/>
              </w:tabs>
              <w:spacing w:before="3"/>
              <w:ind w:right="-14"/>
              <w:rPr>
                <w:rFonts w:eastAsia="Arial"/>
                <w:sz w:val="16"/>
              </w:rPr>
            </w:pPr>
            <w:r w:rsidRPr="000E1B5F">
              <w:rPr>
                <w:rFonts w:eastAsia="Arial"/>
                <w:sz w:val="16"/>
              </w:rPr>
              <w:t xml:space="preserve">Testing for </w:t>
            </w:r>
            <w:r w:rsidRPr="000E1B5F" w:rsidR="00727B1D">
              <w:rPr>
                <w:rFonts w:eastAsia="Arial"/>
                <w:sz w:val="16"/>
              </w:rPr>
              <w:t xml:space="preserve">Expanded Opioid Panel </w:t>
            </w:r>
            <w:r w:rsidRPr="000E1B5F" w:rsidR="006F479A">
              <w:rPr>
                <w:rFonts w:eastAsia="Arial"/>
                <w:sz w:val="16"/>
              </w:rPr>
              <w:t xml:space="preserve">drugs </w:t>
            </w:r>
            <w:r w:rsidRPr="000E1B5F" w:rsidR="00727B1D">
              <w:rPr>
                <w:rFonts w:eastAsia="Arial"/>
                <w:sz w:val="16"/>
              </w:rPr>
              <w:t>(</w:t>
            </w:r>
            <w:r w:rsidRPr="00260F01" w:rsidR="005A7BEB">
              <w:rPr>
                <w:rFonts w:eastAsia="Arial" w:cs="Arial"/>
                <w:sz w:val="16"/>
                <w:szCs w:val="16"/>
              </w:rPr>
              <w:t>h</w:t>
            </w:r>
            <w:r w:rsidRPr="00260F01">
              <w:rPr>
                <w:rFonts w:eastAsia="Arial" w:cs="Arial"/>
                <w:sz w:val="16"/>
                <w:szCs w:val="16"/>
              </w:rPr>
              <w:t xml:space="preserve">ydrocodone, </w:t>
            </w:r>
            <w:r w:rsidRPr="00260F01" w:rsidR="005A7BEB">
              <w:rPr>
                <w:rFonts w:eastAsia="Arial" w:cs="Arial"/>
                <w:sz w:val="16"/>
                <w:szCs w:val="16"/>
              </w:rPr>
              <w:t>h</w:t>
            </w:r>
            <w:r w:rsidRPr="00260F01" w:rsidR="00F05DDA">
              <w:rPr>
                <w:rFonts w:eastAsia="Arial" w:cs="Arial"/>
                <w:sz w:val="16"/>
                <w:szCs w:val="16"/>
              </w:rPr>
              <w:t>ydro</w:t>
            </w:r>
            <w:r w:rsidRPr="00260F01" w:rsidR="00EE5F32">
              <w:rPr>
                <w:rFonts w:eastAsia="Arial" w:cs="Arial"/>
                <w:sz w:val="16"/>
                <w:szCs w:val="16"/>
              </w:rPr>
              <w:t xml:space="preserve">morphone, </w:t>
            </w:r>
            <w:r w:rsidRPr="00260F01" w:rsidR="005A7BEB">
              <w:rPr>
                <w:rFonts w:eastAsia="Arial" w:cs="Arial"/>
                <w:sz w:val="16"/>
                <w:szCs w:val="16"/>
              </w:rPr>
              <w:t>o</w:t>
            </w:r>
            <w:r w:rsidRPr="00260F01">
              <w:rPr>
                <w:rFonts w:eastAsia="Arial" w:cs="Arial"/>
                <w:sz w:val="16"/>
                <w:szCs w:val="16"/>
              </w:rPr>
              <w:t>xycodone</w:t>
            </w:r>
            <w:r w:rsidRPr="00EE28D9">
              <w:rPr>
                <w:rFonts w:eastAsia="Arial"/>
                <w:sz w:val="16"/>
              </w:rPr>
              <w:t xml:space="preserve">, and </w:t>
            </w:r>
            <w:r w:rsidRPr="00260F01" w:rsidR="005A7BEB">
              <w:rPr>
                <w:rFonts w:eastAsia="Arial" w:cs="Arial"/>
                <w:sz w:val="16"/>
                <w:szCs w:val="16"/>
              </w:rPr>
              <w:t>o</w:t>
            </w:r>
            <w:r w:rsidRPr="00260F01">
              <w:rPr>
                <w:rFonts w:eastAsia="Arial" w:cs="Arial"/>
                <w:sz w:val="16"/>
                <w:szCs w:val="16"/>
              </w:rPr>
              <w:t>xymorphone</w:t>
            </w:r>
            <w:r w:rsidRPr="00EE28D9" w:rsidR="006C224A">
              <w:rPr>
                <w:rFonts w:eastAsia="Arial"/>
                <w:sz w:val="16"/>
              </w:rPr>
              <w:t>)</w:t>
            </w:r>
            <w:r w:rsidRPr="00EE28D9">
              <w:rPr>
                <w:rFonts w:eastAsia="Arial"/>
                <w:sz w:val="16"/>
              </w:rPr>
              <w:t xml:space="preserve"> </w:t>
            </w:r>
          </w:p>
          <w:p w:rsidRPr="00EE28D9" w:rsidR="00C30EAA" w:rsidP="003B0A20" w:rsidRDefault="003B0A20" w14:paraId="0A9F5DF3" w14:textId="326A9AA6">
            <w:pPr>
              <w:tabs>
                <w:tab w:val="left" w:pos="4260"/>
                <w:tab w:val="left" w:pos="5220"/>
              </w:tabs>
              <w:spacing w:before="3"/>
              <w:ind w:right="-14"/>
              <w:rPr>
                <w:rFonts w:eastAsia="Arial"/>
                <w:sz w:val="16"/>
              </w:rPr>
            </w:pPr>
            <w:r w:rsidRPr="00EE28D9">
              <w:rPr>
                <w:rFonts w:eastAsia="Arial"/>
                <w:sz w:val="16"/>
              </w:rPr>
              <w:t>(sites only using an HHS-certified laboratory)</w:t>
            </w:r>
          </w:p>
        </w:tc>
        <w:tc>
          <w:tcPr>
            <w:tcW w:w="681" w:type="pct"/>
            <w:shd w:val="clear" w:color="auto" w:fill="FFFFFF" w:themeFill="background1"/>
            <w:vAlign w:val="center"/>
          </w:tcPr>
          <w:p w:rsidRPr="00EE28D9" w:rsidR="00CC2BE6" w:rsidP="006F21ED" w:rsidRDefault="003B0A20" w14:paraId="0CB32A61" w14:textId="61892C35">
            <w:pPr>
              <w:tabs>
                <w:tab w:val="left" w:pos="4260"/>
                <w:tab w:val="left" w:pos="5220"/>
              </w:tabs>
              <w:spacing w:before="3"/>
              <w:ind w:right="-14"/>
              <w:jc w:val="center"/>
              <w:rPr>
                <w:rFonts w:eastAsia="Arial"/>
                <w:sz w:val="16"/>
              </w:rPr>
            </w:pPr>
            <w:r w:rsidRPr="00EE28D9">
              <w:rPr>
                <w:rFonts w:eastAsia="Arial"/>
                <w:sz w:val="16"/>
              </w:rPr>
              <w:t>$0.5</w:t>
            </w:r>
            <w:r w:rsidRPr="00EE28D9" w:rsidR="00100738">
              <w:rPr>
                <w:rFonts w:eastAsia="Arial"/>
                <w:sz w:val="16"/>
              </w:rPr>
              <w:t>8</w:t>
            </w:r>
          </w:p>
          <w:p w:rsidRPr="00EE28D9" w:rsidR="00C30EAA" w:rsidP="006F21ED" w:rsidRDefault="003B0A20" w14:paraId="1EE3F8D0" w14:textId="4A49CFBC">
            <w:pPr>
              <w:tabs>
                <w:tab w:val="left" w:pos="4260"/>
                <w:tab w:val="left" w:pos="5220"/>
              </w:tabs>
              <w:spacing w:before="3"/>
              <w:ind w:right="-14"/>
              <w:jc w:val="center"/>
              <w:rPr>
                <w:rFonts w:eastAsia="Arial"/>
                <w:sz w:val="16"/>
              </w:rPr>
            </w:pPr>
            <w:r w:rsidRPr="00EE28D9">
              <w:rPr>
                <w:rFonts w:eastAsia="Arial"/>
                <w:sz w:val="16"/>
              </w:rPr>
              <w:t>per test</w:t>
            </w:r>
          </w:p>
        </w:tc>
        <w:tc>
          <w:tcPr>
            <w:tcW w:w="2702" w:type="pct"/>
            <w:vAlign w:val="center"/>
          </w:tcPr>
          <w:p w:rsidRPr="00260F01" w:rsidR="00C30EAA" w:rsidP="00982BD1" w:rsidRDefault="00A2176C" w14:paraId="2ACD0C9F" w14:textId="12858B66">
            <w:pPr>
              <w:tabs>
                <w:tab w:val="left" w:pos="4260"/>
                <w:tab w:val="left" w:pos="5220"/>
              </w:tabs>
              <w:spacing w:before="3"/>
              <w:ind w:right="-14"/>
              <w:rPr>
                <w:sz w:val="16"/>
              </w:rPr>
            </w:pPr>
            <w:r w:rsidRPr="00260F01">
              <w:rPr>
                <w:sz w:val="16"/>
              </w:rPr>
              <w:t xml:space="preserve">NRC staff assumption </w:t>
            </w:r>
            <w:r w:rsidRPr="00260F01" w:rsidR="000278F2">
              <w:rPr>
                <w:sz w:val="16"/>
              </w:rPr>
              <w:t xml:space="preserve">partially </w:t>
            </w:r>
            <w:r w:rsidRPr="00260F01">
              <w:rPr>
                <w:sz w:val="16"/>
              </w:rPr>
              <w:t xml:space="preserve">informed by </w:t>
            </w:r>
            <w:r w:rsidRPr="00260F01" w:rsidR="000278F2">
              <w:rPr>
                <w:sz w:val="16"/>
              </w:rPr>
              <w:t>industry feedback on</w:t>
            </w:r>
            <w:r w:rsidRPr="00260F01">
              <w:rPr>
                <w:sz w:val="16"/>
              </w:rPr>
              <w:t xml:space="preserve"> HHS</w:t>
            </w:r>
            <w:r w:rsidRPr="00260F01" w:rsidR="00971104">
              <w:rPr>
                <w:sz w:val="16"/>
              </w:rPr>
              <w:t>-</w:t>
            </w:r>
            <w:r w:rsidRPr="00260F01">
              <w:rPr>
                <w:sz w:val="16"/>
              </w:rPr>
              <w:t>certified test lab</w:t>
            </w:r>
            <w:r w:rsidRPr="00260F01" w:rsidR="005B6E91">
              <w:rPr>
                <w:sz w:val="16"/>
              </w:rPr>
              <w:t>oratory</w:t>
            </w:r>
            <w:r w:rsidRPr="00260F01">
              <w:rPr>
                <w:sz w:val="16"/>
              </w:rPr>
              <w:t xml:space="preserve"> reported costs</w:t>
            </w:r>
            <w:r w:rsidRPr="00260F01" w:rsidR="00EE53E4">
              <w:rPr>
                <w:sz w:val="16"/>
              </w:rPr>
              <w:t xml:space="preserve"> and estimated </w:t>
            </w:r>
            <w:r w:rsidRPr="00260F01" w:rsidR="009E1890">
              <w:rPr>
                <w:sz w:val="16"/>
              </w:rPr>
              <w:t xml:space="preserve">testing </w:t>
            </w:r>
            <w:r w:rsidRPr="00260F01" w:rsidR="00EE53E4">
              <w:rPr>
                <w:sz w:val="16"/>
              </w:rPr>
              <w:t xml:space="preserve">cost </w:t>
            </w:r>
            <w:r w:rsidRPr="00260F01" w:rsidR="009E1890">
              <w:rPr>
                <w:sz w:val="16"/>
              </w:rPr>
              <w:t>increases</w:t>
            </w:r>
            <w:r w:rsidRPr="00260F01" w:rsidR="00EE53E4">
              <w:rPr>
                <w:sz w:val="16"/>
              </w:rPr>
              <w:t xml:space="preserve"> </w:t>
            </w:r>
            <w:r w:rsidRPr="00260F01" w:rsidR="009E1890">
              <w:rPr>
                <w:sz w:val="16"/>
              </w:rPr>
              <w:t>reported by</w:t>
            </w:r>
            <w:r w:rsidRPr="00260F01" w:rsidR="00EE53E4">
              <w:rPr>
                <w:sz w:val="16"/>
              </w:rPr>
              <w:t xml:space="preserve"> </w:t>
            </w:r>
            <w:r w:rsidRPr="00260F01" w:rsidR="005B6E91">
              <w:rPr>
                <w:sz w:val="16"/>
              </w:rPr>
              <w:t xml:space="preserve">the </w:t>
            </w:r>
            <w:r w:rsidRPr="00260F01" w:rsidR="00EE53E4">
              <w:rPr>
                <w:sz w:val="16"/>
              </w:rPr>
              <w:t xml:space="preserve">HHS and </w:t>
            </w:r>
            <w:r w:rsidRPr="00260F01" w:rsidR="005B6E91">
              <w:rPr>
                <w:sz w:val="16"/>
              </w:rPr>
              <w:t xml:space="preserve">the </w:t>
            </w:r>
            <w:r w:rsidRPr="00260F01" w:rsidR="00EE53E4">
              <w:rPr>
                <w:sz w:val="16"/>
              </w:rPr>
              <w:t>DOT.  The 2017 HHS Guidelines (82 FR 7931</w:t>
            </w:r>
            <w:r w:rsidRPr="00260F01" w:rsidR="005B6E91">
              <w:rPr>
                <w:sz w:val="16"/>
              </w:rPr>
              <w:t>;</w:t>
            </w:r>
            <w:r w:rsidRPr="00260F01" w:rsidR="00EE53E4">
              <w:rPr>
                <w:sz w:val="16"/>
              </w:rPr>
              <w:t xml:space="preserve"> January 23, 2017) reported an </w:t>
            </w:r>
            <w:r w:rsidRPr="00260F01" w:rsidR="009E1890">
              <w:rPr>
                <w:sz w:val="16"/>
              </w:rPr>
              <w:t>estimated</w:t>
            </w:r>
            <w:r w:rsidRPr="00260F01" w:rsidR="00EE53E4">
              <w:rPr>
                <w:sz w:val="16"/>
              </w:rPr>
              <w:t xml:space="preserve"> cost per specimen from $0.11 to $0.30 for expanded opioid panel testing.  In the DOT's 49 CFR </w:t>
            </w:r>
            <w:r w:rsidRPr="00260F01" w:rsidR="0051109D">
              <w:rPr>
                <w:sz w:val="16"/>
              </w:rPr>
              <w:t>P</w:t>
            </w:r>
            <w:r w:rsidRPr="00260F01" w:rsidR="00EE53E4">
              <w:rPr>
                <w:sz w:val="16"/>
              </w:rPr>
              <w:t xml:space="preserve">art 40 </w:t>
            </w:r>
            <w:r w:rsidRPr="00260F01" w:rsidR="005B6E91">
              <w:rPr>
                <w:sz w:val="16"/>
              </w:rPr>
              <w:t>f</w:t>
            </w:r>
            <w:r w:rsidRPr="00260F01" w:rsidR="00EE53E4">
              <w:rPr>
                <w:sz w:val="16"/>
              </w:rPr>
              <w:t xml:space="preserve">inal </w:t>
            </w:r>
            <w:r w:rsidRPr="00260F01" w:rsidR="005B6E91">
              <w:rPr>
                <w:sz w:val="16"/>
              </w:rPr>
              <w:t>r</w:t>
            </w:r>
            <w:r w:rsidRPr="00260F01" w:rsidR="00EE53E4">
              <w:rPr>
                <w:sz w:val="16"/>
              </w:rPr>
              <w:t>ule (82 FR</w:t>
            </w:r>
            <w:r w:rsidRPr="00260F01" w:rsidR="0051109D">
              <w:rPr>
                <w:sz w:val="16"/>
              </w:rPr>
              <w:t xml:space="preserve"> </w:t>
            </w:r>
            <w:r w:rsidRPr="00260F01" w:rsidR="00EE53E4">
              <w:rPr>
                <w:sz w:val="16"/>
              </w:rPr>
              <w:t>52240</w:t>
            </w:r>
            <w:r w:rsidRPr="00260F01" w:rsidR="005B6E91">
              <w:rPr>
                <w:rFonts w:cs="Arial"/>
                <w:sz w:val="16"/>
              </w:rPr>
              <w:t>–</w:t>
            </w:r>
            <w:r w:rsidRPr="00260F01" w:rsidR="00EE53E4">
              <w:rPr>
                <w:sz w:val="16"/>
              </w:rPr>
              <w:t xml:space="preserve">52241, November 13, 2017), </w:t>
            </w:r>
            <w:r w:rsidR="0013159B">
              <w:rPr>
                <w:sz w:val="16"/>
              </w:rPr>
              <w:t>the DOT</w:t>
            </w:r>
            <w:r w:rsidRPr="00260F01" w:rsidR="00EE53E4">
              <w:rPr>
                <w:sz w:val="16"/>
              </w:rPr>
              <w:t xml:space="preserve"> reported an estimated increase in per specimen cost </w:t>
            </w:r>
            <w:r w:rsidRPr="00260F01" w:rsidR="004427E3">
              <w:rPr>
                <w:sz w:val="16"/>
              </w:rPr>
              <w:t xml:space="preserve">of </w:t>
            </w:r>
            <w:r w:rsidRPr="00260F01" w:rsidR="00EE53E4">
              <w:rPr>
                <w:sz w:val="16"/>
              </w:rPr>
              <w:t>$0.60.</w:t>
            </w:r>
          </w:p>
        </w:tc>
      </w:tr>
      <w:tr w:rsidRPr="00260F01" w:rsidR="00D520BD" w:rsidTr="001416A2" w14:paraId="30061FA8" w14:textId="77777777">
        <w:trPr>
          <w:cantSplit/>
        </w:trPr>
        <w:tc>
          <w:tcPr>
            <w:tcW w:w="1617" w:type="pct"/>
            <w:vAlign w:val="center"/>
          </w:tcPr>
          <w:p w:rsidRPr="00EE28D9" w:rsidR="005E1115" w:rsidP="00982BD1" w:rsidRDefault="00D520BD" w14:paraId="2FB99980" w14:textId="5AFC1D45">
            <w:pPr>
              <w:tabs>
                <w:tab w:val="left" w:pos="4260"/>
                <w:tab w:val="left" w:pos="5220"/>
              </w:tabs>
              <w:spacing w:before="3"/>
              <w:ind w:right="-14"/>
              <w:rPr>
                <w:rFonts w:eastAsia="Arial"/>
                <w:sz w:val="16"/>
              </w:rPr>
            </w:pPr>
            <w:r w:rsidRPr="00EE28D9">
              <w:rPr>
                <w:rFonts w:eastAsia="Arial"/>
                <w:sz w:val="16"/>
              </w:rPr>
              <w:t>Testing for Ecstasy</w:t>
            </w:r>
            <w:r w:rsidR="007C2E95">
              <w:rPr>
                <w:rFonts w:eastAsia="Arial"/>
                <w:sz w:val="16"/>
              </w:rPr>
              <w:t>-type</w:t>
            </w:r>
            <w:r w:rsidRPr="00EE28D9" w:rsidR="006F479A">
              <w:rPr>
                <w:rFonts w:eastAsia="Arial"/>
                <w:sz w:val="16"/>
              </w:rPr>
              <w:t xml:space="preserve"> drugs</w:t>
            </w:r>
          </w:p>
          <w:p w:rsidRPr="00EE28D9" w:rsidR="00D520BD" w:rsidP="00982BD1" w:rsidRDefault="00D520BD" w14:paraId="2BD1FE57" w14:textId="57032BF1">
            <w:pPr>
              <w:tabs>
                <w:tab w:val="left" w:pos="4260"/>
                <w:tab w:val="left" w:pos="5220"/>
              </w:tabs>
              <w:spacing w:before="3"/>
              <w:ind w:right="-14"/>
              <w:rPr>
                <w:rFonts w:eastAsia="Arial"/>
                <w:sz w:val="16"/>
              </w:rPr>
            </w:pPr>
            <w:r w:rsidRPr="00EE28D9">
              <w:rPr>
                <w:rFonts w:eastAsia="Arial"/>
                <w:sz w:val="16"/>
              </w:rPr>
              <w:t>(sites only using an HHS-certified laboratory)</w:t>
            </w:r>
          </w:p>
        </w:tc>
        <w:tc>
          <w:tcPr>
            <w:tcW w:w="681" w:type="pct"/>
            <w:shd w:val="clear" w:color="auto" w:fill="FFFFFF" w:themeFill="background1"/>
            <w:vAlign w:val="center"/>
          </w:tcPr>
          <w:p w:rsidRPr="00EE28D9" w:rsidR="00CC2BE6" w:rsidP="006F21ED" w:rsidRDefault="00D520BD" w14:paraId="1C783304" w14:textId="79EEFCFA">
            <w:pPr>
              <w:tabs>
                <w:tab w:val="left" w:pos="4260"/>
                <w:tab w:val="left" w:pos="5220"/>
              </w:tabs>
              <w:spacing w:before="3"/>
              <w:ind w:right="-14"/>
              <w:jc w:val="center"/>
              <w:rPr>
                <w:rFonts w:eastAsia="Arial"/>
                <w:sz w:val="16"/>
              </w:rPr>
            </w:pPr>
            <w:r w:rsidRPr="00EE28D9">
              <w:rPr>
                <w:rFonts w:eastAsia="Arial"/>
                <w:sz w:val="16"/>
              </w:rPr>
              <w:t>$0.</w:t>
            </w:r>
            <w:r w:rsidRPr="00EE28D9" w:rsidR="006C1749">
              <w:rPr>
                <w:rFonts w:eastAsia="Arial"/>
                <w:sz w:val="16"/>
              </w:rPr>
              <w:t>14</w:t>
            </w:r>
            <w:r w:rsidRPr="00EE28D9">
              <w:rPr>
                <w:rFonts w:eastAsia="Arial"/>
                <w:sz w:val="16"/>
              </w:rPr>
              <w:t xml:space="preserve"> </w:t>
            </w:r>
          </w:p>
          <w:p w:rsidRPr="00EE28D9" w:rsidR="00D520BD" w:rsidP="006F21ED" w:rsidRDefault="00D520BD" w14:paraId="3C1C9D6B" w14:textId="73123495">
            <w:pPr>
              <w:tabs>
                <w:tab w:val="left" w:pos="4260"/>
                <w:tab w:val="left" w:pos="5220"/>
              </w:tabs>
              <w:spacing w:before="3"/>
              <w:ind w:right="-14"/>
              <w:jc w:val="center"/>
              <w:rPr>
                <w:rFonts w:eastAsia="Arial"/>
                <w:sz w:val="16"/>
              </w:rPr>
            </w:pPr>
            <w:r w:rsidRPr="00EE28D9">
              <w:rPr>
                <w:rFonts w:eastAsia="Arial"/>
                <w:sz w:val="16"/>
              </w:rPr>
              <w:t>per</w:t>
            </w:r>
            <w:r w:rsidRPr="00EE28D9" w:rsidR="006F21ED">
              <w:rPr>
                <w:rFonts w:eastAsia="Arial"/>
                <w:sz w:val="16"/>
              </w:rPr>
              <w:t> </w:t>
            </w:r>
            <w:r w:rsidRPr="00EE28D9">
              <w:rPr>
                <w:rFonts w:eastAsia="Arial"/>
                <w:sz w:val="16"/>
              </w:rPr>
              <w:t>test</w:t>
            </w:r>
          </w:p>
        </w:tc>
        <w:tc>
          <w:tcPr>
            <w:tcW w:w="2702" w:type="pct"/>
            <w:vAlign w:val="center"/>
          </w:tcPr>
          <w:p w:rsidRPr="00EE28D9" w:rsidR="00D520BD" w:rsidP="00982BD1" w:rsidRDefault="00D520BD" w14:paraId="30CFD409" w14:textId="1E67FEF2">
            <w:pPr>
              <w:tabs>
                <w:tab w:val="left" w:pos="4260"/>
                <w:tab w:val="left" w:pos="5220"/>
              </w:tabs>
              <w:spacing w:before="3"/>
              <w:ind w:right="-14"/>
              <w:rPr>
                <w:rFonts w:eastAsia="Arial"/>
                <w:sz w:val="16"/>
              </w:rPr>
            </w:pPr>
            <w:r w:rsidRPr="00260F01">
              <w:rPr>
                <w:sz w:val="16"/>
              </w:rPr>
              <w:t xml:space="preserve">NRC staff assumption partially informed by the 49 CFR Part 40 </w:t>
            </w:r>
            <w:r w:rsidRPr="00260F01" w:rsidR="005B6E91">
              <w:rPr>
                <w:sz w:val="16"/>
              </w:rPr>
              <w:t>f</w:t>
            </w:r>
            <w:r w:rsidRPr="00260F01">
              <w:rPr>
                <w:sz w:val="16"/>
              </w:rPr>
              <w:t xml:space="preserve">inal </w:t>
            </w:r>
            <w:r w:rsidRPr="00260F01" w:rsidR="005B6E91">
              <w:rPr>
                <w:sz w:val="16"/>
              </w:rPr>
              <w:t>r</w:t>
            </w:r>
            <w:r w:rsidRPr="00260F01">
              <w:rPr>
                <w:sz w:val="16"/>
              </w:rPr>
              <w:t>ule (</w:t>
            </w:r>
            <w:r w:rsidRPr="00260F01" w:rsidR="00ED66A3">
              <w:rPr>
                <w:sz w:val="16"/>
              </w:rPr>
              <w:t>75 FR 49850</w:t>
            </w:r>
            <w:r w:rsidRPr="00260F01" w:rsidR="002E68CD">
              <w:rPr>
                <w:sz w:val="16"/>
              </w:rPr>
              <w:t>; August 16, 2010</w:t>
            </w:r>
            <w:r w:rsidRPr="00260F01">
              <w:rPr>
                <w:sz w:val="16"/>
              </w:rPr>
              <w:t>) that aligned the DOT drug testing panel with the 2008 HHS Guidelines (</w:t>
            </w:r>
            <w:r w:rsidR="0013159B">
              <w:rPr>
                <w:sz w:val="16"/>
              </w:rPr>
              <w:t>the DOT</w:t>
            </w:r>
            <w:r w:rsidRPr="00260F01">
              <w:rPr>
                <w:sz w:val="16"/>
              </w:rPr>
              <w:t xml:space="preserve"> reported an average cost per </w:t>
            </w:r>
            <w:r w:rsidR="00AE7B97">
              <w:rPr>
                <w:sz w:val="16"/>
              </w:rPr>
              <w:t>specimen to</w:t>
            </w:r>
            <w:r w:rsidRPr="00260F01">
              <w:rPr>
                <w:sz w:val="16"/>
              </w:rPr>
              <w:t xml:space="preserve"> test </w:t>
            </w:r>
            <w:r w:rsidR="00AE7B97">
              <w:rPr>
                <w:sz w:val="16"/>
              </w:rPr>
              <w:t xml:space="preserve">for </w:t>
            </w:r>
            <w:r w:rsidRPr="00260F01">
              <w:rPr>
                <w:sz w:val="16"/>
              </w:rPr>
              <w:t>Ecstasy</w:t>
            </w:r>
            <w:r w:rsidR="00AE7B97">
              <w:rPr>
                <w:sz w:val="16"/>
              </w:rPr>
              <w:t>-type drugs</w:t>
            </w:r>
            <w:r w:rsidRPr="00260F01">
              <w:rPr>
                <w:sz w:val="16"/>
              </w:rPr>
              <w:t xml:space="preserve"> </w:t>
            </w:r>
            <w:r w:rsidRPr="00260F01" w:rsidR="005B6E91">
              <w:rPr>
                <w:sz w:val="16"/>
              </w:rPr>
              <w:t>of</w:t>
            </w:r>
            <w:r w:rsidRPr="00260F01">
              <w:rPr>
                <w:sz w:val="16"/>
              </w:rPr>
              <w:t xml:space="preserve"> $0.09)</w:t>
            </w:r>
          </w:p>
        </w:tc>
      </w:tr>
      <w:tr w:rsidRPr="00260F01" w:rsidR="00D520BD" w:rsidTr="001416A2" w14:paraId="6F989C14" w14:textId="77777777">
        <w:trPr>
          <w:cantSplit/>
        </w:trPr>
        <w:tc>
          <w:tcPr>
            <w:tcW w:w="1617" w:type="pct"/>
            <w:vAlign w:val="center"/>
          </w:tcPr>
          <w:p w:rsidRPr="00CA0BF6" w:rsidR="00D520BD" w:rsidP="00982BD1" w:rsidRDefault="00D520BD" w14:paraId="75F94752" w14:textId="77777777">
            <w:pPr>
              <w:tabs>
                <w:tab w:val="left" w:pos="4260"/>
                <w:tab w:val="left" w:pos="5220"/>
              </w:tabs>
              <w:spacing w:before="3"/>
              <w:ind w:right="-14"/>
              <w:rPr>
                <w:rFonts w:eastAsia="Arial"/>
                <w:sz w:val="16"/>
              </w:rPr>
            </w:pPr>
            <w:r w:rsidRPr="00CA0BF6">
              <w:rPr>
                <w:rFonts w:eastAsia="Arial"/>
                <w:sz w:val="16"/>
              </w:rPr>
              <w:t>Special analyses testing at an HHS</w:t>
            </w:r>
            <w:r w:rsidRPr="00CA0BF6">
              <w:rPr>
                <w:rFonts w:eastAsia="Arial"/>
                <w:sz w:val="16"/>
              </w:rPr>
              <w:noBreakHyphen/>
              <w:t>certified laboratory</w:t>
            </w:r>
          </w:p>
        </w:tc>
        <w:tc>
          <w:tcPr>
            <w:tcW w:w="681" w:type="pct"/>
            <w:tcBorders>
              <w:bottom w:val="single" w:color="auto" w:sz="4" w:space="0"/>
            </w:tcBorders>
            <w:vAlign w:val="center"/>
          </w:tcPr>
          <w:p w:rsidRPr="00CA0BF6" w:rsidR="00D520BD" w:rsidP="006F21ED" w:rsidRDefault="00D520BD" w14:paraId="55201FAE" w14:textId="556D188A">
            <w:pPr>
              <w:tabs>
                <w:tab w:val="left" w:pos="4260"/>
                <w:tab w:val="left" w:pos="5220"/>
              </w:tabs>
              <w:spacing w:before="3"/>
              <w:ind w:right="-14"/>
              <w:jc w:val="center"/>
              <w:rPr>
                <w:rFonts w:eastAsia="Arial"/>
                <w:sz w:val="16"/>
              </w:rPr>
            </w:pPr>
            <w:r w:rsidRPr="00CA0BF6">
              <w:rPr>
                <w:rFonts w:eastAsia="Arial"/>
                <w:sz w:val="16"/>
              </w:rPr>
              <w:t>$7.</w:t>
            </w:r>
            <w:r w:rsidRPr="00CA0BF6" w:rsidR="00B064BF">
              <w:rPr>
                <w:rFonts w:eastAsia="Arial"/>
                <w:sz w:val="16"/>
              </w:rPr>
              <w:t>67</w:t>
            </w:r>
            <w:r w:rsidRPr="00CA0BF6">
              <w:rPr>
                <w:rFonts w:eastAsia="Arial"/>
                <w:sz w:val="16"/>
              </w:rPr>
              <w:t xml:space="preserve"> per</w:t>
            </w:r>
            <w:r w:rsidRPr="00CA0BF6" w:rsidR="006F21ED">
              <w:rPr>
                <w:rFonts w:eastAsia="Arial"/>
                <w:sz w:val="16"/>
              </w:rPr>
              <w:t> </w:t>
            </w:r>
            <w:r w:rsidRPr="00CA0BF6">
              <w:rPr>
                <w:rFonts w:eastAsia="Arial"/>
                <w:sz w:val="16"/>
              </w:rPr>
              <w:t>specimen</w:t>
            </w:r>
          </w:p>
        </w:tc>
        <w:tc>
          <w:tcPr>
            <w:tcW w:w="2702" w:type="pct"/>
            <w:shd w:val="clear" w:color="auto" w:fill="auto"/>
            <w:vAlign w:val="center"/>
          </w:tcPr>
          <w:p w:rsidRPr="00CA0BF6" w:rsidR="00D520BD" w:rsidP="00982BD1" w:rsidRDefault="00D520BD" w14:paraId="4C6C3E23" w14:textId="72F275C8">
            <w:pPr>
              <w:tabs>
                <w:tab w:val="left" w:pos="4260"/>
                <w:tab w:val="left" w:pos="5220"/>
              </w:tabs>
              <w:spacing w:before="3"/>
              <w:ind w:right="-14"/>
              <w:rPr>
                <w:rFonts w:eastAsia="Arial"/>
                <w:sz w:val="16"/>
              </w:rPr>
            </w:pPr>
            <w:r w:rsidRPr="00CA0BF6">
              <w:rPr>
                <w:rFonts w:eastAsia="Arial"/>
                <w:sz w:val="16"/>
              </w:rPr>
              <w:t>NRC staff assumption based on industry feedback received in CY</w:t>
            </w:r>
            <w:r w:rsidRPr="00CA0BF6" w:rsidR="0067350F">
              <w:rPr>
                <w:rFonts w:eastAsia="Arial"/>
                <w:sz w:val="16"/>
              </w:rPr>
              <w:t> 2021</w:t>
            </w:r>
          </w:p>
        </w:tc>
      </w:tr>
      <w:tr w:rsidRPr="00260F01" w:rsidR="00D520BD" w:rsidTr="001416A2" w14:paraId="4347F663" w14:textId="77777777">
        <w:trPr>
          <w:cantSplit/>
        </w:trPr>
        <w:tc>
          <w:tcPr>
            <w:tcW w:w="1617" w:type="pct"/>
            <w:vAlign w:val="center"/>
          </w:tcPr>
          <w:p w:rsidRPr="00CA0BF6" w:rsidR="00D520BD" w:rsidP="00982BD1" w:rsidRDefault="00D520BD" w14:paraId="4CA8A386" w14:textId="37B04580">
            <w:pPr>
              <w:tabs>
                <w:tab w:val="left" w:pos="4260"/>
                <w:tab w:val="left" w:pos="5220"/>
              </w:tabs>
              <w:spacing w:before="3"/>
              <w:ind w:right="-14"/>
              <w:rPr>
                <w:rFonts w:eastAsia="Arial"/>
                <w:sz w:val="16"/>
              </w:rPr>
            </w:pPr>
            <w:r w:rsidRPr="00CA0BF6">
              <w:rPr>
                <w:rFonts w:eastAsia="Arial"/>
                <w:sz w:val="16"/>
              </w:rPr>
              <w:t>Cost of subsequent actions</w:t>
            </w:r>
          </w:p>
          <w:p w:rsidRPr="00CA0BF6" w:rsidR="00D520BD" w:rsidP="00982BD1" w:rsidRDefault="00D520BD" w14:paraId="7C963A0C" w14:textId="77777777">
            <w:pPr>
              <w:tabs>
                <w:tab w:val="left" w:pos="4260"/>
                <w:tab w:val="left" w:pos="5220"/>
              </w:tabs>
              <w:spacing w:before="3"/>
              <w:ind w:right="-14"/>
              <w:rPr>
                <w:rFonts w:eastAsia="Arial"/>
                <w:sz w:val="16"/>
              </w:rPr>
            </w:pPr>
            <w:r w:rsidRPr="00CA0BF6">
              <w:rPr>
                <w:rFonts w:eastAsia="Arial"/>
                <w:sz w:val="16"/>
              </w:rPr>
              <w:t>(per positive result)</w:t>
            </w:r>
          </w:p>
        </w:tc>
        <w:tc>
          <w:tcPr>
            <w:tcW w:w="681" w:type="pct"/>
            <w:shd w:val="clear" w:color="auto" w:fill="FFFFFF" w:themeFill="background1"/>
            <w:vAlign w:val="center"/>
          </w:tcPr>
          <w:p w:rsidRPr="00CA0BF6" w:rsidR="00D520BD" w:rsidP="006F21ED" w:rsidRDefault="00D520BD" w14:paraId="20038958" w14:textId="59A35E7B">
            <w:pPr>
              <w:tabs>
                <w:tab w:val="left" w:pos="4260"/>
                <w:tab w:val="left" w:pos="5220"/>
              </w:tabs>
              <w:spacing w:before="3"/>
              <w:ind w:right="-14"/>
              <w:jc w:val="center"/>
              <w:rPr>
                <w:rFonts w:eastAsia="Arial"/>
                <w:sz w:val="16"/>
                <w:highlight w:val="green"/>
              </w:rPr>
            </w:pPr>
            <w:r w:rsidRPr="00CA0BF6">
              <w:rPr>
                <w:rFonts w:eastAsia="Arial"/>
                <w:sz w:val="16"/>
              </w:rPr>
              <w:t>$</w:t>
            </w:r>
            <w:r w:rsidRPr="00CA0BF6" w:rsidR="00D67477">
              <w:rPr>
                <w:rFonts w:eastAsia="Arial"/>
                <w:sz w:val="16"/>
              </w:rPr>
              <w:t>310.66</w:t>
            </w:r>
            <w:r w:rsidRPr="00CA0BF6">
              <w:rPr>
                <w:rFonts w:eastAsia="Arial"/>
                <w:sz w:val="16"/>
              </w:rPr>
              <w:t xml:space="preserve"> per</w:t>
            </w:r>
            <w:r w:rsidRPr="00CA0BF6" w:rsidR="006F21ED">
              <w:rPr>
                <w:rFonts w:eastAsia="Arial"/>
                <w:sz w:val="16"/>
              </w:rPr>
              <w:t> </w:t>
            </w:r>
            <w:r w:rsidRPr="00CA0BF6">
              <w:rPr>
                <w:rFonts w:eastAsia="Arial"/>
                <w:sz w:val="16"/>
              </w:rPr>
              <w:t>test</w:t>
            </w:r>
          </w:p>
        </w:tc>
        <w:tc>
          <w:tcPr>
            <w:tcW w:w="2702" w:type="pct"/>
            <w:vAlign w:val="center"/>
          </w:tcPr>
          <w:p w:rsidRPr="00CA0BF6" w:rsidR="00D520BD" w:rsidP="00982BD1" w:rsidRDefault="003D3C60" w14:paraId="42B8B6C2" w14:textId="6085692A">
            <w:pPr>
              <w:tabs>
                <w:tab w:val="left" w:pos="4260"/>
                <w:tab w:val="left" w:pos="5220"/>
              </w:tabs>
              <w:spacing w:before="3"/>
              <w:ind w:right="-14"/>
              <w:rPr>
                <w:rFonts w:eastAsia="Arial"/>
                <w:sz w:val="16"/>
              </w:rPr>
            </w:pPr>
            <w:r w:rsidRPr="00CA0BF6">
              <w:rPr>
                <w:rFonts w:eastAsia="Arial"/>
                <w:sz w:val="16"/>
              </w:rPr>
              <w:t xml:space="preserve">Cost </w:t>
            </w:r>
            <w:r w:rsidRPr="00CA0BF6" w:rsidR="00D520BD">
              <w:rPr>
                <w:rFonts w:eastAsia="Arial"/>
                <w:sz w:val="16"/>
              </w:rPr>
              <w:t xml:space="preserve">estimate based on information in the 10 CFR Part 26 Office of Management and Budget </w:t>
            </w:r>
            <w:r w:rsidRPr="00260F01" w:rsidR="005E229D">
              <w:rPr>
                <w:rFonts w:eastAsia="Arial" w:cs="Arial"/>
                <w:sz w:val="16"/>
                <w:szCs w:val="16"/>
              </w:rPr>
              <w:t>c</w:t>
            </w:r>
            <w:r w:rsidRPr="00260F01" w:rsidR="00D520BD">
              <w:rPr>
                <w:rFonts w:eastAsia="Arial" w:cs="Arial"/>
                <w:sz w:val="16"/>
                <w:szCs w:val="16"/>
              </w:rPr>
              <w:t xml:space="preserve">learance </w:t>
            </w:r>
            <w:r w:rsidRPr="00260F01" w:rsidR="005E229D">
              <w:rPr>
                <w:rFonts w:eastAsia="Arial" w:cs="Arial"/>
                <w:sz w:val="16"/>
                <w:szCs w:val="16"/>
              </w:rPr>
              <w:t>s</w:t>
            </w:r>
            <w:r w:rsidRPr="00260F01" w:rsidR="00D520BD">
              <w:rPr>
                <w:rFonts w:eastAsia="Arial" w:cs="Arial"/>
                <w:sz w:val="16"/>
                <w:szCs w:val="16"/>
              </w:rPr>
              <w:t xml:space="preserve">upporting </w:t>
            </w:r>
            <w:r w:rsidRPr="00260F01" w:rsidR="005E229D">
              <w:rPr>
                <w:rFonts w:eastAsia="Arial" w:cs="Arial"/>
                <w:sz w:val="16"/>
                <w:szCs w:val="16"/>
              </w:rPr>
              <w:t>s</w:t>
            </w:r>
            <w:r w:rsidRPr="00260F01" w:rsidR="00D520BD">
              <w:rPr>
                <w:rFonts w:eastAsia="Arial" w:cs="Arial"/>
                <w:sz w:val="16"/>
                <w:szCs w:val="16"/>
              </w:rPr>
              <w:t>tatement</w:t>
            </w:r>
            <w:r w:rsidRPr="00CA0BF6" w:rsidR="00D520BD">
              <w:rPr>
                <w:rFonts w:eastAsia="Arial"/>
                <w:sz w:val="16"/>
              </w:rPr>
              <w:t xml:space="preserve"> (No. 3150</w:t>
            </w:r>
            <w:r w:rsidRPr="00CA0BF6" w:rsidR="00D520BD">
              <w:rPr>
                <w:rFonts w:eastAsia="Arial"/>
                <w:sz w:val="16"/>
              </w:rPr>
              <w:noBreakHyphen/>
              <w:t xml:space="preserve">0146) approved on </w:t>
            </w:r>
            <w:r w:rsidRPr="00CA0BF6" w:rsidR="004C1F24">
              <w:rPr>
                <w:rFonts w:eastAsia="Arial"/>
                <w:sz w:val="16"/>
              </w:rPr>
              <w:t>April 3, 2018</w:t>
            </w:r>
            <w:r w:rsidRPr="00CA0BF6" w:rsidR="00646A79">
              <w:rPr>
                <w:rFonts w:eastAsia="Arial"/>
                <w:sz w:val="16"/>
              </w:rPr>
              <w:t>,</w:t>
            </w:r>
            <w:r w:rsidRPr="00CA0BF6" w:rsidR="00D520BD">
              <w:rPr>
                <w:rFonts w:eastAsia="Arial"/>
                <w:sz w:val="16"/>
              </w:rPr>
              <w:t xml:space="preserve"> as well as the NRC staff assumption on MRO review time</w:t>
            </w:r>
          </w:p>
        </w:tc>
      </w:tr>
      <w:tr w:rsidRPr="00260F01" w:rsidR="00D520BD" w:rsidTr="00982BD1" w14:paraId="0B476C8F" w14:textId="77777777">
        <w:trPr>
          <w:cantSplit/>
        </w:trPr>
        <w:tc>
          <w:tcPr>
            <w:tcW w:w="5000" w:type="pct"/>
            <w:gridSpan w:val="3"/>
            <w:shd w:val="clear" w:color="auto" w:fill="D9D9D9" w:themeFill="background1" w:themeFillShade="D9"/>
            <w:vAlign w:val="center"/>
          </w:tcPr>
          <w:p w:rsidRPr="00CA0BF6" w:rsidR="00D520BD" w:rsidP="00982BD1" w:rsidRDefault="00D520BD" w14:paraId="3AC3F980" w14:textId="77777777">
            <w:pPr>
              <w:tabs>
                <w:tab w:val="left" w:pos="4260"/>
                <w:tab w:val="left" w:pos="5220"/>
              </w:tabs>
              <w:spacing w:before="3"/>
              <w:ind w:right="-20"/>
              <w:rPr>
                <w:rFonts w:eastAsia="Arial"/>
                <w:b/>
                <w:sz w:val="16"/>
              </w:rPr>
            </w:pPr>
            <w:r w:rsidRPr="00CA0BF6">
              <w:rPr>
                <w:rFonts w:eastAsia="Arial"/>
                <w:b/>
                <w:sz w:val="16"/>
              </w:rPr>
              <w:t>Industry Operations (Annual)—Drug Testing Rates</w:t>
            </w:r>
          </w:p>
        </w:tc>
      </w:tr>
      <w:tr w:rsidRPr="00260F01" w:rsidR="00996267" w:rsidTr="00E54398" w14:paraId="3979EAAC" w14:textId="77777777">
        <w:trPr>
          <w:cantSplit/>
        </w:trPr>
        <w:tc>
          <w:tcPr>
            <w:tcW w:w="5000" w:type="pct"/>
            <w:gridSpan w:val="3"/>
            <w:shd w:val="clear" w:color="auto" w:fill="FFFFFF" w:themeFill="background1"/>
            <w:vAlign w:val="center"/>
          </w:tcPr>
          <w:p w:rsidRPr="00CA0BF6" w:rsidR="00996267" w:rsidP="00E54398" w:rsidRDefault="00E07FC7" w14:paraId="4911586B" w14:textId="66D75677">
            <w:pPr>
              <w:tabs>
                <w:tab w:val="left" w:pos="4260"/>
                <w:tab w:val="left" w:pos="5220"/>
              </w:tabs>
              <w:spacing w:before="3"/>
              <w:ind w:right="-20"/>
              <w:rPr>
                <w:rFonts w:eastAsia="Arial"/>
                <w:i/>
                <w:sz w:val="16"/>
              </w:rPr>
            </w:pPr>
            <w:r w:rsidRPr="00CA0BF6">
              <w:rPr>
                <w:rFonts w:eastAsia="Arial"/>
                <w:i/>
                <w:sz w:val="16"/>
              </w:rPr>
              <w:t>Opio</w:t>
            </w:r>
            <w:r w:rsidRPr="00CA0BF6" w:rsidR="00A73A79">
              <w:rPr>
                <w:rFonts w:eastAsia="Arial"/>
                <w:i/>
                <w:sz w:val="16"/>
              </w:rPr>
              <w:t>i</w:t>
            </w:r>
            <w:r w:rsidRPr="00CA0BF6">
              <w:rPr>
                <w:rFonts w:eastAsia="Arial"/>
                <w:i/>
                <w:sz w:val="16"/>
              </w:rPr>
              <w:t xml:space="preserve">d:  </w:t>
            </w:r>
            <w:r w:rsidRPr="00CA0BF6" w:rsidR="00996267">
              <w:rPr>
                <w:rFonts w:eastAsia="Arial"/>
                <w:i/>
                <w:sz w:val="16"/>
              </w:rPr>
              <w:t>6-Acetylmorphine (6-AM)</w:t>
            </w:r>
          </w:p>
        </w:tc>
      </w:tr>
      <w:tr w:rsidRPr="00260F01" w:rsidR="00D520BD" w:rsidTr="001416A2" w14:paraId="22B7ED6D" w14:textId="77777777">
        <w:trPr>
          <w:cantSplit/>
        </w:trPr>
        <w:tc>
          <w:tcPr>
            <w:tcW w:w="1617" w:type="pct"/>
            <w:tcMar>
              <w:left w:w="216" w:type="dxa"/>
            </w:tcMar>
            <w:vAlign w:val="center"/>
          </w:tcPr>
          <w:p w:rsidRPr="00CA0BF6" w:rsidR="00D520BD" w:rsidP="00982BD1" w:rsidRDefault="00D520BD" w14:paraId="686D78E1" w14:textId="77777777">
            <w:pPr>
              <w:tabs>
                <w:tab w:val="left" w:pos="4260"/>
                <w:tab w:val="left" w:pos="5220"/>
              </w:tabs>
              <w:spacing w:before="3"/>
              <w:ind w:right="-20"/>
              <w:rPr>
                <w:rFonts w:eastAsia="Arial"/>
                <w:sz w:val="16"/>
              </w:rPr>
            </w:pPr>
            <w:r w:rsidRPr="00CA0BF6">
              <w:rPr>
                <w:rFonts w:eastAsia="Arial"/>
                <w:sz w:val="16"/>
              </w:rPr>
              <w:t>Projected confirmed positive test rate</w:t>
            </w:r>
          </w:p>
        </w:tc>
        <w:tc>
          <w:tcPr>
            <w:tcW w:w="681" w:type="pct"/>
            <w:shd w:val="clear" w:color="auto" w:fill="FFFFFF" w:themeFill="background1"/>
            <w:vAlign w:val="center"/>
          </w:tcPr>
          <w:p w:rsidRPr="00CA0BF6" w:rsidR="00D520BD" w:rsidP="00982BD1" w:rsidRDefault="002D4C0D" w14:paraId="4AC33112" w14:textId="67B04490">
            <w:pPr>
              <w:tabs>
                <w:tab w:val="left" w:pos="4260"/>
                <w:tab w:val="left" w:pos="5220"/>
              </w:tabs>
              <w:spacing w:before="3"/>
              <w:ind w:right="-20"/>
              <w:jc w:val="center"/>
              <w:rPr>
                <w:rFonts w:eastAsia="Arial"/>
                <w:sz w:val="16"/>
              </w:rPr>
            </w:pPr>
            <w:r w:rsidRPr="00CA0BF6">
              <w:rPr>
                <w:rFonts w:eastAsia="Arial"/>
                <w:sz w:val="16"/>
              </w:rPr>
              <w:t>0.01</w:t>
            </w:r>
            <w:r w:rsidRPr="00CA0BF6" w:rsidR="00E92448">
              <w:rPr>
                <w:rFonts w:eastAsia="Arial"/>
                <w:sz w:val="16"/>
              </w:rPr>
              <w:t>6</w:t>
            </w:r>
            <w:r w:rsidRPr="00CA0BF6" w:rsidR="00D520BD">
              <w:rPr>
                <w:rFonts w:eastAsia="Arial"/>
                <w:sz w:val="16"/>
              </w:rPr>
              <w:t>%</w:t>
            </w:r>
          </w:p>
        </w:tc>
        <w:tc>
          <w:tcPr>
            <w:tcW w:w="2702" w:type="pct"/>
            <w:vAlign w:val="center"/>
          </w:tcPr>
          <w:p w:rsidRPr="00CA0BF6" w:rsidR="00D520BD" w:rsidP="00982BD1" w:rsidRDefault="00D520BD" w14:paraId="3D3E5781" w14:textId="006713B9">
            <w:pPr>
              <w:tabs>
                <w:tab w:val="left" w:pos="4260"/>
                <w:tab w:val="left" w:pos="5220"/>
              </w:tabs>
              <w:spacing w:before="3"/>
              <w:ind w:right="-20"/>
              <w:rPr>
                <w:rFonts w:eastAsia="Arial"/>
                <w:sz w:val="16"/>
              </w:rPr>
            </w:pPr>
            <w:r w:rsidRPr="00CA0BF6">
              <w:rPr>
                <w:rFonts w:eastAsia="Arial"/>
                <w:sz w:val="16"/>
              </w:rPr>
              <w:t>DOT laboratory test results</w:t>
            </w:r>
          </w:p>
          <w:p w:rsidRPr="00472AF9" w:rsidR="00D520BD" w:rsidP="00982BD1" w:rsidRDefault="00D520BD" w14:paraId="1BAFD325" w14:textId="6EE13D10">
            <w:pPr>
              <w:tabs>
                <w:tab w:val="left" w:pos="4260"/>
                <w:tab w:val="left" w:pos="5220"/>
              </w:tabs>
              <w:spacing w:before="3"/>
              <w:ind w:right="-20"/>
              <w:rPr>
                <w:rFonts w:eastAsia="Arial"/>
                <w:sz w:val="16"/>
              </w:rPr>
            </w:pPr>
            <w:r w:rsidRPr="00CA0BF6">
              <w:rPr>
                <w:rFonts w:eastAsia="Arial"/>
                <w:sz w:val="16"/>
              </w:rPr>
              <w:t>Average positive rate for 6-AM (CY</w:t>
            </w:r>
            <w:r w:rsidRPr="00CA0BF6" w:rsidR="00CC2BE6">
              <w:rPr>
                <w:rFonts w:eastAsia="Arial"/>
                <w:sz w:val="16"/>
              </w:rPr>
              <w:t>s</w:t>
            </w:r>
            <w:r w:rsidRPr="00CA0BF6">
              <w:rPr>
                <w:rFonts w:eastAsia="Arial"/>
                <w:sz w:val="16"/>
              </w:rPr>
              <w:t> 2010–201</w:t>
            </w:r>
            <w:r w:rsidRPr="00CA0BF6" w:rsidR="00D73744">
              <w:rPr>
                <w:rFonts w:eastAsia="Arial"/>
                <w:sz w:val="16"/>
              </w:rPr>
              <w:t xml:space="preserve">7, </w:t>
            </w:r>
            <w:r w:rsidR="00472AF9">
              <w:rPr>
                <w:rFonts w:eastAsia="Arial"/>
                <w:sz w:val="16"/>
              </w:rPr>
              <w:t xml:space="preserve">Jan-Jun </w:t>
            </w:r>
            <w:r w:rsidRPr="00472AF9" w:rsidR="00D73744">
              <w:rPr>
                <w:rFonts w:eastAsia="Arial"/>
                <w:sz w:val="16"/>
              </w:rPr>
              <w:t>2018</w:t>
            </w:r>
            <w:r w:rsidRPr="00472AF9">
              <w:rPr>
                <w:rFonts w:eastAsia="Arial"/>
                <w:sz w:val="16"/>
              </w:rPr>
              <w:t>)</w:t>
            </w:r>
          </w:p>
          <w:p w:rsidRPr="00472AF9" w:rsidR="00D520BD" w:rsidP="00982BD1" w:rsidRDefault="00D520BD" w14:paraId="4343FFC4" w14:textId="2BEBBF6A">
            <w:pPr>
              <w:tabs>
                <w:tab w:val="left" w:pos="4260"/>
                <w:tab w:val="left" w:pos="5220"/>
              </w:tabs>
              <w:spacing w:before="3"/>
              <w:ind w:right="-20"/>
              <w:rPr>
                <w:rFonts w:eastAsia="Arial"/>
                <w:sz w:val="16"/>
              </w:rPr>
            </w:pPr>
            <w:r w:rsidRPr="00472AF9">
              <w:rPr>
                <w:rFonts w:eastAsia="Arial"/>
                <w:sz w:val="16"/>
              </w:rPr>
              <w:t>[2010 = 0.010%; 2011 = 0.014%; 2012 = 0.016%; 2013 = 0.019%; 2014 = 0.022%</w:t>
            </w:r>
            <w:r w:rsidRPr="00472AF9" w:rsidR="00F351C0">
              <w:rPr>
                <w:rFonts w:eastAsia="Arial"/>
                <w:sz w:val="16"/>
              </w:rPr>
              <w:t xml:space="preserve">, 2015 = 0.022%; 2016 = 0.021%; 2017 = 0.018%; 2018 </w:t>
            </w:r>
            <w:r w:rsidRPr="00472AF9" w:rsidR="00613D9A">
              <w:rPr>
                <w:rFonts w:eastAsia="Arial"/>
                <w:sz w:val="16"/>
              </w:rPr>
              <w:t>(</w:t>
            </w:r>
            <w:r w:rsidR="00613D9A">
              <w:rPr>
                <w:rFonts w:eastAsia="Arial" w:cs="Arial"/>
                <w:spacing w:val="-2"/>
                <w:sz w:val="16"/>
                <w:szCs w:val="16"/>
              </w:rPr>
              <w:t>Jan-Jun</w:t>
            </w:r>
            <w:r w:rsidRPr="00472AF9" w:rsidR="00613D9A">
              <w:rPr>
                <w:rFonts w:eastAsia="Arial"/>
                <w:sz w:val="16"/>
              </w:rPr>
              <w:t xml:space="preserve">) </w:t>
            </w:r>
            <w:r w:rsidRPr="00472AF9" w:rsidR="00F351C0">
              <w:rPr>
                <w:rFonts w:eastAsia="Arial"/>
                <w:sz w:val="16"/>
              </w:rPr>
              <w:t xml:space="preserve">= </w:t>
            </w:r>
            <w:r w:rsidRPr="00472AF9" w:rsidR="00B23BD7">
              <w:rPr>
                <w:rFonts w:eastAsia="Arial"/>
                <w:sz w:val="16"/>
              </w:rPr>
              <w:t>0.015</w:t>
            </w:r>
            <w:r w:rsidRPr="00472AF9" w:rsidR="00F351C0">
              <w:rPr>
                <w:rFonts w:eastAsia="Arial"/>
                <w:sz w:val="16"/>
              </w:rPr>
              <w:t>%</w:t>
            </w:r>
            <w:r w:rsidRPr="00472AF9">
              <w:rPr>
                <w:rFonts w:eastAsia="Arial"/>
                <w:sz w:val="16"/>
              </w:rPr>
              <w:t>]</w:t>
            </w:r>
          </w:p>
        </w:tc>
      </w:tr>
      <w:tr w:rsidRPr="00260F01" w:rsidR="00E41E5C" w:rsidTr="00E54398" w14:paraId="597FA4E3" w14:textId="77777777">
        <w:trPr>
          <w:cantSplit/>
        </w:trPr>
        <w:tc>
          <w:tcPr>
            <w:tcW w:w="5000" w:type="pct"/>
            <w:gridSpan w:val="3"/>
            <w:shd w:val="clear" w:color="auto" w:fill="FFFFFF" w:themeFill="background1"/>
            <w:vAlign w:val="center"/>
          </w:tcPr>
          <w:p w:rsidRPr="00472AF9" w:rsidR="00E41E5C" w:rsidP="00E54398" w:rsidRDefault="00E41E5C" w14:paraId="3D61517B" w14:textId="64C0EA34">
            <w:pPr>
              <w:tabs>
                <w:tab w:val="left" w:pos="4260"/>
                <w:tab w:val="left" w:pos="5220"/>
              </w:tabs>
              <w:spacing w:before="3"/>
              <w:ind w:right="-20"/>
              <w:rPr>
                <w:rFonts w:eastAsia="Arial"/>
                <w:i/>
                <w:sz w:val="16"/>
              </w:rPr>
            </w:pPr>
            <w:r w:rsidRPr="00472AF9">
              <w:rPr>
                <w:rFonts w:eastAsia="Arial"/>
                <w:i/>
                <w:sz w:val="16"/>
              </w:rPr>
              <w:t>Opioid:  Hydrocodone/Hydromorphone/Oxycodone/Oxymorphone</w:t>
            </w:r>
          </w:p>
        </w:tc>
      </w:tr>
      <w:tr w:rsidRPr="00260F01" w:rsidR="00B364B5" w:rsidTr="001416A2" w14:paraId="73DFDBAE" w14:textId="77777777">
        <w:trPr>
          <w:cantSplit/>
        </w:trPr>
        <w:tc>
          <w:tcPr>
            <w:tcW w:w="1617" w:type="pct"/>
            <w:tcMar>
              <w:left w:w="216" w:type="dxa"/>
            </w:tcMar>
            <w:vAlign w:val="center"/>
          </w:tcPr>
          <w:p w:rsidRPr="00414205" w:rsidR="00B364B5" w:rsidP="00B364B5" w:rsidRDefault="00B364B5" w14:paraId="5BA369E3" w14:textId="712BD6E7">
            <w:pPr>
              <w:tabs>
                <w:tab w:val="left" w:pos="4260"/>
                <w:tab w:val="left" w:pos="5220"/>
              </w:tabs>
              <w:spacing w:before="3"/>
              <w:ind w:right="-20"/>
              <w:rPr>
                <w:rFonts w:eastAsia="Arial"/>
                <w:sz w:val="16"/>
              </w:rPr>
            </w:pPr>
            <w:r w:rsidRPr="00414205">
              <w:rPr>
                <w:rFonts w:eastAsia="Arial"/>
                <w:sz w:val="16"/>
              </w:rPr>
              <w:t>Projected confirmed positive test rate for expanded opi</w:t>
            </w:r>
            <w:r w:rsidRPr="00414205" w:rsidR="0076606A">
              <w:rPr>
                <w:rFonts w:eastAsia="Arial"/>
                <w:sz w:val="16"/>
              </w:rPr>
              <w:t>oid</w:t>
            </w:r>
            <w:r w:rsidRPr="00414205">
              <w:rPr>
                <w:rFonts w:eastAsia="Arial"/>
                <w:sz w:val="16"/>
              </w:rPr>
              <w:t xml:space="preserve"> panel</w:t>
            </w:r>
          </w:p>
        </w:tc>
        <w:tc>
          <w:tcPr>
            <w:tcW w:w="681" w:type="pct"/>
            <w:vAlign w:val="center"/>
          </w:tcPr>
          <w:p w:rsidRPr="00414205" w:rsidR="00B364B5" w:rsidP="00B364B5" w:rsidRDefault="00B364B5" w14:paraId="27220867" w14:textId="7B3DA5E8">
            <w:pPr>
              <w:tabs>
                <w:tab w:val="left" w:pos="4260"/>
                <w:tab w:val="left" w:pos="5220"/>
              </w:tabs>
              <w:spacing w:before="3"/>
              <w:ind w:right="-20"/>
              <w:jc w:val="center"/>
              <w:rPr>
                <w:rFonts w:eastAsia="Arial"/>
                <w:sz w:val="16"/>
              </w:rPr>
            </w:pPr>
            <w:bookmarkStart w:name="RANGE!D43" w:id="298"/>
            <w:r w:rsidRPr="00260F01">
              <w:rPr>
                <w:rFonts w:cs="Arial"/>
                <w:sz w:val="16"/>
                <w:szCs w:val="16"/>
              </w:rPr>
              <w:t>0.0</w:t>
            </w:r>
            <w:r w:rsidRPr="00260F01" w:rsidR="00C56840">
              <w:rPr>
                <w:rFonts w:cs="Arial"/>
                <w:sz w:val="16"/>
                <w:szCs w:val="16"/>
              </w:rPr>
              <w:t>66</w:t>
            </w:r>
            <w:r w:rsidRPr="00260F01">
              <w:rPr>
                <w:rFonts w:cs="Arial"/>
                <w:sz w:val="16"/>
                <w:szCs w:val="16"/>
              </w:rPr>
              <w:t>%</w:t>
            </w:r>
            <w:bookmarkEnd w:id="298"/>
          </w:p>
        </w:tc>
        <w:tc>
          <w:tcPr>
            <w:tcW w:w="2702" w:type="pct"/>
          </w:tcPr>
          <w:p w:rsidRPr="00260F01" w:rsidR="00694B9F" w:rsidP="00B364B5" w:rsidRDefault="00B364B5" w14:paraId="0FF18480" w14:textId="44B1F2AE">
            <w:pPr>
              <w:tabs>
                <w:tab w:val="left" w:pos="4260"/>
                <w:tab w:val="left" w:pos="5220"/>
              </w:tabs>
              <w:spacing w:before="3"/>
              <w:ind w:right="-20"/>
              <w:rPr>
                <w:rFonts w:cs="Arial"/>
                <w:sz w:val="16"/>
                <w:szCs w:val="16"/>
              </w:rPr>
            </w:pPr>
            <w:r w:rsidRPr="00260F01">
              <w:rPr>
                <w:rFonts w:cs="Arial"/>
                <w:sz w:val="16"/>
                <w:szCs w:val="16"/>
              </w:rPr>
              <w:t xml:space="preserve">NRC FFD </w:t>
            </w:r>
            <w:r w:rsidRPr="00260F01" w:rsidR="00F34C34">
              <w:rPr>
                <w:rFonts w:cs="Arial"/>
                <w:sz w:val="16"/>
                <w:szCs w:val="16"/>
              </w:rPr>
              <w:t>P</w:t>
            </w:r>
            <w:r w:rsidRPr="00260F01">
              <w:rPr>
                <w:rFonts w:cs="Arial"/>
                <w:sz w:val="16"/>
                <w:szCs w:val="16"/>
              </w:rPr>
              <w:t xml:space="preserve">rogram </w:t>
            </w:r>
            <w:r w:rsidRPr="00260F01" w:rsidR="00F34C34">
              <w:rPr>
                <w:rFonts w:cs="Arial"/>
                <w:sz w:val="16"/>
                <w:szCs w:val="16"/>
              </w:rPr>
              <w:t>P</w:t>
            </w:r>
            <w:r w:rsidRPr="00260F01">
              <w:rPr>
                <w:rFonts w:cs="Arial"/>
                <w:sz w:val="16"/>
                <w:szCs w:val="16"/>
              </w:rPr>
              <w:t xml:space="preserve">erformance </w:t>
            </w:r>
            <w:r w:rsidRPr="00260F01" w:rsidR="00F34C34">
              <w:rPr>
                <w:rFonts w:cs="Arial"/>
                <w:sz w:val="16"/>
                <w:szCs w:val="16"/>
              </w:rPr>
              <w:t>R</w:t>
            </w:r>
            <w:r w:rsidRPr="00260F01">
              <w:rPr>
                <w:rFonts w:cs="Arial"/>
                <w:sz w:val="16"/>
                <w:szCs w:val="16"/>
              </w:rPr>
              <w:t xml:space="preserve">esults for </w:t>
            </w:r>
            <w:r w:rsidRPr="00260F01" w:rsidR="00024532">
              <w:rPr>
                <w:rFonts w:cs="Arial"/>
                <w:sz w:val="16"/>
                <w:szCs w:val="16"/>
              </w:rPr>
              <w:t xml:space="preserve">amphetamines positives </w:t>
            </w:r>
            <w:r w:rsidRPr="00260F01">
              <w:rPr>
                <w:rFonts w:cs="Arial"/>
                <w:sz w:val="16"/>
                <w:szCs w:val="16"/>
              </w:rPr>
              <w:t xml:space="preserve">is used as a proxy for the projected confirmed positive </w:t>
            </w:r>
            <w:r w:rsidRPr="00260F01" w:rsidR="00481902">
              <w:rPr>
                <w:rFonts w:cs="Arial"/>
                <w:sz w:val="16"/>
                <w:szCs w:val="16"/>
              </w:rPr>
              <w:t xml:space="preserve">test </w:t>
            </w:r>
            <w:r w:rsidRPr="00260F01">
              <w:rPr>
                <w:rFonts w:cs="Arial"/>
                <w:sz w:val="16"/>
                <w:szCs w:val="16"/>
              </w:rPr>
              <w:t>rate</w:t>
            </w:r>
            <w:r w:rsidRPr="00260F01" w:rsidR="00024532">
              <w:rPr>
                <w:rFonts w:cs="Arial"/>
                <w:sz w:val="16"/>
                <w:szCs w:val="16"/>
              </w:rPr>
              <w:t xml:space="preserve"> for the expanded </w:t>
            </w:r>
            <w:r w:rsidRPr="00260F01" w:rsidR="007913CC">
              <w:rPr>
                <w:rFonts w:cs="Arial"/>
                <w:sz w:val="16"/>
                <w:szCs w:val="16"/>
              </w:rPr>
              <w:t>opioid panel</w:t>
            </w:r>
            <w:r w:rsidRPr="00260F01" w:rsidR="00933C6A">
              <w:rPr>
                <w:rFonts w:cs="Arial"/>
                <w:sz w:val="16"/>
                <w:szCs w:val="16"/>
              </w:rPr>
              <w:t>.</w:t>
            </w:r>
          </w:p>
          <w:p w:rsidRPr="00260F01" w:rsidR="00694B9F" w:rsidP="00B364B5" w:rsidRDefault="00694B9F" w14:paraId="00614813" w14:textId="77777777">
            <w:pPr>
              <w:tabs>
                <w:tab w:val="left" w:pos="4260"/>
                <w:tab w:val="left" w:pos="5220"/>
              </w:tabs>
              <w:spacing w:before="3"/>
              <w:ind w:right="-20"/>
              <w:rPr>
                <w:rFonts w:cs="Arial"/>
                <w:sz w:val="16"/>
                <w:szCs w:val="16"/>
              </w:rPr>
            </w:pPr>
          </w:p>
          <w:p w:rsidRPr="00414205" w:rsidR="00B364B5" w:rsidP="00B364B5" w:rsidRDefault="00F627F5" w14:paraId="5FA91036" w14:textId="3DFADA47">
            <w:pPr>
              <w:tabs>
                <w:tab w:val="left" w:pos="4260"/>
                <w:tab w:val="left" w:pos="5220"/>
              </w:tabs>
              <w:spacing w:before="3"/>
              <w:ind w:right="-20"/>
              <w:rPr>
                <w:rFonts w:eastAsia="Arial"/>
                <w:sz w:val="16"/>
              </w:rPr>
            </w:pPr>
            <w:r w:rsidRPr="002C46E8">
              <w:rPr>
                <w:rFonts w:eastAsia="Arial"/>
                <w:sz w:val="16"/>
              </w:rPr>
              <w:t xml:space="preserve">This decision is partially informed by HHS </w:t>
            </w:r>
            <w:r w:rsidRPr="00260F01">
              <w:rPr>
                <w:rFonts w:eastAsia="Arial" w:cs="Arial"/>
                <w:sz w:val="16"/>
                <w:szCs w:val="16"/>
              </w:rPr>
              <w:t>lab</w:t>
            </w:r>
            <w:r w:rsidRPr="00260F01" w:rsidR="005E501D">
              <w:rPr>
                <w:rFonts w:eastAsia="Arial" w:cs="Arial"/>
                <w:sz w:val="16"/>
                <w:szCs w:val="16"/>
              </w:rPr>
              <w:t>oratory</w:t>
            </w:r>
            <w:r w:rsidRPr="00414205">
              <w:rPr>
                <w:rFonts w:eastAsia="Arial"/>
                <w:sz w:val="16"/>
              </w:rPr>
              <w:t xml:space="preserve"> results for all DOT tests (worksheet "DOT Lab Testing Data").  Similar to amphetamines</w:t>
            </w:r>
            <w:r w:rsidRPr="00260F01" w:rsidR="005E501D">
              <w:rPr>
                <w:rFonts w:eastAsia="Arial" w:cs="Arial"/>
                <w:sz w:val="16"/>
                <w:szCs w:val="16"/>
              </w:rPr>
              <w:t>,</w:t>
            </w:r>
            <w:r w:rsidRPr="00414205">
              <w:rPr>
                <w:rFonts w:eastAsia="Arial"/>
                <w:sz w:val="16"/>
              </w:rPr>
              <w:t xml:space="preserve"> these drugs are available legally by prescription and have a tendency </w:t>
            </w:r>
            <w:r w:rsidRPr="00260F01" w:rsidR="005E501D">
              <w:rPr>
                <w:rFonts w:eastAsia="Arial" w:cs="Arial"/>
                <w:sz w:val="16"/>
                <w:szCs w:val="16"/>
              </w:rPr>
              <w:t>t</w:t>
            </w:r>
            <w:r w:rsidRPr="00260F01">
              <w:rPr>
                <w:rFonts w:eastAsia="Arial" w:cs="Arial"/>
                <w:sz w:val="16"/>
                <w:szCs w:val="16"/>
              </w:rPr>
              <w:t>o be</w:t>
            </w:r>
            <w:r w:rsidRPr="00414205">
              <w:rPr>
                <w:rFonts w:eastAsia="Arial"/>
                <w:sz w:val="16"/>
              </w:rPr>
              <w:t xml:space="preserve"> abused. </w:t>
            </w:r>
            <w:r w:rsidRPr="00260F01" w:rsidR="005E501D">
              <w:rPr>
                <w:rFonts w:eastAsia="Arial" w:cs="Arial"/>
                <w:sz w:val="16"/>
                <w:szCs w:val="16"/>
              </w:rPr>
              <w:t xml:space="preserve"> </w:t>
            </w:r>
            <w:r w:rsidRPr="00414205">
              <w:rPr>
                <w:rFonts w:eastAsia="Arial"/>
                <w:sz w:val="16"/>
              </w:rPr>
              <w:t xml:space="preserve">Based on </w:t>
            </w:r>
            <w:r w:rsidRPr="00260F01">
              <w:rPr>
                <w:rFonts w:eastAsia="Arial" w:cs="Arial"/>
                <w:sz w:val="16"/>
                <w:szCs w:val="16"/>
              </w:rPr>
              <w:t>th</w:t>
            </w:r>
            <w:r w:rsidRPr="00260F01" w:rsidR="005E501D">
              <w:rPr>
                <w:rFonts w:eastAsia="Arial" w:cs="Arial"/>
                <w:sz w:val="16"/>
                <w:szCs w:val="16"/>
              </w:rPr>
              <w:t>e</w:t>
            </w:r>
            <w:r w:rsidRPr="00260F01">
              <w:rPr>
                <w:rFonts w:eastAsia="Arial" w:cs="Arial"/>
                <w:sz w:val="16"/>
                <w:szCs w:val="16"/>
              </w:rPr>
              <w:t>s</w:t>
            </w:r>
            <w:r w:rsidRPr="00260F01" w:rsidR="005E501D">
              <w:rPr>
                <w:rFonts w:eastAsia="Arial" w:cs="Arial"/>
                <w:sz w:val="16"/>
                <w:szCs w:val="16"/>
              </w:rPr>
              <w:t>e</w:t>
            </w:r>
            <w:r w:rsidRPr="00414205">
              <w:rPr>
                <w:rFonts w:eastAsia="Arial"/>
                <w:sz w:val="16"/>
              </w:rPr>
              <w:t xml:space="preserve"> data, the NRC staff concluded that the confirmed positive test rate for </w:t>
            </w:r>
            <w:r w:rsidRPr="00414205" w:rsidR="002D24A9">
              <w:rPr>
                <w:rFonts w:eastAsia="Arial"/>
                <w:sz w:val="16"/>
              </w:rPr>
              <w:t>amphetamines</w:t>
            </w:r>
            <w:r w:rsidRPr="00414205">
              <w:rPr>
                <w:rFonts w:eastAsia="Arial"/>
                <w:sz w:val="16"/>
              </w:rPr>
              <w:t xml:space="preserve"> is a better indicator of initial opioid positivity.</w:t>
            </w:r>
          </w:p>
        </w:tc>
      </w:tr>
      <w:tr w:rsidRPr="00260F01" w:rsidR="000B5A43" w:rsidTr="001416A2" w14:paraId="6FF9317B" w14:textId="77777777">
        <w:trPr>
          <w:cantSplit/>
        </w:trPr>
        <w:tc>
          <w:tcPr>
            <w:tcW w:w="1617" w:type="pct"/>
            <w:tcMar>
              <w:left w:w="216" w:type="dxa"/>
            </w:tcMar>
            <w:vAlign w:val="center"/>
          </w:tcPr>
          <w:p w:rsidRPr="00472AF9" w:rsidR="000B5A43" w:rsidP="00B364B5" w:rsidRDefault="000B7D75" w14:paraId="2E3163C3" w14:textId="1A80BC38">
            <w:pPr>
              <w:tabs>
                <w:tab w:val="left" w:pos="4260"/>
                <w:tab w:val="left" w:pos="5220"/>
              </w:tabs>
              <w:spacing w:before="3"/>
              <w:ind w:right="-20"/>
              <w:rPr>
                <w:rFonts w:eastAsia="Arial"/>
                <w:sz w:val="16"/>
              </w:rPr>
            </w:pPr>
            <w:r w:rsidRPr="00472AF9">
              <w:rPr>
                <w:rFonts w:eastAsia="Arial"/>
                <w:sz w:val="16"/>
              </w:rPr>
              <w:t>Projected percent increase in positive test rate in first year</w:t>
            </w:r>
          </w:p>
        </w:tc>
        <w:tc>
          <w:tcPr>
            <w:tcW w:w="681" w:type="pct"/>
            <w:vAlign w:val="center"/>
          </w:tcPr>
          <w:p w:rsidRPr="00260F01" w:rsidR="000B5A43" w:rsidP="00B364B5" w:rsidRDefault="000B7D75" w14:paraId="37CCFB4B" w14:textId="37C18601">
            <w:pPr>
              <w:tabs>
                <w:tab w:val="left" w:pos="4260"/>
                <w:tab w:val="left" w:pos="5220"/>
              </w:tabs>
              <w:spacing w:before="3"/>
              <w:ind w:right="-20"/>
              <w:jc w:val="center"/>
              <w:rPr>
                <w:rFonts w:cs="Arial"/>
                <w:sz w:val="16"/>
                <w:szCs w:val="16"/>
              </w:rPr>
            </w:pPr>
            <w:r w:rsidRPr="00260F01">
              <w:rPr>
                <w:rFonts w:cs="Arial"/>
                <w:sz w:val="16"/>
                <w:szCs w:val="16"/>
              </w:rPr>
              <w:t>293%</w:t>
            </w:r>
          </w:p>
        </w:tc>
        <w:tc>
          <w:tcPr>
            <w:tcW w:w="2702" w:type="pct"/>
          </w:tcPr>
          <w:p w:rsidRPr="00260F01" w:rsidR="00DA5468" w:rsidP="00DA5468" w:rsidRDefault="00DA5468" w14:paraId="1B48BB05" w14:textId="698E9D23">
            <w:pPr>
              <w:tabs>
                <w:tab w:val="left" w:pos="4260"/>
                <w:tab w:val="left" w:pos="5220"/>
              </w:tabs>
              <w:spacing w:before="3"/>
              <w:ind w:right="-20"/>
              <w:rPr>
                <w:rFonts w:cs="Arial"/>
                <w:sz w:val="16"/>
                <w:szCs w:val="16"/>
              </w:rPr>
            </w:pPr>
            <w:r w:rsidRPr="00260F01">
              <w:rPr>
                <w:rFonts w:cs="Arial"/>
                <w:sz w:val="16"/>
                <w:szCs w:val="16"/>
              </w:rPr>
              <w:t xml:space="preserve">MRO-verified test results for CYs 2017 and 2018 for DOT </w:t>
            </w:r>
            <w:r w:rsidRPr="00260F01" w:rsidR="00914997">
              <w:rPr>
                <w:rFonts w:cs="Arial"/>
                <w:sz w:val="16"/>
                <w:szCs w:val="16"/>
              </w:rPr>
              <w:t xml:space="preserve">modal administrations </w:t>
            </w:r>
            <w:r w:rsidRPr="00260F01">
              <w:rPr>
                <w:rFonts w:cs="Arial"/>
                <w:sz w:val="16"/>
                <w:szCs w:val="16"/>
              </w:rPr>
              <w:t xml:space="preserve">(Federal Aviation Administration (FAA), Federal Rail Administration (FRA), and Federal Transit Administration (FTA)).  Change in average opioid positive rate for CY 2018, using </w:t>
            </w:r>
          </w:p>
          <w:p w:rsidRPr="00260F01" w:rsidR="00EA4077" w:rsidP="00DA5468" w:rsidRDefault="00DA5468" w14:paraId="34582CCF" w14:textId="3CC3FEDC">
            <w:pPr>
              <w:tabs>
                <w:tab w:val="left" w:pos="4260"/>
                <w:tab w:val="left" w:pos="5220"/>
              </w:tabs>
              <w:spacing w:before="3"/>
              <w:ind w:right="-20"/>
              <w:rPr>
                <w:rFonts w:cs="Arial"/>
                <w:sz w:val="16"/>
                <w:szCs w:val="16"/>
              </w:rPr>
            </w:pPr>
            <w:r w:rsidRPr="00260F01">
              <w:rPr>
                <w:rFonts w:cs="Arial"/>
                <w:sz w:val="16"/>
                <w:szCs w:val="16"/>
              </w:rPr>
              <w:t>CY 2017 as the baseline positive rate for comparison</w:t>
            </w:r>
            <w:r w:rsidRPr="00260F01" w:rsidR="00914997">
              <w:rPr>
                <w:rFonts w:cs="Arial"/>
                <w:sz w:val="16"/>
                <w:szCs w:val="16"/>
              </w:rPr>
              <w:t>:</w:t>
            </w:r>
            <w:r w:rsidRPr="00260F01">
              <w:rPr>
                <w:rFonts w:cs="Arial"/>
                <w:sz w:val="16"/>
                <w:szCs w:val="16"/>
              </w:rPr>
              <w:t xml:space="preserve"> </w:t>
            </w:r>
          </w:p>
          <w:p w:rsidRPr="00260F01" w:rsidR="0047021C" w:rsidP="00DA5468" w:rsidRDefault="0047021C" w14:paraId="29D5BB60" w14:textId="5C6CDEE2">
            <w:pPr>
              <w:tabs>
                <w:tab w:val="left" w:pos="4260"/>
                <w:tab w:val="left" w:pos="5220"/>
              </w:tabs>
              <w:spacing w:before="3"/>
              <w:ind w:right="-20"/>
              <w:rPr>
                <w:rFonts w:cs="Arial"/>
                <w:sz w:val="16"/>
                <w:szCs w:val="16"/>
              </w:rPr>
            </w:pPr>
          </w:p>
          <w:p w:rsidRPr="00260F01" w:rsidR="00DA5468" w:rsidP="00DA5468" w:rsidRDefault="00DA5468" w14:paraId="4DD142B6" w14:textId="461510B8">
            <w:pPr>
              <w:tabs>
                <w:tab w:val="left" w:pos="4260"/>
                <w:tab w:val="left" w:pos="5220"/>
              </w:tabs>
              <w:spacing w:before="3"/>
              <w:ind w:right="-20"/>
              <w:rPr>
                <w:rFonts w:cs="Arial"/>
                <w:sz w:val="16"/>
                <w:szCs w:val="16"/>
              </w:rPr>
            </w:pPr>
            <w:r w:rsidRPr="00260F01">
              <w:rPr>
                <w:rFonts w:cs="Arial"/>
                <w:sz w:val="16"/>
                <w:szCs w:val="16"/>
              </w:rPr>
              <w:t xml:space="preserve">[Opioids average positive rate: </w:t>
            </w:r>
            <w:r w:rsidRPr="00260F01" w:rsidR="00BF3662">
              <w:rPr>
                <w:rFonts w:cs="Arial"/>
                <w:sz w:val="16"/>
                <w:szCs w:val="16"/>
              </w:rPr>
              <w:t xml:space="preserve"> </w:t>
            </w:r>
            <w:r w:rsidRPr="00260F01">
              <w:rPr>
                <w:rFonts w:cs="Arial"/>
                <w:sz w:val="16"/>
                <w:szCs w:val="16"/>
              </w:rPr>
              <w:t>2017 = 0.028%; 2018 = 0.109%]</w:t>
            </w:r>
          </w:p>
        </w:tc>
      </w:tr>
      <w:tr w:rsidRPr="00260F01" w:rsidR="000B5A43" w:rsidTr="002C46E8" w14:paraId="311C035C" w14:textId="77777777">
        <w:trPr>
          <w:cantSplit/>
        </w:trPr>
        <w:tc>
          <w:tcPr>
            <w:tcW w:w="1617" w:type="pct"/>
            <w:tcMar>
              <w:left w:w="216" w:type="dxa"/>
            </w:tcMar>
            <w:vAlign w:val="center"/>
          </w:tcPr>
          <w:p w:rsidRPr="002C46E8" w:rsidR="000B5A43" w:rsidP="00B364B5" w:rsidRDefault="00DA5468" w14:paraId="168C3C96" w14:textId="671ABCF9">
            <w:pPr>
              <w:tabs>
                <w:tab w:val="left" w:pos="4260"/>
                <w:tab w:val="left" w:pos="5220"/>
              </w:tabs>
              <w:spacing w:before="3"/>
              <w:ind w:right="-20"/>
              <w:rPr>
                <w:rFonts w:eastAsia="Arial"/>
                <w:sz w:val="16"/>
              </w:rPr>
            </w:pPr>
            <w:r w:rsidRPr="002C46E8">
              <w:rPr>
                <w:rFonts w:eastAsia="Arial"/>
                <w:sz w:val="16"/>
              </w:rPr>
              <w:t>Projected percentage of additional opioid positive results that will confirm positive after MRO interview with donor</w:t>
            </w:r>
          </w:p>
        </w:tc>
        <w:tc>
          <w:tcPr>
            <w:tcW w:w="681" w:type="pct"/>
            <w:vAlign w:val="center"/>
          </w:tcPr>
          <w:p w:rsidRPr="00260F01" w:rsidR="000B5A43" w:rsidP="00B364B5" w:rsidRDefault="00DA5468" w14:paraId="1CFCF972" w14:textId="1CBD945B">
            <w:pPr>
              <w:tabs>
                <w:tab w:val="left" w:pos="4260"/>
                <w:tab w:val="left" w:pos="5220"/>
              </w:tabs>
              <w:spacing w:before="3"/>
              <w:ind w:right="-20"/>
              <w:jc w:val="center"/>
              <w:rPr>
                <w:rFonts w:cs="Arial"/>
                <w:sz w:val="16"/>
                <w:szCs w:val="16"/>
              </w:rPr>
            </w:pPr>
            <w:r w:rsidRPr="00260F01">
              <w:rPr>
                <w:rFonts w:cs="Arial"/>
                <w:sz w:val="16"/>
                <w:szCs w:val="16"/>
              </w:rPr>
              <w:t>71%</w:t>
            </w:r>
          </w:p>
        </w:tc>
        <w:tc>
          <w:tcPr>
            <w:tcW w:w="2702" w:type="pct"/>
            <w:vAlign w:val="center"/>
          </w:tcPr>
          <w:p w:rsidRPr="00260F01" w:rsidR="000B5A43" w:rsidP="00323D76" w:rsidRDefault="006116F4" w14:paraId="2FFA51AC" w14:textId="6BEE8FF1">
            <w:pPr>
              <w:tabs>
                <w:tab w:val="left" w:pos="4260"/>
                <w:tab w:val="left" w:pos="5220"/>
              </w:tabs>
              <w:spacing w:before="3"/>
              <w:ind w:right="-20"/>
              <w:rPr>
                <w:rFonts w:cs="Arial"/>
                <w:sz w:val="16"/>
                <w:szCs w:val="16"/>
              </w:rPr>
            </w:pPr>
            <w:r w:rsidRPr="00260F01">
              <w:rPr>
                <w:rFonts w:cs="Arial"/>
                <w:sz w:val="16"/>
                <w:szCs w:val="16"/>
              </w:rPr>
              <w:t>Projected percentage of additional opioid positive results that will confirm positive after MRO interview with donor</w:t>
            </w:r>
          </w:p>
        </w:tc>
      </w:tr>
      <w:tr w:rsidRPr="00260F01" w:rsidR="000B7D75" w:rsidTr="002C46E8" w14:paraId="64C1493F" w14:textId="77777777">
        <w:trPr>
          <w:cantSplit/>
        </w:trPr>
        <w:tc>
          <w:tcPr>
            <w:tcW w:w="1617" w:type="pct"/>
            <w:tcMar>
              <w:left w:w="216" w:type="dxa"/>
            </w:tcMar>
            <w:vAlign w:val="center"/>
          </w:tcPr>
          <w:p w:rsidRPr="002C46E8" w:rsidR="000B7D75" w:rsidP="00B364B5" w:rsidRDefault="001C3168" w14:paraId="0077EED4" w14:textId="420351BE">
            <w:pPr>
              <w:tabs>
                <w:tab w:val="left" w:pos="4260"/>
                <w:tab w:val="left" w:pos="5220"/>
              </w:tabs>
              <w:spacing w:before="3"/>
              <w:ind w:right="-20"/>
              <w:rPr>
                <w:rFonts w:eastAsia="Arial"/>
                <w:sz w:val="16"/>
              </w:rPr>
            </w:pPr>
            <w:r w:rsidRPr="002C46E8">
              <w:rPr>
                <w:rFonts w:eastAsia="Arial"/>
                <w:sz w:val="16"/>
              </w:rPr>
              <w:t>Projected percentage of additional opioid positive results that will be negative after MRO interview with donor</w:t>
            </w:r>
          </w:p>
        </w:tc>
        <w:tc>
          <w:tcPr>
            <w:tcW w:w="681" w:type="pct"/>
            <w:vAlign w:val="center"/>
          </w:tcPr>
          <w:p w:rsidRPr="00260F01" w:rsidR="000B7D75" w:rsidP="00B364B5" w:rsidRDefault="001C3168" w14:paraId="1411DE16" w14:textId="5C603533">
            <w:pPr>
              <w:tabs>
                <w:tab w:val="left" w:pos="4260"/>
                <w:tab w:val="left" w:pos="5220"/>
              </w:tabs>
              <w:spacing w:before="3"/>
              <w:ind w:right="-20"/>
              <w:jc w:val="center"/>
              <w:rPr>
                <w:rFonts w:cs="Arial"/>
                <w:sz w:val="16"/>
                <w:szCs w:val="16"/>
              </w:rPr>
            </w:pPr>
            <w:r w:rsidRPr="00260F01">
              <w:rPr>
                <w:rFonts w:cs="Arial"/>
                <w:sz w:val="16"/>
                <w:szCs w:val="16"/>
              </w:rPr>
              <w:t>29%</w:t>
            </w:r>
          </w:p>
        </w:tc>
        <w:tc>
          <w:tcPr>
            <w:tcW w:w="2702" w:type="pct"/>
            <w:vAlign w:val="center"/>
          </w:tcPr>
          <w:p w:rsidRPr="00260F01" w:rsidR="000B7D75" w:rsidP="00323D76" w:rsidRDefault="001C3168" w14:paraId="0C81A5C6" w14:textId="6D859E25">
            <w:pPr>
              <w:tabs>
                <w:tab w:val="left" w:pos="4260"/>
                <w:tab w:val="left" w:pos="5220"/>
              </w:tabs>
              <w:spacing w:before="3"/>
              <w:ind w:right="-20"/>
              <w:rPr>
                <w:rFonts w:cs="Arial"/>
                <w:sz w:val="16"/>
                <w:szCs w:val="16"/>
              </w:rPr>
            </w:pPr>
            <w:r w:rsidRPr="00260F01">
              <w:rPr>
                <w:rFonts w:cs="Arial"/>
                <w:sz w:val="16"/>
                <w:szCs w:val="16"/>
              </w:rPr>
              <w:t>Calculated value</w:t>
            </w:r>
          </w:p>
        </w:tc>
      </w:tr>
      <w:tr w:rsidRPr="00260F01" w:rsidR="00D520BD" w:rsidTr="00982BD1" w14:paraId="28A96725" w14:textId="77777777">
        <w:trPr>
          <w:cantSplit/>
          <w:trHeight w:val="120"/>
        </w:trPr>
        <w:tc>
          <w:tcPr>
            <w:tcW w:w="5000" w:type="pct"/>
            <w:gridSpan w:val="3"/>
            <w:tcMar>
              <w:left w:w="115" w:type="dxa"/>
            </w:tcMar>
            <w:vAlign w:val="center"/>
          </w:tcPr>
          <w:p w:rsidRPr="002C46E8" w:rsidR="00D520BD" w:rsidP="00C66988" w:rsidRDefault="00D520BD" w14:paraId="051C45AB" w14:textId="77777777">
            <w:pPr>
              <w:keepNext/>
              <w:keepLines/>
              <w:tabs>
                <w:tab w:val="left" w:pos="4260"/>
                <w:tab w:val="left" w:pos="5220"/>
              </w:tabs>
              <w:spacing w:before="3"/>
              <w:ind w:right="-14"/>
              <w:rPr>
                <w:rFonts w:eastAsia="Arial"/>
                <w:i/>
                <w:sz w:val="16"/>
              </w:rPr>
            </w:pPr>
            <w:r w:rsidRPr="002C46E8">
              <w:rPr>
                <w:rFonts w:eastAsia="Arial"/>
                <w:i/>
                <w:sz w:val="16"/>
              </w:rPr>
              <w:t>Amphetamines</w:t>
            </w:r>
          </w:p>
        </w:tc>
      </w:tr>
      <w:tr w:rsidRPr="00260F01" w:rsidR="00D520BD" w:rsidTr="001416A2" w14:paraId="3EA16C79" w14:textId="77777777">
        <w:trPr>
          <w:cantSplit/>
          <w:trHeight w:val="885"/>
        </w:trPr>
        <w:tc>
          <w:tcPr>
            <w:tcW w:w="1617" w:type="pct"/>
            <w:tcMar>
              <w:left w:w="216" w:type="dxa"/>
            </w:tcMar>
            <w:vAlign w:val="center"/>
          </w:tcPr>
          <w:p w:rsidRPr="002C46E8" w:rsidR="00D520BD" w:rsidP="00982BD1" w:rsidRDefault="00D520BD" w14:paraId="05E6CEDC" w14:textId="77777777">
            <w:pPr>
              <w:tabs>
                <w:tab w:val="left" w:pos="4260"/>
                <w:tab w:val="left" w:pos="5220"/>
              </w:tabs>
              <w:spacing w:before="3"/>
              <w:ind w:right="-20"/>
              <w:rPr>
                <w:rFonts w:eastAsia="Arial"/>
                <w:sz w:val="16"/>
              </w:rPr>
            </w:pPr>
            <w:r w:rsidRPr="002C46E8">
              <w:rPr>
                <w:rFonts w:eastAsia="Arial"/>
                <w:sz w:val="16"/>
              </w:rPr>
              <w:t>FFD current confirmed positive test rate</w:t>
            </w:r>
          </w:p>
        </w:tc>
        <w:tc>
          <w:tcPr>
            <w:tcW w:w="681" w:type="pct"/>
            <w:vAlign w:val="center"/>
          </w:tcPr>
          <w:p w:rsidRPr="002C46E8" w:rsidR="00D520BD" w:rsidP="00C66988" w:rsidRDefault="00D520BD" w14:paraId="029A8E4A" w14:textId="58F66ED2">
            <w:pPr>
              <w:keepNext/>
              <w:keepLines/>
              <w:tabs>
                <w:tab w:val="left" w:pos="4260"/>
                <w:tab w:val="left" w:pos="5220"/>
              </w:tabs>
              <w:spacing w:before="3"/>
              <w:ind w:right="-14"/>
              <w:jc w:val="center"/>
              <w:rPr>
                <w:rFonts w:eastAsia="Arial"/>
                <w:sz w:val="16"/>
                <w:highlight w:val="green"/>
              </w:rPr>
            </w:pPr>
            <w:r w:rsidRPr="002C46E8">
              <w:rPr>
                <w:rFonts w:eastAsia="Arial"/>
                <w:sz w:val="16"/>
              </w:rPr>
              <w:t>0.0</w:t>
            </w:r>
            <w:r w:rsidRPr="002C46E8" w:rsidR="00FF600B">
              <w:rPr>
                <w:rFonts w:eastAsia="Arial"/>
                <w:sz w:val="16"/>
              </w:rPr>
              <w:t>6</w:t>
            </w:r>
            <w:r w:rsidRPr="002C46E8" w:rsidR="004B325C">
              <w:rPr>
                <w:rFonts w:eastAsia="Arial"/>
                <w:sz w:val="16"/>
              </w:rPr>
              <w:t>6</w:t>
            </w:r>
            <w:r w:rsidRPr="002C46E8">
              <w:rPr>
                <w:rFonts w:eastAsia="Arial"/>
                <w:sz w:val="16"/>
              </w:rPr>
              <w:t>%</w:t>
            </w:r>
          </w:p>
        </w:tc>
        <w:tc>
          <w:tcPr>
            <w:tcW w:w="2702" w:type="pct"/>
            <w:vAlign w:val="center"/>
          </w:tcPr>
          <w:p w:rsidRPr="002C46E8" w:rsidR="00D520BD" w:rsidP="00C66988" w:rsidRDefault="00D520BD" w14:paraId="7E51617B" w14:textId="77777777">
            <w:pPr>
              <w:keepNext/>
              <w:keepLines/>
              <w:tabs>
                <w:tab w:val="left" w:pos="4260"/>
                <w:tab w:val="left" w:pos="5220"/>
              </w:tabs>
              <w:spacing w:before="3"/>
              <w:ind w:right="-14"/>
              <w:rPr>
                <w:rFonts w:eastAsia="Arial"/>
                <w:sz w:val="16"/>
              </w:rPr>
            </w:pPr>
            <w:r w:rsidRPr="002C46E8">
              <w:rPr>
                <w:rFonts w:eastAsia="Arial"/>
                <w:sz w:val="16"/>
              </w:rPr>
              <w:t>NRC FFD Program Performance Results</w:t>
            </w:r>
          </w:p>
          <w:p w:rsidRPr="002C46E8" w:rsidR="00267C3A" w:rsidP="00C66988" w:rsidRDefault="00D520BD" w14:paraId="46F2D8EE" w14:textId="481A63E0">
            <w:pPr>
              <w:keepNext/>
              <w:keepLines/>
              <w:tabs>
                <w:tab w:val="left" w:pos="4260"/>
                <w:tab w:val="left" w:pos="5220"/>
              </w:tabs>
              <w:spacing w:before="3"/>
              <w:ind w:right="-14"/>
              <w:rPr>
                <w:rFonts w:eastAsia="Arial"/>
                <w:sz w:val="16"/>
              </w:rPr>
            </w:pPr>
            <w:r w:rsidRPr="002C46E8">
              <w:rPr>
                <w:rFonts w:eastAsia="Arial"/>
                <w:sz w:val="16"/>
              </w:rPr>
              <w:t>Average positive rate for amphetamines (CY</w:t>
            </w:r>
            <w:r w:rsidRPr="002C46E8" w:rsidR="00410CBE">
              <w:rPr>
                <w:rFonts w:eastAsia="Arial"/>
                <w:sz w:val="16"/>
              </w:rPr>
              <w:t>s</w:t>
            </w:r>
            <w:r w:rsidRPr="002C46E8">
              <w:rPr>
                <w:rFonts w:eastAsia="Arial"/>
                <w:sz w:val="16"/>
              </w:rPr>
              <w:t> 2010–201</w:t>
            </w:r>
            <w:r w:rsidRPr="002C46E8" w:rsidR="00DE0BFC">
              <w:rPr>
                <w:rFonts w:eastAsia="Arial"/>
                <w:sz w:val="16"/>
              </w:rPr>
              <w:t>9</w:t>
            </w:r>
            <w:r w:rsidRPr="002C46E8">
              <w:rPr>
                <w:rFonts w:eastAsia="Arial"/>
                <w:sz w:val="16"/>
              </w:rPr>
              <w:t>)</w:t>
            </w:r>
          </w:p>
          <w:p w:rsidRPr="002C46E8" w:rsidR="00D520BD" w:rsidP="00C66988" w:rsidRDefault="00D520BD" w14:paraId="13159929" w14:textId="4553973B">
            <w:pPr>
              <w:keepNext/>
              <w:keepLines/>
              <w:tabs>
                <w:tab w:val="left" w:pos="4260"/>
                <w:tab w:val="left" w:pos="5220"/>
              </w:tabs>
              <w:spacing w:before="3"/>
              <w:ind w:right="-14"/>
              <w:rPr>
                <w:rFonts w:eastAsia="Arial"/>
                <w:sz w:val="16"/>
              </w:rPr>
            </w:pPr>
            <w:r w:rsidRPr="002C46E8">
              <w:rPr>
                <w:rFonts w:eastAsia="Arial"/>
                <w:sz w:val="16"/>
              </w:rPr>
              <w:t>[2010 = 0.03</w:t>
            </w:r>
            <w:r w:rsidRPr="002C46E8" w:rsidR="00D224F7">
              <w:rPr>
                <w:rFonts w:eastAsia="Arial"/>
                <w:sz w:val="16"/>
              </w:rPr>
              <w:t>3</w:t>
            </w:r>
            <w:r w:rsidRPr="002C46E8">
              <w:rPr>
                <w:rFonts w:eastAsia="Arial"/>
                <w:sz w:val="16"/>
              </w:rPr>
              <w:t>%; 2011 = 0.048%; 2012 = 0.036%; 2013 = 0.05</w:t>
            </w:r>
            <w:r w:rsidRPr="002C46E8" w:rsidR="0036659D">
              <w:rPr>
                <w:rFonts w:eastAsia="Arial"/>
                <w:sz w:val="16"/>
              </w:rPr>
              <w:t>3</w:t>
            </w:r>
            <w:r w:rsidRPr="002C46E8">
              <w:rPr>
                <w:rFonts w:eastAsia="Arial"/>
                <w:sz w:val="16"/>
              </w:rPr>
              <w:t>%; 2014 = 0.067%</w:t>
            </w:r>
            <w:r w:rsidRPr="002C46E8" w:rsidR="00FF600B">
              <w:rPr>
                <w:rFonts w:eastAsia="Arial"/>
                <w:sz w:val="16"/>
              </w:rPr>
              <w:t>; 2015 = 0.067%; 2016</w:t>
            </w:r>
            <w:r w:rsidRPr="002C46E8" w:rsidR="00117B31">
              <w:rPr>
                <w:rFonts w:eastAsia="Arial"/>
                <w:sz w:val="16"/>
              </w:rPr>
              <w:t> </w:t>
            </w:r>
            <w:r w:rsidRPr="002C46E8" w:rsidR="00FF600B">
              <w:rPr>
                <w:rFonts w:eastAsia="Arial"/>
                <w:sz w:val="16"/>
              </w:rPr>
              <w:t>=</w:t>
            </w:r>
            <w:r w:rsidRPr="002C46E8" w:rsidR="00117B31">
              <w:rPr>
                <w:rFonts w:eastAsia="Arial"/>
                <w:sz w:val="16"/>
              </w:rPr>
              <w:t> </w:t>
            </w:r>
            <w:r w:rsidRPr="002C46E8" w:rsidR="00FF600B">
              <w:rPr>
                <w:rFonts w:eastAsia="Arial"/>
                <w:sz w:val="16"/>
              </w:rPr>
              <w:t>0.094%; 2017 = 0.095%; 2018 = 0.091%</w:t>
            </w:r>
            <w:r w:rsidRPr="002C46E8" w:rsidR="00DE0BFC">
              <w:rPr>
                <w:rFonts w:eastAsia="Arial"/>
                <w:sz w:val="16"/>
              </w:rPr>
              <w:t>, 2019 = 0.085%</w:t>
            </w:r>
            <w:r w:rsidRPr="002C46E8">
              <w:rPr>
                <w:rFonts w:eastAsia="Arial"/>
                <w:sz w:val="16"/>
              </w:rPr>
              <w:t>]</w:t>
            </w:r>
          </w:p>
        </w:tc>
      </w:tr>
      <w:tr w:rsidRPr="00260F01" w:rsidR="00D520BD" w:rsidTr="001416A2" w14:paraId="2FB25C33" w14:textId="77777777">
        <w:trPr>
          <w:cantSplit/>
        </w:trPr>
        <w:tc>
          <w:tcPr>
            <w:tcW w:w="1617" w:type="pct"/>
            <w:shd w:val="clear" w:color="auto" w:fill="auto"/>
            <w:tcMar>
              <w:left w:w="216" w:type="dxa"/>
            </w:tcMar>
            <w:vAlign w:val="center"/>
          </w:tcPr>
          <w:p w:rsidRPr="002C46E8" w:rsidR="00D520BD" w:rsidP="00982BD1" w:rsidRDefault="00D520BD" w14:paraId="51CB28BC" w14:textId="77777777">
            <w:pPr>
              <w:tabs>
                <w:tab w:val="left" w:pos="4260"/>
                <w:tab w:val="left" w:pos="5220"/>
              </w:tabs>
              <w:spacing w:before="3"/>
              <w:ind w:right="-20"/>
              <w:rPr>
                <w:rFonts w:eastAsia="Arial"/>
                <w:sz w:val="16"/>
              </w:rPr>
            </w:pPr>
            <w:r w:rsidRPr="002C46E8">
              <w:rPr>
                <w:rFonts w:eastAsia="Arial"/>
                <w:sz w:val="16"/>
              </w:rPr>
              <w:t>Projected percent increase in confirmed positive test rate</w:t>
            </w:r>
          </w:p>
        </w:tc>
        <w:tc>
          <w:tcPr>
            <w:tcW w:w="681" w:type="pct"/>
            <w:shd w:val="clear" w:color="auto" w:fill="auto"/>
            <w:vAlign w:val="center"/>
          </w:tcPr>
          <w:p w:rsidRPr="002C46E8" w:rsidR="00D520BD" w:rsidP="00982BD1" w:rsidRDefault="00D520BD" w14:paraId="79E698C6" w14:textId="6EE44025">
            <w:pPr>
              <w:tabs>
                <w:tab w:val="left" w:pos="4260"/>
                <w:tab w:val="left" w:pos="5220"/>
              </w:tabs>
              <w:spacing w:before="3"/>
              <w:ind w:right="-20"/>
              <w:jc w:val="center"/>
              <w:rPr>
                <w:rFonts w:eastAsia="Arial"/>
                <w:sz w:val="16"/>
              </w:rPr>
            </w:pPr>
            <w:r w:rsidRPr="002C46E8">
              <w:rPr>
                <w:rFonts w:eastAsia="Arial"/>
                <w:sz w:val="16"/>
              </w:rPr>
              <w:t>3</w:t>
            </w:r>
            <w:r w:rsidRPr="002C46E8" w:rsidR="00896660">
              <w:rPr>
                <w:rFonts w:eastAsia="Arial"/>
                <w:sz w:val="16"/>
              </w:rPr>
              <w:t>6</w:t>
            </w:r>
            <w:r w:rsidRPr="002C46E8">
              <w:rPr>
                <w:rFonts w:eastAsia="Arial"/>
                <w:sz w:val="16"/>
              </w:rPr>
              <w:t>.</w:t>
            </w:r>
            <w:r w:rsidRPr="002C46E8" w:rsidR="0000606E">
              <w:rPr>
                <w:rFonts w:eastAsia="Arial"/>
                <w:sz w:val="16"/>
              </w:rPr>
              <w:t>65</w:t>
            </w:r>
            <w:r w:rsidRPr="002C46E8">
              <w:rPr>
                <w:rFonts w:eastAsia="Arial"/>
                <w:sz w:val="16"/>
              </w:rPr>
              <w:t>%</w:t>
            </w:r>
          </w:p>
        </w:tc>
        <w:tc>
          <w:tcPr>
            <w:tcW w:w="2702" w:type="pct"/>
            <w:shd w:val="clear" w:color="auto" w:fill="auto"/>
            <w:vAlign w:val="center"/>
          </w:tcPr>
          <w:p w:rsidRPr="002C46E8" w:rsidR="00F23AC4" w:rsidP="009D1A6C" w:rsidRDefault="00D520BD" w14:paraId="26BB5E58" w14:textId="5CF448AF">
            <w:pPr>
              <w:tabs>
                <w:tab w:val="left" w:pos="4260"/>
                <w:tab w:val="left" w:pos="5220"/>
              </w:tabs>
              <w:spacing w:before="3"/>
              <w:ind w:right="-20"/>
              <w:rPr>
                <w:rFonts w:eastAsia="Arial"/>
                <w:sz w:val="16"/>
              </w:rPr>
            </w:pPr>
            <w:r w:rsidRPr="002C46E8">
              <w:rPr>
                <w:rFonts w:eastAsia="Arial"/>
                <w:sz w:val="16"/>
              </w:rPr>
              <w:t>MRO-verified test results for CY</w:t>
            </w:r>
            <w:r w:rsidRPr="002C46E8" w:rsidR="00760A64">
              <w:rPr>
                <w:rFonts w:eastAsia="Arial"/>
                <w:sz w:val="16"/>
              </w:rPr>
              <w:t>s</w:t>
            </w:r>
            <w:r w:rsidRPr="002C46E8">
              <w:rPr>
                <w:rFonts w:eastAsia="Arial"/>
                <w:sz w:val="16"/>
              </w:rPr>
              <w:t> 2010 and 2011 for DOT</w:t>
            </w:r>
            <w:r w:rsidRPr="002C46E8" w:rsidR="002D0334">
              <w:rPr>
                <w:rFonts w:eastAsia="Arial"/>
                <w:sz w:val="16"/>
              </w:rPr>
              <w:t xml:space="preserve"> </w:t>
            </w:r>
            <w:r w:rsidRPr="00260F01" w:rsidR="002D0334">
              <w:rPr>
                <w:rFonts w:eastAsia="Arial" w:cs="Arial"/>
                <w:sz w:val="16"/>
                <w:szCs w:val="16"/>
              </w:rPr>
              <w:t>modal administrations</w:t>
            </w:r>
            <w:r w:rsidRPr="00260F01">
              <w:rPr>
                <w:rFonts w:eastAsia="Arial" w:cs="Arial"/>
                <w:sz w:val="16"/>
                <w:szCs w:val="16"/>
              </w:rPr>
              <w:t xml:space="preserve"> </w:t>
            </w:r>
            <w:r w:rsidRPr="002C46E8">
              <w:rPr>
                <w:rFonts w:eastAsia="Arial"/>
                <w:sz w:val="16"/>
              </w:rPr>
              <w:t>(FAA</w:t>
            </w:r>
            <w:r w:rsidRPr="002C46E8" w:rsidR="00646A79">
              <w:rPr>
                <w:rFonts w:eastAsia="Arial"/>
                <w:sz w:val="16"/>
              </w:rPr>
              <w:t>,</w:t>
            </w:r>
            <w:r w:rsidRPr="002C46E8">
              <w:rPr>
                <w:rFonts w:eastAsia="Arial"/>
                <w:sz w:val="16"/>
              </w:rPr>
              <w:t xml:space="preserve"> FRA</w:t>
            </w:r>
            <w:r w:rsidRPr="002C46E8" w:rsidR="00646A79">
              <w:rPr>
                <w:rFonts w:eastAsia="Arial"/>
                <w:sz w:val="16"/>
              </w:rPr>
              <w:t>,</w:t>
            </w:r>
            <w:r w:rsidRPr="002C46E8">
              <w:rPr>
                <w:rFonts w:eastAsia="Arial"/>
                <w:sz w:val="16"/>
              </w:rPr>
              <w:t xml:space="preserve"> and FTA).  </w:t>
            </w:r>
            <w:r w:rsidRPr="002C46E8" w:rsidR="00893B17">
              <w:rPr>
                <w:rFonts w:eastAsia="Arial"/>
                <w:sz w:val="16"/>
              </w:rPr>
              <w:t>Change in average amphetamines positive rate for CY</w:t>
            </w:r>
            <w:r w:rsidRPr="002C46E8" w:rsidR="00CE1B59">
              <w:rPr>
                <w:rFonts w:eastAsia="Arial"/>
                <w:sz w:val="16"/>
              </w:rPr>
              <w:t> </w:t>
            </w:r>
            <w:r w:rsidRPr="002C46E8" w:rsidR="006C1EFC">
              <w:rPr>
                <w:rFonts w:eastAsia="Arial"/>
                <w:sz w:val="16"/>
              </w:rPr>
              <w:t>2011</w:t>
            </w:r>
            <w:r w:rsidRPr="002C46E8" w:rsidR="00893B17">
              <w:rPr>
                <w:rFonts w:eastAsia="Arial"/>
                <w:sz w:val="16"/>
              </w:rPr>
              <w:t>, using CY 201</w:t>
            </w:r>
            <w:r w:rsidRPr="002C46E8" w:rsidR="00B7163B">
              <w:rPr>
                <w:rFonts w:eastAsia="Arial"/>
                <w:sz w:val="16"/>
              </w:rPr>
              <w:t>0</w:t>
            </w:r>
            <w:r w:rsidRPr="002C46E8" w:rsidR="00893B17">
              <w:rPr>
                <w:rFonts w:eastAsia="Arial"/>
                <w:sz w:val="16"/>
              </w:rPr>
              <w:t xml:space="preserve"> as the baseline positive rate for comparison</w:t>
            </w:r>
            <w:r w:rsidRPr="002C46E8" w:rsidR="009D1A6C">
              <w:rPr>
                <w:rFonts w:eastAsia="Arial"/>
                <w:sz w:val="16"/>
              </w:rPr>
              <w:t xml:space="preserve"> (i.e., C</w:t>
            </w:r>
            <w:r w:rsidRPr="002C46E8" w:rsidR="00AB544D">
              <w:rPr>
                <w:rFonts w:eastAsia="Arial"/>
                <w:sz w:val="16"/>
              </w:rPr>
              <w:t xml:space="preserve">Y 2011 </w:t>
            </w:r>
            <w:r w:rsidRPr="002C46E8" w:rsidR="001970B4">
              <w:rPr>
                <w:rFonts w:eastAsia="Arial"/>
                <w:sz w:val="16"/>
              </w:rPr>
              <w:t xml:space="preserve">was the </w:t>
            </w:r>
            <w:r w:rsidRPr="002C46E8" w:rsidR="00AB544D">
              <w:rPr>
                <w:rFonts w:eastAsia="Arial"/>
                <w:sz w:val="16"/>
              </w:rPr>
              <w:t xml:space="preserve">first year </w:t>
            </w:r>
            <w:r w:rsidRPr="002C46E8" w:rsidR="00CE1B59">
              <w:rPr>
                <w:rFonts w:eastAsia="Arial"/>
                <w:sz w:val="16"/>
              </w:rPr>
              <w:t xml:space="preserve">of </w:t>
            </w:r>
            <w:r w:rsidRPr="002C46E8" w:rsidR="00E54E04">
              <w:rPr>
                <w:rFonts w:eastAsia="Arial"/>
                <w:sz w:val="16"/>
              </w:rPr>
              <w:t xml:space="preserve">lower </w:t>
            </w:r>
            <w:r w:rsidRPr="002C46E8" w:rsidR="00CE1B59">
              <w:rPr>
                <w:rFonts w:eastAsia="Arial"/>
                <w:sz w:val="16"/>
              </w:rPr>
              <w:t xml:space="preserve">amphetamines testing </w:t>
            </w:r>
            <w:r w:rsidRPr="002C46E8" w:rsidR="00E54E04">
              <w:rPr>
                <w:rFonts w:eastAsia="Arial"/>
                <w:sz w:val="16"/>
              </w:rPr>
              <w:t>cutoff</w:t>
            </w:r>
            <w:r w:rsidRPr="002C46E8" w:rsidR="00CE1B59">
              <w:rPr>
                <w:rFonts w:eastAsia="Arial"/>
                <w:sz w:val="16"/>
              </w:rPr>
              <w:t xml:space="preserve"> levels</w:t>
            </w:r>
            <w:r w:rsidRPr="002C46E8" w:rsidR="009D1A6C">
              <w:rPr>
                <w:rFonts w:eastAsia="Arial"/>
                <w:sz w:val="16"/>
              </w:rPr>
              <w:t>).</w:t>
            </w:r>
          </w:p>
          <w:p w:rsidRPr="002C46E8" w:rsidR="00F23AC4" w:rsidP="00982BD1" w:rsidRDefault="00F23AC4" w14:paraId="2D101130" w14:textId="77777777">
            <w:pPr>
              <w:keepNext/>
              <w:tabs>
                <w:tab w:val="left" w:pos="4260"/>
                <w:tab w:val="left" w:pos="5220"/>
              </w:tabs>
              <w:spacing w:before="3"/>
              <w:ind w:right="-14"/>
              <w:rPr>
                <w:rFonts w:eastAsia="Arial"/>
                <w:sz w:val="16"/>
              </w:rPr>
            </w:pPr>
          </w:p>
          <w:p w:rsidRPr="002C46E8" w:rsidR="00D520BD" w:rsidP="00982BD1" w:rsidRDefault="00D520BD" w14:paraId="33D5E4AC" w14:textId="0F81E627">
            <w:pPr>
              <w:keepNext/>
              <w:tabs>
                <w:tab w:val="left" w:pos="4260"/>
                <w:tab w:val="left" w:pos="5220"/>
              </w:tabs>
              <w:spacing w:before="3"/>
              <w:ind w:right="-14"/>
              <w:rPr>
                <w:rFonts w:eastAsia="Arial"/>
                <w:sz w:val="16"/>
              </w:rPr>
            </w:pPr>
            <w:r w:rsidRPr="002C46E8">
              <w:rPr>
                <w:rFonts w:eastAsia="Arial"/>
                <w:sz w:val="16"/>
              </w:rPr>
              <w:t>[</w:t>
            </w:r>
            <w:r w:rsidRPr="002C46E8" w:rsidR="00097382">
              <w:rPr>
                <w:rFonts w:eastAsia="Arial"/>
                <w:sz w:val="16"/>
              </w:rPr>
              <w:t>Amphetamines a</w:t>
            </w:r>
            <w:r w:rsidRPr="002C46E8">
              <w:rPr>
                <w:rFonts w:eastAsia="Arial"/>
                <w:sz w:val="16"/>
              </w:rPr>
              <w:t>verage positive rate:</w:t>
            </w:r>
            <w:r w:rsidRPr="002C46E8" w:rsidR="002D0334">
              <w:rPr>
                <w:rFonts w:eastAsia="Arial"/>
                <w:sz w:val="16"/>
              </w:rPr>
              <w:t xml:space="preserve"> </w:t>
            </w:r>
            <w:r w:rsidRPr="00260F01" w:rsidR="00CE1B59">
              <w:rPr>
                <w:rFonts w:eastAsia="Arial" w:cs="Arial"/>
                <w:sz w:val="16"/>
                <w:szCs w:val="16"/>
              </w:rPr>
              <w:t xml:space="preserve"> </w:t>
            </w:r>
            <w:r w:rsidRPr="002C46E8">
              <w:rPr>
                <w:rFonts w:eastAsia="Arial"/>
                <w:sz w:val="16"/>
              </w:rPr>
              <w:t xml:space="preserve">2010 = 0.057%; 2011 = 0.080%] </w:t>
            </w:r>
          </w:p>
        </w:tc>
      </w:tr>
      <w:tr w:rsidRPr="00260F01" w:rsidR="00D520BD" w:rsidTr="001416A2" w14:paraId="0363C6A6" w14:textId="77777777">
        <w:trPr>
          <w:cantSplit/>
          <w:trHeight w:val="867"/>
        </w:trPr>
        <w:tc>
          <w:tcPr>
            <w:tcW w:w="1617" w:type="pct"/>
            <w:shd w:val="clear" w:color="auto" w:fill="auto"/>
            <w:tcMar>
              <w:left w:w="216" w:type="dxa"/>
            </w:tcMar>
            <w:vAlign w:val="center"/>
          </w:tcPr>
          <w:p w:rsidRPr="002C46E8" w:rsidR="00D520BD" w:rsidP="00982BD1" w:rsidRDefault="00D520BD" w14:paraId="6887CF77" w14:textId="77777777">
            <w:pPr>
              <w:tabs>
                <w:tab w:val="left" w:pos="4260"/>
                <w:tab w:val="left" w:pos="5220"/>
              </w:tabs>
              <w:spacing w:before="3"/>
              <w:ind w:right="-20"/>
              <w:rPr>
                <w:rFonts w:eastAsia="Arial"/>
                <w:sz w:val="16"/>
              </w:rPr>
            </w:pPr>
            <w:r w:rsidRPr="00260F01">
              <w:rPr>
                <w:sz w:val="16"/>
              </w:rPr>
              <w:t>Projected percentage of additional positive results that will confirm positive after MRO interview with donor</w:t>
            </w:r>
          </w:p>
        </w:tc>
        <w:tc>
          <w:tcPr>
            <w:tcW w:w="681" w:type="pct"/>
            <w:shd w:val="clear" w:color="auto" w:fill="auto"/>
            <w:vAlign w:val="center"/>
          </w:tcPr>
          <w:p w:rsidRPr="002C46E8" w:rsidR="00D520BD" w:rsidP="00982BD1" w:rsidRDefault="00D520BD" w14:paraId="3D2EF840" w14:textId="59ABD0AF">
            <w:pPr>
              <w:tabs>
                <w:tab w:val="left" w:pos="4260"/>
                <w:tab w:val="left" w:pos="5220"/>
              </w:tabs>
              <w:spacing w:before="3"/>
              <w:ind w:right="-20"/>
              <w:jc w:val="center"/>
              <w:rPr>
                <w:rFonts w:eastAsia="Arial"/>
                <w:sz w:val="16"/>
              </w:rPr>
            </w:pPr>
            <w:r w:rsidRPr="00260F01">
              <w:rPr>
                <w:sz w:val="16"/>
              </w:rPr>
              <w:t>7</w:t>
            </w:r>
            <w:r w:rsidRPr="00260F01" w:rsidR="0000606E">
              <w:rPr>
                <w:sz w:val="16"/>
              </w:rPr>
              <w:t>1</w:t>
            </w:r>
            <w:r w:rsidRPr="00260F01">
              <w:rPr>
                <w:sz w:val="16"/>
              </w:rPr>
              <w:t>%</w:t>
            </w:r>
          </w:p>
        </w:tc>
        <w:tc>
          <w:tcPr>
            <w:tcW w:w="2702" w:type="pct"/>
            <w:shd w:val="clear" w:color="auto" w:fill="auto"/>
            <w:vAlign w:val="center"/>
          </w:tcPr>
          <w:p w:rsidRPr="002C46E8" w:rsidR="00D520BD" w:rsidP="00982BD1" w:rsidRDefault="00D520BD" w14:paraId="4DF677EE" w14:textId="62E66107">
            <w:pPr>
              <w:tabs>
                <w:tab w:val="left" w:pos="4260"/>
                <w:tab w:val="left" w:pos="5220"/>
              </w:tabs>
              <w:spacing w:before="3"/>
              <w:ind w:right="-20"/>
              <w:rPr>
                <w:rFonts w:eastAsia="Arial"/>
                <w:sz w:val="16"/>
              </w:rPr>
            </w:pPr>
            <w:r w:rsidRPr="00260F01">
              <w:rPr>
                <w:sz w:val="16"/>
              </w:rPr>
              <w:t xml:space="preserve">NRC staff assumption based on FFD </w:t>
            </w:r>
            <w:r w:rsidRPr="00260F01" w:rsidR="00902C79">
              <w:rPr>
                <w:sz w:val="16"/>
              </w:rPr>
              <w:t>P</w:t>
            </w:r>
            <w:r w:rsidRPr="00260F01">
              <w:rPr>
                <w:sz w:val="16"/>
              </w:rPr>
              <w:t xml:space="preserve">rogram </w:t>
            </w:r>
            <w:r w:rsidRPr="00260F01" w:rsidR="00902C79">
              <w:rPr>
                <w:sz w:val="16"/>
              </w:rPr>
              <w:t>P</w:t>
            </w:r>
            <w:r w:rsidRPr="00260F01">
              <w:rPr>
                <w:sz w:val="16"/>
              </w:rPr>
              <w:t xml:space="preserve">erformance </w:t>
            </w:r>
            <w:r w:rsidRPr="00260F01" w:rsidR="00936ED2">
              <w:rPr>
                <w:sz w:val="16"/>
              </w:rPr>
              <w:t>R</w:t>
            </w:r>
            <w:r w:rsidRPr="00260F01" w:rsidR="002E0027">
              <w:rPr>
                <w:sz w:val="16"/>
              </w:rPr>
              <w:t>esults</w:t>
            </w:r>
            <w:r w:rsidRPr="00260F01">
              <w:rPr>
                <w:sz w:val="16"/>
              </w:rPr>
              <w:t xml:space="preserve"> on amphetamine and methamphetamine positive results</w:t>
            </w:r>
          </w:p>
        </w:tc>
      </w:tr>
      <w:tr w:rsidRPr="00260F01" w:rsidR="0098630A" w:rsidTr="001416A2" w14:paraId="3AE19E12" w14:textId="77777777">
        <w:trPr>
          <w:cantSplit/>
          <w:trHeight w:val="561"/>
        </w:trPr>
        <w:tc>
          <w:tcPr>
            <w:tcW w:w="1617" w:type="pct"/>
            <w:shd w:val="clear" w:color="auto" w:fill="auto"/>
            <w:tcMar>
              <w:left w:w="216" w:type="dxa"/>
            </w:tcMar>
            <w:vAlign w:val="center"/>
          </w:tcPr>
          <w:p w:rsidRPr="00260F01" w:rsidR="0098630A" w:rsidP="00982BD1" w:rsidRDefault="000677D5" w14:paraId="6308AB8B" w14:textId="7D865F9A">
            <w:pPr>
              <w:tabs>
                <w:tab w:val="left" w:pos="4260"/>
                <w:tab w:val="left" w:pos="5220"/>
              </w:tabs>
              <w:spacing w:before="3"/>
              <w:ind w:right="-20"/>
              <w:rPr>
                <w:sz w:val="16"/>
              </w:rPr>
            </w:pPr>
            <w:r w:rsidRPr="00260F01">
              <w:rPr>
                <w:sz w:val="16"/>
              </w:rPr>
              <w:t>Projected percentage of additional positive results that will be negative after MRO interview with donor</w:t>
            </w:r>
          </w:p>
        </w:tc>
        <w:tc>
          <w:tcPr>
            <w:tcW w:w="681" w:type="pct"/>
            <w:shd w:val="clear" w:color="auto" w:fill="auto"/>
            <w:vAlign w:val="center"/>
          </w:tcPr>
          <w:p w:rsidRPr="00260F01" w:rsidR="0098630A" w:rsidP="00982BD1" w:rsidRDefault="000677D5" w14:paraId="5EA9E9A8" w14:textId="17BF1047">
            <w:pPr>
              <w:tabs>
                <w:tab w:val="left" w:pos="4260"/>
                <w:tab w:val="left" w:pos="5220"/>
              </w:tabs>
              <w:spacing w:before="3"/>
              <w:ind w:right="-20"/>
              <w:jc w:val="center"/>
              <w:rPr>
                <w:sz w:val="16"/>
              </w:rPr>
            </w:pPr>
            <w:r w:rsidRPr="00260F01">
              <w:rPr>
                <w:sz w:val="16"/>
              </w:rPr>
              <w:t>29%</w:t>
            </w:r>
          </w:p>
        </w:tc>
        <w:tc>
          <w:tcPr>
            <w:tcW w:w="2702" w:type="pct"/>
            <w:shd w:val="clear" w:color="auto" w:fill="auto"/>
            <w:vAlign w:val="center"/>
          </w:tcPr>
          <w:p w:rsidRPr="00260F01" w:rsidR="0098630A" w:rsidP="00982BD1" w:rsidRDefault="000677D5" w14:paraId="3775BD08" w14:textId="33BABD68">
            <w:pPr>
              <w:tabs>
                <w:tab w:val="left" w:pos="4260"/>
                <w:tab w:val="left" w:pos="5220"/>
              </w:tabs>
              <w:spacing w:before="3"/>
              <w:ind w:right="-20"/>
              <w:rPr>
                <w:sz w:val="16"/>
              </w:rPr>
            </w:pPr>
            <w:r w:rsidRPr="00260F01">
              <w:rPr>
                <w:sz w:val="16"/>
              </w:rPr>
              <w:t>NRC staff assumption</w:t>
            </w:r>
          </w:p>
        </w:tc>
      </w:tr>
      <w:tr w:rsidRPr="00260F01" w:rsidR="00D520BD" w:rsidTr="00982BD1" w14:paraId="15C9229E" w14:textId="77777777">
        <w:trPr>
          <w:cantSplit/>
        </w:trPr>
        <w:tc>
          <w:tcPr>
            <w:tcW w:w="5000" w:type="pct"/>
            <w:gridSpan w:val="3"/>
            <w:vAlign w:val="center"/>
          </w:tcPr>
          <w:p w:rsidRPr="002C46E8" w:rsidR="00D520BD" w:rsidP="00982BD1" w:rsidRDefault="00D520BD" w14:paraId="25C871F9" w14:textId="77777777">
            <w:pPr>
              <w:tabs>
                <w:tab w:val="left" w:pos="4260"/>
                <w:tab w:val="left" w:pos="5220"/>
              </w:tabs>
              <w:spacing w:before="3"/>
              <w:ind w:right="-20"/>
              <w:rPr>
                <w:rFonts w:eastAsia="Arial"/>
                <w:i/>
                <w:sz w:val="16"/>
              </w:rPr>
            </w:pPr>
            <w:r w:rsidRPr="002C46E8">
              <w:rPr>
                <w:rFonts w:eastAsia="Arial"/>
                <w:i/>
                <w:sz w:val="16"/>
              </w:rPr>
              <w:t>Cocaine</w:t>
            </w:r>
          </w:p>
        </w:tc>
      </w:tr>
      <w:tr w:rsidRPr="00260F01" w:rsidR="00D520BD" w:rsidTr="001416A2" w14:paraId="61840409" w14:textId="77777777">
        <w:trPr>
          <w:cantSplit/>
        </w:trPr>
        <w:tc>
          <w:tcPr>
            <w:tcW w:w="1617" w:type="pct"/>
            <w:tcMar>
              <w:left w:w="216" w:type="dxa"/>
            </w:tcMar>
            <w:vAlign w:val="center"/>
          </w:tcPr>
          <w:p w:rsidRPr="002C46E8" w:rsidR="00D520BD" w:rsidP="00982BD1" w:rsidRDefault="00D520BD" w14:paraId="6041D3F9" w14:textId="77777777">
            <w:pPr>
              <w:tabs>
                <w:tab w:val="left" w:pos="4260"/>
                <w:tab w:val="left" w:pos="5220"/>
              </w:tabs>
              <w:spacing w:before="3"/>
              <w:ind w:right="-20"/>
              <w:rPr>
                <w:rFonts w:eastAsia="Arial"/>
                <w:sz w:val="16"/>
              </w:rPr>
            </w:pPr>
            <w:r w:rsidRPr="002C46E8">
              <w:rPr>
                <w:rFonts w:eastAsia="Arial"/>
                <w:sz w:val="16"/>
              </w:rPr>
              <w:t>FFD current confirmed positive test rate</w:t>
            </w:r>
          </w:p>
        </w:tc>
        <w:tc>
          <w:tcPr>
            <w:tcW w:w="681" w:type="pct"/>
            <w:vAlign w:val="center"/>
          </w:tcPr>
          <w:p w:rsidRPr="002C46E8" w:rsidR="00D520BD" w:rsidP="00982BD1" w:rsidRDefault="00D520BD" w14:paraId="586DE9B9" w14:textId="69C63ECE">
            <w:pPr>
              <w:tabs>
                <w:tab w:val="left" w:pos="4260"/>
                <w:tab w:val="left" w:pos="5220"/>
              </w:tabs>
              <w:spacing w:before="3"/>
              <w:ind w:right="-20"/>
              <w:jc w:val="center"/>
              <w:rPr>
                <w:rFonts w:eastAsia="Arial"/>
                <w:sz w:val="16"/>
              </w:rPr>
            </w:pPr>
            <w:r w:rsidRPr="002C46E8">
              <w:rPr>
                <w:rFonts w:eastAsia="Arial"/>
                <w:sz w:val="16"/>
              </w:rPr>
              <w:t>0.0</w:t>
            </w:r>
            <w:r w:rsidRPr="002C46E8" w:rsidR="00FF600B">
              <w:rPr>
                <w:rFonts w:eastAsia="Arial"/>
                <w:sz w:val="16"/>
              </w:rPr>
              <w:t>8</w:t>
            </w:r>
            <w:r w:rsidRPr="002C46E8" w:rsidR="00514418">
              <w:rPr>
                <w:rFonts w:eastAsia="Arial"/>
                <w:sz w:val="16"/>
              </w:rPr>
              <w:t>3</w:t>
            </w:r>
            <w:r w:rsidRPr="002C46E8">
              <w:rPr>
                <w:rFonts w:eastAsia="Arial"/>
                <w:sz w:val="16"/>
              </w:rPr>
              <w:t>%</w:t>
            </w:r>
          </w:p>
        </w:tc>
        <w:tc>
          <w:tcPr>
            <w:tcW w:w="2702" w:type="pct"/>
            <w:vAlign w:val="center"/>
          </w:tcPr>
          <w:p w:rsidRPr="002C46E8" w:rsidR="00D520BD" w:rsidP="00982BD1" w:rsidRDefault="00D520BD" w14:paraId="0BAC3820" w14:textId="77777777">
            <w:pPr>
              <w:tabs>
                <w:tab w:val="left" w:pos="4260"/>
                <w:tab w:val="left" w:pos="5220"/>
              </w:tabs>
              <w:spacing w:before="3"/>
              <w:ind w:right="-20"/>
              <w:rPr>
                <w:rFonts w:eastAsia="Arial"/>
                <w:sz w:val="16"/>
              </w:rPr>
            </w:pPr>
            <w:r w:rsidRPr="002C46E8">
              <w:rPr>
                <w:rFonts w:eastAsia="Arial"/>
                <w:sz w:val="16"/>
              </w:rPr>
              <w:t>NRC FFD Program Performance Results</w:t>
            </w:r>
          </w:p>
          <w:p w:rsidRPr="002C46E8" w:rsidR="00D520BD" w:rsidP="00982BD1" w:rsidRDefault="00D520BD" w14:paraId="68F1D5E6" w14:textId="1E73EAA8">
            <w:pPr>
              <w:tabs>
                <w:tab w:val="left" w:pos="4260"/>
                <w:tab w:val="left" w:pos="5220"/>
              </w:tabs>
              <w:spacing w:before="3"/>
              <w:ind w:right="-20"/>
              <w:rPr>
                <w:rFonts w:eastAsia="Arial"/>
                <w:sz w:val="16"/>
              </w:rPr>
            </w:pPr>
            <w:r w:rsidRPr="002C46E8">
              <w:rPr>
                <w:rFonts w:eastAsia="Arial"/>
                <w:sz w:val="16"/>
              </w:rPr>
              <w:t>Average positive rate for cocaine (CY</w:t>
            </w:r>
            <w:r w:rsidRPr="002C46E8" w:rsidR="00E0277F">
              <w:rPr>
                <w:rFonts w:eastAsia="Arial"/>
                <w:sz w:val="16"/>
              </w:rPr>
              <w:t>s</w:t>
            </w:r>
            <w:r w:rsidRPr="002C46E8">
              <w:rPr>
                <w:rFonts w:eastAsia="Arial"/>
                <w:sz w:val="16"/>
              </w:rPr>
              <w:t> 2010–201</w:t>
            </w:r>
            <w:r w:rsidRPr="002C46E8" w:rsidR="0060425B">
              <w:rPr>
                <w:rFonts w:eastAsia="Arial"/>
                <w:sz w:val="16"/>
              </w:rPr>
              <w:t>9</w:t>
            </w:r>
            <w:r w:rsidRPr="002C46E8">
              <w:rPr>
                <w:rFonts w:eastAsia="Arial"/>
                <w:sz w:val="16"/>
              </w:rPr>
              <w:t>)</w:t>
            </w:r>
          </w:p>
          <w:p w:rsidRPr="002C46E8" w:rsidR="00D520BD" w:rsidP="00982BD1" w:rsidRDefault="0044521B" w14:paraId="20A7D430" w14:textId="3C08A299">
            <w:pPr>
              <w:tabs>
                <w:tab w:val="left" w:pos="4260"/>
                <w:tab w:val="left" w:pos="5220"/>
              </w:tabs>
              <w:spacing w:before="3"/>
              <w:ind w:right="-20"/>
              <w:rPr>
                <w:rFonts w:eastAsia="Arial"/>
                <w:sz w:val="16"/>
              </w:rPr>
            </w:pPr>
            <w:r w:rsidRPr="002C46E8">
              <w:rPr>
                <w:rFonts w:eastAsia="Arial"/>
                <w:sz w:val="16"/>
              </w:rPr>
              <w:t>[2010 = 0.07</w:t>
            </w:r>
            <w:r w:rsidRPr="002C46E8" w:rsidR="00360A25">
              <w:rPr>
                <w:rFonts w:eastAsia="Arial"/>
                <w:sz w:val="16"/>
              </w:rPr>
              <w:t>6</w:t>
            </w:r>
            <w:r w:rsidRPr="002C46E8">
              <w:rPr>
                <w:rFonts w:eastAsia="Arial"/>
                <w:sz w:val="16"/>
              </w:rPr>
              <w:t>%; 2011 = 0.071%; 2012 = 0.075%; 2013 = 0.077%, 2014 = 0.064%; 2015 = 0.094%;  2016 = 0.100%, 2017 = 0.104%; 2018 = 0.089%; 2019 = 0.077%]</w:t>
            </w:r>
          </w:p>
        </w:tc>
      </w:tr>
      <w:tr w:rsidRPr="00260F01" w:rsidR="00D520BD" w:rsidTr="001416A2" w14:paraId="316C2751" w14:textId="77777777">
        <w:trPr>
          <w:cantSplit/>
          <w:trHeight w:val="777"/>
        </w:trPr>
        <w:tc>
          <w:tcPr>
            <w:tcW w:w="1617" w:type="pct"/>
            <w:tcMar>
              <w:left w:w="216" w:type="dxa"/>
            </w:tcMar>
            <w:vAlign w:val="center"/>
          </w:tcPr>
          <w:p w:rsidRPr="002C46E8" w:rsidR="00D520BD" w:rsidP="00982BD1" w:rsidRDefault="00D520BD" w14:paraId="209BBBDE" w14:textId="77777777">
            <w:pPr>
              <w:tabs>
                <w:tab w:val="left" w:pos="4260"/>
                <w:tab w:val="left" w:pos="5220"/>
              </w:tabs>
              <w:spacing w:before="3"/>
              <w:ind w:right="-14"/>
              <w:rPr>
                <w:rFonts w:eastAsia="Arial"/>
                <w:sz w:val="16"/>
              </w:rPr>
            </w:pPr>
            <w:r w:rsidRPr="002C46E8">
              <w:rPr>
                <w:rFonts w:eastAsia="Arial"/>
                <w:sz w:val="16"/>
              </w:rPr>
              <w:t>Projected percent increase in confirmed positive test rate</w:t>
            </w:r>
          </w:p>
        </w:tc>
        <w:tc>
          <w:tcPr>
            <w:tcW w:w="681" w:type="pct"/>
            <w:vAlign w:val="center"/>
          </w:tcPr>
          <w:p w:rsidRPr="002C46E8" w:rsidR="00D520BD" w:rsidP="00982BD1" w:rsidRDefault="002346E2" w14:paraId="1182EB06" w14:textId="6F61004B">
            <w:pPr>
              <w:tabs>
                <w:tab w:val="left" w:pos="4260"/>
                <w:tab w:val="left" w:pos="5220"/>
              </w:tabs>
              <w:spacing w:before="3"/>
              <w:ind w:right="-20"/>
              <w:jc w:val="center"/>
              <w:rPr>
                <w:rFonts w:eastAsia="Arial"/>
                <w:sz w:val="16"/>
              </w:rPr>
            </w:pPr>
            <w:r w:rsidRPr="002C46E8">
              <w:rPr>
                <w:rFonts w:eastAsia="Arial"/>
                <w:sz w:val="16"/>
              </w:rPr>
              <w:t>19.66</w:t>
            </w:r>
            <w:r w:rsidRPr="002C46E8" w:rsidR="00D520BD">
              <w:rPr>
                <w:rFonts w:eastAsia="Arial"/>
                <w:sz w:val="16"/>
              </w:rPr>
              <w:t>%</w:t>
            </w:r>
          </w:p>
        </w:tc>
        <w:tc>
          <w:tcPr>
            <w:tcW w:w="2702" w:type="pct"/>
            <w:vAlign w:val="center"/>
          </w:tcPr>
          <w:p w:rsidRPr="002C46E8" w:rsidR="008841CF" w:rsidP="00982BD1" w:rsidRDefault="00D520BD" w14:paraId="01AF692E" w14:textId="7B6E324D">
            <w:pPr>
              <w:tabs>
                <w:tab w:val="left" w:pos="4260"/>
                <w:tab w:val="left" w:pos="5220"/>
              </w:tabs>
              <w:ind w:right="-14"/>
              <w:rPr>
                <w:rFonts w:eastAsia="Arial"/>
                <w:sz w:val="16"/>
              </w:rPr>
            </w:pPr>
            <w:r w:rsidRPr="002C46E8">
              <w:rPr>
                <w:rFonts w:eastAsia="Arial"/>
                <w:sz w:val="16"/>
              </w:rPr>
              <w:t>MRO-verified test results for CY</w:t>
            </w:r>
            <w:r w:rsidRPr="002C46E8" w:rsidR="00E0277F">
              <w:rPr>
                <w:rFonts w:eastAsia="Arial"/>
                <w:sz w:val="16"/>
              </w:rPr>
              <w:t>s</w:t>
            </w:r>
            <w:r w:rsidRPr="002C46E8">
              <w:rPr>
                <w:rFonts w:eastAsia="Arial"/>
                <w:sz w:val="16"/>
              </w:rPr>
              <w:t xml:space="preserve"> 2010 and 2011 for DOT </w:t>
            </w:r>
            <w:r w:rsidRPr="00260F01" w:rsidR="00AA5F72">
              <w:rPr>
                <w:rFonts w:eastAsia="Arial" w:cs="Arial"/>
                <w:sz w:val="16"/>
                <w:szCs w:val="16"/>
              </w:rPr>
              <w:t xml:space="preserve">modal administrations </w:t>
            </w:r>
            <w:r w:rsidRPr="002C46E8">
              <w:rPr>
                <w:rFonts w:eastAsia="Arial"/>
                <w:sz w:val="16"/>
              </w:rPr>
              <w:t>(FAA</w:t>
            </w:r>
            <w:r w:rsidRPr="002C46E8" w:rsidR="00646A79">
              <w:rPr>
                <w:rFonts w:eastAsia="Arial"/>
                <w:sz w:val="16"/>
              </w:rPr>
              <w:t>,</w:t>
            </w:r>
            <w:r w:rsidRPr="002C46E8">
              <w:rPr>
                <w:rFonts w:eastAsia="Arial"/>
                <w:sz w:val="16"/>
              </w:rPr>
              <w:t xml:space="preserve"> FRA</w:t>
            </w:r>
            <w:r w:rsidRPr="002C46E8" w:rsidR="00646A79">
              <w:rPr>
                <w:rFonts w:eastAsia="Arial"/>
                <w:sz w:val="16"/>
              </w:rPr>
              <w:t>,</w:t>
            </w:r>
            <w:r w:rsidRPr="002C46E8">
              <w:rPr>
                <w:rFonts w:eastAsia="Arial"/>
                <w:sz w:val="16"/>
              </w:rPr>
              <w:t xml:space="preserve"> and FTA).  Change in average cocaine positive rate for CY 2011</w:t>
            </w:r>
            <w:r w:rsidRPr="002C46E8" w:rsidR="00646A79">
              <w:rPr>
                <w:rFonts w:eastAsia="Arial"/>
                <w:sz w:val="16"/>
              </w:rPr>
              <w:t>,</w:t>
            </w:r>
            <w:r w:rsidRPr="002C46E8">
              <w:rPr>
                <w:rFonts w:eastAsia="Arial"/>
                <w:sz w:val="16"/>
              </w:rPr>
              <w:t xml:space="preserve"> using CY 2010 as the baseline year for comparison </w:t>
            </w:r>
            <w:r w:rsidRPr="002C46E8" w:rsidR="000C1656">
              <w:rPr>
                <w:rFonts w:eastAsia="Arial"/>
                <w:sz w:val="16"/>
              </w:rPr>
              <w:t xml:space="preserve">(i.e., </w:t>
            </w:r>
            <w:r w:rsidRPr="002C46E8" w:rsidR="00F23AC4">
              <w:rPr>
                <w:rFonts w:eastAsia="Arial"/>
                <w:sz w:val="16"/>
              </w:rPr>
              <w:t xml:space="preserve">CY 2011 </w:t>
            </w:r>
            <w:r w:rsidRPr="002C46E8" w:rsidR="00A9348D">
              <w:rPr>
                <w:rFonts w:eastAsia="Arial"/>
                <w:sz w:val="16"/>
              </w:rPr>
              <w:t xml:space="preserve">was the </w:t>
            </w:r>
            <w:r w:rsidRPr="002C46E8" w:rsidR="00F23AC4">
              <w:rPr>
                <w:rFonts w:eastAsia="Arial"/>
                <w:sz w:val="16"/>
              </w:rPr>
              <w:t>first year of lower cocaine testing cutoff levels</w:t>
            </w:r>
            <w:r w:rsidRPr="002C46E8" w:rsidR="000C1656">
              <w:rPr>
                <w:rFonts w:eastAsia="Arial"/>
                <w:sz w:val="16"/>
              </w:rPr>
              <w:t>)</w:t>
            </w:r>
            <w:r w:rsidRPr="002C46E8" w:rsidR="00F23AC4">
              <w:rPr>
                <w:rFonts w:eastAsia="Arial"/>
                <w:sz w:val="16"/>
              </w:rPr>
              <w:t>.</w:t>
            </w:r>
          </w:p>
          <w:p w:rsidRPr="002C46E8" w:rsidR="008841CF" w:rsidP="00982BD1" w:rsidRDefault="008841CF" w14:paraId="05177F92" w14:textId="77777777">
            <w:pPr>
              <w:tabs>
                <w:tab w:val="left" w:pos="4260"/>
                <w:tab w:val="left" w:pos="5220"/>
              </w:tabs>
              <w:ind w:right="-14"/>
              <w:rPr>
                <w:rFonts w:eastAsia="Arial"/>
                <w:sz w:val="16"/>
              </w:rPr>
            </w:pPr>
          </w:p>
          <w:p w:rsidRPr="002C46E8" w:rsidR="00D520BD" w:rsidP="00982BD1" w:rsidRDefault="00D520BD" w14:paraId="667F0192" w14:textId="1E046C28">
            <w:pPr>
              <w:tabs>
                <w:tab w:val="left" w:pos="4260"/>
                <w:tab w:val="left" w:pos="5220"/>
              </w:tabs>
              <w:ind w:right="-14"/>
              <w:rPr>
                <w:rFonts w:eastAsia="Arial"/>
                <w:sz w:val="16"/>
              </w:rPr>
            </w:pPr>
            <w:r w:rsidRPr="002C46E8">
              <w:rPr>
                <w:rFonts w:eastAsia="Arial"/>
                <w:sz w:val="16"/>
              </w:rPr>
              <w:t>[</w:t>
            </w:r>
            <w:r w:rsidRPr="002C46E8" w:rsidR="00097382">
              <w:rPr>
                <w:rFonts w:eastAsia="Arial"/>
                <w:sz w:val="16"/>
              </w:rPr>
              <w:t>Cocaine a</w:t>
            </w:r>
            <w:r w:rsidRPr="002C46E8">
              <w:rPr>
                <w:rFonts w:eastAsia="Arial"/>
                <w:sz w:val="16"/>
              </w:rPr>
              <w:t xml:space="preserve">verage positive rate: </w:t>
            </w:r>
            <w:r w:rsidRPr="002C46E8" w:rsidR="004A01FD">
              <w:rPr>
                <w:rFonts w:eastAsia="Arial"/>
                <w:sz w:val="16"/>
              </w:rPr>
              <w:t xml:space="preserve"> </w:t>
            </w:r>
            <w:r w:rsidRPr="002C46E8">
              <w:rPr>
                <w:rFonts w:eastAsia="Arial"/>
                <w:sz w:val="16"/>
              </w:rPr>
              <w:t>2010 = 0.175%; 2011 = 0.207%]</w:t>
            </w:r>
          </w:p>
        </w:tc>
      </w:tr>
      <w:tr w:rsidRPr="00260F01" w:rsidR="00D520BD" w:rsidTr="00982BD1" w14:paraId="63DC9F02" w14:textId="77777777">
        <w:trPr>
          <w:cantSplit/>
        </w:trPr>
        <w:tc>
          <w:tcPr>
            <w:tcW w:w="5000" w:type="pct"/>
            <w:gridSpan w:val="3"/>
            <w:shd w:val="clear" w:color="auto" w:fill="FFFFFF" w:themeFill="background1"/>
            <w:vAlign w:val="center"/>
          </w:tcPr>
          <w:p w:rsidRPr="002C46E8" w:rsidR="00D520BD" w:rsidP="00427A8C" w:rsidRDefault="00D520BD" w14:paraId="1D2D09C5" w14:textId="34988F07">
            <w:pPr>
              <w:keepNext/>
              <w:tabs>
                <w:tab w:val="left" w:pos="4260"/>
                <w:tab w:val="left" w:pos="5220"/>
              </w:tabs>
              <w:spacing w:before="3"/>
              <w:ind w:right="-14"/>
              <w:rPr>
                <w:rFonts w:eastAsia="Arial"/>
                <w:i/>
                <w:sz w:val="16"/>
              </w:rPr>
            </w:pPr>
            <w:r w:rsidRPr="002C46E8">
              <w:rPr>
                <w:rFonts w:eastAsia="Arial"/>
                <w:i/>
                <w:sz w:val="16"/>
              </w:rPr>
              <w:t>Ecstasy</w:t>
            </w:r>
            <w:r w:rsidR="00F41A02">
              <w:rPr>
                <w:rFonts w:eastAsia="Arial"/>
                <w:i/>
                <w:sz w:val="16"/>
              </w:rPr>
              <w:t>-Type</w:t>
            </w:r>
            <w:r w:rsidRPr="002C46E8">
              <w:rPr>
                <w:rFonts w:eastAsia="Arial"/>
                <w:i/>
                <w:sz w:val="16"/>
              </w:rPr>
              <w:t xml:space="preserve"> Drugs</w:t>
            </w:r>
          </w:p>
        </w:tc>
      </w:tr>
      <w:tr w:rsidRPr="00260F01" w:rsidR="00D520BD" w:rsidTr="001416A2" w14:paraId="2349B806" w14:textId="77777777">
        <w:trPr>
          <w:cantSplit/>
          <w:trHeight w:val="795"/>
        </w:trPr>
        <w:tc>
          <w:tcPr>
            <w:tcW w:w="1617" w:type="pct"/>
            <w:tcMar>
              <w:left w:w="216" w:type="dxa"/>
            </w:tcMar>
            <w:vAlign w:val="center"/>
          </w:tcPr>
          <w:p w:rsidRPr="002C46E8" w:rsidR="00D520BD" w:rsidP="006F21ED" w:rsidRDefault="00D520BD" w14:paraId="21CD04C4" w14:textId="77777777">
            <w:pPr>
              <w:tabs>
                <w:tab w:val="left" w:pos="4260"/>
                <w:tab w:val="left" w:pos="5220"/>
              </w:tabs>
              <w:spacing w:before="3"/>
              <w:ind w:right="-20"/>
              <w:rPr>
                <w:rFonts w:eastAsia="Arial"/>
                <w:sz w:val="16"/>
              </w:rPr>
            </w:pPr>
            <w:r w:rsidRPr="002C46E8">
              <w:rPr>
                <w:rFonts w:eastAsia="Arial"/>
                <w:sz w:val="16"/>
              </w:rPr>
              <w:t>Projected confirmed positive test rate</w:t>
            </w:r>
          </w:p>
        </w:tc>
        <w:tc>
          <w:tcPr>
            <w:tcW w:w="681" w:type="pct"/>
            <w:vAlign w:val="center"/>
          </w:tcPr>
          <w:p w:rsidRPr="002C46E8" w:rsidR="00D520BD" w:rsidP="006F21ED" w:rsidRDefault="00D520BD" w14:paraId="513CA267" w14:textId="77777777">
            <w:pPr>
              <w:tabs>
                <w:tab w:val="left" w:pos="4260"/>
                <w:tab w:val="left" w:pos="5220"/>
              </w:tabs>
              <w:spacing w:before="3"/>
              <w:ind w:right="-20"/>
              <w:jc w:val="center"/>
              <w:rPr>
                <w:rFonts w:eastAsia="Arial"/>
                <w:sz w:val="16"/>
              </w:rPr>
            </w:pPr>
            <w:r w:rsidRPr="002C46E8">
              <w:rPr>
                <w:rFonts w:eastAsia="Arial"/>
                <w:sz w:val="16"/>
              </w:rPr>
              <w:t>0.004%</w:t>
            </w:r>
          </w:p>
        </w:tc>
        <w:tc>
          <w:tcPr>
            <w:tcW w:w="2702" w:type="pct"/>
            <w:vAlign w:val="center"/>
          </w:tcPr>
          <w:p w:rsidRPr="002C46E8" w:rsidR="00D520BD" w:rsidP="006F21ED" w:rsidRDefault="00D520BD" w14:paraId="1E2F2309" w14:textId="29E830DB">
            <w:pPr>
              <w:tabs>
                <w:tab w:val="left" w:pos="4260"/>
                <w:tab w:val="left" w:pos="5220"/>
              </w:tabs>
              <w:spacing w:before="3"/>
              <w:ind w:right="-14"/>
              <w:rPr>
                <w:rFonts w:eastAsia="Arial"/>
                <w:sz w:val="16"/>
              </w:rPr>
            </w:pPr>
            <w:r w:rsidRPr="002C46E8">
              <w:rPr>
                <w:rFonts w:eastAsia="Arial"/>
                <w:sz w:val="16"/>
              </w:rPr>
              <w:t>DOT laboratory test results</w:t>
            </w:r>
            <w:r w:rsidRPr="002C46E8" w:rsidR="00867A65">
              <w:rPr>
                <w:rFonts w:eastAsia="Arial"/>
                <w:sz w:val="16"/>
              </w:rPr>
              <w:t xml:space="preserve"> (C</w:t>
            </w:r>
            <w:r w:rsidRPr="002C46E8" w:rsidR="00D519A0">
              <w:rPr>
                <w:rFonts w:eastAsia="Arial"/>
                <w:sz w:val="16"/>
              </w:rPr>
              <w:t>Y</w:t>
            </w:r>
            <w:r w:rsidRPr="002C46E8" w:rsidR="00E0277F">
              <w:rPr>
                <w:rFonts w:eastAsia="Arial"/>
                <w:sz w:val="16"/>
              </w:rPr>
              <w:t>s</w:t>
            </w:r>
            <w:r w:rsidRPr="002C46E8" w:rsidR="007F6847">
              <w:rPr>
                <w:rFonts w:eastAsia="Arial"/>
                <w:sz w:val="16"/>
              </w:rPr>
              <w:t xml:space="preserve"> </w:t>
            </w:r>
            <w:r w:rsidRPr="002C46E8" w:rsidR="00D519A0">
              <w:rPr>
                <w:rFonts w:eastAsia="Arial"/>
                <w:sz w:val="16"/>
              </w:rPr>
              <w:t>2010–</w:t>
            </w:r>
            <w:r w:rsidRPr="002C46E8" w:rsidR="007021D3">
              <w:rPr>
                <w:rFonts w:eastAsia="Arial"/>
                <w:sz w:val="16"/>
              </w:rPr>
              <w:t>201</w:t>
            </w:r>
            <w:r w:rsidRPr="002C46E8" w:rsidR="007257B2">
              <w:rPr>
                <w:rFonts w:eastAsia="Arial"/>
                <w:sz w:val="16"/>
              </w:rPr>
              <w:t>5</w:t>
            </w:r>
            <w:r w:rsidRPr="002C46E8" w:rsidR="00D519A0">
              <w:rPr>
                <w:rFonts w:eastAsia="Arial"/>
                <w:sz w:val="16"/>
              </w:rPr>
              <w:t>)</w:t>
            </w:r>
          </w:p>
          <w:p w:rsidRPr="002C46E8" w:rsidR="00B4268E" w:rsidP="006F21ED" w:rsidRDefault="00D520BD" w14:paraId="0D346415" w14:textId="63957161">
            <w:pPr>
              <w:tabs>
                <w:tab w:val="left" w:pos="4260"/>
                <w:tab w:val="left" w:pos="5220"/>
              </w:tabs>
              <w:spacing w:before="3"/>
              <w:ind w:right="-14"/>
              <w:rPr>
                <w:rFonts w:eastAsia="Arial"/>
                <w:sz w:val="16"/>
              </w:rPr>
            </w:pPr>
            <w:r w:rsidRPr="002C46E8">
              <w:rPr>
                <w:rFonts w:eastAsia="Arial"/>
                <w:sz w:val="16"/>
              </w:rPr>
              <w:t xml:space="preserve">Average positive rate for </w:t>
            </w:r>
            <w:r w:rsidR="00F41A02">
              <w:rPr>
                <w:rFonts w:eastAsia="Arial"/>
                <w:sz w:val="16"/>
              </w:rPr>
              <w:t xml:space="preserve">the </w:t>
            </w:r>
            <w:r w:rsidRPr="002C46E8">
              <w:rPr>
                <w:rFonts w:eastAsia="Arial"/>
                <w:sz w:val="16"/>
              </w:rPr>
              <w:t>Ecstasy</w:t>
            </w:r>
            <w:r w:rsidR="00F41A02">
              <w:rPr>
                <w:rFonts w:eastAsia="Arial"/>
                <w:sz w:val="16"/>
              </w:rPr>
              <w:t>-type</w:t>
            </w:r>
            <w:r w:rsidRPr="002C46E8">
              <w:rPr>
                <w:rFonts w:eastAsia="Arial"/>
                <w:sz w:val="16"/>
              </w:rPr>
              <w:t xml:space="preserve"> drugs MDMA</w:t>
            </w:r>
            <w:r w:rsidR="00F41A02">
              <w:rPr>
                <w:rFonts w:eastAsia="Arial"/>
                <w:sz w:val="16"/>
              </w:rPr>
              <w:t xml:space="preserve"> and</w:t>
            </w:r>
            <w:r w:rsidRPr="002C46E8">
              <w:rPr>
                <w:rFonts w:eastAsia="Arial"/>
                <w:sz w:val="16"/>
              </w:rPr>
              <w:t xml:space="preserve"> MDA </w:t>
            </w:r>
          </w:p>
          <w:p w:rsidRPr="002C46E8" w:rsidR="00D520BD" w:rsidP="006F21ED" w:rsidRDefault="001A2638" w14:paraId="115FCD0A" w14:textId="4179CB66">
            <w:pPr>
              <w:tabs>
                <w:tab w:val="left" w:pos="4260"/>
                <w:tab w:val="left" w:pos="5220"/>
              </w:tabs>
              <w:spacing w:before="3"/>
              <w:ind w:right="-14"/>
              <w:rPr>
                <w:rFonts w:eastAsia="Arial"/>
                <w:sz w:val="16"/>
              </w:rPr>
            </w:pPr>
            <w:r w:rsidRPr="002C46E8">
              <w:rPr>
                <w:rFonts w:eastAsia="Arial"/>
                <w:sz w:val="16"/>
              </w:rPr>
              <w:t>[2010 = 0.</w:t>
            </w:r>
            <w:r w:rsidRPr="002C46E8" w:rsidR="00AC1426">
              <w:rPr>
                <w:rFonts w:eastAsia="Arial"/>
                <w:sz w:val="16"/>
              </w:rPr>
              <w:t>002</w:t>
            </w:r>
            <w:r w:rsidRPr="002C46E8">
              <w:rPr>
                <w:rFonts w:eastAsia="Arial"/>
                <w:sz w:val="16"/>
              </w:rPr>
              <w:t>%; 2011 = 0.</w:t>
            </w:r>
            <w:r w:rsidRPr="002C46E8" w:rsidR="00C76AC4">
              <w:rPr>
                <w:rFonts w:eastAsia="Arial"/>
                <w:sz w:val="16"/>
              </w:rPr>
              <w:t>005</w:t>
            </w:r>
            <w:r w:rsidRPr="002C46E8">
              <w:rPr>
                <w:rFonts w:eastAsia="Arial"/>
                <w:sz w:val="16"/>
              </w:rPr>
              <w:t>%; 2012 = 0.</w:t>
            </w:r>
            <w:r w:rsidRPr="002C46E8" w:rsidR="00C76AC4">
              <w:rPr>
                <w:rFonts w:eastAsia="Arial"/>
                <w:sz w:val="16"/>
              </w:rPr>
              <w:t>004</w:t>
            </w:r>
            <w:r w:rsidRPr="002C46E8">
              <w:rPr>
                <w:rFonts w:eastAsia="Arial"/>
                <w:sz w:val="16"/>
              </w:rPr>
              <w:t>%; 2013 = 0.0</w:t>
            </w:r>
            <w:r w:rsidRPr="002C46E8" w:rsidR="00C05711">
              <w:rPr>
                <w:rFonts w:eastAsia="Arial"/>
                <w:sz w:val="16"/>
              </w:rPr>
              <w:t>05</w:t>
            </w:r>
            <w:r w:rsidRPr="002C46E8">
              <w:rPr>
                <w:rFonts w:eastAsia="Arial"/>
                <w:sz w:val="16"/>
              </w:rPr>
              <w:t>%, 2014 = 0.0</w:t>
            </w:r>
            <w:r w:rsidRPr="002C46E8" w:rsidR="00C05711">
              <w:rPr>
                <w:rFonts w:eastAsia="Arial"/>
                <w:sz w:val="16"/>
              </w:rPr>
              <w:t>05</w:t>
            </w:r>
            <w:r w:rsidRPr="002C46E8">
              <w:rPr>
                <w:rFonts w:eastAsia="Arial"/>
                <w:sz w:val="16"/>
              </w:rPr>
              <w:t>%; 2015 = 0.</w:t>
            </w:r>
            <w:r w:rsidRPr="002C46E8" w:rsidR="00C05711">
              <w:rPr>
                <w:rFonts w:eastAsia="Arial"/>
                <w:sz w:val="16"/>
              </w:rPr>
              <w:t>006</w:t>
            </w:r>
            <w:r w:rsidRPr="002C46E8">
              <w:rPr>
                <w:rFonts w:eastAsia="Arial"/>
                <w:sz w:val="16"/>
              </w:rPr>
              <w:t>%</w:t>
            </w:r>
            <w:r w:rsidRPr="002C46E8" w:rsidR="007257B2">
              <w:rPr>
                <w:rFonts w:eastAsia="Arial"/>
                <w:sz w:val="16"/>
              </w:rPr>
              <w:t>]</w:t>
            </w:r>
          </w:p>
        </w:tc>
      </w:tr>
      <w:tr w:rsidRPr="00260F01" w:rsidR="00D520BD" w:rsidTr="00982BD1" w14:paraId="615D1F79" w14:textId="77777777">
        <w:trPr>
          <w:cantSplit/>
        </w:trPr>
        <w:tc>
          <w:tcPr>
            <w:tcW w:w="5000" w:type="pct"/>
            <w:gridSpan w:val="3"/>
            <w:shd w:val="clear" w:color="auto" w:fill="FFFFFF" w:themeFill="background1"/>
            <w:vAlign w:val="center"/>
          </w:tcPr>
          <w:p w:rsidRPr="002C46E8" w:rsidR="00D520BD" w:rsidP="00B70ED1" w:rsidRDefault="00D520BD" w14:paraId="5E258B48" w14:textId="77777777">
            <w:pPr>
              <w:keepNext/>
              <w:keepLines/>
              <w:tabs>
                <w:tab w:val="left" w:pos="4260"/>
                <w:tab w:val="left" w:pos="5220"/>
              </w:tabs>
              <w:spacing w:before="3"/>
              <w:ind w:right="-20"/>
              <w:rPr>
                <w:rFonts w:eastAsia="Arial"/>
                <w:i/>
                <w:sz w:val="16"/>
              </w:rPr>
            </w:pPr>
            <w:r w:rsidRPr="002C46E8">
              <w:rPr>
                <w:rFonts w:eastAsia="Arial"/>
                <w:i/>
                <w:sz w:val="16"/>
              </w:rPr>
              <w:t>Dilute Specimens (Special Analyses Testing)</w:t>
            </w:r>
          </w:p>
        </w:tc>
      </w:tr>
      <w:tr w:rsidRPr="00260F01" w:rsidR="00D520BD" w:rsidTr="00770A3F" w14:paraId="22FFFDF1" w14:textId="77777777">
        <w:tc>
          <w:tcPr>
            <w:tcW w:w="1617" w:type="pct"/>
            <w:shd w:val="clear" w:color="auto" w:fill="auto"/>
            <w:vAlign w:val="center"/>
          </w:tcPr>
          <w:p w:rsidRPr="002C46E8" w:rsidR="00D520BD" w:rsidP="00B70ED1" w:rsidRDefault="00D520BD" w14:paraId="4C8D4863" w14:textId="77777777">
            <w:pPr>
              <w:keepNext/>
              <w:keepLines/>
              <w:tabs>
                <w:tab w:val="left" w:pos="4260"/>
                <w:tab w:val="left" w:pos="5220"/>
              </w:tabs>
              <w:spacing w:before="3"/>
              <w:ind w:left="155" w:right="-14"/>
              <w:rPr>
                <w:rFonts w:eastAsia="Arial"/>
                <w:sz w:val="16"/>
              </w:rPr>
            </w:pPr>
            <w:r w:rsidRPr="002C46E8">
              <w:rPr>
                <w:rFonts w:eastAsia="Arial"/>
                <w:sz w:val="16"/>
              </w:rPr>
              <w:t>Average annual percentage of specimens tested that are dilute and special analyses testing performed</w:t>
            </w:r>
          </w:p>
        </w:tc>
        <w:tc>
          <w:tcPr>
            <w:tcW w:w="681" w:type="pct"/>
            <w:shd w:val="clear" w:color="auto" w:fill="auto"/>
            <w:vAlign w:val="center"/>
          </w:tcPr>
          <w:p w:rsidRPr="002C46E8" w:rsidR="00D520BD" w:rsidP="00B70ED1" w:rsidRDefault="00D520BD" w14:paraId="631ED93A" w14:textId="0971B6F0">
            <w:pPr>
              <w:keepNext/>
              <w:keepLines/>
              <w:tabs>
                <w:tab w:val="left" w:pos="4260"/>
                <w:tab w:val="left" w:pos="5220"/>
              </w:tabs>
              <w:spacing w:before="3"/>
              <w:ind w:right="-20"/>
              <w:jc w:val="center"/>
              <w:rPr>
                <w:rFonts w:eastAsia="Arial"/>
                <w:sz w:val="16"/>
              </w:rPr>
            </w:pPr>
            <w:r w:rsidRPr="002C46E8">
              <w:rPr>
                <w:rFonts w:eastAsia="Arial"/>
                <w:sz w:val="16"/>
              </w:rPr>
              <w:t>0.</w:t>
            </w:r>
            <w:r w:rsidRPr="002C46E8" w:rsidR="00FF600B">
              <w:rPr>
                <w:rFonts w:eastAsia="Arial"/>
                <w:sz w:val="16"/>
              </w:rPr>
              <w:t>3</w:t>
            </w:r>
            <w:r w:rsidRPr="002C46E8" w:rsidR="009046BD">
              <w:rPr>
                <w:rFonts w:eastAsia="Arial"/>
                <w:sz w:val="16"/>
              </w:rPr>
              <w:t>75</w:t>
            </w:r>
            <w:r w:rsidRPr="002C46E8">
              <w:rPr>
                <w:rFonts w:eastAsia="Arial"/>
                <w:sz w:val="16"/>
              </w:rPr>
              <w:t>%</w:t>
            </w:r>
          </w:p>
        </w:tc>
        <w:tc>
          <w:tcPr>
            <w:tcW w:w="2702" w:type="pct"/>
            <w:shd w:val="clear" w:color="auto" w:fill="auto"/>
            <w:vAlign w:val="center"/>
          </w:tcPr>
          <w:p w:rsidRPr="002C46E8" w:rsidR="0067252B" w:rsidP="00B70ED1" w:rsidRDefault="00C50416" w14:paraId="48745105" w14:textId="77777777">
            <w:pPr>
              <w:keepNext/>
              <w:keepLines/>
              <w:tabs>
                <w:tab w:val="left" w:pos="4260"/>
                <w:tab w:val="left" w:pos="5220"/>
              </w:tabs>
              <w:spacing w:before="3"/>
              <w:ind w:right="-14"/>
              <w:rPr>
                <w:rFonts w:eastAsia="Arial"/>
                <w:sz w:val="16"/>
              </w:rPr>
            </w:pPr>
            <w:r w:rsidRPr="002C46E8">
              <w:rPr>
                <w:rFonts w:eastAsia="Arial"/>
                <w:sz w:val="16"/>
              </w:rPr>
              <w:t xml:space="preserve">NRC FFD Program Performance </w:t>
            </w:r>
            <w:r w:rsidRPr="002C46E8" w:rsidR="002E0027">
              <w:rPr>
                <w:rFonts w:eastAsia="Arial"/>
                <w:sz w:val="16"/>
              </w:rPr>
              <w:t>Results</w:t>
            </w:r>
            <w:r w:rsidRPr="002C46E8" w:rsidR="000A44C8">
              <w:rPr>
                <w:rFonts w:eastAsia="Arial"/>
                <w:sz w:val="16"/>
              </w:rPr>
              <w:t xml:space="preserve"> </w:t>
            </w:r>
          </w:p>
          <w:p w:rsidRPr="002C46E8" w:rsidR="00C50416" w:rsidP="00B70ED1" w:rsidRDefault="00867C5B" w14:paraId="725AFBB0" w14:textId="322FD004">
            <w:pPr>
              <w:keepNext/>
              <w:keepLines/>
              <w:tabs>
                <w:tab w:val="left" w:pos="4260"/>
                <w:tab w:val="left" w:pos="5220"/>
              </w:tabs>
              <w:spacing w:before="3"/>
              <w:ind w:right="-14"/>
              <w:rPr>
                <w:rFonts w:eastAsia="Arial"/>
                <w:sz w:val="16"/>
              </w:rPr>
            </w:pPr>
            <w:r w:rsidRPr="002C46E8">
              <w:rPr>
                <w:rFonts w:eastAsia="Arial"/>
                <w:sz w:val="16"/>
              </w:rPr>
              <w:t>(</w:t>
            </w:r>
            <w:r w:rsidRPr="002C46E8" w:rsidR="00C50416">
              <w:rPr>
                <w:rFonts w:eastAsia="Arial"/>
                <w:sz w:val="16"/>
              </w:rPr>
              <w:t>e-reported data</w:t>
            </w:r>
            <w:r w:rsidRPr="002C46E8">
              <w:rPr>
                <w:rFonts w:eastAsia="Arial"/>
                <w:sz w:val="16"/>
              </w:rPr>
              <w:t>,</w:t>
            </w:r>
            <w:r w:rsidRPr="002C46E8" w:rsidR="00C50416">
              <w:rPr>
                <w:rFonts w:eastAsia="Arial"/>
                <w:sz w:val="16"/>
              </w:rPr>
              <w:t xml:space="preserve"> data first available in </w:t>
            </w:r>
            <w:r w:rsidRPr="002C46E8">
              <w:rPr>
                <w:rFonts w:eastAsia="Arial"/>
                <w:sz w:val="16"/>
              </w:rPr>
              <w:t>CY </w:t>
            </w:r>
            <w:r w:rsidRPr="002C46E8" w:rsidR="00C50416">
              <w:rPr>
                <w:rFonts w:eastAsia="Arial"/>
                <w:sz w:val="16"/>
              </w:rPr>
              <w:t>2013)</w:t>
            </w:r>
          </w:p>
          <w:p w:rsidRPr="002C46E8" w:rsidR="00C50416" w:rsidP="00B70ED1" w:rsidRDefault="00F947DE" w14:paraId="09FF4E2C" w14:textId="53764F21">
            <w:pPr>
              <w:pStyle w:val="ListParagraph"/>
              <w:keepNext/>
              <w:keepLines/>
              <w:numPr>
                <w:ilvl w:val="0"/>
                <w:numId w:val="28"/>
              </w:numPr>
              <w:tabs>
                <w:tab w:val="left" w:pos="4260"/>
                <w:tab w:val="left" w:pos="5220"/>
              </w:tabs>
              <w:spacing w:before="3"/>
              <w:ind w:right="-14"/>
              <w:rPr>
                <w:rFonts w:eastAsia="Arial"/>
                <w:sz w:val="16"/>
              </w:rPr>
            </w:pPr>
            <w:r>
              <w:rPr>
                <w:rFonts w:eastAsia="Arial" w:cs="Arial"/>
                <w:sz w:val="16"/>
                <w:szCs w:val="16"/>
              </w:rPr>
              <w:t>i</w:t>
            </w:r>
            <w:r w:rsidRPr="00260F01" w:rsidR="00C50416">
              <w:rPr>
                <w:rFonts w:eastAsia="Arial" w:cs="Arial"/>
                <w:sz w:val="16"/>
                <w:szCs w:val="16"/>
              </w:rPr>
              <w:t>n</w:t>
            </w:r>
            <w:r w:rsidRPr="002C46E8" w:rsidR="00C50416">
              <w:rPr>
                <w:rFonts w:eastAsia="Arial"/>
                <w:sz w:val="16"/>
              </w:rPr>
              <w:t xml:space="preserve"> 2013, 652 special analyses tests out of 137,642 specimens collected (65 sites with a special analyses testing policy)</w:t>
            </w:r>
          </w:p>
          <w:p w:rsidRPr="002C46E8" w:rsidR="00C50416" w:rsidP="00B70ED1" w:rsidRDefault="00F947DE" w14:paraId="55B4A464" w14:textId="66CB5360">
            <w:pPr>
              <w:pStyle w:val="ListParagraph"/>
              <w:keepNext/>
              <w:keepLines/>
              <w:numPr>
                <w:ilvl w:val="0"/>
                <w:numId w:val="28"/>
              </w:numPr>
              <w:tabs>
                <w:tab w:val="left" w:pos="4260"/>
                <w:tab w:val="left" w:pos="5220"/>
              </w:tabs>
              <w:spacing w:before="3"/>
              <w:ind w:right="-14"/>
              <w:rPr>
                <w:rFonts w:eastAsia="Arial"/>
                <w:sz w:val="16"/>
              </w:rPr>
            </w:pPr>
            <w:r>
              <w:rPr>
                <w:rFonts w:eastAsia="Arial" w:cs="Arial"/>
                <w:sz w:val="16"/>
                <w:szCs w:val="16"/>
              </w:rPr>
              <w:t>i</w:t>
            </w:r>
            <w:r w:rsidRPr="00260F01" w:rsidR="00C50416">
              <w:rPr>
                <w:rFonts w:eastAsia="Arial" w:cs="Arial"/>
                <w:sz w:val="16"/>
                <w:szCs w:val="16"/>
              </w:rPr>
              <w:t>n</w:t>
            </w:r>
            <w:r w:rsidRPr="002C46E8" w:rsidR="00C50416">
              <w:rPr>
                <w:rFonts w:eastAsia="Arial"/>
                <w:sz w:val="16"/>
              </w:rPr>
              <w:t xml:space="preserve"> 2014</w:t>
            </w:r>
            <w:r w:rsidR="00271A25">
              <w:rPr>
                <w:rFonts w:eastAsia="Arial" w:cs="Arial"/>
                <w:sz w:val="16"/>
                <w:szCs w:val="16"/>
              </w:rPr>
              <w:t>,</w:t>
            </w:r>
            <w:r w:rsidRPr="002C46E8" w:rsidR="00C50416">
              <w:rPr>
                <w:rFonts w:eastAsia="Arial"/>
                <w:sz w:val="16"/>
              </w:rPr>
              <w:t xml:space="preserve"> 834 special analyses tests out of 153,629 specimens collected (69 sites with a special analyses testing policy)</w:t>
            </w:r>
          </w:p>
          <w:p w:rsidRPr="002C46E8" w:rsidR="00C50416" w:rsidP="00B70ED1" w:rsidRDefault="00F947DE" w14:paraId="1DC7F829" w14:textId="3F5BA415">
            <w:pPr>
              <w:pStyle w:val="ListParagraph"/>
              <w:keepNext/>
              <w:keepLines/>
              <w:numPr>
                <w:ilvl w:val="0"/>
                <w:numId w:val="28"/>
              </w:numPr>
              <w:tabs>
                <w:tab w:val="left" w:pos="4260"/>
                <w:tab w:val="left" w:pos="5220"/>
              </w:tabs>
              <w:spacing w:before="3"/>
              <w:ind w:right="-14"/>
              <w:rPr>
                <w:rFonts w:eastAsia="Arial"/>
                <w:sz w:val="16"/>
              </w:rPr>
            </w:pPr>
            <w:r>
              <w:rPr>
                <w:rFonts w:eastAsia="Arial" w:cs="Arial"/>
                <w:sz w:val="16"/>
                <w:szCs w:val="16"/>
              </w:rPr>
              <w:t>i</w:t>
            </w:r>
            <w:r w:rsidRPr="00260F01" w:rsidR="00C50416">
              <w:rPr>
                <w:rFonts w:eastAsia="Arial" w:cs="Arial"/>
                <w:sz w:val="16"/>
                <w:szCs w:val="16"/>
              </w:rPr>
              <w:t>n</w:t>
            </w:r>
            <w:r w:rsidRPr="002C46E8" w:rsidR="00C50416">
              <w:rPr>
                <w:rFonts w:eastAsia="Arial"/>
                <w:sz w:val="16"/>
              </w:rPr>
              <w:t xml:space="preserve"> 2015</w:t>
            </w:r>
            <w:r w:rsidR="00271A25">
              <w:rPr>
                <w:rFonts w:eastAsia="Arial" w:cs="Arial"/>
                <w:sz w:val="16"/>
                <w:szCs w:val="16"/>
              </w:rPr>
              <w:t>,</w:t>
            </w:r>
            <w:r w:rsidRPr="002C46E8" w:rsidR="00C50416">
              <w:rPr>
                <w:rFonts w:eastAsia="Arial"/>
                <w:sz w:val="16"/>
              </w:rPr>
              <w:t xml:space="preserve"> 755 special analyses tests out of 153,569 specimens collected (69 sites with a special analyses testing policy)</w:t>
            </w:r>
          </w:p>
          <w:p w:rsidRPr="002C46E8" w:rsidR="00C50416" w:rsidP="00B70ED1" w:rsidRDefault="00F947DE" w14:paraId="4BFA3D34" w14:textId="11B680F1">
            <w:pPr>
              <w:pStyle w:val="ListParagraph"/>
              <w:keepNext/>
              <w:keepLines/>
              <w:numPr>
                <w:ilvl w:val="0"/>
                <w:numId w:val="28"/>
              </w:numPr>
              <w:tabs>
                <w:tab w:val="left" w:pos="4260"/>
                <w:tab w:val="left" w:pos="5220"/>
              </w:tabs>
              <w:spacing w:before="3"/>
              <w:ind w:right="-14"/>
              <w:rPr>
                <w:rFonts w:eastAsia="Arial"/>
                <w:sz w:val="16"/>
              </w:rPr>
            </w:pPr>
            <w:r>
              <w:rPr>
                <w:rFonts w:eastAsia="Arial" w:cs="Arial"/>
                <w:sz w:val="16"/>
                <w:szCs w:val="16"/>
              </w:rPr>
              <w:t>i</w:t>
            </w:r>
            <w:r w:rsidRPr="00260F01" w:rsidR="00C50416">
              <w:rPr>
                <w:rFonts w:eastAsia="Arial" w:cs="Arial"/>
                <w:sz w:val="16"/>
                <w:szCs w:val="16"/>
              </w:rPr>
              <w:t>n</w:t>
            </w:r>
            <w:r w:rsidRPr="002C46E8" w:rsidR="00C50416">
              <w:rPr>
                <w:rFonts w:eastAsia="Arial"/>
                <w:sz w:val="16"/>
              </w:rPr>
              <w:t xml:space="preserve"> 2016</w:t>
            </w:r>
            <w:r w:rsidR="00271A25">
              <w:rPr>
                <w:rFonts w:eastAsia="Arial" w:cs="Arial"/>
                <w:sz w:val="16"/>
                <w:szCs w:val="16"/>
              </w:rPr>
              <w:t>,</w:t>
            </w:r>
            <w:r w:rsidRPr="002C46E8" w:rsidR="00C50416">
              <w:rPr>
                <w:rFonts w:eastAsia="Arial"/>
                <w:sz w:val="16"/>
              </w:rPr>
              <w:t xml:space="preserve"> 650 special analyses tests out of 145,025 specimens collected (68 sites with a special analyses testing policy)</w:t>
            </w:r>
          </w:p>
          <w:p w:rsidRPr="002C46E8" w:rsidR="00C50416" w:rsidP="00B70ED1" w:rsidRDefault="00F947DE" w14:paraId="6EF00929" w14:textId="62912912">
            <w:pPr>
              <w:pStyle w:val="ListParagraph"/>
              <w:keepNext/>
              <w:keepLines/>
              <w:numPr>
                <w:ilvl w:val="0"/>
                <w:numId w:val="28"/>
              </w:numPr>
              <w:tabs>
                <w:tab w:val="left" w:pos="4260"/>
                <w:tab w:val="left" w:pos="5220"/>
              </w:tabs>
              <w:spacing w:before="3"/>
              <w:ind w:right="-14"/>
              <w:rPr>
                <w:rFonts w:eastAsia="Arial"/>
                <w:sz w:val="16"/>
              </w:rPr>
            </w:pPr>
            <w:r>
              <w:rPr>
                <w:rFonts w:eastAsia="Arial" w:cs="Arial"/>
                <w:sz w:val="16"/>
                <w:szCs w:val="16"/>
              </w:rPr>
              <w:t>i</w:t>
            </w:r>
            <w:r w:rsidRPr="00260F01" w:rsidR="00C50416">
              <w:rPr>
                <w:rFonts w:eastAsia="Arial" w:cs="Arial"/>
                <w:sz w:val="16"/>
                <w:szCs w:val="16"/>
              </w:rPr>
              <w:t>n</w:t>
            </w:r>
            <w:r w:rsidRPr="002C46E8" w:rsidR="00C50416">
              <w:rPr>
                <w:rFonts w:eastAsia="Arial"/>
                <w:sz w:val="16"/>
              </w:rPr>
              <w:t xml:space="preserve"> 2017</w:t>
            </w:r>
            <w:r w:rsidR="00271A25">
              <w:rPr>
                <w:rFonts w:eastAsia="Arial" w:cs="Arial"/>
                <w:sz w:val="16"/>
                <w:szCs w:val="16"/>
              </w:rPr>
              <w:t>,</w:t>
            </w:r>
            <w:r w:rsidRPr="002C46E8" w:rsidR="00C50416">
              <w:rPr>
                <w:rFonts w:eastAsia="Arial"/>
                <w:sz w:val="16"/>
              </w:rPr>
              <w:t xml:space="preserve"> 547 special analyses tests out of 140,329 specimens collected (67 sites with a special analyses testing policy)</w:t>
            </w:r>
          </w:p>
          <w:p w:rsidRPr="002C46E8" w:rsidR="00C50416" w:rsidP="00B70ED1" w:rsidRDefault="00F947DE" w14:paraId="4C29E63F" w14:textId="6864FE44">
            <w:pPr>
              <w:pStyle w:val="ListParagraph"/>
              <w:keepNext/>
              <w:keepLines/>
              <w:numPr>
                <w:ilvl w:val="0"/>
                <w:numId w:val="28"/>
              </w:numPr>
              <w:tabs>
                <w:tab w:val="left" w:pos="4260"/>
                <w:tab w:val="left" w:pos="5220"/>
              </w:tabs>
              <w:spacing w:before="3"/>
              <w:ind w:right="-14"/>
              <w:rPr>
                <w:rFonts w:eastAsia="Arial"/>
                <w:sz w:val="16"/>
              </w:rPr>
            </w:pPr>
            <w:r>
              <w:rPr>
                <w:rFonts w:eastAsia="Arial" w:cs="Arial"/>
                <w:sz w:val="16"/>
                <w:szCs w:val="16"/>
              </w:rPr>
              <w:t>i</w:t>
            </w:r>
            <w:r w:rsidRPr="00260F01" w:rsidR="00C50416">
              <w:rPr>
                <w:rFonts w:eastAsia="Arial" w:cs="Arial"/>
                <w:sz w:val="16"/>
                <w:szCs w:val="16"/>
              </w:rPr>
              <w:t>n</w:t>
            </w:r>
            <w:r w:rsidRPr="002C46E8" w:rsidR="00C50416">
              <w:rPr>
                <w:rFonts w:eastAsia="Arial"/>
                <w:sz w:val="16"/>
              </w:rPr>
              <w:t xml:space="preserve"> 2018</w:t>
            </w:r>
            <w:r w:rsidR="00271A25">
              <w:rPr>
                <w:rFonts w:eastAsia="Arial" w:cs="Arial"/>
                <w:sz w:val="16"/>
                <w:szCs w:val="16"/>
              </w:rPr>
              <w:t>,</w:t>
            </w:r>
            <w:r w:rsidRPr="002C46E8" w:rsidR="00C50416">
              <w:rPr>
                <w:rFonts w:eastAsia="Arial"/>
                <w:sz w:val="16"/>
              </w:rPr>
              <w:t xml:space="preserve"> 386 special analyses tests out of 135,111 specimens collected (66 sites with a special analyses testing policy)</w:t>
            </w:r>
          </w:p>
          <w:p w:rsidRPr="002C46E8" w:rsidR="00023398" w:rsidP="00B70ED1" w:rsidRDefault="00F947DE" w14:paraId="24065BE4" w14:textId="69181BC9">
            <w:pPr>
              <w:pStyle w:val="ListParagraph"/>
              <w:keepNext/>
              <w:keepLines/>
              <w:numPr>
                <w:ilvl w:val="0"/>
                <w:numId w:val="28"/>
              </w:numPr>
              <w:tabs>
                <w:tab w:val="left" w:pos="4260"/>
                <w:tab w:val="left" w:pos="5220"/>
              </w:tabs>
              <w:spacing w:before="3"/>
              <w:ind w:right="-14"/>
              <w:rPr>
                <w:rFonts w:eastAsia="Arial"/>
                <w:sz w:val="16"/>
              </w:rPr>
            </w:pPr>
            <w:r>
              <w:rPr>
                <w:rFonts w:eastAsia="Arial" w:cs="Arial"/>
                <w:sz w:val="16"/>
                <w:szCs w:val="16"/>
              </w:rPr>
              <w:t>i</w:t>
            </w:r>
            <w:r w:rsidRPr="00260F01" w:rsidR="00C50416">
              <w:rPr>
                <w:rFonts w:eastAsia="Arial" w:cs="Arial"/>
                <w:sz w:val="16"/>
                <w:szCs w:val="16"/>
              </w:rPr>
              <w:t>n</w:t>
            </w:r>
            <w:r w:rsidRPr="002C46E8" w:rsidR="00C50416">
              <w:rPr>
                <w:rFonts w:eastAsia="Arial"/>
                <w:sz w:val="16"/>
              </w:rPr>
              <w:t xml:space="preserve"> 2019</w:t>
            </w:r>
            <w:r w:rsidR="00271A25">
              <w:rPr>
                <w:rFonts w:eastAsia="Arial" w:cs="Arial"/>
                <w:sz w:val="16"/>
                <w:szCs w:val="16"/>
              </w:rPr>
              <w:t>,</w:t>
            </w:r>
            <w:r w:rsidRPr="002C46E8" w:rsidR="00C50416">
              <w:rPr>
                <w:rFonts w:eastAsia="Arial"/>
                <w:sz w:val="16"/>
              </w:rPr>
              <w:t xml:space="preserve"> 292 special analyses tests out of 123,337 specimens collected (65 sites with a special analyses testing policy)</w:t>
            </w:r>
          </w:p>
        </w:tc>
      </w:tr>
      <w:tr w:rsidRPr="00260F01" w:rsidR="00D520BD" w:rsidTr="001416A2" w14:paraId="0127C857" w14:textId="77777777">
        <w:trPr>
          <w:cantSplit/>
          <w:trHeight w:val="1506"/>
        </w:trPr>
        <w:tc>
          <w:tcPr>
            <w:tcW w:w="1617" w:type="pct"/>
            <w:shd w:val="clear" w:color="auto" w:fill="auto"/>
            <w:vAlign w:val="center"/>
          </w:tcPr>
          <w:p w:rsidRPr="002C46E8" w:rsidR="00D520BD" w:rsidP="00982BD1" w:rsidRDefault="00D520BD" w14:paraId="51BDBE4C" w14:textId="77777777">
            <w:pPr>
              <w:tabs>
                <w:tab w:val="left" w:pos="4260"/>
                <w:tab w:val="left" w:pos="5220"/>
              </w:tabs>
              <w:spacing w:before="3"/>
              <w:ind w:left="155" w:right="-14"/>
              <w:rPr>
                <w:rFonts w:eastAsia="Arial"/>
                <w:sz w:val="16"/>
              </w:rPr>
            </w:pPr>
            <w:r w:rsidRPr="002C46E8">
              <w:rPr>
                <w:rFonts w:eastAsia="Arial"/>
                <w:sz w:val="16"/>
              </w:rPr>
              <w:t>Average annual percentage of specimens tested that are dilute and test positive on special analyses testing</w:t>
            </w:r>
          </w:p>
        </w:tc>
        <w:tc>
          <w:tcPr>
            <w:tcW w:w="681" w:type="pct"/>
            <w:shd w:val="clear" w:color="auto" w:fill="auto"/>
            <w:vAlign w:val="center"/>
          </w:tcPr>
          <w:p w:rsidRPr="002C46E8" w:rsidR="00D520BD" w:rsidP="00982BD1" w:rsidRDefault="00D520BD" w14:paraId="773A48D7" w14:textId="688C4E17">
            <w:pPr>
              <w:tabs>
                <w:tab w:val="left" w:pos="4260"/>
                <w:tab w:val="left" w:pos="5220"/>
              </w:tabs>
              <w:spacing w:before="3"/>
              <w:ind w:right="-20"/>
              <w:jc w:val="center"/>
              <w:rPr>
                <w:rFonts w:eastAsia="Arial"/>
                <w:sz w:val="16"/>
              </w:rPr>
            </w:pPr>
            <w:r w:rsidRPr="002C46E8">
              <w:rPr>
                <w:rFonts w:eastAsia="Arial"/>
                <w:sz w:val="16"/>
              </w:rPr>
              <w:t>0.00</w:t>
            </w:r>
            <w:r w:rsidRPr="002C46E8" w:rsidR="00FF600B">
              <w:rPr>
                <w:rFonts w:eastAsia="Arial"/>
                <w:sz w:val="16"/>
              </w:rPr>
              <w:t>6</w:t>
            </w:r>
            <w:r w:rsidRPr="002C46E8">
              <w:rPr>
                <w:rFonts w:eastAsia="Arial"/>
                <w:sz w:val="16"/>
              </w:rPr>
              <w:t>%</w:t>
            </w:r>
          </w:p>
        </w:tc>
        <w:tc>
          <w:tcPr>
            <w:tcW w:w="2702" w:type="pct"/>
            <w:shd w:val="clear" w:color="auto" w:fill="auto"/>
            <w:vAlign w:val="center"/>
          </w:tcPr>
          <w:p w:rsidRPr="002C46E8" w:rsidR="0067252B" w:rsidP="00114F61" w:rsidRDefault="00114F61" w14:paraId="37F5900E" w14:textId="77777777">
            <w:pPr>
              <w:tabs>
                <w:tab w:val="left" w:pos="4260"/>
                <w:tab w:val="left" w:pos="5220"/>
              </w:tabs>
              <w:spacing w:before="3"/>
              <w:ind w:right="-14"/>
              <w:rPr>
                <w:rFonts w:eastAsia="Arial"/>
                <w:sz w:val="16"/>
              </w:rPr>
            </w:pPr>
            <w:r w:rsidRPr="002C46E8">
              <w:rPr>
                <w:rFonts w:eastAsia="Arial"/>
                <w:sz w:val="16"/>
              </w:rPr>
              <w:t xml:space="preserve">NRC FFD Program Performance </w:t>
            </w:r>
            <w:r w:rsidRPr="002C46E8" w:rsidR="00867C5B">
              <w:rPr>
                <w:rFonts w:eastAsia="Arial"/>
                <w:sz w:val="16"/>
              </w:rPr>
              <w:t xml:space="preserve">Results </w:t>
            </w:r>
          </w:p>
          <w:p w:rsidRPr="002C46E8" w:rsidR="00114F61" w:rsidP="00114F61" w:rsidRDefault="00867C5B" w14:paraId="2034E13B" w14:textId="0ABCC94A">
            <w:pPr>
              <w:tabs>
                <w:tab w:val="left" w:pos="4260"/>
                <w:tab w:val="left" w:pos="5220"/>
              </w:tabs>
              <w:spacing w:before="3"/>
              <w:ind w:right="-14"/>
              <w:rPr>
                <w:rFonts w:eastAsia="Arial"/>
                <w:sz w:val="16"/>
              </w:rPr>
            </w:pPr>
            <w:r w:rsidRPr="002C46E8">
              <w:rPr>
                <w:rFonts w:eastAsia="Arial"/>
                <w:sz w:val="16"/>
              </w:rPr>
              <w:t>(</w:t>
            </w:r>
            <w:r w:rsidRPr="002C46E8" w:rsidR="005128B9">
              <w:rPr>
                <w:rFonts w:eastAsia="Arial"/>
                <w:sz w:val="16"/>
              </w:rPr>
              <w:t xml:space="preserve">e-reported </w:t>
            </w:r>
            <w:r w:rsidRPr="002C46E8" w:rsidR="00114F61">
              <w:rPr>
                <w:rFonts w:eastAsia="Arial"/>
                <w:sz w:val="16"/>
              </w:rPr>
              <w:t>data</w:t>
            </w:r>
            <w:r w:rsidRPr="002C46E8" w:rsidR="005128B9">
              <w:rPr>
                <w:rFonts w:eastAsia="Arial"/>
                <w:sz w:val="16"/>
              </w:rPr>
              <w:t xml:space="preserve">, </w:t>
            </w:r>
            <w:r w:rsidRPr="002C46E8" w:rsidR="005754FE">
              <w:rPr>
                <w:rFonts w:eastAsia="Arial"/>
                <w:sz w:val="16"/>
              </w:rPr>
              <w:t xml:space="preserve">first available </w:t>
            </w:r>
            <w:r w:rsidRPr="002C46E8" w:rsidR="00114F61">
              <w:rPr>
                <w:rFonts w:eastAsia="Arial"/>
                <w:sz w:val="16"/>
              </w:rPr>
              <w:t xml:space="preserve">in </w:t>
            </w:r>
            <w:r w:rsidRPr="002C46E8" w:rsidR="00DF21B7">
              <w:rPr>
                <w:rFonts w:eastAsia="Arial"/>
                <w:sz w:val="16"/>
              </w:rPr>
              <w:t>CY </w:t>
            </w:r>
            <w:r w:rsidRPr="002C46E8" w:rsidR="00114F61">
              <w:rPr>
                <w:rFonts w:eastAsia="Arial"/>
                <w:sz w:val="16"/>
              </w:rPr>
              <w:t>2011)</w:t>
            </w:r>
          </w:p>
          <w:p w:rsidRPr="002C46E8" w:rsidR="00114F61" w:rsidP="005C6BA3" w:rsidRDefault="00114F61" w14:paraId="27B16848" w14:textId="26A7CDD4">
            <w:pPr>
              <w:pStyle w:val="ListParagraph"/>
              <w:numPr>
                <w:ilvl w:val="0"/>
                <w:numId w:val="40"/>
              </w:numPr>
              <w:tabs>
                <w:tab w:val="left" w:pos="4260"/>
                <w:tab w:val="left" w:pos="5220"/>
              </w:tabs>
              <w:spacing w:before="3"/>
              <w:ind w:right="-14"/>
              <w:rPr>
                <w:rFonts w:eastAsia="Arial"/>
                <w:sz w:val="16"/>
              </w:rPr>
            </w:pPr>
            <w:r w:rsidRPr="002C46E8">
              <w:rPr>
                <w:rFonts w:eastAsia="Arial"/>
                <w:sz w:val="16"/>
              </w:rPr>
              <w:t xml:space="preserve">2011: </w:t>
            </w:r>
            <w:r w:rsidRPr="002C46E8" w:rsidR="005754FE">
              <w:rPr>
                <w:rFonts w:eastAsia="Arial"/>
                <w:sz w:val="16"/>
              </w:rPr>
              <w:t xml:space="preserve">  </w:t>
            </w:r>
            <w:r w:rsidRPr="002C46E8">
              <w:rPr>
                <w:rFonts w:eastAsia="Arial"/>
                <w:sz w:val="16"/>
              </w:rPr>
              <w:t>2 positive specimens of 151,583 tested</w:t>
            </w:r>
          </w:p>
          <w:p w:rsidRPr="002C46E8" w:rsidR="00114F61" w:rsidP="005C6BA3" w:rsidRDefault="00114F61" w14:paraId="5BFA4F72" w14:textId="3276ACDA">
            <w:pPr>
              <w:pStyle w:val="ListParagraph"/>
              <w:numPr>
                <w:ilvl w:val="0"/>
                <w:numId w:val="40"/>
              </w:numPr>
              <w:tabs>
                <w:tab w:val="left" w:pos="4260"/>
                <w:tab w:val="left" w:pos="5220"/>
              </w:tabs>
              <w:spacing w:before="3"/>
              <w:ind w:right="-14"/>
              <w:rPr>
                <w:rFonts w:eastAsia="Arial"/>
                <w:sz w:val="16"/>
              </w:rPr>
            </w:pPr>
            <w:r w:rsidRPr="002C46E8">
              <w:rPr>
                <w:rFonts w:eastAsia="Arial"/>
                <w:sz w:val="16"/>
              </w:rPr>
              <w:t>2012:</w:t>
            </w:r>
            <w:r w:rsidRPr="002C46E8" w:rsidR="005754FE">
              <w:rPr>
                <w:rFonts w:eastAsia="Arial"/>
                <w:sz w:val="16"/>
              </w:rPr>
              <w:t xml:space="preserve">  </w:t>
            </w:r>
            <w:r w:rsidRPr="002C46E8">
              <w:rPr>
                <w:rFonts w:eastAsia="Arial"/>
                <w:sz w:val="16"/>
              </w:rPr>
              <w:t xml:space="preserve"> 8 positive specimens of 148,067 tested</w:t>
            </w:r>
          </w:p>
          <w:p w:rsidRPr="002C46E8" w:rsidR="00114F61" w:rsidP="005C6BA3" w:rsidRDefault="00114F61" w14:paraId="2CC6B895" w14:textId="49766ADC">
            <w:pPr>
              <w:pStyle w:val="ListParagraph"/>
              <w:numPr>
                <w:ilvl w:val="0"/>
                <w:numId w:val="40"/>
              </w:numPr>
              <w:tabs>
                <w:tab w:val="left" w:pos="4260"/>
                <w:tab w:val="left" w:pos="5220"/>
              </w:tabs>
              <w:spacing w:before="3"/>
              <w:ind w:right="-14"/>
              <w:rPr>
                <w:rFonts w:eastAsia="Arial"/>
                <w:sz w:val="16"/>
              </w:rPr>
            </w:pPr>
            <w:r w:rsidRPr="002C46E8">
              <w:rPr>
                <w:rFonts w:eastAsia="Arial"/>
                <w:sz w:val="16"/>
              </w:rPr>
              <w:t xml:space="preserve">2013: </w:t>
            </w:r>
            <w:r w:rsidRPr="002C46E8" w:rsidR="005754FE">
              <w:rPr>
                <w:rFonts w:eastAsia="Arial"/>
                <w:sz w:val="16"/>
              </w:rPr>
              <w:t xml:space="preserve">  </w:t>
            </w:r>
            <w:r w:rsidRPr="002C46E8">
              <w:rPr>
                <w:rFonts w:eastAsia="Arial"/>
                <w:sz w:val="16"/>
              </w:rPr>
              <w:t>9 positive specimens of 137,642 tested</w:t>
            </w:r>
          </w:p>
          <w:p w:rsidRPr="002C46E8" w:rsidR="00114F61" w:rsidP="005C6BA3" w:rsidRDefault="00114F61" w14:paraId="5EA402BF" w14:textId="4B347874">
            <w:pPr>
              <w:pStyle w:val="ListParagraph"/>
              <w:numPr>
                <w:ilvl w:val="0"/>
                <w:numId w:val="40"/>
              </w:numPr>
              <w:tabs>
                <w:tab w:val="left" w:pos="4260"/>
                <w:tab w:val="left" w:pos="5220"/>
              </w:tabs>
              <w:spacing w:before="3"/>
              <w:ind w:right="-14"/>
              <w:rPr>
                <w:rFonts w:eastAsia="Arial"/>
                <w:sz w:val="16"/>
              </w:rPr>
            </w:pPr>
            <w:r w:rsidRPr="002C46E8">
              <w:rPr>
                <w:rFonts w:eastAsia="Arial"/>
                <w:sz w:val="16"/>
              </w:rPr>
              <w:t>2014: 10 positive specimens of 153,269 tested</w:t>
            </w:r>
          </w:p>
          <w:p w:rsidRPr="002C46E8" w:rsidR="00114F61" w:rsidP="005C6BA3" w:rsidRDefault="00114F61" w14:paraId="550A3253" w14:textId="257873FB">
            <w:pPr>
              <w:pStyle w:val="ListParagraph"/>
              <w:numPr>
                <w:ilvl w:val="0"/>
                <w:numId w:val="40"/>
              </w:numPr>
              <w:tabs>
                <w:tab w:val="left" w:pos="4260"/>
                <w:tab w:val="left" w:pos="5220"/>
              </w:tabs>
              <w:spacing w:before="3"/>
              <w:ind w:right="-14"/>
              <w:rPr>
                <w:rFonts w:eastAsia="Arial"/>
                <w:sz w:val="16"/>
              </w:rPr>
            </w:pPr>
            <w:r w:rsidRPr="002C46E8">
              <w:rPr>
                <w:rFonts w:eastAsia="Arial"/>
                <w:sz w:val="16"/>
              </w:rPr>
              <w:t xml:space="preserve">2015: </w:t>
            </w:r>
            <w:r w:rsidRPr="002C46E8" w:rsidR="005754FE">
              <w:rPr>
                <w:rFonts w:eastAsia="Arial"/>
                <w:sz w:val="16"/>
              </w:rPr>
              <w:t xml:space="preserve">  </w:t>
            </w:r>
            <w:r w:rsidRPr="002C46E8">
              <w:rPr>
                <w:rFonts w:eastAsia="Arial"/>
                <w:sz w:val="16"/>
              </w:rPr>
              <w:t>3 positive specimens of 153,569 tested</w:t>
            </w:r>
          </w:p>
          <w:p w:rsidRPr="002C46E8" w:rsidR="00114F61" w:rsidP="005C6BA3" w:rsidRDefault="00114F61" w14:paraId="03398B4C" w14:textId="190631AA">
            <w:pPr>
              <w:pStyle w:val="ListParagraph"/>
              <w:numPr>
                <w:ilvl w:val="0"/>
                <w:numId w:val="40"/>
              </w:numPr>
              <w:tabs>
                <w:tab w:val="left" w:pos="4260"/>
                <w:tab w:val="left" w:pos="5220"/>
              </w:tabs>
              <w:spacing w:before="3"/>
              <w:ind w:right="-14"/>
              <w:rPr>
                <w:rFonts w:eastAsia="Arial"/>
                <w:sz w:val="16"/>
              </w:rPr>
            </w:pPr>
            <w:r w:rsidRPr="002C46E8">
              <w:rPr>
                <w:rFonts w:eastAsia="Arial"/>
                <w:sz w:val="16"/>
              </w:rPr>
              <w:t>2016: 10 positive specimens of 145,025 tested</w:t>
            </w:r>
          </w:p>
          <w:p w:rsidRPr="002C46E8" w:rsidR="00114F61" w:rsidP="005C6BA3" w:rsidRDefault="00114F61" w14:paraId="51A1A0B9" w14:textId="1DABF331">
            <w:pPr>
              <w:pStyle w:val="ListParagraph"/>
              <w:numPr>
                <w:ilvl w:val="0"/>
                <w:numId w:val="40"/>
              </w:numPr>
              <w:tabs>
                <w:tab w:val="left" w:pos="4260"/>
                <w:tab w:val="left" w:pos="5220"/>
              </w:tabs>
              <w:spacing w:before="3"/>
              <w:ind w:right="-14"/>
              <w:rPr>
                <w:rFonts w:eastAsia="Arial"/>
                <w:sz w:val="16"/>
              </w:rPr>
            </w:pPr>
            <w:r w:rsidRPr="002C46E8">
              <w:rPr>
                <w:rFonts w:eastAsia="Arial"/>
                <w:sz w:val="16"/>
              </w:rPr>
              <w:t xml:space="preserve">2017: </w:t>
            </w:r>
            <w:r w:rsidRPr="002C46E8" w:rsidR="005754FE">
              <w:rPr>
                <w:rFonts w:eastAsia="Arial"/>
                <w:sz w:val="16"/>
              </w:rPr>
              <w:t xml:space="preserve">  </w:t>
            </w:r>
            <w:r w:rsidRPr="002C46E8">
              <w:rPr>
                <w:rFonts w:eastAsia="Arial"/>
                <w:sz w:val="16"/>
              </w:rPr>
              <w:t>6 positive specimens of 140,329 tested</w:t>
            </w:r>
          </w:p>
          <w:p w:rsidRPr="002C46E8" w:rsidR="00114F61" w:rsidP="005C6BA3" w:rsidRDefault="00114F61" w14:paraId="409FC94D" w14:textId="689D6DA0">
            <w:pPr>
              <w:pStyle w:val="ListParagraph"/>
              <w:numPr>
                <w:ilvl w:val="0"/>
                <w:numId w:val="40"/>
              </w:numPr>
              <w:tabs>
                <w:tab w:val="left" w:pos="4260"/>
                <w:tab w:val="left" w:pos="5220"/>
              </w:tabs>
              <w:spacing w:before="3"/>
              <w:ind w:right="-14"/>
              <w:rPr>
                <w:rFonts w:eastAsia="Arial"/>
                <w:sz w:val="16"/>
              </w:rPr>
            </w:pPr>
            <w:r w:rsidRPr="002C46E8">
              <w:rPr>
                <w:rFonts w:eastAsia="Arial"/>
                <w:sz w:val="16"/>
              </w:rPr>
              <w:t>2018: 17 positive specimens of 135,111 tested</w:t>
            </w:r>
          </w:p>
          <w:p w:rsidRPr="002C46E8" w:rsidR="00D520BD" w:rsidP="00CC77CA" w:rsidRDefault="00114F61" w14:paraId="765A4C23" w14:textId="7A837042">
            <w:pPr>
              <w:pStyle w:val="ListParagraph"/>
              <w:numPr>
                <w:ilvl w:val="0"/>
                <w:numId w:val="40"/>
              </w:numPr>
              <w:tabs>
                <w:tab w:val="left" w:pos="4260"/>
                <w:tab w:val="left" w:pos="5220"/>
              </w:tabs>
              <w:spacing w:before="3" w:after="60"/>
              <w:ind w:right="-14"/>
              <w:contextualSpacing w:val="0"/>
              <w:rPr>
                <w:rFonts w:eastAsia="Arial"/>
                <w:sz w:val="16"/>
              </w:rPr>
            </w:pPr>
            <w:r w:rsidRPr="002C46E8">
              <w:rPr>
                <w:rFonts w:eastAsia="Arial"/>
                <w:sz w:val="16"/>
              </w:rPr>
              <w:t>2019:</w:t>
            </w:r>
            <w:r w:rsidRPr="002C46E8" w:rsidR="005754FE">
              <w:rPr>
                <w:rFonts w:eastAsia="Arial"/>
                <w:sz w:val="16"/>
              </w:rPr>
              <w:t xml:space="preserve">  </w:t>
            </w:r>
            <w:r w:rsidRPr="002C46E8">
              <w:rPr>
                <w:rFonts w:eastAsia="Arial"/>
                <w:sz w:val="16"/>
              </w:rPr>
              <w:t xml:space="preserve"> 8 positive specimens of 123,337 tested</w:t>
            </w:r>
          </w:p>
        </w:tc>
      </w:tr>
      <w:tr w:rsidRPr="00260F01" w:rsidR="00D520BD" w:rsidTr="00982BD1" w14:paraId="42E03960" w14:textId="77777777">
        <w:trPr>
          <w:cantSplit/>
          <w:trHeight w:val="228"/>
        </w:trPr>
        <w:tc>
          <w:tcPr>
            <w:tcW w:w="5000" w:type="pct"/>
            <w:gridSpan w:val="3"/>
            <w:shd w:val="clear" w:color="auto" w:fill="auto"/>
            <w:vAlign w:val="center"/>
          </w:tcPr>
          <w:p w:rsidRPr="00472AF9" w:rsidR="00D520BD" w:rsidP="00423819" w:rsidRDefault="00D520BD" w14:paraId="6E3D5B30" w14:textId="77777777">
            <w:pPr>
              <w:keepNext/>
              <w:tabs>
                <w:tab w:val="left" w:pos="4260"/>
                <w:tab w:val="left" w:pos="5220"/>
              </w:tabs>
              <w:spacing w:before="3"/>
              <w:ind w:right="-14"/>
              <w:rPr>
                <w:rFonts w:eastAsia="Arial"/>
                <w:sz w:val="16"/>
              </w:rPr>
            </w:pPr>
            <w:r w:rsidRPr="00472AF9">
              <w:rPr>
                <w:rFonts w:eastAsia="Arial"/>
                <w:i/>
                <w:sz w:val="16"/>
              </w:rPr>
              <w:t>Subversion Attempts (Special Analyses Testing of Suspect Specimens)</w:t>
            </w:r>
          </w:p>
        </w:tc>
      </w:tr>
      <w:tr w:rsidRPr="00260F01" w:rsidR="00D520BD" w:rsidTr="001416A2" w14:paraId="1B45EB8C" w14:textId="77777777">
        <w:trPr>
          <w:cantSplit/>
          <w:trHeight w:val="2919"/>
        </w:trPr>
        <w:tc>
          <w:tcPr>
            <w:tcW w:w="1617" w:type="pct"/>
            <w:shd w:val="clear" w:color="auto" w:fill="auto"/>
            <w:vAlign w:val="center"/>
          </w:tcPr>
          <w:p w:rsidRPr="00770A3F" w:rsidR="00D520BD" w:rsidP="00982BD1" w:rsidRDefault="00D520BD" w14:paraId="2F05DD56" w14:textId="77777777">
            <w:pPr>
              <w:tabs>
                <w:tab w:val="left" w:pos="4260"/>
                <w:tab w:val="left" w:pos="5220"/>
              </w:tabs>
              <w:spacing w:before="3"/>
              <w:ind w:left="155" w:right="-14"/>
              <w:rPr>
                <w:rFonts w:eastAsia="Arial"/>
                <w:sz w:val="16"/>
              </w:rPr>
            </w:pPr>
            <w:r w:rsidRPr="00770A3F">
              <w:rPr>
                <w:rFonts w:eastAsia="Arial"/>
                <w:sz w:val="16"/>
              </w:rPr>
              <w:t>Average annual percentage of specimens tested that are determined to be a subversion attempt and that test positive (suspect specimens that test positive on special analyses testing)</w:t>
            </w:r>
          </w:p>
        </w:tc>
        <w:tc>
          <w:tcPr>
            <w:tcW w:w="681" w:type="pct"/>
            <w:shd w:val="clear" w:color="auto" w:fill="auto"/>
            <w:vAlign w:val="center"/>
          </w:tcPr>
          <w:p w:rsidRPr="00770A3F" w:rsidR="00D520BD" w:rsidP="00982BD1" w:rsidRDefault="00D520BD" w14:paraId="0F08EE55" w14:textId="362698BC">
            <w:pPr>
              <w:tabs>
                <w:tab w:val="left" w:pos="4260"/>
                <w:tab w:val="left" w:pos="5220"/>
              </w:tabs>
              <w:spacing w:before="3"/>
              <w:ind w:right="-20"/>
              <w:jc w:val="center"/>
              <w:rPr>
                <w:rFonts w:eastAsia="Arial"/>
                <w:sz w:val="16"/>
              </w:rPr>
            </w:pPr>
            <w:r w:rsidRPr="00770A3F">
              <w:rPr>
                <w:rFonts w:eastAsia="Arial"/>
                <w:sz w:val="16"/>
              </w:rPr>
              <w:t>0.0</w:t>
            </w:r>
            <w:r w:rsidRPr="00770A3F" w:rsidR="00606F0C">
              <w:rPr>
                <w:rFonts w:eastAsia="Arial"/>
                <w:sz w:val="16"/>
              </w:rPr>
              <w:t>49</w:t>
            </w:r>
            <w:r w:rsidRPr="00770A3F">
              <w:rPr>
                <w:rFonts w:eastAsia="Arial"/>
                <w:sz w:val="16"/>
              </w:rPr>
              <w:t>%</w:t>
            </w:r>
          </w:p>
        </w:tc>
        <w:tc>
          <w:tcPr>
            <w:tcW w:w="2702" w:type="pct"/>
            <w:shd w:val="clear" w:color="auto" w:fill="auto"/>
            <w:vAlign w:val="center"/>
          </w:tcPr>
          <w:p w:rsidRPr="00770A3F" w:rsidR="00B427C4" w:rsidP="0068339C" w:rsidRDefault="00B427C4" w14:paraId="07425F98" w14:textId="45CC8CB7">
            <w:pPr>
              <w:tabs>
                <w:tab w:val="left" w:pos="4260"/>
                <w:tab w:val="left" w:pos="5220"/>
              </w:tabs>
              <w:spacing w:before="3"/>
              <w:ind w:right="-14"/>
              <w:rPr>
                <w:rFonts w:eastAsia="Arial"/>
                <w:sz w:val="16"/>
              </w:rPr>
            </w:pPr>
            <w:r w:rsidRPr="00770A3F">
              <w:rPr>
                <w:rFonts w:eastAsia="Arial"/>
                <w:sz w:val="16"/>
              </w:rPr>
              <w:t>The final rule requires special analyses testing in two circumstances:</w:t>
            </w:r>
            <w:r w:rsidR="004309D6">
              <w:rPr>
                <w:rFonts w:eastAsia="Arial" w:cs="Arial"/>
                <w:sz w:val="16"/>
                <w:szCs w:val="16"/>
              </w:rPr>
              <w:t xml:space="preserve">  </w:t>
            </w:r>
            <w:r w:rsidRPr="00770A3F">
              <w:rPr>
                <w:rFonts w:eastAsia="Arial"/>
                <w:sz w:val="16"/>
              </w:rPr>
              <w:t xml:space="preserve">(1) </w:t>
            </w:r>
            <w:r w:rsidR="00360E12">
              <w:rPr>
                <w:rFonts w:eastAsia="Arial" w:cs="Arial"/>
                <w:sz w:val="16"/>
                <w:szCs w:val="16"/>
              </w:rPr>
              <w:t>o</w:t>
            </w:r>
            <w:r w:rsidRPr="00260F01">
              <w:rPr>
                <w:rFonts w:eastAsia="Arial" w:cs="Arial"/>
                <w:sz w:val="16"/>
                <w:szCs w:val="16"/>
              </w:rPr>
              <w:t>n</w:t>
            </w:r>
            <w:r w:rsidRPr="00770A3F">
              <w:rPr>
                <w:rFonts w:eastAsia="Arial"/>
                <w:sz w:val="16"/>
              </w:rPr>
              <w:t xml:space="preserve"> the second specimen collected under direct observation when the initial specimen collected exhibits unusual characteristics (e.g., temperature out of range, unusual color or odor</w:t>
            </w:r>
            <w:r w:rsidRPr="00260F01">
              <w:rPr>
                <w:rFonts w:eastAsia="Arial" w:cs="Arial"/>
                <w:sz w:val="16"/>
                <w:szCs w:val="16"/>
              </w:rPr>
              <w:t>)</w:t>
            </w:r>
            <w:r w:rsidR="004309D6">
              <w:rPr>
                <w:rFonts w:eastAsia="Arial" w:cs="Arial"/>
                <w:sz w:val="16"/>
                <w:szCs w:val="16"/>
              </w:rPr>
              <w:t xml:space="preserve">, and </w:t>
            </w:r>
            <w:r w:rsidRPr="00770A3F">
              <w:rPr>
                <w:rFonts w:eastAsia="Arial"/>
                <w:sz w:val="16"/>
              </w:rPr>
              <w:t xml:space="preserve">(2) </w:t>
            </w:r>
            <w:r w:rsidR="00360E12">
              <w:rPr>
                <w:rFonts w:eastAsia="Arial" w:cs="Arial"/>
                <w:sz w:val="16"/>
                <w:szCs w:val="16"/>
              </w:rPr>
              <w:t>o</w:t>
            </w:r>
            <w:r w:rsidRPr="00260F01">
              <w:rPr>
                <w:rFonts w:eastAsia="Arial" w:cs="Arial"/>
                <w:sz w:val="16"/>
                <w:szCs w:val="16"/>
              </w:rPr>
              <w:t>n</w:t>
            </w:r>
            <w:r w:rsidRPr="00770A3F">
              <w:rPr>
                <w:rFonts w:eastAsia="Arial"/>
                <w:sz w:val="16"/>
              </w:rPr>
              <w:t xml:space="preserve"> the second specimen collected under direct observation when the initial specimen is reported as an invalid test result</w:t>
            </w:r>
            <w:r w:rsidRPr="00770A3F" w:rsidR="004309D6">
              <w:rPr>
                <w:rFonts w:eastAsia="Arial"/>
                <w:sz w:val="16"/>
              </w:rPr>
              <w:t>.</w:t>
            </w:r>
          </w:p>
          <w:p w:rsidRPr="00770A3F" w:rsidR="00B427C4" w:rsidP="0068339C" w:rsidRDefault="00B427C4" w14:paraId="1859FC33" w14:textId="77777777">
            <w:pPr>
              <w:tabs>
                <w:tab w:val="left" w:pos="4260"/>
                <w:tab w:val="left" w:pos="5220"/>
              </w:tabs>
              <w:spacing w:before="3"/>
              <w:ind w:right="-14"/>
              <w:rPr>
                <w:rFonts w:eastAsia="Arial"/>
                <w:sz w:val="16"/>
              </w:rPr>
            </w:pPr>
          </w:p>
          <w:p w:rsidRPr="00770A3F" w:rsidR="0067252B" w:rsidP="0068339C" w:rsidRDefault="00B427C4" w14:paraId="598251F3" w14:textId="77777777">
            <w:pPr>
              <w:tabs>
                <w:tab w:val="left" w:pos="4260"/>
                <w:tab w:val="left" w:pos="5220"/>
              </w:tabs>
              <w:spacing w:before="3"/>
              <w:ind w:right="-14"/>
              <w:rPr>
                <w:rFonts w:eastAsia="Arial"/>
                <w:sz w:val="16"/>
              </w:rPr>
            </w:pPr>
            <w:r w:rsidRPr="00770A3F">
              <w:rPr>
                <w:rFonts w:eastAsia="Arial"/>
                <w:sz w:val="16"/>
              </w:rPr>
              <w:t xml:space="preserve">NRC FFD Program Performance </w:t>
            </w:r>
            <w:r w:rsidRPr="00770A3F" w:rsidR="00CB4666">
              <w:rPr>
                <w:rFonts w:eastAsia="Arial"/>
                <w:sz w:val="16"/>
              </w:rPr>
              <w:t>Results</w:t>
            </w:r>
            <w:r w:rsidRPr="00770A3F">
              <w:rPr>
                <w:rFonts w:eastAsia="Arial"/>
                <w:sz w:val="16"/>
              </w:rPr>
              <w:t xml:space="preserve"> </w:t>
            </w:r>
          </w:p>
          <w:p w:rsidRPr="00770A3F" w:rsidR="00B427C4" w:rsidP="0068339C" w:rsidRDefault="00B427C4" w14:paraId="4F2CE9EC" w14:textId="0782D222">
            <w:pPr>
              <w:tabs>
                <w:tab w:val="left" w:pos="4260"/>
                <w:tab w:val="left" w:pos="5220"/>
              </w:tabs>
              <w:spacing w:before="3"/>
              <w:ind w:right="-14"/>
              <w:rPr>
                <w:rFonts w:eastAsia="Arial"/>
                <w:sz w:val="16"/>
              </w:rPr>
            </w:pPr>
            <w:r w:rsidRPr="00770A3F">
              <w:rPr>
                <w:rFonts w:eastAsia="Arial"/>
                <w:sz w:val="16"/>
              </w:rPr>
              <w:t>(e-reported data</w:t>
            </w:r>
            <w:r w:rsidRPr="00770A3F" w:rsidR="00296CAF">
              <w:rPr>
                <w:rFonts w:eastAsia="Arial"/>
                <w:sz w:val="16"/>
              </w:rPr>
              <w:t>, first available in CY 2011</w:t>
            </w:r>
            <w:r w:rsidRPr="00770A3F">
              <w:rPr>
                <w:rFonts w:eastAsia="Arial"/>
                <w:sz w:val="16"/>
              </w:rPr>
              <w:t>)</w:t>
            </w:r>
          </w:p>
          <w:p w:rsidRPr="00770A3F" w:rsidR="00B427C4" w:rsidP="005C6BA3" w:rsidRDefault="004309D6" w14:paraId="0916E1D2" w14:textId="533F23F8">
            <w:pPr>
              <w:pStyle w:val="ListParagraph"/>
              <w:numPr>
                <w:ilvl w:val="0"/>
                <w:numId w:val="40"/>
              </w:numPr>
              <w:tabs>
                <w:tab w:val="left" w:pos="4260"/>
                <w:tab w:val="left" w:pos="5220"/>
              </w:tabs>
              <w:spacing w:before="3"/>
              <w:ind w:right="-14"/>
              <w:rPr>
                <w:rFonts w:eastAsia="Arial"/>
                <w:sz w:val="16"/>
              </w:rPr>
            </w:pPr>
            <w:r>
              <w:rPr>
                <w:rFonts w:eastAsia="Arial" w:cs="Arial"/>
                <w:sz w:val="16"/>
                <w:szCs w:val="16"/>
              </w:rPr>
              <w:t>i</w:t>
            </w:r>
            <w:r w:rsidRPr="00260F01" w:rsidR="00B427C4">
              <w:rPr>
                <w:rFonts w:eastAsia="Arial" w:cs="Arial"/>
                <w:sz w:val="16"/>
                <w:szCs w:val="16"/>
              </w:rPr>
              <w:t>n</w:t>
            </w:r>
            <w:r w:rsidRPr="00770A3F" w:rsidR="00B427C4">
              <w:rPr>
                <w:rFonts w:eastAsia="Arial"/>
                <w:sz w:val="16"/>
              </w:rPr>
              <w:t xml:space="preserve"> 2011, 42 suspect specimens / 142,250 specimens collected (62 sites) = 0.030%</w:t>
            </w:r>
          </w:p>
          <w:p w:rsidRPr="00770A3F" w:rsidR="00B427C4" w:rsidP="005C6BA3" w:rsidRDefault="004309D6" w14:paraId="4DE1FC05" w14:textId="3853B29E">
            <w:pPr>
              <w:pStyle w:val="ListParagraph"/>
              <w:numPr>
                <w:ilvl w:val="0"/>
                <w:numId w:val="40"/>
              </w:numPr>
              <w:tabs>
                <w:tab w:val="left" w:pos="4260"/>
                <w:tab w:val="left" w:pos="5220"/>
              </w:tabs>
              <w:spacing w:before="3"/>
              <w:ind w:right="-14"/>
              <w:rPr>
                <w:rFonts w:eastAsia="Arial"/>
                <w:sz w:val="16"/>
              </w:rPr>
            </w:pPr>
            <w:r>
              <w:rPr>
                <w:rFonts w:eastAsia="Arial" w:cs="Arial"/>
                <w:sz w:val="16"/>
                <w:szCs w:val="16"/>
              </w:rPr>
              <w:t>i</w:t>
            </w:r>
            <w:r w:rsidRPr="00260F01" w:rsidR="00B427C4">
              <w:rPr>
                <w:rFonts w:eastAsia="Arial" w:cs="Arial"/>
                <w:sz w:val="16"/>
                <w:szCs w:val="16"/>
              </w:rPr>
              <w:t>n</w:t>
            </w:r>
            <w:r w:rsidRPr="00770A3F" w:rsidR="00B427C4">
              <w:rPr>
                <w:rFonts w:eastAsia="Arial"/>
                <w:sz w:val="16"/>
              </w:rPr>
              <w:t xml:space="preserve"> 2012, 56 suspect specimens / 157,528 specimens collected (67 sites) = 0.036%</w:t>
            </w:r>
          </w:p>
          <w:p w:rsidRPr="00770A3F" w:rsidR="00B427C4" w:rsidP="005C6BA3" w:rsidRDefault="004309D6" w14:paraId="718E37A3" w14:textId="7DF822D9">
            <w:pPr>
              <w:pStyle w:val="ListParagraph"/>
              <w:numPr>
                <w:ilvl w:val="0"/>
                <w:numId w:val="40"/>
              </w:numPr>
              <w:tabs>
                <w:tab w:val="left" w:pos="4260"/>
                <w:tab w:val="left" w:pos="5220"/>
              </w:tabs>
              <w:spacing w:before="3"/>
              <w:ind w:right="-14"/>
              <w:rPr>
                <w:rFonts w:eastAsia="Arial"/>
                <w:sz w:val="16"/>
              </w:rPr>
            </w:pPr>
            <w:r>
              <w:rPr>
                <w:rFonts w:eastAsia="Arial" w:cs="Arial"/>
                <w:sz w:val="16"/>
                <w:szCs w:val="16"/>
              </w:rPr>
              <w:t>i</w:t>
            </w:r>
            <w:r w:rsidRPr="00260F01" w:rsidR="00B427C4">
              <w:rPr>
                <w:rFonts w:eastAsia="Arial" w:cs="Arial"/>
                <w:sz w:val="16"/>
                <w:szCs w:val="16"/>
              </w:rPr>
              <w:t>n</w:t>
            </w:r>
            <w:r w:rsidRPr="00770A3F" w:rsidR="00B427C4">
              <w:rPr>
                <w:rFonts w:eastAsia="Arial"/>
                <w:sz w:val="16"/>
              </w:rPr>
              <w:t xml:space="preserve"> 2013, 44 suspect specimens / 151,323 specimens collected (71 sites) = 0.029%</w:t>
            </w:r>
          </w:p>
          <w:p w:rsidRPr="00770A3F" w:rsidR="00B427C4" w:rsidP="005C6BA3" w:rsidRDefault="004309D6" w14:paraId="77F950A9" w14:textId="335DDBAA">
            <w:pPr>
              <w:pStyle w:val="ListParagraph"/>
              <w:numPr>
                <w:ilvl w:val="0"/>
                <w:numId w:val="40"/>
              </w:numPr>
              <w:tabs>
                <w:tab w:val="left" w:pos="4260"/>
                <w:tab w:val="left" w:pos="5220"/>
              </w:tabs>
              <w:spacing w:before="3"/>
              <w:ind w:right="-14"/>
              <w:rPr>
                <w:rFonts w:eastAsia="Arial"/>
                <w:sz w:val="16"/>
              </w:rPr>
            </w:pPr>
            <w:r>
              <w:rPr>
                <w:rFonts w:eastAsia="Arial" w:cs="Arial"/>
                <w:sz w:val="16"/>
                <w:szCs w:val="16"/>
              </w:rPr>
              <w:t>i</w:t>
            </w:r>
            <w:r w:rsidRPr="00260F01" w:rsidR="00B427C4">
              <w:rPr>
                <w:rFonts w:eastAsia="Arial" w:cs="Arial"/>
                <w:sz w:val="16"/>
                <w:szCs w:val="16"/>
              </w:rPr>
              <w:t>n</w:t>
            </w:r>
            <w:r w:rsidRPr="00770A3F" w:rsidR="00B427C4">
              <w:rPr>
                <w:rFonts w:eastAsia="Arial"/>
                <w:sz w:val="16"/>
              </w:rPr>
              <w:t xml:space="preserve"> 2014, 63 suspect specimens / 166,590 specimens collected (75 sites) = 0.038%</w:t>
            </w:r>
          </w:p>
          <w:p w:rsidRPr="00770A3F" w:rsidR="00B427C4" w:rsidP="005C6BA3" w:rsidRDefault="004309D6" w14:paraId="32986BB1" w14:textId="32C0D3E9">
            <w:pPr>
              <w:pStyle w:val="ListParagraph"/>
              <w:numPr>
                <w:ilvl w:val="0"/>
                <w:numId w:val="40"/>
              </w:numPr>
              <w:tabs>
                <w:tab w:val="left" w:pos="4260"/>
                <w:tab w:val="left" w:pos="5220"/>
              </w:tabs>
              <w:spacing w:before="3"/>
              <w:ind w:right="-14"/>
              <w:rPr>
                <w:rFonts w:eastAsia="Arial"/>
                <w:sz w:val="16"/>
              </w:rPr>
            </w:pPr>
            <w:r>
              <w:rPr>
                <w:rFonts w:eastAsia="Arial" w:cs="Arial"/>
                <w:sz w:val="16"/>
                <w:szCs w:val="16"/>
              </w:rPr>
              <w:t>i</w:t>
            </w:r>
            <w:r w:rsidRPr="00260F01" w:rsidR="00B427C4">
              <w:rPr>
                <w:rFonts w:eastAsia="Arial" w:cs="Arial"/>
                <w:sz w:val="16"/>
                <w:szCs w:val="16"/>
              </w:rPr>
              <w:t>n</w:t>
            </w:r>
            <w:r w:rsidRPr="00770A3F" w:rsidR="00B427C4">
              <w:rPr>
                <w:rFonts w:eastAsia="Arial"/>
                <w:sz w:val="16"/>
              </w:rPr>
              <w:t xml:space="preserve"> 2015, 81 suspect specimens / 163,396 specimens collected (</w:t>
            </w:r>
            <w:r w:rsidRPr="00770A3F" w:rsidR="00D6242E">
              <w:rPr>
                <w:rFonts w:eastAsia="Arial"/>
                <w:sz w:val="16"/>
              </w:rPr>
              <w:t>73</w:t>
            </w:r>
            <w:r w:rsidRPr="00770A3F" w:rsidR="00B427C4">
              <w:rPr>
                <w:rFonts w:eastAsia="Arial"/>
                <w:sz w:val="16"/>
              </w:rPr>
              <w:t xml:space="preserve"> sites) = 0.050%</w:t>
            </w:r>
          </w:p>
          <w:p w:rsidRPr="00770A3F" w:rsidR="00B427C4" w:rsidP="005C6BA3" w:rsidRDefault="004309D6" w14:paraId="1C68285D" w14:textId="2A8E729A">
            <w:pPr>
              <w:pStyle w:val="ListParagraph"/>
              <w:numPr>
                <w:ilvl w:val="0"/>
                <w:numId w:val="40"/>
              </w:numPr>
              <w:tabs>
                <w:tab w:val="left" w:pos="4260"/>
                <w:tab w:val="left" w:pos="5220"/>
              </w:tabs>
              <w:spacing w:before="3"/>
              <w:ind w:right="-14"/>
              <w:rPr>
                <w:rFonts w:eastAsia="Arial"/>
                <w:sz w:val="16"/>
              </w:rPr>
            </w:pPr>
            <w:r>
              <w:rPr>
                <w:rFonts w:eastAsia="Arial" w:cs="Arial"/>
                <w:sz w:val="16"/>
                <w:szCs w:val="16"/>
              </w:rPr>
              <w:t>i</w:t>
            </w:r>
            <w:r w:rsidRPr="00260F01" w:rsidR="00B427C4">
              <w:rPr>
                <w:rFonts w:eastAsia="Arial" w:cs="Arial"/>
                <w:sz w:val="16"/>
                <w:szCs w:val="16"/>
              </w:rPr>
              <w:t>n</w:t>
            </w:r>
            <w:r w:rsidRPr="00770A3F" w:rsidR="00B427C4">
              <w:rPr>
                <w:rFonts w:eastAsia="Arial"/>
                <w:sz w:val="16"/>
              </w:rPr>
              <w:t xml:space="preserve"> 2016, 119 suspect specimens / 153,951 specimens collected (</w:t>
            </w:r>
            <w:r w:rsidRPr="00770A3F" w:rsidR="00D6242E">
              <w:rPr>
                <w:rFonts w:eastAsia="Arial"/>
                <w:sz w:val="16"/>
              </w:rPr>
              <w:t>73</w:t>
            </w:r>
            <w:r w:rsidRPr="00770A3F" w:rsidR="00B427C4">
              <w:rPr>
                <w:rFonts w:eastAsia="Arial"/>
                <w:sz w:val="16"/>
              </w:rPr>
              <w:t xml:space="preserve"> sites) = 0.077%</w:t>
            </w:r>
          </w:p>
          <w:p w:rsidRPr="00770A3F" w:rsidR="00B427C4" w:rsidP="005C6BA3" w:rsidRDefault="004309D6" w14:paraId="62E14110" w14:textId="35CF596F">
            <w:pPr>
              <w:pStyle w:val="ListParagraph"/>
              <w:numPr>
                <w:ilvl w:val="0"/>
                <w:numId w:val="40"/>
              </w:numPr>
              <w:tabs>
                <w:tab w:val="left" w:pos="4260"/>
                <w:tab w:val="left" w:pos="5220"/>
              </w:tabs>
              <w:spacing w:before="3"/>
              <w:ind w:right="-14"/>
              <w:rPr>
                <w:rFonts w:eastAsia="Arial"/>
                <w:sz w:val="16"/>
              </w:rPr>
            </w:pPr>
            <w:r>
              <w:rPr>
                <w:rFonts w:eastAsia="Arial" w:cs="Arial"/>
                <w:sz w:val="16"/>
                <w:szCs w:val="16"/>
              </w:rPr>
              <w:t>i</w:t>
            </w:r>
            <w:r w:rsidRPr="00260F01" w:rsidR="00B427C4">
              <w:rPr>
                <w:rFonts w:eastAsia="Arial" w:cs="Arial"/>
                <w:sz w:val="16"/>
                <w:szCs w:val="16"/>
              </w:rPr>
              <w:t>n</w:t>
            </w:r>
            <w:r w:rsidRPr="00770A3F" w:rsidR="00B427C4">
              <w:rPr>
                <w:rFonts w:eastAsia="Arial"/>
                <w:sz w:val="16"/>
              </w:rPr>
              <w:t xml:space="preserve"> 2017, 93 suspect specimens / 148,741 specimens collected (</w:t>
            </w:r>
            <w:r w:rsidRPr="00770A3F" w:rsidR="00980BDC">
              <w:rPr>
                <w:rFonts w:eastAsia="Arial"/>
                <w:sz w:val="16"/>
              </w:rPr>
              <w:t>72</w:t>
            </w:r>
            <w:r w:rsidRPr="00770A3F" w:rsidR="00B427C4">
              <w:rPr>
                <w:rFonts w:eastAsia="Arial"/>
                <w:sz w:val="16"/>
              </w:rPr>
              <w:t xml:space="preserve"> sites) = 0.063%</w:t>
            </w:r>
          </w:p>
          <w:p w:rsidRPr="00770A3F" w:rsidR="00B427C4" w:rsidP="005C6BA3" w:rsidRDefault="004309D6" w14:paraId="7689F560" w14:textId="6EA6C8D8">
            <w:pPr>
              <w:pStyle w:val="ListParagraph"/>
              <w:numPr>
                <w:ilvl w:val="0"/>
                <w:numId w:val="40"/>
              </w:numPr>
              <w:tabs>
                <w:tab w:val="left" w:pos="4260"/>
                <w:tab w:val="left" w:pos="5220"/>
              </w:tabs>
              <w:spacing w:before="3"/>
              <w:ind w:right="-14"/>
              <w:rPr>
                <w:rFonts w:eastAsia="Arial"/>
                <w:sz w:val="16"/>
              </w:rPr>
            </w:pPr>
            <w:r>
              <w:rPr>
                <w:rFonts w:eastAsia="Arial" w:cs="Arial"/>
                <w:sz w:val="16"/>
                <w:szCs w:val="16"/>
              </w:rPr>
              <w:t>i</w:t>
            </w:r>
            <w:r w:rsidRPr="00260F01" w:rsidR="00B427C4">
              <w:rPr>
                <w:rFonts w:eastAsia="Arial" w:cs="Arial"/>
                <w:sz w:val="16"/>
                <w:szCs w:val="16"/>
              </w:rPr>
              <w:t>n</w:t>
            </w:r>
            <w:r w:rsidRPr="00770A3F" w:rsidR="00B427C4">
              <w:rPr>
                <w:rFonts w:eastAsia="Arial"/>
                <w:sz w:val="16"/>
              </w:rPr>
              <w:t xml:space="preserve"> 2018, 72 suspect specimens / 145,797 specimens collected (</w:t>
            </w:r>
            <w:r w:rsidRPr="00770A3F" w:rsidR="00980BDC">
              <w:rPr>
                <w:rFonts w:eastAsia="Arial"/>
                <w:sz w:val="16"/>
              </w:rPr>
              <w:t>71</w:t>
            </w:r>
            <w:r w:rsidRPr="00770A3F" w:rsidR="00B427C4">
              <w:rPr>
                <w:rFonts w:eastAsia="Arial"/>
                <w:sz w:val="16"/>
              </w:rPr>
              <w:t xml:space="preserve"> sites) = 0.049%</w:t>
            </w:r>
          </w:p>
          <w:p w:rsidRPr="00770A3F" w:rsidR="00D520BD" w:rsidP="005C6BA3" w:rsidRDefault="004309D6" w14:paraId="79A07218" w14:textId="0F73F84A">
            <w:pPr>
              <w:pStyle w:val="ListParagraph"/>
              <w:numPr>
                <w:ilvl w:val="0"/>
                <w:numId w:val="40"/>
              </w:numPr>
              <w:tabs>
                <w:tab w:val="left" w:pos="4260"/>
                <w:tab w:val="left" w:pos="5220"/>
              </w:tabs>
              <w:spacing w:before="3"/>
              <w:ind w:right="-14"/>
              <w:rPr>
                <w:rFonts w:eastAsia="Arial"/>
                <w:sz w:val="16"/>
              </w:rPr>
            </w:pPr>
            <w:r>
              <w:rPr>
                <w:rFonts w:eastAsia="Arial" w:cs="Arial"/>
                <w:sz w:val="16"/>
                <w:szCs w:val="16"/>
              </w:rPr>
              <w:t>i</w:t>
            </w:r>
            <w:r w:rsidRPr="00260F01" w:rsidR="00B427C4">
              <w:rPr>
                <w:rFonts w:eastAsia="Arial" w:cs="Arial"/>
                <w:sz w:val="16"/>
                <w:szCs w:val="16"/>
              </w:rPr>
              <w:t>n</w:t>
            </w:r>
            <w:r w:rsidRPr="00770A3F" w:rsidR="00B427C4">
              <w:rPr>
                <w:rFonts w:eastAsia="Arial"/>
                <w:sz w:val="16"/>
              </w:rPr>
              <w:t xml:space="preserve"> 2019, 68 suspect specimens / 131,416 specimens collected (</w:t>
            </w:r>
            <w:r w:rsidRPr="00770A3F" w:rsidR="00980BDC">
              <w:rPr>
                <w:rFonts w:eastAsia="Arial"/>
                <w:sz w:val="16"/>
              </w:rPr>
              <w:t>70</w:t>
            </w:r>
            <w:r w:rsidRPr="00770A3F" w:rsidR="00B427C4">
              <w:rPr>
                <w:rFonts w:eastAsia="Arial"/>
                <w:sz w:val="16"/>
              </w:rPr>
              <w:t xml:space="preserve"> sites) = 0.052%</w:t>
            </w:r>
          </w:p>
        </w:tc>
      </w:tr>
      <w:tr w:rsidRPr="00260F01" w:rsidR="00D520BD" w:rsidTr="001416A2" w14:paraId="726F7A71" w14:textId="77777777">
        <w:trPr>
          <w:cantSplit/>
          <w:trHeight w:val="489"/>
        </w:trPr>
        <w:tc>
          <w:tcPr>
            <w:tcW w:w="1617" w:type="pct"/>
            <w:shd w:val="clear" w:color="auto" w:fill="auto"/>
            <w:vAlign w:val="center"/>
          </w:tcPr>
          <w:p w:rsidRPr="00770A3F" w:rsidR="00D520BD" w:rsidP="00982BD1" w:rsidRDefault="00D520BD" w14:paraId="646A11D4" w14:textId="77777777">
            <w:pPr>
              <w:tabs>
                <w:tab w:val="left" w:pos="4260"/>
                <w:tab w:val="left" w:pos="5220"/>
              </w:tabs>
              <w:spacing w:before="3"/>
              <w:ind w:left="155" w:right="-14"/>
              <w:rPr>
                <w:rFonts w:eastAsia="Arial"/>
                <w:sz w:val="16"/>
              </w:rPr>
            </w:pPr>
            <w:r w:rsidRPr="00770A3F">
              <w:rPr>
                <w:rFonts w:eastAsia="Arial"/>
                <w:sz w:val="16"/>
              </w:rPr>
              <w:t>Project percent increase in confirmed positive test rate for specimens collected under direct observation</w:t>
            </w:r>
          </w:p>
        </w:tc>
        <w:tc>
          <w:tcPr>
            <w:tcW w:w="681" w:type="pct"/>
            <w:tcBorders>
              <w:bottom w:val="single" w:color="auto" w:sz="4" w:space="0"/>
            </w:tcBorders>
            <w:shd w:val="clear" w:color="auto" w:fill="auto"/>
            <w:vAlign w:val="center"/>
          </w:tcPr>
          <w:p w:rsidRPr="00770A3F" w:rsidR="00D520BD" w:rsidP="00982BD1" w:rsidRDefault="00382D82" w14:paraId="543AE627" w14:textId="191995C2">
            <w:pPr>
              <w:tabs>
                <w:tab w:val="left" w:pos="4260"/>
                <w:tab w:val="left" w:pos="5220"/>
              </w:tabs>
              <w:spacing w:before="3"/>
              <w:ind w:right="-20"/>
              <w:jc w:val="center"/>
              <w:rPr>
                <w:rFonts w:eastAsia="Arial"/>
                <w:sz w:val="16"/>
              </w:rPr>
            </w:pPr>
            <w:r w:rsidRPr="00770A3F">
              <w:rPr>
                <w:rFonts w:eastAsia="Arial"/>
                <w:sz w:val="16"/>
              </w:rPr>
              <w:t>12.5</w:t>
            </w:r>
            <w:r w:rsidRPr="00770A3F" w:rsidR="00D520BD">
              <w:rPr>
                <w:rFonts w:eastAsia="Arial"/>
                <w:sz w:val="16"/>
              </w:rPr>
              <w:t>%</w:t>
            </w:r>
          </w:p>
        </w:tc>
        <w:tc>
          <w:tcPr>
            <w:tcW w:w="2702" w:type="pct"/>
            <w:shd w:val="clear" w:color="auto" w:fill="auto"/>
            <w:vAlign w:val="center"/>
          </w:tcPr>
          <w:p w:rsidRPr="00770A3F" w:rsidR="00D520BD" w:rsidP="00982BD1" w:rsidRDefault="00D520BD" w14:paraId="729C54D6" w14:textId="77777777">
            <w:pPr>
              <w:tabs>
                <w:tab w:val="left" w:pos="4260"/>
                <w:tab w:val="left" w:pos="5220"/>
              </w:tabs>
              <w:spacing w:before="3"/>
              <w:ind w:right="-14"/>
              <w:rPr>
                <w:rFonts w:eastAsia="Arial"/>
                <w:sz w:val="16"/>
              </w:rPr>
            </w:pPr>
            <w:r w:rsidRPr="00770A3F">
              <w:rPr>
                <w:rFonts w:eastAsia="Arial"/>
                <w:sz w:val="16"/>
              </w:rPr>
              <w:t>NRC staff assumption</w:t>
            </w:r>
          </w:p>
        </w:tc>
      </w:tr>
      <w:tr w:rsidRPr="00260F01" w:rsidR="004545F1" w:rsidTr="00743849" w14:paraId="5B003920" w14:textId="77777777">
        <w:trPr>
          <w:cantSplit/>
          <w:trHeight w:val="237"/>
        </w:trPr>
        <w:tc>
          <w:tcPr>
            <w:tcW w:w="1617" w:type="pct"/>
            <w:shd w:val="clear" w:color="auto" w:fill="auto"/>
            <w:vAlign w:val="center"/>
          </w:tcPr>
          <w:p w:rsidRPr="00770A3F" w:rsidR="004545F1" w:rsidP="00982BD1" w:rsidRDefault="004545F1" w14:paraId="1D7646E7" w14:textId="3CD63FE6">
            <w:pPr>
              <w:tabs>
                <w:tab w:val="left" w:pos="4260"/>
                <w:tab w:val="left" w:pos="5220"/>
              </w:tabs>
              <w:spacing w:before="3"/>
              <w:ind w:left="155" w:right="-14"/>
              <w:rPr>
                <w:rFonts w:eastAsia="Arial"/>
                <w:sz w:val="16"/>
              </w:rPr>
            </w:pPr>
            <w:r w:rsidRPr="00770A3F">
              <w:rPr>
                <w:rFonts w:eastAsia="Arial"/>
                <w:sz w:val="16"/>
              </w:rPr>
              <w:t>MRO subsequent action labor hours</w:t>
            </w:r>
          </w:p>
        </w:tc>
        <w:tc>
          <w:tcPr>
            <w:tcW w:w="681" w:type="pct"/>
            <w:shd w:val="clear" w:color="auto" w:fill="FFFFFF" w:themeFill="background1"/>
            <w:vAlign w:val="center"/>
          </w:tcPr>
          <w:p w:rsidRPr="00770A3F" w:rsidR="004545F1" w:rsidP="00982BD1" w:rsidRDefault="004545F1" w14:paraId="5D8ABD5F" w14:textId="53905C8B">
            <w:pPr>
              <w:tabs>
                <w:tab w:val="left" w:pos="4260"/>
                <w:tab w:val="left" w:pos="5220"/>
              </w:tabs>
              <w:spacing w:before="3"/>
              <w:ind w:right="-20"/>
              <w:jc w:val="center"/>
              <w:rPr>
                <w:rFonts w:eastAsia="Arial"/>
                <w:sz w:val="16"/>
              </w:rPr>
            </w:pPr>
            <w:r w:rsidRPr="00770A3F">
              <w:rPr>
                <w:rFonts w:eastAsia="Arial"/>
                <w:sz w:val="16"/>
              </w:rPr>
              <w:t>0.71 hour</w:t>
            </w:r>
          </w:p>
        </w:tc>
        <w:tc>
          <w:tcPr>
            <w:tcW w:w="2702" w:type="pct"/>
            <w:shd w:val="clear" w:color="auto" w:fill="auto"/>
            <w:vAlign w:val="center"/>
          </w:tcPr>
          <w:p w:rsidRPr="00770A3F" w:rsidR="004545F1" w:rsidP="00982BD1" w:rsidRDefault="004545F1" w14:paraId="2E8FBADB" w14:textId="73ED745B">
            <w:pPr>
              <w:tabs>
                <w:tab w:val="left" w:pos="4260"/>
                <w:tab w:val="left" w:pos="5220"/>
              </w:tabs>
              <w:spacing w:before="3"/>
              <w:ind w:right="-14"/>
              <w:rPr>
                <w:rFonts w:eastAsia="Arial"/>
                <w:sz w:val="16"/>
              </w:rPr>
            </w:pPr>
            <w:r w:rsidRPr="00770A3F">
              <w:rPr>
                <w:rFonts w:eastAsia="Arial"/>
                <w:sz w:val="16"/>
              </w:rPr>
              <w:t>NRC staff assumption</w:t>
            </w:r>
          </w:p>
        </w:tc>
      </w:tr>
      <w:tr w:rsidRPr="00260F01" w:rsidR="00D520BD" w:rsidTr="00982BD1" w14:paraId="13C12416" w14:textId="77777777">
        <w:trPr>
          <w:cantSplit/>
        </w:trPr>
        <w:tc>
          <w:tcPr>
            <w:tcW w:w="5000" w:type="pct"/>
            <w:gridSpan w:val="3"/>
            <w:vAlign w:val="center"/>
          </w:tcPr>
          <w:p w:rsidRPr="00770A3F" w:rsidR="00D520BD" w:rsidP="00B70ED1" w:rsidRDefault="00D520BD" w14:paraId="39B9460D" w14:textId="77777777">
            <w:pPr>
              <w:keepNext/>
              <w:keepLines/>
              <w:tabs>
                <w:tab w:val="left" w:pos="4260"/>
                <w:tab w:val="left" w:pos="5220"/>
              </w:tabs>
              <w:spacing w:before="3"/>
              <w:ind w:right="-14"/>
              <w:rPr>
                <w:rFonts w:eastAsia="Arial"/>
                <w:i/>
                <w:sz w:val="16"/>
              </w:rPr>
            </w:pPr>
            <w:r w:rsidRPr="00770A3F">
              <w:rPr>
                <w:rFonts w:eastAsia="Arial"/>
                <w:i/>
                <w:sz w:val="16"/>
              </w:rPr>
              <w:t>Averted Training Costs—Pre-Access Testing</w:t>
            </w:r>
          </w:p>
        </w:tc>
      </w:tr>
      <w:tr w:rsidRPr="00260F01" w:rsidR="00D520BD" w:rsidTr="001416A2" w14:paraId="0290EE48" w14:textId="77777777">
        <w:trPr>
          <w:cantSplit/>
          <w:trHeight w:val="759"/>
        </w:trPr>
        <w:tc>
          <w:tcPr>
            <w:tcW w:w="1617" w:type="pct"/>
            <w:tcBorders>
              <w:bottom w:val="single" w:color="auto" w:sz="4" w:space="0"/>
            </w:tcBorders>
            <w:vAlign w:val="center"/>
          </w:tcPr>
          <w:p w:rsidRPr="00770A3F" w:rsidR="00D520BD" w:rsidP="00982BD1" w:rsidRDefault="00D520BD" w14:paraId="73921EC7" w14:textId="6F08DF0F">
            <w:pPr>
              <w:tabs>
                <w:tab w:val="left" w:pos="4260"/>
                <w:tab w:val="left" w:pos="5220"/>
              </w:tabs>
              <w:spacing w:before="3"/>
              <w:ind w:left="155" w:right="-14"/>
              <w:rPr>
                <w:rFonts w:eastAsia="Arial"/>
                <w:sz w:val="16"/>
              </w:rPr>
            </w:pPr>
            <w:r w:rsidRPr="00770A3F">
              <w:rPr>
                <w:rFonts w:eastAsia="Arial"/>
                <w:sz w:val="16"/>
              </w:rPr>
              <w:t>Percentage of total positive</w:t>
            </w:r>
            <w:r w:rsidRPr="00770A3F" w:rsidR="00646A79">
              <w:rPr>
                <w:rFonts w:eastAsia="Arial"/>
                <w:sz w:val="16"/>
              </w:rPr>
              <w:t>,</w:t>
            </w:r>
            <w:r w:rsidRPr="00770A3F">
              <w:rPr>
                <w:rFonts w:eastAsia="Arial"/>
                <w:sz w:val="16"/>
              </w:rPr>
              <w:t xml:space="preserve"> adulterated</w:t>
            </w:r>
            <w:r w:rsidRPr="00770A3F" w:rsidR="00646A79">
              <w:rPr>
                <w:rFonts w:eastAsia="Arial"/>
                <w:sz w:val="16"/>
              </w:rPr>
              <w:t>,</w:t>
            </w:r>
            <w:r w:rsidRPr="00770A3F">
              <w:rPr>
                <w:rFonts w:eastAsia="Arial"/>
                <w:sz w:val="16"/>
              </w:rPr>
              <w:t xml:space="preserve"> substituted</w:t>
            </w:r>
            <w:r w:rsidRPr="00770A3F" w:rsidR="00646A79">
              <w:rPr>
                <w:rFonts w:eastAsia="Arial"/>
                <w:sz w:val="16"/>
              </w:rPr>
              <w:t>,</w:t>
            </w:r>
            <w:r w:rsidRPr="00770A3F">
              <w:rPr>
                <w:rFonts w:eastAsia="Arial"/>
                <w:sz w:val="16"/>
              </w:rPr>
              <w:t xml:space="preserve"> and refusal to test results occurring at </w:t>
            </w:r>
            <w:r>
              <w:rPr>
                <w:rFonts w:eastAsia="Arial" w:cs="Arial"/>
                <w:spacing w:val="-2"/>
                <w:sz w:val="16"/>
                <w:szCs w:val="16"/>
              </w:rPr>
              <w:t>pre-a</w:t>
            </w:r>
            <w:r w:rsidRPr="0067509F">
              <w:rPr>
                <w:rFonts w:eastAsia="Arial" w:cs="Arial"/>
                <w:spacing w:val="-2"/>
                <w:sz w:val="16"/>
                <w:szCs w:val="16"/>
              </w:rPr>
              <w:t>ccess</w:t>
            </w:r>
            <w:r w:rsidRPr="00770A3F">
              <w:rPr>
                <w:rFonts w:eastAsia="Arial"/>
                <w:sz w:val="16"/>
              </w:rPr>
              <w:t xml:space="preserve"> testing (6-year average)</w:t>
            </w:r>
          </w:p>
        </w:tc>
        <w:tc>
          <w:tcPr>
            <w:tcW w:w="681" w:type="pct"/>
            <w:tcBorders>
              <w:bottom w:val="single" w:color="auto" w:sz="4" w:space="0"/>
            </w:tcBorders>
            <w:shd w:val="clear" w:color="auto" w:fill="auto"/>
            <w:vAlign w:val="center"/>
          </w:tcPr>
          <w:p w:rsidRPr="00770A3F" w:rsidR="00D520BD" w:rsidP="00B70ED1" w:rsidRDefault="00D520BD" w14:paraId="47B3C0BD" w14:textId="0F3D9341">
            <w:pPr>
              <w:keepNext/>
              <w:keepLines/>
              <w:tabs>
                <w:tab w:val="left" w:pos="4260"/>
                <w:tab w:val="left" w:pos="5220"/>
              </w:tabs>
              <w:spacing w:before="3"/>
              <w:ind w:right="-20"/>
              <w:jc w:val="center"/>
              <w:rPr>
                <w:rFonts w:eastAsia="Arial"/>
                <w:sz w:val="16"/>
              </w:rPr>
            </w:pPr>
            <w:r w:rsidRPr="00770A3F">
              <w:rPr>
                <w:rFonts w:eastAsia="Arial"/>
                <w:sz w:val="16"/>
              </w:rPr>
              <w:t>67.</w:t>
            </w:r>
            <w:r w:rsidRPr="00770A3F" w:rsidR="000430A6">
              <w:rPr>
                <w:rFonts w:eastAsia="Arial"/>
                <w:sz w:val="16"/>
              </w:rPr>
              <w:t>1</w:t>
            </w:r>
            <w:r w:rsidRPr="00770A3F">
              <w:rPr>
                <w:rFonts w:eastAsia="Arial"/>
                <w:sz w:val="16"/>
              </w:rPr>
              <w:t>%</w:t>
            </w:r>
          </w:p>
        </w:tc>
        <w:tc>
          <w:tcPr>
            <w:tcW w:w="2702" w:type="pct"/>
            <w:tcBorders>
              <w:bottom w:val="single" w:color="auto" w:sz="4" w:space="0"/>
            </w:tcBorders>
            <w:shd w:val="clear" w:color="auto" w:fill="auto"/>
            <w:vAlign w:val="center"/>
          </w:tcPr>
          <w:p w:rsidRPr="00770A3F" w:rsidR="00D520BD" w:rsidP="00B70ED1" w:rsidRDefault="00D520BD" w14:paraId="55F5E3A8" w14:textId="14044456">
            <w:pPr>
              <w:keepNext/>
              <w:keepLines/>
              <w:tabs>
                <w:tab w:val="left" w:pos="4260"/>
                <w:tab w:val="left" w:pos="5220"/>
              </w:tabs>
              <w:spacing w:before="3"/>
              <w:ind w:right="-20"/>
              <w:rPr>
                <w:rFonts w:eastAsia="Arial"/>
                <w:sz w:val="16"/>
              </w:rPr>
            </w:pPr>
            <w:r w:rsidRPr="00770A3F">
              <w:rPr>
                <w:rFonts w:eastAsia="Arial"/>
                <w:sz w:val="16"/>
              </w:rPr>
              <w:t xml:space="preserve">NRC FFD Program Performance </w:t>
            </w:r>
            <w:r w:rsidRPr="00770A3F" w:rsidR="00CB4666">
              <w:rPr>
                <w:rFonts w:eastAsia="Arial"/>
                <w:sz w:val="16"/>
              </w:rPr>
              <w:t>Results</w:t>
            </w:r>
            <w:r w:rsidRPr="00770A3F">
              <w:rPr>
                <w:rFonts w:eastAsia="Arial"/>
                <w:sz w:val="16"/>
              </w:rPr>
              <w:t xml:space="preserve"> (CY</w:t>
            </w:r>
            <w:r w:rsidRPr="00770A3F" w:rsidR="00D93AE3">
              <w:rPr>
                <w:rFonts w:eastAsia="Arial"/>
                <w:sz w:val="16"/>
              </w:rPr>
              <w:t>s</w:t>
            </w:r>
            <w:r w:rsidRPr="00770A3F">
              <w:rPr>
                <w:rFonts w:eastAsia="Arial"/>
                <w:sz w:val="16"/>
              </w:rPr>
              <w:t> 2009–201</w:t>
            </w:r>
            <w:r w:rsidRPr="00770A3F" w:rsidR="000430A6">
              <w:rPr>
                <w:rFonts w:eastAsia="Arial"/>
                <w:sz w:val="16"/>
              </w:rPr>
              <w:t>9</w:t>
            </w:r>
            <w:r w:rsidRPr="00770A3F">
              <w:rPr>
                <w:rFonts w:eastAsia="Arial"/>
                <w:sz w:val="16"/>
              </w:rPr>
              <w:t>)</w:t>
            </w:r>
          </w:p>
          <w:p w:rsidRPr="00770A3F" w:rsidR="00D520BD" w:rsidP="00B70ED1" w:rsidRDefault="00535554" w14:paraId="552B8B6E" w14:textId="4D760012">
            <w:pPr>
              <w:keepNext/>
              <w:keepLines/>
              <w:tabs>
                <w:tab w:val="left" w:pos="4260"/>
                <w:tab w:val="left" w:pos="5220"/>
              </w:tabs>
              <w:spacing w:before="3"/>
              <w:ind w:right="-14"/>
              <w:rPr>
                <w:rFonts w:eastAsia="Arial"/>
                <w:sz w:val="16"/>
              </w:rPr>
            </w:pPr>
            <w:r w:rsidRPr="00770A3F">
              <w:rPr>
                <w:rFonts w:eastAsia="Arial"/>
                <w:sz w:val="16"/>
              </w:rPr>
              <w:t>[2009</w:t>
            </w:r>
            <w:r w:rsidR="00132DF9">
              <w:rPr>
                <w:rFonts w:eastAsia="Arial" w:cs="Arial"/>
                <w:sz w:val="16"/>
                <w:szCs w:val="16"/>
              </w:rPr>
              <w:t xml:space="preserve"> </w:t>
            </w:r>
            <w:r w:rsidRPr="00770A3F">
              <w:rPr>
                <w:rFonts w:eastAsia="Arial"/>
                <w:sz w:val="16"/>
              </w:rPr>
              <w:t>= 68.2%; 2010 = 68.7%; 2011 = 68.6%; 2012 = 68.8%; 2013</w:t>
            </w:r>
            <w:r w:rsidR="00132DF9">
              <w:rPr>
                <w:rFonts w:eastAsia="Arial" w:cs="Arial"/>
                <w:sz w:val="16"/>
                <w:szCs w:val="16"/>
              </w:rPr>
              <w:t> </w:t>
            </w:r>
            <w:r w:rsidRPr="00770A3F">
              <w:rPr>
                <w:rFonts w:eastAsia="Arial"/>
                <w:sz w:val="16"/>
              </w:rPr>
              <w:t>= 64.8%; 2014 = 67.3%; 2015 = 67.0%;  2016 = 64.7%;  2017</w:t>
            </w:r>
            <w:r w:rsidR="00132DF9">
              <w:rPr>
                <w:rFonts w:eastAsia="Arial" w:cs="Arial"/>
                <w:sz w:val="16"/>
                <w:szCs w:val="16"/>
              </w:rPr>
              <w:t> </w:t>
            </w:r>
            <w:r w:rsidRPr="00770A3F">
              <w:rPr>
                <w:rFonts w:eastAsia="Arial"/>
                <w:sz w:val="16"/>
              </w:rPr>
              <w:t>= 64.4%; 2018 = 69.6%; 2019 = 67.3%]</w:t>
            </w:r>
          </w:p>
        </w:tc>
      </w:tr>
      <w:tr w:rsidRPr="00260F01" w:rsidR="009F4F81" w:rsidTr="00325E8B" w14:paraId="25A5FCAD" w14:textId="77777777">
        <w:trPr>
          <w:cantSplit/>
          <w:trHeight w:val="219"/>
        </w:trPr>
        <w:tc>
          <w:tcPr>
            <w:tcW w:w="5000" w:type="pct"/>
            <w:gridSpan w:val="3"/>
            <w:shd w:val="clear" w:color="auto" w:fill="D9D9D9" w:themeFill="background1" w:themeFillShade="D9"/>
            <w:vAlign w:val="center"/>
          </w:tcPr>
          <w:p w:rsidRPr="00770A3F" w:rsidR="009F4F81" w:rsidP="00982BD1" w:rsidRDefault="00746C78" w14:paraId="5DAF358B" w14:textId="7922FDA5">
            <w:pPr>
              <w:tabs>
                <w:tab w:val="left" w:pos="4260"/>
                <w:tab w:val="left" w:pos="5220"/>
              </w:tabs>
              <w:spacing w:before="3"/>
              <w:ind w:right="-20"/>
              <w:rPr>
                <w:rFonts w:eastAsia="Arial"/>
                <w:b/>
                <w:sz w:val="16"/>
              </w:rPr>
            </w:pPr>
            <w:r w:rsidRPr="00770A3F">
              <w:rPr>
                <w:rFonts w:eastAsia="Arial"/>
                <w:b/>
                <w:sz w:val="16"/>
              </w:rPr>
              <w:t xml:space="preserve">Alternative Specimen </w:t>
            </w:r>
            <w:r w:rsidRPr="00770A3F" w:rsidR="00B867EE">
              <w:rPr>
                <w:rFonts w:eastAsia="Arial"/>
                <w:b/>
                <w:sz w:val="16"/>
              </w:rPr>
              <w:t xml:space="preserve">(Oral Fluid) </w:t>
            </w:r>
            <w:r w:rsidRPr="00770A3F">
              <w:rPr>
                <w:rFonts w:eastAsia="Arial"/>
                <w:b/>
                <w:sz w:val="16"/>
              </w:rPr>
              <w:t>Collection and Testing</w:t>
            </w:r>
          </w:p>
        </w:tc>
      </w:tr>
      <w:tr w:rsidRPr="00260F01" w:rsidR="00E869B2" w:rsidTr="0027202F" w14:paraId="53497E37" w14:textId="77777777">
        <w:trPr>
          <w:cantSplit/>
          <w:trHeight w:val="579"/>
        </w:trPr>
        <w:tc>
          <w:tcPr>
            <w:tcW w:w="1617" w:type="pct"/>
            <w:vAlign w:val="center"/>
          </w:tcPr>
          <w:p w:rsidRPr="00770A3F" w:rsidR="00E869B2" w:rsidP="00982BD1" w:rsidRDefault="002B2F26" w14:paraId="38D32395" w14:textId="171F4BA5">
            <w:pPr>
              <w:tabs>
                <w:tab w:val="left" w:pos="4260"/>
                <w:tab w:val="left" w:pos="5220"/>
              </w:tabs>
              <w:spacing w:before="3"/>
              <w:ind w:left="155" w:right="-14"/>
              <w:rPr>
                <w:rFonts w:eastAsia="Arial"/>
                <w:sz w:val="16"/>
              </w:rPr>
            </w:pPr>
            <w:r w:rsidRPr="00770A3F">
              <w:rPr>
                <w:rFonts w:eastAsia="Arial"/>
                <w:sz w:val="16"/>
              </w:rPr>
              <w:t xml:space="preserve">Testing of an </w:t>
            </w:r>
            <w:r w:rsidRPr="00770A3F" w:rsidR="00514C5E">
              <w:rPr>
                <w:rFonts w:eastAsia="Arial"/>
                <w:sz w:val="16"/>
              </w:rPr>
              <w:t xml:space="preserve">oral fluid </w:t>
            </w:r>
            <w:r w:rsidRPr="00770A3F">
              <w:rPr>
                <w:rFonts w:eastAsia="Arial"/>
                <w:sz w:val="16"/>
              </w:rPr>
              <w:t>specimen using an HHS-certified laboratory</w:t>
            </w:r>
          </w:p>
        </w:tc>
        <w:tc>
          <w:tcPr>
            <w:tcW w:w="681" w:type="pct"/>
            <w:shd w:val="clear" w:color="auto" w:fill="auto"/>
            <w:vAlign w:val="center"/>
          </w:tcPr>
          <w:p w:rsidRPr="00770A3F" w:rsidR="00DC4F9F" w:rsidP="00982BD1" w:rsidRDefault="008C517B" w14:paraId="29132F5A" w14:textId="5DF1B166">
            <w:pPr>
              <w:tabs>
                <w:tab w:val="left" w:pos="4260"/>
                <w:tab w:val="left" w:pos="5220"/>
              </w:tabs>
              <w:spacing w:before="3"/>
              <w:ind w:right="-20"/>
              <w:jc w:val="center"/>
              <w:rPr>
                <w:rFonts w:eastAsia="Arial"/>
                <w:sz w:val="16"/>
              </w:rPr>
            </w:pPr>
            <w:r w:rsidRPr="00770A3F">
              <w:rPr>
                <w:rFonts w:eastAsia="Arial"/>
                <w:sz w:val="16"/>
              </w:rPr>
              <w:t>$20</w:t>
            </w:r>
            <w:r w:rsidRPr="00770A3F" w:rsidR="00DC4F9F">
              <w:rPr>
                <w:rFonts w:eastAsia="Arial"/>
                <w:sz w:val="16"/>
              </w:rPr>
              <w:t>.00</w:t>
            </w:r>
            <w:r w:rsidRPr="00770A3F">
              <w:rPr>
                <w:rFonts w:eastAsia="Arial"/>
                <w:sz w:val="16"/>
              </w:rPr>
              <w:t xml:space="preserve"> </w:t>
            </w:r>
          </w:p>
          <w:p w:rsidRPr="00770A3F" w:rsidR="00E869B2" w:rsidP="00982BD1" w:rsidRDefault="008C517B" w14:paraId="1708E32C" w14:textId="2578DF17">
            <w:pPr>
              <w:tabs>
                <w:tab w:val="left" w:pos="4260"/>
                <w:tab w:val="left" w:pos="5220"/>
              </w:tabs>
              <w:spacing w:before="3"/>
              <w:ind w:right="-20"/>
              <w:jc w:val="center"/>
              <w:rPr>
                <w:rFonts w:eastAsia="Arial"/>
                <w:sz w:val="16"/>
              </w:rPr>
            </w:pPr>
            <w:r w:rsidRPr="00770A3F">
              <w:rPr>
                <w:rFonts w:eastAsia="Arial"/>
                <w:sz w:val="16"/>
              </w:rPr>
              <w:t>per specimen</w:t>
            </w:r>
          </w:p>
        </w:tc>
        <w:tc>
          <w:tcPr>
            <w:tcW w:w="2702" w:type="pct"/>
            <w:shd w:val="clear" w:color="auto" w:fill="auto"/>
            <w:vAlign w:val="center"/>
          </w:tcPr>
          <w:p w:rsidRPr="00770A3F" w:rsidR="008C517B" w:rsidP="00982BD1" w:rsidRDefault="008C517B" w14:paraId="4AFFD2DE" w14:textId="1E32EAE9">
            <w:pPr>
              <w:tabs>
                <w:tab w:val="left" w:pos="4260"/>
                <w:tab w:val="left" w:pos="5220"/>
              </w:tabs>
              <w:spacing w:before="3"/>
              <w:ind w:right="-20"/>
              <w:rPr>
                <w:rFonts w:eastAsia="Arial"/>
                <w:sz w:val="16"/>
              </w:rPr>
            </w:pPr>
            <w:r w:rsidRPr="00770A3F">
              <w:rPr>
                <w:rFonts w:eastAsia="Arial"/>
                <w:sz w:val="16"/>
              </w:rPr>
              <w:t>NRC staff assumption based on industry feedback</w:t>
            </w:r>
          </w:p>
        </w:tc>
      </w:tr>
      <w:tr w:rsidRPr="00260F01" w:rsidR="001416A2" w:rsidTr="001416A2" w14:paraId="2176365D" w14:textId="77777777">
        <w:trPr>
          <w:cantSplit/>
          <w:trHeight w:val="237"/>
        </w:trPr>
        <w:tc>
          <w:tcPr>
            <w:tcW w:w="1617" w:type="pct"/>
            <w:vAlign w:val="center"/>
          </w:tcPr>
          <w:p w:rsidRPr="00770A3F" w:rsidR="001416A2" w:rsidP="001C37CD" w:rsidRDefault="001416A2" w14:paraId="30A0E0C2" w14:textId="0C26ABF9">
            <w:pPr>
              <w:keepNext/>
              <w:keepLines/>
              <w:tabs>
                <w:tab w:val="left" w:pos="4260"/>
                <w:tab w:val="left" w:pos="5220"/>
              </w:tabs>
              <w:spacing w:before="3"/>
              <w:ind w:left="155" w:right="-14"/>
              <w:rPr>
                <w:rFonts w:eastAsia="Arial"/>
                <w:sz w:val="16"/>
              </w:rPr>
            </w:pPr>
            <w:r w:rsidRPr="00770A3F">
              <w:rPr>
                <w:rFonts w:eastAsia="Arial"/>
                <w:sz w:val="16"/>
              </w:rPr>
              <w:t>Oral fluid collection time (donor)</w:t>
            </w:r>
          </w:p>
        </w:tc>
        <w:tc>
          <w:tcPr>
            <w:tcW w:w="681" w:type="pct"/>
            <w:shd w:val="clear" w:color="auto" w:fill="auto"/>
            <w:vAlign w:val="center"/>
          </w:tcPr>
          <w:p w:rsidRPr="00770A3F" w:rsidR="001416A2" w:rsidP="001C37CD" w:rsidRDefault="001416A2" w14:paraId="26DB4799" w14:textId="4301247F">
            <w:pPr>
              <w:keepNext/>
              <w:keepLines/>
              <w:tabs>
                <w:tab w:val="left" w:pos="4260"/>
                <w:tab w:val="left" w:pos="5220"/>
              </w:tabs>
              <w:spacing w:before="3"/>
              <w:ind w:right="-20"/>
              <w:jc w:val="center"/>
              <w:rPr>
                <w:rFonts w:eastAsia="Arial"/>
                <w:sz w:val="16"/>
              </w:rPr>
            </w:pPr>
            <w:r w:rsidRPr="00770A3F">
              <w:rPr>
                <w:rFonts w:eastAsia="Arial"/>
                <w:sz w:val="16"/>
              </w:rPr>
              <w:t>0.35 hour</w:t>
            </w:r>
          </w:p>
        </w:tc>
        <w:tc>
          <w:tcPr>
            <w:tcW w:w="2702" w:type="pct"/>
            <w:vMerge w:val="restart"/>
            <w:shd w:val="clear" w:color="auto" w:fill="auto"/>
            <w:vAlign w:val="center"/>
          </w:tcPr>
          <w:p w:rsidRPr="00770A3F" w:rsidR="001416A2" w:rsidP="001C37CD" w:rsidRDefault="001416A2" w14:paraId="4556793F" w14:textId="5F4345D3">
            <w:pPr>
              <w:keepNext/>
              <w:keepLines/>
              <w:tabs>
                <w:tab w:val="left" w:pos="4260"/>
                <w:tab w:val="left" w:pos="5220"/>
              </w:tabs>
              <w:spacing w:before="3"/>
              <w:ind w:right="-20"/>
              <w:rPr>
                <w:rFonts w:eastAsia="Arial"/>
                <w:sz w:val="16"/>
              </w:rPr>
            </w:pPr>
            <w:r w:rsidRPr="00770A3F">
              <w:rPr>
                <w:rFonts w:eastAsia="Arial"/>
                <w:sz w:val="16"/>
              </w:rPr>
              <w:t xml:space="preserve">NRC staff assumption.  </w:t>
            </w:r>
            <w:r w:rsidRPr="00770A3F" w:rsidR="001244D8">
              <w:rPr>
                <w:rFonts w:eastAsia="Arial"/>
                <w:sz w:val="16"/>
              </w:rPr>
              <w:t>The time v</w:t>
            </w:r>
            <w:r w:rsidRPr="00770A3F">
              <w:rPr>
                <w:rFonts w:eastAsia="Arial"/>
                <w:sz w:val="16"/>
              </w:rPr>
              <w:t xml:space="preserve">alue is the same </w:t>
            </w:r>
            <w:r w:rsidRPr="00770A3F" w:rsidR="00D024DD">
              <w:rPr>
                <w:rFonts w:eastAsia="Arial"/>
                <w:sz w:val="16"/>
              </w:rPr>
              <w:t xml:space="preserve">for </w:t>
            </w:r>
            <w:r w:rsidRPr="00770A3F">
              <w:rPr>
                <w:rFonts w:eastAsia="Arial"/>
                <w:sz w:val="16"/>
              </w:rPr>
              <w:t xml:space="preserve">the donor </w:t>
            </w:r>
            <w:r w:rsidRPr="00770A3F" w:rsidR="00F3078B">
              <w:rPr>
                <w:rFonts w:eastAsia="Arial"/>
                <w:sz w:val="16"/>
              </w:rPr>
              <w:t xml:space="preserve">and collector </w:t>
            </w:r>
            <w:r w:rsidRPr="00770A3F">
              <w:rPr>
                <w:rFonts w:eastAsia="Arial"/>
                <w:sz w:val="16"/>
              </w:rPr>
              <w:t xml:space="preserve">because </w:t>
            </w:r>
            <w:r w:rsidRPr="00770A3F" w:rsidR="00F3078B">
              <w:rPr>
                <w:rFonts w:eastAsia="Arial"/>
                <w:sz w:val="16"/>
              </w:rPr>
              <w:t xml:space="preserve">both individuals </w:t>
            </w:r>
            <w:r w:rsidRPr="00770A3F" w:rsidR="00C363E8">
              <w:rPr>
                <w:rFonts w:eastAsia="Arial"/>
                <w:sz w:val="16"/>
              </w:rPr>
              <w:t xml:space="preserve">participate in the process for the duration of the </w:t>
            </w:r>
            <w:r w:rsidRPr="00770A3F">
              <w:rPr>
                <w:rFonts w:eastAsia="Arial"/>
                <w:sz w:val="16"/>
              </w:rPr>
              <w:t>sample collection process.</w:t>
            </w:r>
          </w:p>
        </w:tc>
      </w:tr>
      <w:tr w:rsidRPr="00260F01" w:rsidR="001416A2" w:rsidTr="001416A2" w14:paraId="3175F508" w14:textId="77777777">
        <w:trPr>
          <w:cantSplit/>
          <w:trHeight w:val="309"/>
        </w:trPr>
        <w:tc>
          <w:tcPr>
            <w:tcW w:w="1617" w:type="pct"/>
            <w:vAlign w:val="center"/>
          </w:tcPr>
          <w:p w:rsidRPr="00770A3F" w:rsidR="001416A2" w:rsidP="00982BD1" w:rsidRDefault="001416A2" w14:paraId="26B2A1F5" w14:textId="59F635B5">
            <w:pPr>
              <w:tabs>
                <w:tab w:val="left" w:pos="4260"/>
                <w:tab w:val="left" w:pos="5220"/>
              </w:tabs>
              <w:spacing w:before="3"/>
              <w:ind w:left="155" w:right="-14"/>
              <w:rPr>
                <w:rFonts w:eastAsia="Arial"/>
                <w:sz w:val="16"/>
              </w:rPr>
            </w:pPr>
            <w:r w:rsidRPr="00770A3F">
              <w:rPr>
                <w:rFonts w:eastAsia="Arial"/>
                <w:sz w:val="16"/>
              </w:rPr>
              <w:t>Oral fluid collection time (collector)</w:t>
            </w:r>
          </w:p>
        </w:tc>
        <w:tc>
          <w:tcPr>
            <w:tcW w:w="681" w:type="pct"/>
            <w:shd w:val="clear" w:color="auto" w:fill="auto"/>
            <w:vAlign w:val="center"/>
          </w:tcPr>
          <w:p w:rsidRPr="00770A3F" w:rsidR="001416A2" w:rsidP="00982BD1" w:rsidRDefault="001416A2" w14:paraId="2DFBED40" w14:textId="321501D0">
            <w:pPr>
              <w:tabs>
                <w:tab w:val="left" w:pos="4260"/>
                <w:tab w:val="left" w:pos="5220"/>
              </w:tabs>
              <w:spacing w:before="3"/>
              <w:ind w:right="-20"/>
              <w:jc w:val="center"/>
              <w:rPr>
                <w:rFonts w:eastAsia="Arial"/>
                <w:sz w:val="16"/>
              </w:rPr>
            </w:pPr>
            <w:r w:rsidRPr="00770A3F">
              <w:rPr>
                <w:rFonts w:eastAsia="Arial"/>
                <w:sz w:val="16"/>
              </w:rPr>
              <w:t>0.35 hour</w:t>
            </w:r>
          </w:p>
        </w:tc>
        <w:tc>
          <w:tcPr>
            <w:tcW w:w="2702" w:type="pct"/>
            <w:vMerge/>
            <w:shd w:val="clear" w:color="auto" w:fill="auto"/>
            <w:vAlign w:val="center"/>
          </w:tcPr>
          <w:p w:rsidRPr="00770A3F" w:rsidR="001416A2" w:rsidP="00982BD1" w:rsidRDefault="001416A2" w14:paraId="34C98166" w14:textId="46B6B092">
            <w:pPr>
              <w:tabs>
                <w:tab w:val="left" w:pos="4260"/>
                <w:tab w:val="left" w:pos="5220"/>
              </w:tabs>
              <w:spacing w:before="3"/>
              <w:ind w:right="-20"/>
              <w:rPr>
                <w:rFonts w:eastAsia="Arial"/>
                <w:sz w:val="16"/>
              </w:rPr>
            </w:pPr>
          </w:p>
        </w:tc>
      </w:tr>
      <w:tr w:rsidRPr="00260F01" w:rsidR="00E869B2" w:rsidTr="00CC0F59" w14:paraId="21A55F27" w14:textId="77777777">
        <w:trPr>
          <w:cantSplit/>
          <w:trHeight w:val="426"/>
        </w:trPr>
        <w:tc>
          <w:tcPr>
            <w:tcW w:w="1617" w:type="pct"/>
            <w:vAlign w:val="center"/>
          </w:tcPr>
          <w:p w:rsidRPr="00770A3F" w:rsidR="00740829" w:rsidP="00740829" w:rsidRDefault="00472D75" w14:paraId="1545F89E" w14:textId="2B7B4C8D">
            <w:pPr>
              <w:tabs>
                <w:tab w:val="left" w:pos="4260"/>
                <w:tab w:val="left" w:pos="5220"/>
              </w:tabs>
              <w:spacing w:before="3"/>
              <w:ind w:left="155" w:right="-14"/>
              <w:rPr>
                <w:rFonts w:eastAsia="Arial"/>
                <w:sz w:val="16"/>
              </w:rPr>
            </w:pPr>
            <w:r w:rsidRPr="00770A3F">
              <w:rPr>
                <w:rFonts w:eastAsia="Arial"/>
                <w:sz w:val="16"/>
              </w:rPr>
              <w:t xml:space="preserve">Annual number </w:t>
            </w:r>
            <w:r w:rsidRPr="00770A3F" w:rsidR="00054D48">
              <w:rPr>
                <w:rFonts w:eastAsia="Arial"/>
                <w:sz w:val="16"/>
              </w:rPr>
              <w:t xml:space="preserve">of </w:t>
            </w:r>
            <w:r w:rsidRPr="00770A3F" w:rsidR="00CE7D03">
              <w:rPr>
                <w:rFonts w:eastAsia="Arial"/>
                <w:sz w:val="16"/>
              </w:rPr>
              <w:t xml:space="preserve">identified subversion </w:t>
            </w:r>
            <w:r w:rsidRPr="00770A3F">
              <w:rPr>
                <w:rFonts w:eastAsia="Arial"/>
                <w:sz w:val="16"/>
              </w:rPr>
              <w:t>attempt</w:t>
            </w:r>
            <w:r w:rsidRPr="00770A3F" w:rsidR="00CE7D03">
              <w:rPr>
                <w:rFonts w:eastAsia="Arial"/>
                <w:sz w:val="16"/>
              </w:rPr>
              <w:t>s</w:t>
            </w:r>
          </w:p>
        </w:tc>
        <w:tc>
          <w:tcPr>
            <w:tcW w:w="681" w:type="pct"/>
            <w:shd w:val="clear" w:color="auto" w:fill="auto"/>
            <w:vAlign w:val="center"/>
          </w:tcPr>
          <w:p w:rsidRPr="00770A3F" w:rsidR="00E869B2" w:rsidP="00982BD1" w:rsidRDefault="00740829" w14:paraId="385F8E87" w14:textId="0F5C0D13">
            <w:pPr>
              <w:tabs>
                <w:tab w:val="left" w:pos="4260"/>
                <w:tab w:val="left" w:pos="5220"/>
              </w:tabs>
              <w:spacing w:before="3"/>
              <w:ind w:right="-20"/>
              <w:jc w:val="center"/>
              <w:rPr>
                <w:rFonts w:eastAsia="Arial"/>
                <w:sz w:val="16"/>
              </w:rPr>
            </w:pPr>
            <w:r w:rsidRPr="00770A3F">
              <w:rPr>
                <w:rFonts w:eastAsia="Arial"/>
                <w:sz w:val="16"/>
              </w:rPr>
              <w:t>226</w:t>
            </w:r>
          </w:p>
        </w:tc>
        <w:tc>
          <w:tcPr>
            <w:tcW w:w="2702" w:type="pct"/>
            <w:shd w:val="clear" w:color="auto" w:fill="auto"/>
            <w:vAlign w:val="center"/>
          </w:tcPr>
          <w:p w:rsidRPr="00770A3F" w:rsidR="00D21D3B" w:rsidP="00982BD1" w:rsidRDefault="00740829" w14:paraId="557C23D9" w14:textId="2C0FEF5B">
            <w:pPr>
              <w:tabs>
                <w:tab w:val="left" w:pos="4260"/>
                <w:tab w:val="left" w:pos="5220"/>
              </w:tabs>
              <w:spacing w:before="3"/>
              <w:ind w:right="-20"/>
              <w:rPr>
                <w:rFonts w:eastAsia="Arial"/>
                <w:sz w:val="16"/>
              </w:rPr>
            </w:pPr>
            <w:r w:rsidRPr="00770A3F">
              <w:rPr>
                <w:rFonts w:eastAsia="Arial"/>
                <w:sz w:val="16"/>
              </w:rPr>
              <w:t xml:space="preserve">NRC </w:t>
            </w:r>
            <w:r w:rsidRPr="00770A3F" w:rsidR="002A1336">
              <w:rPr>
                <w:rFonts w:eastAsia="Arial"/>
                <w:sz w:val="16"/>
              </w:rPr>
              <w:t xml:space="preserve">FFD Program Performance </w:t>
            </w:r>
            <w:r w:rsidRPr="00770A3F" w:rsidR="00CB4666">
              <w:rPr>
                <w:rFonts w:eastAsia="Arial"/>
                <w:sz w:val="16"/>
              </w:rPr>
              <w:t>Results</w:t>
            </w:r>
            <w:r w:rsidRPr="00770A3F" w:rsidR="002A1336">
              <w:rPr>
                <w:rFonts w:eastAsia="Arial"/>
                <w:sz w:val="16"/>
              </w:rPr>
              <w:t xml:space="preserve"> (CYs </w:t>
            </w:r>
            <w:r w:rsidRPr="00770A3F">
              <w:rPr>
                <w:rFonts w:eastAsia="Arial"/>
                <w:sz w:val="16"/>
              </w:rPr>
              <w:t>2011</w:t>
            </w:r>
            <w:r w:rsidRPr="00770A3F" w:rsidR="002A1336">
              <w:rPr>
                <w:rFonts w:eastAsia="Arial"/>
                <w:sz w:val="16"/>
              </w:rPr>
              <w:t>–</w:t>
            </w:r>
            <w:r w:rsidRPr="00770A3F">
              <w:rPr>
                <w:rFonts w:eastAsia="Arial"/>
                <w:sz w:val="16"/>
              </w:rPr>
              <w:t>2019</w:t>
            </w:r>
            <w:r w:rsidRPr="00260F01" w:rsidR="002A1336">
              <w:rPr>
                <w:rFonts w:eastAsia="Arial" w:cs="Arial"/>
                <w:sz w:val="16"/>
                <w:szCs w:val="16"/>
              </w:rPr>
              <w:t>)</w:t>
            </w:r>
            <w:r w:rsidRPr="00770A3F" w:rsidR="004E727A">
              <w:rPr>
                <w:rFonts w:eastAsia="Arial"/>
                <w:sz w:val="16"/>
              </w:rPr>
              <w:t xml:space="preserve"> </w:t>
            </w:r>
          </w:p>
          <w:p w:rsidRPr="00770A3F" w:rsidR="00E869B2" w:rsidP="00982BD1" w:rsidRDefault="004E727A" w14:paraId="44EBB5AC" w14:textId="7A5E34B2">
            <w:pPr>
              <w:tabs>
                <w:tab w:val="left" w:pos="4260"/>
                <w:tab w:val="left" w:pos="5220"/>
              </w:tabs>
              <w:spacing w:before="3"/>
              <w:ind w:right="-20"/>
              <w:rPr>
                <w:rFonts w:eastAsia="Arial"/>
                <w:sz w:val="16"/>
              </w:rPr>
            </w:pPr>
            <w:r w:rsidRPr="00770A3F">
              <w:rPr>
                <w:rFonts w:eastAsia="Arial"/>
                <w:sz w:val="16"/>
              </w:rPr>
              <w:t>Average number of subversion attempts identified per year</w:t>
            </w:r>
          </w:p>
        </w:tc>
      </w:tr>
      <w:tr w:rsidRPr="00260F01" w:rsidR="00E869B2" w:rsidTr="001416A2" w14:paraId="7E28C2C1" w14:textId="77777777">
        <w:trPr>
          <w:cantSplit/>
          <w:trHeight w:val="759"/>
        </w:trPr>
        <w:tc>
          <w:tcPr>
            <w:tcW w:w="1617" w:type="pct"/>
            <w:vAlign w:val="center"/>
          </w:tcPr>
          <w:p w:rsidRPr="00770A3F" w:rsidR="00E869B2" w:rsidP="00982BD1" w:rsidRDefault="00472D75" w14:paraId="60402293" w14:textId="76F35669">
            <w:pPr>
              <w:tabs>
                <w:tab w:val="left" w:pos="4260"/>
                <w:tab w:val="left" w:pos="5220"/>
              </w:tabs>
              <w:spacing w:before="3"/>
              <w:ind w:left="155" w:right="-14"/>
              <w:rPr>
                <w:rFonts w:eastAsia="Arial"/>
                <w:sz w:val="16"/>
              </w:rPr>
            </w:pPr>
            <w:r w:rsidRPr="00770A3F">
              <w:rPr>
                <w:rFonts w:eastAsia="Arial"/>
                <w:sz w:val="16"/>
              </w:rPr>
              <w:t>Percentage of subversion attempts confirmed through the testing of specimens collected under direct observation</w:t>
            </w:r>
          </w:p>
        </w:tc>
        <w:tc>
          <w:tcPr>
            <w:tcW w:w="681" w:type="pct"/>
            <w:shd w:val="clear" w:color="auto" w:fill="auto"/>
            <w:vAlign w:val="center"/>
          </w:tcPr>
          <w:p w:rsidRPr="00770A3F" w:rsidR="00E869B2" w:rsidP="00982BD1" w:rsidRDefault="00740829" w14:paraId="177B3F37" w14:textId="6C6846FF">
            <w:pPr>
              <w:tabs>
                <w:tab w:val="left" w:pos="4260"/>
                <w:tab w:val="left" w:pos="5220"/>
              </w:tabs>
              <w:spacing w:before="3"/>
              <w:ind w:right="-20"/>
              <w:jc w:val="center"/>
              <w:rPr>
                <w:rFonts w:eastAsia="Arial"/>
                <w:sz w:val="16"/>
              </w:rPr>
            </w:pPr>
            <w:r w:rsidRPr="00770A3F">
              <w:rPr>
                <w:rFonts w:eastAsia="Arial"/>
                <w:sz w:val="16"/>
              </w:rPr>
              <w:t>31.1%</w:t>
            </w:r>
          </w:p>
        </w:tc>
        <w:tc>
          <w:tcPr>
            <w:tcW w:w="2702" w:type="pct"/>
            <w:shd w:val="clear" w:color="auto" w:fill="auto"/>
            <w:vAlign w:val="center"/>
          </w:tcPr>
          <w:p w:rsidRPr="00770A3F" w:rsidR="00E869B2" w:rsidP="00982BD1" w:rsidRDefault="00740829" w14:paraId="2789F321" w14:textId="77777777">
            <w:pPr>
              <w:tabs>
                <w:tab w:val="left" w:pos="4260"/>
                <w:tab w:val="left" w:pos="5220"/>
              </w:tabs>
              <w:spacing w:before="3"/>
              <w:ind w:right="-20"/>
              <w:rPr>
                <w:rFonts w:eastAsia="Arial"/>
                <w:sz w:val="16"/>
              </w:rPr>
            </w:pPr>
            <w:r w:rsidRPr="00770A3F">
              <w:rPr>
                <w:rFonts w:eastAsia="Arial"/>
                <w:sz w:val="16"/>
              </w:rPr>
              <w:t>NRC</w:t>
            </w:r>
            <w:r w:rsidRPr="00770A3F" w:rsidR="00B72008">
              <w:rPr>
                <w:rFonts w:eastAsia="Arial"/>
                <w:sz w:val="16"/>
              </w:rPr>
              <w:t xml:space="preserve"> </w:t>
            </w:r>
            <w:r w:rsidRPr="00770A3F" w:rsidR="002A1336">
              <w:rPr>
                <w:rFonts w:eastAsia="Arial"/>
                <w:sz w:val="16"/>
              </w:rPr>
              <w:t xml:space="preserve">FFD Program Performance </w:t>
            </w:r>
            <w:r w:rsidRPr="00770A3F" w:rsidR="00CB4666">
              <w:rPr>
                <w:rFonts w:eastAsia="Arial"/>
                <w:sz w:val="16"/>
              </w:rPr>
              <w:t>Results</w:t>
            </w:r>
            <w:r w:rsidRPr="00770A3F" w:rsidR="002A1336">
              <w:rPr>
                <w:rFonts w:eastAsia="Arial"/>
                <w:sz w:val="16"/>
              </w:rPr>
              <w:t xml:space="preserve"> (CYs </w:t>
            </w:r>
            <w:r w:rsidRPr="00770A3F" w:rsidR="00B72008">
              <w:rPr>
                <w:rFonts w:eastAsia="Arial"/>
                <w:sz w:val="16"/>
              </w:rPr>
              <w:t>2011</w:t>
            </w:r>
            <w:r w:rsidRPr="00770A3F" w:rsidR="002A1336">
              <w:rPr>
                <w:rFonts w:eastAsia="Arial"/>
                <w:sz w:val="16"/>
              </w:rPr>
              <w:t>–</w:t>
            </w:r>
            <w:r w:rsidRPr="00770A3F" w:rsidR="00B72008">
              <w:rPr>
                <w:rFonts w:eastAsia="Arial"/>
                <w:sz w:val="16"/>
              </w:rPr>
              <w:t>2019</w:t>
            </w:r>
            <w:r w:rsidRPr="00770A3F" w:rsidR="002A1336">
              <w:rPr>
                <w:rFonts w:eastAsia="Arial"/>
                <w:sz w:val="16"/>
              </w:rPr>
              <w:t>)</w:t>
            </w:r>
          </w:p>
          <w:p w:rsidRPr="00770A3F" w:rsidR="00491837" w:rsidP="00982BD1" w:rsidRDefault="00491837" w14:paraId="6E34E457" w14:textId="0B188B2D">
            <w:pPr>
              <w:tabs>
                <w:tab w:val="left" w:pos="4260"/>
                <w:tab w:val="left" w:pos="5220"/>
              </w:tabs>
              <w:spacing w:before="3"/>
              <w:ind w:right="-20"/>
              <w:rPr>
                <w:rFonts w:eastAsia="Arial"/>
                <w:sz w:val="16"/>
              </w:rPr>
            </w:pPr>
            <w:r w:rsidRPr="00770A3F">
              <w:rPr>
                <w:rFonts w:eastAsia="Arial"/>
                <w:sz w:val="16"/>
              </w:rPr>
              <w:t>Average percentage of subversion attempts confirmed through the collection and testing of a second specimen under direct observation</w:t>
            </w:r>
          </w:p>
        </w:tc>
      </w:tr>
      <w:tr w:rsidRPr="00260F01" w:rsidR="0023610A" w:rsidTr="00992746" w14:paraId="0D39026E" w14:textId="77777777">
        <w:trPr>
          <w:cantSplit/>
          <w:trHeight w:val="201"/>
        </w:trPr>
        <w:tc>
          <w:tcPr>
            <w:tcW w:w="5000" w:type="pct"/>
            <w:gridSpan w:val="3"/>
            <w:vAlign w:val="center"/>
          </w:tcPr>
          <w:p w:rsidRPr="00770A3F" w:rsidR="0023610A" w:rsidP="00982BD1" w:rsidRDefault="0023610A" w14:paraId="0150A0E4" w14:textId="6C114D67">
            <w:pPr>
              <w:tabs>
                <w:tab w:val="left" w:pos="4260"/>
                <w:tab w:val="left" w:pos="5220"/>
              </w:tabs>
              <w:spacing w:before="3"/>
              <w:ind w:right="-20"/>
              <w:rPr>
                <w:rFonts w:eastAsia="Arial"/>
                <w:i/>
                <w:sz w:val="16"/>
              </w:rPr>
            </w:pPr>
            <w:r w:rsidRPr="00770A3F">
              <w:rPr>
                <w:rFonts w:eastAsia="Arial"/>
                <w:i/>
                <w:sz w:val="16"/>
              </w:rPr>
              <w:t>Direct Observation Collection</w:t>
            </w:r>
            <w:r w:rsidRPr="00770A3F" w:rsidR="00B867EE">
              <w:rPr>
                <w:rFonts w:eastAsia="Arial"/>
                <w:i/>
                <w:sz w:val="16"/>
              </w:rPr>
              <w:t xml:space="preserve"> </w:t>
            </w:r>
            <w:r w:rsidRPr="00770A3F" w:rsidR="00033972">
              <w:rPr>
                <w:rFonts w:eastAsia="Arial"/>
                <w:i/>
                <w:sz w:val="16"/>
              </w:rPr>
              <w:t xml:space="preserve">of </w:t>
            </w:r>
            <w:r w:rsidRPr="00770A3F" w:rsidR="00B867EE">
              <w:rPr>
                <w:rFonts w:eastAsia="Arial"/>
                <w:i/>
                <w:sz w:val="16"/>
              </w:rPr>
              <w:t>Urine Specimen</w:t>
            </w:r>
            <w:r w:rsidRPr="00770A3F" w:rsidR="00033972">
              <w:rPr>
                <w:rFonts w:eastAsia="Arial"/>
                <w:i/>
                <w:sz w:val="16"/>
              </w:rPr>
              <w:t>s</w:t>
            </w:r>
          </w:p>
        </w:tc>
      </w:tr>
      <w:tr w:rsidRPr="00260F01" w:rsidR="00D746A7" w:rsidTr="00583D8F" w14:paraId="5BFAE685" w14:textId="77777777">
        <w:trPr>
          <w:cantSplit/>
          <w:trHeight w:val="597"/>
        </w:trPr>
        <w:tc>
          <w:tcPr>
            <w:tcW w:w="1617" w:type="pct"/>
            <w:vAlign w:val="center"/>
          </w:tcPr>
          <w:p w:rsidRPr="00770A3F" w:rsidR="00D746A7" w:rsidP="00982BD1" w:rsidRDefault="00D746A7" w14:paraId="4FA6F56D" w14:textId="36C5EB48">
            <w:pPr>
              <w:tabs>
                <w:tab w:val="left" w:pos="4260"/>
                <w:tab w:val="left" w:pos="5220"/>
              </w:tabs>
              <w:spacing w:before="3"/>
              <w:ind w:left="155" w:right="-14"/>
              <w:rPr>
                <w:rFonts w:eastAsia="Arial"/>
                <w:sz w:val="16"/>
              </w:rPr>
            </w:pPr>
            <w:r w:rsidRPr="00770A3F">
              <w:rPr>
                <w:rFonts w:eastAsia="Arial"/>
                <w:sz w:val="16"/>
              </w:rPr>
              <w:t>Urine collection time</w:t>
            </w:r>
            <w:r w:rsidRPr="00770A3F" w:rsidR="002E43B6">
              <w:rPr>
                <w:rFonts w:eastAsia="Arial"/>
                <w:sz w:val="16"/>
              </w:rPr>
              <w:t xml:space="preserve"> (</w:t>
            </w:r>
            <w:r w:rsidRPr="00770A3F">
              <w:rPr>
                <w:rFonts w:eastAsia="Arial"/>
                <w:sz w:val="16"/>
              </w:rPr>
              <w:t>donor</w:t>
            </w:r>
            <w:r w:rsidRPr="00770A3F" w:rsidR="002E43B6">
              <w:rPr>
                <w:rFonts w:eastAsia="Arial"/>
                <w:sz w:val="16"/>
              </w:rPr>
              <w:t>)</w:t>
            </w:r>
          </w:p>
        </w:tc>
        <w:tc>
          <w:tcPr>
            <w:tcW w:w="681" w:type="pct"/>
            <w:shd w:val="clear" w:color="auto" w:fill="auto"/>
            <w:vAlign w:val="center"/>
          </w:tcPr>
          <w:p w:rsidRPr="00770A3F" w:rsidR="00D746A7" w:rsidP="00982BD1" w:rsidRDefault="00D746A7" w14:paraId="53223B9A" w14:textId="508F3CB3">
            <w:pPr>
              <w:tabs>
                <w:tab w:val="left" w:pos="4260"/>
                <w:tab w:val="left" w:pos="5220"/>
              </w:tabs>
              <w:spacing w:before="3"/>
              <w:ind w:right="-20"/>
              <w:jc w:val="center"/>
              <w:rPr>
                <w:rFonts w:eastAsia="Arial"/>
                <w:sz w:val="16"/>
              </w:rPr>
            </w:pPr>
            <w:r w:rsidRPr="00770A3F">
              <w:rPr>
                <w:rFonts w:eastAsia="Arial"/>
                <w:sz w:val="16"/>
              </w:rPr>
              <w:t>1.25 hours</w:t>
            </w:r>
          </w:p>
        </w:tc>
        <w:tc>
          <w:tcPr>
            <w:tcW w:w="2702" w:type="pct"/>
            <w:vMerge w:val="restart"/>
            <w:shd w:val="clear" w:color="auto" w:fill="auto"/>
            <w:vAlign w:val="center"/>
          </w:tcPr>
          <w:p w:rsidRPr="00770A3F" w:rsidR="00583D8F" w:rsidP="00583D8F" w:rsidRDefault="00D746A7" w14:paraId="63555717" w14:textId="479FF039">
            <w:pPr>
              <w:tabs>
                <w:tab w:val="left" w:pos="4260"/>
                <w:tab w:val="left" w:pos="5220"/>
              </w:tabs>
              <w:spacing w:before="3" w:after="120"/>
              <w:ind w:right="-14"/>
              <w:rPr>
                <w:rFonts w:eastAsia="Arial"/>
                <w:sz w:val="16"/>
              </w:rPr>
            </w:pPr>
            <w:r w:rsidRPr="00770A3F">
              <w:rPr>
                <w:rFonts w:eastAsia="Arial"/>
                <w:sz w:val="16"/>
              </w:rPr>
              <w:t>NRC staff assumption</w:t>
            </w:r>
            <w:r w:rsidRPr="00770A3F" w:rsidR="00C363E8">
              <w:rPr>
                <w:rFonts w:eastAsia="Arial"/>
                <w:sz w:val="16"/>
              </w:rPr>
              <w:t>.  O</w:t>
            </w:r>
            <w:r w:rsidRPr="00770A3F" w:rsidR="00C35FCE">
              <w:rPr>
                <w:rFonts w:eastAsia="Arial"/>
                <w:sz w:val="16"/>
              </w:rPr>
              <w:t xml:space="preserve">n average, a </w:t>
            </w:r>
            <w:r w:rsidRPr="00770A3F" w:rsidR="008D4ED3">
              <w:rPr>
                <w:rFonts w:eastAsia="Arial"/>
                <w:sz w:val="16"/>
              </w:rPr>
              <w:t xml:space="preserve">donor must hydrate for </w:t>
            </w:r>
            <w:r w:rsidRPr="00770A3F" w:rsidR="0027202F">
              <w:rPr>
                <w:rFonts w:eastAsia="Arial"/>
                <w:sz w:val="16"/>
              </w:rPr>
              <w:t>a</w:t>
            </w:r>
            <w:r w:rsidRPr="00770A3F" w:rsidR="00992746">
              <w:rPr>
                <w:rFonts w:eastAsia="Arial"/>
                <w:sz w:val="16"/>
              </w:rPr>
              <w:t xml:space="preserve"> </w:t>
            </w:r>
            <w:r w:rsidRPr="00770A3F" w:rsidR="0027202F">
              <w:rPr>
                <w:rFonts w:eastAsia="Arial"/>
                <w:sz w:val="16"/>
              </w:rPr>
              <w:t>period</w:t>
            </w:r>
            <w:r w:rsidRPr="00770A3F" w:rsidR="008D4ED3">
              <w:rPr>
                <w:rFonts w:eastAsia="Arial"/>
                <w:sz w:val="16"/>
              </w:rPr>
              <w:t xml:space="preserve"> of time </w:t>
            </w:r>
            <w:r w:rsidR="00830331">
              <w:rPr>
                <w:rFonts w:eastAsia="Arial" w:cs="Arial"/>
                <w:sz w:val="16"/>
                <w:szCs w:val="16"/>
              </w:rPr>
              <w:t>before</w:t>
            </w:r>
            <w:r w:rsidRPr="00770A3F" w:rsidR="008D4ED3">
              <w:rPr>
                <w:rFonts w:eastAsia="Arial"/>
                <w:sz w:val="16"/>
              </w:rPr>
              <w:t xml:space="preserve"> provid</w:t>
            </w:r>
            <w:r w:rsidRPr="00770A3F" w:rsidR="00C35FCE">
              <w:rPr>
                <w:rFonts w:eastAsia="Arial"/>
                <w:sz w:val="16"/>
              </w:rPr>
              <w:t>ing</w:t>
            </w:r>
            <w:r w:rsidRPr="00770A3F" w:rsidR="008D4ED3">
              <w:rPr>
                <w:rFonts w:eastAsia="Arial"/>
                <w:sz w:val="16"/>
              </w:rPr>
              <w:t xml:space="preserve"> a second specimen under direct observation.  </w:t>
            </w:r>
            <w:r w:rsidRPr="00770A3F" w:rsidR="00903AF8">
              <w:rPr>
                <w:rFonts w:eastAsia="Arial"/>
                <w:sz w:val="16"/>
              </w:rPr>
              <w:t xml:space="preserve">The </w:t>
            </w:r>
            <w:r w:rsidRPr="00770A3F" w:rsidR="001244D8">
              <w:rPr>
                <w:rFonts w:eastAsia="Arial"/>
                <w:sz w:val="16"/>
              </w:rPr>
              <w:t xml:space="preserve">time </w:t>
            </w:r>
            <w:r w:rsidRPr="00770A3F" w:rsidR="00924E62">
              <w:rPr>
                <w:rFonts w:eastAsia="Arial"/>
                <w:sz w:val="16"/>
              </w:rPr>
              <w:t xml:space="preserve">value is the same for the donor and the collector because the donor is observed during the hydration </w:t>
            </w:r>
            <w:r w:rsidRPr="00770A3F" w:rsidR="00850CDD">
              <w:rPr>
                <w:rFonts w:eastAsia="Arial"/>
                <w:sz w:val="16"/>
              </w:rPr>
              <w:t xml:space="preserve">process </w:t>
            </w:r>
            <w:r w:rsidRPr="00770A3F" w:rsidR="00924E62">
              <w:rPr>
                <w:rFonts w:eastAsia="Arial"/>
                <w:sz w:val="16"/>
              </w:rPr>
              <w:t xml:space="preserve">and </w:t>
            </w:r>
            <w:r w:rsidRPr="00770A3F" w:rsidR="00610136">
              <w:rPr>
                <w:rFonts w:eastAsia="Arial"/>
                <w:sz w:val="16"/>
              </w:rPr>
              <w:t xml:space="preserve">the donor and collector participate in the </w:t>
            </w:r>
            <w:r w:rsidRPr="00770A3F" w:rsidR="0089322A">
              <w:rPr>
                <w:rFonts w:eastAsia="Arial"/>
                <w:sz w:val="16"/>
              </w:rPr>
              <w:t xml:space="preserve">collection process for the duration of the </w:t>
            </w:r>
            <w:r w:rsidRPr="00770A3F" w:rsidR="00BC0E34">
              <w:rPr>
                <w:rFonts w:eastAsia="Arial"/>
                <w:sz w:val="16"/>
              </w:rPr>
              <w:t>event</w:t>
            </w:r>
            <w:r w:rsidRPr="00770A3F" w:rsidR="00274737">
              <w:rPr>
                <w:rFonts w:eastAsia="Arial"/>
                <w:sz w:val="16"/>
              </w:rPr>
              <w:t>.</w:t>
            </w:r>
          </w:p>
        </w:tc>
      </w:tr>
      <w:tr w:rsidRPr="00260F01" w:rsidR="00D746A7" w:rsidTr="001416A2" w14:paraId="1EC89A33" w14:textId="77777777">
        <w:trPr>
          <w:cantSplit/>
          <w:trHeight w:val="309"/>
        </w:trPr>
        <w:tc>
          <w:tcPr>
            <w:tcW w:w="1617" w:type="pct"/>
            <w:vAlign w:val="center"/>
          </w:tcPr>
          <w:p w:rsidRPr="00260F01" w:rsidR="00D746A7" w:rsidP="00D746A7" w:rsidRDefault="00D746A7" w14:paraId="436A5C00" w14:textId="61DFF4D5">
            <w:pPr>
              <w:tabs>
                <w:tab w:val="left" w:pos="4260"/>
                <w:tab w:val="left" w:pos="5220"/>
              </w:tabs>
              <w:spacing w:before="3"/>
              <w:ind w:left="155" w:right="-14"/>
              <w:rPr>
                <w:rFonts w:cs="Arial"/>
                <w:sz w:val="16"/>
                <w:szCs w:val="16"/>
              </w:rPr>
            </w:pPr>
            <w:r w:rsidRPr="00770A3F">
              <w:rPr>
                <w:rFonts w:eastAsia="Arial"/>
                <w:sz w:val="16"/>
              </w:rPr>
              <w:t>Urine collection time</w:t>
            </w:r>
            <w:r w:rsidRPr="00770A3F" w:rsidR="002E43B6">
              <w:rPr>
                <w:rFonts w:eastAsia="Arial"/>
                <w:sz w:val="16"/>
              </w:rPr>
              <w:t xml:space="preserve"> (collector)</w:t>
            </w:r>
          </w:p>
        </w:tc>
        <w:tc>
          <w:tcPr>
            <w:tcW w:w="681" w:type="pct"/>
            <w:shd w:val="clear" w:color="auto" w:fill="auto"/>
            <w:vAlign w:val="center"/>
          </w:tcPr>
          <w:p w:rsidRPr="00770A3F" w:rsidR="00D746A7" w:rsidP="00982BD1" w:rsidRDefault="00D746A7" w14:paraId="6258441D" w14:textId="28C5517B">
            <w:pPr>
              <w:tabs>
                <w:tab w:val="left" w:pos="4260"/>
                <w:tab w:val="left" w:pos="5220"/>
              </w:tabs>
              <w:spacing w:before="3"/>
              <w:ind w:right="-20"/>
              <w:jc w:val="center"/>
              <w:rPr>
                <w:rFonts w:eastAsia="Arial"/>
                <w:sz w:val="16"/>
              </w:rPr>
            </w:pPr>
            <w:r w:rsidRPr="00770A3F">
              <w:rPr>
                <w:rFonts w:eastAsia="Arial"/>
                <w:sz w:val="16"/>
              </w:rPr>
              <w:t>1.25 hours</w:t>
            </w:r>
          </w:p>
        </w:tc>
        <w:tc>
          <w:tcPr>
            <w:tcW w:w="2702" w:type="pct"/>
            <w:vMerge/>
            <w:shd w:val="clear" w:color="auto" w:fill="auto"/>
            <w:vAlign w:val="center"/>
          </w:tcPr>
          <w:p w:rsidRPr="00770A3F" w:rsidR="00D746A7" w:rsidP="00982BD1" w:rsidRDefault="00D746A7" w14:paraId="6F39FDC0" w14:textId="77777777">
            <w:pPr>
              <w:tabs>
                <w:tab w:val="left" w:pos="4260"/>
                <w:tab w:val="left" w:pos="5220"/>
              </w:tabs>
              <w:spacing w:before="3"/>
              <w:ind w:right="-20"/>
              <w:rPr>
                <w:rFonts w:eastAsia="Arial"/>
                <w:sz w:val="16"/>
              </w:rPr>
            </w:pPr>
          </w:p>
        </w:tc>
      </w:tr>
      <w:tr w:rsidRPr="00260F01" w:rsidR="00D520BD" w:rsidTr="00982BD1" w14:paraId="021E9DAA" w14:textId="77777777">
        <w:trPr>
          <w:cantSplit/>
        </w:trPr>
        <w:tc>
          <w:tcPr>
            <w:tcW w:w="5000" w:type="pct"/>
            <w:gridSpan w:val="3"/>
            <w:shd w:val="clear" w:color="auto" w:fill="D9D9D9" w:themeFill="background1" w:themeFillShade="D9"/>
            <w:vAlign w:val="center"/>
          </w:tcPr>
          <w:p w:rsidRPr="00770A3F" w:rsidR="00D520BD" w:rsidP="006D78A0" w:rsidRDefault="00D520BD" w14:paraId="0D11E22D" w14:textId="77777777">
            <w:pPr>
              <w:keepNext/>
              <w:keepLines/>
              <w:tabs>
                <w:tab w:val="left" w:pos="4260"/>
                <w:tab w:val="left" w:pos="5220"/>
              </w:tabs>
              <w:spacing w:before="3"/>
              <w:ind w:right="-20"/>
              <w:rPr>
                <w:rFonts w:eastAsia="Arial"/>
                <w:b/>
                <w:sz w:val="16"/>
              </w:rPr>
            </w:pPr>
            <w:r w:rsidRPr="00770A3F">
              <w:rPr>
                <w:rFonts w:eastAsia="Arial"/>
                <w:b/>
                <w:sz w:val="16"/>
              </w:rPr>
              <w:t>Entity-Specific Information</w:t>
            </w:r>
          </w:p>
        </w:tc>
      </w:tr>
      <w:tr w:rsidRPr="00260F01" w:rsidR="00D520BD" w:rsidTr="001416A2" w14:paraId="227C0D4A" w14:textId="77777777">
        <w:trPr>
          <w:cantSplit/>
          <w:trHeight w:val="1263"/>
        </w:trPr>
        <w:tc>
          <w:tcPr>
            <w:tcW w:w="1617" w:type="pct"/>
            <w:vAlign w:val="center"/>
          </w:tcPr>
          <w:p w:rsidRPr="00770A3F" w:rsidR="00D520BD" w:rsidP="006F21ED" w:rsidRDefault="00D520BD" w14:paraId="6B932789" w14:textId="6E141122">
            <w:pPr>
              <w:tabs>
                <w:tab w:val="left" w:pos="4260"/>
                <w:tab w:val="left" w:pos="5220"/>
              </w:tabs>
              <w:spacing w:before="3"/>
              <w:ind w:left="155" w:right="-14"/>
              <w:rPr>
                <w:rFonts w:eastAsia="Arial"/>
                <w:sz w:val="16"/>
              </w:rPr>
            </w:pPr>
            <w:r w:rsidRPr="00770A3F">
              <w:rPr>
                <w:rFonts w:eastAsia="Arial"/>
                <w:sz w:val="16"/>
              </w:rPr>
              <w:t xml:space="preserve">Average remaining </w:t>
            </w:r>
            <w:r w:rsidRPr="00770A3F" w:rsidR="009D7DFF">
              <w:rPr>
                <w:rFonts w:eastAsia="Arial"/>
                <w:sz w:val="16"/>
              </w:rPr>
              <w:t>license term</w:t>
            </w:r>
            <w:r w:rsidRPr="00770A3F">
              <w:rPr>
                <w:rFonts w:eastAsia="Arial"/>
                <w:sz w:val="16"/>
              </w:rPr>
              <w:t xml:space="preserve"> per site</w:t>
            </w:r>
          </w:p>
        </w:tc>
        <w:tc>
          <w:tcPr>
            <w:tcW w:w="681" w:type="pct"/>
            <w:shd w:val="clear" w:color="auto" w:fill="FFFFFF" w:themeFill="background1"/>
            <w:vAlign w:val="center"/>
          </w:tcPr>
          <w:p w:rsidRPr="00770A3F" w:rsidR="00D520BD" w:rsidP="006D78A0" w:rsidRDefault="00D520BD" w14:paraId="0760AAD7" w14:textId="58785613">
            <w:pPr>
              <w:keepNext/>
              <w:keepLines/>
              <w:tabs>
                <w:tab w:val="left" w:pos="4260"/>
                <w:tab w:val="left" w:pos="5220"/>
              </w:tabs>
              <w:spacing w:before="3"/>
              <w:ind w:right="-20"/>
              <w:jc w:val="center"/>
              <w:rPr>
                <w:rFonts w:eastAsia="Arial"/>
                <w:sz w:val="16"/>
              </w:rPr>
            </w:pPr>
            <w:r w:rsidRPr="00770A3F">
              <w:rPr>
                <w:rFonts w:eastAsia="Arial"/>
                <w:sz w:val="16"/>
              </w:rPr>
              <w:t>2</w:t>
            </w:r>
            <w:r w:rsidRPr="00770A3F" w:rsidR="00975B9E">
              <w:rPr>
                <w:rFonts w:eastAsia="Arial"/>
                <w:sz w:val="16"/>
              </w:rPr>
              <w:t>4</w:t>
            </w:r>
            <w:r w:rsidRPr="00770A3F">
              <w:rPr>
                <w:rFonts w:eastAsia="Arial"/>
                <w:sz w:val="16"/>
              </w:rPr>
              <w:t xml:space="preserve"> years</w:t>
            </w:r>
          </w:p>
        </w:tc>
        <w:tc>
          <w:tcPr>
            <w:tcW w:w="2702" w:type="pct"/>
            <w:shd w:val="clear" w:color="auto" w:fill="FFFFFF" w:themeFill="background1"/>
            <w:vAlign w:val="center"/>
          </w:tcPr>
          <w:p w:rsidRPr="00770A3F" w:rsidR="009D5E66" w:rsidP="006D78A0" w:rsidRDefault="00D520BD" w14:paraId="2286A531" w14:textId="2C4EDE46">
            <w:pPr>
              <w:keepNext/>
              <w:keepLines/>
              <w:tabs>
                <w:tab w:val="left" w:pos="4260"/>
                <w:tab w:val="left" w:pos="5220"/>
              </w:tabs>
              <w:spacing w:before="3"/>
              <w:ind w:right="126"/>
              <w:rPr>
                <w:rFonts w:eastAsia="Arial"/>
                <w:sz w:val="16"/>
              </w:rPr>
            </w:pPr>
            <w:r w:rsidRPr="00770A3F">
              <w:rPr>
                <w:rFonts w:eastAsia="Arial"/>
                <w:sz w:val="16"/>
              </w:rPr>
              <w:t xml:space="preserve">Calculated based on license expiration date (assumes all </w:t>
            </w:r>
            <w:r w:rsidRPr="00770A3F" w:rsidR="009D5E66">
              <w:rPr>
                <w:rFonts w:eastAsia="Arial"/>
                <w:sz w:val="16"/>
              </w:rPr>
              <w:t xml:space="preserve">40-year </w:t>
            </w:r>
            <w:r w:rsidRPr="00770A3F">
              <w:rPr>
                <w:rFonts w:eastAsia="Arial"/>
                <w:sz w:val="16"/>
              </w:rPr>
              <w:t>operating power reactor licenses are extended for 20 years)</w:t>
            </w:r>
            <w:r w:rsidRPr="00770A3F" w:rsidR="00796F3A">
              <w:rPr>
                <w:rFonts w:eastAsia="Arial"/>
                <w:sz w:val="16"/>
              </w:rPr>
              <w:t xml:space="preserve">.  </w:t>
            </w:r>
            <w:r w:rsidRPr="00770A3F" w:rsidR="00D4241E">
              <w:rPr>
                <w:rFonts w:eastAsia="Arial"/>
                <w:sz w:val="16"/>
              </w:rPr>
              <w:t>Certain reactors are assumed to operate for a second 20</w:t>
            </w:r>
            <w:r w:rsidRPr="00770A3F" w:rsidR="00D93AE3">
              <w:rPr>
                <w:rFonts w:eastAsia="Arial"/>
                <w:sz w:val="16"/>
              </w:rPr>
              <w:t>-</w:t>
            </w:r>
            <w:r w:rsidRPr="00770A3F" w:rsidR="00D4241E">
              <w:rPr>
                <w:rFonts w:eastAsia="Arial"/>
                <w:sz w:val="16"/>
              </w:rPr>
              <w:t>year term (80</w:t>
            </w:r>
            <w:r w:rsidRPr="00770A3F" w:rsidR="00D93AE3">
              <w:rPr>
                <w:rFonts w:eastAsia="Arial"/>
                <w:sz w:val="16"/>
              </w:rPr>
              <w:t>-</w:t>
            </w:r>
            <w:r w:rsidRPr="00770A3F" w:rsidR="00D4241E">
              <w:rPr>
                <w:rFonts w:eastAsia="Arial"/>
                <w:sz w:val="16"/>
              </w:rPr>
              <w:t xml:space="preserve">year total) for those licensees that have received or have announced their intention to apply for a second license renewal). </w:t>
            </w:r>
            <w:r w:rsidRPr="00770A3F">
              <w:rPr>
                <w:rFonts w:eastAsia="Arial"/>
                <w:sz w:val="16"/>
              </w:rPr>
              <w:t xml:space="preserve"> </w:t>
            </w:r>
            <w:r w:rsidR="00AA00D4">
              <w:rPr>
                <w:rFonts w:eastAsia="Arial"/>
                <w:sz w:val="16"/>
              </w:rPr>
              <w:t>Category I s</w:t>
            </w:r>
            <w:r w:rsidR="0088161E">
              <w:rPr>
                <w:rFonts w:eastAsia="Arial"/>
                <w:sz w:val="16"/>
              </w:rPr>
              <w:t>pecial nuclear material licensees</w:t>
            </w:r>
            <w:r w:rsidRPr="00770A3F" w:rsidR="00D4241E">
              <w:rPr>
                <w:rFonts w:eastAsia="Arial"/>
                <w:sz w:val="16"/>
              </w:rPr>
              <w:t xml:space="preserve"> are assumed to</w:t>
            </w:r>
            <w:r w:rsidRPr="00770A3F">
              <w:rPr>
                <w:rFonts w:eastAsia="Arial"/>
                <w:sz w:val="16"/>
              </w:rPr>
              <w:t xml:space="preserve"> continue to operate as long as any reactor is operating</w:t>
            </w:r>
            <w:r w:rsidRPr="00770A3F" w:rsidR="002A28A3">
              <w:rPr>
                <w:rFonts w:eastAsia="Arial"/>
                <w:sz w:val="16"/>
              </w:rPr>
              <w:t>.</w:t>
            </w:r>
          </w:p>
        </w:tc>
      </w:tr>
      <w:tr w:rsidRPr="00260F01" w:rsidR="00B52922" w:rsidTr="001416A2" w14:paraId="042E3B55" w14:textId="77777777">
        <w:trPr>
          <w:cantSplit/>
          <w:trHeight w:val="471"/>
        </w:trPr>
        <w:tc>
          <w:tcPr>
            <w:tcW w:w="1617" w:type="pct"/>
            <w:vAlign w:val="center"/>
          </w:tcPr>
          <w:p w:rsidRPr="00770A3F" w:rsidR="00B52922" w:rsidP="006F21ED" w:rsidRDefault="00B52922" w14:paraId="5CAD71B6" w14:textId="330C43D1">
            <w:pPr>
              <w:tabs>
                <w:tab w:val="left" w:pos="4260"/>
                <w:tab w:val="left" w:pos="5220"/>
              </w:tabs>
              <w:spacing w:before="3"/>
              <w:ind w:left="155" w:right="-14"/>
              <w:rPr>
                <w:rFonts w:eastAsia="Arial"/>
                <w:sz w:val="16"/>
              </w:rPr>
            </w:pPr>
            <w:r w:rsidRPr="00770A3F">
              <w:rPr>
                <w:rFonts w:eastAsia="Arial"/>
                <w:sz w:val="16"/>
              </w:rPr>
              <w:t xml:space="preserve">New </w:t>
            </w:r>
            <w:r w:rsidRPr="00770A3F" w:rsidR="00634B4A">
              <w:rPr>
                <w:rFonts w:eastAsia="Arial"/>
                <w:sz w:val="16"/>
              </w:rPr>
              <w:t xml:space="preserve">reactor </w:t>
            </w:r>
            <w:r w:rsidRPr="00770A3F" w:rsidR="008A06AB">
              <w:rPr>
                <w:rFonts w:eastAsia="Arial"/>
                <w:sz w:val="16"/>
              </w:rPr>
              <w:t>license term</w:t>
            </w:r>
          </w:p>
        </w:tc>
        <w:tc>
          <w:tcPr>
            <w:tcW w:w="681" w:type="pct"/>
            <w:shd w:val="clear" w:color="auto" w:fill="FFFFFF" w:themeFill="background1"/>
            <w:vAlign w:val="center"/>
          </w:tcPr>
          <w:p w:rsidRPr="00770A3F" w:rsidR="00B52922" w:rsidP="006F21ED" w:rsidRDefault="00634B4A" w14:paraId="04F04383" w14:textId="2091BAC9">
            <w:pPr>
              <w:tabs>
                <w:tab w:val="left" w:pos="4260"/>
                <w:tab w:val="left" w:pos="5220"/>
              </w:tabs>
              <w:spacing w:before="3"/>
              <w:ind w:right="-20"/>
              <w:jc w:val="center"/>
              <w:rPr>
                <w:rFonts w:eastAsia="Arial"/>
                <w:sz w:val="16"/>
              </w:rPr>
            </w:pPr>
            <w:r w:rsidRPr="00770A3F">
              <w:rPr>
                <w:rFonts w:eastAsia="Arial"/>
                <w:sz w:val="16"/>
              </w:rPr>
              <w:t>60 years</w:t>
            </w:r>
          </w:p>
        </w:tc>
        <w:tc>
          <w:tcPr>
            <w:tcW w:w="2702" w:type="pct"/>
            <w:shd w:val="clear" w:color="auto" w:fill="FFFFFF" w:themeFill="background1"/>
            <w:vAlign w:val="center"/>
          </w:tcPr>
          <w:p w:rsidRPr="00770A3F" w:rsidR="00B52922" w:rsidP="009D5E66" w:rsidRDefault="00634B4A" w14:paraId="105ABDC0" w14:textId="5DCFA15B">
            <w:pPr>
              <w:tabs>
                <w:tab w:val="left" w:pos="4260"/>
                <w:tab w:val="left" w:pos="5220"/>
              </w:tabs>
              <w:spacing w:before="3"/>
              <w:ind w:right="126"/>
              <w:rPr>
                <w:rFonts w:eastAsia="Arial"/>
                <w:sz w:val="16"/>
              </w:rPr>
            </w:pPr>
            <w:r w:rsidRPr="00770A3F">
              <w:rPr>
                <w:rFonts w:eastAsia="Arial"/>
                <w:sz w:val="16"/>
              </w:rPr>
              <w:t>New power reactors are assumed to operate for the original 40</w:t>
            </w:r>
            <w:r w:rsidR="00826C00">
              <w:rPr>
                <w:rFonts w:eastAsia="Arial" w:cs="Arial"/>
                <w:sz w:val="16"/>
                <w:szCs w:val="16"/>
              </w:rPr>
              <w:noBreakHyphen/>
            </w:r>
            <w:r w:rsidRPr="00770A3F">
              <w:rPr>
                <w:rFonts w:eastAsia="Arial"/>
                <w:sz w:val="16"/>
              </w:rPr>
              <w:t>year operating license and for an additional 20</w:t>
            </w:r>
            <w:r w:rsidRPr="00770A3F" w:rsidR="00244B1F">
              <w:rPr>
                <w:rFonts w:eastAsia="Arial"/>
                <w:sz w:val="16"/>
              </w:rPr>
              <w:t>-</w:t>
            </w:r>
            <w:r w:rsidRPr="00770A3F">
              <w:rPr>
                <w:rFonts w:eastAsia="Arial"/>
                <w:sz w:val="16"/>
              </w:rPr>
              <w:t>year license extension</w:t>
            </w:r>
            <w:r w:rsidRPr="00770A3F" w:rsidR="00757E3B">
              <w:rPr>
                <w:rFonts w:eastAsia="Arial"/>
                <w:sz w:val="16"/>
              </w:rPr>
              <w:t>.</w:t>
            </w:r>
          </w:p>
        </w:tc>
      </w:tr>
      <w:tr w:rsidRPr="00260F01" w:rsidR="00D520BD" w:rsidTr="00982BD1" w14:paraId="56D6F0CD" w14:textId="77777777">
        <w:trPr>
          <w:cantSplit/>
        </w:trPr>
        <w:tc>
          <w:tcPr>
            <w:tcW w:w="5000" w:type="pct"/>
            <w:gridSpan w:val="3"/>
            <w:shd w:val="clear" w:color="auto" w:fill="D9D9D9" w:themeFill="background1" w:themeFillShade="D9"/>
            <w:vAlign w:val="center"/>
          </w:tcPr>
          <w:p w:rsidRPr="00770A3F" w:rsidR="00D520BD" w:rsidP="006F21ED" w:rsidRDefault="00D520BD" w14:paraId="0C16841D" w14:textId="77777777">
            <w:pPr>
              <w:tabs>
                <w:tab w:val="left" w:pos="4260"/>
                <w:tab w:val="left" w:pos="5220"/>
              </w:tabs>
              <w:spacing w:before="3"/>
              <w:ind w:right="-14"/>
              <w:rPr>
                <w:rFonts w:eastAsia="Arial"/>
                <w:b/>
                <w:sz w:val="16"/>
              </w:rPr>
            </w:pPr>
            <w:r w:rsidRPr="00770A3F">
              <w:rPr>
                <w:rFonts w:eastAsia="Arial"/>
                <w:b/>
                <w:sz w:val="16"/>
              </w:rPr>
              <w:t>Inflation Rates</w:t>
            </w:r>
          </w:p>
        </w:tc>
      </w:tr>
      <w:tr w:rsidRPr="00260F01" w:rsidR="00D520BD" w:rsidTr="001416A2" w14:paraId="22EF1930" w14:textId="77777777">
        <w:trPr>
          <w:cantSplit/>
          <w:trHeight w:val="507"/>
        </w:trPr>
        <w:tc>
          <w:tcPr>
            <w:tcW w:w="1617" w:type="pct"/>
            <w:tcBorders>
              <w:bottom w:val="single" w:color="auto" w:sz="4" w:space="0"/>
            </w:tcBorders>
            <w:vAlign w:val="center"/>
          </w:tcPr>
          <w:p w:rsidRPr="00770A3F" w:rsidR="00D520BD" w:rsidP="006F21ED" w:rsidRDefault="00D520BD" w14:paraId="0EE0BF05" w14:textId="7C0ACB73">
            <w:pPr>
              <w:tabs>
                <w:tab w:val="left" w:pos="4260"/>
                <w:tab w:val="left" w:pos="5220"/>
              </w:tabs>
              <w:spacing w:before="3"/>
              <w:ind w:left="155" w:right="-14"/>
              <w:rPr>
                <w:rFonts w:eastAsia="Arial"/>
                <w:sz w:val="16"/>
              </w:rPr>
            </w:pPr>
            <w:r w:rsidRPr="00770A3F">
              <w:rPr>
                <w:rFonts w:eastAsia="Arial"/>
                <w:sz w:val="16"/>
              </w:rPr>
              <w:t>Ratio of 20</w:t>
            </w:r>
            <w:r w:rsidRPr="00770A3F" w:rsidR="00E9749C">
              <w:rPr>
                <w:rFonts w:eastAsia="Arial"/>
                <w:sz w:val="16"/>
              </w:rPr>
              <w:t>22</w:t>
            </w:r>
            <w:r w:rsidRPr="00770A3F">
              <w:rPr>
                <w:rFonts w:eastAsia="Arial"/>
                <w:sz w:val="16"/>
              </w:rPr>
              <w:t xml:space="preserve"> Annual Average CPI-U to 2006 Annual Average CPI-U</w:t>
            </w:r>
          </w:p>
        </w:tc>
        <w:tc>
          <w:tcPr>
            <w:tcW w:w="681" w:type="pct"/>
            <w:tcBorders>
              <w:bottom w:val="single" w:color="auto" w:sz="4" w:space="0"/>
            </w:tcBorders>
            <w:vAlign w:val="center"/>
          </w:tcPr>
          <w:p w:rsidRPr="00770A3F" w:rsidR="00D520BD" w:rsidP="006F21ED" w:rsidRDefault="00E9749C" w14:paraId="5F0CCE6C" w14:textId="664C5AC0">
            <w:pPr>
              <w:tabs>
                <w:tab w:val="left" w:pos="4260"/>
                <w:tab w:val="left" w:pos="5220"/>
              </w:tabs>
              <w:spacing w:before="3"/>
              <w:ind w:right="-20"/>
              <w:jc w:val="center"/>
              <w:rPr>
                <w:rFonts w:eastAsia="Arial"/>
                <w:sz w:val="16"/>
              </w:rPr>
            </w:pPr>
            <w:r w:rsidRPr="00770A3F">
              <w:rPr>
                <w:rFonts w:eastAsia="Arial"/>
                <w:sz w:val="16"/>
              </w:rPr>
              <w:t>1.35</w:t>
            </w:r>
          </w:p>
        </w:tc>
        <w:tc>
          <w:tcPr>
            <w:tcW w:w="2702" w:type="pct"/>
            <w:vMerge w:val="restart"/>
            <w:vAlign w:val="center"/>
          </w:tcPr>
          <w:p w:rsidRPr="00770A3F" w:rsidR="00D520BD" w:rsidP="006F21ED" w:rsidRDefault="00D520BD" w14:paraId="0957FA80" w14:textId="4066433A">
            <w:pPr>
              <w:tabs>
                <w:tab w:val="left" w:pos="4260"/>
                <w:tab w:val="left" w:pos="5220"/>
              </w:tabs>
              <w:spacing w:before="3"/>
              <w:ind w:right="126"/>
              <w:rPr>
                <w:rFonts w:eastAsia="Arial"/>
                <w:sz w:val="16"/>
              </w:rPr>
            </w:pPr>
            <w:r w:rsidRPr="00770A3F">
              <w:rPr>
                <w:rFonts w:eastAsia="Arial"/>
                <w:sz w:val="16"/>
              </w:rPr>
              <w:t xml:space="preserve">U.S. Bureau of Labor Statistics (Table 24.  Historical Consumer Price Index for All Urban Consumers (CPI-U): </w:t>
            </w:r>
            <w:r w:rsidR="00826C00">
              <w:rPr>
                <w:rFonts w:eastAsia="Arial" w:cs="Arial"/>
                <w:sz w:val="16"/>
                <w:szCs w:val="16"/>
              </w:rPr>
              <w:t xml:space="preserve"> </w:t>
            </w:r>
            <w:r w:rsidRPr="00770A3F">
              <w:rPr>
                <w:rFonts w:eastAsia="Arial"/>
                <w:sz w:val="16"/>
              </w:rPr>
              <w:t>U.S. city average</w:t>
            </w:r>
            <w:r w:rsidRPr="00770A3F" w:rsidR="00646A79">
              <w:rPr>
                <w:rFonts w:eastAsia="Arial"/>
                <w:sz w:val="16"/>
              </w:rPr>
              <w:t>,</w:t>
            </w:r>
            <w:r w:rsidRPr="00770A3F">
              <w:rPr>
                <w:rFonts w:eastAsia="Arial"/>
                <w:sz w:val="16"/>
              </w:rPr>
              <w:t xml:space="preserve"> all items)</w:t>
            </w:r>
          </w:p>
          <w:p w:rsidRPr="00770A3F" w:rsidR="00D520BD" w:rsidP="006F21ED" w:rsidRDefault="00D520BD" w14:paraId="0F31BE3F" w14:textId="77777777">
            <w:pPr>
              <w:tabs>
                <w:tab w:val="left" w:pos="4260"/>
                <w:tab w:val="left" w:pos="5220"/>
              </w:tabs>
              <w:spacing w:before="3"/>
              <w:ind w:right="126"/>
              <w:rPr>
                <w:rFonts w:eastAsia="Arial"/>
                <w:sz w:val="16"/>
              </w:rPr>
            </w:pPr>
          </w:p>
          <w:p w:rsidRPr="00770A3F" w:rsidR="00D520BD" w:rsidP="006F21ED" w:rsidRDefault="00D520BD" w14:paraId="025C1DC7" w14:textId="67090ACB">
            <w:pPr>
              <w:tabs>
                <w:tab w:val="left" w:pos="4260"/>
                <w:tab w:val="left" w:pos="5220"/>
              </w:tabs>
              <w:spacing w:before="3"/>
              <w:ind w:right="126"/>
              <w:rPr>
                <w:rFonts w:eastAsia="Arial"/>
                <w:sz w:val="16"/>
              </w:rPr>
            </w:pPr>
            <w:r w:rsidRPr="00770A3F">
              <w:rPr>
                <w:rFonts w:eastAsia="Arial"/>
                <w:sz w:val="16"/>
              </w:rPr>
              <w:t>[CPI-U:  CY 2002 = 179.9; CY 2006 = 201.6; CY 20</w:t>
            </w:r>
            <w:r w:rsidRPr="00770A3F" w:rsidR="00E9749C">
              <w:rPr>
                <w:rFonts w:eastAsia="Arial"/>
                <w:sz w:val="16"/>
              </w:rPr>
              <w:t>22</w:t>
            </w:r>
            <w:r w:rsidRPr="00770A3F">
              <w:rPr>
                <w:rFonts w:eastAsia="Arial"/>
                <w:sz w:val="16"/>
              </w:rPr>
              <w:t xml:space="preserve"> = </w:t>
            </w:r>
            <w:r w:rsidRPr="00770A3F" w:rsidR="000E0CED">
              <w:rPr>
                <w:rFonts w:eastAsia="Arial"/>
                <w:sz w:val="16"/>
              </w:rPr>
              <w:t>272.3</w:t>
            </w:r>
            <w:r w:rsidRPr="00770A3F">
              <w:rPr>
                <w:rFonts w:eastAsia="Arial"/>
                <w:sz w:val="16"/>
              </w:rPr>
              <w:t>]</w:t>
            </w:r>
          </w:p>
        </w:tc>
      </w:tr>
      <w:tr w:rsidRPr="00260F01" w:rsidR="00D520BD" w:rsidTr="001416A2" w14:paraId="5F568D67" w14:textId="77777777">
        <w:trPr>
          <w:cantSplit/>
          <w:trHeight w:val="498"/>
        </w:trPr>
        <w:tc>
          <w:tcPr>
            <w:tcW w:w="1617" w:type="pct"/>
            <w:shd w:val="clear" w:color="auto" w:fill="auto"/>
            <w:vAlign w:val="center"/>
          </w:tcPr>
          <w:p w:rsidRPr="00770A3F" w:rsidR="00D520BD" w:rsidP="00982BD1" w:rsidRDefault="00D520BD" w14:paraId="49A5FB44" w14:textId="4DBB24E9">
            <w:pPr>
              <w:tabs>
                <w:tab w:val="left" w:pos="4260"/>
                <w:tab w:val="left" w:pos="5220"/>
              </w:tabs>
              <w:spacing w:before="3"/>
              <w:ind w:left="155" w:right="-14"/>
              <w:rPr>
                <w:rFonts w:eastAsia="Arial"/>
                <w:sz w:val="16"/>
              </w:rPr>
            </w:pPr>
            <w:r w:rsidRPr="00770A3F">
              <w:rPr>
                <w:rFonts w:eastAsia="Arial"/>
                <w:sz w:val="16"/>
              </w:rPr>
              <w:t xml:space="preserve">Ratio of </w:t>
            </w:r>
            <w:r w:rsidRPr="00770A3F" w:rsidR="009635AE">
              <w:rPr>
                <w:rFonts w:eastAsia="Arial"/>
                <w:sz w:val="16"/>
              </w:rPr>
              <w:t>2022</w:t>
            </w:r>
            <w:r w:rsidRPr="00770A3F">
              <w:rPr>
                <w:rFonts w:eastAsia="Arial"/>
                <w:sz w:val="16"/>
              </w:rPr>
              <w:t xml:space="preserve"> Annual Average CPI-U to 2002 Annual Average CPI-U</w:t>
            </w:r>
          </w:p>
        </w:tc>
        <w:tc>
          <w:tcPr>
            <w:tcW w:w="681" w:type="pct"/>
            <w:shd w:val="clear" w:color="auto" w:fill="auto"/>
            <w:vAlign w:val="center"/>
          </w:tcPr>
          <w:p w:rsidRPr="00770A3F" w:rsidR="00D520BD" w:rsidP="00982BD1" w:rsidRDefault="007462F5" w14:paraId="7FA52C5A" w14:textId="1F83D530">
            <w:pPr>
              <w:tabs>
                <w:tab w:val="left" w:pos="4260"/>
                <w:tab w:val="left" w:pos="5220"/>
              </w:tabs>
              <w:spacing w:before="3"/>
              <w:ind w:right="-20"/>
              <w:jc w:val="center"/>
              <w:rPr>
                <w:rFonts w:eastAsia="Arial"/>
                <w:sz w:val="16"/>
              </w:rPr>
            </w:pPr>
            <w:r w:rsidRPr="00770A3F">
              <w:rPr>
                <w:rFonts w:eastAsia="Arial"/>
                <w:sz w:val="16"/>
              </w:rPr>
              <w:t>1.51</w:t>
            </w:r>
          </w:p>
        </w:tc>
        <w:tc>
          <w:tcPr>
            <w:tcW w:w="2702" w:type="pct"/>
            <w:vMerge/>
            <w:vAlign w:val="center"/>
          </w:tcPr>
          <w:p w:rsidRPr="00770A3F" w:rsidR="00D520BD" w:rsidP="00982BD1" w:rsidRDefault="00D520BD" w14:paraId="7EA371ED" w14:textId="77777777">
            <w:pPr>
              <w:tabs>
                <w:tab w:val="left" w:pos="4260"/>
                <w:tab w:val="left" w:pos="5220"/>
              </w:tabs>
              <w:spacing w:before="3"/>
              <w:ind w:right="126"/>
              <w:rPr>
                <w:rFonts w:eastAsia="Arial"/>
                <w:sz w:val="16"/>
              </w:rPr>
            </w:pPr>
          </w:p>
        </w:tc>
      </w:tr>
    </w:tbl>
    <w:p w:rsidRPr="00CB1C5B" w:rsidR="00D520BD" w:rsidP="00D520BD" w:rsidRDefault="00D520BD" w14:paraId="167B8F72"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18"/>
          <w:szCs w:val="22"/>
        </w:rPr>
        <w:sectPr w:rsidRPr="00CB1C5B" w:rsidR="00D520BD" w:rsidSect="0098556A">
          <w:footerReference w:type="default" r:id="rId37"/>
          <w:pgSz w:w="12240" w:h="15840" w:code="1"/>
          <w:pgMar w:top="1440" w:right="1440" w:bottom="1440" w:left="1440" w:header="720" w:footer="720" w:gutter="0"/>
          <w:pgNumType w:start="1"/>
          <w:cols w:space="720"/>
          <w:noEndnote/>
          <w:docGrid w:linePitch="272"/>
        </w:sectPr>
      </w:pPr>
    </w:p>
    <w:p w:rsidRPr="00834DCE" w:rsidR="00D520BD" w:rsidP="00D520BD" w:rsidRDefault="00D520BD" w14:paraId="1D3AD8E4" w14:textId="77777777">
      <w:pPr>
        <w:rPr>
          <w:b/>
          <w:i/>
          <w:sz w:val="28"/>
          <w:szCs w:val="28"/>
        </w:rPr>
      </w:pPr>
      <w:bookmarkStart w:name="_Toc370806860" w:id="299"/>
      <w:bookmarkStart w:name="_Toc369786581" w:id="300"/>
      <w:r w:rsidRPr="00834DCE">
        <w:rPr>
          <w:b/>
          <w:i/>
          <w:sz w:val="28"/>
          <w:szCs w:val="28"/>
        </w:rPr>
        <w:t>Appendix C:  Assumptions and Results by Regulatory Initiative</w:t>
      </w:r>
      <w:bookmarkEnd w:id="299"/>
    </w:p>
    <w:p w:rsidRPr="00B15952" w:rsidR="00D520BD" w:rsidP="00D520BD" w:rsidRDefault="00D520BD" w14:paraId="759F5973" w14:textId="77777777">
      <w:pPr>
        <w:rPr>
          <w:b/>
          <w:i/>
          <w:sz w:val="22"/>
          <w:szCs w:val="22"/>
        </w:rPr>
      </w:pPr>
    </w:p>
    <w:tbl>
      <w:tblPr>
        <w:tblStyle w:val="TableGrid"/>
        <w:tblW w:w="9468" w:type="dxa"/>
        <w:tblLayout w:type="fixed"/>
        <w:tblLook w:val="04A0" w:firstRow="1" w:lastRow="0" w:firstColumn="1" w:lastColumn="0" w:noHBand="0" w:noVBand="1"/>
      </w:tblPr>
      <w:tblGrid>
        <w:gridCol w:w="1705"/>
        <w:gridCol w:w="365"/>
        <w:gridCol w:w="1098"/>
        <w:gridCol w:w="1260"/>
        <w:gridCol w:w="1332"/>
        <w:gridCol w:w="648"/>
        <w:gridCol w:w="162"/>
        <w:gridCol w:w="828"/>
        <w:gridCol w:w="810"/>
        <w:gridCol w:w="90"/>
        <w:gridCol w:w="1170"/>
      </w:tblGrid>
      <w:tr w:rsidRPr="00AD2FDD" w:rsidR="00D520BD" w:rsidTr="00982BD1" w14:paraId="196C724D" w14:textId="77777777">
        <w:trPr>
          <w:trHeight w:val="1844"/>
        </w:trPr>
        <w:tc>
          <w:tcPr>
            <w:tcW w:w="9468" w:type="dxa"/>
            <w:gridSpan w:val="11"/>
            <w:vAlign w:val="center"/>
          </w:tcPr>
          <w:p w:rsidRPr="00AD2FDD" w:rsidR="00D520BD" w:rsidP="00982BD1" w:rsidRDefault="00D520BD" w14:paraId="7D377A93" w14:textId="5D3D5605">
            <w:pPr>
              <w:spacing w:before="60" w:after="60"/>
              <w:rPr>
                <w:rFonts w:cs="Arial"/>
                <w:b/>
                <w:i/>
              </w:rPr>
            </w:pPr>
            <w:r w:rsidRPr="00AD2FDD">
              <w:rPr>
                <w:rFonts w:cs="Arial"/>
                <w:b/>
                <w:i/>
              </w:rPr>
              <w:t>C.1  Policy</w:t>
            </w:r>
            <w:r w:rsidRPr="00AD2FDD" w:rsidR="00646A79">
              <w:rPr>
                <w:rFonts w:cs="Arial"/>
                <w:b/>
                <w:i/>
              </w:rPr>
              <w:t>,</w:t>
            </w:r>
            <w:r w:rsidRPr="00AD2FDD">
              <w:rPr>
                <w:rFonts w:cs="Arial"/>
                <w:b/>
                <w:i/>
              </w:rPr>
              <w:t xml:space="preserve"> Procedure</w:t>
            </w:r>
            <w:r w:rsidRPr="00AD2FDD" w:rsidR="00646A79">
              <w:rPr>
                <w:rFonts w:cs="Arial"/>
                <w:b/>
                <w:i/>
              </w:rPr>
              <w:t>,</w:t>
            </w:r>
            <w:r w:rsidRPr="00AD2FDD">
              <w:rPr>
                <w:rFonts w:cs="Arial"/>
                <w:b/>
                <w:i/>
              </w:rPr>
              <w:t xml:space="preserve"> and Training Costs</w:t>
            </w:r>
          </w:p>
          <w:p w:rsidRPr="00AD2FDD" w:rsidR="00D520BD" w:rsidP="004271D5" w:rsidRDefault="00D520BD" w14:paraId="54664586" w14:textId="4B5E1E90">
            <w:pPr>
              <w:spacing w:before="60" w:after="60"/>
              <w:ind w:firstLine="14"/>
              <w:rPr>
                <w:rFonts w:eastAsia="Arial" w:cs="Arial"/>
                <w:sz w:val="16"/>
                <w:szCs w:val="16"/>
              </w:rPr>
            </w:pPr>
            <w:r w:rsidRPr="00AD2FDD">
              <w:rPr>
                <w:rFonts w:eastAsia="Arial" w:cs="Arial"/>
                <w:sz w:val="16"/>
                <w:szCs w:val="16"/>
              </w:rPr>
              <w:t>The U.S. Nuclear Regulatory Commission’s (NRC’s)</w:t>
            </w:r>
            <w:r w:rsidRPr="00AD2FDD">
              <w:rPr>
                <w:rFonts w:eastAsia="Arial"/>
                <w:sz w:val="16"/>
              </w:rPr>
              <w:t xml:space="preserve"> </w:t>
            </w:r>
            <w:r w:rsidRPr="00AD2FDD" w:rsidR="009B2D7E">
              <w:rPr>
                <w:rFonts w:eastAsia="Arial"/>
                <w:sz w:val="16"/>
              </w:rPr>
              <w:t xml:space="preserve">final </w:t>
            </w:r>
            <w:r w:rsidRPr="00AD2FDD">
              <w:rPr>
                <w:rFonts w:eastAsia="Arial"/>
                <w:sz w:val="16"/>
              </w:rPr>
              <w:t>ru</w:t>
            </w:r>
            <w:r w:rsidRPr="00AD2FDD">
              <w:rPr>
                <w:rFonts w:eastAsia="Arial" w:cs="Arial"/>
                <w:sz w:val="16"/>
                <w:szCs w:val="16"/>
              </w:rPr>
              <w:t xml:space="preserve">le </w:t>
            </w:r>
            <w:r w:rsidRPr="00AD2FDD">
              <w:rPr>
                <w:rFonts w:eastAsia="Arial"/>
                <w:sz w:val="16"/>
              </w:rPr>
              <w:t>im</w:t>
            </w:r>
            <w:r w:rsidRPr="00AD2FDD">
              <w:rPr>
                <w:rFonts w:eastAsia="Arial" w:cs="Arial"/>
                <w:sz w:val="16"/>
                <w:szCs w:val="16"/>
              </w:rPr>
              <w:t>pose</w:t>
            </w:r>
            <w:r w:rsidRPr="00AD2FDD" w:rsidR="009B2D7E">
              <w:rPr>
                <w:rFonts w:eastAsia="Arial" w:cs="Arial"/>
                <w:sz w:val="16"/>
                <w:szCs w:val="16"/>
              </w:rPr>
              <w:t>s</w:t>
            </w:r>
            <w:r w:rsidRPr="00AD2FDD">
              <w:rPr>
                <w:rFonts w:eastAsia="Arial"/>
                <w:sz w:val="16"/>
              </w:rPr>
              <w:t xml:space="preserve"> </w:t>
            </w:r>
            <w:r w:rsidRPr="00AD2FDD">
              <w:rPr>
                <w:rFonts w:eastAsia="Arial" w:cs="Arial"/>
                <w:sz w:val="16"/>
                <w:szCs w:val="16"/>
              </w:rPr>
              <w:t>o</w:t>
            </w:r>
            <w:r w:rsidRPr="00AD2FDD">
              <w:rPr>
                <w:rFonts w:eastAsia="Arial"/>
                <w:sz w:val="16"/>
              </w:rPr>
              <w:t>n</w:t>
            </w:r>
            <w:r w:rsidRPr="00AD2FDD">
              <w:rPr>
                <w:rFonts w:eastAsia="Arial" w:cs="Arial"/>
                <w:sz w:val="16"/>
                <w:szCs w:val="16"/>
              </w:rPr>
              <w:t>e</w:t>
            </w:r>
            <w:r w:rsidRPr="00AD2FDD">
              <w:rPr>
                <w:rFonts w:eastAsia="Arial"/>
                <w:sz w:val="16"/>
              </w:rPr>
              <w:t>-tim</w:t>
            </w:r>
            <w:r w:rsidRPr="00AD2FDD">
              <w:rPr>
                <w:rFonts w:eastAsia="Arial" w:cs="Arial"/>
                <w:sz w:val="16"/>
                <w:szCs w:val="16"/>
              </w:rPr>
              <w:t>e</w:t>
            </w:r>
            <w:r w:rsidRPr="00AD2FDD">
              <w:rPr>
                <w:rFonts w:eastAsia="Arial"/>
                <w:sz w:val="16"/>
              </w:rPr>
              <w:t xml:space="preserve"> </w:t>
            </w:r>
            <w:r w:rsidRPr="00AD2FDD">
              <w:rPr>
                <w:rFonts w:eastAsia="Arial" w:cs="Arial"/>
                <w:sz w:val="16"/>
                <w:szCs w:val="16"/>
              </w:rPr>
              <w:t>cos</w:t>
            </w:r>
            <w:r w:rsidRPr="00AD2FDD">
              <w:rPr>
                <w:rFonts w:eastAsia="Arial"/>
                <w:sz w:val="16"/>
              </w:rPr>
              <w:t>t</w:t>
            </w:r>
            <w:r w:rsidRPr="00AD2FDD">
              <w:rPr>
                <w:rFonts w:eastAsia="Arial" w:cs="Arial"/>
                <w:sz w:val="16"/>
                <w:szCs w:val="16"/>
              </w:rPr>
              <w:t>s</w:t>
            </w:r>
            <w:r w:rsidRPr="00AD2FDD">
              <w:rPr>
                <w:rFonts w:eastAsia="Arial"/>
                <w:sz w:val="16"/>
              </w:rPr>
              <w:t xml:space="preserve"> </w:t>
            </w:r>
            <w:r w:rsidRPr="00AD2FDD">
              <w:rPr>
                <w:rFonts w:eastAsia="Arial" w:cs="Arial"/>
                <w:sz w:val="16"/>
                <w:szCs w:val="16"/>
              </w:rPr>
              <w:t>on i</w:t>
            </w:r>
            <w:r w:rsidRPr="00AD2FDD">
              <w:rPr>
                <w:rFonts w:eastAsia="Arial"/>
                <w:sz w:val="16"/>
              </w:rPr>
              <w:t>n</w:t>
            </w:r>
            <w:r w:rsidRPr="00AD2FDD">
              <w:rPr>
                <w:rFonts w:eastAsia="Arial" w:cs="Arial"/>
                <w:sz w:val="16"/>
                <w:szCs w:val="16"/>
              </w:rPr>
              <w:t>d</w:t>
            </w:r>
            <w:r w:rsidRPr="00AD2FDD">
              <w:rPr>
                <w:rFonts w:eastAsia="Arial"/>
                <w:sz w:val="16"/>
              </w:rPr>
              <w:t>u</w:t>
            </w:r>
            <w:r w:rsidRPr="00AD2FDD">
              <w:rPr>
                <w:rFonts w:eastAsia="Arial" w:cs="Arial"/>
                <w:sz w:val="16"/>
                <w:szCs w:val="16"/>
              </w:rPr>
              <w:t>st</w:t>
            </w:r>
            <w:r w:rsidRPr="00AD2FDD">
              <w:rPr>
                <w:rFonts w:eastAsia="Arial"/>
                <w:sz w:val="16"/>
              </w:rPr>
              <w:t>r</w:t>
            </w:r>
            <w:r w:rsidRPr="00AD2FDD">
              <w:rPr>
                <w:rFonts w:eastAsia="Arial" w:cs="Arial"/>
                <w:sz w:val="16"/>
                <w:szCs w:val="16"/>
              </w:rPr>
              <w:t>y</w:t>
            </w:r>
            <w:r w:rsidRPr="00AD2FDD">
              <w:rPr>
                <w:rFonts w:eastAsia="Arial"/>
                <w:sz w:val="16"/>
              </w:rPr>
              <w:t xml:space="preserve"> </w:t>
            </w:r>
            <w:r w:rsidRPr="00AD2FDD" w:rsidR="0028614C">
              <w:rPr>
                <w:rFonts w:eastAsia="Arial"/>
                <w:sz w:val="16"/>
              </w:rPr>
              <w:t>for</w:t>
            </w:r>
            <w:r w:rsidRPr="00AD2FDD">
              <w:rPr>
                <w:rFonts w:eastAsia="Arial"/>
                <w:sz w:val="16"/>
              </w:rPr>
              <w:t xml:space="preserve"> </w:t>
            </w:r>
            <w:r w:rsidRPr="00AD2FDD">
              <w:rPr>
                <w:rFonts w:eastAsia="Arial" w:cs="Arial"/>
                <w:sz w:val="16"/>
                <w:szCs w:val="16"/>
              </w:rPr>
              <w:t>t</w:t>
            </w:r>
            <w:r w:rsidRPr="00AD2FDD">
              <w:rPr>
                <w:rFonts w:eastAsia="Arial"/>
                <w:sz w:val="16"/>
              </w:rPr>
              <w:t>h</w:t>
            </w:r>
            <w:r w:rsidRPr="00AD2FDD">
              <w:rPr>
                <w:rFonts w:eastAsia="Arial" w:cs="Arial"/>
                <w:sz w:val="16"/>
                <w:szCs w:val="16"/>
              </w:rPr>
              <w:t>e</w:t>
            </w:r>
            <w:r w:rsidRPr="00AD2FDD">
              <w:rPr>
                <w:rFonts w:eastAsia="Arial"/>
                <w:sz w:val="16"/>
              </w:rPr>
              <w:t xml:space="preserve"> fol</w:t>
            </w:r>
            <w:r w:rsidRPr="00AD2FDD">
              <w:rPr>
                <w:rFonts w:eastAsia="Arial" w:cs="Arial"/>
                <w:sz w:val="16"/>
                <w:szCs w:val="16"/>
              </w:rPr>
              <w:t>lo</w:t>
            </w:r>
            <w:r w:rsidRPr="00AD2FDD">
              <w:rPr>
                <w:rFonts w:eastAsia="Arial"/>
                <w:sz w:val="16"/>
              </w:rPr>
              <w:t>win</w:t>
            </w:r>
            <w:r w:rsidRPr="00AD2FDD">
              <w:rPr>
                <w:rFonts w:eastAsia="Arial" w:cs="Arial"/>
                <w:sz w:val="16"/>
                <w:szCs w:val="16"/>
              </w:rPr>
              <w:t>g</w:t>
            </w:r>
            <w:r w:rsidRPr="00AD2FDD">
              <w:rPr>
                <w:rFonts w:eastAsia="Arial"/>
                <w:sz w:val="16"/>
              </w:rPr>
              <w:t xml:space="preserve"> </w:t>
            </w:r>
            <w:r w:rsidRPr="00AD2FDD" w:rsidR="0028614C">
              <w:rPr>
                <w:rFonts w:eastAsia="Arial"/>
                <w:sz w:val="16"/>
              </w:rPr>
              <w:t xml:space="preserve">five </w:t>
            </w:r>
            <w:r w:rsidRPr="00AD2FDD">
              <w:rPr>
                <w:rFonts w:eastAsia="Arial" w:cs="Arial"/>
                <w:sz w:val="16"/>
                <w:szCs w:val="16"/>
              </w:rPr>
              <w:t>act</w:t>
            </w:r>
            <w:r w:rsidRPr="00AD2FDD">
              <w:rPr>
                <w:rFonts w:eastAsia="Arial"/>
                <w:sz w:val="16"/>
              </w:rPr>
              <w:t>i</w:t>
            </w:r>
            <w:r w:rsidRPr="00AD2FDD">
              <w:rPr>
                <w:rFonts w:eastAsia="Arial" w:cs="Arial"/>
                <w:sz w:val="16"/>
                <w:szCs w:val="16"/>
              </w:rPr>
              <w:t>v</w:t>
            </w:r>
            <w:r w:rsidRPr="00AD2FDD">
              <w:rPr>
                <w:rFonts w:eastAsia="Arial"/>
                <w:sz w:val="16"/>
              </w:rPr>
              <w:t>i</w:t>
            </w:r>
            <w:r w:rsidRPr="00AD2FDD">
              <w:rPr>
                <w:rFonts w:eastAsia="Arial" w:cs="Arial"/>
                <w:sz w:val="16"/>
                <w:szCs w:val="16"/>
              </w:rPr>
              <w:t>t</w:t>
            </w:r>
            <w:r w:rsidRPr="00AD2FDD">
              <w:rPr>
                <w:rFonts w:eastAsia="Arial"/>
                <w:sz w:val="16"/>
              </w:rPr>
              <w:t>ies</w:t>
            </w:r>
            <w:r w:rsidRPr="00AD2FDD">
              <w:rPr>
                <w:rFonts w:eastAsia="Arial" w:cs="Arial"/>
                <w:sz w:val="16"/>
                <w:szCs w:val="16"/>
              </w:rPr>
              <w:t>:</w:t>
            </w:r>
          </w:p>
          <w:p w:rsidRPr="00AD2FDD" w:rsidR="00D520BD" w:rsidP="004271D5" w:rsidRDefault="00D520BD" w14:paraId="728603B6" w14:textId="28F07A64">
            <w:pPr>
              <w:pStyle w:val="ListParagraph"/>
              <w:numPr>
                <w:ilvl w:val="0"/>
                <w:numId w:val="16"/>
              </w:numPr>
              <w:spacing w:after="60"/>
              <w:ind w:left="374"/>
              <w:contextualSpacing w:val="0"/>
              <w:rPr>
                <w:rFonts w:eastAsia="Arial" w:cs="Arial"/>
                <w:sz w:val="16"/>
                <w:szCs w:val="16"/>
              </w:rPr>
            </w:pPr>
            <w:r w:rsidRPr="00AD2FDD">
              <w:rPr>
                <w:rFonts w:eastAsia="Arial" w:cs="Arial"/>
                <w:sz w:val="16"/>
                <w:szCs w:val="16"/>
              </w:rPr>
              <w:t>updating fitness</w:t>
            </w:r>
            <w:r w:rsidRPr="00AD2FDD" w:rsidR="00A60A46">
              <w:rPr>
                <w:rFonts w:eastAsia="Arial" w:cs="Arial"/>
                <w:sz w:val="16"/>
                <w:szCs w:val="16"/>
              </w:rPr>
              <w:t xml:space="preserve"> </w:t>
            </w:r>
            <w:r w:rsidRPr="00AD2FDD">
              <w:rPr>
                <w:rFonts w:eastAsia="Arial" w:cs="Arial"/>
                <w:sz w:val="16"/>
                <w:szCs w:val="16"/>
              </w:rPr>
              <w:t>for</w:t>
            </w:r>
            <w:r w:rsidRPr="00AD2FDD" w:rsidR="00A60A46">
              <w:rPr>
                <w:rFonts w:eastAsia="Arial" w:cs="Arial"/>
                <w:sz w:val="16"/>
                <w:szCs w:val="16"/>
              </w:rPr>
              <w:t xml:space="preserve"> </w:t>
            </w:r>
            <w:r w:rsidRPr="00AD2FDD">
              <w:rPr>
                <w:rFonts w:eastAsia="Arial" w:cs="Arial"/>
                <w:sz w:val="16"/>
                <w:szCs w:val="16"/>
              </w:rPr>
              <w:t>duty (</w:t>
            </w:r>
            <w:r w:rsidRPr="00AD2FDD">
              <w:rPr>
                <w:rFonts w:eastAsia="Arial"/>
                <w:sz w:val="16"/>
              </w:rPr>
              <w:t>FF</w:t>
            </w:r>
            <w:r w:rsidRPr="00AD2FDD">
              <w:rPr>
                <w:rFonts w:eastAsia="Arial" w:cs="Arial"/>
                <w:sz w:val="16"/>
                <w:szCs w:val="16"/>
              </w:rPr>
              <w:t>D)</w:t>
            </w:r>
            <w:r w:rsidRPr="00AD2FDD">
              <w:rPr>
                <w:rFonts w:eastAsia="Arial"/>
                <w:sz w:val="16"/>
              </w:rPr>
              <w:t xml:space="preserve"> </w:t>
            </w:r>
            <w:r w:rsidRPr="00AD2FDD">
              <w:rPr>
                <w:rFonts w:eastAsia="Arial" w:cs="Arial"/>
                <w:sz w:val="16"/>
                <w:szCs w:val="16"/>
              </w:rPr>
              <w:t>p</w:t>
            </w:r>
            <w:r w:rsidRPr="00AD2FDD">
              <w:rPr>
                <w:rFonts w:eastAsia="Arial"/>
                <w:sz w:val="16"/>
              </w:rPr>
              <w:t>ro</w:t>
            </w:r>
            <w:r w:rsidRPr="00AD2FDD">
              <w:rPr>
                <w:rFonts w:eastAsia="Arial" w:cs="Arial"/>
                <w:sz w:val="16"/>
                <w:szCs w:val="16"/>
              </w:rPr>
              <w:t>g</w:t>
            </w:r>
            <w:r w:rsidRPr="00AD2FDD">
              <w:rPr>
                <w:rFonts w:eastAsia="Arial"/>
                <w:sz w:val="16"/>
              </w:rPr>
              <w:t>r</w:t>
            </w:r>
            <w:r w:rsidRPr="00AD2FDD">
              <w:rPr>
                <w:rFonts w:eastAsia="Arial" w:cs="Arial"/>
                <w:sz w:val="16"/>
                <w:szCs w:val="16"/>
              </w:rPr>
              <w:t>am</w:t>
            </w:r>
            <w:r w:rsidRPr="00AD2FDD">
              <w:rPr>
                <w:rFonts w:eastAsia="Arial"/>
                <w:sz w:val="16"/>
              </w:rPr>
              <w:t xml:space="preserve"> </w:t>
            </w:r>
            <w:r w:rsidRPr="00AD2FDD">
              <w:rPr>
                <w:rFonts w:eastAsia="Arial" w:cs="Arial"/>
                <w:sz w:val="16"/>
                <w:szCs w:val="16"/>
              </w:rPr>
              <w:t>po</w:t>
            </w:r>
            <w:r w:rsidRPr="00AD2FDD">
              <w:rPr>
                <w:rFonts w:eastAsia="Arial"/>
                <w:sz w:val="16"/>
              </w:rPr>
              <w:t>lici</w:t>
            </w:r>
            <w:r w:rsidRPr="00AD2FDD">
              <w:rPr>
                <w:rFonts w:eastAsia="Arial" w:cs="Arial"/>
                <w:sz w:val="16"/>
                <w:szCs w:val="16"/>
              </w:rPr>
              <w:t>es</w:t>
            </w:r>
            <w:r w:rsidRPr="00AD2FDD">
              <w:rPr>
                <w:rFonts w:eastAsia="Arial"/>
                <w:sz w:val="16"/>
              </w:rPr>
              <w:t xml:space="preserve"> </w:t>
            </w:r>
            <w:r w:rsidRPr="00AD2FDD">
              <w:rPr>
                <w:rFonts w:eastAsia="Arial" w:cs="Arial"/>
                <w:sz w:val="16"/>
                <w:szCs w:val="16"/>
              </w:rPr>
              <w:t>a</w:t>
            </w:r>
            <w:r w:rsidRPr="00AD2FDD">
              <w:rPr>
                <w:rFonts w:eastAsia="Arial"/>
                <w:sz w:val="16"/>
              </w:rPr>
              <w:t>n</w:t>
            </w:r>
            <w:r w:rsidRPr="00AD2FDD">
              <w:rPr>
                <w:rFonts w:eastAsia="Arial" w:cs="Arial"/>
                <w:sz w:val="16"/>
                <w:szCs w:val="16"/>
              </w:rPr>
              <w:t>d</w:t>
            </w:r>
            <w:r w:rsidRPr="00AD2FDD">
              <w:rPr>
                <w:rFonts w:eastAsia="Arial"/>
                <w:sz w:val="16"/>
              </w:rPr>
              <w:t xml:space="preserve"> </w:t>
            </w:r>
            <w:r w:rsidRPr="00AD2FDD">
              <w:rPr>
                <w:rFonts w:eastAsia="Arial" w:cs="Arial"/>
                <w:sz w:val="16"/>
                <w:szCs w:val="16"/>
              </w:rPr>
              <w:t>p</w:t>
            </w:r>
            <w:r w:rsidRPr="00AD2FDD">
              <w:rPr>
                <w:rFonts w:eastAsia="Arial"/>
                <w:sz w:val="16"/>
              </w:rPr>
              <w:t>ro</w:t>
            </w:r>
            <w:r w:rsidRPr="00AD2FDD">
              <w:rPr>
                <w:rFonts w:eastAsia="Arial" w:cs="Arial"/>
                <w:sz w:val="16"/>
                <w:szCs w:val="16"/>
              </w:rPr>
              <w:t>c</w:t>
            </w:r>
            <w:r w:rsidRPr="00AD2FDD">
              <w:rPr>
                <w:rFonts w:eastAsia="Arial"/>
                <w:sz w:val="16"/>
              </w:rPr>
              <w:t>edure</w:t>
            </w:r>
            <w:r w:rsidRPr="00AD2FDD">
              <w:rPr>
                <w:rFonts w:eastAsia="Arial" w:cs="Arial"/>
                <w:sz w:val="16"/>
                <w:szCs w:val="16"/>
              </w:rPr>
              <w:t>s</w:t>
            </w:r>
          </w:p>
          <w:p w:rsidRPr="00AD2FDD" w:rsidR="00D520BD" w:rsidP="004271D5" w:rsidRDefault="00D520BD" w14:paraId="1A495BC0" w14:textId="77777777">
            <w:pPr>
              <w:pStyle w:val="ListParagraph"/>
              <w:numPr>
                <w:ilvl w:val="0"/>
                <w:numId w:val="16"/>
              </w:numPr>
              <w:spacing w:after="60"/>
              <w:contextualSpacing w:val="0"/>
              <w:rPr>
                <w:rFonts w:eastAsia="Arial" w:cs="Arial"/>
                <w:sz w:val="16"/>
                <w:szCs w:val="16"/>
              </w:rPr>
            </w:pPr>
            <w:r w:rsidRPr="00AD2FDD">
              <w:rPr>
                <w:rFonts w:eastAsia="Arial" w:cs="Arial"/>
                <w:sz w:val="16"/>
                <w:szCs w:val="16"/>
              </w:rPr>
              <w:t>training</w:t>
            </w:r>
            <w:r w:rsidRPr="00AD2FDD">
              <w:rPr>
                <w:rFonts w:eastAsia="Arial"/>
                <w:sz w:val="16"/>
              </w:rPr>
              <w:t xml:space="preserve"> </w:t>
            </w:r>
            <w:r w:rsidRPr="00AD2FDD">
              <w:rPr>
                <w:rFonts w:eastAsia="Arial" w:cs="Arial"/>
                <w:sz w:val="16"/>
                <w:szCs w:val="16"/>
              </w:rPr>
              <w:t>e</w:t>
            </w:r>
            <w:r w:rsidRPr="00AD2FDD">
              <w:rPr>
                <w:rFonts w:eastAsia="Arial"/>
                <w:sz w:val="16"/>
              </w:rPr>
              <w:t>m</w:t>
            </w:r>
            <w:r w:rsidRPr="00AD2FDD">
              <w:rPr>
                <w:rFonts w:eastAsia="Arial" w:cs="Arial"/>
                <w:sz w:val="16"/>
                <w:szCs w:val="16"/>
              </w:rPr>
              <w:t>p</w:t>
            </w:r>
            <w:r w:rsidRPr="00AD2FDD">
              <w:rPr>
                <w:rFonts w:eastAsia="Arial"/>
                <w:sz w:val="16"/>
              </w:rPr>
              <w:t>l</w:t>
            </w:r>
            <w:r w:rsidRPr="00AD2FDD">
              <w:rPr>
                <w:rFonts w:eastAsia="Arial" w:cs="Arial"/>
                <w:sz w:val="16"/>
                <w:szCs w:val="16"/>
              </w:rPr>
              <w:t xml:space="preserve">oyees </w:t>
            </w:r>
            <w:r w:rsidRPr="00AD2FDD">
              <w:rPr>
                <w:rFonts w:eastAsia="Arial"/>
                <w:sz w:val="16"/>
              </w:rPr>
              <w:t xml:space="preserve">on </w:t>
            </w:r>
            <w:r w:rsidRPr="00AD2FDD">
              <w:rPr>
                <w:rFonts w:eastAsia="Arial" w:cs="Arial"/>
                <w:sz w:val="16"/>
                <w:szCs w:val="16"/>
              </w:rPr>
              <w:t>the</w:t>
            </w:r>
            <w:r w:rsidRPr="00AD2FDD">
              <w:rPr>
                <w:rFonts w:eastAsia="Arial"/>
                <w:sz w:val="16"/>
              </w:rPr>
              <w:t xml:space="preserve"> r</w:t>
            </w:r>
            <w:r w:rsidRPr="00AD2FDD">
              <w:rPr>
                <w:rFonts w:eastAsia="Arial" w:cs="Arial"/>
                <w:sz w:val="16"/>
                <w:szCs w:val="16"/>
              </w:rPr>
              <w:t>e</w:t>
            </w:r>
            <w:r w:rsidRPr="00AD2FDD">
              <w:rPr>
                <w:rFonts w:eastAsia="Arial"/>
                <w:sz w:val="16"/>
              </w:rPr>
              <w:t>vi</w:t>
            </w:r>
            <w:r w:rsidRPr="00AD2FDD">
              <w:rPr>
                <w:rFonts w:eastAsia="Arial" w:cs="Arial"/>
                <w:sz w:val="16"/>
                <w:szCs w:val="16"/>
              </w:rPr>
              <w:t>sed</w:t>
            </w:r>
            <w:r w:rsidRPr="00AD2FDD">
              <w:rPr>
                <w:rFonts w:eastAsia="Arial"/>
                <w:sz w:val="16"/>
              </w:rPr>
              <w:t xml:space="preserve"> </w:t>
            </w:r>
            <w:r w:rsidRPr="00AD2FDD">
              <w:rPr>
                <w:rFonts w:eastAsia="Arial" w:cs="Arial"/>
                <w:sz w:val="16"/>
                <w:szCs w:val="16"/>
              </w:rPr>
              <w:t>d</w:t>
            </w:r>
            <w:r w:rsidRPr="00AD2FDD">
              <w:rPr>
                <w:rFonts w:eastAsia="Arial"/>
                <w:sz w:val="16"/>
              </w:rPr>
              <w:t>ru</w:t>
            </w:r>
            <w:r w:rsidRPr="00AD2FDD">
              <w:rPr>
                <w:rFonts w:eastAsia="Arial" w:cs="Arial"/>
                <w:sz w:val="16"/>
                <w:szCs w:val="16"/>
              </w:rPr>
              <w:t>g</w:t>
            </w:r>
            <w:r w:rsidRPr="00AD2FDD">
              <w:rPr>
                <w:rFonts w:eastAsia="Arial"/>
                <w:sz w:val="16"/>
              </w:rPr>
              <w:t xml:space="preserve"> </w:t>
            </w:r>
            <w:r w:rsidRPr="00AD2FDD">
              <w:rPr>
                <w:rFonts w:eastAsia="Arial" w:cs="Arial"/>
                <w:sz w:val="16"/>
                <w:szCs w:val="16"/>
              </w:rPr>
              <w:t>te</w:t>
            </w:r>
            <w:r w:rsidRPr="00AD2FDD">
              <w:rPr>
                <w:rFonts w:eastAsia="Arial"/>
                <w:sz w:val="16"/>
              </w:rPr>
              <w:t>sti</w:t>
            </w:r>
            <w:r w:rsidRPr="00AD2FDD">
              <w:rPr>
                <w:rFonts w:eastAsia="Arial" w:cs="Arial"/>
                <w:sz w:val="16"/>
                <w:szCs w:val="16"/>
              </w:rPr>
              <w:t>ng</w:t>
            </w:r>
            <w:r w:rsidRPr="00AD2FDD">
              <w:rPr>
                <w:rFonts w:eastAsia="Arial"/>
                <w:sz w:val="16"/>
              </w:rPr>
              <w:t xml:space="preserve"> </w:t>
            </w:r>
            <w:r w:rsidRPr="00AD2FDD">
              <w:rPr>
                <w:rFonts w:eastAsia="Arial" w:cs="Arial"/>
                <w:sz w:val="16"/>
                <w:szCs w:val="16"/>
              </w:rPr>
              <w:t>po</w:t>
            </w:r>
            <w:r w:rsidRPr="00AD2FDD">
              <w:rPr>
                <w:rFonts w:eastAsia="Arial"/>
                <w:sz w:val="16"/>
              </w:rPr>
              <w:t>li</w:t>
            </w:r>
            <w:r w:rsidRPr="00AD2FDD">
              <w:rPr>
                <w:rFonts w:eastAsia="Arial" w:cs="Arial"/>
                <w:sz w:val="16"/>
                <w:szCs w:val="16"/>
              </w:rPr>
              <w:t>c</w:t>
            </w:r>
            <w:r w:rsidRPr="00AD2FDD">
              <w:rPr>
                <w:rFonts w:eastAsia="Arial"/>
                <w:sz w:val="16"/>
              </w:rPr>
              <w:t>ies</w:t>
            </w:r>
          </w:p>
          <w:p w:rsidRPr="00AD2FDD" w:rsidR="00D520BD" w:rsidP="004271D5" w:rsidRDefault="00D520BD" w14:paraId="0B518755" w14:textId="1E4D38DB">
            <w:pPr>
              <w:pStyle w:val="ListParagraph"/>
              <w:numPr>
                <w:ilvl w:val="0"/>
                <w:numId w:val="16"/>
              </w:numPr>
              <w:spacing w:after="60"/>
              <w:ind w:left="374"/>
              <w:contextualSpacing w:val="0"/>
              <w:rPr>
                <w:rFonts w:eastAsia="Arial" w:cs="Arial"/>
                <w:sz w:val="16"/>
                <w:szCs w:val="16"/>
              </w:rPr>
            </w:pPr>
            <w:r w:rsidRPr="00AD2FDD">
              <w:rPr>
                <w:rFonts w:eastAsia="Arial" w:cs="Arial"/>
                <w:sz w:val="16"/>
                <w:szCs w:val="16"/>
              </w:rPr>
              <w:t>revising</w:t>
            </w:r>
            <w:r w:rsidRPr="00AD2FDD">
              <w:rPr>
                <w:rFonts w:eastAsia="Arial"/>
                <w:sz w:val="16"/>
              </w:rPr>
              <w:t xml:space="preserve"> </w:t>
            </w:r>
            <w:r w:rsidRPr="00AD2FDD">
              <w:rPr>
                <w:rFonts w:eastAsia="Arial" w:cs="Arial"/>
                <w:sz w:val="16"/>
                <w:szCs w:val="16"/>
              </w:rPr>
              <w:t>c</w:t>
            </w:r>
            <w:r w:rsidRPr="00AD2FDD">
              <w:rPr>
                <w:rFonts w:eastAsia="Arial"/>
                <w:sz w:val="16"/>
              </w:rPr>
              <w:t>o</w:t>
            </w:r>
            <w:r w:rsidRPr="00AD2FDD">
              <w:rPr>
                <w:rFonts w:eastAsia="Arial" w:cs="Arial"/>
                <w:sz w:val="16"/>
                <w:szCs w:val="16"/>
              </w:rPr>
              <w:t>nt</w:t>
            </w:r>
            <w:r w:rsidRPr="00AD2FDD">
              <w:rPr>
                <w:rFonts w:eastAsia="Arial"/>
                <w:sz w:val="16"/>
              </w:rPr>
              <w:t>r</w:t>
            </w:r>
            <w:r w:rsidRPr="00AD2FDD">
              <w:rPr>
                <w:rFonts w:eastAsia="Arial" w:cs="Arial"/>
                <w:sz w:val="16"/>
                <w:szCs w:val="16"/>
              </w:rPr>
              <w:t>acts</w:t>
            </w:r>
            <w:r w:rsidRPr="00AD2FDD">
              <w:rPr>
                <w:rFonts w:eastAsia="Arial"/>
                <w:sz w:val="16"/>
              </w:rPr>
              <w:t xml:space="preserve"> wi</w:t>
            </w:r>
            <w:r w:rsidRPr="00AD2FDD">
              <w:rPr>
                <w:rFonts w:eastAsia="Arial" w:cs="Arial"/>
                <w:sz w:val="16"/>
                <w:szCs w:val="16"/>
              </w:rPr>
              <w:t>th</w:t>
            </w:r>
            <w:r w:rsidRPr="00AD2FDD">
              <w:rPr>
                <w:rFonts w:eastAsia="Arial"/>
                <w:sz w:val="16"/>
              </w:rPr>
              <w:t xml:space="preserve"> </w:t>
            </w:r>
            <w:r w:rsidRPr="00AD2FDD">
              <w:rPr>
                <w:rFonts w:eastAsia="Arial" w:cs="Arial"/>
                <w:sz w:val="16"/>
                <w:szCs w:val="16"/>
              </w:rPr>
              <w:t>p</w:t>
            </w:r>
            <w:r w:rsidRPr="00AD2FDD">
              <w:rPr>
                <w:rFonts w:eastAsia="Arial"/>
                <w:sz w:val="16"/>
              </w:rPr>
              <w:t>rim</w:t>
            </w:r>
            <w:r w:rsidRPr="00AD2FDD">
              <w:rPr>
                <w:rFonts w:eastAsia="Arial" w:cs="Arial"/>
                <w:sz w:val="16"/>
                <w:szCs w:val="16"/>
              </w:rPr>
              <w:t>a</w:t>
            </w:r>
            <w:r w:rsidRPr="00AD2FDD">
              <w:rPr>
                <w:rFonts w:eastAsia="Arial"/>
                <w:sz w:val="16"/>
              </w:rPr>
              <w:t>r</w:t>
            </w:r>
            <w:r w:rsidRPr="00AD2FDD">
              <w:rPr>
                <w:rFonts w:eastAsia="Arial" w:cs="Arial"/>
                <w:sz w:val="16"/>
                <w:szCs w:val="16"/>
              </w:rPr>
              <w:t>y</w:t>
            </w:r>
            <w:r w:rsidRPr="00AD2FDD">
              <w:rPr>
                <w:rFonts w:eastAsia="Arial"/>
                <w:sz w:val="16"/>
              </w:rPr>
              <w:t xml:space="preserve"> </w:t>
            </w:r>
            <w:r w:rsidRPr="00AD2FDD">
              <w:rPr>
                <w:rFonts w:eastAsia="Arial" w:cs="Arial"/>
                <w:sz w:val="16"/>
                <w:szCs w:val="16"/>
              </w:rPr>
              <w:t>and</w:t>
            </w:r>
            <w:r w:rsidRPr="00AD2FDD">
              <w:rPr>
                <w:rFonts w:eastAsia="Arial"/>
                <w:sz w:val="16"/>
              </w:rPr>
              <w:t xml:space="preserve"> </w:t>
            </w:r>
            <w:r w:rsidRPr="00AD2FDD">
              <w:rPr>
                <w:rFonts w:eastAsia="Arial" w:cs="Arial"/>
                <w:sz w:val="16"/>
                <w:szCs w:val="16"/>
              </w:rPr>
              <w:t>ba</w:t>
            </w:r>
            <w:r w:rsidRPr="00AD2FDD">
              <w:rPr>
                <w:rFonts w:eastAsia="Arial"/>
                <w:sz w:val="16"/>
              </w:rPr>
              <w:t>c</w:t>
            </w:r>
            <w:r w:rsidRPr="00AD2FDD">
              <w:rPr>
                <w:rFonts w:eastAsia="Arial" w:cs="Arial"/>
                <w:sz w:val="16"/>
                <w:szCs w:val="16"/>
              </w:rPr>
              <w:t>kup</w:t>
            </w:r>
            <w:r w:rsidRPr="00AD2FDD">
              <w:rPr>
                <w:rFonts w:eastAsia="Arial"/>
                <w:sz w:val="16"/>
              </w:rPr>
              <w:t xml:space="preserve"> </w:t>
            </w:r>
            <w:r w:rsidRPr="00AD2FDD">
              <w:rPr>
                <w:rFonts w:eastAsia="Arial" w:cs="Arial"/>
                <w:sz w:val="16"/>
                <w:szCs w:val="16"/>
              </w:rPr>
              <w:t>U.S. Department of Health and Human Services (HH</w:t>
            </w:r>
            <w:r w:rsidRPr="00AD2FDD">
              <w:rPr>
                <w:rFonts w:eastAsia="Arial"/>
                <w:sz w:val="16"/>
              </w:rPr>
              <w:t>S</w:t>
            </w:r>
            <w:r w:rsidRPr="00AD2FDD">
              <w:rPr>
                <w:rFonts w:eastAsia="Arial" w:cs="Arial"/>
                <w:sz w:val="16"/>
                <w:szCs w:val="16"/>
              </w:rPr>
              <w:t>)-ce</w:t>
            </w:r>
            <w:r w:rsidRPr="00AD2FDD">
              <w:rPr>
                <w:rFonts w:eastAsia="Arial"/>
                <w:sz w:val="16"/>
              </w:rPr>
              <w:t>rtifi</w:t>
            </w:r>
            <w:r w:rsidRPr="00AD2FDD">
              <w:rPr>
                <w:rFonts w:eastAsia="Arial" w:cs="Arial"/>
                <w:sz w:val="16"/>
                <w:szCs w:val="16"/>
              </w:rPr>
              <w:t>ed</w:t>
            </w:r>
            <w:r w:rsidRPr="00AD2FDD">
              <w:rPr>
                <w:rFonts w:eastAsia="Arial"/>
                <w:sz w:val="16"/>
              </w:rPr>
              <w:t xml:space="preserve"> l</w:t>
            </w:r>
            <w:r w:rsidRPr="00AD2FDD">
              <w:rPr>
                <w:rFonts w:eastAsia="Arial" w:cs="Arial"/>
                <w:sz w:val="16"/>
                <w:szCs w:val="16"/>
              </w:rPr>
              <w:t>ab</w:t>
            </w:r>
            <w:r w:rsidRPr="00AD2FDD">
              <w:rPr>
                <w:rFonts w:eastAsia="Arial"/>
                <w:sz w:val="16"/>
              </w:rPr>
              <w:t>or</w:t>
            </w:r>
            <w:r w:rsidRPr="00AD2FDD">
              <w:rPr>
                <w:rFonts w:eastAsia="Arial" w:cs="Arial"/>
                <w:sz w:val="16"/>
                <w:szCs w:val="16"/>
              </w:rPr>
              <w:t>at</w:t>
            </w:r>
            <w:r w:rsidRPr="00AD2FDD">
              <w:rPr>
                <w:rFonts w:eastAsia="Arial"/>
                <w:sz w:val="16"/>
              </w:rPr>
              <w:t>ori</w:t>
            </w:r>
            <w:r w:rsidRPr="00AD2FDD">
              <w:rPr>
                <w:rFonts w:eastAsia="Arial" w:cs="Arial"/>
                <w:sz w:val="16"/>
                <w:szCs w:val="16"/>
              </w:rPr>
              <w:t>es</w:t>
            </w:r>
            <w:r w:rsidRPr="00AD2FDD" w:rsidR="00646A79">
              <w:rPr>
                <w:rFonts w:eastAsia="Arial" w:cs="Arial"/>
                <w:sz w:val="16"/>
                <w:szCs w:val="16"/>
              </w:rPr>
              <w:t>,</w:t>
            </w:r>
            <w:r w:rsidRPr="00AD2FDD">
              <w:rPr>
                <w:rFonts w:eastAsia="Arial" w:cs="Arial"/>
                <w:sz w:val="16"/>
                <w:szCs w:val="16"/>
              </w:rPr>
              <w:t xml:space="preserve"> </w:t>
            </w:r>
            <w:r w:rsidRPr="00AD2FDD">
              <w:rPr>
                <w:rFonts w:eastAsia="Arial"/>
                <w:sz w:val="16"/>
              </w:rPr>
              <w:t xml:space="preserve">and </w:t>
            </w:r>
            <w:r w:rsidRPr="00AD2FDD">
              <w:rPr>
                <w:rFonts w:eastAsia="Arial" w:cs="Arial"/>
                <w:sz w:val="16"/>
                <w:szCs w:val="16"/>
              </w:rPr>
              <w:t>blind performance test sample</w:t>
            </w:r>
            <w:r w:rsidRPr="00AD2FDD">
              <w:rPr>
                <w:rFonts w:eastAsia="Arial"/>
                <w:sz w:val="16"/>
              </w:rPr>
              <w:t xml:space="preserve"> (BPTS</w:t>
            </w:r>
            <w:r w:rsidRPr="00AD2FDD">
              <w:rPr>
                <w:rFonts w:eastAsia="Arial" w:cs="Arial"/>
                <w:sz w:val="16"/>
                <w:szCs w:val="16"/>
              </w:rPr>
              <w:t>)</w:t>
            </w:r>
            <w:r w:rsidRPr="00AD2FDD">
              <w:rPr>
                <w:rFonts w:eastAsia="Arial"/>
                <w:sz w:val="16"/>
              </w:rPr>
              <w:t xml:space="preserve"> </w:t>
            </w:r>
            <w:r w:rsidRPr="00AD2FDD">
              <w:rPr>
                <w:rFonts w:eastAsia="Arial" w:cs="Arial"/>
                <w:sz w:val="16"/>
                <w:szCs w:val="16"/>
              </w:rPr>
              <w:t>su</w:t>
            </w:r>
            <w:r w:rsidRPr="00AD2FDD">
              <w:rPr>
                <w:rFonts w:eastAsia="Arial"/>
                <w:sz w:val="16"/>
              </w:rPr>
              <w:t>p</w:t>
            </w:r>
            <w:r w:rsidRPr="00AD2FDD">
              <w:rPr>
                <w:rFonts w:eastAsia="Arial" w:cs="Arial"/>
                <w:sz w:val="16"/>
                <w:szCs w:val="16"/>
              </w:rPr>
              <w:t>p</w:t>
            </w:r>
            <w:r w:rsidRPr="00AD2FDD">
              <w:rPr>
                <w:rFonts w:eastAsia="Arial"/>
                <w:sz w:val="16"/>
              </w:rPr>
              <w:t>li</w:t>
            </w:r>
            <w:r w:rsidRPr="00AD2FDD">
              <w:rPr>
                <w:rFonts w:eastAsia="Arial" w:cs="Arial"/>
                <w:sz w:val="16"/>
                <w:szCs w:val="16"/>
              </w:rPr>
              <w:t>e</w:t>
            </w:r>
            <w:r w:rsidRPr="00AD2FDD">
              <w:rPr>
                <w:rFonts w:eastAsia="Arial"/>
                <w:sz w:val="16"/>
              </w:rPr>
              <w:t>rs</w:t>
            </w:r>
          </w:p>
          <w:p w:rsidRPr="00AD2FDD" w:rsidR="00D520BD" w:rsidP="004271D5" w:rsidRDefault="00D520BD" w14:paraId="51C16C4B" w14:textId="77777777">
            <w:pPr>
              <w:pStyle w:val="ListParagraph"/>
              <w:numPr>
                <w:ilvl w:val="0"/>
                <w:numId w:val="16"/>
              </w:numPr>
              <w:spacing w:after="60"/>
              <w:ind w:left="374"/>
              <w:contextualSpacing w:val="0"/>
              <w:rPr>
                <w:rFonts w:eastAsia="Arial" w:cs="Arial"/>
                <w:sz w:val="16"/>
                <w:szCs w:val="16"/>
              </w:rPr>
            </w:pPr>
            <w:r w:rsidRPr="00AD2FDD">
              <w:rPr>
                <w:rFonts w:eastAsia="Arial" w:cs="Arial"/>
                <w:sz w:val="16"/>
                <w:szCs w:val="16"/>
              </w:rPr>
              <w:t>training licensee testing facility</w:t>
            </w:r>
            <w:r w:rsidRPr="00AD2FDD">
              <w:rPr>
                <w:rFonts w:eastAsia="Arial"/>
                <w:sz w:val="16"/>
              </w:rPr>
              <w:t xml:space="preserve"> (LTF) </w:t>
            </w:r>
            <w:r w:rsidRPr="00AD2FDD">
              <w:rPr>
                <w:rFonts w:eastAsia="Arial" w:cs="Arial"/>
                <w:sz w:val="16"/>
                <w:szCs w:val="16"/>
              </w:rPr>
              <w:t>tech</w:t>
            </w:r>
            <w:r w:rsidRPr="00AD2FDD">
              <w:rPr>
                <w:rFonts w:eastAsia="Arial"/>
                <w:sz w:val="16"/>
              </w:rPr>
              <w:t>nici</w:t>
            </w:r>
            <w:r w:rsidRPr="00AD2FDD">
              <w:rPr>
                <w:rFonts w:eastAsia="Arial" w:cs="Arial"/>
                <w:sz w:val="16"/>
                <w:szCs w:val="16"/>
              </w:rPr>
              <w:t>ans</w:t>
            </w:r>
            <w:r w:rsidRPr="00AD2FDD">
              <w:rPr>
                <w:rFonts w:eastAsia="Arial"/>
                <w:sz w:val="16"/>
              </w:rPr>
              <w:t xml:space="preserve"> o</w:t>
            </w:r>
            <w:r w:rsidRPr="00AD2FDD">
              <w:rPr>
                <w:rFonts w:eastAsia="Arial" w:cs="Arial"/>
                <w:sz w:val="16"/>
                <w:szCs w:val="16"/>
              </w:rPr>
              <w:t>n</w:t>
            </w:r>
            <w:r w:rsidRPr="00AD2FDD">
              <w:rPr>
                <w:rFonts w:eastAsia="Arial"/>
                <w:sz w:val="16"/>
              </w:rPr>
              <w:t xml:space="preserve"> n</w:t>
            </w:r>
            <w:r w:rsidRPr="00AD2FDD">
              <w:rPr>
                <w:rFonts w:eastAsia="Arial" w:cs="Arial"/>
                <w:sz w:val="16"/>
                <w:szCs w:val="16"/>
              </w:rPr>
              <w:t>ew</w:t>
            </w:r>
            <w:r w:rsidRPr="00AD2FDD">
              <w:rPr>
                <w:rFonts w:eastAsia="Arial"/>
                <w:sz w:val="16"/>
              </w:rPr>
              <w:t xml:space="preserve"> </w:t>
            </w:r>
            <w:r w:rsidRPr="00AD2FDD">
              <w:rPr>
                <w:rFonts w:eastAsia="Arial" w:cs="Arial"/>
                <w:sz w:val="16"/>
                <w:szCs w:val="16"/>
              </w:rPr>
              <w:t>d</w:t>
            </w:r>
            <w:r w:rsidRPr="00AD2FDD">
              <w:rPr>
                <w:rFonts w:eastAsia="Arial"/>
                <w:sz w:val="16"/>
              </w:rPr>
              <w:t>r</w:t>
            </w:r>
            <w:r w:rsidRPr="00AD2FDD">
              <w:rPr>
                <w:rFonts w:eastAsia="Arial" w:cs="Arial"/>
                <w:sz w:val="16"/>
                <w:szCs w:val="16"/>
              </w:rPr>
              <w:t>ug</w:t>
            </w:r>
            <w:r w:rsidRPr="00AD2FDD">
              <w:rPr>
                <w:rFonts w:eastAsia="Arial"/>
                <w:sz w:val="16"/>
              </w:rPr>
              <w:t xml:space="preserve"> t</w:t>
            </w:r>
            <w:r w:rsidRPr="00AD2FDD">
              <w:rPr>
                <w:rFonts w:eastAsia="Arial" w:cs="Arial"/>
                <w:sz w:val="16"/>
                <w:szCs w:val="16"/>
              </w:rPr>
              <w:t>es</w:t>
            </w:r>
            <w:r w:rsidRPr="00AD2FDD">
              <w:rPr>
                <w:rFonts w:eastAsia="Arial"/>
                <w:sz w:val="16"/>
              </w:rPr>
              <w:t>ti</w:t>
            </w:r>
            <w:r w:rsidRPr="00AD2FDD">
              <w:rPr>
                <w:rFonts w:eastAsia="Arial" w:cs="Arial"/>
                <w:sz w:val="16"/>
                <w:szCs w:val="16"/>
              </w:rPr>
              <w:t>ng</w:t>
            </w:r>
            <w:r w:rsidRPr="00AD2FDD">
              <w:rPr>
                <w:rFonts w:eastAsia="Arial"/>
                <w:sz w:val="16"/>
              </w:rPr>
              <w:t xml:space="preserve"> </w:t>
            </w:r>
            <w:r w:rsidRPr="00AD2FDD">
              <w:rPr>
                <w:rFonts w:eastAsia="Arial" w:cs="Arial"/>
                <w:sz w:val="16"/>
                <w:szCs w:val="16"/>
              </w:rPr>
              <w:t>p</w:t>
            </w:r>
            <w:r w:rsidRPr="00AD2FDD">
              <w:rPr>
                <w:rFonts w:eastAsia="Arial"/>
                <w:sz w:val="16"/>
              </w:rPr>
              <w:t>r</w:t>
            </w:r>
            <w:r w:rsidRPr="00AD2FDD">
              <w:rPr>
                <w:rFonts w:eastAsia="Arial" w:cs="Arial"/>
                <w:sz w:val="16"/>
                <w:szCs w:val="16"/>
              </w:rPr>
              <w:t>o</w:t>
            </w:r>
            <w:r w:rsidRPr="00AD2FDD">
              <w:rPr>
                <w:rFonts w:eastAsia="Arial"/>
                <w:sz w:val="16"/>
              </w:rPr>
              <w:t>to</w:t>
            </w:r>
            <w:r w:rsidRPr="00AD2FDD">
              <w:rPr>
                <w:rFonts w:eastAsia="Arial" w:cs="Arial"/>
                <w:sz w:val="16"/>
                <w:szCs w:val="16"/>
              </w:rPr>
              <w:t>co</w:t>
            </w:r>
            <w:r w:rsidRPr="00AD2FDD">
              <w:rPr>
                <w:rFonts w:eastAsia="Arial"/>
                <w:sz w:val="16"/>
              </w:rPr>
              <w:t>ls</w:t>
            </w:r>
          </w:p>
          <w:p w:rsidRPr="00AD2FDD" w:rsidR="00D520BD" w:rsidP="00337D25" w:rsidRDefault="00D520BD" w14:paraId="04645DBB" w14:textId="77777777">
            <w:pPr>
              <w:pStyle w:val="ListParagraph"/>
              <w:numPr>
                <w:ilvl w:val="0"/>
                <w:numId w:val="16"/>
              </w:numPr>
              <w:spacing w:after="120"/>
              <w:ind w:left="374"/>
              <w:contextualSpacing w:val="0"/>
              <w:rPr>
                <w:rFonts w:eastAsia="Arial" w:cs="Arial"/>
                <w:sz w:val="15"/>
                <w:szCs w:val="15"/>
              </w:rPr>
            </w:pPr>
            <w:r w:rsidRPr="00AD2FDD">
              <w:rPr>
                <w:rFonts w:eastAsia="Arial" w:cs="Arial"/>
                <w:sz w:val="16"/>
                <w:szCs w:val="16"/>
              </w:rPr>
              <w:t>validating</w:t>
            </w:r>
            <w:r w:rsidRPr="00AD2FDD">
              <w:rPr>
                <w:rFonts w:eastAsia="Arial"/>
                <w:sz w:val="16"/>
              </w:rPr>
              <w:t xml:space="preserve"> n</w:t>
            </w:r>
            <w:r w:rsidRPr="00AD2FDD">
              <w:rPr>
                <w:rFonts w:eastAsia="Arial" w:cs="Arial"/>
                <w:sz w:val="16"/>
                <w:szCs w:val="16"/>
              </w:rPr>
              <w:t>e</w:t>
            </w:r>
            <w:r w:rsidRPr="00AD2FDD">
              <w:rPr>
                <w:rFonts w:eastAsia="Arial"/>
                <w:sz w:val="16"/>
              </w:rPr>
              <w:t>wl</w:t>
            </w:r>
            <w:r w:rsidRPr="00AD2FDD">
              <w:rPr>
                <w:rFonts w:eastAsia="Arial" w:cs="Arial"/>
                <w:sz w:val="16"/>
                <w:szCs w:val="16"/>
              </w:rPr>
              <w:t>y</w:t>
            </w:r>
            <w:r w:rsidRPr="00AD2FDD">
              <w:rPr>
                <w:rFonts w:eastAsia="Arial"/>
                <w:sz w:val="16"/>
              </w:rPr>
              <w:t xml:space="preserve"> im</w:t>
            </w:r>
            <w:r w:rsidRPr="00AD2FDD">
              <w:rPr>
                <w:rFonts w:eastAsia="Arial" w:cs="Arial"/>
                <w:sz w:val="16"/>
                <w:szCs w:val="16"/>
              </w:rPr>
              <w:t>p</w:t>
            </w:r>
            <w:r w:rsidRPr="00AD2FDD">
              <w:rPr>
                <w:rFonts w:eastAsia="Arial"/>
                <w:sz w:val="16"/>
              </w:rPr>
              <w:t>lem</w:t>
            </w:r>
            <w:r w:rsidRPr="00AD2FDD">
              <w:rPr>
                <w:rFonts w:eastAsia="Arial" w:cs="Arial"/>
                <w:sz w:val="16"/>
                <w:szCs w:val="16"/>
              </w:rPr>
              <w:t xml:space="preserve">ented </w:t>
            </w:r>
            <w:r w:rsidRPr="00AD2FDD">
              <w:rPr>
                <w:rFonts w:eastAsia="Arial"/>
                <w:sz w:val="16"/>
              </w:rPr>
              <w:t xml:space="preserve">drug </w:t>
            </w:r>
            <w:r w:rsidRPr="00AD2FDD">
              <w:rPr>
                <w:rFonts w:eastAsia="Arial" w:cs="Arial"/>
                <w:sz w:val="16"/>
                <w:szCs w:val="16"/>
              </w:rPr>
              <w:t>te</w:t>
            </w:r>
            <w:r w:rsidRPr="00AD2FDD">
              <w:rPr>
                <w:rFonts w:eastAsia="Arial"/>
                <w:sz w:val="16"/>
              </w:rPr>
              <w:t>s</w:t>
            </w:r>
            <w:r w:rsidRPr="00AD2FDD">
              <w:rPr>
                <w:rFonts w:eastAsia="Arial" w:cs="Arial"/>
                <w:sz w:val="16"/>
                <w:szCs w:val="16"/>
              </w:rPr>
              <w:t>ting</w:t>
            </w:r>
            <w:r w:rsidRPr="00AD2FDD">
              <w:rPr>
                <w:rFonts w:eastAsia="Arial"/>
                <w:sz w:val="16"/>
              </w:rPr>
              <w:t xml:space="preserve"> </w:t>
            </w:r>
            <w:r w:rsidRPr="00AD2FDD">
              <w:rPr>
                <w:rFonts w:eastAsia="Arial" w:cs="Arial"/>
                <w:sz w:val="16"/>
                <w:szCs w:val="16"/>
              </w:rPr>
              <w:t>assays</w:t>
            </w:r>
            <w:r w:rsidRPr="00AD2FDD">
              <w:rPr>
                <w:rFonts w:eastAsia="Arial"/>
                <w:sz w:val="16"/>
              </w:rPr>
              <w:t xml:space="preserve"> </w:t>
            </w:r>
            <w:r w:rsidRPr="00AD2FDD">
              <w:rPr>
                <w:rFonts w:eastAsia="Arial" w:cs="Arial"/>
                <w:sz w:val="16"/>
                <w:szCs w:val="16"/>
              </w:rPr>
              <w:t>at</w:t>
            </w:r>
            <w:r w:rsidRPr="00AD2FDD">
              <w:rPr>
                <w:rFonts w:eastAsia="Arial"/>
                <w:sz w:val="16"/>
              </w:rPr>
              <w:t xml:space="preserve"> </w:t>
            </w:r>
            <w:r w:rsidRPr="00AD2FDD">
              <w:rPr>
                <w:rFonts w:eastAsia="Arial" w:cs="Arial"/>
                <w:sz w:val="16"/>
                <w:szCs w:val="16"/>
              </w:rPr>
              <w:t>the L</w:t>
            </w:r>
            <w:r w:rsidRPr="00AD2FDD">
              <w:rPr>
                <w:rFonts w:eastAsia="Arial"/>
                <w:sz w:val="16"/>
              </w:rPr>
              <w:t>TF</w:t>
            </w:r>
            <w:r w:rsidRPr="00AD2FDD">
              <w:rPr>
                <w:rFonts w:eastAsia="Arial" w:cs="Arial"/>
                <w:sz w:val="16"/>
                <w:szCs w:val="16"/>
              </w:rPr>
              <w:t>s</w:t>
            </w:r>
          </w:p>
        </w:tc>
      </w:tr>
      <w:tr w:rsidRPr="00AD2FDD" w:rsidR="00D520BD" w:rsidTr="00982BD1" w14:paraId="2199E7BE" w14:textId="77777777">
        <w:tc>
          <w:tcPr>
            <w:tcW w:w="1705" w:type="dxa"/>
            <w:shd w:val="clear" w:color="auto" w:fill="D9D9D9" w:themeFill="background1" w:themeFillShade="D9"/>
            <w:tcMar>
              <w:left w:w="58" w:type="dxa"/>
              <w:right w:w="58" w:type="dxa"/>
            </w:tcMar>
            <w:vAlign w:val="center"/>
          </w:tcPr>
          <w:p w:rsidRPr="00AD2FDD" w:rsidR="00D520BD" w:rsidP="00982BD1" w:rsidRDefault="00D520BD" w14:paraId="7069C39E" w14:textId="77777777">
            <w:pPr>
              <w:rPr>
                <w:rFonts w:cs="Arial"/>
                <w:b/>
                <w:i/>
                <w:sz w:val="16"/>
                <w:szCs w:val="16"/>
              </w:rPr>
            </w:pPr>
            <w:r w:rsidRPr="00AD2FDD">
              <w:rPr>
                <w:rFonts w:cs="Arial"/>
                <w:b/>
                <w:i/>
                <w:sz w:val="16"/>
                <w:szCs w:val="16"/>
              </w:rPr>
              <w:t>Activity</w:t>
            </w:r>
          </w:p>
        </w:tc>
        <w:tc>
          <w:tcPr>
            <w:tcW w:w="1463" w:type="dxa"/>
            <w:gridSpan w:val="2"/>
            <w:shd w:val="clear" w:color="auto" w:fill="D9D9D9" w:themeFill="background1" w:themeFillShade="D9"/>
            <w:tcMar>
              <w:left w:w="58" w:type="dxa"/>
              <w:right w:w="58" w:type="dxa"/>
            </w:tcMar>
            <w:vAlign w:val="center"/>
          </w:tcPr>
          <w:p w:rsidRPr="00AD2FDD" w:rsidR="00D520BD" w:rsidP="00982BD1" w:rsidRDefault="00D520BD" w14:paraId="248287D3" w14:textId="77777777">
            <w:pPr>
              <w:rPr>
                <w:rFonts w:cs="Arial"/>
                <w:b/>
                <w:i/>
                <w:sz w:val="16"/>
                <w:szCs w:val="16"/>
              </w:rPr>
            </w:pPr>
            <w:r w:rsidRPr="00AD2FDD">
              <w:rPr>
                <w:rFonts w:cs="Arial"/>
                <w:b/>
                <w:i/>
                <w:sz w:val="16"/>
                <w:szCs w:val="16"/>
              </w:rPr>
              <w:t>Labor Category</w:t>
            </w:r>
          </w:p>
        </w:tc>
        <w:tc>
          <w:tcPr>
            <w:tcW w:w="1260" w:type="dxa"/>
            <w:shd w:val="clear" w:color="auto" w:fill="D9D9D9" w:themeFill="background1" w:themeFillShade="D9"/>
            <w:tcMar>
              <w:left w:w="58" w:type="dxa"/>
              <w:right w:w="58" w:type="dxa"/>
            </w:tcMar>
            <w:vAlign w:val="center"/>
          </w:tcPr>
          <w:p w:rsidRPr="00AD2FDD" w:rsidR="00D520BD" w:rsidP="00982BD1" w:rsidRDefault="00D520BD" w14:paraId="3EA17435" w14:textId="77777777">
            <w:pPr>
              <w:jc w:val="center"/>
              <w:rPr>
                <w:rFonts w:cs="Arial"/>
                <w:b/>
                <w:i/>
                <w:sz w:val="16"/>
                <w:szCs w:val="16"/>
              </w:rPr>
            </w:pPr>
            <w:r w:rsidRPr="00AD2FDD">
              <w:rPr>
                <w:rFonts w:cs="Arial"/>
                <w:b/>
                <w:i/>
                <w:sz w:val="16"/>
                <w:szCs w:val="16"/>
              </w:rPr>
              <w:t>Wage Rate or Unit Cost</w:t>
            </w:r>
          </w:p>
        </w:tc>
        <w:tc>
          <w:tcPr>
            <w:tcW w:w="1980" w:type="dxa"/>
            <w:gridSpan w:val="2"/>
            <w:shd w:val="clear" w:color="auto" w:fill="D9D9D9" w:themeFill="background1" w:themeFillShade="D9"/>
            <w:tcMar>
              <w:left w:w="58" w:type="dxa"/>
              <w:right w:w="58" w:type="dxa"/>
            </w:tcMar>
            <w:vAlign w:val="center"/>
          </w:tcPr>
          <w:p w:rsidRPr="00AD2FDD" w:rsidR="00D520BD" w:rsidP="00982BD1" w:rsidRDefault="00D520BD" w14:paraId="52F3E4D4" w14:textId="77777777">
            <w:pPr>
              <w:jc w:val="center"/>
              <w:rPr>
                <w:rFonts w:cs="Arial"/>
                <w:b/>
                <w:i/>
                <w:sz w:val="16"/>
                <w:szCs w:val="16"/>
              </w:rPr>
            </w:pPr>
            <w:r w:rsidRPr="00AD2FDD">
              <w:rPr>
                <w:rFonts w:cs="Arial"/>
                <w:b/>
                <w:i/>
                <w:sz w:val="16"/>
                <w:szCs w:val="16"/>
              </w:rPr>
              <w:t>Quantity</w:t>
            </w:r>
          </w:p>
        </w:tc>
        <w:tc>
          <w:tcPr>
            <w:tcW w:w="990" w:type="dxa"/>
            <w:gridSpan w:val="2"/>
            <w:shd w:val="clear" w:color="auto" w:fill="D9D9D9" w:themeFill="background1" w:themeFillShade="D9"/>
            <w:tcMar>
              <w:left w:w="58" w:type="dxa"/>
              <w:right w:w="58" w:type="dxa"/>
            </w:tcMar>
            <w:vAlign w:val="center"/>
          </w:tcPr>
          <w:p w:rsidRPr="00AD2FDD" w:rsidR="00D520BD" w:rsidP="00982BD1" w:rsidRDefault="00D520BD" w14:paraId="719E6F1B" w14:textId="77777777">
            <w:pPr>
              <w:jc w:val="center"/>
              <w:rPr>
                <w:rFonts w:cs="Arial"/>
                <w:b/>
                <w:i/>
                <w:sz w:val="16"/>
                <w:szCs w:val="16"/>
              </w:rPr>
            </w:pPr>
            <w:r w:rsidRPr="00AD2FDD">
              <w:rPr>
                <w:rFonts w:cs="Arial"/>
                <w:b/>
                <w:i/>
                <w:sz w:val="16"/>
                <w:szCs w:val="16"/>
              </w:rPr>
              <w:t>Benefits (Cost)</w:t>
            </w:r>
          </w:p>
        </w:tc>
        <w:tc>
          <w:tcPr>
            <w:tcW w:w="810" w:type="dxa"/>
            <w:shd w:val="clear" w:color="auto" w:fill="D9D9D9" w:themeFill="background1" w:themeFillShade="D9"/>
            <w:tcMar>
              <w:left w:w="58" w:type="dxa"/>
              <w:right w:w="58" w:type="dxa"/>
            </w:tcMar>
            <w:vAlign w:val="center"/>
          </w:tcPr>
          <w:p w:rsidRPr="00AD2FDD" w:rsidR="00D520BD" w:rsidP="00982BD1" w:rsidRDefault="00D520BD" w14:paraId="661953B2" w14:textId="77777777">
            <w:pPr>
              <w:jc w:val="center"/>
              <w:rPr>
                <w:rFonts w:cs="Arial"/>
                <w:b/>
                <w:i/>
                <w:sz w:val="16"/>
                <w:szCs w:val="16"/>
              </w:rPr>
            </w:pPr>
            <w:r w:rsidRPr="00AD2FDD">
              <w:rPr>
                <w:rFonts w:cs="Arial"/>
                <w:b/>
                <w:i/>
                <w:sz w:val="16"/>
                <w:szCs w:val="16"/>
              </w:rPr>
              <w:t>Entities Affected</w:t>
            </w:r>
          </w:p>
        </w:tc>
        <w:tc>
          <w:tcPr>
            <w:tcW w:w="1260" w:type="dxa"/>
            <w:gridSpan w:val="2"/>
            <w:shd w:val="clear" w:color="auto" w:fill="D9D9D9" w:themeFill="background1" w:themeFillShade="D9"/>
            <w:tcMar>
              <w:left w:w="58" w:type="dxa"/>
              <w:right w:w="58" w:type="dxa"/>
            </w:tcMar>
            <w:vAlign w:val="center"/>
          </w:tcPr>
          <w:p w:rsidRPr="00AD2FDD" w:rsidR="00D520BD" w:rsidP="00982BD1" w:rsidRDefault="00D520BD" w14:paraId="74ACBB49" w14:textId="77777777">
            <w:pPr>
              <w:jc w:val="center"/>
              <w:rPr>
                <w:rFonts w:cs="Arial"/>
                <w:b/>
                <w:i/>
                <w:sz w:val="16"/>
                <w:szCs w:val="16"/>
              </w:rPr>
            </w:pPr>
            <w:r w:rsidRPr="00AD2FDD">
              <w:rPr>
                <w:rFonts w:cs="Arial"/>
                <w:b/>
                <w:i/>
                <w:sz w:val="16"/>
                <w:szCs w:val="16"/>
              </w:rPr>
              <w:t>Total Benefits (Costs)</w:t>
            </w:r>
          </w:p>
        </w:tc>
      </w:tr>
      <w:tr w:rsidRPr="00AD2FDD" w:rsidR="00D520BD" w:rsidTr="00253184" w14:paraId="714BCC2B" w14:textId="77777777">
        <w:trPr>
          <w:trHeight w:val="296"/>
        </w:trPr>
        <w:tc>
          <w:tcPr>
            <w:tcW w:w="9468" w:type="dxa"/>
            <w:gridSpan w:val="11"/>
            <w:shd w:val="clear" w:color="auto" w:fill="D9D9D9" w:themeFill="background1" w:themeFillShade="D9"/>
            <w:tcMar>
              <w:left w:w="58" w:type="dxa"/>
              <w:right w:w="58" w:type="dxa"/>
            </w:tcMar>
            <w:vAlign w:val="center"/>
          </w:tcPr>
          <w:p w:rsidRPr="00AD2FDD" w:rsidR="00D520BD" w:rsidP="00982BD1" w:rsidRDefault="00D520BD" w14:paraId="285C2031" w14:textId="77777777">
            <w:pPr>
              <w:rPr>
                <w:rFonts w:cs="Arial"/>
                <w:b/>
                <w:i/>
                <w:sz w:val="15"/>
                <w:szCs w:val="15"/>
              </w:rPr>
            </w:pPr>
            <w:r w:rsidRPr="009069DA">
              <w:rPr>
                <w:rFonts w:eastAsia="Arial"/>
                <w:b/>
                <w:sz w:val="15"/>
              </w:rPr>
              <w:t>I</w:t>
            </w:r>
            <w:r w:rsidRPr="00AD2FDD">
              <w:rPr>
                <w:rFonts w:eastAsia="Arial" w:cs="Arial"/>
                <w:b/>
                <w:bCs/>
                <w:sz w:val="15"/>
                <w:szCs w:val="15"/>
              </w:rPr>
              <w:t>ND</w:t>
            </w:r>
            <w:r w:rsidRPr="009069DA">
              <w:rPr>
                <w:rFonts w:eastAsia="Arial"/>
                <w:b/>
                <w:sz w:val="15"/>
              </w:rPr>
              <w:t>UST</w:t>
            </w:r>
            <w:r w:rsidRPr="00AD2FDD">
              <w:rPr>
                <w:rFonts w:eastAsia="Arial" w:cs="Arial"/>
                <w:b/>
                <w:bCs/>
                <w:sz w:val="15"/>
                <w:szCs w:val="15"/>
              </w:rPr>
              <w:t>RY</w:t>
            </w:r>
            <w:r w:rsidRPr="009069DA">
              <w:rPr>
                <w:rFonts w:eastAsia="Arial"/>
                <w:b/>
                <w:sz w:val="15"/>
              </w:rPr>
              <w:t xml:space="preserve"> </w:t>
            </w:r>
            <w:r w:rsidRPr="00AD2FDD">
              <w:rPr>
                <w:rFonts w:eastAsia="Arial" w:cs="Arial"/>
                <w:b/>
                <w:bCs/>
                <w:sz w:val="15"/>
                <w:szCs w:val="15"/>
              </w:rPr>
              <w:t>I</w:t>
            </w:r>
            <w:r w:rsidRPr="009069DA">
              <w:rPr>
                <w:rFonts w:eastAsia="Arial"/>
                <w:b/>
                <w:sz w:val="15"/>
              </w:rPr>
              <w:t>MPLEMENT</w:t>
            </w:r>
            <w:r w:rsidRPr="00AD2FDD">
              <w:rPr>
                <w:rFonts w:eastAsia="Arial" w:cs="Arial"/>
                <w:b/>
                <w:bCs/>
                <w:sz w:val="15"/>
                <w:szCs w:val="15"/>
              </w:rPr>
              <w:t>A</w:t>
            </w:r>
            <w:r w:rsidRPr="009069DA">
              <w:rPr>
                <w:rFonts w:eastAsia="Arial"/>
                <w:b/>
                <w:sz w:val="15"/>
              </w:rPr>
              <w:t>T</w:t>
            </w:r>
            <w:r w:rsidRPr="00AD2FDD">
              <w:rPr>
                <w:rFonts w:eastAsia="Arial" w:cs="Arial"/>
                <w:b/>
                <w:bCs/>
                <w:sz w:val="15"/>
                <w:szCs w:val="15"/>
              </w:rPr>
              <w:t>I</w:t>
            </w:r>
            <w:r w:rsidRPr="009069DA">
              <w:rPr>
                <w:rFonts w:eastAsia="Arial"/>
                <w:b/>
                <w:sz w:val="15"/>
              </w:rPr>
              <w:t>O</w:t>
            </w:r>
            <w:r w:rsidRPr="00AD2FDD">
              <w:rPr>
                <w:rFonts w:eastAsia="Arial" w:cs="Arial"/>
                <w:b/>
                <w:bCs/>
                <w:sz w:val="15"/>
                <w:szCs w:val="15"/>
              </w:rPr>
              <w:t>N</w:t>
            </w:r>
            <w:r w:rsidRPr="009069DA">
              <w:rPr>
                <w:rFonts w:eastAsia="Arial"/>
                <w:b/>
                <w:sz w:val="15"/>
              </w:rPr>
              <w:t xml:space="preserve"> (ONE-TIME</w:t>
            </w:r>
            <w:r w:rsidRPr="00AD2FDD">
              <w:rPr>
                <w:rFonts w:eastAsia="Arial" w:cs="Arial"/>
                <w:b/>
                <w:bCs/>
                <w:sz w:val="15"/>
                <w:szCs w:val="15"/>
              </w:rPr>
              <w:t>)</w:t>
            </w:r>
          </w:p>
        </w:tc>
      </w:tr>
      <w:tr w:rsidRPr="00AD2FDD" w:rsidR="00FB6A43" w:rsidTr="00FB6A43" w14:paraId="4551D9DD" w14:textId="77777777">
        <w:tc>
          <w:tcPr>
            <w:tcW w:w="1705" w:type="dxa"/>
            <w:vMerge w:val="restart"/>
            <w:tcMar>
              <w:left w:w="58" w:type="dxa"/>
              <w:right w:w="58" w:type="dxa"/>
            </w:tcMar>
            <w:vAlign w:val="center"/>
          </w:tcPr>
          <w:p w:rsidRPr="00AD2FDD" w:rsidR="00FB6A43" w:rsidP="00FB6A43" w:rsidRDefault="00FB6A43" w14:paraId="6F6A08B2" w14:textId="30AC3F71">
            <w:pPr>
              <w:rPr>
                <w:rFonts w:cs="Arial"/>
                <w:sz w:val="16"/>
                <w:szCs w:val="16"/>
              </w:rPr>
            </w:pPr>
            <w:r w:rsidRPr="00AD2FDD">
              <w:rPr>
                <w:rFonts w:cs="Arial"/>
                <w:sz w:val="16"/>
                <w:szCs w:val="16"/>
              </w:rPr>
              <w:t>(1) Update policies and procedures</w:t>
            </w:r>
          </w:p>
        </w:tc>
        <w:tc>
          <w:tcPr>
            <w:tcW w:w="1463" w:type="dxa"/>
            <w:gridSpan w:val="2"/>
            <w:tcMar>
              <w:left w:w="58" w:type="dxa"/>
              <w:right w:w="58" w:type="dxa"/>
            </w:tcMar>
            <w:vAlign w:val="center"/>
          </w:tcPr>
          <w:p w:rsidRPr="00AD2FDD" w:rsidR="00FB6A43" w:rsidP="00FB6A43" w:rsidRDefault="00FB6A43" w14:paraId="51DC74DF" w14:textId="77777777">
            <w:pPr>
              <w:rPr>
                <w:rFonts w:cs="Arial"/>
                <w:b/>
                <w:i/>
                <w:sz w:val="16"/>
                <w:szCs w:val="16"/>
              </w:rPr>
            </w:pPr>
            <w:r w:rsidRPr="00AD2FDD">
              <w:rPr>
                <w:rFonts w:cs="Arial"/>
                <w:sz w:val="16"/>
                <w:szCs w:val="16"/>
              </w:rPr>
              <w:t>FFD Manager</w:t>
            </w:r>
          </w:p>
        </w:tc>
        <w:tc>
          <w:tcPr>
            <w:tcW w:w="1260" w:type="dxa"/>
            <w:shd w:val="clear" w:color="auto" w:fill="auto"/>
            <w:tcMar>
              <w:left w:w="58" w:type="dxa"/>
              <w:right w:w="58" w:type="dxa"/>
            </w:tcMar>
            <w:vAlign w:val="center"/>
          </w:tcPr>
          <w:p w:rsidRPr="00AD2FDD" w:rsidR="00FB6A43" w:rsidP="00FB6A43" w:rsidRDefault="00FB6A43" w14:paraId="117C718C" w14:textId="5C4DC174">
            <w:pPr>
              <w:jc w:val="center"/>
              <w:rPr>
                <w:rFonts w:cs="Arial"/>
                <w:b/>
                <w:i/>
                <w:sz w:val="16"/>
                <w:szCs w:val="16"/>
              </w:rPr>
            </w:pPr>
            <w:r w:rsidRPr="00AD2FDD">
              <w:rPr>
                <w:rFonts w:cs="Arial"/>
                <w:sz w:val="16"/>
                <w:szCs w:val="16"/>
              </w:rPr>
              <w:t>$47.79/hour</w:t>
            </w:r>
          </w:p>
        </w:tc>
        <w:tc>
          <w:tcPr>
            <w:tcW w:w="1980" w:type="dxa"/>
            <w:gridSpan w:val="2"/>
            <w:shd w:val="clear" w:color="auto" w:fill="FFFFFF" w:themeFill="background1"/>
            <w:tcMar>
              <w:left w:w="58" w:type="dxa"/>
              <w:right w:w="58" w:type="dxa"/>
            </w:tcMar>
            <w:vAlign w:val="center"/>
          </w:tcPr>
          <w:p w:rsidRPr="00AD2FDD" w:rsidR="00FB6A43" w:rsidP="00FB6A43" w:rsidRDefault="00FB6A43" w14:paraId="6E1CB5DD" w14:textId="59DA6E80">
            <w:pPr>
              <w:jc w:val="center"/>
              <w:rPr>
                <w:rFonts w:cs="Arial"/>
                <w:b/>
                <w:i/>
                <w:sz w:val="16"/>
                <w:szCs w:val="16"/>
              </w:rPr>
            </w:pPr>
            <w:r w:rsidRPr="00AD2FDD">
              <w:rPr>
                <w:rFonts w:cs="Arial"/>
                <w:sz w:val="16"/>
                <w:szCs w:val="16"/>
              </w:rPr>
              <w:t>12 hour</w:t>
            </w:r>
            <w:r w:rsidRPr="00AD2FDD" w:rsidR="00EA645C">
              <w:rPr>
                <w:rFonts w:cs="Arial"/>
                <w:sz w:val="16"/>
                <w:szCs w:val="16"/>
              </w:rPr>
              <w:t>s</w:t>
            </w:r>
            <w:r w:rsidRPr="00AD2FDD">
              <w:rPr>
                <w:rFonts w:cs="Arial"/>
                <w:sz w:val="16"/>
                <w:szCs w:val="16"/>
              </w:rPr>
              <w:t>/program</w:t>
            </w:r>
          </w:p>
        </w:tc>
        <w:tc>
          <w:tcPr>
            <w:tcW w:w="990" w:type="dxa"/>
            <w:gridSpan w:val="2"/>
            <w:shd w:val="clear" w:color="auto" w:fill="FFFFFF" w:themeFill="background1"/>
            <w:tcMar>
              <w:left w:w="58" w:type="dxa"/>
              <w:right w:w="58" w:type="dxa"/>
            </w:tcMar>
          </w:tcPr>
          <w:p w:rsidRPr="00AD2FDD" w:rsidR="00FB6A43" w:rsidP="00FB6A43" w:rsidRDefault="00FB6A43" w14:paraId="5E79CD5A" w14:textId="635EAF69">
            <w:pPr>
              <w:jc w:val="right"/>
              <w:rPr>
                <w:rFonts w:cs="Arial"/>
                <w:b/>
                <w:i/>
                <w:sz w:val="16"/>
                <w:szCs w:val="16"/>
              </w:rPr>
            </w:pPr>
            <w:r w:rsidRPr="00AD2FDD">
              <w:rPr>
                <w:sz w:val="16"/>
                <w:szCs w:val="16"/>
              </w:rPr>
              <w:t>($574)</w:t>
            </w:r>
          </w:p>
        </w:tc>
        <w:tc>
          <w:tcPr>
            <w:tcW w:w="810" w:type="dxa"/>
            <w:shd w:val="clear" w:color="auto" w:fill="auto"/>
            <w:tcMar>
              <w:left w:w="58" w:type="dxa"/>
              <w:right w:w="58" w:type="dxa"/>
            </w:tcMar>
            <w:vAlign w:val="center"/>
          </w:tcPr>
          <w:p w:rsidRPr="00AD2FDD" w:rsidR="00FB6A43" w:rsidP="00FB6A43" w:rsidRDefault="00FB6A43" w14:paraId="01C7EF75" w14:textId="2EF9527F">
            <w:pPr>
              <w:jc w:val="right"/>
              <w:rPr>
                <w:rFonts w:cs="Arial"/>
                <w:b/>
                <w:i/>
                <w:sz w:val="16"/>
                <w:szCs w:val="16"/>
              </w:rPr>
            </w:pPr>
            <w:r w:rsidRPr="00AD2FDD">
              <w:rPr>
                <w:rFonts w:cs="Arial"/>
                <w:sz w:val="16"/>
                <w:szCs w:val="16"/>
              </w:rPr>
              <w:t>24</w:t>
            </w:r>
          </w:p>
        </w:tc>
        <w:tc>
          <w:tcPr>
            <w:tcW w:w="1260" w:type="dxa"/>
            <w:gridSpan w:val="2"/>
            <w:shd w:val="clear" w:color="auto" w:fill="FFFFFF" w:themeFill="background1"/>
            <w:tcMar>
              <w:left w:w="58" w:type="dxa"/>
              <w:right w:w="58" w:type="dxa"/>
            </w:tcMar>
          </w:tcPr>
          <w:p w:rsidRPr="00AD2FDD" w:rsidR="00FB6A43" w:rsidP="00FB6A43" w:rsidRDefault="00FB6A43" w14:paraId="6E3A1559" w14:textId="46486E03">
            <w:pPr>
              <w:jc w:val="right"/>
              <w:rPr>
                <w:rFonts w:cs="Arial"/>
                <w:b/>
                <w:i/>
                <w:sz w:val="16"/>
                <w:szCs w:val="16"/>
              </w:rPr>
            </w:pPr>
            <w:r w:rsidRPr="00AD2FDD">
              <w:rPr>
                <w:sz w:val="16"/>
                <w:szCs w:val="16"/>
              </w:rPr>
              <w:t>($13,776)</w:t>
            </w:r>
          </w:p>
        </w:tc>
      </w:tr>
      <w:tr w:rsidRPr="00AD2FDD" w:rsidR="00FB6A43" w:rsidTr="00FB6A43" w14:paraId="17735AEE" w14:textId="77777777">
        <w:tc>
          <w:tcPr>
            <w:tcW w:w="1705" w:type="dxa"/>
            <w:vMerge/>
            <w:tcMar>
              <w:left w:w="58" w:type="dxa"/>
              <w:right w:w="58" w:type="dxa"/>
            </w:tcMar>
            <w:vAlign w:val="center"/>
          </w:tcPr>
          <w:p w:rsidRPr="00AD2FDD" w:rsidR="00FB6A43" w:rsidP="00FB6A43" w:rsidRDefault="00FB6A43" w14:paraId="701FDEA8" w14:textId="77777777">
            <w:pPr>
              <w:rPr>
                <w:rFonts w:cs="Arial"/>
                <w:sz w:val="16"/>
                <w:szCs w:val="16"/>
              </w:rPr>
            </w:pPr>
          </w:p>
        </w:tc>
        <w:tc>
          <w:tcPr>
            <w:tcW w:w="1463" w:type="dxa"/>
            <w:gridSpan w:val="2"/>
            <w:tcMar>
              <w:left w:w="58" w:type="dxa"/>
              <w:right w:w="58" w:type="dxa"/>
            </w:tcMar>
            <w:vAlign w:val="center"/>
          </w:tcPr>
          <w:p w:rsidRPr="00AD2FDD" w:rsidR="00FB6A43" w:rsidP="00FB6A43" w:rsidRDefault="00FB6A43" w14:paraId="11ADB80A" w14:textId="77777777">
            <w:pPr>
              <w:rPr>
                <w:rFonts w:cs="Arial"/>
                <w:b/>
                <w:i/>
                <w:sz w:val="16"/>
                <w:szCs w:val="16"/>
              </w:rPr>
            </w:pPr>
            <w:r w:rsidRPr="00AD2FDD">
              <w:rPr>
                <w:rFonts w:cs="Arial"/>
                <w:sz w:val="16"/>
                <w:szCs w:val="16"/>
              </w:rPr>
              <w:t>FFD Staff</w:t>
            </w:r>
          </w:p>
        </w:tc>
        <w:tc>
          <w:tcPr>
            <w:tcW w:w="1260" w:type="dxa"/>
            <w:shd w:val="clear" w:color="auto" w:fill="auto"/>
            <w:tcMar>
              <w:left w:w="58" w:type="dxa"/>
              <w:right w:w="58" w:type="dxa"/>
            </w:tcMar>
            <w:vAlign w:val="center"/>
          </w:tcPr>
          <w:p w:rsidRPr="00AD2FDD" w:rsidR="00FB6A43" w:rsidP="00FB6A43" w:rsidRDefault="00FB6A43" w14:paraId="507A056A" w14:textId="70D68EA2">
            <w:pPr>
              <w:jc w:val="center"/>
              <w:rPr>
                <w:rFonts w:cs="Arial"/>
                <w:b/>
                <w:i/>
                <w:sz w:val="16"/>
                <w:szCs w:val="16"/>
              </w:rPr>
            </w:pPr>
            <w:r w:rsidRPr="00AD2FDD">
              <w:rPr>
                <w:rFonts w:cs="Arial"/>
                <w:sz w:val="16"/>
                <w:szCs w:val="16"/>
              </w:rPr>
              <w:t>$41.20/hour</w:t>
            </w:r>
          </w:p>
        </w:tc>
        <w:tc>
          <w:tcPr>
            <w:tcW w:w="1980" w:type="dxa"/>
            <w:gridSpan w:val="2"/>
            <w:shd w:val="clear" w:color="auto" w:fill="FFFFFF" w:themeFill="background1"/>
            <w:tcMar>
              <w:left w:w="58" w:type="dxa"/>
              <w:right w:w="58" w:type="dxa"/>
            </w:tcMar>
            <w:vAlign w:val="center"/>
          </w:tcPr>
          <w:p w:rsidRPr="00AD2FDD" w:rsidR="00FB6A43" w:rsidP="00FB6A43" w:rsidRDefault="00FB6A43" w14:paraId="742E8CAB" w14:textId="2BCDFCEB">
            <w:pPr>
              <w:jc w:val="center"/>
              <w:rPr>
                <w:rFonts w:cs="Arial"/>
                <w:b/>
                <w:i/>
                <w:sz w:val="16"/>
                <w:szCs w:val="16"/>
              </w:rPr>
            </w:pPr>
            <w:r w:rsidRPr="00AD2FDD">
              <w:rPr>
                <w:rFonts w:cs="Arial"/>
                <w:sz w:val="16"/>
                <w:szCs w:val="16"/>
              </w:rPr>
              <w:t>4 hour</w:t>
            </w:r>
            <w:r w:rsidRPr="00AD2FDD" w:rsidR="00EA645C">
              <w:rPr>
                <w:rFonts w:cs="Arial"/>
                <w:sz w:val="16"/>
                <w:szCs w:val="16"/>
              </w:rPr>
              <w:t>s</w:t>
            </w:r>
            <w:r w:rsidRPr="00AD2FDD">
              <w:rPr>
                <w:rFonts w:cs="Arial"/>
                <w:sz w:val="16"/>
                <w:szCs w:val="16"/>
              </w:rPr>
              <w:t>/program</w:t>
            </w:r>
          </w:p>
        </w:tc>
        <w:tc>
          <w:tcPr>
            <w:tcW w:w="990" w:type="dxa"/>
            <w:gridSpan w:val="2"/>
            <w:shd w:val="clear" w:color="auto" w:fill="FFFFFF" w:themeFill="background1"/>
            <w:tcMar>
              <w:left w:w="58" w:type="dxa"/>
              <w:right w:w="58" w:type="dxa"/>
            </w:tcMar>
          </w:tcPr>
          <w:p w:rsidRPr="00AD2FDD" w:rsidR="00FB6A43" w:rsidP="00FB6A43" w:rsidRDefault="00FB6A43" w14:paraId="38D7822B" w14:textId="324285F1">
            <w:pPr>
              <w:jc w:val="right"/>
              <w:rPr>
                <w:rFonts w:cs="Arial"/>
                <w:b/>
                <w:i/>
                <w:sz w:val="16"/>
                <w:szCs w:val="16"/>
              </w:rPr>
            </w:pPr>
            <w:r w:rsidRPr="00AD2FDD">
              <w:rPr>
                <w:sz w:val="16"/>
                <w:szCs w:val="16"/>
              </w:rPr>
              <w:t>($165)</w:t>
            </w:r>
          </w:p>
        </w:tc>
        <w:tc>
          <w:tcPr>
            <w:tcW w:w="810" w:type="dxa"/>
            <w:shd w:val="clear" w:color="auto" w:fill="auto"/>
            <w:tcMar>
              <w:left w:w="58" w:type="dxa"/>
              <w:right w:w="58" w:type="dxa"/>
            </w:tcMar>
            <w:vAlign w:val="center"/>
          </w:tcPr>
          <w:p w:rsidRPr="00AD2FDD" w:rsidR="00FB6A43" w:rsidP="00FB6A43" w:rsidRDefault="00FB6A43" w14:paraId="3EA983D0" w14:textId="4E3CEC2B">
            <w:pPr>
              <w:jc w:val="right"/>
              <w:rPr>
                <w:rFonts w:cs="Arial"/>
                <w:b/>
                <w:i/>
                <w:sz w:val="16"/>
                <w:szCs w:val="16"/>
              </w:rPr>
            </w:pPr>
            <w:r w:rsidRPr="00AD2FDD">
              <w:rPr>
                <w:rFonts w:cs="Arial"/>
                <w:sz w:val="16"/>
                <w:szCs w:val="16"/>
              </w:rPr>
              <w:t>24</w:t>
            </w:r>
          </w:p>
        </w:tc>
        <w:tc>
          <w:tcPr>
            <w:tcW w:w="1260" w:type="dxa"/>
            <w:gridSpan w:val="2"/>
            <w:shd w:val="clear" w:color="auto" w:fill="FFFFFF" w:themeFill="background1"/>
            <w:tcMar>
              <w:left w:w="58" w:type="dxa"/>
              <w:right w:w="58" w:type="dxa"/>
            </w:tcMar>
          </w:tcPr>
          <w:p w:rsidRPr="00AD2FDD" w:rsidR="00FB6A43" w:rsidP="00FB6A43" w:rsidRDefault="00FB6A43" w14:paraId="08329463" w14:textId="204DAE0F">
            <w:pPr>
              <w:jc w:val="right"/>
              <w:rPr>
                <w:rFonts w:cs="Arial"/>
                <w:b/>
                <w:i/>
                <w:sz w:val="16"/>
                <w:szCs w:val="16"/>
              </w:rPr>
            </w:pPr>
            <w:r w:rsidRPr="00AD2FDD">
              <w:rPr>
                <w:sz w:val="16"/>
                <w:szCs w:val="16"/>
              </w:rPr>
              <w:t>($3,960)</w:t>
            </w:r>
          </w:p>
        </w:tc>
      </w:tr>
      <w:tr w:rsidRPr="00AD2FDD" w:rsidR="00FB6A43" w:rsidTr="00FB6A43" w14:paraId="3383440C" w14:textId="77777777">
        <w:tc>
          <w:tcPr>
            <w:tcW w:w="1705" w:type="dxa"/>
            <w:vMerge/>
            <w:tcMar>
              <w:left w:w="58" w:type="dxa"/>
              <w:right w:w="58" w:type="dxa"/>
            </w:tcMar>
            <w:vAlign w:val="center"/>
          </w:tcPr>
          <w:p w:rsidRPr="00AD2FDD" w:rsidR="00FB6A43" w:rsidP="00FB6A43" w:rsidRDefault="00FB6A43" w14:paraId="3F742272" w14:textId="77777777">
            <w:pPr>
              <w:rPr>
                <w:rFonts w:cs="Arial"/>
                <w:sz w:val="16"/>
                <w:szCs w:val="16"/>
              </w:rPr>
            </w:pPr>
          </w:p>
        </w:tc>
        <w:tc>
          <w:tcPr>
            <w:tcW w:w="1463" w:type="dxa"/>
            <w:gridSpan w:val="2"/>
            <w:tcMar>
              <w:left w:w="58" w:type="dxa"/>
              <w:right w:w="58" w:type="dxa"/>
            </w:tcMar>
            <w:vAlign w:val="center"/>
          </w:tcPr>
          <w:p w:rsidRPr="00AD2FDD" w:rsidR="00FB6A43" w:rsidP="00FB6A43" w:rsidRDefault="00FB6A43" w14:paraId="655A3BEA" w14:textId="77777777">
            <w:pPr>
              <w:rPr>
                <w:rFonts w:cs="Arial"/>
                <w:b/>
                <w:i/>
                <w:sz w:val="16"/>
                <w:szCs w:val="16"/>
              </w:rPr>
            </w:pPr>
            <w:r w:rsidRPr="00AD2FDD">
              <w:rPr>
                <w:rFonts w:cs="Arial"/>
                <w:sz w:val="16"/>
                <w:szCs w:val="16"/>
              </w:rPr>
              <w:t>Clerical</w:t>
            </w:r>
          </w:p>
        </w:tc>
        <w:tc>
          <w:tcPr>
            <w:tcW w:w="1260" w:type="dxa"/>
            <w:shd w:val="clear" w:color="auto" w:fill="auto"/>
            <w:tcMar>
              <w:left w:w="58" w:type="dxa"/>
              <w:right w:w="58" w:type="dxa"/>
            </w:tcMar>
            <w:vAlign w:val="center"/>
          </w:tcPr>
          <w:p w:rsidRPr="00AD2FDD" w:rsidR="00FB6A43" w:rsidP="00FB6A43" w:rsidRDefault="00FB6A43" w14:paraId="51B96B4E" w14:textId="5FCEC34D">
            <w:pPr>
              <w:jc w:val="center"/>
              <w:rPr>
                <w:rFonts w:cs="Arial"/>
                <w:b/>
                <w:i/>
                <w:sz w:val="16"/>
                <w:szCs w:val="16"/>
              </w:rPr>
            </w:pPr>
            <w:r w:rsidRPr="00AD2FDD">
              <w:rPr>
                <w:rFonts w:cs="Arial"/>
                <w:sz w:val="16"/>
                <w:szCs w:val="16"/>
              </w:rPr>
              <w:t>$23.84/hour</w:t>
            </w:r>
          </w:p>
        </w:tc>
        <w:tc>
          <w:tcPr>
            <w:tcW w:w="1980" w:type="dxa"/>
            <w:gridSpan w:val="2"/>
            <w:tcBorders>
              <w:bottom w:val="single" w:color="auto" w:sz="4" w:space="0"/>
            </w:tcBorders>
            <w:shd w:val="clear" w:color="auto" w:fill="auto"/>
            <w:tcMar>
              <w:left w:w="58" w:type="dxa"/>
              <w:right w:w="58" w:type="dxa"/>
            </w:tcMar>
            <w:vAlign w:val="center"/>
          </w:tcPr>
          <w:p w:rsidRPr="00AD2FDD" w:rsidR="00FB6A43" w:rsidP="00FB6A43" w:rsidRDefault="00FB6A43" w14:paraId="51566D5F" w14:textId="77777777">
            <w:pPr>
              <w:jc w:val="center"/>
              <w:rPr>
                <w:rFonts w:cs="Arial"/>
                <w:b/>
                <w:i/>
                <w:sz w:val="16"/>
                <w:szCs w:val="16"/>
              </w:rPr>
            </w:pPr>
            <w:r w:rsidRPr="00AD2FDD">
              <w:rPr>
                <w:rFonts w:cs="Arial"/>
                <w:sz w:val="16"/>
                <w:szCs w:val="16"/>
              </w:rPr>
              <w:t>1 hour/program</w:t>
            </w:r>
          </w:p>
        </w:tc>
        <w:tc>
          <w:tcPr>
            <w:tcW w:w="990" w:type="dxa"/>
            <w:gridSpan w:val="2"/>
            <w:tcBorders>
              <w:bottom w:val="single" w:color="auto" w:sz="4" w:space="0"/>
            </w:tcBorders>
            <w:shd w:val="clear" w:color="auto" w:fill="auto"/>
            <w:tcMar>
              <w:left w:w="58" w:type="dxa"/>
              <w:right w:w="58" w:type="dxa"/>
            </w:tcMar>
          </w:tcPr>
          <w:p w:rsidRPr="00AD2FDD" w:rsidR="00FB6A43" w:rsidP="00FB6A43" w:rsidRDefault="00FB6A43" w14:paraId="7BAEADC6" w14:textId="0BFB4D06">
            <w:pPr>
              <w:jc w:val="right"/>
              <w:rPr>
                <w:rFonts w:cs="Arial"/>
                <w:b/>
                <w:i/>
                <w:sz w:val="16"/>
                <w:szCs w:val="16"/>
              </w:rPr>
            </w:pPr>
            <w:r w:rsidRPr="00AD2FDD">
              <w:rPr>
                <w:sz w:val="16"/>
                <w:szCs w:val="16"/>
              </w:rPr>
              <w:t>($24)</w:t>
            </w:r>
          </w:p>
        </w:tc>
        <w:tc>
          <w:tcPr>
            <w:tcW w:w="810" w:type="dxa"/>
            <w:shd w:val="clear" w:color="auto" w:fill="auto"/>
            <w:tcMar>
              <w:left w:w="58" w:type="dxa"/>
              <w:right w:w="58" w:type="dxa"/>
            </w:tcMar>
            <w:vAlign w:val="center"/>
          </w:tcPr>
          <w:p w:rsidRPr="00AD2FDD" w:rsidR="00FB6A43" w:rsidP="00FB6A43" w:rsidRDefault="00FB6A43" w14:paraId="774D8414" w14:textId="4AA1BF0D">
            <w:pPr>
              <w:jc w:val="right"/>
              <w:rPr>
                <w:rFonts w:cs="Arial"/>
                <w:b/>
                <w:i/>
                <w:sz w:val="16"/>
                <w:szCs w:val="16"/>
              </w:rPr>
            </w:pPr>
            <w:r w:rsidRPr="00AD2FDD">
              <w:rPr>
                <w:rFonts w:cs="Arial"/>
                <w:sz w:val="16"/>
                <w:szCs w:val="16"/>
              </w:rPr>
              <w:t>24</w:t>
            </w:r>
          </w:p>
        </w:tc>
        <w:tc>
          <w:tcPr>
            <w:tcW w:w="1260" w:type="dxa"/>
            <w:gridSpan w:val="2"/>
            <w:shd w:val="clear" w:color="auto" w:fill="FFFFFF" w:themeFill="background1"/>
            <w:tcMar>
              <w:left w:w="58" w:type="dxa"/>
              <w:right w:w="58" w:type="dxa"/>
            </w:tcMar>
          </w:tcPr>
          <w:p w:rsidRPr="00AD2FDD" w:rsidR="00FB6A43" w:rsidP="00FB6A43" w:rsidRDefault="00FB6A43" w14:paraId="73D0FCE8" w14:textId="34F184BD">
            <w:pPr>
              <w:jc w:val="right"/>
              <w:rPr>
                <w:rFonts w:cs="Arial"/>
                <w:b/>
                <w:i/>
                <w:sz w:val="16"/>
                <w:szCs w:val="16"/>
              </w:rPr>
            </w:pPr>
            <w:r w:rsidRPr="00AD2FDD">
              <w:rPr>
                <w:sz w:val="16"/>
                <w:szCs w:val="16"/>
              </w:rPr>
              <w:t>($576)</w:t>
            </w:r>
          </w:p>
        </w:tc>
      </w:tr>
      <w:tr w:rsidRPr="00AD2FDD" w:rsidR="00FB6A43" w:rsidTr="00CA04D8" w14:paraId="1D77ACF8" w14:textId="77777777">
        <w:tc>
          <w:tcPr>
            <w:tcW w:w="1705" w:type="dxa"/>
            <w:vMerge/>
            <w:tcMar>
              <w:left w:w="58" w:type="dxa"/>
              <w:right w:w="58" w:type="dxa"/>
            </w:tcMar>
            <w:vAlign w:val="center"/>
          </w:tcPr>
          <w:p w:rsidRPr="00AD2FDD" w:rsidR="00FB6A43" w:rsidP="00FB6A43" w:rsidRDefault="00FB6A43" w14:paraId="4DD64C43" w14:textId="77777777">
            <w:pPr>
              <w:rPr>
                <w:rFonts w:cs="Arial"/>
                <w:sz w:val="16"/>
                <w:szCs w:val="16"/>
              </w:rPr>
            </w:pPr>
          </w:p>
        </w:tc>
        <w:tc>
          <w:tcPr>
            <w:tcW w:w="1463" w:type="dxa"/>
            <w:gridSpan w:val="2"/>
            <w:tcMar>
              <w:left w:w="58" w:type="dxa"/>
              <w:right w:w="58" w:type="dxa"/>
            </w:tcMar>
            <w:vAlign w:val="center"/>
          </w:tcPr>
          <w:p w:rsidRPr="00AD2FDD" w:rsidR="00FB6A43" w:rsidP="00FB6A43" w:rsidRDefault="00FB6A43" w14:paraId="31388041" w14:textId="77777777">
            <w:pPr>
              <w:rPr>
                <w:rFonts w:cs="Arial"/>
                <w:b/>
                <w:i/>
                <w:sz w:val="16"/>
                <w:szCs w:val="16"/>
              </w:rPr>
            </w:pPr>
            <w:r w:rsidRPr="00AD2FDD">
              <w:rPr>
                <w:rFonts w:cs="Arial"/>
                <w:sz w:val="16"/>
                <w:szCs w:val="16"/>
              </w:rPr>
              <w:t>Legal</w:t>
            </w:r>
          </w:p>
        </w:tc>
        <w:tc>
          <w:tcPr>
            <w:tcW w:w="1260" w:type="dxa"/>
            <w:tcBorders>
              <w:bottom w:val="single" w:color="auto" w:sz="4" w:space="0"/>
            </w:tcBorders>
            <w:shd w:val="clear" w:color="auto" w:fill="auto"/>
            <w:tcMar>
              <w:left w:w="58" w:type="dxa"/>
              <w:right w:w="58" w:type="dxa"/>
            </w:tcMar>
            <w:vAlign w:val="center"/>
          </w:tcPr>
          <w:p w:rsidRPr="00AD2FDD" w:rsidR="00FB6A43" w:rsidP="00FB6A43" w:rsidRDefault="00FB6A43" w14:paraId="5F9D1640" w14:textId="043D4C40">
            <w:pPr>
              <w:jc w:val="center"/>
              <w:rPr>
                <w:rFonts w:cs="Arial"/>
                <w:b/>
                <w:i/>
                <w:sz w:val="16"/>
                <w:szCs w:val="16"/>
              </w:rPr>
            </w:pPr>
            <w:r w:rsidRPr="00AD2FDD">
              <w:rPr>
                <w:rFonts w:cs="Arial"/>
                <w:sz w:val="16"/>
                <w:szCs w:val="16"/>
              </w:rPr>
              <w:t>$137.32/hour</w:t>
            </w:r>
          </w:p>
        </w:tc>
        <w:tc>
          <w:tcPr>
            <w:tcW w:w="1980" w:type="dxa"/>
            <w:gridSpan w:val="2"/>
            <w:tcBorders>
              <w:bottom w:val="single" w:color="auto" w:sz="4" w:space="0"/>
            </w:tcBorders>
            <w:shd w:val="clear" w:color="auto" w:fill="FFFFFF" w:themeFill="background1"/>
            <w:tcMar>
              <w:left w:w="58" w:type="dxa"/>
              <w:right w:w="58" w:type="dxa"/>
            </w:tcMar>
            <w:vAlign w:val="center"/>
          </w:tcPr>
          <w:p w:rsidRPr="00AD2FDD" w:rsidR="00FB6A43" w:rsidP="00FB6A43" w:rsidRDefault="00FB6A43" w14:paraId="286B90E2" w14:textId="361179D2">
            <w:pPr>
              <w:jc w:val="center"/>
              <w:rPr>
                <w:rFonts w:cs="Arial"/>
                <w:b/>
                <w:i/>
                <w:sz w:val="16"/>
                <w:szCs w:val="16"/>
              </w:rPr>
            </w:pPr>
            <w:r w:rsidRPr="00AD2FDD">
              <w:rPr>
                <w:rFonts w:cs="Arial"/>
                <w:sz w:val="16"/>
                <w:szCs w:val="16"/>
              </w:rPr>
              <w:t>2 hour</w:t>
            </w:r>
            <w:r w:rsidRPr="00AD2FDD" w:rsidR="00323CEB">
              <w:rPr>
                <w:rFonts w:cs="Arial"/>
                <w:sz w:val="16"/>
                <w:szCs w:val="16"/>
              </w:rPr>
              <w:t>s</w:t>
            </w:r>
            <w:r w:rsidRPr="00AD2FDD">
              <w:rPr>
                <w:rFonts w:cs="Arial"/>
                <w:sz w:val="16"/>
                <w:szCs w:val="16"/>
              </w:rPr>
              <w:t>/program</w:t>
            </w:r>
          </w:p>
        </w:tc>
        <w:tc>
          <w:tcPr>
            <w:tcW w:w="990" w:type="dxa"/>
            <w:gridSpan w:val="2"/>
            <w:tcBorders>
              <w:bottom w:val="single" w:color="auto" w:sz="4" w:space="0"/>
            </w:tcBorders>
            <w:shd w:val="clear" w:color="auto" w:fill="FFFFFF" w:themeFill="background1"/>
            <w:tcMar>
              <w:left w:w="58" w:type="dxa"/>
              <w:right w:w="58" w:type="dxa"/>
            </w:tcMar>
          </w:tcPr>
          <w:p w:rsidRPr="00AD2FDD" w:rsidR="00FB6A43" w:rsidP="00FB6A43" w:rsidRDefault="00FB6A43" w14:paraId="41A1FCB4" w14:textId="57960176">
            <w:pPr>
              <w:jc w:val="right"/>
              <w:rPr>
                <w:rFonts w:cs="Arial"/>
                <w:b/>
                <w:i/>
                <w:sz w:val="16"/>
                <w:szCs w:val="16"/>
              </w:rPr>
            </w:pPr>
            <w:r w:rsidRPr="00AD2FDD">
              <w:rPr>
                <w:sz w:val="16"/>
                <w:szCs w:val="16"/>
              </w:rPr>
              <w:t>($275)</w:t>
            </w:r>
          </w:p>
        </w:tc>
        <w:tc>
          <w:tcPr>
            <w:tcW w:w="810" w:type="dxa"/>
            <w:tcBorders>
              <w:bottom w:val="single" w:color="auto" w:sz="4" w:space="0"/>
            </w:tcBorders>
            <w:shd w:val="clear" w:color="auto" w:fill="auto"/>
            <w:tcMar>
              <w:left w:w="58" w:type="dxa"/>
              <w:right w:w="58" w:type="dxa"/>
            </w:tcMar>
            <w:vAlign w:val="center"/>
          </w:tcPr>
          <w:p w:rsidRPr="00AD2FDD" w:rsidR="00FB6A43" w:rsidP="00FB6A43" w:rsidRDefault="00FB6A43" w14:paraId="7E684D9E" w14:textId="24F202D1">
            <w:pPr>
              <w:jc w:val="right"/>
              <w:rPr>
                <w:rFonts w:cs="Arial"/>
                <w:b/>
                <w:i/>
                <w:sz w:val="16"/>
                <w:szCs w:val="16"/>
              </w:rPr>
            </w:pPr>
            <w:r w:rsidRPr="00AD2FDD">
              <w:rPr>
                <w:rFonts w:cs="Arial"/>
                <w:sz w:val="16"/>
                <w:szCs w:val="16"/>
              </w:rPr>
              <w:t>24</w:t>
            </w:r>
          </w:p>
        </w:tc>
        <w:tc>
          <w:tcPr>
            <w:tcW w:w="1260" w:type="dxa"/>
            <w:gridSpan w:val="2"/>
            <w:tcBorders>
              <w:bottom w:val="single" w:color="auto" w:sz="4" w:space="0"/>
            </w:tcBorders>
            <w:shd w:val="clear" w:color="auto" w:fill="FFFFFF" w:themeFill="background1"/>
            <w:tcMar>
              <w:left w:w="58" w:type="dxa"/>
              <w:right w:w="58" w:type="dxa"/>
            </w:tcMar>
          </w:tcPr>
          <w:p w:rsidRPr="00AD2FDD" w:rsidR="00FB6A43" w:rsidP="00FB6A43" w:rsidRDefault="00FB6A43" w14:paraId="0276AA80" w14:textId="6F7B59A5">
            <w:pPr>
              <w:jc w:val="right"/>
              <w:rPr>
                <w:rFonts w:cs="Arial"/>
                <w:b/>
                <w:i/>
                <w:sz w:val="16"/>
                <w:szCs w:val="16"/>
              </w:rPr>
            </w:pPr>
            <w:r w:rsidRPr="00AD2FDD">
              <w:rPr>
                <w:sz w:val="16"/>
                <w:szCs w:val="16"/>
              </w:rPr>
              <w:t>($6,600)</w:t>
            </w:r>
          </w:p>
        </w:tc>
      </w:tr>
      <w:tr w:rsidRPr="00AD2FDD" w:rsidR="00D520BD" w:rsidTr="00CA04D8" w14:paraId="35FBFBCF" w14:textId="77777777">
        <w:tc>
          <w:tcPr>
            <w:tcW w:w="1705" w:type="dxa"/>
            <w:vMerge w:val="restart"/>
            <w:tcMar>
              <w:left w:w="58" w:type="dxa"/>
              <w:right w:w="58" w:type="dxa"/>
            </w:tcMar>
            <w:vAlign w:val="center"/>
          </w:tcPr>
          <w:p w:rsidRPr="00AD2FDD" w:rsidR="00D520BD" w:rsidP="00982BD1" w:rsidRDefault="00D520BD" w14:paraId="13336FFA" w14:textId="77777777">
            <w:pPr>
              <w:rPr>
                <w:rFonts w:cs="Arial"/>
                <w:sz w:val="16"/>
                <w:szCs w:val="16"/>
              </w:rPr>
            </w:pPr>
            <w:r w:rsidRPr="00AD2FDD">
              <w:rPr>
                <w:rFonts w:cs="Arial"/>
                <w:sz w:val="16"/>
                <w:szCs w:val="16"/>
              </w:rPr>
              <w:t>(2) Inform employees of policy change</w:t>
            </w:r>
          </w:p>
        </w:tc>
        <w:tc>
          <w:tcPr>
            <w:tcW w:w="1463" w:type="dxa"/>
            <w:gridSpan w:val="2"/>
            <w:tcMar>
              <w:left w:w="58" w:type="dxa"/>
              <w:right w:w="58" w:type="dxa"/>
            </w:tcMar>
            <w:vAlign w:val="center"/>
          </w:tcPr>
          <w:p w:rsidRPr="00AD2FDD" w:rsidR="00D520BD" w:rsidP="00982BD1" w:rsidRDefault="00D520BD" w14:paraId="375B980C" w14:textId="77777777">
            <w:pPr>
              <w:rPr>
                <w:rFonts w:cs="Arial"/>
                <w:b/>
                <w:i/>
                <w:sz w:val="16"/>
                <w:szCs w:val="16"/>
              </w:rPr>
            </w:pPr>
            <w:r w:rsidRPr="00AD2FDD">
              <w:rPr>
                <w:rFonts w:cs="Arial"/>
                <w:sz w:val="16"/>
                <w:szCs w:val="16"/>
              </w:rPr>
              <w:t>FFD Manager</w:t>
            </w:r>
          </w:p>
        </w:tc>
        <w:tc>
          <w:tcPr>
            <w:tcW w:w="1260" w:type="dxa"/>
            <w:shd w:val="clear" w:color="auto" w:fill="FFFFFF" w:themeFill="background1"/>
            <w:tcMar>
              <w:left w:w="58" w:type="dxa"/>
              <w:right w:w="58" w:type="dxa"/>
            </w:tcMar>
            <w:vAlign w:val="center"/>
          </w:tcPr>
          <w:p w:rsidRPr="00AD2FDD" w:rsidR="00D520BD" w:rsidP="00982BD1" w:rsidRDefault="00D520BD" w14:paraId="4FE4D01C" w14:textId="2DC3AD35">
            <w:pPr>
              <w:jc w:val="center"/>
              <w:rPr>
                <w:rFonts w:cs="Arial"/>
                <w:b/>
                <w:i/>
                <w:sz w:val="16"/>
                <w:szCs w:val="16"/>
              </w:rPr>
            </w:pPr>
            <w:r w:rsidRPr="00AD2FDD">
              <w:rPr>
                <w:rFonts w:cs="Arial"/>
                <w:sz w:val="16"/>
                <w:szCs w:val="16"/>
              </w:rPr>
              <w:t>$4</w:t>
            </w:r>
            <w:r w:rsidRPr="00AD2FDD" w:rsidR="00CE6FFF">
              <w:rPr>
                <w:rFonts w:cs="Arial"/>
                <w:sz w:val="16"/>
                <w:szCs w:val="16"/>
              </w:rPr>
              <w:t>7.79</w:t>
            </w:r>
            <w:r w:rsidRPr="00AD2FDD">
              <w:rPr>
                <w:rFonts w:cs="Arial"/>
                <w:sz w:val="16"/>
                <w:szCs w:val="16"/>
              </w:rPr>
              <w:t>/hour</w:t>
            </w:r>
          </w:p>
        </w:tc>
        <w:tc>
          <w:tcPr>
            <w:tcW w:w="1980" w:type="dxa"/>
            <w:gridSpan w:val="2"/>
            <w:shd w:val="clear" w:color="auto" w:fill="FFFFFF" w:themeFill="background1"/>
            <w:tcMar>
              <w:left w:w="58" w:type="dxa"/>
              <w:right w:w="58" w:type="dxa"/>
            </w:tcMar>
            <w:vAlign w:val="center"/>
          </w:tcPr>
          <w:p w:rsidRPr="00AD2FDD" w:rsidR="00D520BD" w:rsidP="00982BD1" w:rsidRDefault="003430C8" w14:paraId="1810B484" w14:textId="577B378B">
            <w:pPr>
              <w:jc w:val="center"/>
              <w:rPr>
                <w:rFonts w:cs="Arial"/>
                <w:b/>
                <w:i/>
                <w:sz w:val="16"/>
                <w:szCs w:val="16"/>
              </w:rPr>
            </w:pPr>
            <w:r w:rsidRPr="00AD2FDD">
              <w:rPr>
                <w:rFonts w:cs="Arial"/>
                <w:sz w:val="16"/>
                <w:szCs w:val="16"/>
              </w:rPr>
              <w:t>4</w:t>
            </w:r>
            <w:r w:rsidRPr="00AD2FDD" w:rsidR="00D520BD">
              <w:rPr>
                <w:rFonts w:cs="Arial"/>
                <w:sz w:val="16"/>
                <w:szCs w:val="16"/>
              </w:rPr>
              <w:t xml:space="preserve"> hours/program</w:t>
            </w:r>
          </w:p>
        </w:tc>
        <w:tc>
          <w:tcPr>
            <w:tcW w:w="990" w:type="dxa"/>
            <w:gridSpan w:val="2"/>
            <w:shd w:val="clear" w:color="auto" w:fill="FFFFFF" w:themeFill="background1"/>
            <w:tcMar>
              <w:left w:w="58" w:type="dxa"/>
              <w:right w:w="58" w:type="dxa"/>
            </w:tcMar>
            <w:vAlign w:val="center"/>
          </w:tcPr>
          <w:p w:rsidRPr="00AD2FDD" w:rsidR="00D520BD" w:rsidP="00982BD1" w:rsidRDefault="00D520BD" w14:paraId="53E9E679" w14:textId="54ADBFC3">
            <w:pPr>
              <w:jc w:val="right"/>
              <w:rPr>
                <w:rFonts w:cs="Arial"/>
                <w:b/>
                <w:i/>
                <w:sz w:val="16"/>
                <w:szCs w:val="16"/>
              </w:rPr>
            </w:pPr>
            <w:r w:rsidRPr="00AD2FDD">
              <w:rPr>
                <w:rFonts w:cs="Arial"/>
                <w:sz w:val="16"/>
                <w:szCs w:val="16"/>
              </w:rPr>
              <w:t>($</w:t>
            </w:r>
            <w:r w:rsidRPr="00AD2FDD" w:rsidR="00323CEB">
              <w:rPr>
                <w:rFonts w:cs="Arial"/>
                <w:sz w:val="16"/>
                <w:szCs w:val="16"/>
              </w:rPr>
              <w:t>191</w:t>
            </w:r>
            <w:r w:rsidRPr="00AD2FDD">
              <w:rPr>
                <w:rFonts w:cs="Arial"/>
                <w:sz w:val="16"/>
                <w:szCs w:val="16"/>
              </w:rPr>
              <w:t>)</w:t>
            </w:r>
          </w:p>
        </w:tc>
        <w:tc>
          <w:tcPr>
            <w:tcW w:w="810" w:type="dxa"/>
            <w:shd w:val="clear" w:color="auto" w:fill="FFFFFF" w:themeFill="background1"/>
            <w:tcMar>
              <w:left w:w="58" w:type="dxa"/>
              <w:right w:w="58" w:type="dxa"/>
            </w:tcMar>
            <w:vAlign w:val="center"/>
          </w:tcPr>
          <w:p w:rsidRPr="00AD2FDD" w:rsidR="00D520BD" w:rsidP="00982BD1" w:rsidRDefault="00D520BD" w14:paraId="4F3B847A" w14:textId="72410FE4">
            <w:pPr>
              <w:jc w:val="right"/>
              <w:rPr>
                <w:rFonts w:cs="Arial"/>
                <w:b/>
                <w:i/>
                <w:sz w:val="16"/>
                <w:szCs w:val="16"/>
              </w:rPr>
            </w:pPr>
            <w:r w:rsidRPr="00AD2FDD">
              <w:rPr>
                <w:rFonts w:cs="Arial"/>
                <w:sz w:val="16"/>
                <w:szCs w:val="16"/>
              </w:rPr>
              <w:t>2</w:t>
            </w:r>
            <w:r w:rsidRPr="00AD2FDD" w:rsidR="00E9657A">
              <w:rPr>
                <w:rFonts w:cs="Arial"/>
                <w:sz w:val="16"/>
                <w:szCs w:val="16"/>
              </w:rPr>
              <w:t>4</w:t>
            </w:r>
          </w:p>
        </w:tc>
        <w:tc>
          <w:tcPr>
            <w:tcW w:w="1260" w:type="dxa"/>
            <w:gridSpan w:val="2"/>
            <w:shd w:val="clear" w:color="auto" w:fill="FFFFFF" w:themeFill="background1"/>
            <w:tcMar>
              <w:left w:w="58" w:type="dxa"/>
              <w:right w:w="58" w:type="dxa"/>
            </w:tcMar>
            <w:vAlign w:val="center"/>
          </w:tcPr>
          <w:p w:rsidRPr="00AD2FDD" w:rsidR="00D520BD" w:rsidP="00982BD1" w:rsidRDefault="00D520BD" w14:paraId="395611F7" w14:textId="7C77FB25">
            <w:pPr>
              <w:jc w:val="right"/>
              <w:rPr>
                <w:rFonts w:cs="Arial"/>
                <w:b/>
                <w:i/>
                <w:sz w:val="16"/>
                <w:szCs w:val="16"/>
              </w:rPr>
            </w:pPr>
            <w:r w:rsidRPr="00AD2FDD">
              <w:rPr>
                <w:rFonts w:cs="Arial"/>
                <w:sz w:val="16"/>
                <w:szCs w:val="16"/>
              </w:rPr>
              <w:t>($</w:t>
            </w:r>
            <w:r w:rsidRPr="00AD2FDD" w:rsidR="00061F88">
              <w:rPr>
                <w:rFonts w:cs="Arial"/>
                <w:sz w:val="16"/>
                <w:szCs w:val="16"/>
              </w:rPr>
              <w:t>4,584</w:t>
            </w:r>
            <w:r w:rsidRPr="00AD2FDD">
              <w:rPr>
                <w:rFonts w:cs="Arial"/>
                <w:sz w:val="16"/>
                <w:szCs w:val="16"/>
              </w:rPr>
              <w:t>)</w:t>
            </w:r>
          </w:p>
        </w:tc>
      </w:tr>
      <w:tr w:rsidRPr="00AD2FDD" w:rsidR="00D520BD" w:rsidTr="00CA04D8" w14:paraId="25BDC413" w14:textId="77777777">
        <w:tc>
          <w:tcPr>
            <w:tcW w:w="1705" w:type="dxa"/>
            <w:vMerge/>
            <w:tcMar>
              <w:left w:w="58" w:type="dxa"/>
              <w:right w:w="58" w:type="dxa"/>
            </w:tcMar>
            <w:vAlign w:val="center"/>
          </w:tcPr>
          <w:p w:rsidRPr="00AD2FDD" w:rsidR="00D520BD" w:rsidP="00982BD1" w:rsidRDefault="00D520BD" w14:paraId="1EF80E31" w14:textId="77777777">
            <w:pPr>
              <w:rPr>
                <w:rFonts w:cs="Arial"/>
                <w:sz w:val="16"/>
                <w:szCs w:val="16"/>
              </w:rPr>
            </w:pPr>
          </w:p>
        </w:tc>
        <w:tc>
          <w:tcPr>
            <w:tcW w:w="1463" w:type="dxa"/>
            <w:gridSpan w:val="2"/>
            <w:tcMar>
              <w:left w:w="58" w:type="dxa"/>
              <w:right w:w="58" w:type="dxa"/>
            </w:tcMar>
            <w:vAlign w:val="center"/>
          </w:tcPr>
          <w:p w:rsidRPr="00AD2FDD" w:rsidR="00D520BD" w:rsidP="00982BD1" w:rsidRDefault="00D520BD" w14:paraId="2D45270C" w14:textId="77777777">
            <w:pPr>
              <w:rPr>
                <w:rFonts w:cs="Arial"/>
                <w:b/>
                <w:i/>
                <w:sz w:val="16"/>
                <w:szCs w:val="16"/>
              </w:rPr>
            </w:pPr>
            <w:r w:rsidRPr="00AD2FDD">
              <w:rPr>
                <w:rFonts w:cs="Arial"/>
                <w:sz w:val="16"/>
                <w:szCs w:val="16"/>
              </w:rPr>
              <w:t>Clerical</w:t>
            </w:r>
          </w:p>
        </w:tc>
        <w:tc>
          <w:tcPr>
            <w:tcW w:w="1260" w:type="dxa"/>
            <w:shd w:val="clear" w:color="auto" w:fill="FFFFFF" w:themeFill="background1"/>
            <w:tcMar>
              <w:left w:w="58" w:type="dxa"/>
              <w:right w:w="58" w:type="dxa"/>
            </w:tcMar>
            <w:vAlign w:val="center"/>
          </w:tcPr>
          <w:p w:rsidRPr="00AD2FDD" w:rsidR="00D520BD" w:rsidP="00982BD1" w:rsidRDefault="00D520BD" w14:paraId="50F7C882" w14:textId="696E9FE3">
            <w:pPr>
              <w:jc w:val="center"/>
              <w:rPr>
                <w:rFonts w:cs="Arial"/>
                <w:b/>
                <w:i/>
                <w:sz w:val="16"/>
                <w:szCs w:val="16"/>
              </w:rPr>
            </w:pPr>
            <w:r w:rsidRPr="00AD2FDD">
              <w:rPr>
                <w:rFonts w:cs="Arial"/>
                <w:sz w:val="16"/>
                <w:szCs w:val="16"/>
              </w:rPr>
              <w:t>$2</w:t>
            </w:r>
            <w:r w:rsidRPr="00AD2FDD" w:rsidR="00B47611">
              <w:rPr>
                <w:rFonts w:cs="Arial"/>
                <w:sz w:val="16"/>
                <w:szCs w:val="16"/>
              </w:rPr>
              <w:t>3.84</w:t>
            </w:r>
            <w:r w:rsidRPr="00AD2FDD">
              <w:rPr>
                <w:rFonts w:cs="Arial"/>
                <w:sz w:val="16"/>
                <w:szCs w:val="16"/>
              </w:rPr>
              <w:t>/hour</w:t>
            </w:r>
          </w:p>
        </w:tc>
        <w:tc>
          <w:tcPr>
            <w:tcW w:w="1980" w:type="dxa"/>
            <w:gridSpan w:val="2"/>
            <w:shd w:val="clear" w:color="auto" w:fill="FFFFFF" w:themeFill="background1"/>
            <w:tcMar>
              <w:left w:w="58" w:type="dxa"/>
              <w:right w:w="58" w:type="dxa"/>
            </w:tcMar>
            <w:vAlign w:val="center"/>
          </w:tcPr>
          <w:p w:rsidRPr="00AD2FDD" w:rsidR="00D520BD" w:rsidP="00982BD1" w:rsidRDefault="00D520BD" w14:paraId="4CD3F233" w14:textId="4F31F92F">
            <w:pPr>
              <w:jc w:val="center"/>
              <w:rPr>
                <w:rFonts w:cs="Arial"/>
                <w:b/>
                <w:i/>
                <w:sz w:val="16"/>
                <w:szCs w:val="16"/>
              </w:rPr>
            </w:pPr>
            <w:r w:rsidRPr="00AD2FDD">
              <w:rPr>
                <w:rFonts w:cs="Arial"/>
                <w:sz w:val="16"/>
                <w:szCs w:val="16"/>
              </w:rPr>
              <w:t>0.5 hour/program</w:t>
            </w:r>
          </w:p>
        </w:tc>
        <w:tc>
          <w:tcPr>
            <w:tcW w:w="990" w:type="dxa"/>
            <w:gridSpan w:val="2"/>
            <w:shd w:val="clear" w:color="auto" w:fill="FFFFFF" w:themeFill="background1"/>
            <w:tcMar>
              <w:left w:w="58" w:type="dxa"/>
              <w:right w:w="58" w:type="dxa"/>
            </w:tcMar>
            <w:vAlign w:val="center"/>
          </w:tcPr>
          <w:p w:rsidRPr="00AD2FDD" w:rsidR="00D520BD" w:rsidP="00982BD1" w:rsidRDefault="00D520BD" w14:paraId="79FF7999" w14:textId="656041E0">
            <w:pPr>
              <w:jc w:val="right"/>
              <w:rPr>
                <w:rFonts w:cs="Arial"/>
                <w:b/>
                <w:i/>
                <w:sz w:val="16"/>
                <w:szCs w:val="16"/>
              </w:rPr>
            </w:pPr>
            <w:r w:rsidRPr="00AD2FDD">
              <w:rPr>
                <w:rFonts w:cs="Arial"/>
                <w:sz w:val="16"/>
                <w:szCs w:val="16"/>
              </w:rPr>
              <w:t>($1</w:t>
            </w:r>
            <w:r w:rsidRPr="00AD2FDD" w:rsidR="00E9657A">
              <w:rPr>
                <w:rFonts w:cs="Arial"/>
                <w:sz w:val="16"/>
                <w:szCs w:val="16"/>
              </w:rPr>
              <w:t>2</w:t>
            </w:r>
            <w:r w:rsidRPr="00AD2FDD">
              <w:rPr>
                <w:rFonts w:cs="Arial"/>
                <w:sz w:val="16"/>
                <w:szCs w:val="16"/>
              </w:rPr>
              <w:t>)</w:t>
            </w:r>
          </w:p>
        </w:tc>
        <w:tc>
          <w:tcPr>
            <w:tcW w:w="810" w:type="dxa"/>
            <w:shd w:val="clear" w:color="auto" w:fill="FFFFFF" w:themeFill="background1"/>
            <w:tcMar>
              <w:left w:w="58" w:type="dxa"/>
              <w:right w:w="58" w:type="dxa"/>
            </w:tcMar>
            <w:vAlign w:val="center"/>
          </w:tcPr>
          <w:p w:rsidRPr="00AD2FDD" w:rsidR="00D520BD" w:rsidP="00982BD1" w:rsidRDefault="00D520BD" w14:paraId="58E8D213" w14:textId="489AA1C6">
            <w:pPr>
              <w:jc w:val="right"/>
              <w:rPr>
                <w:rFonts w:cs="Arial"/>
                <w:b/>
                <w:i/>
                <w:sz w:val="16"/>
                <w:szCs w:val="16"/>
              </w:rPr>
            </w:pPr>
            <w:r w:rsidRPr="00AD2FDD">
              <w:rPr>
                <w:rFonts w:cs="Arial"/>
                <w:sz w:val="16"/>
                <w:szCs w:val="16"/>
              </w:rPr>
              <w:t>2</w:t>
            </w:r>
            <w:r w:rsidRPr="00AD2FDD" w:rsidR="00736505">
              <w:rPr>
                <w:rFonts w:cs="Arial"/>
                <w:sz w:val="16"/>
                <w:szCs w:val="16"/>
              </w:rPr>
              <w:t>4</w:t>
            </w:r>
          </w:p>
        </w:tc>
        <w:tc>
          <w:tcPr>
            <w:tcW w:w="1260" w:type="dxa"/>
            <w:gridSpan w:val="2"/>
            <w:shd w:val="clear" w:color="auto" w:fill="FFFFFF" w:themeFill="background1"/>
            <w:tcMar>
              <w:left w:w="58" w:type="dxa"/>
              <w:right w:w="58" w:type="dxa"/>
            </w:tcMar>
            <w:vAlign w:val="center"/>
          </w:tcPr>
          <w:p w:rsidRPr="00AD2FDD" w:rsidR="00D520BD" w:rsidP="00982BD1" w:rsidRDefault="00D520BD" w14:paraId="76D00787" w14:textId="5063077D">
            <w:pPr>
              <w:jc w:val="right"/>
              <w:rPr>
                <w:rFonts w:cs="Arial"/>
                <w:b/>
                <w:i/>
                <w:sz w:val="16"/>
                <w:szCs w:val="16"/>
              </w:rPr>
            </w:pPr>
            <w:r w:rsidRPr="00AD2FDD">
              <w:rPr>
                <w:rFonts w:cs="Arial"/>
                <w:sz w:val="16"/>
                <w:szCs w:val="16"/>
              </w:rPr>
              <w:t>($2</w:t>
            </w:r>
            <w:r w:rsidRPr="00AD2FDD" w:rsidR="00736505">
              <w:rPr>
                <w:rFonts w:cs="Arial"/>
                <w:sz w:val="16"/>
                <w:szCs w:val="16"/>
              </w:rPr>
              <w:t>88</w:t>
            </w:r>
            <w:r w:rsidRPr="00AD2FDD">
              <w:rPr>
                <w:rFonts w:cs="Arial"/>
                <w:sz w:val="16"/>
                <w:szCs w:val="16"/>
              </w:rPr>
              <w:t>)</w:t>
            </w:r>
          </w:p>
        </w:tc>
      </w:tr>
      <w:tr w:rsidRPr="00AD2FDD" w:rsidR="00D520BD" w:rsidTr="00CA04D8" w14:paraId="3AF67191" w14:textId="77777777">
        <w:tc>
          <w:tcPr>
            <w:tcW w:w="1705" w:type="dxa"/>
            <w:vMerge/>
            <w:tcMar>
              <w:left w:w="58" w:type="dxa"/>
              <w:right w:w="58" w:type="dxa"/>
            </w:tcMar>
            <w:vAlign w:val="center"/>
          </w:tcPr>
          <w:p w:rsidRPr="00AD2FDD" w:rsidR="00D520BD" w:rsidP="00982BD1" w:rsidRDefault="00D520BD" w14:paraId="7C17D475" w14:textId="77777777">
            <w:pPr>
              <w:rPr>
                <w:rFonts w:cs="Arial"/>
                <w:sz w:val="16"/>
                <w:szCs w:val="16"/>
              </w:rPr>
            </w:pPr>
          </w:p>
        </w:tc>
        <w:tc>
          <w:tcPr>
            <w:tcW w:w="1463" w:type="dxa"/>
            <w:gridSpan w:val="2"/>
            <w:tcMar>
              <w:left w:w="58" w:type="dxa"/>
              <w:right w:w="58" w:type="dxa"/>
            </w:tcMar>
            <w:vAlign w:val="center"/>
          </w:tcPr>
          <w:p w:rsidRPr="00AD2FDD" w:rsidR="00D520BD" w:rsidP="00982BD1" w:rsidRDefault="00D520BD" w14:paraId="393E7840" w14:textId="77777777">
            <w:pPr>
              <w:rPr>
                <w:rFonts w:cs="Arial"/>
                <w:b/>
                <w:i/>
                <w:sz w:val="16"/>
                <w:szCs w:val="16"/>
              </w:rPr>
            </w:pPr>
            <w:r w:rsidRPr="00AD2FDD">
              <w:rPr>
                <w:rFonts w:cs="Arial"/>
                <w:sz w:val="16"/>
                <w:szCs w:val="16"/>
              </w:rPr>
              <w:t>Legal</w:t>
            </w:r>
          </w:p>
        </w:tc>
        <w:tc>
          <w:tcPr>
            <w:tcW w:w="1260" w:type="dxa"/>
            <w:shd w:val="clear" w:color="auto" w:fill="FFFFFF" w:themeFill="background1"/>
            <w:tcMar>
              <w:left w:w="58" w:type="dxa"/>
              <w:right w:w="58" w:type="dxa"/>
            </w:tcMar>
            <w:vAlign w:val="center"/>
          </w:tcPr>
          <w:p w:rsidRPr="00AD2FDD" w:rsidR="00D520BD" w:rsidP="00982BD1" w:rsidRDefault="00D520BD" w14:paraId="2C9810E2" w14:textId="62A12626">
            <w:pPr>
              <w:jc w:val="center"/>
              <w:rPr>
                <w:rFonts w:cs="Arial"/>
                <w:b/>
                <w:i/>
                <w:sz w:val="16"/>
                <w:szCs w:val="16"/>
              </w:rPr>
            </w:pPr>
            <w:r w:rsidRPr="00AD2FDD">
              <w:rPr>
                <w:rFonts w:cs="Arial"/>
                <w:sz w:val="16"/>
                <w:szCs w:val="16"/>
              </w:rPr>
              <w:t>$1</w:t>
            </w:r>
            <w:r w:rsidRPr="00AD2FDD" w:rsidR="00B47611">
              <w:rPr>
                <w:rFonts w:cs="Arial"/>
                <w:sz w:val="16"/>
                <w:szCs w:val="16"/>
              </w:rPr>
              <w:t>37.32</w:t>
            </w:r>
            <w:r w:rsidRPr="00AD2FDD">
              <w:rPr>
                <w:rFonts w:cs="Arial"/>
                <w:sz w:val="16"/>
                <w:szCs w:val="16"/>
              </w:rPr>
              <w:t>/hour</w:t>
            </w:r>
          </w:p>
        </w:tc>
        <w:tc>
          <w:tcPr>
            <w:tcW w:w="1980" w:type="dxa"/>
            <w:gridSpan w:val="2"/>
            <w:shd w:val="clear" w:color="auto" w:fill="FFFFFF" w:themeFill="background1"/>
            <w:tcMar>
              <w:left w:w="58" w:type="dxa"/>
              <w:right w:w="58" w:type="dxa"/>
            </w:tcMar>
            <w:vAlign w:val="center"/>
          </w:tcPr>
          <w:p w:rsidRPr="00AD2FDD" w:rsidR="00D520BD" w:rsidP="00982BD1" w:rsidRDefault="00D520BD" w14:paraId="60CC7B93" w14:textId="4B3152DF">
            <w:pPr>
              <w:jc w:val="center"/>
              <w:rPr>
                <w:rFonts w:cs="Arial"/>
                <w:b/>
                <w:i/>
                <w:sz w:val="16"/>
                <w:szCs w:val="16"/>
              </w:rPr>
            </w:pPr>
            <w:r w:rsidRPr="00AD2FDD">
              <w:rPr>
                <w:rFonts w:cs="Arial"/>
                <w:sz w:val="16"/>
                <w:szCs w:val="16"/>
              </w:rPr>
              <w:t>0.5 hour/program</w:t>
            </w:r>
          </w:p>
        </w:tc>
        <w:tc>
          <w:tcPr>
            <w:tcW w:w="990" w:type="dxa"/>
            <w:gridSpan w:val="2"/>
            <w:shd w:val="clear" w:color="auto" w:fill="FFFFFF" w:themeFill="background1"/>
            <w:tcMar>
              <w:left w:w="58" w:type="dxa"/>
              <w:right w:w="58" w:type="dxa"/>
            </w:tcMar>
            <w:vAlign w:val="center"/>
          </w:tcPr>
          <w:p w:rsidRPr="00AD2FDD" w:rsidR="00D520BD" w:rsidP="00982BD1" w:rsidRDefault="00D520BD" w14:paraId="1FADAF90" w14:textId="0804C4E7">
            <w:pPr>
              <w:jc w:val="right"/>
              <w:rPr>
                <w:rFonts w:cs="Arial"/>
                <w:b/>
                <w:i/>
                <w:sz w:val="16"/>
                <w:szCs w:val="16"/>
              </w:rPr>
            </w:pPr>
            <w:r w:rsidRPr="00AD2FDD">
              <w:rPr>
                <w:rFonts w:cs="Arial"/>
                <w:sz w:val="16"/>
                <w:szCs w:val="16"/>
              </w:rPr>
              <w:t>($6</w:t>
            </w:r>
            <w:r w:rsidRPr="00AD2FDD" w:rsidR="00E9657A">
              <w:rPr>
                <w:rFonts w:cs="Arial"/>
                <w:sz w:val="16"/>
                <w:szCs w:val="16"/>
              </w:rPr>
              <w:t>9</w:t>
            </w:r>
            <w:r w:rsidRPr="00AD2FDD">
              <w:rPr>
                <w:rFonts w:cs="Arial"/>
                <w:sz w:val="16"/>
                <w:szCs w:val="16"/>
              </w:rPr>
              <w:t>)</w:t>
            </w:r>
          </w:p>
        </w:tc>
        <w:tc>
          <w:tcPr>
            <w:tcW w:w="810" w:type="dxa"/>
            <w:shd w:val="clear" w:color="auto" w:fill="FFFFFF" w:themeFill="background1"/>
            <w:tcMar>
              <w:left w:w="58" w:type="dxa"/>
              <w:right w:w="58" w:type="dxa"/>
            </w:tcMar>
            <w:vAlign w:val="center"/>
          </w:tcPr>
          <w:p w:rsidRPr="00AD2FDD" w:rsidR="00D520BD" w:rsidP="00982BD1" w:rsidRDefault="00D520BD" w14:paraId="6534F623" w14:textId="14241FC8">
            <w:pPr>
              <w:jc w:val="right"/>
              <w:rPr>
                <w:rFonts w:cs="Arial"/>
                <w:b/>
                <w:i/>
                <w:sz w:val="16"/>
                <w:szCs w:val="16"/>
              </w:rPr>
            </w:pPr>
            <w:r w:rsidRPr="00AD2FDD">
              <w:rPr>
                <w:rFonts w:cs="Arial"/>
                <w:sz w:val="16"/>
                <w:szCs w:val="16"/>
              </w:rPr>
              <w:t>2</w:t>
            </w:r>
            <w:r w:rsidRPr="00AD2FDD" w:rsidR="00736505">
              <w:rPr>
                <w:rFonts w:cs="Arial"/>
                <w:sz w:val="16"/>
                <w:szCs w:val="16"/>
              </w:rPr>
              <w:t>4</w:t>
            </w:r>
          </w:p>
        </w:tc>
        <w:tc>
          <w:tcPr>
            <w:tcW w:w="1260" w:type="dxa"/>
            <w:gridSpan w:val="2"/>
            <w:shd w:val="clear" w:color="auto" w:fill="FFFFFF" w:themeFill="background1"/>
            <w:tcMar>
              <w:left w:w="58" w:type="dxa"/>
              <w:right w:w="58" w:type="dxa"/>
            </w:tcMar>
            <w:vAlign w:val="center"/>
          </w:tcPr>
          <w:p w:rsidRPr="00AD2FDD" w:rsidR="00D520BD" w:rsidP="00982BD1" w:rsidRDefault="00D520BD" w14:paraId="3BD379DA" w14:textId="06FEA550">
            <w:pPr>
              <w:jc w:val="right"/>
              <w:rPr>
                <w:rFonts w:cs="Arial"/>
                <w:b/>
                <w:i/>
                <w:sz w:val="16"/>
                <w:szCs w:val="16"/>
              </w:rPr>
            </w:pPr>
            <w:r w:rsidRPr="00AD2FDD">
              <w:rPr>
                <w:rFonts w:cs="Arial"/>
                <w:sz w:val="16"/>
                <w:szCs w:val="16"/>
              </w:rPr>
              <w:t>($1</w:t>
            </w:r>
            <w:r w:rsidRPr="00AD2FDD" w:rsidR="00646A79">
              <w:rPr>
                <w:rFonts w:cs="Arial"/>
                <w:sz w:val="16"/>
                <w:szCs w:val="16"/>
              </w:rPr>
              <w:t>,</w:t>
            </w:r>
            <w:r w:rsidRPr="00AD2FDD">
              <w:rPr>
                <w:rFonts w:cs="Arial"/>
                <w:sz w:val="16"/>
                <w:szCs w:val="16"/>
              </w:rPr>
              <w:t>6</w:t>
            </w:r>
            <w:r w:rsidRPr="00AD2FDD" w:rsidR="00736505">
              <w:rPr>
                <w:rFonts w:cs="Arial"/>
                <w:sz w:val="16"/>
                <w:szCs w:val="16"/>
              </w:rPr>
              <w:t>56</w:t>
            </w:r>
            <w:r w:rsidRPr="00AD2FDD">
              <w:rPr>
                <w:rFonts w:cs="Arial"/>
                <w:sz w:val="16"/>
                <w:szCs w:val="16"/>
              </w:rPr>
              <w:t>)</w:t>
            </w:r>
          </w:p>
        </w:tc>
      </w:tr>
      <w:tr w:rsidRPr="00AD2FDD" w:rsidR="00D520BD" w:rsidTr="00CA04D8" w14:paraId="3D24AD01" w14:textId="77777777">
        <w:tc>
          <w:tcPr>
            <w:tcW w:w="1705" w:type="dxa"/>
            <w:vMerge/>
            <w:tcMar>
              <w:left w:w="58" w:type="dxa"/>
              <w:right w:w="58" w:type="dxa"/>
            </w:tcMar>
            <w:vAlign w:val="center"/>
          </w:tcPr>
          <w:p w:rsidRPr="00AD2FDD" w:rsidR="00D520BD" w:rsidP="00982BD1" w:rsidRDefault="00D520BD" w14:paraId="1B6FAB8F" w14:textId="77777777">
            <w:pPr>
              <w:rPr>
                <w:rFonts w:cs="Arial"/>
                <w:sz w:val="16"/>
                <w:szCs w:val="16"/>
              </w:rPr>
            </w:pPr>
          </w:p>
        </w:tc>
        <w:tc>
          <w:tcPr>
            <w:tcW w:w="1463" w:type="dxa"/>
            <w:gridSpan w:val="2"/>
            <w:tcBorders>
              <w:bottom w:val="single" w:color="auto" w:sz="4" w:space="0"/>
            </w:tcBorders>
            <w:tcMar>
              <w:left w:w="58" w:type="dxa"/>
              <w:right w:w="58" w:type="dxa"/>
            </w:tcMar>
            <w:vAlign w:val="center"/>
          </w:tcPr>
          <w:p w:rsidRPr="00AD2FDD" w:rsidR="00D520BD" w:rsidP="00982BD1" w:rsidRDefault="00D520BD" w14:paraId="2615454C" w14:textId="77777777">
            <w:pPr>
              <w:rPr>
                <w:rFonts w:cs="Arial"/>
                <w:b/>
                <w:i/>
                <w:sz w:val="16"/>
                <w:szCs w:val="16"/>
              </w:rPr>
            </w:pPr>
            <w:r w:rsidRPr="00AD2FDD">
              <w:rPr>
                <w:rFonts w:cs="Arial"/>
                <w:sz w:val="16"/>
                <w:szCs w:val="16"/>
              </w:rPr>
              <w:t>Facility Worker</w:t>
            </w:r>
          </w:p>
        </w:tc>
        <w:tc>
          <w:tcPr>
            <w:tcW w:w="1260" w:type="dxa"/>
            <w:tcBorders>
              <w:bottom w:val="single" w:color="auto" w:sz="4" w:space="0"/>
            </w:tcBorders>
            <w:shd w:val="clear" w:color="auto" w:fill="FFFFFF" w:themeFill="background1"/>
            <w:tcMar>
              <w:left w:w="58" w:type="dxa"/>
              <w:right w:w="58" w:type="dxa"/>
            </w:tcMar>
            <w:vAlign w:val="center"/>
          </w:tcPr>
          <w:p w:rsidRPr="00AD2FDD" w:rsidR="00D520BD" w:rsidP="00982BD1" w:rsidRDefault="00D520BD" w14:paraId="19103EDE" w14:textId="2ACD2C9D">
            <w:pPr>
              <w:jc w:val="center"/>
              <w:rPr>
                <w:rFonts w:cs="Arial"/>
                <w:b/>
                <w:i/>
                <w:sz w:val="16"/>
                <w:szCs w:val="16"/>
              </w:rPr>
            </w:pPr>
            <w:r w:rsidRPr="00AD2FDD">
              <w:rPr>
                <w:rFonts w:cs="Arial"/>
                <w:sz w:val="16"/>
                <w:szCs w:val="16"/>
              </w:rPr>
              <w:t>$</w:t>
            </w:r>
            <w:r w:rsidRPr="00AD2FDD" w:rsidR="00B47611">
              <w:rPr>
                <w:rFonts w:cs="Arial"/>
                <w:sz w:val="16"/>
                <w:szCs w:val="16"/>
              </w:rPr>
              <w:t>70.65</w:t>
            </w:r>
            <w:r w:rsidRPr="00AD2FDD">
              <w:rPr>
                <w:rFonts w:cs="Arial"/>
                <w:sz w:val="16"/>
                <w:szCs w:val="16"/>
              </w:rPr>
              <w:t>/hour</w:t>
            </w:r>
          </w:p>
        </w:tc>
        <w:tc>
          <w:tcPr>
            <w:tcW w:w="1980" w:type="dxa"/>
            <w:gridSpan w:val="2"/>
            <w:tcBorders>
              <w:bottom w:val="single" w:color="auto" w:sz="4" w:space="0"/>
            </w:tcBorders>
            <w:shd w:val="clear" w:color="auto" w:fill="FFFFFF" w:themeFill="background1"/>
            <w:tcMar>
              <w:left w:w="58" w:type="dxa"/>
              <w:right w:w="58" w:type="dxa"/>
            </w:tcMar>
            <w:vAlign w:val="center"/>
          </w:tcPr>
          <w:p w:rsidRPr="00AD2FDD" w:rsidR="00D520BD" w:rsidP="00982BD1" w:rsidRDefault="00D520BD" w14:paraId="1F487E5A" w14:textId="3E4503D6">
            <w:pPr>
              <w:jc w:val="center"/>
              <w:rPr>
                <w:rFonts w:cs="Arial"/>
                <w:b/>
                <w:i/>
                <w:sz w:val="16"/>
                <w:szCs w:val="16"/>
              </w:rPr>
            </w:pPr>
            <w:r w:rsidRPr="00AD2FDD">
              <w:rPr>
                <w:rFonts w:cs="Arial"/>
                <w:sz w:val="16"/>
                <w:szCs w:val="16"/>
              </w:rPr>
              <w:t>0.2 hour/worker and 1</w:t>
            </w:r>
            <w:r w:rsidRPr="00AD2FDD" w:rsidR="00646A79">
              <w:rPr>
                <w:rFonts w:cs="Arial"/>
                <w:sz w:val="16"/>
                <w:szCs w:val="16"/>
              </w:rPr>
              <w:t>,</w:t>
            </w:r>
            <w:r w:rsidRPr="00AD2FDD" w:rsidR="0006769C">
              <w:rPr>
                <w:rFonts w:cs="Arial"/>
                <w:sz w:val="16"/>
                <w:szCs w:val="16"/>
              </w:rPr>
              <w:t xml:space="preserve">565 </w:t>
            </w:r>
            <w:r w:rsidRPr="00AD2FDD">
              <w:rPr>
                <w:rFonts w:cs="Arial"/>
                <w:sz w:val="16"/>
                <w:szCs w:val="16"/>
              </w:rPr>
              <w:t>workers per site</w:t>
            </w:r>
          </w:p>
        </w:tc>
        <w:tc>
          <w:tcPr>
            <w:tcW w:w="990" w:type="dxa"/>
            <w:gridSpan w:val="2"/>
            <w:tcBorders>
              <w:bottom w:val="single" w:color="auto" w:sz="4" w:space="0"/>
            </w:tcBorders>
            <w:shd w:val="clear" w:color="auto" w:fill="FFFFFF" w:themeFill="background1"/>
            <w:tcMar>
              <w:left w:w="58" w:type="dxa"/>
              <w:right w:w="58" w:type="dxa"/>
            </w:tcMar>
            <w:vAlign w:val="center"/>
          </w:tcPr>
          <w:p w:rsidRPr="00AD2FDD" w:rsidR="00D520BD" w:rsidP="00982BD1" w:rsidRDefault="00D520BD" w14:paraId="3B2402E9" w14:textId="52CDF74E">
            <w:pPr>
              <w:jc w:val="right"/>
              <w:rPr>
                <w:rFonts w:cs="Arial"/>
                <w:b/>
                <w:i/>
                <w:sz w:val="16"/>
                <w:szCs w:val="16"/>
              </w:rPr>
            </w:pPr>
            <w:r w:rsidRPr="00AD2FDD">
              <w:rPr>
                <w:rFonts w:cs="Arial"/>
                <w:sz w:val="16"/>
                <w:szCs w:val="16"/>
              </w:rPr>
              <w:t>($2</w:t>
            </w:r>
            <w:r w:rsidRPr="00AD2FDD" w:rsidR="00E9657A">
              <w:rPr>
                <w:rFonts w:cs="Arial"/>
                <w:sz w:val="16"/>
                <w:szCs w:val="16"/>
              </w:rPr>
              <w:t>2,115</w:t>
            </w:r>
            <w:r w:rsidRPr="00AD2FDD">
              <w:rPr>
                <w:rFonts w:cs="Arial"/>
                <w:sz w:val="16"/>
                <w:szCs w:val="16"/>
              </w:rPr>
              <w:t>)</w:t>
            </w:r>
          </w:p>
        </w:tc>
        <w:tc>
          <w:tcPr>
            <w:tcW w:w="810" w:type="dxa"/>
            <w:tcBorders>
              <w:bottom w:val="single" w:color="auto" w:sz="4" w:space="0"/>
            </w:tcBorders>
            <w:shd w:val="clear" w:color="auto" w:fill="FFFFFF" w:themeFill="background1"/>
            <w:tcMar>
              <w:left w:w="58" w:type="dxa"/>
              <w:right w:w="58" w:type="dxa"/>
            </w:tcMar>
            <w:vAlign w:val="center"/>
          </w:tcPr>
          <w:p w:rsidRPr="00AD2FDD" w:rsidR="00D520BD" w:rsidP="00982BD1" w:rsidRDefault="00DE5B43" w14:paraId="6F9071AB" w14:textId="3DBB8D21">
            <w:pPr>
              <w:jc w:val="right"/>
              <w:rPr>
                <w:rFonts w:cs="Arial"/>
                <w:b/>
                <w:i/>
                <w:sz w:val="16"/>
                <w:szCs w:val="16"/>
              </w:rPr>
            </w:pPr>
            <w:r w:rsidRPr="00AD2FDD">
              <w:rPr>
                <w:rFonts w:cs="Arial"/>
                <w:sz w:val="16"/>
                <w:szCs w:val="16"/>
              </w:rPr>
              <w:t>3</w:t>
            </w:r>
          </w:p>
        </w:tc>
        <w:tc>
          <w:tcPr>
            <w:tcW w:w="1260" w:type="dxa"/>
            <w:gridSpan w:val="2"/>
            <w:tcBorders>
              <w:bottom w:val="single" w:color="auto" w:sz="4" w:space="0"/>
            </w:tcBorders>
            <w:shd w:val="clear" w:color="auto" w:fill="FFFFFF" w:themeFill="background1"/>
            <w:tcMar>
              <w:left w:w="58" w:type="dxa"/>
              <w:right w:w="58" w:type="dxa"/>
            </w:tcMar>
            <w:vAlign w:val="center"/>
          </w:tcPr>
          <w:p w:rsidRPr="00AD2FDD" w:rsidR="00D520BD" w:rsidP="00982BD1" w:rsidRDefault="00D520BD" w14:paraId="1365A2D6" w14:textId="5F21F4B7">
            <w:pPr>
              <w:jc w:val="right"/>
              <w:rPr>
                <w:rFonts w:cs="Arial"/>
                <w:b/>
                <w:i/>
                <w:sz w:val="16"/>
                <w:szCs w:val="16"/>
              </w:rPr>
            </w:pPr>
            <w:r w:rsidRPr="00317438">
              <w:rPr>
                <w:rFonts w:eastAsia="Arial"/>
                <w:sz w:val="16"/>
              </w:rPr>
              <w:t>($</w:t>
            </w:r>
            <w:r w:rsidRPr="00317438" w:rsidR="00DE5B43">
              <w:rPr>
                <w:rFonts w:eastAsia="Arial"/>
                <w:sz w:val="16"/>
              </w:rPr>
              <w:t>66,345</w:t>
            </w:r>
            <w:r w:rsidRPr="00AD2FDD">
              <w:rPr>
                <w:rFonts w:eastAsia="Arial" w:cs="Arial"/>
                <w:sz w:val="16"/>
                <w:szCs w:val="16"/>
              </w:rPr>
              <w:t>)</w:t>
            </w:r>
          </w:p>
        </w:tc>
      </w:tr>
      <w:tr w:rsidRPr="00AD2FDD" w:rsidR="00644F09" w:rsidTr="00CA04D8" w14:paraId="46EC4A7F" w14:textId="77777777">
        <w:tc>
          <w:tcPr>
            <w:tcW w:w="1705" w:type="dxa"/>
            <w:vMerge w:val="restart"/>
            <w:tcMar>
              <w:left w:w="58" w:type="dxa"/>
              <w:right w:w="58" w:type="dxa"/>
            </w:tcMar>
            <w:vAlign w:val="center"/>
          </w:tcPr>
          <w:p w:rsidRPr="00AD2FDD" w:rsidR="00644F09" w:rsidP="00DC37BA" w:rsidRDefault="00644F09" w14:paraId="068603BA" w14:textId="6DA750F8">
            <w:pPr>
              <w:rPr>
                <w:rFonts w:cs="Arial"/>
                <w:sz w:val="16"/>
                <w:szCs w:val="16"/>
              </w:rPr>
            </w:pPr>
            <w:r w:rsidRPr="00AD2FDD">
              <w:rPr>
                <w:rFonts w:cs="Arial"/>
                <w:sz w:val="16"/>
                <w:szCs w:val="16"/>
              </w:rPr>
              <w:t>(3) Revise contract with primary HHS-certified laboratory</w:t>
            </w:r>
          </w:p>
        </w:tc>
        <w:tc>
          <w:tcPr>
            <w:tcW w:w="1463" w:type="dxa"/>
            <w:gridSpan w:val="2"/>
            <w:shd w:val="clear" w:color="auto" w:fill="FFFFFF" w:themeFill="background1"/>
            <w:tcMar>
              <w:left w:w="58" w:type="dxa"/>
              <w:right w:w="58" w:type="dxa"/>
            </w:tcMar>
            <w:vAlign w:val="center"/>
          </w:tcPr>
          <w:p w:rsidRPr="00AD2FDD" w:rsidR="00644F09" w:rsidP="00DC37BA" w:rsidRDefault="00644F09" w14:paraId="5E49BD00" w14:textId="77777777">
            <w:pPr>
              <w:rPr>
                <w:rFonts w:cs="Arial"/>
                <w:b/>
                <w:i/>
                <w:sz w:val="16"/>
                <w:szCs w:val="16"/>
              </w:rPr>
            </w:pPr>
            <w:r w:rsidRPr="00AD2FDD">
              <w:rPr>
                <w:rFonts w:cs="Arial"/>
                <w:sz w:val="16"/>
                <w:szCs w:val="16"/>
              </w:rPr>
              <w:t>FFD Manager</w:t>
            </w:r>
          </w:p>
        </w:tc>
        <w:tc>
          <w:tcPr>
            <w:tcW w:w="1260" w:type="dxa"/>
            <w:shd w:val="clear" w:color="auto" w:fill="FFFFFF" w:themeFill="background1"/>
            <w:tcMar>
              <w:left w:w="58" w:type="dxa"/>
              <w:right w:w="58" w:type="dxa"/>
            </w:tcMar>
            <w:vAlign w:val="center"/>
          </w:tcPr>
          <w:p w:rsidRPr="00AD2FDD" w:rsidR="00644F09" w:rsidP="00DC37BA" w:rsidRDefault="00644F09" w14:paraId="4DE49F50" w14:textId="67943C7C">
            <w:pPr>
              <w:jc w:val="center"/>
              <w:rPr>
                <w:rFonts w:cs="Arial"/>
                <w:b/>
                <w:i/>
                <w:sz w:val="16"/>
                <w:szCs w:val="16"/>
              </w:rPr>
            </w:pPr>
            <w:r w:rsidRPr="00AD2FDD">
              <w:rPr>
                <w:rFonts w:cs="Arial"/>
                <w:sz w:val="16"/>
                <w:szCs w:val="16"/>
              </w:rPr>
              <w:t>$47.79/hour</w:t>
            </w:r>
          </w:p>
        </w:tc>
        <w:tc>
          <w:tcPr>
            <w:tcW w:w="1980" w:type="dxa"/>
            <w:gridSpan w:val="2"/>
            <w:shd w:val="clear" w:color="auto" w:fill="FFFFFF" w:themeFill="background1"/>
            <w:tcMar>
              <w:left w:w="58" w:type="dxa"/>
              <w:right w:w="58" w:type="dxa"/>
            </w:tcMar>
            <w:vAlign w:val="center"/>
          </w:tcPr>
          <w:p w:rsidRPr="00AD2FDD" w:rsidR="00644F09" w:rsidP="00DC37BA" w:rsidRDefault="00644F09" w14:paraId="56C092A2" w14:textId="702718E1">
            <w:pPr>
              <w:jc w:val="center"/>
              <w:rPr>
                <w:rFonts w:cs="Arial"/>
                <w:b/>
                <w:i/>
                <w:sz w:val="16"/>
                <w:szCs w:val="16"/>
              </w:rPr>
            </w:pPr>
            <w:r w:rsidRPr="00AD2FDD">
              <w:rPr>
                <w:rFonts w:cs="Arial"/>
                <w:sz w:val="16"/>
                <w:szCs w:val="16"/>
              </w:rPr>
              <w:t>4 hours/program</w:t>
            </w:r>
          </w:p>
        </w:tc>
        <w:tc>
          <w:tcPr>
            <w:tcW w:w="990" w:type="dxa"/>
            <w:gridSpan w:val="2"/>
            <w:shd w:val="clear" w:color="auto" w:fill="FFFFFF" w:themeFill="background1"/>
            <w:tcMar>
              <w:left w:w="58" w:type="dxa"/>
              <w:right w:w="58" w:type="dxa"/>
            </w:tcMar>
            <w:vAlign w:val="center"/>
          </w:tcPr>
          <w:p w:rsidRPr="00AD2FDD" w:rsidR="00644F09" w:rsidP="00DC37BA" w:rsidRDefault="00644F09" w14:paraId="34C63123" w14:textId="26F25FD5">
            <w:pPr>
              <w:jc w:val="right"/>
              <w:rPr>
                <w:rFonts w:cs="Arial"/>
                <w:b/>
                <w:i/>
                <w:sz w:val="16"/>
                <w:szCs w:val="16"/>
              </w:rPr>
            </w:pPr>
            <w:r w:rsidRPr="00AD2FDD">
              <w:rPr>
                <w:rFonts w:cs="Arial"/>
                <w:sz w:val="16"/>
                <w:szCs w:val="16"/>
              </w:rPr>
              <w:t>($</w:t>
            </w:r>
            <w:r w:rsidRPr="00AD2FDD" w:rsidR="00BC2D9A">
              <w:rPr>
                <w:rFonts w:cs="Arial"/>
                <w:sz w:val="16"/>
                <w:szCs w:val="16"/>
              </w:rPr>
              <w:t>191</w:t>
            </w:r>
            <w:r w:rsidRPr="00AD2FDD">
              <w:rPr>
                <w:rFonts w:cs="Arial"/>
                <w:sz w:val="16"/>
                <w:szCs w:val="16"/>
              </w:rPr>
              <w:t>)</w:t>
            </w:r>
          </w:p>
        </w:tc>
        <w:tc>
          <w:tcPr>
            <w:tcW w:w="810" w:type="dxa"/>
            <w:shd w:val="clear" w:color="auto" w:fill="FFFFFF" w:themeFill="background1"/>
            <w:tcMar>
              <w:left w:w="58" w:type="dxa"/>
              <w:right w:w="58" w:type="dxa"/>
            </w:tcMar>
            <w:vAlign w:val="center"/>
          </w:tcPr>
          <w:p w:rsidRPr="00AD2FDD" w:rsidR="00644F09" w:rsidP="00DC37BA" w:rsidRDefault="00644F09" w14:paraId="3257CEDA" w14:textId="0DD6E7A5">
            <w:pPr>
              <w:jc w:val="right"/>
              <w:rPr>
                <w:rFonts w:cs="Arial"/>
                <w:b/>
                <w:i/>
                <w:sz w:val="16"/>
                <w:szCs w:val="16"/>
              </w:rPr>
            </w:pPr>
            <w:r w:rsidRPr="00AD2FDD">
              <w:rPr>
                <w:rFonts w:cs="Arial"/>
                <w:sz w:val="16"/>
                <w:szCs w:val="16"/>
              </w:rPr>
              <w:t>24</w:t>
            </w:r>
          </w:p>
        </w:tc>
        <w:tc>
          <w:tcPr>
            <w:tcW w:w="1260" w:type="dxa"/>
            <w:gridSpan w:val="2"/>
            <w:shd w:val="clear" w:color="auto" w:fill="FFFFFF" w:themeFill="background1"/>
            <w:tcMar>
              <w:left w:w="58" w:type="dxa"/>
              <w:right w:w="58" w:type="dxa"/>
            </w:tcMar>
            <w:vAlign w:val="center"/>
          </w:tcPr>
          <w:p w:rsidRPr="00AD2FDD" w:rsidR="00644F09" w:rsidP="00DC37BA" w:rsidRDefault="00644F09" w14:paraId="6DA75171" w14:textId="037F6F9C">
            <w:pPr>
              <w:jc w:val="right"/>
              <w:rPr>
                <w:rFonts w:cs="Arial"/>
                <w:b/>
                <w:i/>
                <w:sz w:val="16"/>
                <w:szCs w:val="16"/>
              </w:rPr>
            </w:pPr>
            <w:r w:rsidRPr="00AD2FDD">
              <w:rPr>
                <w:rFonts w:cs="Arial"/>
                <w:sz w:val="16"/>
                <w:szCs w:val="16"/>
              </w:rPr>
              <w:t>($</w:t>
            </w:r>
            <w:r w:rsidRPr="00AD2FDD" w:rsidR="00A23312">
              <w:rPr>
                <w:rFonts w:cs="Arial"/>
                <w:sz w:val="16"/>
                <w:szCs w:val="16"/>
              </w:rPr>
              <w:t>4,584</w:t>
            </w:r>
            <w:r w:rsidRPr="00AD2FDD">
              <w:rPr>
                <w:rFonts w:cs="Arial"/>
                <w:sz w:val="16"/>
                <w:szCs w:val="16"/>
              </w:rPr>
              <w:t>)</w:t>
            </w:r>
          </w:p>
        </w:tc>
      </w:tr>
      <w:tr w:rsidRPr="00AD2FDD" w:rsidR="00644F09" w:rsidTr="00CA04D8" w14:paraId="42647B14" w14:textId="77777777">
        <w:tc>
          <w:tcPr>
            <w:tcW w:w="1705" w:type="dxa"/>
            <w:vMerge/>
            <w:tcMar>
              <w:left w:w="58" w:type="dxa"/>
              <w:right w:w="58" w:type="dxa"/>
            </w:tcMar>
            <w:vAlign w:val="center"/>
          </w:tcPr>
          <w:p w:rsidRPr="00AD2FDD" w:rsidR="00644F09" w:rsidP="00DC37BA" w:rsidRDefault="00644F09" w14:paraId="3B400EA6" w14:textId="77777777">
            <w:pPr>
              <w:rPr>
                <w:rFonts w:cs="Arial"/>
                <w:sz w:val="16"/>
                <w:szCs w:val="16"/>
              </w:rPr>
            </w:pPr>
          </w:p>
        </w:tc>
        <w:tc>
          <w:tcPr>
            <w:tcW w:w="1463" w:type="dxa"/>
            <w:gridSpan w:val="2"/>
            <w:shd w:val="clear" w:color="auto" w:fill="FFFFFF" w:themeFill="background1"/>
            <w:tcMar>
              <w:left w:w="58" w:type="dxa"/>
              <w:right w:w="58" w:type="dxa"/>
            </w:tcMar>
            <w:vAlign w:val="center"/>
          </w:tcPr>
          <w:p w:rsidRPr="00AD2FDD" w:rsidR="00644F09" w:rsidP="00DC37BA" w:rsidRDefault="00644F09" w14:paraId="237ED923" w14:textId="77777777">
            <w:pPr>
              <w:rPr>
                <w:rFonts w:cs="Arial"/>
                <w:b/>
                <w:i/>
                <w:sz w:val="16"/>
                <w:szCs w:val="16"/>
              </w:rPr>
            </w:pPr>
            <w:r w:rsidRPr="00AD2FDD">
              <w:rPr>
                <w:rFonts w:cs="Arial"/>
                <w:sz w:val="16"/>
                <w:szCs w:val="16"/>
              </w:rPr>
              <w:t>Clerical</w:t>
            </w:r>
          </w:p>
        </w:tc>
        <w:tc>
          <w:tcPr>
            <w:tcW w:w="1260" w:type="dxa"/>
            <w:shd w:val="clear" w:color="auto" w:fill="FFFFFF" w:themeFill="background1"/>
            <w:tcMar>
              <w:left w:w="58" w:type="dxa"/>
              <w:right w:w="58" w:type="dxa"/>
            </w:tcMar>
            <w:vAlign w:val="center"/>
          </w:tcPr>
          <w:p w:rsidRPr="00AD2FDD" w:rsidR="00644F09" w:rsidP="00DC37BA" w:rsidRDefault="00644F09" w14:paraId="545CE90F" w14:textId="19A52844">
            <w:pPr>
              <w:jc w:val="center"/>
              <w:rPr>
                <w:rFonts w:cs="Arial"/>
                <w:b/>
                <w:i/>
                <w:sz w:val="16"/>
                <w:szCs w:val="16"/>
              </w:rPr>
            </w:pPr>
            <w:r w:rsidRPr="00AD2FDD">
              <w:rPr>
                <w:rFonts w:cs="Arial"/>
                <w:sz w:val="16"/>
                <w:szCs w:val="16"/>
              </w:rPr>
              <w:t>$23.84/hour</w:t>
            </w:r>
          </w:p>
        </w:tc>
        <w:tc>
          <w:tcPr>
            <w:tcW w:w="1980" w:type="dxa"/>
            <w:gridSpan w:val="2"/>
            <w:shd w:val="clear" w:color="auto" w:fill="FFFFFF" w:themeFill="background1"/>
            <w:tcMar>
              <w:left w:w="58" w:type="dxa"/>
              <w:right w:w="58" w:type="dxa"/>
            </w:tcMar>
            <w:vAlign w:val="center"/>
          </w:tcPr>
          <w:p w:rsidRPr="00AD2FDD" w:rsidR="00644F09" w:rsidP="00DC37BA" w:rsidRDefault="00644F09" w14:paraId="0B65BA05" w14:textId="77777777">
            <w:pPr>
              <w:jc w:val="center"/>
              <w:rPr>
                <w:rFonts w:cs="Arial"/>
                <w:b/>
                <w:i/>
                <w:sz w:val="16"/>
                <w:szCs w:val="16"/>
              </w:rPr>
            </w:pPr>
            <w:r w:rsidRPr="00AD2FDD">
              <w:rPr>
                <w:rFonts w:cs="Arial"/>
                <w:sz w:val="16"/>
                <w:szCs w:val="16"/>
              </w:rPr>
              <w:t>2 hours/program</w:t>
            </w:r>
          </w:p>
        </w:tc>
        <w:tc>
          <w:tcPr>
            <w:tcW w:w="990" w:type="dxa"/>
            <w:gridSpan w:val="2"/>
            <w:shd w:val="clear" w:color="auto" w:fill="FFFFFF" w:themeFill="background1"/>
            <w:tcMar>
              <w:left w:w="58" w:type="dxa"/>
              <w:right w:w="58" w:type="dxa"/>
            </w:tcMar>
            <w:vAlign w:val="center"/>
          </w:tcPr>
          <w:p w:rsidRPr="00AD2FDD" w:rsidR="00644F09" w:rsidP="00DC37BA" w:rsidRDefault="00644F09" w14:paraId="589E15ED" w14:textId="6077BDF2">
            <w:pPr>
              <w:jc w:val="right"/>
              <w:rPr>
                <w:rFonts w:cs="Arial"/>
                <w:b/>
                <w:i/>
                <w:sz w:val="16"/>
                <w:szCs w:val="16"/>
              </w:rPr>
            </w:pPr>
            <w:r w:rsidRPr="00AD2FDD">
              <w:rPr>
                <w:rFonts w:cs="Arial"/>
                <w:sz w:val="16"/>
                <w:szCs w:val="16"/>
              </w:rPr>
              <w:t>($48)</w:t>
            </w:r>
          </w:p>
        </w:tc>
        <w:tc>
          <w:tcPr>
            <w:tcW w:w="810" w:type="dxa"/>
            <w:shd w:val="clear" w:color="auto" w:fill="FFFFFF" w:themeFill="background1"/>
            <w:tcMar>
              <w:left w:w="58" w:type="dxa"/>
              <w:right w:w="58" w:type="dxa"/>
            </w:tcMar>
            <w:vAlign w:val="center"/>
          </w:tcPr>
          <w:p w:rsidRPr="00AD2FDD" w:rsidR="00644F09" w:rsidP="00DC37BA" w:rsidRDefault="00644F09" w14:paraId="43BC0335" w14:textId="7A469D27">
            <w:pPr>
              <w:jc w:val="right"/>
              <w:rPr>
                <w:rFonts w:cs="Arial"/>
                <w:b/>
                <w:i/>
                <w:sz w:val="16"/>
                <w:szCs w:val="16"/>
              </w:rPr>
            </w:pPr>
            <w:r w:rsidRPr="00AD2FDD">
              <w:rPr>
                <w:rFonts w:cs="Arial"/>
                <w:sz w:val="16"/>
                <w:szCs w:val="16"/>
              </w:rPr>
              <w:t>24</w:t>
            </w:r>
          </w:p>
        </w:tc>
        <w:tc>
          <w:tcPr>
            <w:tcW w:w="1260" w:type="dxa"/>
            <w:gridSpan w:val="2"/>
            <w:shd w:val="clear" w:color="auto" w:fill="FFFFFF" w:themeFill="background1"/>
            <w:tcMar>
              <w:left w:w="58" w:type="dxa"/>
              <w:right w:w="58" w:type="dxa"/>
            </w:tcMar>
            <w:vAlign w:val="center"/>
          </w:tcPr>
          <w:p w:rsidRPr="00AD2FDD" w:rsidR="00644F09" w:rsidP="00DC37BA" w:rsidRDefault="00644F09" w14:paraId="1ED3E77D" w14:textId="18741AE4">
            <w:pPr>
              <w:jc w:val="right"/>
              <w:rPr>
                <w:rFonts w:cs="Arial"/>
                <w:b/>
                <w:i/>
                <w:sz w:val="16"/>
                <w:szCs w:val="16"/>
              </w:rPr>
            </w:pPr>
            <w:r w:rsidRPr="00AD2FDD">
              <w:rPr>
                <w:rFonts w:cs="Arial"/>
                <w:sz w:val="16"/>
                <w:szCs w:val="16"/>
              </w:rPr>
              <w:t>($1,152)</w:t>
            </w:r>
          </w:p>
        </w:tc>
      </w:tr>
      <w:tr w:rsidRPr="00AD2FDD" w:rsidR="00FC049F" w:rsidTr="002C5C70" w14:paraId="47441D08" w14:textId="77777777">
        <w:tc>
          <w:tcPr>
            <w:tcW w:w="1705" w:type="dxa"/>
            <w:vMerge/>
            <w:tcBorders>
              <w:bottom w:val="single" w:color="auto" w:sz="4" w:space="0"/>
            </w:tcBorders>
            <w:tcMar>
              <w:left w:w="58" w:type="dxa"/>
              <w:right w:w="58" w:type="dxa"/>
            </w:tcMar>
            <w:vAlign w:val="center"/>
          </w:tcPr>
          <w:p w:rsidRPr="00AD2FDD" w:rsidR="00644F09" w:rsidP="00DC37BA" w:rsidRDefault="00644F09" w14:paraId="23D291D9" w14:textId="77777777">
            <w:pPr>
              <w:rPr>
                <w:rFonts w:cs="Arial"/>
                <w:sz w:val="16"/>
                <w:szCs w:val="16"/>
              </w:rPr>
            </w:pPr>
          </w:p>
        </w:tc>
        <w:tc>
          <w:tcPr>
            <w:tcW w:w="1463" w:type="dxa"/>
            <w:gridSpan w:val="2"/>
            <w:tcBorders>
              <w:bottom w:val="single" w:color="auto" w:sz="4" w:space="0"/>
            </w:tcBorders>
            <w:shd w:val="clear" w:color="auto" w:fill="FFFFFF" w:themeFill="background1"/>
            <w:tcMar>
              <w:left w:w="58" w:type="dxa"/>
              <w:right w:w="58" w:type="dxa"/>
            </w:tcMar>
            <w:vAlign w:val="center"/>
          </w:tcPr>
          <w:p w:rsidRPr="00AD2FDD" w:rsidR="00644F09" w:rsidP="00DC37BA" w:rsidRDefault="00644F09" w14:paraId="6031F4AB" w14:textId="77777777">
            <w:pPr>
              <w:rPr>
                <w:rFonts w:cs="Arial"/>
                <w:b/>
                <w:i/>
                <w:sz w:val="16"/>
                <w:szCs w:val="16"/>
              </w:rPr>
            </w:pPr>
            <w:r w:rsidRPr="00AD2FDD">
              <w:rPr>
                <w:rFonts w:cs="Arial"/>
                <w:sz w:val="16"/>
                <w:szCs w:val="16"/>
              </w:rPr>
              <w:t>Legal</w:t>
            </w:r>
          </w:p>
        </w:tc>
        <w:tc>
          <w:tcPr>
            <w:tcW w:w="1260" w:type="dxa"/>
            <w:tcBorders>
              <w:bottom w:val="single" w:color="auto" w:sz="4" w:space="0"/>
            </w:tcBorders>
            <w:shd w:val="clear" w:color="auto" w:fill="FFFFFF" w:themeFill="background1"/>
            <w:tcMar>
              <w:left w:w="58" w:type="dxa"/>
              <w:right w:w="58" w:type="dxa"/>
            </w:tcMar>
            <w:vAlign w:val="center"/>
          </w:tcPr>
          <w:p w:rsidRPr="00AD2FDD" w:rsidR="00644F09" w:rsidP="00DC37BA" w:rsidRDefault="00644F09" w14:paraId="77841EDB" w14:textId="457BD231">
            <w:pPr>
              <w:jc w:val="center"/>
              <w:rPr>
                <w:rFonts w:cs="Arial"/>
                <w:b/>
                <w:i/>
                <w:sz w:val="16"/>
                <w:szCs w:val="16"/>
              </w:rPr>
            </w:pPr>
            <w:r w:rsidRPr="00AD2FDD">
              <w:rPr>
                <w:rFonts w:cs="Arial"/>
                <w:sz w:val="16"/>
                <w:szCs w:val="16"/>
              </w:rPr>
              <w:t>$137.32/hour</w:t>
            </w:r>
          </w:p>
        </w:tc>
        <w:tc>
          <w:tcPr>
            <w:tcW w:w="1980" w:type="dxa"/>
            <w:gridSpan w:val="2"/>
            <w:tcBorders>
              <w:bottom w:val="single" w:color="auto" w:sz="4" w:space="0"/>
            </w:tcBorders>
            <w:shd w:val="clear" w:color="auto" w:fill="FFFFFF" w:themeFill="background1"/>
            <w:tcMar>
              <w:left w:w="58" w:type="dxa"/>
              <w:right w:w="58" w:type="dxa"/>
            </w:tcMar>
            <w:vAlign w:val="center"/>
          </w:tcPr>
          <w:p w:rsidRPr="00AD2FDD" w:rsidR="00644F09" w:rsidP="00DC37BA" w:rsidRDefault="00644F09" w14:paraId="22A0B67D" w14:textId="77777777">
            <w:pPr>
              <w:jc w:val="center"/>
              <w:rPr>
                <w:rFonts w:cs="Arial"/>
                <w:b/>
                <w:i/>
                <w:sz w:val="16"/>
                <w:szCs w:val="16"/>
              </w:rPr>
            </w:pPr>
            <w:r w:rsidRPr="00AD2FDD">
              <w:rPr>
                <w:rFonts w:cs="Arial"/>
                <w:sz w:val="16"/>
                <w:szCs w:val="16"/>
              </w:rPr>
              <w:t>2 hours/program</w:t>
            </w:r>
          </w:p>
        </w:tc>
        <w:tc>
          <w:tcPr>
            <w:tcW w:w="990" w:type="dxa"/>
            <w:gridSpan w:val="2"/>
            <w:tcBorders>
              <w:bottom w:val="single" w:color="auto" w:sz="4" w:space="0"/>
            </w:tcBorders>
            <w:shd w:val="clear" w:color="auto" w:fill="FFFFFF" w:themeFill="background1"/>
            <w:tcMar>
              <w:left w:w="58" w:type="dxa"/>
              <w:right w:w="58" w:type="dxa"/>
            </w:tcMar>
            <w:vAlign w:val="center"/>
          </w:tcPr>
          <w:p w:rsidRPr="00AD2FDD" w:rsidR="00644F09" w:rsidP="00DC37BA" w:rsidRDefault="00644F09" w14:paraId="0A85A7DD" w14:textId="4EB032CA">
            <w:pPr>
              <w:jc w:val="right"/>
              <w:rPr>
                <w:rFonts w:cs="Arial"/>
                <w:b/>
                <w:i/>
                <w:sz w:val="16"/>
                <w:szCs w:val="16"/>
              </w:rPr>
            </w:pPr>
            <w:r w:rsidRPr="00AD2FDD">
              <w:rPr>
                <w:rFonts w:cs="Arial"/>
                <w:sz w:val="16"/>
                <w:szCs w:val="16"/>
              </w:rPr>
              <w:t>($275)</w:t>
            </w:r>
          </w:p>
        </w:tc>
        <w:tc>
          <w:tcPr>
            <w:tcW w:w="810" w:type="dxa"/>
            <w:tcBorders>
              <w:bottom w:val="single" w:color="auto" w:sz="4" w:space="0"/>
            </w:tcBorders>
            <w:shd w:val="clear" w:color="auto" w:fill="FFFFFF" w:themeFill="background1"/>
            <w:tcMar>
              <w:left w:w="58" w:type="dxa"/>
              <w:right w:w="58" w:type="dxa"/>
            </w:tcMar>
            <w:vAlign w:val="center"/>
          </w:tcPr>
          <w:p w:rsidRPr="00AD2FDD" w:rsidR="00644F09" w:rsidP="00DC37BA" w:rsidRDefault="00644F09" w14:paraId="44858394" w14:textId="02CB31C9">
            <w:pPr>
              <w:jc w:val="right"/>
              <w:rPr>
                <w:rFonts w:cs="Arial"/>
                <w:b/>
                <w:i/>
                <w:sz w:val="16"/>
                <w:szCs w:val="16"/>
              </w:rPr>
            </w:pPr>
            <w:r w:rsidRPr="00AD2FDD">
              <w:rPr>
                <w:rFonts w:cs="Arial"/>
                <w:sz w:val="16"/>
                <w:szCs w:val="16"/>
              </w:rPr>
              <w:t>24</w:t>
            </w:r>
          </w:p>
        </w:tc>
        <w:tc>
          <w:tcPr>
            <w:tcW w:w="1260" w:type="dxa"/>
            <w:gridSpan w:val="2"/>
            <w:tcBorders>
              <w:bottom w:val="single" w:color="auto" w:sz="4" w:space="0"/>
            </w:tcBorders>
            <w:shd w:val="clear" w:color="auto" w:fill="FFFFFF" w:themeFill="background1"/>
            <w:tcMar>
              <w:left w:w="58" w:type="dxa"/>
              <w:right w:w="58" w:type="dxa"/>
            </w:tcMar>
            <w:vAlign w:val="center"/>
          </w:tcPr>
          <w:p w:rsidRPr="00AD2FDD" w:rsidR="00644F09" w:rsidP="00DC37BA" w:rsidRDefault="00644F09" w14:paraId="5115AABE" w14:textId="5DD0426E">
            <w:pPr>
              <w:jc w:val="right"/>
              <w:rPr>
                <w:rFonts w:cs="Arial"/>
                <w:b/>
                <w:i/>
                <w:sz w:val="16"/>
                <w:szCs w:val="16"/>
              </w:rPr>
            </w:pPr>
            <w:r w:rsidRPr="00AD2FDD">
              <w:rPr>
                <w:rFonts w:cs="Arial"/>
                <w:sz w:val="16"/>
                <w:szCs w:val="16"/>
              </w:rPr>
              <w:t>($6,600)</w:t>
            </w:r>
          </w:p>
        </w:tc>
      </w:tr>
      <w:tr w:rsidRPr="00AD2FDD" w:rsidR="00656D7D" w:rsidTr="002C5C70" w14:paraId="14DEF31F" w14:textId="77777777">
        <w:tc>
          <w:tcPr>
            <w:tcW w:w="1705" w:type="dxa"/>
            <w:vMerge w:val="restart"/>
            <w:shd w:val="clear" w:color="auto" w:fill="FFFFFF" w:themeFill="background1"/>
            <w:tcMar>
              <w:left w:w="58" w:type="dxa"/>
              <w:right w:w="58" w:type="dxa"/>
            </w:tcMar>
            <w:vAlign w:val="center"/>
          </w:tcPr>
          <w:p w:rsidRPr="00AD2FDD" w:rsidR="00656D7D" w:rsidP="008E12D0" w:rsidRDefault="00656D7D" w14:paraId="1B1A85DD" w14:textId="035B6126">
            <w:pPr>
              <w:rPr>
                <w:rFonts w:cs="Arial"/>
                <w:sz w:val="16"/>
                <w:szCs w:val="16"/>
              </w:rPr>
            </w:pPr>
            <w:r w:rsidRPr="00AD2FDD">
              <w:rPr>
                <w:rFonts w:cs="Arial"/>
                <w:sz w:val="16"/>
                <w:szCs w:val="16"/>
              </w:rPr>
              <w:t>(3) Revise contract with backup HHS-certified laboratory</w:t>
            </w:r>
          </w:p>
        </w:tc>
        <w:tc>
          <w:tcPr>
            <w:tcW w:w="1463" w:type="dxa"/>
            <w:gridSpan w:val="2"/>
            <w:shd w:val="clear" w:color="auto" w:fill="FFFFFF" w:themeFill="background1"/>
            <w:tcMar>
              <w:left w:w="58" w:type="dxa"/>
              <w:right w:w="58" w:type="dxa"/>
            </w:tcMar>
            <w:vAlign w:val="center"/>
          </w:tcPr>
          <w:p w:rsidRPr="00AD2FDD" w:rsidR="00656D7D" w:rsidP="008E12D0" w:rsidRDefault="00656D7D" w14:paraId="638E2D79" w14:textId="77777777">
            <w:pPr>
              <w:rPr>
                <w:rFonts w:cs="Arial"/>
                <w:b/>
                <w:i/>
                <w:sz w:val="16"/>
                <w:szCs w:val="16"/>
              </w:rPr>
            </w:pPr>
            <w:r w:rsidRPr="00AD2FDD">
              <w:rPr>
                <w:rFonts w:cs="Arial"/>
                <w:sz w:val="16"/>
                <w:szCs w:val="16"/>
              </w:rPr>
              <w:t>FFD Manager</w:t>
            </w:r>
          </w:p>
        </w:tc>
        <w:tc>
          <w:tcPr>
            <w:tcW w:w="1260" w:type="dxa"/>
            <w:shd w:val="clear" w:color="auto" w:fill="FFFFFF" w:themeFill="background1"/>
            <w:tcMar>
              <w:left w:w="58" w:type="dxa"/>
              <w:right w:w="58" w:type="dxa"/>
            </w:tcMar>
            <w:vAlign w:val="center"/>
          </w:tcPr>
          <w:p w:rsidRPr="00AD2FDD" w:rsidR="00656D7D" w:rsidP="008E12D0" w:rsidRDefault="00656D7D" w14:paraId="60737204" w14:textId="52C58713">
            <w:pPr>
              <w:jc w:val="center"/>
              <w:rPr>
                <w:rFonts w:cs="Arial"/>
                <w:b/>
                <w:i/>
                <w:sz w:val="16"/>
                <w:szCs w:val="16"/>
              </w:rPr>
            </w:pPr>
            <w:r w:rsidRPr="00AD2FDD">
              <w:rPr>
                <w:rFonts w:cs="Arial"/>
                <w:sz w:val="16"/>
                <w:szCs w:val="16"/>
              </w:rPr>
              <w:t>$47.79/hour</w:t>
            </w:r>
          </w:p>
        </w:tc>
        <w:tc>
          <w:tcPr>
            <w:tcW w:w="1980" w:type="dxa"/>
            <w:gridSpan w:val="2"/>
            <w:shd w:val="clear" w:color="auto" w:fill="FFFFFF" w:themeFill="background1"/>
            <w:tcMar>
              <w:left w:w="58" w:type="dxa"/>
              <w:right w:w="58" w:type="dxa"/>
            </w:tcMar>
            <w:vAlign w:val="center"/>
          </w:tcPr>
          <w:p w:rsidRPr="00AD2FDD" w:rsidR="00656D7D" w:rsidP="008E12D0" w:rsidRDefault="00656D7D" w14:paraId="47E9F558" w14:textId="3E68445D">
            <w:pPr>
              <w:jc w:val="center"/>
              <w:rPr>
                <w:rFonts w:cs="Arial"/>
                <w:b/>
                <w:i/>
                <w:sz w:val="16"/>
                <w:szCs w:val="16"/>
              </w:rPr>
            </w:pPr>
            <w:r w:rsidRPr="00AD2FDD">
              <w:rPr>
                <w:rFonts w:cs="Arial"/>
                <w:sz w:val="16"/>
                <w:szCs w:val="16"/>
              </w:rPr>
              <w:t>4 hours/program</w:t>
            </w:r>
          </w:p>
        </w:tc>
        <w:tc>
          <w:tcPr>
            <w:tcW w:w="990" w:type="dxa"/>
            <w:gridSpan w:val="2"/>
            <w:shd w:val="clear" w:color="auto" w:fill="FFFFFF" w:themeFill="background1"/>
            <w:tcMar>
              <w:left w:w="58" w:type="dxa"/>
              <w:right w:w="58" w:type="dxa"/>
            </w:tcMar>
            <w:vAlign w:val="center"/>
          </w:tcPr>
          <w:p w:rsidRPr="00AD2FDD" w:rsidR="00656D7D" w:rsidP="008E12D0" w:rsidRDefault="00656D7D" w14:paraId="75760E67" w14:textId="4113680C">
            <w:pPr>
              <w:jc w:val="right"/>
              <w:rPr>
                <w:rFonts w:cs="Arial"/>
                <w:b/>
                <w:i/>
                <w:sz w:val="16"/>
                <w:szCs w:val="16"/>
              </w:rPr>
            </w:pPr>
            <w:r w:rsidRPr="00AD2FDD">
              <w:rPr>
                <w:rFonts w:cs="Arial"/>
                <w:sz w:val="16"/>
                <w:szCs w:val="16"/>
              </w:rPr>
              <w:t>($</w:t>
            </w:r>
            <w:r w:rsidRPr="00AD2FDD" w:rsidR="00124688">
              <w:rPr>
                <w:rFonts w:cs="Arial"/>
                <w:sz w:val="16"/>
                <w:szCs w:val="16"/>
              </w:rPr>
              <w:t>191</w:t>
            </w:r>
            <w:r w:rsidRPr="00AD2FDD">
              <w:rPr>
                <w:rFonts w:cs="Arial"/>
                <w:sz w:val="16"/>
                <w:szCs w:val="16"/>
              </w:rPr>
              <w:t>)</w:t>
            </w:r>
          </w:p>
        </w:tc>
        <w:tc>
          <w:tcPr>
            <w:tcW w:w="810" w:type="dxa"/>
            <w:shd w:val="clear" w:color="auto" w:fill="FFFFFF" w:themeFill="background1"/>
            <w:tcMar>
              <w:left w:w="58" w:type="dxa"/>
              <w:right w:w="58" w:type="dxa"/>
            </w:tcMar>
            <w:vAlign w:val="center"/>
          </w:tcPr>
          <w:p w:rsidRPr="00AD2FDD" w:rsidR="00656D7D" w:rsidP="008E12D0" w:rsidRDefault="00656D7D" w14:paraId="4D1372AA" w14:textId="7AF3055D">
            <w:pPr>
              <w:jc w:val="right"/>
              <w:rPr>
                <w:rFonts w:cs="Arial"/>
                <w:b/>
                <w:i/>
                <w:sz w:val="16"/>
                <w:szCs w:val="16"/>
              </w:rPr>
            </w:pPr>
            <w:r w:rsidRPr="00AD2FDD">
              <w:rPr>
                <w:rFonts w:cs="Arial"/>
                <w:sz w:val="16"/>
                <w:szCs w:val="16"/>
              </w:rPr>
              <w:t>24</w:t>
            </w:r>
          </w:p>
        </w:tc>
        <w:tc>
          <w:tcPr>
            <w:tcW w:w="1260" w:type="dxa"/>
            <w:gridSpan w:val="2"/>
            <w:shd w:val="clear" w:color="auto" w:fill="FFFFFF" w:themeFill="background1"/>
            <w:tcMar>
              <w:left w:w="58" w:type="dxa"/>
              <w:right w:w="58" w:type="dxa"/>
            </w:tcMar>
            <w:vAlign w:val="center"/>
          </w:tcPr>
          <w:p w:rsidRPr="00AD2FDD" w:rsidR="00656D7D" w:rsidP="008E12D0" w:rsidRDefault="00656D7D" w14:paraId="7E22B74D" w14:textId="1D0A2EFE">
            <w:pPr>
              <w:jc w:val="right"/>
              <w:rPr>
                <w:rFonts w:cs="Arial"/>
                <w:b/>
                <w:i/>
                <w:sz w:val="16"/>
                <w:szCs w:val="16"/>
              </w:rPr>
            </w:pPr>
            <w:r w:rsidRPr="00AD2FDD">
              <w:rPr>
                <w:rFonts w:cs="Arial"/>
                <w:sz w:val="16"/>
                <w:szCs w:val="16"/>
              </w:rPr>
              <w:t>($</w:t>
            </w:r>
            <w:r w:rsidRPr="00AD2FDD" w:rsidR="002C5C70">
              <w:rPr>
                <w:rFonts w:cs="Arial"/>
                <w:sz w:val="16"/>
                <w:szCs w:val="16"/>
              </w:rPr>
              <w:t>4,584</w:t>
            </w:r>
            <w:r w:rsidRPr="00AD2FDD">
              <w:rPr>
                <w:rFonts w:cs="Arial"/>
                <w:sz w:val="16"/>
                <w:szCs w:val="16"/>
              </w:rPr>
              <w:t>)</w:t>
            </w:r>
          </w:p>
        </w:tc>
      </w:tr>
      <w:tr w:rsidRPr="00AD2FDD" w:rsidR="00656D7D" w:rsidTr="002C5C70" w14:paraId="49529E4A" w14:textId="77777777">
        <w:tc>
          <w:tcPr>
            <w:tcW w:w="1705" w:type="dxa"/>
            <w:vMerge/>
            <w:shd w:val="clear" w:color="auto" w:fill="FFFFFF" w:themeFill="background1"/>
            <w:tcMar>
              <w:left w:w="58" w:type="dxa"/>
              <w:right w:w="58" w:type="dxa"/>
            </w:tcMar>
            <w:vAlign w:val="center"/>
          </w:tcPr>
          <w:p w:rsidRPr="00AD2FDD" w:rsidR="00656D7D" w:rsidP="008E12D0" w:rsidRDefault="00656D7D" w14:paraId="5893E0AB" w14:textId="77777777">
            <w:pPr>
              <w:rPr>
                <w:rFonts w:cs="Arial"/>
                <w:sz w:val="16"/>
                <w:szCs w:val="16"/>
              </w:rPr>
            </w:pPr>
          </w:p>
        </w:tc>
        <w:tc>
          <w:tcPr>
            <w:tcW w:w="1463" w:type="dxa"/>
            <w:gridSpan w:val="2"/>
            <w:shd w:val="clear" w:color="auto" w:fill="FFFFFF" w:themeFill="background1"/>
            <w:tcMar>
              <w:left w:w="58" w:type="dxa"/>
              <w:right w:w="58" w:type="dxa"/>
            </w:tcMar>
            <w:vAlign w:val="center"/>
          </w:tcPr>
          <w:p w:rsidRPr="00AD2FDD" w:rsidR="00656D7D" w:rsidP="008E12D0" w:rsidRDefault="00656D7D" w14:paraId="3C1EEFC4" w14:textId="77777777">
            <w:pPr>
              <w:rPr>
                <w:rFonts w:cs="Arial"/>
                <w:b/>
                <w:i/>
                <w:sz w:val="16"/>
                <w:szCs w:val="16"/>
              </w:rPr>
            </w:pPr>
            <w:r w:rsidRPr="00AD2FDD">
              <w:rPr>
                <w:rFonts w:cs="Arial"/>
                <w:sz w:val="16"/>
                <w:szCs w:val="16"/>
              </w:rPr>
              <w:t>Clerical</w:t>
            </w:r>
          </w:p>
        </w:tc>
        <w:tc>
          <w:tcPr>
            <w:tcW w:w="1260" w:type="dxa"/>
            <w:shd w:val="clear" w:color="auto" w:fill="FFFFFF" w:themeFill="background1"/>
            <w:tcMar>
              <w:left w:w="58" w:type="dxa"/>
              <w:right w:w="58" w:type="dxa"/>
            </w:tcMar>
            <w:vAlign w:val="center"/>
          </w:tcPr>
          <w:p w:rsidRPr="00AD2FDD" w:rsidR="00656D7D" w:rsidP="008E12D0" w:rsidRDefault="00656D7D" w14:paraId="09E0FE69" w14:textId="5CBB594E">
            <w:pPr>
              <w:jc w:val="center"/>
              <w:rPr>
                <w:rFonts w:cs="Arial"/>
                <w:b/>
                <w:i/>
                <w:sz w:val="16"/>
                <w:szCs w:val="16"/>
              </w:rPr>
            </w:pPr>
            <w:r w:rsidRPr="00AD2FDD">
              <w:rPr>
                <w:rFonts w:cs="Arial"/>
                <w:sz w:val="16"/>
                <w:szCs w:val="16"/>
              </w:rPr>
              <w:t>$23.84/hour</w:t>
            </w:r>
          </w:p>
        </w:tc>
        <w:tc>
          <w:tcPr>
            <w:tcW w:w="1980" w:type="dxa"/>
            <w:gridSpan w:val="2"/>
            <w:shd w:val="clear" w:color="auto" w:fill="FFFFFF" w:themeFill="background1"/>
            <w:tcMar>
              <w:left w:w="58" w:type="dxa"/>
              <w:right w:w="58" w:type="dxa"/>
            </w:tcMar>
            <w:vAlign w:val="center"/>
          </w:tcPr>
          <w:p w:rsidRPr="00AD2FDD" w:rsidR="00656D7D" w:rsidP="008E12D0" w:rsidRDefault="00656D7D" w14:paraId="178CAB35" w14:textId="77777777">
            <w:pPr>
              <w:jc w:val="center"/>
              <w:rPr>
                <w:rFonts w:cs="Arial"/>
                <w:b/>
                <w:i/>
                <w:sz w:val="16"/>
                <w:szCs w:val="16"/>
              </w:rPr>
            </w:pPr>
            <w:r w:rsidRPr="00AD2FDD">
              <w:rPr>
                <w:rFonts w:cs="Arial"/>
                <w:sz w:val="16"/>
                <w:szCs w:val="16"/>
              </w:rPr>
              <w:t>2 hours/program</w:t>
            </w:r>
          </w:p>
        </w:tc>
        <w:tc>
          <w:tcPr>
            <w:tcW w:w="990" w:type="dxa"/>
            <w:gridSpan w:val="2"/>
            <w:shd w:val="clear" w:color="auto" w:fill="FFFFFF" w:themeFill="background1"/>
            <w:tcMar>
              <w:left w:w="58" w:type="dxa"/>
              <w:right w:w="58" w:type="dxa"/>
            </w:tcMar>
            <w:vAlign w:val="center"/>
          </w:tcPr>
          <w:p w:rsidRPr="00AD2FDD" w:rsidR="00656D7D" w:rsidP="008E12D0" w:rsidRDefault="00656D7D" w14:paraId="0A90D86A" w14:textId="7221862C">
            <w:pPr>
              <w:jc w:val="right"/>
              <w:rPr>
                <w:rFonts w:cs="Arial"/>
                <w:b/>
                <w:i/>
                <w:sz w:val="16"/>
                <w:szCs w:val="16"/>
              </w:rPr>
            </w:pPr>
            <w:r w:rsidRPr="00AD2FDD">
              <w:rPr>
                <w:rFonts w:cs="Arial"/>
                <w:sz w:val="16"/>
                <w:szCs w:val="16"/>
              </w:rPr>
              <w:t>($48)</w:t>
            </w:r>
          </w:p>
        </w:tc>
        <w:tc>
          <w:tcPr>
            <w:tcW w:w="810" w:type="dxa"/>
            <w:shd w:val="clear" w:color="auto" w:fill="FFFFFF" w:themeFill="background1"/>
            <w:tcMar>
              <w:left w:w="58" w:type="dxa"/>
              <w:right w:w="58" w:type="dxa"/>
            </w:tcMar>
            <w:vAlign w:val="center"/>
          </w:tcPr>
          <w:p w:rsidRPr="00AD2FDD" w:rsidR="00656D7D" w:rsidP="008E12D0" w:rsidRDefault="00656D7D" w14:paraId="71CB0AE9" w14:textId="2E0E47B0">
            <w:pPr>
              <w:jc w:val="right"/>
              <w:rPr>
                <w:rFonts w:cs="Arial"/>
                <w:b/>
                <w:i/>
                <w:sz w:val="16"/>
                <w:szCs w:val="16"/>
              </w:rPr>
            </w:pPr>
            <w:r w:rsidRPr="00AD2FDD">
              <w:rPr>
                <w:rFonts w:cs="Arial"/>
                <w:sz w:val="16"/>
                <w:szCs w:val="16"/>
              </w:rPr>
              <w:t>24</w:t>
            </w:r>
          </w:p>
        </w:tc>
        <w:tc>
          <w:tcPr>
            <w:tcW w:w="1260" w:type="dxa"/>
            <w:gridSpan w:val="2"/>
            <w:shd w:val="clear" w:color="auto" w:fill="FFFFFF" w:themeFill="background1"/>
            <w:tcMar>
              <w:left w:w="58" w:type="dxa"/>
              <w:right w:w="58" w:type="dxa"/>
            </w:tcMar>
            <w:vAlign w:val="center"/>
          </w:tcPr>
          <w:p w:rsidRPr="00AD2FDD" w:rsidR="00656D7D" w:rsidP="008E12D0" w:rsidRDefault="00656D7D" w14:paraId="156E7386" w14:textId="76B50125">
            <w:pPr>
              <w:jc w:val="right"/>
              <w:rPr>
                <w:rFonts w:cs="Arial"/>
                <w:b/>
                <w:i/>
                <w:sz w:val="16"/>
                <w:szCs w:val="16"/>
              </w:rPr>
            </w:pPr>
            <w:r w:rsidRPr="00AD2FDD">
              <w:rPr>
                <w:rFonts w:cs="Arial"/>
                <w:sz w:val="16"/>
                <w:szCs w:val="16"/>
              </w:rPr>
              <w:t>($1,152)</w:t>
            </w:r>
          </w:p>
        </w:tc>
      </w:tr>
      <w:tr w:rsidRPr="00AD2FDD" w:rsidR="00656D7D" w:rsidTr="00321819" w14:paraId="06BA4E71" w14:textId="77777777">
        <w:tc>
          <w:tcPr>
            <w:tcW w:w="1705" w:type="dxa"/>
            <w:vMerge/>
            <w:tcBorders>
              <w:bottom w:val="single" w:color="auto" w:sz="4" w:space="0"/>
            </w:tcBorders>
            <w:shd w:val="clear" w:color="auto" w:fill="FFFFFF" w:themeFill="background1"/>
            <w:tcMar>
              <w:left w:w="58" w:type="dxa"/>
              <w:right w:w="58" w:type="dxa"/>
            </w:tcMar>
            <w:vAlign w:val="center"/>
          </w:tcPr>
          <w:p w:rsidRPr="00AD2FDD" w:rsidR="00656D7D" w:rsidP="008E12D0" w:rsidRDefault="00656D7D" w14:paraId="018F6915" w14:textId="77777777">
            <w:pPr>
              <w:rPr>
                <w:rFonts w:cs="Arial"/>
                <w:sz w:val="16"/>
                <w:szCs w:val="16"/>
              </w:rPr>
            </w:pPr>
          </w:p>
        </w:tc>
        <w:tc>
          <w:tcPr>
            <w:tcW w:w="1463" w:type="dxa"/>
            <w:gridSpan w:val="2"/>
            <w:tcBorders>
              <w:bottom w:val="single" w:color="auto" w:sz="4" w:space="0"/>
            </w:tcBorders>
            <w:shd w:val="clear" w:color="auto" w:fill="FFFFFF" w:themeFill="background1"/>
            <w:tcMar>
              <w:left w:w="58" w:type="dxa"/>
              <w:right w:w="58" w:type="dxa"/>
            </w:tcMar>
            <w:vAlign w:val="center"/>
          </w:tcPr>
          <w:p w:rsidRPr="00AD2FDD" w:rsidR="00656D7D" w:rsidP="008E12D0" w:rsidRDefault="00656D7D" w14:paraId="75BF0931" w14:textId="77777777">
            <w:pPr>
              <w:rPr>
                <w:rFonts w:cs="Arial"/>
                <w:b/>
                <w:i/>
                <w:sz w:val="16"/>
                <w:szCs w:val="16"/>
              </w:rPr>
            </w:pPr>
            <w:r w:rsidRPr="00AD2FDD">
              <w:rPr>
                <w:rFonts w:cs="Arial"/>
                <w:sz w:val="16"/>
                <w:szCs w:val="16"/>
              </w:rPr>
              <w:t>Legal</w:t>
            </w:r>
          </w:p>
        </w:tc>
        <w:tc>
          <w:tcPr>
            <w:tcW w:w="1260" w:type="dxa"/>
            <w:tcBorders>
              <w:bottom w:val="single" w:color="auto" w:sz="4" w:space="0"/>
            </w:tcBorders>
            <w:shd w:val="clear" w:color="auto" w:fill="FFFFFF" w:themeFill="background1"/>
            <w:tcMar>
              <w:left w:w="58" w:type="dxa"/>
              <w:right w:w="58" w:type="dxa"/>
            </w:tcMar>
            <w:vAlign w:val="center"/>
          </w:tcPr>
          <w:p w:rsidRPr="00AD2FDD" w:rsidR="00656D7D" w:rsidP="008E12D0" w:rsidRDefault="00656D7D" w14:paraId="3CD09058" w14:textId="208C38E6">
            <w:pPr>
              <w:jc w:val="center"/>
              <w:rPr>
                <w:rFonts w:cs="Arial"/>
                <w:b/>
                <w:i/>
                <w:sz w:val="16"/>
                <w:szCs w:val="16"/>
              </w:rPr>
            </w:pPr>
            <w:r w:rsidRPr="00AD2FDD">
              <w:rPr>
                <w:rFonts w:cs="Arial"/>
                <w:sz w:val="16"/>
                <w:szCs w:val="16"/>
              </w:rPr>
              <w:t>$137.32/hour</w:t>
            </w:r>
          </w:p>
        </w:tc>
        <w:tc>
          <w:tcPr>
            <w:tcW w:w="1980" w:type="dxa"/>
            <w:gridSpan w:val="2"/>
            <w:tcBorders>
              <w:bottom w:val="single" w:color="auto" w:sz="4" w:space="0"/>
            </w:tcBorders>
            <w:shd w:val="clear" w:color="auto" w:fill="FFFFFF" w:themeFill="background1"/>
            <w:tcMar>
              <w:left w:w="58" w:type="dxa"/>
              <w:right w:w="58" w:type="dxa"/>
            </w:tcMar>
            <w:vAlign w:val="center"/>
          </w:tcPr>
          <w:p w:rsidRPr="00AD2FDD" w:rsidR="00656D7D" w:rsidP="008E12D0" w:rsidRDefault="00656D7D" w14:paraId="283E426F" w14:textId="77777777">
            <w:pPr>
              <w:jc w:val="center"/>
              <w:rPr>
                <w:rFonts w:cs="Arial"/>
                <w:b/>
                <w:i/>
                <w:sz w:val="16"/>
                <w:szCs w:val="16"/>
              </w:rPr>
            </w:pPr>
            <w:r w:rsidRPr="00AD2FDD">
              <w:rPr>
                <w:rFonts w:cs="Arial"/>
                <w:sz w:val="16"/>
                <w:szCs w:val="16"/>
              </w:rPr>
              <w:t>2 hours/program</w:t>
            </w:r>
          </w:p>
        </w:tc>
        <w:tc>
          <w:tcPr>
            <w:tcW w:w="990" w:type="dxa"/>
            <w:gridSpan w:val="2"/>
            <w:tcBorders>
              <w:bottom w:val="single" w:color="auto" w:sz="4" w:space="0"/>
            </w:tcBorders>
            <w:shd w:val="clear" w:color="auto" w:fill="FFFFFF" w:themeFill="background1"/>
            <w:tcMar>
              <w:left w:w="58" w:type="dxa"/>
              <w:right w:w="58" w:type="dxa"/>
            </w:tcMar>
            <w:vAlign w:val="center"/>
          </w:tcPr>
          <w:p w:rsidRPr="00AD2FDD" w:rsidR="00656D7D" w:rsidP="008E12D0" w:rsidRDefault="00656D7D" w14:paraId="77875438" w14:textId="442B6D09">
            <w:pPr>
              <w:jc w:val="right"/>
              <w:rPr>
                <w:rFonts w:cs="Arial"/>
                <w:b/>
                <w:i/>
                <w:sz w:val="16"/>
                <w:szCs w:val="16"/>
              </w:rPr>
            </w:pPr>
            <w:r w:rsidRPr="00AD2FDD">
              <w:rPr>
                <w:rFonts w:cs="Arial"/>
                <w:sz w:val="16"/>
                <w:szCs w:val="16"/>
              </w:rPr>
              <w:t>($275)</w:t>
            </w:r>
          </w:p>
        </w:tc>
        <w:tc>
          <w:tcPr>
            <w:tcW w:w="810" w:type="dxa"/>
            <w:tcBorders>
              <w:bottom w:val="single" w:color="auto" w:sz="4" w:space="0"/>
            </w:tcBorders>
            <w:shd w:val="clear" w:color="auto" w:fill="FFFFFF" w:themeFill="background1"/>
            <w:tcMar>
              <w:left w:w="58" w:type="dxa"/>
              <w:right w:w="58" w:type="dxa"/>
            </w:tcMar>
            <w:vAlign w:val="center"/>
          </w:tcPr>
          <w:p w:rsidRPr="00AD2FDD" w:rsidR="00656D7D" w:rsidP="008E12D0" w:rsidRDefault="00656D7D" w14:paraId="1DB6D584" w14:textId="74A7B0F8">
            <w:pPr>
              <w:jc w:val="right"/>
              <w:rPr>
                <w:rFonts w:cs="Arial"/>
                <w:b/>
                <w:i/>
                <w:sz w:val="16"/>
                <w:szCs w:val="16"/>
              </w:rPr>
            </w:pPr>
            <w:r w:rsidRPr="00AD2FDD">
              <w:rPr>
                <w:rFonts w:cs="Arial"/>
                <w:sz w:val="16"/>
                <w:szCs w:val="16"/>
              </w:rPr>
              <w:t>24</w:t>
            </w:r>
          </w:p>
        </w:tc>
        <w:tc>
          <w:tcPr>
            <w:tcW w:w="1260" w:type="dxa"/>
            <w:gridSpan w:val="2"/>
            <w:tcBorders>
              <w:bottom w:val="single" w:color="auto" w:sz="4" w:space="0"/>
            </w:tcBorders>
            <w:shd w:val="clear" w:color="auto" w:fill="FFFFFF" w:themeFill="background1"/>
            <w:tcMar>
              <w:left w:w="58" w:type="dxa"/>
              <w:right w:w="58" w:type="dxa"/>
            </w:tcMar>
            <w:vAlign w:val="center"/>
          </w:tcPr>
          <w:p w:rsidRPr="00AD2FDD" w:rsidR="00656D7D" w:rsidP="008E12D0" w:rsidRDefault="00656D7D" w14:paraId="0A29F575" w14:textId="210D1F78">
            <w:pPr>
              <w:jc w:val="right"/>
              <w:rPr>
                <w:rFonts w:cs="Arial"/>
                <w:b/>
                <w:i/>
                <w:sz w:val="16"/>
                <w:szCs w:val="16"/>
              </w:rPr>
            </w:pPr>
            <w:r w:rsidRPr="00AD2FDD">
              <w:rPr>
                <w:rFonts w:cs="Arial"/>
                <w:sz w:val="16"/>
                <w:szCs w:val="16"/>
              </w:rPr>
              <w:t>($6,600)</w:t>
            </w:r>
          </w:p>
        </w:tc>
      </w:tr>
      <w:tr w:rsidRPr="00AD2FDD" w:rsidR="00242B5B" w:rsidTr="003E0BFD" w14:paraId="1174CCEB" w14:textId="77777777">
        <w:tc>
          <w:tcPr>
            <w:tcW w:w="1705" w:type="dxa"/>
            <w:vMerge w:val="restart"/>
            <w:shd w:val="clear" w:color="auto" w:fill="FFFFFF" w:themeFill="background1"/>
            <w:tcMar>
              <w:left w:w="58" w:type="dxa"/>
              <w:right w:w="58" w:type="dxa"/>
            </w:tcMar>
            <w:vAlign w:val="center"/>
          </w:tcPr>
          <w:p w:rsidRPr="00AD2FDD" w:rsidR="00242B5B" w:rsidP="000A0076" w:rsidRDefault="00242B5B" w14:paraId="345FFCB9" w14:textId="77777777">
            <w:pPr>
              <w:ind w:right="-20"/>
              <w:rPr>
                <w:rFonts w:cs="Arial"/>
                <w:sz w:val="16"/>
                <w:szCs w:val="16"/>
              </w:rPr>
            </w:pPr>
            <w:r w:rsidRPr="00AD2FDD">
              <w:rPr>
                <w:rFonts w:cs="Arial"/>
                <w:sz w:val="16"/>
                <w:szCs w:val="16"/>
              </w:rPr>
              <w:t>(3) Revise contract with BPTS supplier</w:t>
            </w:r>
          </w:p>
        </w:tc>
        <w:tc>
          <w:tcPr>
            <w:tcW w:w="1463" w:type="dxa"/>
            <w:gridSpan w:val="2"/>
            <w:shd w:val="clear" w:color="auto" w:fill="FFFFFF" w:themeFill="background1"/>
            <w:tcMar>
              <w:left w:w="58" w:type="dxa"/>
              <w:right w:w="58" w:type="dxa"/>
            </w:tcMar>
            <w:vAlign w:val="center"/>
          </w:tcPr>
          <w:p w:rsidRPr="00AD2FDD" w:rsidR="00242B5B" w:rsidP="000A0076" w:rsidRDefault="00242B5B" w14:paraId="616F1D79" w14:textId="77777777">
            <w:pPr>
              <w:rPr>
                <w:rFonts w:cs="Arial"/>
                <w:b/>
                <w:i/>
                <w:sz w:val="16"/>
                <w:szCs w:val="16"/>
              </w:rPr>
            </w:pPr>
            <w:r w:rsidRPr="00AD2FDD">
              <w:rPr>
                <w:rFonts w:cs="Arial"/>
                <w:sz w:val="16"/>
                <w:szCs w:val="16"/>
              </w:rPr>
              <w:t>FFD Manager</w:t>
            </w:r>
          </w:p>
        </w:tc>
        <w:tc>
          <w:tcPr>
            <w:tcW w:w="1260" w:type="dxa"/>
            <w:shd w:val="clear" w:color="auto" w:fill="FFFFFF" w:themeFill="background1"/>
            <w:tcMar>
              <w:left w:w="58" w:type="dxa"/>
              <w:right w:w="58" w:type="dxa"/>
            </w:tcMar>
            <w:vAlign w:val="center"/>
          </w:tcPr>
          <w:p w:rsidRPr="00AD2FDD" w:rsidR="00242B5B" w:rsidP="000A0076" w:rsidRDefault="00242B5B" w14:paraId="7ECA83BE" w14:textId="5B4070CB">
            <w:pPr>
              <w:jc w:val="center"/>
              <w:rPr>
                <w:rFonts w:cs="Arial"/>
                <w:b/>
                <w:i/>
                <w:sz w:val="16"/>
                <w:szCs w:val="16"/>
              </w:rPr>
            </w:pPr>
            <w:r w:rsidRPr="00AD2FDD">
              <w:rPr>
                <w:rFonts w:cs="Arial"/>
                <w:sz w:val="16"/>
                <w:szCs w:val="16"/>
              </w:rPr>
              <w:t>$47.79/hour</w:t>
            </w:r>
          </w:p>
        </w:tc>
        <w:tc>
          <w:tcPr>
            <w:tcW w:w="1980" w:type="dxa"/>
            <w:gridSpan w:val="2"/>
            <w:shd w:val="clear" w:color="auto" w:fill="FFFFFF" w:themeFill="background1"/>
            <w:tcMar>
              <w:left w:w="58" w:type="dxa"/>
              <w:right w:w="58" w:type="dxa"/>
            </w:tcMar>
            <w:vAlign w:val="center"/>
          </w:tcPr>
          <w:p w:rsidRPr="00AD2FDD" w:rsidR="00242B5B" w:rsidP="000A0076" w:rsidRDefault="00242B5B" w14:paraId="3A2D1998" w14:textId="28F4E626">
            <w:pPr>
              <w:jc w:val="center"/>
              <w:rPr>
                <w:rFonts w:cs="Arial"/>
                <w:b/>
                <w:i/>
                <w:sz w:val="16"/>
                <w:szCs w:val="16"/>
              </w:rPr>
            </w:pPr>
            <w:r w:rsidRPr="00AD2FDD">
              <w:rPr>
                <w:rFonts w:cs="Arial"/>
                <w:sz w:val="16"/>
                <w:szCs w:val="16"/>
              </w:rPr>
              <w:t>2 hour/program</w:t>
            </w:r>
          </w:p>
        </w:tc>
        <w:tc>
          <w:tcPr>
            <w:tcW w:w="990" w:type="dxa"/>
            <w:gridSpan w:val="2"/>
            <w:shd w:val="clear" w:color="auto" w:fill="FFFFFF" w:themeFill="background1"/>
            <w:tcMar>
              <w:left w:w="58" w:type="dxa"/>
              <w:right w:w="58" w:type="dxa"/>
            </w:tcMar>
            <w:vAlign w:val="center"/>
          </w:tcPr>
          <w:p w:rsidRPr="00AD2FDD" w:rsidR="00242B5B" w:rsidP="000A0076" w:rsidRDefault="00242B5B" w14:paraId="6F3BA293" w14:textId="3C00151D">
            <w:pPr>
              <w:jc w:val="right"/>
              <w:rPr>
                <w:rFonts w:cs="Arial"/>
                <w:b/>
                <w:i/>
                <w:sz w:val="16"/>
                <w:szCs w:val="16"/>
              </w:rPr>
            </w:pPr>
            <w:r w:rsidRPr="00AD2FDD">
              <w:rPr>
                <w:rFonts w:cs="Arial"/>
                <w:sz w:val="16"/>
                <w:szCs w:val="16"/>
              </w:rPr>
              <w:t>($</w:t>
            </w:r>
            <w:r w:rsidRPr="00AD2FDD" w:rsidR="00E73B4E">
              <w:rPr>
                <w:rFonts w:cs="Arial"/>
                <w:sz w:val="16"/>
                <w:szCs w:val="16"/>
              </w:rPr>
              <w:t>96</w:t>
            </w:r>
            <w:r w:rsidRPr="00AD2FDD">
              <w:rPr>
                <w:rFonts w:cs="Arial"/>
                <w:sz w:val="16"/>
                <w:szCs w:val="16"/>
              </w:rPr>
              <w:t>)</w:t>
            </w:r>
          </w:p>
        </w:tc>
        <w:tc>
          <w:tcPr>
            <w:tcW w:w="810" w:type="dxa"/>
            <w:shd w:val="clear" w:color="auto" w:fill="FFFFFF" w:themeFill="background1"/>
            <w:tcMar>
              <w:left w:w="58" w:type="dxa"/>
              <w:right w:w="58" w:type="dxa"/>
            </w:tcMar>
            <w:vAlign w:val="center"/>
          </w:tcPr>
          <w:p w:rsidRPr="00AD2FDD" w:rsidR="00242B5B" w:rsidP="000A0076" w:rsidRDefault="00242B5B" w14:paraId="5DD8D0BF" w14:textId="2C303E75">
            <w:pPr>
              <w:jc w:val="right"/>
              <w:rPr>
                <w:rFonts w:cs="Arial"/>
                <w:b/>
                <w:i/>
                <w:sz w:val="16"/>
                <w:szCs w:val="16"/>
              </w:rPr>
            </w:pPr>
            <w:r w:rsidRPr="00AD2FDD">
              <w:rPr>
                <w:rFonts w:cs="Arial"/>
                <w:sz w:val="16"/>
                <w:szCs w:val="16"/>
              </w:rPr>
              <w:t>24</w:t>
            </w:r>
          </w:p>
        </w:tc>
        <w:tc>
          <w:tcPr>
            <w:tcW w:w="1260" w:type="dxa"/>
            <w:gridSpan w:val="2"/>
            <w:shd w:val="clear" w:color="auto" w:fill="FFFFFF" w:themeFill="background1"/>
            <w:tcMar>
              <w:left w:w="58" w:type="dxa"/>
              <w:right w:w="58" w:type="dxa"/>
            </w:tcMar>
            <w:vAlign w:val="center"/>
          </w:tcPr>
          <w:p w:rsidRPr="00AD2FDD" w:rsidR="00242B5B" w:rsidP="000A0076" w:rsidRDefault="00242B5B" w14:paraId="61CD063A" w14:textId="5C44C05A">
            <w:pPr>
              <w:jc w:val="right"/>
              <w:rPr>
                <w:rFonts w:cs="Arial"/>
                <w:b/>
                <w:i/>
                <w:sz w:val="16"/>
                <w:szCs w:val="16"/>
              </w:rPr>
            </w:pPr>
            <w:r w:rsidRPr="00AD2FDD">
              <w:rPr>
                <w:rFonts w:cs="Arial"/>
                <w:sz w:val="16"/>
                <w:szCs w:val="16"/>
              </w:rPr>
              <w:t>($</w:t>
            </w:r>
            <w:r w:rsidRPr="00AD2FDD" w:rsidR="007B4C51">
              <w:rPr>
                <w:rFonts w:cs="Arial"/>
                <w:sz w:val="16"/>
                <w:szCs w:val="16"/>
              </w:rPr>
              <w:t>2,304</w:t>
            </w:r>
            <w:r w:rsidRPr="00AD2FDD">
              <w:rPr>
                <w:rFonts w:cs="Arial"/>
                <w:sz w:val="16"/>
                <w:szCs w:val="16"/>
              </w:rPr>
              <w:t>)</w:t>
            </w:r>
          </w:p>
        </w:tc>
      </w:tr>
      <w:tr w:rsidRPr="00AD2FDD" w:rsidR="00242B5B" w:rsidTr="003E0BFD" w14:paraId="46CF76BE" w14:textId="77777777">
        <w:tc>
          <w:tcPr>
            <w:tcW w:w="1705" w:type="dxa"/>
            <w:vMerge/>
            <w:shd w:val="clear" w:color="auto" w:fill="FFFFFF" w:themeFill="background1"/>
            <w:tcMar>
              <w:left w:w="58" w:type="dxa"/>
              <w:right w:w="58" w:type="dxa"/>
            </w:tcMar>
            <w:vAlign w:val="center"/>
          </w:tcPr>
          <w:p w:rsidRPr="00AD2FDD" w:rsidR="00242B5B" w:rsidP="000A0076" w:rsidRDefault="00242B5B" w14:paraId="69E83961" w14:textId="77777777">
            <w:pPr>
              <w:rPr>
                <w:rFonts w:cs="Arial"/>
                <w:sz w:val="16"/>
                <w:szCs w:val="16"/>
              </w:rPr>
            </w:pPr>
          </w:p>
        </w:tc>
        <w:tc>
          <w:tcPr>
            <w:tcW w:w="1463" w:type="dxa"/>
            <w:gridSpan w:val="2"/>
            <w:shd w:val="clear" w:color="auto" w:fill="FFFFFF" w:themeFill="background1"/>
            <w:tcMar>
              <w:left w:w="58" w:type="dxa"/>
              <w:right w:w="58" w:type="dxa"/>
            </w:tcMar>
            <w:vAlign w:val="center"/>
          </w:tcPr>
          <w:p w:rsidRPr="00AD2FDD" w:rsidR="00242B5B" w:rsidP="000A0076" w:rsidRDefault="00242B5B" w14:paraId="0CEE220C" w14:textId="77777777">
            <w:pPr>
              <w:rPr>
                <w:rFonts w:cs="Arial"/>
                <w:b/>
                <w:i/>
                <w:sz w:val="16"/>
                <w:szCs w:val="16"/>
              </w:rPr>
            </w:pPr>
            <w:r w:rsidRPr="00AD2FDD">
              <w:rPr>
                <w:rFonts w:cs="Arial"/>
                <w:sz w:val="16"/>
                <w:szCs w:val="16"/>
              </w:rPr>
              <w:t>Clerical</w:t>
            </w:r>
          </w:p>
        </w:tc>
        <w:tc>
          <w:tcPr>
            <w:tcW w:w="1260" w:type="dxa"/>
            <w:shd w:val="clear" w:color="auto" w:fill="FFFFFF" w:themeFill="background1"/>
            <w:tcMar>
              <w:left w:w="58" w:type="dxa"/>
              <w:right w:w="58" w:type="dxa"/>
            </w:tcMar>
            <w:vAlign w:val="center"/>
          </w:tcPr>
          <w:p w:rsidRPr="00AD2FDD" w:rsidR="00242B5B" w:rsidP="000A0076" w:rsidRDefault="00242B5B" w14:paraId="269CD7BD" w14:textId="21D8517C">
            <w:pPr>
              <w:jc w:val="center"/>
              <w:rPr>
                <w:rFonts w:cs="Arial"/>
                <w:b/>
                <w:i/>
                <w:sz w:val="16"/>
                <w:szCs w:val="16"/>
              </w:rPr>
            </w:pPr>
            <w:r w:rsidRPr="00AD2FDD">
              <w:rPr>
                <w:rFonts w:cs="Arial"/>
                <w:sz w:val="16"/>
                <w:szCs w:val="16"/>
              </w:rPr>
              <w:t>$23.84/hour</w:t>
            </w:r>
          </w:p>
        </w:tc>
        <w:tc>
          <w:tcPr>
            <w:tcW w:w="1980" w:type="dxa"/>
            <w:gridSpan w:val="2"/>
            <w:shd w:val="clear" w:color="auto" w:fill="FFFFFF" w:themeFill="background1"/>
            <w:tcMar>
              <w:left w:w="58" w:type="dxa"/>
              <w:right w:w="58" w:type="dxa"/>
            </w:tcMar>
            <w:vAlign w:val="center"/>
          </w:tcPr>
          <w:p w:rsidRPr="00AD2FDD" w:rsidR="00242B5B" w:rsidP="000A0076" w:rsidRDefault="00242B5B" w14:paraId="6A0D3C08" w14:textId="77777777">
            <w:pPr>
              <w:jc w:val="center"/>
              <w:rPr>
                <w:rFonts w:cs="Arial"/>
                <w:b/>
                <w:i/>
                <w:sz w:val="16"/>
                <w:szCs w:val="16"/>
              </w:rPr>
            </w:pPr>
            <w:r w:rsidRPr="00AD2FDD">
              <w:rPr>
                <w:rFonts w:cs="Arial"/>
                <w:sz w:val="16"/>
                <w:szCs w:val="16"/>
              </w:rPr>
              <w:t>1 hour/program</w:t>
            </w:r>
          </w:p>
        </w:tc>
        <w:tc>
          <w:tcPr>
            <w:tcW w:w="990" w:type="dxa"/>
            <w:gridSpan w:val="2"/>
            <w:shd w:val="clear" w:color="auto" w:fill="FFFFFF" w:themeFill="background1"/>
            <w:tcMar>
              <w:left w:w="58" w:type="dxa"/>
              <w:right w:w="58" w:type="dxa"/>
            </w:tcMar>
            <w:vAlign w:val="center"/>
          </w:tcPr>
          <w:p w:rsidRPr="00AD2FDD" w:rsidR="00242B5B" w:rsidP="000A0076" w:rsidRDefault="00242B5B" w14:paraId="18C4FEF6" w14:textId="43D617E0">
            <w:pPr>
              <w:jc w:val="right"/>
              <w:rPr>
                <w:rFonts w:cs="Arial"/>
                <w:b/>
                <w:i/>
                <w:sz w:val="16"/>
                <w:szCs w:val="16"/>
              </w:rPr>
            </w:pPr>
            <w:r w:rsidRPr="00AD2FDD">
              <w:rPr>
                <w:rFonts w:cs="Arial"/>
                <w:sz w:val="16"/>
                <w:szCs w:val="16"/>
              </w:rPr>
              <w:t>($24)</w:t>
            </w:r>
          </w:p>
        </w:tc>
        <w:tc>
          <w:tcPr>
            <w:tcW w:w="810" w:type="dxa"/>
            <w:shd w:val="clear" w:color="auto" w:fill="FFFFFF" w:themeFill="background1"/>
            <w:tcMar>
              <w:left w:w="58" w:type="dxa"/>
              <w:right w:w="58" w:type="dxa"/>
            </w:tcMar>
            <w:vAlign w:val="center"/>
          </w:tcPr>
          <w:p w:rsidRPr="00AD2FDD" w:rsidR="00242B5B" w:rsidP="000A0076" w:rsidRDefault="00242B5B" w14:paraId="5875E71A" w14:textId="58770E34">
            <w:pPr>
              <w:jc w:val="right"/>
              <w:rPr>
                <w:rFonts w:cs="Arial"/>
                <w:b/>
                <w:i/>
                <w:sz w:val="16"/>
                <w:szCs w:val="16"/>
              </w:rPr>
            </w:pPr>
            <w:r w:rsidRPr="00AD2FDD">
              <w:rPr>
                <w:rFonts w:cs="Arial"/>
                <w:sz w:val="16"/>
                <w:szCs w:val="16"/>
              </w:rPr>
              <w:t>24</w:t>
            </w:r>
          </w:p>
        </w:tc>
        <w:tc>
          <w:tcPr>
            <w:tcW w:w="1260" w:type="dxa"/>
            <w:gridSpan w:val="2"/>
            <w:shd w:val="clear" w:color="auto" w:fill="FFFFFF" w:themeFill="background1"/>
            <w:tcMar>
              <w:left w:w="58" w:type="dxa"/>
              <w:right w:w="58" w:type="dxa"/>
            </w:tcMar>
            <w:vAlign w:val="center"/>
          </w:tcPr>
          <w:p w:rsidRPr="00AD2FDD" w:rsidR="00242B5B" w:rsidP="000A0076" w:rsidRDefault="00242B5B" w14:paraId="3E2FB214" w14:textId="530EF8B8">
            <w:pPr>
              <w:jc w:val="right"/>
              <w:rPr>
                <w:rFonts w:cs="Arial"/>
                <w:b/>
                <w:i/>
                <w:sz w:val="16"/>
                <w:szCs w:val="16"/>
              </w:rPr>
            </w:pPr>
            <w:r w:rsidRPr="00AD2FDD">
              <w:rPr>
                <w:rFonts w:cs="Arial"/>
                <w:sz w:val="16"/>
                <w:szCs w:val="16"/>
              </w:rPr>
              <w:t>($576)</w:t>
            </w:r>
          </w:p>
        </w:tc>
      </w:tr>
      <w:tr w:rsidRPr="00AD2FDD" w:rsidR="00242B5B" w:rsidTr="00321819" w14:paraId="32ADE3D7" w14:textId="77777777">
        <w:tc>
          <w:tcPr>
            <w:tcW w:w="1705" w:type="dxa"/>
            <w:vMerge/>
            <w:tcBorders>
              <w:bottom w:val="single" w:color="auto" w:sz="4" w:space="0"/>
            </w:tcBorders>
            <w:shd w:val="clear" w:color="auto" w:fill="FFFFFF" w:themeFill="background1"/>
            <w:tcMar>
              <w:left w:w="58" w:type="dxa"/>
              <w:right w:w="58" w:type="dxa"/>
            </w:tcMar>
            <w:vAlign w:val="center"/>
          </w:tcPr>
          <w:p w:rsidRPr="00AD2FDD" w:rsidR="00242B5B" w:rsidP="000A0076" w:rsidRDefault="00242B5B" w14:paraId="200B29D2" w14:textId="77777777">
            <w:pPr>
              <w:rPr>
                <w:rFonts w:cs="Arial"/>
                <w:sz w:val="16"/>
                <w:szCs w:val="16"/>
              </w:rPr>
            </w:pPr>
          </w:p>
        </w:tc>
        <w:tc>
          <w:tcPr>
            <w:tcW w:w="1463" w:type="dxa"/>
            <w:gridSpan w:val="2"/>
            <w:tcBorders>
              <w:bottom w:val="single" w:color="auto" w:sz="4" w:space="0"/>
            </w:tcBorders>
            <w:shd w:val="clear" w:color="auto" w:fill="FFFFFF" w:themeFill="background1"/>
            <w:tcMar>
              <w:left w:w="58" w:type="dxa"/>
              <w:right w:w="58" w:type="dxa"/>
            </w:tcMar>
            <w:vAlign w:val="center"/>
          </w:tcPr>
          <w:p w:rsidRPr="00AD2FDD" w:rsidR="00242B5B" w:rsidP="000A0076" w:rsidRDefault="00242B5B" w14:paraId="67502C1D" w14:textId="77777777">
            <w:pPr>
              <w:rPr>
                <w:rFonts w:cs="Arial"/>
                <w:b/>
                <w:i/>
                <w:sz w:val="16"/>
                <w:szCs w:val="16"/>
              </w:rPr>
            </w:pPr>
            <w:r w:rsidRPr="00AD2FDD">
              <w:rPr>
                <w:rFonts w:cs="Arial"/>
                <w:sz w:val="16"/>
                <w:szCs w:val="16"/>
              </w:rPr>
              <w:t>Legal</w:t>
            </w:r>
          </w:p>
        </w:tc>
        <w:tc>
          <w:tcPr>
            <w:tcW w:w="1260" w:type="dxa"/>
            <w:tcBorders>
              <w:bottom w:val="single" w:color="auto" w:sz="4" w:space="0"/>
            </w:tcBorders>
            <w:shd w:val="clear" w:color="auto" w:fill="FFFFFF" w:themeFill="background1"/>
            <w:tcMar>
              <w:left w:w="58" w:type="dxa"/>
              <w:right w:w="58" w:type="dxa"/>
            </w:tcMar>
            <w:vAlign w:val="center"/>
          </w:tcPr>
          <w:p w:rsidRPr="00AD2FDD" w:rsidR="00242B5B" w:rsidP="000A0076" w:rsidRDefault="00242B5B" w14:paraId="09B931AD" w14:textId="54E5ECE5">
            <w:pPr>
              <w:jc w:val="center"/>
              <w:rPr>
                <w:rFonts w:cs="Arial"/>
                <w:b/>
                <w:i/>
                <w:sz w:val="16"/>
                <w:szCs w:val="16"/>
              </w:rPr>
            </w:pPr>
            <w:r w:rsidRPr="00AD2FDD">
              <w:rPr>
                <w:rFonts w:cs="Arial"/>
                <w:sz w:val="16"/>
                <w:szCs w:val="16"/>
              </w:rPr>
              <w:t>$137.32/hour</w:t>
            </w:r>
          </w:p>
        </w:tc>
        <w:tc>
          <w:tcPr>
            <w:tcW w:w="1980" w:type="dxa"/>
            <w:gridSpan w:val="2"/>
            <w:tcBorders>
              <w:bottom w:val="single" w:color="auto" w:sz="4" w:space="0"/>
            </w:tcBorders>
            <w:shd w:val="clear" w:color="auto" w:fill="FFFFFF" w:themeFill="background1"/>
            <w:tcMar>
              <w:left w:w="58" w:type="dxa"/>
              <w:right w:w="58" w:type="dxa"/>
            </w:tcMar>
            <w:vAlign w:val="center"/>
          </w:tcPr>
          <w:p w:rsidRPr="00AD2FDD" w:rsidR="00242B5B" w:rsidP="000A0076" w:rsidRDefault="00242B5B" w14:paraId="20B364DC" w14:textId="77777777">
            <w:pPr>
              <w:jc w:val="center"/>
              <w:rPr>
                <w:rFonts w:cs="Arial"/>
                <w:b/>
                <w:i/>
                <w:sz w:val="16"/>
                <w:szCs w:val="16"/>
              </w:rPr>
            </w:pPr>
            <w:r w:rsidRPr="00AD2FDD">
              <w:rPr>
                <w:rFonts w:cs="Arial"/>
                <w:sz w:val="16"/>
                <w:szCs w:val="16"/>
              </w:rPr>
              <w:t>1 hour/program</w:t>
            </w:r>
          </w:p>
        </w:tc>
        <w:tc>
          <w:tcPr>
            <w:tcW w:w="990" w:type="dxa"/>
            <w:gridSpan w:val="2"/>
            <w:tcBorders>
              <w:bottom w:val="single" w:color="auto" w:sz="4" w:space="0"/>
            </w:tcBorders>
            <w:shd w:val="clear" w:color="auto" w:fill="FFFFFF" w:themeFill="background1"/>
            <w:tcMar>
              <w:left w:w="58" w:type="dxa"/>
              <w:right w:w="58" w:type="dxa"/>
            </w:tcMar>
            <w:vAlign w:val="center"/>
          </w:tcPr>
          <w:p w:rsidRPr="00AD2FDD" w:rsidR="00242B5B" w:rsidP="000A0076" w:rsidRDefault="00242B5B" w14:paraId="1D310971" w14:textId="46EA65E6">
            <w:pPr>
              <w:jc w:val="right"/>
              <w:rPr>
                <w:rFonts w:cs="Arial"/>
                <w:b/>
                <w:i/>
                <w:sz w:val="16"/>
                <w:szCs w:val="16"/>
              </w:rPr>
            </w:pPr>
            <w:r w:rsidRPr="00AD2FDD">
              <w:rPr>
                <w:rFonts w:cs="Arial"/>
                <w:sz w:val="16"/>
                <w:szCs w:val="16"/>
              </w:rPr>
              <w:t>($137)</w:t>
            </w:r>
          </w:p>
        </w:tc>
        <w:tc>
          <w:tcPr>
            <w:tcW w:w="810" w:type="dxa"/>
            <w:tcBorders>
              <w:bottom w:val="single" w:color="auto" w:sz="4" w:space="0"/>
            </w:tcBorders>
            <w:shd w:val="clear" w:color="auto" w:fill="FFFFFF" w:themeFill="background1"/>
            <w:tcMar>
              <w:left w:w="58" w:type="dxa"/>
              <w:right w:w="58" w:type="dxa"/>
            </w:tcMar>
            <w:vAlign w:val="center"/>
          </w:tcPr>
          <w:p w:rsidRPr="00AD2FDD" w:rsidR="00242B5B" w:rsidP="000A0076" w:rsidRDefault="00242B5B" w14:paraId="7D43EC65" w14:textId="168B0126">
            <w:pPr>
              <w:jc w:val="right"/>
              <w:rPr>
                <w:rFonts w:cs="Arial"/>
                <w:b/>
                <w:i/>
                <w:sz w:val="16"/>
                <w:szCs w:val="16"/>
              </w:rPr>
            </w:pPr>
            <w:r w:rsidRPr="00AD2FDD">
              <w:rPr>
                <w:rFonts w:cs="Arial"/>
                <w:sz w:val="16"/>
                <w:szCs w:val="16"/>
              </w:rPr>
              <w:t>24</w:t>
            </w:r>
          </w:p>
        </w:tc>
        <w:tc>
          <w:tcPr>
            <w:tcW w:w="1260" w:type="dxa"/>
            <w:gridSpan w:val="2"/>
            <w:tcBorders>
              <w:bottom w:val="single" w:color="auto" w:sz="4" w:space="0"/>
            </w:tcBorders>
            <w:shd w:val="clear" w:color="auto" w:fill="FFFFFF" w:themeFill="background1"/>
            <w:tcMar>
              <w:left w:w="58" w:type="dxa"/>
              <w:right w:w="58" w:type="dxa"/>
            </w:tcMar>
            <w:vAlign w:val="center"/>
          </w:tcPr>
          <w:p w:rsidRPr="00AD2FDD" w:rsidR="00242B5B" w:rsidP="000A0076" w:rsidRDefault="00242B5B" w14:paraId="31D0CF4F" w14:textId="409BF3B0">
            <w:pPr>
              <w:jc w:val="right"/>
              <w:rPr>
                <w:rFonts w:cs="Arial"/>
                <w:b/>
                <w:i/>
                <w:sz w:val="16"/>
                <w:szCs w:val="16"/>
              </w:rPr>
            </w:pPr>
            <w:r w:rsidRPr="00AD2FDD">
              <w:rPr>
                <w:rFonts w:cs="Arial"/>
                <w:sz w:val="16"/>
                <w:szCs w:val="16"/>
              </w:rPr>
              <w:t>($3,288)</w:t>
            </w:r>
          </w:p>
        </w:tc>
      </w:tr>
      <w:tr w:rsidRPr="00AD2FDD" w:rsidR="00D520BD" w:rsidTr="00321819" w14:paraId="63FDA7F6" w14:textId="77777777">
        <w:tc>
          <w:tcPr>
            <w:tcW w:w="1705" w:type="dxa"/>
            <w:vMerge w:val="restart"/>
            <w:shd w:val="clear" w:color="auto" w:fill="FFFFFF" w:themeFill="background1"/>
            <w:tcMar>
              <w:left w:w="58" w:type="dxa"/>
              <w:right w:w="58" w:type="dxa"/>
            </w:tcMar>
            <w:vAlign w:val="center"/>
          </w:tcPr>
          <w:p w:rsidRPr="00AD2FDD" w:rsidR="00D520BD" w:rsidP="00982BD1" w:rsidRDefault="00D520BD" w14:paraId="540A7649" w14:textId="77777777">
            <w:pPr>
              <w:rPr>
                <w:rFonts w:cs="Arial"/>
                <w:sz w:val="16"/>
                <w:szCs w:val="16"/>
              </w:rPr>
            </w:pPr>
            <w:r w:rsidRPr="00AD2FDD">
              <w:rPr>
                <w:rFonts w:cs="Arial"/>
                <w:sz w:val="16"/>
                <w:szCs w:val="16"/>
              </w:rPr>
              <w:t>(4) Train LTF Technicians</w:t>
            </w:r>
          </w:p>
        </w:tc>
        <w:tc>
          <w:tcPr>
            <w:tcW w:w="1463" w:type="dxa"/>
            <w:gridSpan w:val="2"/>
            <w:shd w:val="clear" w:color="auto" w:fill="FFFFFF" w:themeFill="background1"/>
            <w:tcMar>
              <w:left w:w="58" w:type="dxa"/>
              <w:right w:w="58" w:type="dxa"/>
            </w:tcMar>
            <w:vAlign w:val="center"/>
          </w:tcPr>
          <w:p w:rsidRPr="00AD2FDD" w:rsidR="00D520BD" w:rsidP="00982BD1" w:rsidRDefault="00D520BD" w14:paraId="3068BDCA" w14:textId="77777777">
            <w:pPr>
              <w:rPr>
                <w:rFonts w:cs="Arial"/>
                <w:b/>
                <w:i/>
                <w:sz w:val="16"/>
                <w:szCs w:val="16"/>
              </w:rPr>
            </w:pPr>
            <w:r w:rsidRPr="00AD2FDD">
              <w:rPr>
                <w:rFonts w:cs="Arial"/>
                <w:sz w:val="16"/>
                <w:szCs w:val="16"/>
              </w:rPr>
              <w:t>LTF Technician</w:t>
            </w:r>
          </w:p>
        </w:tc>
        <w:tc>
          <w:tcPr>
            <w:tcW w:w="1260" w:type="dxa"/>
            <w:shd w:val="clear" w:color="auto" w:fill="FFFFFF" w:themeFill="background1"/>
            <w:tcMar>
              <w:left w:w="58" w:type="dxa"/>
              <w:right w:w="58" w:type="dxa"/>
            </w:tcMar>
            <w:vAlign w:val="center"/>
          </w:tcPr>
          <w:p w:rsidRPr="00AD2FDD" w:rsidR="00D520BD" w:rsidP="00982BD1" w:rsidRDefault="00D520BD" w14:paraId="3D45BE1B" w14:textId="494F6B72">
            <w:pPr>
              <w:jc w:val="center"/>
              <w:rPr>
                <w:rFonts w:cs="Arial"/>
                <w:b/>
                <w:i/>
                <w:sz w:val="16"/>
                <w:szCs w:val="16"/>
              </w:rPr>
            </w:pPr>
            <w:r w:rsidRPr="00AD2FDD">
              <w:rPr>
                <w:rFonts w:cs="Arial"/>
                <w:sz w:val="16"/>
                <w:szCs w:val="16"/>
              </w:rPr>
              <w:t>$</w:t>
            </w:r>
            <w:r w:rsidRPr="00AD2FDD" w:rsidR="00455886">
              <w:rPr>
                <w:rFonts w:cs="Arial"/>
                <w:sz w:val="16"/>
                <w:szCs w:val="16"/>
              </w:rPr>
              <w:t>40.84</w:t>
            </w:r>
            <w:r w:rsidRPr="00AD2FDD">
              <w:rPr>
                <w:rFonts w:cs="Arial"/>
                <w:sz w:val="16"/>
                <w:szCs w:val="16"/>
              </w:rPr>
              <w:t>/hour</w:t>
            </w:r>
          </w:p>
        </w:tc>
        <w:tc>
          <w:tcPr>
            <w:tcW w:w="1980" w:type="dxa"/>
            <w:gridSpan w:val="2"/>
            <w:shd w:val="clear" w:color="auto" w:fill="FFFFFF" w:themeFill="background1"/>
            <w:tcMar>
              <w:left w:w="58" w:type="dxa"/>
              <w:right w:w="58" w:type="dxa"/>
            </w:tcMar>
            <w:vAlign w:val="center"/>
          </w:tcPr>
          <w:p w:rsidRPr="00AD2FDD" w:rsidR="00D520BD" w:rsidP="00982BD1" w:rsidRDefault="00DA787D" w14:paraId="379AF5D7" w14:textId="1DA196F2">
            <w:pPr>
              <w:jc w:val="center"/>
              <w:rPr>
                <w:rFonts w:cs="Arial"/>
                <w:sz w:val="16"/>
                <w:szCs w:val="16"/>
              </w:rPr>
            </w:pPr>
            <w:r w:rsidRPr="00AD2FDD">
              <w:rPr>
                <w:rFonts w:cs="Arial"/>
                <w:sz w:val="16"/>
                <w:szCs w:val="16"/>
              </w:rPr>
              <w:t>2</w:t>
            </w:r>
            <w:r w:rsidRPr="00AD2FDD" w:rsidR="00D520BD">
              <w:rPr>
                <w:rFonts w:cs="Arial"/>
                <w:sz w:val="16"/>
                <w:szCs w:val="16"/>
              </w:rPr>
              <w:t xml:space="preserve"> hour</w:t>
            </w:r>
            <w:r w:rsidRPr="00AD2FDD" w:rsidR="00BF3965">
              <w:rPr>
                <w:rFonts w:cs="Arial"/>
                <w:sz w:val="16"/>
                <w:szCs w:val="16"/>
              </w:rPr>
              <w:t>s</w:t>
            </w:r>
            <w:r w:rsidRPr="00AD2FDD" w:rsidR="00D520BD">
              <w:rPr>
                <w:rFonts w:cs="Arial"/>
                <w:sz w:val="16"/>
                <w:szCs w:val="16"/>
              </w:rPr>
              <w:t>/technician</w:t>
            </w:r>
          </w:p>
          <w:p w:rsidRPr="00AD2FDD" w:rsidR="00D520BD" w:rsidP="00982BD1" w:rsidRDefault="00D520BD" w14:paraId="4ED5FF63" w14:textId="77777777">
            <w:pPr>
              <w:jc w:val="center"/>
              <w:rPr>
                <w:rFonts w:cs="Arial"/>
                <w:b/>
                <w:i/>
                <w:sz w:val="16"/>
                <w:szCs w:val="16"/>
              </w:rPr>
            </w:pPr>
            <w:r w:rsidRPr="00AD2FDD">
              <w:rPr>
                <w:rFonts w:cs="Arial"/>
                <w:sz w:val="16"/>
                <w:szCs w:val="16"/>
              </w:rPr>
              <w:t>(2 technicians/LTF)</w:t>
            </w:r>
          </w:p>
        </w:tc>
        <w:tc>
          <w:tcPr>
            <w:tcW w:w="990" w:type="dxa"/>
            <w:gridSpan w:val="2"/>
            <w:shd w:val="clear" w:color="auto" w:fill="FFFFFF" w:themeFill="background1"/>
            <w:tcMar>
              <w:left w:w="58" w:type="dxa"/>
              <w:right w:w="58" w:type="dxa"/>
            </w:tcMar>
            <w:vAlign w:val="center"/>
          </w:tcPr>
          <w:p w:rsidRPr="00AD2FDD" w:rsidR="00D520BD" w:rsidP="00982BD1" w:rsidRDefault="00D520BD" w14:paraId="02B36158" w14:textId="6F093DD7">
            <w:pPr>
              <w:jc w:val="right"/>
              <w:rPr>
                <w:rFonts w:cs="Arial"/>
                <w:b/>
                <w:i/>
                <w:sz w:val="16"/>
                <w:szCs w:val="16"/>
              </w:rPr>
            </w:pPr>
            <w:r w:rsidRPr="00AD2FDD">
              <w:rPr>
                <w:rFonts w:cs="Arial"/>
                <w:sz w:val="16"/>
                <w:szCs w:val="16"/>
              </w:rPr>
              <w:t>($</w:t>
            </w:r>
            <w:r w:rsidRPr="00AD2FDD" w:rsidR="00321819">
              <w:rPr>
                <w:rFonts w:cs="Arial"/>
                <w:sz w:val="16"/>
                <w:szCs w:val="16"/>
              </w:rPr>
              <w:t>177</w:t>
            </w:r>
            <w:r w:rsidRPr="00AD2FDD">
              <w:rPr>
                <w:rFonts w:cs="Arial"/>
                <w:sz w:val="16"/>
                <w:szCs w:val="16"/>
              </w:rPr>
              <w:t>)</w:t>
            </w:r>
          </w:p>
        </w:tc>
        <w:tc>
          <w:tcPr>
            <w:tcW w:w="810" w:type="dxa"/>
            <w:shd w:val="clear" w:color="auto" w:fill="FFFFFF" w:themeFill="background1"/>
            <w:tcMar>
              <w:left w:w="58" w:type="dxa"/>
              <w:right w:w="58" w:type="dxa"/>
            </w:tcMar>
            <w:vAlign w:val="center"/>
          </w:tcPr>
          <w:p w:rsidRPr="00AD2FDD" w:rsidR="00D520BD" w:rsidP="00982BD1" w:rsidRDefault="003334FA" w14:paraId="36AA216B" w14:textId="5BB66E78">
            <w:pPr>
              <w:jc w:val="right"/>
              <w:rPr>
                <w:rFonts w:cs="Arial"/>
                <w:b/>
                <w:i/>
                <w:sz w:val="16"/>
                <w:szCs w:val="16"/>
              </w:rPr>
            </w:pPr>
            <w:r w:rsidRPr="00AD2FDD">
              <w:rPr>
                <w:rFonts w:cs="Arial"/>
                <w:sz w:val="16"/>
                <w:szCs w:val="16"/>
              </w:rPr>
              <w:t>3</w:t>
            </w:r>
          </w:p>
        </w:tc>
        <w:tc>
          <w:tcPr>
            <w:tcW w:w="1260" w:type="dxa"/>
            <w:gridSpan w:val="2"/>
            <w:shd w:val="clear" w:color="auto" w:fill="FFFFFF" w:themeFill="background1"/>
            <w:tcMar>
              <w:left w:w="58" w:type="dxa"/>
              <w:right w:w="58" w:type="dxa"/>
            </w:tcMar>
            <w:vAlign w:val="center"/>
          </w:tcPr>
          <w:p w:rsidRPr="00AD2FDD" w:rsidR="00D520BD" w:rsidP="00982BD1" w:rsidRDefault="00D520BD" w14:paraId="37D0E568" w14:textId="508C2A58">
            <w:pPr>
              <w:jc w:val="right"/>
              <w:rPr>
                <w:rFonts w:cs="Arial"/>
                <w:b/>
                <w:i/>
                <w:sz w:val="16"/>
                <w:szCs w:val="16"/>
              </w:rPr>
            </w:pPr>
            <w:r w:rsidRPr="00317438">
              <w:rPr>
                <w:rFonts w:eastAsia="Arial"/>
                <w:sz w:val="16"/>
              </w:rPr>
              <w:t>($</w:t>
            </w:r>
            <w:r w:rsidRPr="00317438" w:rsidR="00321819">
              <w:rPr>
                <w:rFonts w:eastAsia="Arial"/>
                <w:sz w:val="16"/>
              </w:rPr>
              <w:t>531</w:t>
            </w:r>
            <w:r w:rsidRPr="00AD2FDD">
              <w:rPr>
                <w:rFonts w:eastAsia="Arial" w:cs="Arial"/>
                <w:sz w:val="16"/>
                <w:szCs w:val="16"/>
              </w:rPr>
              <w:t>)</w:t>
            </w:r>
          </w:p>
        </w:tc>
      </w:tr>
      <w:tr w:rsidRPr="00AD2FDD" w:rsidR="00D520BD" w:rsidTr="00982BD1" w14:paraId="3BECC87B" w14:textId="77777777">
        <w:tc>
          <w:tcPr>
            <w:tcW w:w="1705" w:type="dxa"/>
            <w:vMerge/>
            <w:tcMar>
              <w:left w:w="58" w:type="dxa"/>
              <w:right w:w="58" w:type="dxa"/>
            </w:tcMar>
            <w:vAlign w:val="center"/>
          </w:tcPr>
          <w:p w:rsidRPr="00AD2FDD" w:rsidR="00D520BD" w:rsidP="00982BD1" w:rsidRDefault="00D520BD" w14:paraId="152178C3" w14:textId="77777777">
            <w:pPr>
              <w:rPr>
                <w:rFonts w:cs="Arial"/>
                <w:b/>
                <w:i/>
                <w:sz w:val="16"/>
                <w:szCs w:val="16"/>
              </w:rPr>
            </w:pPr>
          </w:p>
        </w:tc>
        <w:tc>
          <w:tcPr>
            <w:tcW w:w="1463" w:type="dxa"/>
            <w:gridSpan w:val="2"/>
            <w:tcMar>
              <w:left w:w="58" w:type="dxa"/>
              <w:right w:w="58" w:type="dxa"/>
            </w:tcMar>
            <w:vAlign w:val="center"/>
          </w:tcPr>
          <w:p w:rsidRPr="00AD2FDD" w:rsidR="00D520BD" w:rsidP="00982BD1" w:rsidRDefault="00D520BD" w14:paraId="40229600" w14:textId="77777777">
            <w:pPr>
              <w:rPr>
                <w:rFonts w:cs="Arial"/>
                <w:sz w:val="16"/>
                <w:szCs w:val="16"/>
              </w:rPr>
            </w:pPr>
            <w:r w:rsidRPr="00317438">
              <w:rPr>
                <w:rFonts w:eastAsia="Arial"/>
                <w:sz w:val="16"/>
              </w:rPr>
              <w:t>Traini</w:t>
            </w:r>
            <w:r w:rsidRPr="00AD2FDD">
              <w:rPr>
                <w:rFonts w:eastAsia="Arial" w:cs="Arial"/>
                <w:sz w:val="16"/>
                <w:szCs w:val="16"/>
              </w:rPr>
              <w:t>ng</w:t>
            </w:r>
            <w:r w:rsidRPr="00317438">
              <w:rPr>
                <w:rFonts w:eastAsia="Arial"/>
                <w:sz w:val="16"/>
              </w:rPr>
              <w:t xml:space="preserve"> M</w:t>
            </w:r>
            <w:r w:rsidRPr="00AD2FDD">
              <w:rPr>
                <w:rFonts w:eastAsia="Arial" w:cs="Arial"/>
                <w:sz w:val="16"/>
                <w:szCs w:val="16"/>
              </w:rPr>
              <w:t>at</w:t>
            </w:r>
            <w:r w:rsidRPr="00317438">
              <w:rPr>
                <w:rFonts w:eastAsia="Arial"/>
                <w:sz w:val="16"/>
              </w:rPr>
              <w:t>erial</w:t>
            </w:r>
            <w:r w:rsidRPr="00AD2FDD">
              <w:rPr>
                <w:rFonts w:eastAsia="Arial" w:cs="Arial"/>
                <w:sz w:val="16"/>
                <w:szCs w:val="16"/>
              </w:rPr>
              <w:t>s</w:t>
            </w:r>
          </w:p>
        </w:tc>
        <w:tc>
          <w:tcPr>
            <w:tcW w:w="1260" w:type="dxa"/>
            <w:shd w:val="clear" w:color="auto" w:fill="auto"/>
            <w:tcMar>
              <w:left w:w="58" w:type="dxa"/>
              <w:right w:w="58" w:type="dxa"/>
            </w:tcMar>
            <w:vAlign w:val="center"/>
          </w:tcPr>
          <w:p w:rsidRPr="00AD2FDD" w:rsidR="00D520BD" w:rsidP="00982BD1" w:rsidRDefault="00D520BD" w14:paraId="09E14A95" w14:textId="15E9FF52">
            <w:pPr>
              <w:jc w:val="center"/>
              <w:rPr>
                <w:rFonts w:cs="Arial"/>
                <w:sz w:val="16"/>
                <w:szCs w:val="16"/>
              </w:rPr>
            </w:pPr>
            <w:r w:rsidRPr="00AD2FDD">
              <w:rPr>
                <w:rFonts w:eastAsia="Arial" w:cs="Arial"/>
                <w:sz w:val="16"/>
                <w:szCs w:val="16"/>
              </w:rPr>
              <w:t>$</w:t>
            </w:r>
            <w:r w:rsidRPr="00AD2FDD" w:rsidR="00455886">
              <w:rPr>
                <w:rFonts w:eastAsia="Arial" w:cs="Arial"/>
                <w:sz w:val="16"/>
                <w:szCs w:val="16"/>
              </w:rPr>
              <w:t>533</w:t>
            </w:r>
            <w:r w:rsidRPr="00AD2FDD" w:rsidR="00CD5988">
              <w:rPr>
                <w:rFonts w:eastAsia="Arial" w:cs="Arial"/>
                <w:sz w:val="16"/>
                <w:szCs w:val="16"/>
              </w:rPr>
              <w:t xml:space="preserve"> per </w:t>
            </w:r>
            <w:r w:rsidRPr="00AD2FDD">
              <w:rPr>
                <w:rFonts w:eastAsia="Arial" w:cs="Arial"/>
                <w:sz w:val="16"/>
                <w:szCs w:val="16"/>
              </w:rPr>
              <w:t>L</w:t>
            </w:r>
            <w:r w:rsidRPr="00317438">
              <w:rPr>
                <w:rFonts w:eastAsia="Arial"/>
                <w:sz w:val="16"/>
              </w:rPr>
              <w:t>T</w:t>
            </w:r>
            <w:r w:rsidRPr="00AD2FDD">
              <w:rPr>
                <w:rFonts w:eastAsia="Arial" w:cs="Arial"/>
                <w:sz w:val="16"/>
                <w:szCs w:val="16"/>
              </w:rPr>
              <w:t>F</w:t>
            </w:r>
          </w:p>
        </w:tc>
        <w:tc>
          <w:tcPr>
            <w:tcW w:w="1980" w:type="dxa"/>
            <w:gridSpan w:val="2"/>
            <w:tcMar>
              <w:left w:w="58" w:type="dxa"/>
              <w:right w:w="58" w:type="dxa"/>
            </w:tcMar>
            <w:vAlign w:val="center"/>
          </w:tcPr>
          <w:p w:rsidRPr="00AD2FDD" w:rsidR="00D520BD" w:rsidP="00982BD1" w:rsidRDefault="00D520BD" w14:paraId="22F6DBAC" w14:textId="77777777">
            <w:pPr>
              <w:jc w:val="center"/>
              <w:rPr>
                <w:rFonts w:cs="Arial"/>
                <w:sz w:val="16"/>
                <w:szCs w:val="16"/>
              </w:rPr>
            </w:pPr>
            <w:r w:rsidRPr="00AD2FDD">
              <w:rPr>
                <w:rFonts w:cs="Arial"/>
                <w:sz w:val="16"/>
                <w:szCs w:val="16"/>
              </w:rPr>
              <w:t>1 per LTF</w:t>
            </w:r>
          </w:p>
        </w:tc>
        <w:tc>
          <w:tcPr>
            <w:tcW w:w="990" w:type="dxa"/>
            <w:gridSpan w:val="2"/>
            <w:shd w:val="clear" w:color="auto" w:fill="auto"/>
            <w:tcMar>
              <w:left w:w="58" w:type="dxa"/>
              <w:right w:w="58" w:type="dxa"/>
            </w:tcMar>
            <w:vAlign w:val="center"/>
          </w:tcPr>
          <w:p w:rsidRPr="00AD2FDD" w:rsidR="00D520BD" w:rsidP="00982BD1" w:rsidRDefault="00D520BD" w14:paraId="73560908" w14:textId="00EC5861">
            <w:pPr>
              <w:jc w:val="right"/>
              <w:rPr>
                <w:rFonts w:cs="Arial"/>
                <w:sz w:val="16"/>
                <w:szCs w:val="16"/>
              </w:rPr>
            </w:pPr>
            <w:r w:rsidRPr="00317438">
              <w:rPr>
                <w:rFonts w:eastAsia="Arial"/>
                <w:sz w:val="16"/>
              </w:rPr>
              <w:t>(</w:t>
            </w:r>
            <w:r w:rsidRPr="00AD2FDD">
              <w:rPr>
                <w:rFonts w:eastAsia="Arial" w:cs="Arial"/>
                <w:sz w:val="16"/>
                <w:szCs w:val="16"/>
              </w:rPr>
              <w:t>$5</w:t>
            </w:r>
            <w:r w:rsidRPr="00AD2FDD" w:rsidR="003334FA">
              <w:rPr>
                <w:rFonts w:eastAsia="Arial" w:cs="Arial"/>
                <w:sz w:val="16"/>
                <w:szCs w:val="16"/>
              </w:rPr>
              <w:t>33</w:t>
            </w:r>
            <w:r w:rsidRPr="00AD2FDD">
              <w:rPr>
                <w:rFonts w:eastAsia="Arial" w:cs="Arial"/>
                <w:sz w:val="16"/>
                <w:szCs w:val="16"/>
              </w:rPr>
              <w:t>)</w:t>
            </w:r>
          </w:p>
        </w:tc>
        <w:tc>
          <w:tcPr>
            <w:tcW w:w="810" w:type="dxa"/>
            <w:shd w:val="clear" w:color="auto" w:fill="auto"/>
            <w:tcMar>
              <w:left w:w="58" w:type="dxa"/>
              <w:right w:w="58" w:type="dxa"/>
            </w:tcMar>
            <w:vAlign w:val="center"/>
          </w:tcPr>
          <w:p w:rsidRPr="00AD2FDD" w:rsidR="00D520BD" w:rsidP="00982BD1" w:rsidRDefault="003334FA" w14:paraId="46A576E9" w14:textId="5FF3A5D4">
            <w:pPr>
              <w:jc w:val="right"/>
              <w:rPr>
                <w:rFonts w:cs="Arial"/>
                <w:sz w:val="16"/>
                <w:szCs w:val="16"/>
              </w:rPr>
            </w:pPr>
            <w:r w:rsidRPr="00AD2FDD">
              <w:rPr>
                <w:rFonts w:eastAsia="Arial" w:cs="Arial"/>
                <w:sz w:val="16"/>
                <w:szCs w:val="16"/>
              </w:rPr>
              <w:t>3</w:t>
            </w:r>
          </w:p>
        </w:tc>
        <w:tc>
          <w:tcPr>
            <w:tcW w:w="1260" w:type="dxa"/>
            <w:gridSpan w:val="2"/>
            <w:shd w:val="clear" w:color="auto" w:fill="auto"/>
            <w:tcMar>
              <w:left w:w="58" w:type="dxa"/>
              <w:right w:w="58" w:type="dxa"/>
            </w:tcMar>
            <w:vAlign w:val="center"/>
          </w:tcPr>
          <w:p w:rsidRPr="00AD2FDD" w:rsidR="00D520BD" w:rsidP="00982BD1" w:rsidRDefault="00D520BD" w14:paraId="54CF9DFD" w14:textId="7991E4FC">
            <w:pPr>
              <w:jc w:val="right"/>
              <w:rPr>
                <w:rFonts w:cs="Arial"/>
                <w:sz w:val="16"/>
                <w:szCs w:val="16"/>
              </w:rPr>
            </w:pPr>
            <w:r w:rsidRPr="00317438">
              <w:rPr>
                <w:rFonts w:eastAsia="Arial"/>
                <w:sz w:val="16"/>
              </w:rPr>
              <w:t>($</w:t>
            </w:r>
            <w:r w:rsidRPr="00317438" w:rsidR="003334FA">
              <w:rPr>
                <w:rFonts w:eastAsia="Arial"/>
                <w:sz w:val="16"/>
              </w:rPr>
              <w:t>1,600</w:t>
            </w:r>
            <w:r w:rsidRPr="00AD2FDD">
              <w:rPr>
                <w:rFonts w:eastAsia="Arial" w:cs="Arial"/>
                <w:sz w:val="16"/>
                <w:szCs w:val="16"/>
              </w:rPr>
              <w:t>)</w:t>
            </w:r>
          </w:p>
        </w:tc>
      </w:tr>
      <w:tr w:rsidRPr="00AD2FDD" w:rsidR="00D520BD" w:rsidTr="00E52D00" w14:paraId="2A9FC754" w14:textId="77777777">
        <w:trPr>
          <w:trHeight w:val="431"/>
        </w:trPr>
        <w:tc>
          <w:tcPr>
            <w:tcW w:w="1705" w:type="dxa"/>
            <w:tcBorders>
              <w:bottom w:val="single" w:color="auto" w:sz="4" w:space="0"/>
            </w:tcBorders>
            <w:tcMar>
              <w:left w:w="58" w:type="dxa"/>
              <w:right w:w="58" w:type="dxa"/>
            </w:tcMar>
            <w:vAlign w:val="center"/>
          </w:tcPr>
          <w:p w:rsidRPr="00AD2FDD" w:rsidR="00D520BD" w:rsidP="00982BD1" w:rsidRDefault="00D520BD" w14:paraId="05D3DACC" w14:textId="77777777">
            <w:pPr>
              <w:rPr>
                <w:rFonts w:cs="Arial"/>
                <w:b/>
                <w:i/>
                <w:sz w:val="16"/>
                <w:szCs w:val="16"/>
              </w:rPr>
            </w:pPr>
            <w:r w:rsidRPr="00AD2FDD">
              <w:rPr>
                <w:rFonts w:cs="Arial"/>
                <w:sz w:val="16"/>
                <w:szCs w:val="16"/>
              </w:rPr>
              <w:t>(5) Validate drug test assays at the LTF</w:t>
            </w:r>
          </w:p>
        </w:tc>
        <w:tc>
          <w:tcPr>
            <w:tcW w:w="1463" w:type="dxa"/>
            <w:gridSpan w:val="2"/>
            <w:tcBorders>
              <w:bottom w:val="single" w:color="auto" w:sz="4" w:space="0"/>
            </w:tcBorders>
            <w:shd w:val="clear" w:color="auto" w:fill="auto"/>
            <w:tcMar>
              <w:left w:w="58" w:type="dxa"/>
              <w:right w:w="58" w:type="dxa"/>
            </w:tcMar>
            <w:vAlign w:val="center"/>
          </w:tcPr>
          <w:p w:rsidRPr="00AD2FDD" w:rsidR="00D520BD" w:rsidP="00982BD1" w:rsidRDefault="00D520BD" w14:paraId="2B7D7BDC" w14:textId="66E80D76">
            <w:pPr>
              <w:rPr>
                <w:rFonts w:cs="Arial"/>
                <w:b/>
                <w:i/>
                <w:sz w:val="16"/>
                <w:szCs w:val="16"/>
              </w:rPr>
            </w:pPr>
            <w:r w:rsidRPr="00AD2FDD">
              <w:rPr>
                <w:rFonts w:cs="Arial"/>
                <w:sz w:val="16"/>
                <w:szCs w:val="16"/>
              </w:rPr>
              <w:t>LTF Supervisor</w:t>
            </w:r>
          </w:p>
        </w:tc>
        <w:tc>
          <w:tcPr>
            <w:tcW w:w="1260" w:type="dxa"/>
            <w:tcBorders>
              <w:bottom w:val="single" w:color="auto" w:sz="4" w:space="0"/>
            </w:tcBorders>
            <w:shd w:val="clear" w:color="auto" w:fill="auto"/>
            <w:tcMar>
              <w:left w:w="58" w:type="dxa"/>
              <w:right w:w="58" w:type="dxa"/>
            </w:tcMar>
            <w:vAlign w:val="center"/>
          </w:tcPr>
          <w:p w:rsidRPr="00AD2FDD" w:rsidR="00D520BD" w:rsidP="00982BD1" w:rsidRDefault="00D520BD" w14:paraId="08055FCC" w14:textId="5F0F1B4B">
            <w:pPr>
              <w:jc w:val="center"/>
              <w:rPr>
                <w:rFonts w:cs="Arial"/>
                <w:b/>
                <w:i/>
                <w:sz w:val="16"/>
                <w:szCs w:val="16"/>
              </w:rPr>
            </w:pPr>
            <w:r w:rsidRPr="00AD2FDD">
              <w:rPr>
                <w:rFonts w:cs="Arial"/>
                <w:sz w:val="16"/>
                <w:szCs w:val="16"/>
              </w:rPr>
              <w:t>$6</w:t>
            </w:r>
            <w:r w:rsidRPr="00AD2FDD" w:rsidR="00980263">
              <w:rPr>
                <w:rFonts w:cs="Arial"/>
                <w:sz w:val="16"/>
                <w:szCs w:val="16"/>
              </w:rPr>
              <w:t>8.66</w:t>
            </w:r>
            <w:r w:rsidRPr="00AD2FDD">
              <w:rPr>
                <w:rFonts w:cs="Arial"/>
                <w:sz w:val="16"/>
                <w:szCs w:val="16"/>
              </w:rPr>
              <w:t>/hour</w:t>
            </w:r>
          </w:p>
        </w:tc>
        <w:tc>
          <w:tcPr>
            <w:tcW w:w="1980" w:type="dxa"/>
            <w:gridSpan w:val="2"/>
            <w:tcBorders>
              <w:bottom w:val="single" w:color="auto" w:sz="4" w:space="0"/>
            </w:tcBorders>
            <w:shd w:val="clear" w:color="auto" w:fill="auto"/>
            <w:tcMar>
              <w:left w:w="58" w:type="dxa"/>
              <w:right w:w="58" w:type="dxa"/>
            </w:tcMar>
            <w:vAlign w:val="center"/>
          </w:tcPr>
          <w:p w:rsidRPr="00AD2FDD" w:rsidR="00D520BD" w:rsidP="002F55FE" w:rsidRDefault="00D520BD" w14:paraId="09AD9D17" w14:textId="4C737075">
            <w:pPr>
              <w:jc w:val="center"/>
              <w:rPr>
                <w:rFonts w:cs="Arial"/>
                <w:b/>
                <w:i/>
                <w:sz w:val="16"/>
                <w:szCs w:val="16"/>
              </w:rPr>
            </w:pPr>
            <w:r w:rsidRPr="00AD2FDD">
              <w:rPr>
                <w:rFonts w:cs="Arial"/>
                <w:sz w:val="16"/>
                <w:szCs w:val="16"/>
              </w:rPr>
              <w:t>5 hours per drug assay</w:t>
            </w:r>
            <w:r w:rsidRPr="00AD2FDD" w:rsidR="002F55FE">
              <w:rPr>
                <w:rFonts w:cs="Arial"/>
                <w:sz w:val="16"/>
                <w:szCs w:val="16"/>
              </w:rPr>
              <w:t xml:space="preserve"> </w:t>
            </w:r>
            <w:r w:rsidRPr="00AD2FDD">
              <w:rPr>
                <w:rFonts w:cs="Arial"/>
                <w:sz w:val="16"/>
                <w:szCs w:val="16"/>
              </w:rPr>
              <w:t>(</w:t>
            </w:r>
            <w:r w:rsidRPr="00AD2FDD" w:rsidR="00227C77">
              <w:rPr>
                <w:rFonts w:cs="Arial"/>
                <w:sz w:val="16"/>
                <w:szCs w:val="16"/>
              </w:rPr>
              <w:t>6</w:t>
            </w:r>
            <w:r w:rsidRPr="00AD2FDD" w:rsidR="009B3FFE">
              <w:rPr>
                <w:rFonts w:cs="Arial"/>
                <w:sz w:val="16"/>
                <w:szCs w:val="16"/>
              </w:rPr>
              <w:t> </w:t>
            </w:r>
            <w:r w:rsidRPr="00AD2FDD">
              <w:rPr>
                <w:rFonts w:cs="Arial"/>
                <w:sz w:val="16"/>
                <w:szCs w:val="16"/>
              </w:rPr>
              <w:t>drug assays per LTF)</w:t>
            </w:r>
          </w:p>
        </w:tc>
        <w:tc>
          <w:tcPr>
            <w:tcW w:w="990" w:type="dxa"/>
            <w:gridSpan w:val="2"/>
            <w:tcBorders>
              <w:bottom w:val="single" w:color="auto" w:sz="4" w:space="0"/>
            </w:tcBorders>
            <w:shd w:val="clear" w:color="auto" w:fill="auto"/>
            <w:tcMar>
              <w:left w:w="58" w:type="dxa"/>
              <w:right w:w="58" w:type="dxa"/>
            </w:tcMar>
            <w:vAlign w:val="center"/>
          </w:tcPr>
          <w:p w:rsidRPr="00AD2FDD" w:rsidR="00D520BD" w:rsidP="00982BD1" w:rsidRDefault="00D520BD" w14:paraId="64703E31" w14:textId="021042B7">
            <w:pPr>
              <w:jc w:val="right"/>
              <w:rPr>
                <w:rFonts w:cs="Arial"/>
                <w:b/>
                <w:i/>
                <w:sz w:val="16"/>
                <w:szCs w:val="16"/>
              </w:rPr>
            </w:pPr>
            <w:r w:rsidRPr="00AD2FDD">
              <w:rPr>
                <w:rFonts w:cs="Arial"/>
                <w:sz w:val="16"/>
                <w:szCs w:val="16"/>
              </w:rPr>
              <w:t>($</w:t>
            </w:r>
            <w:r w:rsidRPr="00AD2FDD" w:rsidR="006048DD">
              <w:rPr>
                <w:rFonts w:cs="Arial"/>
                <w:sz w:val="16"/>
                <w:szCs w:val="16"/>
              </w:rPr>
              <w:t>2,060</w:t>
            </w:r>
            <w:r w:rsidRPr="00AD2FDD">
              <w:rPr>
                <w:rFonts w:cs="Arial"/>
                <w:sz w:val="16"/>
                <w:szCs w:val="16"/>
              </w:rPr>
              <w:t>)</w:t>
            </w:r>
          </w:p>
        </w:tc>
        <w:tc>
          <w:tcPr>
            <w:tcW w:w="810" w:type="dxa"/>
            <w:tcBorders>
              <w:bottom w:val="single" w:color="auto" w:sz="4" w:space="0"/>
            </w:tcBorders>
            <w:shd w:val="clear" w:color="auto" w:fill="auto"/>
            <w:tcMar>
              <w:left w:w="58" w:type="dxa"/>
              <w:right w:w="58" w:type="dxa"/>
            </w:tcMar>
            <w:vAlign w:val="center"/>
          </w:tcPr>
          <w:p w:rsidRPr="00AD2FDD" w:rsidR="00D520BD" w:rsidP="00982BD1" w:rsidRDefault="00980263" w14:paraId="410EB88A" w14:textId="45CD21A5">
            <w:pPr>
              <w:jc w:val="right"/>
              <w:rPr>
                <w:rFonts w:cs="Arial"/>
                <w:b/>
                <w:i/>
                <w:sz w:val="16"/>
                <w:szCs w:val="16"/>
              </w:rPr>
            </w:pPr>
            <w:r w:rsidRPr="00AD2FDD">
              <w:rPr>
                <w:rFonts w:cs="Arial"/>
                <w:sz w:val="16"/>
                <w:szCs w:val="16"/>
              </w:rPr>
              <w:t>3</w:t>
            </w:r>
          </w:p>
        </w:tc>
        <w:tc>
          <w:tcPr>
            <w:tcW w:w="1260" w:type="dxa"/>
            <w:gridSpan w:val="2"/>
            <w:tcBorders>
              <w:bottom w:val="single" w:color="auto" w:sz="4" w:space="0"/>
            </w:tcBorders>
            <w:shd w:val="clear" w:color="auto" w:fill="auto"/>
            <w:tcMar>
              <w:left w:w="58" w:type="dxa"/>
              <w:right w:w="58" w:type="dxa"/>
            </w:tcMar>
            <w:vAlign w:val="center"/>
          </w:tcPr>
          <w:p w:rsidRPr="00AD2FDD" w:rsidR="00D520BD" w:rsidP="00982BD1" w:rsidRDefault="00D520BD" w14:paraId="6CCA5EB2" w14:textId="44DC16CF">
            <w:pPr>
              <w:jc w:val="right"/>
              <w:rPr>
                <w:rFonts w:cs="Arial"/>
                <w:b/>
                <w:i/>
                <w:sz w:val="16"/>
                <w:szCs w:val="16"/>
              </w:rPr>
            </w:pPr>
            <w:r w:rsidRPr="00317438">
              <w:rPr>
                <w:rFonts w:eastAsia="Arial"/>
                <w:sz w:val="16"/>
              </w:rPr>
              <w:t>($</w:t>
            </w:r>
            <w:r w:rsidRPr="00317438" w:rsidR="006048DD">
              <w:rPr>
                <w:rFonts w:eastAsia="Arial"/>
                <w:sz w:val="16"/>
              </w:rPr>
              <w:t>6,180</w:t>
            </w:r>
            <w:r w:rsidRPr="00AD2FDD">
              <w:rPr>
                <w:rFonts w:eastAsia="Arial" w:cs="Arial"/>
                <w:sz w:val="16"/>
                <w:szCs w:val="16"/>
              </w:rPr>
              <w:t>)</w:t>
            </w:r>
          </w:p>
        </w:tc>
      </w:tr>
      <w:tr w:rsidRPr="00AD2FDD" w:rsidR="00C14C44" w:rsidTr="00E52D00" w14:paraId="2F61F49A" w14:textId="77777777">
        <w:tc>
          <w:tcPr>
            <w:tcW w:w="8208" w:type="dxa"/>
            <w:gridSpan w:val="9"/>
            <w:shd w:val="clear" w:color="auto" w:fill="FFFFFF" w:themeFill="background1"/>
            <w:tcMar>
              <w:left w:w="58" w:type="dxa"/>
              <w:right w:w="58" w:type="dxa"/>
            </w:tcMar>
            <w:vAlign w:val="center"/>
          </w:tcPr>
          <w:p w:rsidRPr="00317438" w:rsidR="00C14C44" w:rsidP="00C14C44" w:rsidRDefault="00C14C44" w14:paraId="4EAEB450" w14:textId="77777777">
            <w:pPr>
              <w:jc w:val="right"/>
              <w:rPr>
                <w:rFonts w:ascii="Arial Bold" w:hAnsi="Arial Bold"/>
                <w:b/>
                <w:i/>
                <w:sz w:val="16"/>
              </w:rPr>
            </w:pPr>
            <w:r w:rsidRPr="00317438">
              <w:rPr>
                <w:rFonts w:ascii="Arial Bold" w:hAnsi="Arial Bold" w:eastAsia="Arial"/>
                <w:b/>
                <w:i/>
                <w:sz w:val="16"/>
              </w:rPr>
              <w:t>Total Industry Implementation Cost</w:t>
            </w:r>
          </w:p>
        </w:tc>
        <w:tc>
          <w:tcPr>
            <w:tcW w:w="1260" w:type="dxa"/>
            <w:gridSpan w:val="2"/>
            <w:shd w:val="clear" w:color="auto" w:fill="FFFFFF" w:themeFill="background1"/>
            <w:tcMar>
              <w:left w:w="58" w:type="dxa"/>
              <w:right w:w="58" w:type="dxa"/>
            </w:tcMar>
          </w:tcPr>
          <w:p w:rsidRPr="00AD2FDD" w:rsidR="00C14C44" w:rsidP="00C14C44" w:rsidRDefault="00C14C44" w14:paraId="1F482FE4" w14:textId="768C0AD5">
            <w:pPr>
              <w:jc w:val="right"/>
              <w:rPr>
                <w:rFonts w:cs="Arial"/>
                <w:b/>
                <w:i/>
                <w:iCs/>
                <w:sz w:val="16"/>
                <w:szCs w:val="16"/>
              </w:rPr>
            </w:pPr>
            <w:r w:rsidRPr="00AD2FDD">
              <w:rPr>
                <w:i/>
                <w:iCs/>
                <w:sz w:val="16"/>
                <w:szCs w:val="16"/>
              </w:rPr>
              <w:t>($</w:t>
            </w:r>
            <w:r w:rsidRPr="00AD2FDD" w:rsidR="00E52D00">
              <w:rPr>
                <w:i/>
                <w:iCs/>
                <w:sz w:val="16"/>
                <w:szCs w:val="16"/>
              </w:rPr>
              <w:t>136,936</w:t>
            </w:r>
            <w:r w:rsidRPr="00AD2FDD">
              <w:rPr>
                <w:i/>
                <w:iCs/>
                <w:sz w:val="16"/>
                <w:szCs w:val="16"/>
              </w:rPr>
              <w:t>)</w:t>
            </w:r>
          </w:p>
        </w:tc>
      </w:tr>
      <w:tr w:rsidRPr="00AD2FDD" w:rsidR="00C14C44" w:rsidTr="00E52D00" w14:paraId="6403AB0B" w14:textId="77777777">
        <w:tc>
          <w:tcPr>
            <w:tcW w:w="8208" w:type="dxa"/>
            <w:gridSpan w:val="9"/>
            <w:shd w:val="clear" w:color="auto" w:fill="FFFFFF" w:themeFill="background1"/>
            <w:tcMar>
              <w:left w:w="58" w:type="dxa"/>
              <w:right w:w="58" w:type="dxa"/>
            </w:tcMar>
            <w:vAlign w:val="center"/>
          </w:tcPr>
          <w:p w:rsidRPr="00317438" w:rsidR="00C14C44" w:rsidP="00C14C44" w:rsidRDefault="00C14C44" w14:paraId="5BF18951" w14:textId="77777777">
            <w:pPr>
              <w:jc w:val="right"/>
              <w:rPr>
                <w:rFonts w:ascii="Arial Bold" w:hAnsi="Arial Bold"/>
                <w:b/>
                <w:i/>
                <w:sz w:val="16"/>
              </w:rPr>
            </w:pPr>
            <w:r w:rsidRPr="00317438">
              <w:rPr>
                <w:rFonts w:ascii="Arial Bold" w:hAnsi="Arial Bold" w:eastAsia="Arial"/>
                <w:b/>
                <w:i/>
                <w:sz w:val="16"/>
              </w:rPr>
              <w:t>Average Implementation Cost Per Site</w:t>
            </w:r>
          </w:p>
        </w:tc>
        <w:tc>
          <w:tcPr>
            <w:tcW w:w="1260" w:type="dxa"/>
            <w:gridSpan w:val="2"/>
            <w:shd w:val="clear" w:color="auto" w:fill="FFFFFF" w:themeFill="background1"/>
            <w:tcMar>
              <w:left w:w="58" w:type="dxa"/>
              <w:right w:w="58" w:type="dxa"/>
            </w:tcMar>
          </w:tcPr>
          <w:p w:rsidRPr="00AD2FDD" w:rsidR="00C14C44" w:rsidP="00C14C44" w:rsidRDefault="00C14C44" w14:paraId="5C2DCC4E" w14:textId="75887B72">
            <w:pPr>
              <w:jc w:val="right"/>
              <w:rPr>
                <w:rFonts w:cs="Arial"/>
                <w:b/>
                <w:i/>
                <w:iCs/>
                <w:sz w:val="16"/>
                <w:szCs w:val="16"/>
              </w:rPr>
            </w:pPr>
            <w:r w:rsidRPr="00AD2FDD">
              <w:rPr>
                <w:i/>
                <w:iCs/>
                <w:sz w:val="16"/>
                <w:szCs w:val="16"/>
              </w:rPr>
              <w:t>($</w:t>
            </w:r>
            <w:r w:rsidRPr="00AD2FDD" w:rsidR="00E52D00">
              <w:rPr>
                <w:i/>
                <w:iCs/>
                <w:sz w:val="16"/>
                <w:szCs w:val="16"/>
              </w:rPr>
              <w:t>2,321</w:t>
            </w:r>
            <w:r w:rsidRPr="00AD2FDD">
              <w:rPr>
                <w:i/>
                <w:iCs/>
                <w:sz w:val="16"/>
                <w:szCs w:val="16"/>
              </w:rPr>
              <w:t>)</w:t>
            </w:r>
          </w:p>
        </w:tc>
      </w:tr>
      <w:tr w:rsidRPr="00AD2FDD" w:rsidR="00D520BD" w:rsidTr="00982BD1" w14:paraId="08E93145" w14:textId="77777777">
        <w:tc>
          <w:tcPr>
            <w:tcW w:w="9468" w:type="dxa"/>
            <w:gridSpan w:val="11"/>
            <w:vAlign w:val="center"/>
          </w:tcPr>
          <w:p w:rsidRPr="00AD2FDD" w:rsidR="00D520BD" w:rsidP="00982BD1" w:rsidRDefault="00D520BD" w14:paraId="6898129A" w14:textId="77777777">
            <w:pPr>
              <w:spacing w:before="39"/>
              <w:ind w:left="11" w:right="-20"/>
              <w:rPr>
                <w:rFonts w:eastAsia="Arial" w:cs="Arial"/>
                <w:sz w:val="16"/>
                <w:szCs w:val="16"/>
              </w:rPr>
            </w:pPr>
            <w:r w:rsidRPr="00AD2FDD">
              <w:rPr>
                <w:rFonts w:eastAsia="Arial" w:cs="Arial"/>
                <w:b/>
                <w:bCs/>
                <w:sz w:val="16"/>
                <w:szCs w:val="16"/>
              </w:rPr>
              <w:t>C</w:t>
            </w:r>
            <w:r w:rsidRPr="00317438">
              <w:rPr>
                <w:rFonts w:eastAsia="Arial"/>
                <w:b/>
                <w:sz w:val="16"/>
              </w:rPr>
              <w:t>a</w:t>
            </w:r>
            <w:r w:rsidRPr="00AD2FDD">
              <w:rPr>
                <w:rFonts w:eastAsia="Arial" w:cs="Arial"/>
                <w:b/>
                <w:bCs/>
                <w:sz w:val="16"/>
                <w:szCs w:val="16"/>
              </w:rPr>
              <w:t>lc</w:t>
            </w:r>
            <w:r w:rsidRPr="00317438">
              <w:rPr>
                <w:rFonts w:eastAsia="Arial"/>
                <w:b/>
                <w:sz w:val="16"/>
              </w:rPr>
              <w:t>u</w:t>
            </w:r>
            <w:r w:rsidRPr="00AD2FDD">
              <w:rPr>
                <w:rFonts w:eastAsia="Arial" w:cs="Arial"/>
                <w:b/>
                <w:bCs/>
                <w:sz w:val="16"/>
                <w:szCs w:val="16"/>
              </w:rPr>
              <w:t>l</w:t>
            </w:r>
            <w:r w:rsidRPr="00317438">
              <w:rPr>
                <w:rFonts w:eastAsia="Arial"/>
                <w:b/>
                <w:sz w:val="16"/>
              </w:rPr>
              <w:t>at</w:t>
            </w:r>
            <w:r w:rsidRPr="00AD2FDD">
              <w:rPr>
                <w:rFonts w:eastAsia="Arial" w:cs="Arial"/>
                <w:b/>
                <w:bCs/>
                <w:sz w:val="16"/>
                <w:szCs w:val="16"/>
              </w:rPr>
              <w:t>i</w:t>
            </w:r>
            <w:r w:rsidRPr="00317438">
              <w:rPr>
                <w:rFonts w:eastAsia="Arial"/>
                <w:b/>
                <w:sz w:val="16"/>
              </w:rPr>
              <w:t>on</w:t>
            </w:r>
            <w:r w:rsidRPr="00AD2FDD">
              <w:rPr>
                <w:rFonts w:eastAsia="Arial" w:cs="Arial"/>
                <w:b/>
                <w:bCs/>
                <w:sz w:val="16"/>
                <w:szCs w:val="16"/>
              </w:rPr>
              <w:t xml:space="preserve">s </w:t>
            </w:r>
            <w:r w:rsidRPr="00317438">
              <w:rPr>
                <w:rFonts w:eastAsia="Arial"/>
                <w:b/>
                <w:sz w:val="16"/>
              </w:rPr>
              <w:t>(tot</w:t>
            </w:r>
            <w:r w:rsidRPr="00AD2FDD">
              <w:rPr>
                <w:rFonts w:eastAsia="Arial" w:cs="Arial"/>
                <w:b/>
                <w:bCs/>
                <w:sz w:val="16"/>
                <w:szCs w:val="16"/>
              </w:rPr>
              <w:t>als</w:t>
            </w:r>
            <w:r w:rsidRPr="00317438">
              <w:rPr>
                <w:rFonts w:eastAsia="Arial"/>
                <w:b/>
                <w:sz w:val="16"/>
              </w:rPr>
              <w:t xml:space="preserve"> m</w:t>
            </w:r>
            <w:r w:rsidRPr="00AD2FDD">
              <w:rPr>
                <w:rFonts w:eastAsia="Arial" w:cs="Arial"/>
                <w:b/>
                <w:bCs/>
                <w:sz w:val="16"/>
                <w:szCs w:val="16"/>
              </w:rPr>
              <w:t>ay</w:t>
            </w:r>
            <w:r w:rsidRPr="00317438">
              <w:rPr>
                <w:rFonts w:eastAsia="Arial"/>
                <w:b/>
                <w:sz w:val="16"/>
              </w:rPr>
              <w:t xml:space="preserve"> no</w:t>
            </w:r>
            <w:r w:rsidRPr="00AD2FDD">
              <w:rPr>
                <w:rFonts w:eastAsia="Arial" w:cs="Arial"/>
                <w:b/>
                <w:bCs/>
                <w:sz w:val="16"/>
                <w:szCs w:val="16"/>
              </w:rPr>
              <w:t>t</w:t>
            </w:r>
            <w:r w:rsidRPr="00317438">
              <w:rPr>
                <w:rFonts w:eastAsia="Arial"/>
                <w:b/>
                <w:sz w:val="16"/>
              </w:rPr>
              <w:t xml:space="preserve"> </w:t>
            </w:r>
            <w:r w:rsidRPr="00AD2FDD">
              <w:rPr>
                <w:rFonts w:eastAsia="Arial" w:cs="Arial"/>
                <w:b/>
                <w:bCs/>
                <w:sz w:val="16"/>
                <w:szCs w:val="16"/>
              </w:rPr>
              <w:t>a</w:t>
            </w:r>
            <w:r w:rsidRPr="00317438">
              <w:rPr>
                <w:rFonts w:eastAsia="Arial"/>
                <w:b/>
                <w:sz w:val="16"/>
              </w:rPr>
              <w:t>d</w:t>
            </w:r>
            <w:r w:rsidRPr="00AD2FDD">
              <w:rPr>
                <w:rFonts w:eastAsia="Arial" w:cs="Arial"/>
                <w:b/>
                <w:bCs/>
                <w:sz w:val="16"/>
                <w:szCs w:val="16"/>
              </w:rPr>
              <w:t>d</w:t>
            </w:r>
            <w:r w:rsidRPr="00317438">
              <w:rPr>
                <w:rFonts w:eastAsia="Arial"/>
                <w:b/>
                <w:sz w:val="16"/>
              </w:rPr>
              <w:t xml:space="preserve"> be</w:t>
            </w:r>
            <w:r w:rsidRPr="00AD2FDD">
              <w:rPr>
                <w:rFonts w:eastAsia="Arial" w:cs="Arial"/>
                <w:b/>
                <w:bCs/>
                <w:sz w:val="16"/>
                <w:szCs w:val="16"/>
              </w:rPr>
              <w:t>ca</w:t>
            </w:r>
            <w:r w:rsidRPr="00317438">
              <w:rPr>
                <w:rFonts w:eastAsia="Arial"/>
                <w:b/>
                <w:sz w:val="16"/>
              </w:rPr>
              <w:t>us</w:t>
            </w:r>
            <w:r w:rsidRPr="00AD2FDD">
              <w:rPr>
                <w:rFonts w:eastAsia="Arial" w:cs="Arial"/>
                <w:b/>
                <w:bCs/>
                <w:sz w:val="16"/>
                <w:szCs w:val="16"/>
              </w:rPr>
              <w:t>e</w:t>
            </w:r>
            <w:r w:rsidRPr="00317438">
              <w:rPr>
                <w:rFonts w:eastAsia="Arial"/>
                <w:b/>
                <w:sz w:val="16"/>
              </w:rPr>
              <w:t xml:space="preserve"> o</w:t>
            </w:r>
            <w:r w:rsidRPr="00AD2FDD">
              <w:rPr>
                <w:rFonts w:eastAsia="Arial" w:cs="Arial"/>
                <w:b/>
                <w:bCs/>
                <w:sz w:val="16"/>
                <w:szCs w:val="16"/>
              </w:rPr>
              <w:t>f</w:t>
            </w:r>
            <w:r w:rsidRPr="00317438">
              <w:rPr>
                <w:rFonts w:eastAsia="Arial"/>
                <w:b/>
                <w:sz w:val="16"/>
              </w:rPr>
              <w:t xml:space="preserve"> rounding)</w:t>
            </w:r>
            <w:r w:rsidRPr="00AD2FDD">
              <w:rPr>
                <w:rFonts w:eastAsia="Arial" w:cs="Arial"/>
                <w:b/>
                <w:bCs/>
                <w:sz w:val="16"/>
                <w:szCs w:val="16"/>
              </w:rPr>
              <w:t>:</w:t>
            </w:r>
          </w:p>
          <w:p w:rsidRPr="00AD2FDD" w:rsidR="00D520BD" w:rsidP="005C6BA3" w:rsidRDefault="00D520BD" w14:paraId="2D0E83D9" w14:textId="3B45A034">
            <w:pPr>
              <w:pStyle w:val="ListParagraph"/>
              <w:numPr>
                <w:ilvl w:val="0"/>
                <w:numId w:val="20"/>
              </w:numPr>
              <w:ind w:left="374"/>
              <w:contextualSpacing w:val="0"/>
              <w:rPr>
                <w:rFonts w:eastAsia="Arial" w:cs="Arial"/>
                <w:sz w:val="16"/>
                <w:szCs w:val="16"/>
              </w:rPr>
            </w:pPr>
            <w:r w:rsidRPr="00AD2FDD">
              <w:rPr>
                <w:rFonts w:eastAsia="Arial" w:cs="Arial"/>
                <w:sz w:val="16"/>
                <w:szCs w:val="16"/>
              </w:rPr>
              <w:t xml:space="preserve">Benefits (Cost) </w:t>
            </w:r>
            <w:r w:rsidR="00417DCA">
              <w:rPr>
                <w:rFonts w:eastAsia="Arial" w:cs="Arial"/>
                <w:sz w:val="16"/>
                <w:szCs w:val="16"/>
              </w:rPr>
              <w:t>p</w:t>
            </w:r>
            <w:r w:rsidRPr="00AD2FDD">
              <w:rPr>
                <w:rFonts w:eastAsia="Arial" w:cs="Arial"/>
                <w:sz w:val="16"/>
                <w:szCs w:val="16"/>
              </w:rPr>
              <w:t>er Entity = Unit Cost x Unit(s) [rounded]</w:t>
            </w:r>
          </w:p>
          <w:p w:rsidRPr="00AD2FDD" w:rsidR="00D520BD" w:rsidP="005C6BA3" w:rsidRDefault="00D520BD" w14:paraId="20E4F6DF" w14:textId="7678B357">
            <w:pPr>
              <w:pStyle w:val="ListParagraph"/>
              <w:numPr>
                <w:ilvl w:val="0"/>
                <w:numId w:val="20"/>
              </w:numPr>
              <w:ind w:left="374"/>
              <w:contextualSpacing w:val="0"/>
              <w:rPr>
                <w:rFonts w:eastAsia="Arial" w:cs="Arial"/>
                <w:sz w:val="16"/>
                <w:szCs w:val="16"/>
              </w:rPr>
            </w:pPr>
            <w:r w:rsidRPr="00AD2FDD">
              <w:rPr>
                <w:rFonts w:eastAsia="Arial" w:cs="Arial"/>
                <w:sz w:val="16"/>
                <w:szCs w:val="16"/>
              </w:rPr>
              <w:t xml:space="preserve">Total Benefits (Cost) = Benefits (Cost) </w:t>
            </w:r>
            <w:r w:rsidR="00417DCA">
              <w:rPr>
                <w:rFonts w:eastAsia="Arial" w:cs="Arial"/>
                <w:sz w:val="16"/>
                <w:szCs w:val="16"/>
              </w:rPr>
              <w:t>p</w:t>
            </w:r>
            <w:r w:rsidRPr="00AD2FDD">
              <w:rPr>
                <w:rFonts w:eastAsia="Arial" w:cs="Arial"/>
                <w:sz w:val="16"/>
                <w:szCs w:val="16"/>
              </w:rPr>
              <w:t xml:space="preserve">er Entity x </w:t>
            </w:r>
            <w:r w:rsidRPr="00AD2FDD" w:rsidR="00267C3A">
              <w:rPr>
                <w:rFonts w:eastAsia="Arial" w:cs="Arial"/>
                <w:sz w:val="16"/>
                <w:szCs w:val="16"/>
              </w:rPr>
              <w:t xml:space="preserve">Number of </w:t>
            </w:r>
            <w:r w:rsidRPr="00AD2FDD">
              <w:rPr>
                <w:rFonts w:eastAsia="Arial" w:cs="Arial"/>
                <w:sz w:val="16"/>
                <w:szCs w:val="16"/>
              </w:rPr>
              <w:t>Entities Affected</w:t>
            </w:r>
          </w:p>
          <w:p w:rsidRPr="00AD2FDD" w:rsidR="00D520BD" w:rsidP="005C6BA3" w:rsidRDefault="00D520BD" w14:paraId="0ADF9717" w14:textId="77777777">
            <w:pPr>
              <w:pStyle w:val="ListParagraph"/>
              <w:numPr>
                <w:ilvl w:val="0"/>
                <w:numId w:val="20"/>
              </w:numPr>
              <w:ind w:left="374"/>
              <w:contextualSpacing w:val="0"/>
              <w:rPr>
                <w:rFonts w:eastAsia="Arial" w:cs="Arial"/>
                <w:sz w:val="16"/>
                <w:szCs w:val="16"/>
              </w:rPr>
            </w:pPr>
            <w:r w:rsidRPr="00AD2FDD">
              <w:rPr>
                <w:rFonts w:eastAsia="Arial" w:cs="Arial"/>
                <w:sz w:val="16"/>
                <w:szCs w:val="16"/>
              </w:rPr>
              <w:t>Total Industry Implementation Cost = Sum (Total Industry Benefits (Cost))</w:t>
            </w:r>
          </w:p>
          <w:p w:rsidRPr="00AD2FDD" w:rsidR="00D520BD" w:rsidP="005C6BA3" w:rsidRDefault="00D520BD" w14:paraId="3EB40B2C" w14:textId="3EBEE2BD">
            <w:pPr>
              <w:pStyle w:val="ListParagraph"/>
              <w:numPr>
                <w:ilvl w:val="0"/>
                <w:numId w:val="20"/>
              </w:numPr>
              <w:ind w:left="374"/>
              <w:contextualSpacing w:val="0"/>
              <w:rPr>
                <w:rFonts w:eastAsia="Arial" w:cs="Arial"/>
                <w:sz w:val="16"/>
                <w:szCs w:val="16"/>
              </w:rPr>
            </w:pPr>
            <w:r w:rsidRPr="00AD2FDD">
              <w:rPr>
                <w:rFonts w:eastAsia="Arial" w:cs="Arial"/>
                <w:sz w:val="16"/>
                <w:szCs w:val="16"/>
              </w:rPr>
              <w:t xml:space="preserve">Average Implementation Cost </w:t>
            </w:r>
            <w:r w:rsidR="00266FE6">
              <w:rPr>
                <w:rFonts w:eastAsia="Arial" w:cs="Arial"/>
                <w:sz w:val="16"/>
                <w:szCs w:val="16"/>
              </w:rPr>
              <w:t>p</w:t>
            </w:r>
            <w:r w:rsidRPr="00AD2FDD">
              <w:rPr>
                <w:rFonts w:eastAsia="Arial" w:cs="Arial"/>
                <w:sz w:val="16"/>
                <w:szCs w:val="16"/>
              </w:rPr>
              <w:t>er Site = Total Industry Implementation Cost / Total Number of Sites</w:t>
            </w:r>
          </w:p>
          <w:p w:rsidRPr="00AD2FDD" w:rsidR="00D520BD" w:rsidP="00982BD1" w:rsidRDefault="00D520BD" w14:paraId="2FA68A06" w14:textId="77777777">
            <w:pPr>
              <w:spacing w:before="120"/>
              <w:ind w:left="14" w:right="-14"/>
              <w:rPr>
                <w:rFonts w:eastAsia="Arial" w:cs="Arial"/>
                <w:sz w:val="16"/>
                <w:szCs w:val="16"/>
              </w:rPr>
            </w:pPr>
            <w:r w:rsidRPr="00317438">
              <w:rPr>
                <w:rFonts w:eastAsia="Arial"/>
                <w:b/>
                <w:sz w:val="16"/>
              </w:rPr>
              <w:t>Assumpt</w:t>
            </w:r>
            <w:r w:rsidRPr="00AD2FDD">
              <w:rPr>
                <w:rFonts w:eastAsia="Arial" w:cs="Arial"/>
                <w:b/>
                <w:bCs/>
                <w:sz w:val="16"/>
                <w:szCs w:val="16"/>
              </w:rPr>
              <w:t>i</w:t>
            </w:r>
            <w:r w:rsidRPr="00317438">
              <w:rPr>
                <w:rFonts w:eastAsia="Arial"/>
                <w:b/>
                <w:sz w:val="16"/>
              </w:rPr>
              <w:t>ons</w:t>
            </w:r>
            <w:r w:rsidRPr="00AD2FDD">
              <w:rPr>
                <w:rFonts w:eastAsia="Arial" w:cs="Arial"/>
                <w:b/>
                <w:bCs/>
                <w:sz w:val="16"/>
                <w:szCs w:val="16"/>
              </w:rPr>
              <w:t>:</w:t>
            </w:r>
          </w:p>
          <w:p w:rsidRPr="00AD2FDD" w:rsidR="00D520BD" w:rsidP="005C6BA3" w:rsidRDefault="00D520BD" w14:paraId="2309E3BF" w14:textId="2592E53D">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One-time policy</w:t>
            </w:r>
            <w:r w:rsidRPr="00AD2FDD" w:rsidR="00646A79">
              <w:rPr>
                <w:rFonts w:eastAsia="Arial" w:cs="Arial"/>
                <w:sz w:val="16"/>
                <w:szCs w:val="16"/>
              </w:rPr>
              <w:t>,</w:t>
            </w:r>
            <w:r w:rsidRPr="00AD2FDD">
              <w:rPr>
                <w:rFonts w:eastAsia="Arial" w:cs="Arial"/>
                <w:sz w:val="16"/>
                <w:szCs w:val="16"/>
              </w:rPr>
              <w:t xml:space="preserve"> procedure</w:t>
            </w:r>
            <w:r w:rsidRPr="00AD2FDD" w:rsidR="00646A79">
              <w:rPr>
                <w:rFonts w:eastAsia="Arial" w:cs="Arial"/>
                <w:sz w:val="16"/>
                <w:szCs w:val="16"/>
              </w:rPr>
              <w:t>,</w:t>
            </w:r>
            <w:r w:rsidRPr="00AD2FDD">
              <w:rPr>
                <w:rFonts w:eastAsia="Arial" w:cs="Arial"/>
                <w:sz w:val="16"/>
                <w:szCs w:val="16"/>
              </w:rPr>
              <w:t xml:space="preserve"> and training costs accrue to different entities—programs</w:t>
            </w:r>
            <w:r w:rsidRPr="00AD2FDD" w:rsidR="00646A79">
              <w:rPr>
                <w:rFonts w:eastAsia="Arial" w:cs="Arial"/>
                <w:sz w:val="16"/>
                <w:szCs w:val="16"/>
              </w:rPr>
              <w:t>,</w:t>
            </w:r>
            <w:r w:rsidRPr="00AD2FDD">
              <w:rPr>
                <w:rFonts w:eastAsia="Arial" w:cs="Arial"/>
                <w:sz w:val="16"/>
                <w:szCs w:val="16"/>
              </w:rPr>
              <w:t xml:space="preserve"> sites</w:t>
            </w:r>
            <w:r w:rsidRPr="00AD2FDD" w:rsidR="00646A79">
              <w:rPr>
                <w:rFonts w:eastAsia="Arial" w:cs="Arial"/>
                <w:sz w:val="16"/>
                <w:szCs w:val="16"/>
              </w:rPr>
              <w:t>,</w:t>
            </w:r>
            <w:r w:rsidRPr="00AD2FDD">
              <w:rPr>
                <w:rFonts w:eastAsia="Arial" w:cs="Arial"/>
                <w:sz w:val="16"/>
                <w:szCs w:val="16"/>
              </w:rPr>
              <w:t xml:space="preserve"> and LTFs.  Most of these costs accrue at the corporate level (i.e.</w:t>
            </w:r>
            <w:r w:rsidRPr="00AD2FDD" w:rsidR="00646A79">
              <w:rPr>
                <w:rFonts w:eastAsia="Arial" w:cs="Arial"/>
                <w:sz w:val="16"/>
                <w:szCs w:val="16"/>
              </w:rPr>
              <w:t>,</w:t>
            </w:r>
            <w:r w:rsidRPr="00AD2FDD">
              <w:rPr>
                <w:rFonts w:eastAsia="Arial" w:cs="Arial"/>
                <w:sz w:val="16"/>
                <w:szCs w:val="16"/>
              </w:rPr>
              <w:t xml:space="preserve"> FFD program)</w:t>
            </w:r>
            <w:r w:rsidRPr="00AD2FDD" w:rsidR="00646A79">
              <w:rPr>
                <w:rFonts w:eastAsia="Arial" w:cs="Arial"/>
                <w:sz w:val="16"/>
                <w:szCs w:val="16"/>
              </w:rPr>
              <w:t>,</w:t>
            </w:r>
            <w:r w:rsidRPr="00AD2FDD">
              <w:rPr>
                <w:rFonts w:eastAsia="Arial" w:cs="Arial"/>
                <w:sz w:val="16"/>
                <w:szCs w:val="16"/>
              </w:rPr>
              <w:t xml:space="preserve"> with the exception of the costs for </w:t>
            </w:r>
            <w:r w:rsidR="00207E0D">
              <w:rPr>
                <w:rFonts w:eastAsia="Arial" w:cs="Arial"/>
                <w:sz w:val="16"/>
                <w:szCs w:val="16"/>
              </w:rPr>
              <w:t>F</w:t>
            </w:r>
            <w:r w:rsidRPr="00AD2FDD">
              <w:rPr>
                <w:rFonts w:eastAsia="Arial" w:cs="Arial"/>
                <w:sz w:val="16"/>
                <w:szCs w:val="16"/>
              </w:rPr>
              <w:t xml:space="preserve">acility </w:t>
            </w:r>
            <w:r w:rsidR="00207E0D">
              <w:rPr>
                <w:rFonts w:eastAsia="Arial" w:cs="Arial"/>
                <w:sz w:val="16"/>
                <w:szCs w:val="16"/>
              </w:rPr>
              <w:t>W</w:t>
            </w:r>
            <w:r w:rsidRPr="00AD2FDD">
              <w:rPr>
                <w:rFonts w:eastAsia="Arial" w:cs="Arial"/>
                <w:sz w:val="16"/>
                <w:szCs w:val="16"/>
              </w:rPr>
              <w:t xml:space="preserve">orkers to review policy change information (which accrue to sites) and the costs for LTFs to train </w:t>
            </w:r>
            <w:r w:rsidR="00075B8E">
              <w:rPr>
                <w:rFonts w:eastAsia="Arial" w:cs="Arial"/>
                <w:sz w:val="16"/>
                <w:szCs w:val="16"/>
              </w:rPr>
              <w:t>Laboratory T</w:t>
            </w:r>
            <w:r w:rsidRPr="00AD2FDD">
              <w:rPr>
                <w:rFonts w:eastAsia="Arial" w:cs="Arial"/>
                <w:sz w:val="16"/>
                <w:szCs w:val="16"/>
              </w:rPr>
              <w:t xml:space="preserve">echnicians on </w:t>
            </w:r>
            <w:r w:rsidRPr="00AD2FDD" w:rsidR="006D7F09">
              <w:rPr>
                <w:rFonts w:eastAsia="Arial" w:cs="Arial"/>
                <w:sz w:val="16"/>
                <w:szCs w:val="16"/>
              </w:rPr>
              <w:t xml:space="preserve">the </w:t>
            </w:r>
            <w:r w:rsidRPr="00AD2FDD">
              <w:rPr>
                <w:rFonts w:eastAsia="Arial" w:cs="Arial"/>
                <w:sz w:val="16"/>
                <w:szCs w:val="16"/>
              </w:rPr>
              <w:t>new requirements and validat</w:t>
            </w:r>
            <w:r w:rsidRPr="00AD2FDD" w:rsidR="006D7F09">
              <w:rPr>
                <w:rFonts w:eastAsia="Arial" w:cs="Arial"/>
                <w:sz w:val="16"/>
                <w:szCs w:val="16"/>
              </w:rPr>
              <w:t>ing</w:t>
            </w:r>
            <w:r w:rsidRPr="00AD2FDD">
              <w:rPr>
                <w:rFonts w:eastAsia="Arial" w:cs="Arial"/>
                <w:sz w:val="16"/>
                <w:szCs w:val="16"/>
              </w:rPr>
              <w:t xml:space="preserve"> </w:t>
            </w:r>
            <w:r w:rsidRPr="00AD2FDD" w:rsidR="0067252B">
              <w:rPr>
                <w:rFonts w:eastAsia="Arial" w:cs="Arial"/>
                <w:sz w:val="16"/>
                <w:szCs w:val="16"/>
              </w:rPr>
              <w:t xml:space="preserve">the </w:t>
            </w:r>
            <w:r w:rsidRPr="00AD2FDD">
              <w:rPr>
                <w:rFonts w:eastAsia="Arial" w:cs="Arial"/>
                <w:sz w:val="16"/>
                <w:szCs w:val="16"/>
              </w:rPr>
              <w:t xml:space="preserve">drug </w:t>
            </w:r>
            <w:r w:rsidRPr="00AD2FDD" w:rsidR="006D7F09">
              <w:rPr>
                <w:rFonts w:eastAsia="Arial" w:cs="Arial"/>
                <w:sz w:val="16"/>
                <w:szCs w:val="16"/>
              </w:rPr>
              <w:t xml:space="preserve">test </w:t>
            </w:r>
            <w:r w:rsidRPr="00AD2FDD">
              <w:rPr>
                <w:rFonts w:eastAsia="Arial" w:cs="Arial"/>
                <w:sz w:val="16"/>
                <w:szCs w:val="16"/>
              </w:rPr>
              <w:t>assays (which accrue to sites with LTFs).</w:t>
            </w:r>
          </w:p>
          <w:p w:rsidRPr="00AD2FDD" w:rsidR="00D520BD" w:rsidP="005C6BA3" w:rsidRDefault="00D520BD" w14:paraId="47833749" w14:textId="310A4999">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Hour estimates based on the</w:t>
            </w:r>
            <w:r w:rsidRPr="00AD2FDD" w:rsidR="00427A8C">
              <w:rPr>
                <w:rFonts w:eastAsia="Arial" w:cs="Arial"/>
                <w:sz w:val="16"/>
                <w:szCs w:val="16"/>
              </w:rPr>
              <w:t xml:space="preserve"> NRC staff’s</w:t>
            </w:r>
            <w:r w:rsidRPr="00AD2FDD">
              <w:rPr>
                <w:rFonts w:eastAsia="Arial" w:cs="Arial"/>
                <w:sz w:val="16"/>
                <w:szCs w:val="16"/>
              </w:rPr>
              <w:t xml:space="preserve"> best professional judgment.</w:t>
            </w:r>
          </w:p>
          <w:p w:rsidRPr="00AD2FDD" w:rsidR="00D520BD" w:rsidP="005C6BA3" w:rsidRDefault="00D520BD" w14:paraId="0FECC25D" w14:textId="2B2B4C4F">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 xml:space="preserve">Appendices B and D </w:t>
            </w:r>
            <w:r w:rsidRPr="00AD2FDD" w:rsidR="00AB550A">
              <w:rPr>
                <w:rFonts w:eastAsia="Arial" w:cs="Arial"/>
                <w:sz w:val="16"/>
                <w:szCs w:val="16"/>
              </w:rPr>
              <w:t>present</w:t>
            </w:r>
            <w:r w:rsidRPr="00AD2FDD">
              <w:rPr>
                <w:rFonts w:eastAsia="Arial" w:cs="Arial"/>
                <w:sz w:val="16"/>
                <w:szCs w:val="16"/>
              </w:rPr>
              <w:t xml:space="preserve"> additional information on </w:t>
            </w:r>
            <w:r w:rsidRPr="00AD2FDD" w:rsidR="00AB550A">
              <w:rPr>
                <w:rFonts w:eastAsia="Arial" w:cs="Arial"/>
                <w:sz w:val="16"/>
                <w:szCs w:val="16"/>
              </w:rPr>
              <w:t xml:space="preserve">the </w:t>
            </w:r>
            <w:r w:rsidRPr="00AD2FDD">
              <w:rPr>
                <w:rFonts w:eastAsia="Arial" w:cs="Arial"/>
                <w:sz w:val="16"/>
                <w:szCs w:val="16"/>
              </w:rPr>
              <w:t>inputs used in these estimates.</w:t>
            </w:r>
          </w:p>
        </w:tc>
      </w:tr>
      <w:tr w:rsidRPr="00AD2FDD" w:rsidR="00D520BD" w:rsidTr="00427A8C" w14:paraId="76B0A952" w14:textId="77777777">
        <w:tc>
          <w:tcPr>
            <w:tcW w:w="9468" w:type="dxa"/>
            <w:gridSpan w:val="11"/>
          </w:tcPr>
          <w:p w:rsidRPr="00AD2FDD" w:rsidR="00D520BD" w:rsidP="00982BD1" w:rsidRDefault="00D520BD" w14:paraId="7513E27B" w14:textId="77777777">
            <w:pPr>
              <w:keepNext/>
              <w:keepLines/>
              <w:spacing w:before="120"/>
              <w:rPr>
                <w:rFonts w:cs="Arial"/>
                <w:b/>
                <w:i/>
                <w:szCs w:val="16"/>
              </w:rPr>
            </w:pPr>
            <w:r w:rsidRPr="00AD2FDD">
              <w:rPr>
                <w:rFonts w:cs="Arial"/>
                <w:b/>
                <w:i/>
                <w:szCs w:val="16"/>
              </w:rPr>
              <w:t>C.2  Lower Initial and Confirmatory Testing Cutoff Levels for Amphetamines and Cocaine</w:t>
            </w:r>
          </w:p>
          <w:p w:rsidRPr="00AD2FDD" w:rsidR="00D520BD" w:rsidP="00317438" w:rsidRDefault="00D520BD" w14:paraId="16E46E4A" w14:textId="22BC719A">
            <w:pPr>
              <w:keepNext/>
              <w:keepLines/>
              <w:spacing w:before="94" w:after="75"/>
              <w:ind w:right="144"/>
              <w:rPr>
                <w:rFonts w:eastAsia="Arial" w:cs="Arial"/>
                <w:sz w:val="16"/>
                <w:szCs w:val="16"/>
              </w:rPr>
            </w:pPr>
            <w:r w:rsidRPr="00AD2FDD">
              <w:rPr>
                <w:rFonts w:eastAsia="Arial" w:cs="Arial"/>
                <w:sz w:val="16"/>
                <w:szCs w:val="16"/>
              </w:rPr>
              <w:t xml:space="preserve">The </w:t>
            </w:r>
            <w:r w:rsidRPr="00AD2FDD" w:rsidR="0051141C">
              <w:rPr>
                <w:rFonts w:eastAsia="Arial" w:cs="Arial"/>
                <w:sz w:val="16"/>
                <w:szCs w:val="16"/>
              </w:rPr>
              <w:t xml:space="preserve">final </w:t>
            </w:r>
            <w:r w:rsidRPr="00AD2FDD">
              <w:rPr>
                <w:rFonts w:eastAsia="Arial" w:cs="Arial"/>
                <w:sz w:val="16"/>
                <w:szCs w:val="16"/>
              </w:rPr>
              <w:t>rule revise</w:t>
            </w:r>
            <w:r w:rsidRPr="00AD2FDD" w:rsidR="003F7973">
              <w:rPr>
                <w:rFonts w:eastAsia="Arial" w:cs="Arial"/>
                <w:sz w:val="16"/>
                <w:szCs w:val="16"/>
              </w:rPr>
              <w:t>s</w:t>
            </w:r>
            <w:r w:rsidRPr="00AD2FDD">
              <w:rPr>
                <w:rFonts w:eastAsia="Arial" w:cs="Arial"/>
                <w:sz w:val="16"/>
                <w:szCs w:val="16"/>
              </w:rPr>
              <w:t xml:space="preserve"> the cutoff levels for initial testing (</w:t>
            </w:r>
            <w:r w:rsidR="002E7EC6">
              <w:rPr>
                <w:rFonts w:eastAsia="Arial" w:cs="Arial"/>
                <w:sz w:val="16"/>
                <w:szCs w:val="16"/>
              </w:rPr>
              <w:t xml:space="preserve">Title 10 of the </w:t>
            </w:r>
            <w:r w:rsidRPr="000D3B34" w:rsidR="002E7EC6">
              <w:rPr>
                <w:rFonts w:eastAsia="Arial" w:cs="Arial"/>
                <w:i/>
                <w:iCs/>
                <w:sz w:val="16"/>
                <w:szCs w:val="16"/>
              </w:rPr>
              <w:t>Code of Federal Regulations</w:t>
            </w:r>
            <w:r w:rsidR="002E7EC6">
              <w:rPr>
                <w:rFonts w:eastAsia="Arial" w:cs="Arial"/>
                <w:sz w:val="16"/>
                <w:szCs w:val="16"/>
              </w:rPr>
              <w:t xml:space="preserve"> (</w:t>
            </w:r>
            <w:r w:rsidRPr="00AD2FDD">
              <w:rPr>
                <w:rFonts w:eastAsia="Arial" w:cs="Arial"/>
                <w:sz w:val="16"/>
                <w:szCs w:val="16"/>
              </w:rPr>
              <w:t>10 CFR</w:t>
            </w:r>
            <w:r w:rsidR="002E7EC6">
              <w:rPr>
                <w:rFonts w:eastAsia="Arial" w:cs="Arial"/>
                <w:sz w:val="16"/>
                <w:szCs w:val="16"/>
              </w:rPr>
              <w:t>)</w:t>
            </w:r>
            <w:r w:rsidRPr="00AD2FDD">
              <w:rPr>
                <w:rFonts w:eastAsia="Arial" w:cs="Arial"/>
                <w:sz w:val="16"/>
                <w:szCs w:val="16"/>
              </w:rPr>
              <w:t> 26.133</w:t>
            </w:r>
            <w:r w:rsidRPr="00AD2FDD" w:rsidR="00646A79">
              <w:rPr>
                <w:rFonts w:eastAsia="Arial" w:cs="Arial"/>
                <w:sz w:val="16"/>
                <w:szCs w:val="16"/>
              </w:rPr>
              <w:t>,</w:t>
            </w:r>
            <w:r w:rsidRPr="00AD2FDD">
              <w:rPr>
                <w:rFonts w:eastAsia="Arial" w:cs="Arial"/>
                <w:sz w:val="16"/>
                <w:szCs w:val="16"/>
              </w:rPr>
              <w:t xml:space="preserve"> </w:t>
            </w:r>
            <w:r w:rsidRPr="00AD2FDD" w:rsidR="00646A79">
              <w:rPr>
                <w:rFonts w:eastAsia="Arial" w:cs="Arial"/>
                <w:sz w:val="16"/>
                <w:szCs w:val="16"/>
              </w:rPr>
              <w:t>“</w:t>
            </w:r>
            <w:r w:rsidRPr="00AD2FDD">
              <w:rPr>
                <w:rFonts w:eastAsia="Arial" w:cs="Arial"/>
                <w:sz w:val="16"/>
                <w:szCs w:val="16"/>
              </w:rPr>
              <w:t xml:space="preserve">Cutoff </w:t>
            </w:r>
            <w:r w:rsidRPr="00AD2FDD" w:rsidR="00A969FC">
              <w:rPr>
                <w:rFonts w:eastAsia="Arial" w:cs="Arial"/>
                <w:sz w:val="16"/>
                <w:szCs w:val="16"/>
              </w:rPr>
              <w:t>l</w:t>
            </w:r>
            <w:r w:rsidRPr="00AD2FDD">
              <w:rPr>
                <w:rFonts w:eastAsia="Arial" w:cs="Arial"/>
                <w:sz w:val="16"/>
                <w:szCs w:val="16"/>
              </w:rPr>
              <w:t xml:space="preserve">evels for </w:t>
            </w:r>
            <w:r w:rsidRPr="00AD2FDD" w:rsidR="00A969FC">
              <w:rPr>
                <w:rFonts w:eastAsia="Arial" w:cs="Arial"/>
                <w:sz w:val="16"/>
                <w:szCs w:val="16"/>
              </w:rPr>
              <w:t>d</w:t>
            </w:r>
            <w:r w:rsidRPr="00AD2FDD">
              <w:rPr>
                <w:rFonts w:eastAsia="Arial" w:cs="Arial"/>
                <w:sz w:val="16"/>
                <w:szCs w:val="16"/>
              </w:rPr>
              <w:t xml:space="preserve">rugs and </w:t>
            </w:r>
            <w:r w:rsidRPr="00AD2FDD" w:rsidR="00A969FC">
              <w:rPr>
                <w:rFonts w:eastAsia="Arial" w:cs="Arial"/>
                <w:sz w:val="16"/>
                <w:szCs w:val="16"/>
              </w:rPr>
              <w:t>d</w:t>
            </w:r>
            <w:r w:rsidRPr="00AD2FDD">
              <w:rPr>
                <w:rFonts w:eastAsia="Arial" w:cs="Arial"/>
                <w:sz w:val="16"/>
                <w:szCs w:val="16"/>
              </w:rPr>
              <w:t xml:space="preserve">rug </w:t>
            </w:r>
            <w:r w:rsidRPr="00AD2FDD" w:rsidR="00A969FC">
              <w:rPr>
                <w:rFonts w:eastAsia="Arial" w:cs="Arial"/>
                <w:sz w:val="16"/>
                <w:szCs w:val="16"/>
              </w:rPr>
              <w:t>m</w:t>
            </w:r>
            <w:r w:rsidRPr="00AD2FDD">
              <w:rPr>
                <w:rFonts w:eastAsia="Arial" w:cs="Arial"/>
                <w:sz w:val="16"/>
                <w:szCs w:val="16"/>
              </w:rPr>
              <w:t>etabolites</w:t>
            </w:r>
            <w:r w:rsidRPr="00AD2FDD" w:rsidR="00646A79">
              <w:rPr>
                <w:rFonts w:eastAsia="Arial" w:cs="Arial"/>
                <w:sz w:val="16"/>
                <w:szCs w:val="16"/>
              </w:rPr>
              <w:t>,”</w:t>
            </w:r>
            <w:r w:rsidRPr="00AD2FDD">
              <w:rPr>
                <w:rFonts w:eastAsia="Arial" w:cs="Arial"/>
                <w:sz w:val="16"/>
                <w:szCs w:val="16"/>
              </w:rPr>
              <w:t xml:space="preserve"> and 10 CFR 26.163(a)(1)) and </w:t>
            </w:r>
            <w:r w:rsidR="00FD4F47">
              <w:rPr>
                <w:rFonts w:eastAsia="Arial" w:cs="Arial"/>
                <w:sz w:val="16"/>
                <w:szCs w:val="16"/>
              </w:rPr>
              <w:t xml:space="preserve">for </w:t>
            </w:r>
            <w:r w:rsidRPr="00AD2FDD">
              <w:rPr>
                <w:rFonts w:eastAsia="Arial" w:cs="Arial"/>
                <w:sz w:val="16"/>
                <w:szCs w:val="16"/>
              </w:rPr>
              <w:t xml:space="preserve">confirmatory testing (10 CFR 26.163(b)(1)) to align with Section 3.4 of the 2008 </w:t>
            </w:r>
            <w:r w:rsidRPr="00AD2FDD" w:rsidR="00427A8C">
              <w:rPr>
                <w:rFonts w:eastAsia="Arial" w:cs="Arial"/>
                <w:sz w:val="16"/>
                <w:szCs w:val="16"/>
              </w:rPr>
              <w:t xml:space="preserve">and 2017 </w:t>
            </w:r>
            <w:r w:rsidRPr="00AD2FDD">
              <w:rPr>
                <w:rFonts w:eastAsia="Arial" w:cs="Arial"/>
                <w:sz w:val="16"/>
                <w:szCs w:val="16"/>
              </w:rPr>
              <w:t>HHS</w:t>
            </w:r>
            <w:r w:rsidRPr="00AD2FDD" w:rsidR="00DC7F54">
              <w:rPr>
                <w:rFonts w:eastAsia="Arial" w:cs="Arial"/>
                <w:sz w:val="16"/>
                <w:szCs w:val="16"/>
              </w:rPr>
              <w:t> </w:t>
            </w:r>
            <w:r w:rsidRPr="00AD2FDD">
              <w:rPr>
                <w:rFonts w:eastAsia="Arial" w:cs="Arial"/>
                <w:sz w:val="16"/>
                <w:szCs w:val="16"/>
              </w:rPr>
              <w:t>Guidelines as follows:</w:t>
            </w:r>
          </w:p>
          <w:p w:rsidRPr="00AD2FDD" w:rsidR="00D520BD" w:rsidP="00317438" w:rsidRDefault="003D384B" w14:paraId="5467CC0C" w14:textId="46791B8B">
            <w:pPr>
              <w:pStyle w:val="ListParagraph"/>
              <w:keepNext/>
              <w:keepLines/>
              <w:numPr>
                <w:ilvl w:val="0"/>
                <w:numId w:val="17"/>
              </w:numPr>
              <w:ind w:right="-14"/>
              <w:contextualSpacing w:val="0"/>
              <w:rPr>
                <w:rFonts w:eastAsia="Arial" w:cs="Arial"/>
                <w:sz w:val="16"/>
                <w:szCs w:val="16"/>
              </w:rPr>
            </w:pPr>
            <w:r>
              <w:rPr>
                <w:rFonts w:eastAsia="Arial" w:cs="Arial"/>
                <w:sz w:val="16"/>
                <w:szCs w:val="16"/>
              </w:rPr>
              <w:t>l</w:t>
            </w:r>
            <w:r w:rsidRPr="00AD2FDD" w:rsidR="00D520BD">
              <w:rPr>
                <w:rFonts w:eastAsia="Arial" w:cs="Arial"/>
                <w:sz w:val="16"/>
                <w:szCs w:val="16"/>
              </w:rPr>
              <w:t>ower</w:t>
            </w:r>
            <w:r w:rsidRPr="00AD2FDD" w:rsidR="00EB5DA1">
              <w:rPr>
                <w:rFonts w:eastAsia="Arial" w:cs="Arial"/>
                <w:sz w:val="16"/>
                <w:szCs w:val="16"/>
              </w:rPr>
              <w:t>s</w:t>
            </w:r>
            <w:r w:rsidRPr="00AD2FDD" w:rsidR="00D520BD">
              <w:rPr>
                <w:rFonts w:eastAsia="Arial" w:cs="Arial"/>
                <w:sz w:val="16"/>
                <w:szCs w:val="16"/>
              </w:rPr>
              <w:t xml:space="preserve"> the initial drug testing cutoff level for amphetamines from 1</w:t>
            </w:r>
            <w:r w:rsidRPr="00AD2FDD" w:rsidR="00646A79">
              <w:rPr>
                <w:rFonts w:eastAsia="Arial" w:cs="Arial"/>
                <w:sz w:val="16"/>
                <w:szCs w:val="16"/>
              </w:rPr>
              <w:t>,</w:t>
            </w:r>
            <w:r w:rsidRPr="00AD2FDD" w:rsidR="00D520BD">
              <w:rPr>
                <w:rFonts w:eastAsia="Arial" w:cs="Arial"/>
                <w:sz w:val="16"/>
                <w:szCs w:val="16"/>
              </w:rPr>
              <w:t>000 nanograms (ng) per milliliter (mL) to 500 ng/mL</w:t>
            </w:r>
          </w:p>
          <w:p w:rsidRPr="00AD2FDD" w:rsidR="00D520BD" w:rsidP="00317438" w:rsidRDefault="003D384B" w14:paraId="2D0BC6EC" w14:textId="59C4EEB0">
            <w:pPr>
              <w:pStyle w:val="ListParagraph"/>
              <w:keepNext/>
              <w:keepLines/>
              <w:numPr>
                <w:ilvl w:val="0"/>
                <w:numId w:val="17"/>
              </w:numPr>
              <w:ind w:right="-14"/>
              <w:contextualSpacing w:val="0"/>
              <w:rPr>
                <w:rFonts w:eastAsia="Arial" w:cs="Arial"/>
                <w:sz w:val="16"/>
                <w:szCs w:val="16"/>
              </w:rPr>
            </w:pPr>
            <w:r>
              <w:rPr>
                <w:rFonts w:eastAsia="Arial" w:cs="Arial"/>
                <w:sz w:val="16"/>
                <w:szCs w:val="16"/>
              </w:rPr>
              <w:t>l</w:t>
            </w:r>
            <w:r w:rsidRPr="00AD2FDD" w:rsidR="00D520BD">
              <w:rPr>
                <w:rFonts w:eastAsia="Arial" w:cs="Arial"/>
                <w:sz w:val="16"/>
                <w:szCs w:val="16"/>
              </w:rPr>
              <w:t>ower</w:t>
            </w:r>
            <w:r w:rsidRPr="00AD2FDD" w:rsidR="00EB5DA1">
              <w:rPr>
                <w:rFonts w:eastAsia="Arial" w:cs="Arial"/>
                <w:sz w:val="16"/>
                <w:szCs w:val="16"/>
              </w:rPr>
              <w:t>s</w:t>
            </w:r>
            <w:r w:rsidRPr="00AD2FDD" w:rsidR="00D520BD">
              <w:rPr>
                <w:rFonts w:eastAsia="Arial" w:cs="Arial"/>
                <w:sz w:val="16"/>
                <w:szCs w:val="16"/>
              </w:rPr>
              <w:t xml:space="preserve"> the confirmatory drug testing cutoff levels for amphetamine and methamphetamine from 500 ng/mL to 250 ng/mL</w:t>
            </w:r>
          </w:p>
          <w:p w:rsidRPr="00AD2FDD" w:rsidR="00D520BD" w:rsidP="00317438" w:rsidRDefault="003D384B" w14:paraId="37DB080D" w14:textId="4510368D">
            <w:pPr>
              <w:pStyle w:val="ListParagraph"/>
              <w:keepNext/>
              <w:keepLines/>
              <w:numPr>
                <w:ilvl w:val="0"/>
                <w:numId w:val="17"/>
              </w:numPr>
              <w:ind w:right="-14"/>
              <w:contextualSpacing w:val="0"/>
              <w:rPr>
                <w:rFonts w:eastAsia="Arial" w:cs="Arial"/>
                <w:sz w:val="16"/>
                <w:szCs w:val="16"/>
              </w:rPr>
            </w:pPr>
            <w:r>
              <w:rPr>
                <w:rFonts w:eastAsia="Arial" w:cs="Arial"/>
                <w:sz w:val="16"/>
                <w:szCs w:val="16"/>
              </w:rPr>
              <w:t>l</w:t>
            </w:r>
            <w:r w:rsidRPr="00AD2FDD" w:rsidR="00D520BD">
              <w:rPr>
                <w:rFonts w:eastAsia="Arial" w:cs="Arial"/>
                <w:sz w:val="16"/>
                <w:szCs w:val="16"/>
              </w:rPr>
              <w:t>ower</w:t>
            </w:r>
            <w:r w:rsidRPr="00AD2FDD" w:rsidR="00EB5DA1">
              <w:rPr>
                <w:rFonts w:eastAsia="Arial" w:cs="Arial"/>
                <w:sz w:val="16"/>
                <w:szCs w:val="16"/>
              </w:rPr>
              <w:t>s</w:t>
            </w:r>
            <w:r w:rsidRPr="00AD2FDD" w:rsidR="00D520BD">
              <w:rPr>
                <w:rFonts w:eastAsia="Arial" w:cs="Arial"/>
                <w:sz w:val="16"/>
                <w:szCs w:val="16"/>
              </w:rPr>
              <w:t xml:space="preserve"> the initial drug testing cutoff level for cocaine metabolites from 300 ng/mL to 150 ng/mL</w:t>
            </w:r>
          </w:p>
          <w:p w:rsidRPr="00AD2FDD" w:rsidR="00D520BD" w:rsidP="005C6BA3" w:rsidRDefault="003D384B" w14:paraId="68D0BD07" w14:textId="2EB15606">
            <w:pPr>
              <w:pStyle w:val="ListParagraph"/>
              <w:keepNext/>
              <w:keepLines/>
              <w:numPr>
                <w:ilvl w:val="0"/>
                <w:numId w:val="17"/>
              </w:numPr>
              <w:spacing w:before="12"/>
              <w:ind w:right="-20"/>
              <w:rPr>
                <w:rFonts w:eastAsia="Arial" w:cs="Arial"/>
                <w:sz w:val="16"/>
                <w:szCs w:val="16"/>
              </w:rPr>
            </w:pPr>
            <w:r>
              <w:rPr>
                <w:rFonts w:eastAsia="Arial" w:cs="Arial"/>
                <w:sz w:val="16"/>
                <w:szCs w:val="16"/>
              </w:rPr>
              <w:t>l</w:t>
            </w:r>
            <w:r w:rsidRPr="00AD2FDD" w:rsidR="00D520BD">
              <w:rPr>
                <w:rFonts w:eastAsia="Arial" w:cs="Arial"/>
                <w:sz w:val="16"/>
                <w:szCs w:val="16"/>
              </w:rPr>
              <w:t>ower</w:t>
            </w:r>
            <w:r w:rsidRPr="00AD2FDD" w:rsidR="00EB5DA1">
              <w:rPr>
                <w:rFonts w:eastAsia="Arial" w:cs="Arial"/>
                <w:sz w:val="16"/>
                <w:szCs w:val="16"/>
              </w:rPr>
              <w:t>s</w:t>
            </w:r>
            <w:r w:rsidRPr="00AD2FDD" w:rsidR="00D520BD">
              <w:rPr>
                <w:rFonts w:eastAsia="Arial" w:cs="Arial"/>
                <w:sz w:val="16"/>
                <w:szCs w:val="16"/>
              </w:rPr>
              <w:t xml:space="preserve"> the confirmatory drug testing cutoff level for cocaine metabolite from 150 ng/mL to 100 ng/mL</w:t>
            </w:r>
          </w:p>
          <w:p w:rsidRPr="00AD2FDD" w:rsidR="00D520BD" w:rsidP="00982BD1" w:rsidRDefault="00D520BD" w14:paraId="2AF09B5F" w14:textId="77777777">
            <w:pPr>
              <w:keepNext/>
              <w:keepLines/>
              <w:spacing w:before="2"/>
              <w:rPr>
                <w:rFonts w:cs="Arial"/>
                <w:sz w:val="16"/>
                <w:szCs w:val="16"/>
              </w:rPr>
            </w:pPr>
          </w:p>
          <w:p w:rsidRPr="00AD2FDD" w:rsidR="00D520BD" w:rsidP="001F6B79" w:rsidRDefault="00D520BD" w14:paraId="6B855F94" w14:textId="631DC65D">
            <w:pPr>
              <w:keepNext/>
              <w:keepLines/>
              <w:spacing w:after="120"/>
              <w:rPr>
                <w:rFonts w:eastAsia="Arial" w:cs="Arial"/>
                <w:sz w:val="16"/>
                <w:szCs w:val="16"/>
              </w:rPr>
            </w:pPr>
            <w:r w:rsidRPr="00AD2FDD">
              <w:rPr>
                <w:rFonts w:eastAsia="Arial" w:cs="Arial"/>
                <w:sz w:val="16"/>
                <w:szCs w:val="16"/>
              </w:rPr>
              <w:t xml:space="preserve">Lower cutoff levels for amphetamines and cocaine metabolites increase the window of detection in which these drugs </w:t>
            </w:r>
            <w:r w:rsidRPr="00AD2FDD" w:rsidR="00F7326C">
              <w:rPr>
                <w:rFonts w:eastAsia="Arial" w:cs="Arial"/>
                <w:sz w:val="16"/>
                <w:szCs w:val="16"/>
              </w:rPr>
              <w:t>can</w:t>
            </w:r>
            <w:r w:rsidRPr="00AD2FDD">
              <w:rPr>
                <w:rFonts w:eastAsia="Arial" w:cs="Arial"/>
                <w:sz w:val="16"/>
                <w:szCs w:val="16"/>
              </w:rPr>
              <w:t xml:space="preserve"> be identified in the urine specimens provided by individuals.  The changes also provide additional assurance that persons will be unable to subvert the drug testing process </w:t>
            </w:r>
            <w:r w:rsidRPr="00AD2FDD" w:rsidR="00B24133">
              <w:rPr>
                <w:rFonts w:eastAsia="Arial" w:cs="Arial"/>
                <w:sz w:val="16"/>
                <w:szCs w:val="16"/>
              </w:rPr>
              <w:t>by</w:t>
            </w:r>
            <w:r w:rsidRPr="00AD2FDD">
              <w:rPr>
                <w:rFonts w:eastAsia="Arial" w:cs="Arial"/>
                <w:sz w:val="16"/>
                <w:szCs w:val="16"/>
              </w:rPr>
              <w:t xml:space="preserve"> temporarily abstaining from using these drugs.  As a result</w:t>
            </w:r>
            <w:r w:rsidRPr="00AD2FDD" w:rsidR="00646A79">
              <w:rPr>
                <w:rFonts w:eastAsia="Arial" w:cs="Arial"/>
                <w:sz w:val="16"/>
                <w:szCs w:val="16"/>
              </w:rPr>
              <w:t>,</w:t>
            </w:r>
            <w:r w:rsidRPr="00AD2FDD">
              <w:rPr>
                <w:rFonts w:eastAsia="Arial" w:cs="Arial"/>
                <w:sz w:val="16"/>
                <w:szCs w:val="16"/>
              </w:rPr>
              <w:t xml:space="preserve"> the </w:t>
            </w:r>
            <w:r w:rsidRPr="00AD2FDD" w:rsidR="00B24133">
              <w:rPr>
                <w:rFonts w:eastAsia="Arial" w:cs="Arial"/>
                <w:sz w:val="16"/>
                <w:szCs w:val="16"/>
              </w:rPr>
              <w:t xml:space="preserve">staff estimates the </w:t>
            </w:r>
            <w:r w:rsidRPr="00AD2FDD">
              <w:rPr>
                <w:rFonts w:eastAsia="Arial" w:cs="Arial"/>
                <w:sz w:val="16"/>
                <w:szCs w:val="16"/>
              </w:rPr>
              <w:t xml:space="preserve">lower cutoffs </w:t>
            </w:r>
            <w:r w:rsidR="001D3B53">
              <w:rPr>
                <w:rFonts w:eastAsia="Arial" w:cs="Arial"/>
                <w:sz w:val="16"/>
                <w:szCs w:val="16"/>
              </w:rPr>
              <w:t xml:space="preserve">will </w:t>
            </w:r>
            <w:r w:rsidRPr="00AD2FDD">
              <w:rPr>
                <w:rFonts w:eastAsia="Arial" w:cs="Arial"/>
                <w:sz w:val="16"/>
                <w:szCs w:val="16"/>
              </w:rPr>
              <w:t>result in an increase in the number of urine specimens identified as containing amphetamines or cocaine metabolites</w:t>
            </w:r>
            <w:r w:rsidRPr="00AD2FDD" w:rsidR="00646A79">
              <w:rPr>
                <w:rFonts w:eastAsia="Arial" w:cs="Arial"/>
                <w:sz w:val="16"/>
                <w:szCs w:val="16"/>
              </w:rPr>
              <w:t>,</w:t>
            </w:r>
            <w:r w:rsidRPr="00AD2FDD">
              <w:rPr>
                <w:rFonts w:eastAsia="Arial" w:cs="Arial"/>
                <w:sz w:val="16"/>
                <w:szCs w:val="16"/>
              </w:rPr>
              <w:t xml:space="preserve"> or both.  The rule changes </w:t>
            </w:r>
            <w:r w:rsidRPr="00AD2FDD" w:rsidR="00730F44">
              <w:rPr>
                <w:rFonts w:eastAsia="Arial" w:cs="Arial"/>
                <w:sz w:val="16"/>
                <w:szCs w:val="16"/>
              </w:rPr>
              <w:t>will</w:t>
            </w:r>
            <w:r w:rsidRPr="00AD2FDD">
              <w:rPr>
                <w:rFonts w:eastAsia="Arial" w:cs="Arial"/>
                <w:sz w:val="16"/>
                <w:szCs w:val="16"/>
              </w:rPr>
              <w:t xml:space="preserve"> improve the detection of drug users and may increase the deterrent effect of the testing program under 10 CFR Part 26</w:t>
            </w:r>
            <w:r w:rsidRPr="00AD2FDD" w:rsidR="00646A79">
              <w:rPr>
                <w:rFonts w:eastAsia="Arial" w:cs="Arial"/>
                <w:sz w:val="16"/>
                <w:szCs w:val="16"/>
              </w:rPr>
              <w:t>,</w:t>
            </w:r>
            <w:r w:rsidRPr="00AD2FDD">
              <w:rPr>
                <w:rFonts w:eastAsia="Arial" w:cs="Arial"/>
                <w:sz w:val="16"/>
                <w:szCs w:val="16"/>
              </w:rPr>
              <w:t xml:space="preserve"> </w:t>
            </w:r>
            <w:r w:rsidRPr="00AD2FDD" w:rsidR="00646A79">
              <w:rPr>
                <w:rFonts w:eastAsia="Arial" w:cs="Arial"/>
                <w:sz w:val="16"/>
                <w:szCs w:val="16"/>
              </w:rPr>
              <w:t>“</w:t>
            </w:r>
            <w:r w:rsidRPr="00AD2FDD">
              <w:rPr>
                <w:rFonts w:eastAsia="Arial" w:cs="Arial"/>
                <w:sz w:val="16"/>
                <w:szCs w:val="16"/>
              </w:rPr>
              <w:t xml:space="preserve">Fitness for </w:t>
            </w:r>
            <w:r w:rsidRPr="00AD2FDD" w:rsidR="00B24133">
              <w:rPr>
                <w:rFonts w:eastAsia="Arial" w:cs="Arial"/>
                <w:sz w:val="16"/>
                <w:szCs w:val="16"/>
              </w:rPr>
              <w:t>d</w:t>
            </w:r>
            <w:r w:rsidRPr="00AD2FDD">
              <w:rPr>
                <w:rFonts w:eastAsia="Arial" w:cs="Arial"/>
                <w:sz w:val="16"/>
                <w:szCs w:val="16"/>
              </w:rPr>
              <w:t>uty.</w:t>
            </w:r>
            <w:r w:rsidRPr="00AD2FDD" w:rsidR="00646A79">
              <w:rPr>
                <w:rFonts w:eastAsia="Arial" w:cs="Arial"/>
                <w:sz w:val="16"/>
                <w:szCs w:val="16"/>
              </w:rPr>
              <w:t>”</w:t>
            </w:r>
          </w:p>
        </w:tc>
      </w:tr>
      <w:tr w:rsidRPr="00AD2FDD" w:rsidR="00D520BD" w:rsidTr="00427A8C" w14:paraId="32E82E06" w14:textId="77777777">
        <w:tc>
          <w:tcPr>
            <w:tcW w:w="2070" w:type="dxa"/>
            <w:gridSpan w:val="2"/>
            <w:shd w:val="clear" w:color="auto" w:fill="D9D9D9" w:themeFill="background1" w:themeFillShade="D9"/>
            <w:tcMar>
              <w:left w:w="58" w:type="dxa"/>
              <w:right w:w="58" w:type="dxa"/>
            </w:tcMar>
            <w:vAlign w:val="center"/>
          </w:tcPr>
          <w:p w:rsidRPr="00AD2FDD" w:rsidR="00D520BD" w:rsidP="00982BD1" w:rsidRDefault="00D520BD" w14:paraId="725CB907" w14:textId="77777777">
            <w:pPr>
              <w:keepNext/>
              <w:keepLines/>
              <w:jc w:val="center"/>
              <w:rPr>
                <w:rFonts w:cs="Arial"/>
                <w:b/>
                <w:i/>
                <w:sz w:val="16"/>
                <w:szCs w:val="16"/>
              </w:rPr>
            </w:pPr>
            <w:r w:rsidRPr="00AD2FDD">
              <w:rPr>
                <w:rFonts w:cs="Arial"/>
                <w:b/>
                <w:i/>
                <w:sz w:val="16"/>
                <w:szCs w:val="16"/>
              </w:rPr>
              <w:t>Activity</w:t>
            </w:r>
          </w:p>
        </w:tc>
        <w:tc>
          <w:tcPr>
            <w:tcW w:w="3690" w:type="dxa"/>
            <w:gridSpan w:val="3"/>
            <w:shd w:val="clear" w:color="auto" w:fill="D9D9D9" w:themeFill="background1" w:themeFillShade="D9"/>
            <w:tcMar>
              <w:left w:w="58" w:type="dxa"/>
              <w:right w:w="58" w:type="dxa"/>
            </w:tcMar>
            <w:vAlign w:val="center"/>
          </w:tcPr>
          <w:p w:rsidRPr="00AD2FDD" w:rsidR="00D520BD" w:rsidP="00982BD1" w:rsidRDefault="00D520BD" w14:paraId="6A3346B0" w14:textId="77777777">
            <w:pPr>
              <w:keepNext/>
              <w:keepLines/>
              <w:jc w:val="center"/>
              <w:rPr>
                <w:rFonts w:cs="Arial"/>
                <w:b/>
                <w:i/>
                <w:sz w:val="16"/>
                <w:szCs w:val="16"/>
              </w:rPr>
            </w:pPr>
            <w:r w:rsidRPr="00AD2FDD">
              <w:rPr>
                <w:rFonts w:cs="Arial"/>
                <w:b/>
                <w:i/>
                <w:sz w:val="16"/>
                <w:szCs w:val="16"/>
              </w:rPr>
              <w:t>Parameter</w:t>
            </w:r>
          </w:p>
        </w:tc>
        <w:tc>
          <w:tcPr>
            <w:tcW w:w="810" w:type="dxa"/>
            <w:gridSpan w:val="2"/>
            <w:shd w:val="clear" w:color="auto" w:fill="D9D9D9" w:themeFill="background1" w:themeFillShade="D9"/>
            <w:tcMar>
              <w:left w:w="58" w:type="dxa"/>
              <w:right w:w="58" w:type="dxa"/>
            </w:tcMar>
            <w:vAlign w:val="center"/>
          </w:tcPr>
          <w:p w:rsidRPr="00AD2FDD" w:rsidR="00D520BD" w:rsidP="00982BD1" w:rsidRDefault="00D520BD" w14:paraId="4C2BC599" w14:textId="77777777">
            <w:pPr>
              <w:keepNext/>
              <w:keepLines/>
              <w:jc w:val="center"/>
              <w:rPr>
                <w:rFonts w:cs="Arial"/>
                <w:b/>
                <w:i/>
                <w:sz w:val="16"/>
                <w:szCs w:val="16"/>
              </w:rPr>
            </w:pPr>
            <w:r w:rsidRPr="00AD2FDD">
              <w:rPr>
                <w:rFonts w:cs="Arial"/>
                <w:b/>
                <w:i/>
                <w:sz w:val="16"/>
                <w:szCs w:val="16"/>
              </w:rPr>
              <w:t>Value</w:t>
            </w:r>
          </w:p>
        </w:tc>
        <w:tc>
          <w:tcPr>
            <w:tcW w:w="828" w:type="dxa"/>
            <w:shd w:val="clear" w:color="auto" w:fill="D9D9D9" w:themeFill="background1" w:themeFillShade="D9"/>
            <w:tcMar>
              <w:left w:w="58" w:type="dxa"/>
              <w:right w:w="58" w:type="dxa"/>
            </w:tcMar>
            <w:vAlign w:val="center"/>
          </w:tcPr>
          <w:p w:rsidRPr="00AD2FDD" w:rsidR="00D520BD" w:rsidP="00982BD1" w:rsidRDefault="00D520BD" w14:paraId="46485B7E" w14:textId="77777777">
            <w:pPr>
              <w:keepNext/>
              <w:keepLines/>
              <w:jc w:val="center"/>
              <w:rPr>
                <w:rFonts w:cs="Arial"/>
                <w:b/>
                <w:i/>
                <w:sz w:val="16"/>
                <w:szCs w:val="16"/>
              </w:rPr>
            </w:pPr>
            <w:r w:rsidRPr="00AD2FDD">
              <w:rPr>
                <w:rFonts w:cs="Arial"/>
                <w:b/>
                <w:i/>
                <w:sz w:val="16"/>
                <w:szCs w:val="16"/>
              </w:rPr>
              <w:t>Benefits (Cost)</w:t>
            </w:r>
          </w:p>
        </w:tc>
        <w:tc>
          <w:tcPr>
            <w:tcW w:w="900" w:type="dxa"/>
            <w:gridSpan w:val="2"/>
            <w:shd w:val="clear" w:color="auto" w:fill="D9D9D9" w:themeFill="background1" w:themeFillShade="D9"/>
            <w:tcMar>
              <w:left w:w="58" w:type="dxa"/>
              <w:right w:w="58" w:type="dxa"/>
            </w:tcMar>
            <w:vAlign w:val="center"/>
          </w:tcPr>
          <w:p w:rsidRPr="00AD2FDD" w:rsidR="00D520BD" w:rsidP="00982BD1" w:rsidRDefault="00D520BD" w14:paraId="60EAD39A" w14:textId="77777777">
            <w:pPr>
              <w:keepNext/>
              <w:keepLines/>
              <w:jc w:val="center"/>
              <w:rPr>
                <w:rFonts w:cs="Arial"/>
                <w:b/>
                <w:i/>
                <w:sz w:val="16"/>
                <w:szCs w:val="16"/>
              </w:rPr>
            </w:pPr>
            <w:r w:rsidRPr="00AD2FDD">
              <w:rPr>
                <w:rFonts w:cs="Arial"/>
                <w:b/>
                <w:i/>
                <w:sz w:val="16"/>
                <w:szCs w:val="16"/>
              </w:rPr>
              <w:t>Sites Affected</w:t>
            </w:r>
          </w:p>
        </w:tc>
        <w:tc>
          <w:tcPr>
            <w:tcW w:w="1170" w:type="dxa"/>
            <w:shd w:val="clear" w:color="auto" w:fill="D9D9D9" w:themeFill="background1" w:themeFillShade="D9"/>
            <w:tcMar>
              <w:left w:w="58" w:type="dxa"/>
              <w:right w:w="58" w:type="dxa"/>
            </w:tcMar>
            <w:vAlign w:val="center"/>
          </w:tcPr>
          <w:p w:rsidRPr="00AD2FDD" w:rsidR="00D520BD" w:rsidP="00982BD1" w:rsidRDefault="00D520BD" w14:paraId="2BC4AB30" w14:textId="77777777">
            <w:pPr>
              <w:keepNext/>
              <w:keepLines/>
              <w:jc w:val="center"/>
              <w:rPr>
                <w:rFonts w:cs="Arial"/>
                <w:b/>
                <w:i/>
                <w:sz w:val="16"/>
                <w:szCs w:val="16"/>
              </w:rPr>
            </w:pPr>
            <w:r w:rsidRPr="00AD2FDD">
              <w:rPr>
                <w:rFonts w:cs="Arial"/>
                <w:b/>
                <w:i/>
                <w:sz w:val="16"/>
                <w:szCs w:val="16"/>
              </w:rPr>
              <w:t>Total Benefits (Costs)</w:t>
            </w:r>
          </w:p>
        </w:tc>
      </w:tr>
      <w:tr w:rsidRPr="00AD2FDD" w:rsidR="00D520BD" w:rsidTr="00427A8C" w14:paraId="2D0DD828" w14:textId="77777777">
        <w:tc>
          <w:tcPr>
            <w:tcW w:w="9468" w:type="dxa"/>
            <w:gridSpan w:val="11"/>
            <w:shd w:val="clear" w:color="auto" w:fill="D9D9D9" w:themeFill="background1" w:themeFillShade="D9"/>
            <w:tcMar>
              <w:left w:w="58" w:type="dxa"/>
              <w:right w:w="58" w:type="dxa"/>
            </w:tcMar>
          </w:tcPr>
          <w:p w:rsidRPr="00AD2FDD" w:rsidR="00D520BD" w:rsidP="00982BD1" w:rsidRDefault="00D520BD" w14:paraId="103A7100" w14:textId="77777777">
            <w:pPr>
              <w:keepNext/>
              <w:keepLines/>
              <w:rPr>
                <w:sz w:val="16"/>
                <w:szCs w:val="16"/>
              </w:rPr>
            </w:pPr>
            <w:r w:rsidRPr="00AD2FDD">
              <w:rPr>
                <w:rFonts w:eastAsia="Arial" w:cs="Arial"/>
                <w:b/>
                <w:bCs/>
                <w:sz w:val="16"/>
                <w:szCs w:val="16"/>
              </w:rPr>
              <w:t>INDU</w:t>
            </w:r>
            <w:r w:rsidRPr="006F767F">
              <w:rPr>
                <w:rFonts w:eastAsia="Arial"/>
                <w:b/>
                <w:sz w:val="16"/>
              </w:rPr>
              <w:t>STR</w:t>
            </w:r>
            <w:r w:rsidRPr="00AD2FDD">
              <w:rPr>
                <w:rFonts w:eastAsia="Arial" w:cs="Arial"/>
                <w:b/>
                <w:bCs/>
                <w:sz w:val="16"/>
                <w:szCs w:val="16"/>
              </w:rPr>
              <w:t>Y</w:t>
            </w:r>
            <w:r w:rsidRPr="00A27E74">
              <w:rPr>
                <w:rFonts w:eastAsia="Arial"/>
                <w:b/>
                <w:sz w:val="16"/>
              </w:rPr>
              <w:t xml:space="preserve"> </w:t>
            </w:r>
            <w:r w:rsidRPr="00AD2FDD">
              <w:rPr>
                <w:rFonts w:eastAsia="Arial" w:cs="Arial"/>
                <w:b/>
                <w:bCs/>
                <w:sz w:val="16"/>
                <w:szCs w:val="16"/>
              </w:rPr>
              <w:t>OPE</w:t>
            </w:r>
            <w:r w:rsidRPr="00A27E74">
              <w:rPr>
                <w:rFonts w:eastAsia="Arial"/>
                <w:b/>
                <w:sz w:val="16"/>
              </w:rPr>
              <w:t>RA</w:t>
            </w:r>
            <w:r w:rsidRPr="00AD2FDD">
              <w:rPr>
                <w:rFonts w:eastAsia="Arial" w:cs="Arial"/>
                <w:b/>
                <w:bCs/>
                <w:sz w:val="16"/>
                <w:szCs w:val="16"/>
              </w:rPr>
              <w:t>T</w:t>
            </w:r>
            <w:r w:rsidRPr="00A27E74">
              <w:rPr>
                <w:rFonts w:eastAsia="Arial"/>
                <w:b/>
                <w:sz w:val="16"/>
              </w:rPr>
              <w:t>I</w:t>
            </w:r>
            <w:r w:rsidRPr="00AD2FDD">
              <w:rPr>
                <w:rFonts w:eastAsia="Arial" w:cs="Arial"/>
                <w:b/>
                <w:bCs/>
                <w:sz w:val="16"/>
                <w:szCs w:val="16"/>
              </w:rPr>
              <w:t>ONS</w:t>
            </w:r>
            <w:r w:rsidRPr="00A27E74">
              <w:rPr>
                <w:rFonts w:eastAsia="Arial"/>
                <w:b/>
                <w:sz w:val="16"/>
              </w:rPr>
              <w:t xml:space="preserve"> (ANNUAL)</w:t>
            </w:r>
          </w:p>
        </w:tc>
      </w:tr>
      <w:tr w:rsidRPr="00AD2FDD" w:rsidR="00D520BD" w:rsidTr="00427A8C" w14:paraId="78AB741C" w14:textId="77777777">
        <w:tc>
          <w:tcPr>
            <w:tcW w:w="9468" w:type="dxa"/>
            <w:gridSpan w:val="11"/>
            <w:tcMar>
              <w:left w:w="58" w:type="dxa"/>
              <w:right w:w="58" w:type="dxa"/>
            </w:tcMar>
          </w:tcPr>
          <w:p w:rsidRPr="00AD2FDD" w:rsidR="00D520BD" w:rsidP="00982BD1" w:rsidRDefault="00D520BD" w14:paraId="072A3121" w14:textId="77777777">
            <w:pPr>
              <w:keepNext/>
              <w:keepLines/>
              <w:rPr>
                <w:sz w:val="16"/>
                <w:szCs w:val="16"/>
              </w:rPr>
            </w:pPr>
            <w:r w:rsidRPr="00317438">
              <w:rPr>
                <w:rFonts w:eastAsia="Arial"/>
                <w:b/>
                <w:sz w:val="16"/>
              </w:rPr>
              <w:t>Ampheta</w:t>
            </w:r>
            <w:r w:rsidRPr="00AD2FDD">
              <w:rPr>
                <w:rFonts w:eastAsia="Arial" w:cs="Arial"/>
                <w:b/>
                <w:bCs/>
                <w:sz w:val="16"/>
                <w:szCs w:val="16"/>
              </w:rPr>
              <w:t>m</w:t>
            </w:r>
            <w:r w:rsidRPr="00317438">
              <w:rPr>
                <w:rFonts w:eastAsia="Arial"/>
                <w:b/>
                <w:sz w:val="16"/>
              </w:rPr>
              <w:t>ine</w:t>
            </w:r>
            <w:r w:rsidRPr="00AD2FDD">
              <w:rPr>
                <w:rFonts w:eastAsia="Arial" w:cs="Arial"/>
                <w:b/>
                <w:bCs/>
                <w:sz w:val="16"/>
                <w:szCs w:val="16"/>
              </w:rPr>
              <w:t>s</w:t>
            </w:r>
          </w:p>
        </w:tc>
      </w:tr>
      <w:tr w:rsidRPr="00AD2FDD" w:rsidR="00D520BD" w:rsidTr="00427A8C" w14:paraId="46CCE8D1" w14:textId="77777777">
        <w:tc>
          <w:tcPr>
            <w:tcW w:w="2070" w:type="dxa"/>
            <w:gridSpan w:val="2"/>
            <w:vMerge w:val="restart"/>
            <w:tcMar>
              <w:left w:w="58" w:type="dxa"/>
              <w:right w:w="58" w:type="dxa"/>
            </w:tcMar>
            <w:vAlign w:val="center"/>
          </w:tcPr>
          <w:p w:rsidRPr="00AD2FDD" w:rsidR="00D520BD" w:rsidP="00D13A4F" w:rsidRDefault="00D520BD" w14:paraId="64924E0E" w14:textId="3A34C471">
            <w:pPr>
              <w:keepNext/>
              <w:keepLines/>
              <w:ind w:left="88" w:right="68"/>
              <w:rPr>
                <w:rFonts w:eastAsia="Arial" w:cs="Arial"/>
                <w:sz w:val="16"/>
                <w:szCs w:val="16"/>
              </w:rPr>
            </w:pPr>
            <w:r w:rsidRPr="00AD2FDD">
              <w:rPr>
                <w:rFonts w:eastAsia="Arial" w:cs="Arial"/>
                <w:sz w:val="16"/>
                <w:szCs w:val="16"/>
              </w:rPr>
              <w:t>Add</w:t>
            </w:r>
            <w:r w:rsidRPr="00317438">
              <w:rPr>
                <w:rFonts w:eastAsia="Arial"/>
                <w:sz w:val="16"/>
              </w:rPr>
              <w:t>iti</w:t>
            </w:r>
            <w:r w:rsidRPr="00AD2FDD">
              <w:rPr>
                <w:rFonts w:eastAsia="Arial" w:cs="Arial"/>
                <w:sz w:val="16"/>
                <w:szCs w:val="16"/>
              </w:rPr>
              <w:t>o</w:t>
            </w:r>
            <w:r w:rsidRPr="00317438">
              <w:rPr>
                <w:rFonts w:eastAsia="Arial"/>
                <w:sz w:val="16"/>
              </w:rPr>
              <w:t>n</w:t>
            </w:r>
            <w:r w:rsidRPr="00AD2FDD">
              <w:rPr>
                <w:rFonts w:eastAsia="Arial" w:cs="Arial"/>
                <w:sz w:val="16"/>
                <w:szCs w:val="16"/>
              </w:rPr>
              <w:t>al</w:t>
            </w:r>
            <w:r w:rsidRPr="00317438">
              <w:rPr>
                <w:rFonts w:eastAsia="Arial"/>
                <w:sz w:val="16"/>
              </w:rPr>
              <w:t xml:space="preserve"> t</w:t>
            </w:r>
            <w:r w:rsidRPr="00AD2FDD">
              <w:rPr>
                <w:rFonts w:eastAsia="Arial" w:cs="Arial"/>
                <w:sz w:val="16"/>
                <w:szCs w:val="16"/>
              </w:rPr>
              <w:t>est</w:t>
            </w:r>
            <w:r w:rsidRPr="00317438">
              <w:rPr>
                <w:rFonts w:eastAsia="Arial"/>
                <w:sz w:val="16"/>
              </w:rPr>
              <w:t>in</w:t>
            </w:r>
            <w:r w:rsidRPr="00AD2FDD">
              <w:rPr>
                <w:rFonts w:eastAsia="Arial" w:cs="Arial"/>
                <w:sz w:val="16"/>
                <w:szCs w:val="16"/>
              </w:rPr>
              <w:t>g</w:t>
            </w:r>
            <w:r w:rsidRPr="00317438">
              <w:rPr>
                <w:rFonts w:eastAsia="Arial"/>
                <w:sz w:val="16"/>
              </w:rPr>
              <w:t xml:space="preserve"> </w:t>
            </w:r>
            <w:r w:rsidRPr="00AD2FDD">
              <w:rPr>
                <w:rFonts w:eastAsia="Arial" w:cs="Arial"/>
                <w:sz w:val="16"/>
                <w:szCs w:val="16"/>
              </w:rPr>
              <w:t>at</w:t>
            </w:r>
            <w:r w:rsidRPr="00317438">
              <w:rPr>
                <w:rFonts w:eastAsia="Arial"/>
                <w:sz w:val="16"/>
              </w:rPr>
              <w:t xml:space="preserve"> </w:t>
            </w:r>
            <w:r w:rsidRPr="00AD2FDD">
              <w:rPr>
                <w:rFonts w:eastAsia="Arial" w:cs="Arial"/>
                <w:sz w:val="16"/>
                <w:szCs w:val="16"/>
              </w:rPr>
              <w:t>HHS-</w:t>
            </w:r>
            <w:r w:rsidRPr="00317438">
              <w:rPr>
                <w:rFonts w:eastAsia="Arial"/>
                <w:sz w:val="16"/>
              </w:rPr>
              <w:t>c</w:t>
            </w:r>
            <w:r w:rsidRPr="00AD2FDD">
              <w:rPr>
                <w:rFonts w:eastAsia="Arial" w:cs="Arial"/>
                <w:sz w:val="16"/>
                <w:szCs w:val="16"/>
              </w:rPr>
              <w:t>ert</w:t>
            </w:r>
            <w:r w:rsidRPr="00317438">
              <w:rPr>
                <w:rFonts w:eastAsia="Arial"/>
                <w:sz w:val="16"/>
              </w:rPr>
              <w:t>i</w:t>
            </w:r>
            <w:r w:rsidRPr="00AD2FDD">
              <w:rPr>
                <w:rFonts w:eastAsia="Arial" w:cs="Arial"/>
                <w:sz w:val="16"/>
                <w:szCs w:val="16"/>
              </w:rPr>
              <w:t>f</w:t>
            </w:r>
            <w:r w:rsidRPr="00317438">
              <w:rPr>
                <w:rFonts w:eastAsia="Arial"/>
                <w:sz w:val="16"/>
              </w:rPr>
              <w:t>i</w:t>
            </w:r>
            <w:r w:rsidRPr="00AD2FDD">
              <w:rPr>
                <w:rFonts w:eastAsia="Arial" w:cs="Arial"/>
                <w:sz w:val="16"/>
                <w:szCs w:val="16"/>
              </w:rPr>
              <w:t>ed</w:t>
            </w:r>
            <w:r w:rsidRPr="00317438">
              <w:rPr>
                <w:rFonts w:eastAsia="Arial"/>
                <w:sz w:val="16"/>
              </w:rPr>
              <w:t xml:space="preserve"> labor</w:t>
            </w:r>
            <w:r w:rsidRPr="00AD2FDD">
              <w:rPr>
                <w:rFonts w:eastAsia="Arial" w:cs="Arial"/>
                <w:sz w:val="16"/>
                <w:szCs w:val="16"/>
              </w:rPr>
              <w:t>a</w:t>
            </w:r>
            <w:r w:rsidRPr="00317438">
              <w:rPr>
                <w:rFonts w:eastAsia="Arial"/>
                <w:sz w:val="16"/>
              </w:rPr>
              <w:t>tor</w:t>
            </w:r>
            <w:r w:rsidRPr="00AD2FDD">
              <w:rPr>
                <w:rFonts w:eastAsia="Arial" w:cs="Arial"/>
                <w:sz w:val="16"/>
                <w:szCs w:val="16"/>
              </w:rPr>
              <w:t>y for</w:t>
            </w:r>
            <w:r w:rsidRPr="00317438">
              <w:rPr>
                <w:rFonts w:eastAsia="Arial"/>
                <w:sz w:val="16"/>
              </w:rPr>
              <w:t xml:space="preserve"> </w:t>
            </w:r>
            <w:r w:rsidRPr="00AD2FDD">
              <w:rPr>
                <w:rFonts w:eastAsia="Arial" w:cs="Arial"/>
                <w:sz w:val="16"/>
                <w:szCs w:val="16"/>
              </w:rPr>
              <w:t>amphetamines positive results</w:t>
            </w:r>
          </w:p>
          <w:p w:rsidRPr="00AD2FDD" w:rsidR="00D520BD" w:rsidP="007E2603" w:rsidRDefault="00D520BD" w14:paraId="5BC960E7" w14:textId="77777777">
            <w:pPr>
              <w:keepNext/>
              <w:keepLines/>
              <w:ind w:left="88" w:right="68"/>
              <w:rPr>
                <w:sz w:val="16"/>
                <w:szCs w:val="16"/>
              </w:rPr>
            </w:pPr>
            <w:r w:rsidRPr="00AD2FDD">
              <w:rPr>
                <w:rFonts w:eastAsia="Arial" w:cs="Arial"/>
                <w:sz w:val="16"/>
                <w:szCs w:val="16"/>
              </w:rPr>
              <w:t>(sites using LTFs)</w:t>
            </w:r>
          </w:p>
        </w:tc>
        <w:tc>
          <w:tcPr>
            <w:tcW w:w="3690" w:type="dxa"/>
            <w:gridSpan w:val="3"/>
            <w:shd w:val="clear" w:color="auto" w:fill="auto"/>
            <w:tcMar>
              <w:left w:w="58" w:type="dxa"/>
              <w:right w:w="58" w:type="dxa"/>
            </w:tcMar>
            <w:vAlign w:val="center"/>
          </w:tcPr>
          <w:p w:rsidRPr="00AD2FDD" w:rsidR="00D520BD" w:rsidP="00982BD1" w:rsidRDefault="00D520BD" w14:paraId="57975462" w14:textId="77777777">
            <w:pPr>
              <w:keepNext/>
              <w:keepLines/>
              <w:rPr>
                <w:sz w:val="16"/>
                <w:szCs w:val="16"/>
              </w:rPr>
            </w:pPr>
            <w:r w:rsidRPr="00AD2FDD">
              <w:rPr>
                <w:sz w:val="16"/>
                <w:szCs w:val="16"/>
              </w:rPr>
              <w:t>Number of drug tests conducted per site per year under 10 CFR Part 26</w:t>
            </w:r>
          </w:p>
        </w:tc>
        <w:tc>
          <w:tcPr>
            <w:tcW w:w="810" w:type="dxa"/>
            <w:gridSpan w:val="2"/>
            <w:shd w:val="clear" w:color="auto" w:fill="FFFFFF" w:themeFill="background1"/>
            <w:tcMar>
              <w:left w:w="58" w:type="dxa"/>
              <w:right w:w="58" w:type="dxa"/>
            </w:tcMar>
            <w:vAlign w:val="center"/>
          </w:tcPr>
          <w:p w:rsidRPr="00AD2FDD" w:rsidR="00D520BD" w:rsidP="00982BD1" w:rsidRDefault="00D520BD" w14:paraId="638D24F7" w14:textId="58F148A1">
            <w:pPr>
              <w:keepNext/>
              <w:keepLines/>
              <w:jc w:val="right"/>
              <w:rPr>
                <w:sz w:val="16"/>
                <w:szCs w:val="16"/>
              </w:rPr>
            </w:pPr>
            <w:r w:rsidRPr="00AD2FDD">
              <w:rPr>
                <w:sz w:val="16"/>
                <w:szCs w:val="16"/>
              </w:rPr>
              <w:t>2</w:t>
            </w:r>
            <w:r w:rsidRPr="00AD2FDD" w:rsidR="00646A79">
              <w:rPr>
                <w:sz w:val="16"/>
                <w:szCs w:val="16"/>
              </w:rPr>
              <w:t>,</w:t>
            </w:r>
            <w:r w:rsidRPr="00AD2FDD" w:rsidR="006622B9">
              <w:rPr>
                <w:sz w:val="16"/>
                <w:szCs w:val="16"/>
              </w:rPr>
              <w:t>257</w:t>
            </w:r>
          </w:p>
        </w:tc>
        <w:tc>
          <w:tcPr>
            <w:tcW w:w="828" w:type="dxa"/>
            <w:tcBorders>
              <w:bottom w:val="single" w:color="auto" w:sz="4" w:space="0"/>
            </w:tcBorders>
            <w:shd w:val="clear" w:color="auto" w:fill="FFFFFF" w:themeFill="background1"/>
            <w:tcMar>
              <w:left w:w="58" w:type="dxa"/>
              <w:right w:w="58" w:type="dxa"/>
            </w:tcMar>
            <w:vAlign w:val="center"/>
          </w:tcPr>
          <w:p w:rsidRPr="00AD2FDD" w:rsidR="00D520BD" w:rsidP="00982BD1" w:rsidRDefault="00D520BD" w14:paraId="38D0111D" w14:textId="1C5F2BB6">
            <w:pPr>
              <w:keepNext/>
              <w:keepLines/>
              <w:jc w:val="right"/>
              <w:rPr>
                <w:sz w:val="16"/>
                <w:szCs w:val="16"/>
              </w:rPr>
            </w:pPr>
            <w:r w:rsidRPr="00AD2FDD">
              <w:rPr>
                <w:sz w:val="16"/>
                <w:szCs w:val="16"/>
              </w:rPr>
              <w:t>($</w:t>
            </w:r>
            <w:r w:rsidRPr="00AD2FDD" w:rsidR="007713B4">
              <w:rPr>
                <w:sz w:val="16"/>
                <w:szCs w:val="16"/>
              </w:rPr>
              <w:t>16</w:t>
            </w:r>
            <w:r w:rsidRPr="00AD2FDD">
              <w:rPr>
                <w:sz w:val="16"/>
                <w:szCs w:val="16"/>
              </w:rPr>
              <w:t>)</w:t>
            </w:r>
          </w:p>
        </w:tc>
        <w:tc>
          <w:tcPr>
            <w:tcW w:w="900" w:type="dxa"/>
            <w:gridSpan w:val="2"/>
            <w:tcBorders>
              <w:bottom w:val="single" w:color="auto" w:sz="4" w:space="0"/>
            </w:tcBorders>
            <w:shd w:val="clear" w:color="auto" w:fill="FFFFFF" w:themeFill="background1"/>
            <w:tcMar>
              <w:left w:w="58" w:type="dxa"/>
              <w:right w:w="58" w:type="dxa"/>
            </w:tcMar>
            <w:vAlign w:val="center"/>
          </w:tcPr>
          <w:p w:rsidRPr="00AD2FDD" w:rsidR="00D520BD" w:rsidP="00982BD1" w:rsidRDefault="006622B9" w14:paraId="212D6944" w14:textId="1BBA04DE">
            <w:pPr>
              <w:keepNext/>
              <w:keepLines/>
              <w:jc w:val="right"/>
              <w:rPr>
                <w:sz w:val="16"/>
                <w:szCs w:val="16"/>
              </w:rPr>
            </w:pPr>
            <w:r w:rsidRPr="00AD2FDD">
              <w:rPr>
                <w:sz w:val="16"/>
                <w:szCs w:val="16"/>
              </w:rPr>
              <w:t>3</w:t>
            </w:r>
          </w:p>
        </w:tc>
        <w:tc>
          <w:tcPr>
            <w:tcW w:w="1170" w:type="dxa"/>
            <w:tcBorders>
              <w:bottom w:val="single" w:color="auto" w:sz="4" w:space="0"/>
            </w:tcBorders>
            <w:shd w:val="clear" w:color="auto" w:fill="FFFFFF" w:themeFill="background1"/>
            <w:tcMar>
              <w:left w:w="58" w:type="dxa"/>
              <w:right w:w="58" w:type="dxa"/>
            </w:tcMar>
            <w:vAlign w:val="center"/>
          </w:tcPr>
          <w:p w:rsidRPr="00AD2FDD" w:rsidR="00D520BD" w:rsidP="00982BD1" w:rsidRDefault="00D520BD" w14:paraId="662C2679" w14:textId="2E4690B5">
            <w:pPr>
              <w:keepNext/>
              <w:keepLines/>
              <w:jc w:val="right"/>
              <w:rPr>
                <w:sz w:val="16"/>
                <w:szCs w:val="16"/>
              </w:rPr>
            </w:pPr>
            <w:r w:rsidRPr="00317438">
              <w:rPr>
                <w:rFonts w:eastAsia="Arial"/>
                <w:sz w:val="16"/>
              </w:rPr>
              <w:t>($</w:t>
            </w:r>
            <w:r w:rsidRPr="00317438" w:rsidR="007713B4">
              <w:rPr>
                <w:rFonts w:eastAsia="Arial"/>
                <w:sz w:val="16"/>
              </w:rPr>
              <w:t>48</w:t>
            </w:r>
            <w:r w:rsidRPr="00AD2FDD">
              <w:rPr>
                <w:rFonts w:eastAsia="Arial" w:cs="Arial"/>
                <w:sz w:val="16"/>
                <w:szCs w:val="16"/>
              </w:rPr>
              <w:t>)</w:t>
            </w:r>
          </w:p>
        </w:tc>
      </w:tr>
      <w:tr w:rsidRPr="00AD2FDD" w:rsidR="00D520BD" w:rsidTr="00427A8C" w14:paraId="453B5F9A" w14:textId="77777777">
        <w:tc>
          <w:tcPr>
            <w:tcW w:w="2070" w:type="dxa"/>
            <w:gridSpan w:val="2"/>
            <w:vMerge/>
            <w:tcMar>
              <w:left w:w="58" w:type="dxa"/>
              <w:right w:w="58" w:type="dxa"/>
            </w:tcMar>
            <w:vAlign w:val="center"/>
          </w:tcPr>
          <w:p w:rsidRPr="00AD2FDD" w:rsidR="00D520BD" w:rsidP="00982BD1" w:rsidRDefault="00D520BD" w14:paraId="3E0C733E" w14:textId="77777777">
            <w:pPr>
              <w:keepNext/>
              <w:keepLines/>
              <w:rPr>
                <w:sz w:val="16"/>
                <w:szCs w:val="16"/>
              </w:rPr>
            </w:pPr>
          </w:p>
        </w:tc>
        <w:tc>
          <w:tcPr>
            <w:tcW w:w="3690" w:type="dxa"/>
            <w:gridSpan w:val="3"/>
            <w:shd w:val="clear" w:color="auto" w:fill="auto"/>
            <w:tcMar>
              <w:left w:w="58" w:type="dxa"/>
              <w:right w:w="58" w:type="dxa"/>
            </w:tcMar>
            <w:vAlign w:val="center"/>
          </w:tcPr>
          <w:p w:rsidRPr="00AD2FDD" w:rsidR="00D520BD" w:rsidP="00982BD1" w:rsidRDefault="00D520BD" w14:paraId="7EADD8C7" w14:textId="77777777">
            <w:pPr>
              <w:keepNext/>
              <w:keepLines/>
              <w:rPr>
                <w:sz w:val="16"/>
                <w:szCs w:val="16"/>
              </w:rPr>
            </w:pPr>
            <w:r w:rsidRPr="00AD2FDD">
              <w:rPr>
                <w:sz w:val="16"/>
                <w:szCs w:val="16"/>
              </w:rPr>
              <w:t>FFD current positive test rate</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6E624087" w14:textId="3DD42C42">
            <w:pPr>
              <w:keepNext/>
              <w:keepLines/>
              <w:jc w:val="right"/>
              <w:rPr>
                <w:sz w:val="16"/>
                <w:szCs w:val="16"/>
              </w:rPr>
            </w:pPr>
            <w:r w:rsidRPr="00AD2FDD">
              <w:rPr>
                <w:sz w:val="16"/>
                <w:szCs w:val="16"/>
              </w:rPr>
              <w:t>0.0</w:t>
            </w:r>
            <w:r w:rsidRPr="00AD2FDD" w:rsidR="00D1075B">
              <w:rPr>
                <w:sz w:val="16"/>
                <w:szCs w:val="16"/>
              </w:rPr>
              <w:t>66</w:t>
            </w:r>
            <w:r w:rsidRPr="00AD2FDD">
              <w:rPr>
                <w:sz w:val="16"/>
                <w:szCs w:val="16"/>
              </w:rPr>
              <w:t>%</w:t>
            </w:r>
          </w:p>
        </w:tc>
        <w:tc>
          <w:tcPr>
            <w:tcW w:w="828"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4A526D29" w14:textId="77777777">
            <w:pPr>
              <w:keepNext/>
              <w:keepLines/>
              <w:jc w:val="right"/>
              <w:rPr>
                <w:sz w:val="16"/>
                <w:szCs w:val="16"/>
              </w:rPr>
            </w:pPr>
          </w:p>
        </w:tc>
        <w:tc>
          <w:tcPr>
            <w:tcW w:w="900" w:type="dxa"/>
            <w:gridSpan w:val="2"/>
            <w:tcBorders>
              <w:top w:val="single" w:color="auto" w:sz="4" w:space="0"/>
              <w:left w:val="nil"/>
              <w:bottom w:val="nil"/>
              <w:right w:val="nil"/>
            </w:tcBorders>
            <w:shd w:val="clear" w:color="auto" w:fill="FFFFFF" w:themeFill="background1"/>
            <w:tcMar>
              <w:left w:w="58" w:type="dxa"/>
              <w:right w:w="58" w:type="dxa"/>
            </w:tcMar>
            <w:vAlign w:val="center"/>
          </w:tcPr>
          <w:p w:rsidRPr="00AD2FDD" w:rsidR="00D520BD" w:rsidP="00982BD1" w:rsidRDefault="00D520BD" w14:paraId="573289F2" w14:textId="77777777">
            <w:pPr>
              <w:keepNext/>
              <w:keepLines/>
              <w:jc w:val="right"/>
              <w:rPr>
                <w:sz w:val="16"/>
                <w:szCs w:val="16"/>
              </w:rPr>
            </w:pPr>
          </w:p>
        </w:tc>
        <w:tc>
          <w:tcPr>
            <w:tcW w:w="117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48E2F0C4" w14:textId="77777777">
            <w:pPr>
              <w:keepNext/>
              <w:keepLines/>
              <w:jc w:val="right"/>
              <w:rPr>
                <w:sz w:val="16"/>
                <w:szCs w:val="16"/>
              </w:rPr>
            </w:pPr>
          </w:p>
        </w:tc>
      </w:tr>
      <w:tr w:rsidRPr="00AD2FDD" w:rsidR="00D520BD" w:rsidTr="00427A8C" w14:paraId="34031400" w14:textId="77777777">
        <w:trPr>
          <w:trHeight w:val="197"/>
        </w:trPr>
        <w:tc>
          <w:tcPr>
            <w:tcW w:w="2070" w:type="dxa"/>
            <w:gridSpan w:val="2"/>
            <w:vMerge/>
            <w:tcMar>
              <w:left w:w="58" w:type="dxa"/>
              <w:right w:w="58" w:type="dxa"/>
            </w:tcMar>
            <w:vAlign w:val="center"/>
          </w:tcPr>
          <w:p w:rsidRPr="00AD2FDD" w:rsidR="00D520BD" w:rsidP="00982BD1" w:rsidRDefault="00D520BD" w14:paraId="11CF6CF7" w14:textId="77777777">
            <w:pPr>
              <w:keepNext/>
              <w:keepLines/>
              <w:rPr>
                <w:sz w:val="16"/>
                <w:szCs w:val="16"/>
              </w:rPr>
            </w:pPr>
          </w:p>
        </w:tc>
        <w:tc>
          <w:tcPr>
            <w:tcW w:w="3690" w:type="dxa"/>
            <w:gridSpan w:val="3"/>
            <w:shd w:val="clear" w:color="auto" w:fill="auto"/>
            <w:tcMar>
              <w:left w:w="58" w:type="dxa"/>
              <w:right w:w="58" w:type="dxa"/>
            </w:tcMar>
            <w:vAlign w:val="center"/>
          </w:tcPr>
          <w:p w:rsidRPr="00AD2FDD" w:rsidR="00D520BD" w:rsidP="00982BD1" w:rsidRDefault="00D520BD" w14:paraId="5D940749" w14:textId="77777777">
            <w:pPr>
              <w:keepNext/>
              <w:keepLines/>
              <w:rPr>
                <w:sz w:val="16"/>
                <w:szCs w:val="16"/>
              </w:rPr>
            </w:pPr>
            <w:r w:rsidRPr="00AD2FDD">
              <w:rPr>
                <w:sz w:val="16"/>
                <w:szCs w:val="16"/>
              </w:rPr>
              <w:t>Projected percent increase in positive testing rate</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1075B" w14:paraId="12E86745" w14:textId="7344D443">
            <w:pPr>
              <w:keepNext/>
              <w:keepLines/>
              <w:jc w:val="right"/>
              <w:rPr>
                <w:sz w:val="16"/>
                <w:szCs w:val="16"/>
              </w:rPr>
            </w:pPr>
            <w:r w:rsidRPr="00AD2FDD">
              <w:rPr>
                <w:sz w:val="16"/>
                <w:szCs w:val="16"/>
              </w:rPr>
              <w:t>36.65</w:t>
            </w:r>
            <w:r w:rsidRPr="00AD2FDD" w:rsidR="00D520BD">
              <w:rPr>
                <w:sz w:val="16"/>
                <w:szCs w:val="16"/>
              </w:rPr>
              <w:t>%</w:t>
            </w:r>
          </w:p>
        </w:tc>
        <w:tc>
          <w:tcPr>
            <w:tcW w:w="828" w:type="dxa"/>
            <w:tcBorders>
              <w:top w:val="nil"/>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78CE7D2F" w14:textId="77777777">
            <w:pPr>
              <w:keepNext/>
              <w:keepLines/>
              <w:jc w:val="right"/>
              <w:rPr>
                <w:sz w:val="16"/>
                <w:szCs w:val="16"/>
              </w:rPr>
            </w:pPr>
          </w:p>
        </w:tc>
        <w:tc>
          <w:tcPr>
            <w:tcW w:w="900" w:type="dxa"/>
            <w:gridSpan w:val="2"/>
            <w:tcBorders>
              <w:top w:val="nil"/>
              <w:left w:val="nil"/>
              <w:bottom w:val="nil"/>
              <w:right w:val="nil"/>
            </w:tcBorders>
            <w:shd w:val="clear" w:color="auto" w:fill="FFFFFF" w:themeFill="background1"/>
            <w:tcMar>
              <w:left w:w="58" w:type="dxa"/>
              <w:right w:w="58" w:type="dxa"/>
            </w:tcMar>
            <w:vAlign w:val="center"/>
          </w:tcPr>
          <w:p w:rsidRPr="00AD2FDD" w:rsidR="00D520BD" w:rsidP="00982BD1" w:rsidRDefault="00D520BD" w14:paraId="24A559FB" w14:textId="77777777">
            <w:pPr>
              <w:keepNext/>
              <w:keepLines/>
              <w:jc w:val="right"/>
              <w:rPr>
                <w:sz w:val="16"/>
                <w:szCs w:val="16"/>
              </w:rPr>
            </w:pPr>
          </w:p>
        </w:tc>
        <w:tc>
          <w:tcPr>
            <w:tcW w:w="1170" w:type="dxa"/>
            <w:tcBorders>
              <w:top w:val="nil"/>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7679A6DB" w14:textId="77777777">
            <w:pPr>
              <w:keepNext/>
              <w:keepLines/>
              <w:jc w:val="right"/>
              <w:rPr>
                <w:sz w:val="16"/>
                <w:szCs w:val="16"/>
              </w:rPr>
            </w:pPr>
          </w:p>
        </w:tc>
      </w:tr>
      <w:tr w:rsidRPr="00AD2FDD" w:rsidR="00D520BD" w:rsidTr="007713B4" w14:paraId="08DCCB41" w14:textId="77777777">
        <w:trPr>
          <w:trHeight w:val="431"/>
        </w:trPr>
        <w:tc>
          <w:tcPr>
            <w:tcW w:w="2070" w:type="dxa"/>
            <w:gridSpan w:val="2"/>
            <w:vMerge/>
            <w:tcMar>
              <w:left w:w="58" w:type="dxa"/>
              <w:right w:w="58" w:type="dxa"/>
            </w:tcMar>
            <w:vAlign w:val="center"/>
          </w:tcPr>
          <w:p w:rsidRPr="00AD2FDD" w:rsidR="00D520BD" w:rsidP="00982BD1" w:rsidRDefault="00D520BD" w14:paraId="752301F6" w14:textId="77777777">
            <w:pPr>
              <w:keepNext/>
              <w:keepLines/>
              <w:rPr>
                <w:sz w:val="16"/>
                <w:szCs w:val="16"/>
              </w:rPr>
            </w:pPr>
          </w:p>
        </w:tc>
        <w:tc>
          <w:tcPr>
            <w:tcW w:w="3690" w:type="dxa"/>
            <w:gridSpan w:val="3"/>
            <w:shd w:val="clear" w:color="auto" w:fill="auto"/>
            <w:tcMar>
              <w:left w:w="58" w:type="dxa"/>
              <w:right w:w="58" w:type="dxa"/>
            </w:tcMar>
            <w:vAlign w:val="center"/>
          </w:tcPr>
          <w:p w:rsidRPr="00AD2FDD" w:rsidR="00D520BD" w:rsidP="00982BD1" w:rsidRDefault="00D520BD" w14:paraId="5B0F42E3" w14:textId="0D8E04E1">
            <w:pPr>
              <w:keepNext/>
              <w:keepLines/>
              <w:rPr>
                <w:sz w:val="16"/>
                <w:szCs w:val="16"/>
              </w:rPr>
            </w:pPr>
            <w:r w:rsidRPr="00AD2FDD">
              <w:rPr>
                <w:sz w:val="16"/>
                <w:szCs w:val="16"/>
              </w:rPr>
              <w:t>Initial and confirmatory drug testing</w:t>
            </w:r>
            <w:r w:rsidRPr="00AD2FDD" w:rsidR="00646A79">
              <w:rPr>
                <w:sz w:val="16"/>
                <w:szCs w:val="16"/>
              </w:rPr>
              <w:t>,</w:t>
            </w:r>
            <w:r w:rsidRPr="00AD2FDD">
              <w:rPr>
                <w:sz w:val="16"/>
                <w:szCs w:val="16"/>
              </w:rPr>
              <w:t xml:space="preserve"> HHS-certified laboratory</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7385D681" w14:textId="637A44D2">
            <w:pPr>
              <w:keepNext/>
              <w:keepLines/>
              <w:jc w:val="right"/>
              <w:rPr>
                <w:sz w:val="16"/>
                <w:szCs w:val="16"/>
              </w:rPr>
            </w:pPr>
            <w:r w:rsidRPr="00AD2FDD">
              <w:rPr>
                <w:sz w:val="16"/>
                <w:szCs w:val="16"/>
              </w:rPr>
              <w:t>$</w:t>
            </w:r>
            <w:r w:rsidRPr="00AD2FDD" w:rsidR="007713B4">
              <w:rPr>
                <w:sz w:val="16"/>
                <w:szCs w:val="16"/>
              </w:rPr>
              <w:t>28.83</w:t>
            </w:r>
          </w:p>
        </w:tc>
        <w:tc>
          <w:tcPr>
            <w:tcW w:w="828"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AD2FDD" w:rsidR="00D520BD" w:rsidP="00982BD1" w:rsidRDefault="00D520BD" w14:paraId="7082FD1C" w14:textId="77777777">
            <w:pPr>
              <w:keepNext/>
              <w:keepLines/>
              <w:jc w:val="right"/>
              <w:rPr>
                <w:sz w:val="16"/>
                <w:szCs w:val="16"/>
              </w:rPr>
            </w:pPr>
          </w:p>
        </w:tc>
        <w:tc>
          <w:tcPr>
            <w:tcW w:w="900" w:type="dxa"/>
            <w:gridSpan w:val="2"/>
            <w:tcBorders>
              <w:top w:val="nil"/>
              <w:left w:val="nil"/>
              <w:bottom w:val="single" w:color="auto" w:sz="4" w:space="0"/>
              <w:right w:val="nil"/>
            </w:tcBorders>
            <w:shd w:val="clear" w:color="auto" w:fill="FFFFFF" w:themeFill="background1"/>
            <w:tcMar>
              <w:left w:w="58" w:type="dxa"/>
              <w:right w:w="58" w:type="dxa"/>
            </w:tcMar>
            <w:vAlign w:val="center"/>
          </w:tcPr>
          <w:p w:rsidRPr="00AD2FDD" w:rsidR="00D520BD" w:rsidP="00982BD1" w:rsidRDefault="00D520BD" w14:paraId="6C350AE3" w14:textId="77777777">
            <w:pPr>
              <w:keepNext/>
              <w:keepLines/>
              <w:jc w:val="right"/>
              <w:rPr>
                <w:sz w:val="16"/>
                <w:szCs w:val="16"/>
              </w:rPr>
            </w:pPr>
          </w:p>
        </w:tc>
        <w:tc>
          <w:tcPr>
            <w:tcW w:w="117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AD2FDD" w:rsidR="00D520BD" w:rsidP="00982BD1" w:rsidRDefault="00D520BD" w14:paraId="49EFA013" w14:textId="77777777">
            <w:pPr>
              <w:keepNext/>
              <w:keepLines/>
              <w:jc w:val="right"/>
              <w:rPr>
                <w:sz w:val="16"/>
                <w:szCs w:val="16"/>
              </w:rPr>
            </w:pPr>
          </w:p>
        </w:tc>
      </w:tr>
      <w:tr w:rsidRPr="00AD2FDD" w:rsidR="00D520BD" w:rsidTr="007713B4" w14:paraId="33F68CC2" w14:textId="77777777">
        <w:trPr>
          <w:trHeight w:val="260"/>
        </w:trPr>
        <w:tc>
          <w:tcPr>
            <w:tcW w:w="2070" w:type="dxa"/>
            <w:gridSpan w:val="2"/>
            <w:vMerge w:val="restart"/>
            <w:tcMar>
              <w:left w:w="58" w:type="dxa"/>
              <w:right w:w="58" w:type="dxa"/>
            </w:tcMar>
            <w:vAlign w:val="center"/>
          </w:tcPr>
          <w:p w:rsidR="00D13A4F" w:rsidP="00982BD1" w:rsidRDefault="00D520BD" w14:paraId="7DBA7A21" w14:textId="77777777">
            <w:pPr>
              <w:keepNext/>
              <w:keepLines/>
              <w:ind w:left="50"/>
              <w:rPr>
                <w:sz w:val="16"/>
                <w:szCs w:val="16"/>
              </w:rPr>
            </w:pPr>
            <w:r w:rsidRPr="00AD2FDD">
              <w:rPr>
                <w:sz w:val="16"/>
                <w:szCs w:val="16"/>
              </w:rPr>
              <w:t>Medical Review Officer (MRO) review of result</w:t>
            </w:r>
            <w:r w:rsidRPr="00AD2FDD" w:rsidR="00646A79">
              <w:rPr>
                <w:sz w:val="16"/>
                <w:szCs w:val="16"/>
              </w:rPr>
              <w:t>,</w:t>
            </w:r>
            <w:r w:rsidRPr="00AD2FDD">
              <w:rPr>
                <w:sz w:val="16"/>
                <w:szCs w:val="16"/>
              </w:rPr>
              <w:t xml:space="preserve"> donor interview</w:t>
            </w:r>
            <w:r w:rsidRPr="00AD2FDD" w:rsidR="00646A79">
              <w:rPr>
                <w:sz w:val="16"/>
                <w:szCs w:val="16"/>
              </w:rPr>
              <w:t>,</w:t>
            </w:r>
            <w:r w:rsidRPr="00AD2FDD">
              <w:rPr>
                <w:sz w:val="16"/>
                <w:szCs w:val="16"/>
              </w:rPr>
              <w:t xml:space="preserve"> and medical downgrade for valid prescription use of amphetamines</w:t>
            </w:r>
            <w:r w:rsidRPr="00AD2FDD" w:rsidR="00D82EBC">
              <w:rPr>
                <w:sz w:val="16"/>
                <w:szCs w:val="16"/>
              </w:rPr>
              <w:t xml:space="preserve"> </w:t>
            </w:r>
          </w:p>
          <w:p w:rsidRPr="00AD2FDD" w:rsidR="00D520BD" w:rsidP="00982BD1" w:rsidRDefault="00D82EBC" w14:paraId="196E21A1" w14:textId="68E6EA61">
            <w:pPr>
              <w:keepNext/>
              <w:keepLines/>
              <w:ind w:left="50"/>
              <w:rPr>
                <w:sz w:val="16"/>
                <w:szCs w:val="16"/>
              </w:rPr>
            </w:pPr>
            <w:r w:rsidRPr="00AD2FDD">
              <w:rPr>
                <w:sz w:val="16"/>
                <w:szCs w:val="16"/>
              </w:rPr>
              <w:t>(all sites)</w:t>
            </w:r>
          </w:p>
        </w:tc>
        <w:tc>
          <w:tcPr>
            <w:tcW w:w="3690" w:type="dxa"/>
            <w:gridSpan w:val="3"/>
            <w:tcMar>
              <w:left w:w="58" w:type="dxa"/>
              <w:right w:w="58" w:type="dxa"/>
            </w:tcMar>
            <w:vAlign w:val="center"/>
          </w:tcPr>
          <w:p w:rsidRPr="00AD2FDD" w:rsidR="00D520BD" w:rsidP="00982BD1" w:rsidRDefault="00D520BD" w14:paraId="310CECFD" w14:textId="77777777">
            <w:pPr>
              <w:keepNext/>
              <w:keepLines/>
              <w:rPr>
                <w:sz w:val="16"/>
                <w:szCs w:val="16"/>
              </w:rPr>
            </w:pPr>
            <w:r w:rsidRPr="00AD2FDD">
              <w:rPr>
                <w:sz w:val="16"/>
                <w:szCs w:val="16"/>
              </w:rPr>
              <w:t>Number of drug tests conducted per site per year under 10 CFR Part 26</w:t>
            </w:r>
          </w:p>
        </w:tc>
        <w:tc>
          <w:tcPr>
            <w:tcW w:w="810" w:type="dxa"/>
            <w:gridSpan w:val="2"/>
            <w:shd w:val="clear" w:color="auto" w:fill="FFFFFF" w:themeFill="background1"/>
            <w:tcMar>
              <w:left w:w="58" w:type="dxa"/>
              <w:right w:w="58" w:type="dxa"/>
            </w:tcMar>
            <w:vAlign w:val="center"/>
          </w:tcPr>
          <w:p w:rsidRPr="00AD2FDD" w:rsidR="00D520BD" w:rsidP="00982BD1" w:rsidRDefault="00D520BD" w14:paraId="57EC7509" w14:textId="57F7B1C9">
            <w:pPr>
              <w:keepNext/>
              <w:keepLines/>
              <w:jc w:val="right"/>
              <w:rPr>
                <w:sz w:val="16"/>
                <w:szCs w:val="16"/>
              </w:rPr>
            </w:pPr>
            <w:r w:rsidRPr="00AD2FDD">
              <w:rPr>
                <w:sz w:val="16"/>
                <w:szCs w:val="16"/>
              </w:rPr>
              <w:t>2</w:t>
            </w:r>
            <w:r w:rsidRPr="00AD2FDD" w:rsidR="00646A79">
              <w:rPr>
                <w:sz w:val="16"/>
                <w:szCs w:val="16"/>
              </w:rPr>
              <w:t>,</w:t>
            </w:r>
            <w:r w:rsidRPr="00AD2FDD" w:rsidR="00D1075B">
              <w:rPr>
                <w:sz w:val="16"/>
                <w:szCs w:val="16"/>
              </w:rPr>
              <w:t>257</w:t>
            </w:r>
          </w:p>
        </w:tc>
        <w:tc>
          <w:tcPr>
            <w:tcW w:w="828" w:type="dxa"/>
            <w:tcBorders>
              <w:top w:val="single" w:color="auto" w:sz="4" w:space="0"/>
              <w:bottom w:val="single" w:color="auto" w:sz="4" w:space="0"/>
            </w:tcBorders>
            <w:shd w:val="clear" w:color="auto" w:fill="FFFFFF" w:themeFill="background1"/>
            <w:tcMar>
              <w:left w:w="58" w:type="dxa"/>
              <w:right w:w="58" w:type="dxa"/>
            </w:tcMar>
            <w:vAlign w:val="center"/>
          </w:tcPr>
          <w:p w:rsidRPr="00AD2FDD" w:rsidR="00D520BD" w:rsidP="00982BD1" w:rsidRDefault="00D520BD" w14:paraId="2552ACEB" w14:textId="42BB3BE5">
            <w:pPr>
              <w:keepNext/>
              <w:keepLines/>
              <w:jc w:val="right"/>
              <w:rPr>
                <w:sz w:val="16"/>
                <w:szCs w:val="16"/>
              </w:rPr>
            </w:pPr>
            <w:r w:rsidRPr="00AD2FDD">
              <w:rPr>
                <w:sz w:val="16"/>
                <w:szCs w:val="16"/>
              </w:rPr>
              <w:t>($</w:t>
            </w:r>
            <w:r w:rsidRPr="00AD2FDD" w:rsidR="007713B4">
              <w:rPr>
                <w:sz w:val="16"/>
                <w:szCs w:val="16"/>
              </w:rPr>
              <w:t>35</w:t>
            </w:r>
            <w:r w:rsidRPr="00AD2FDD">
              <w:rPr>
                <w:sz w:val="16"/>
                <w:szCs w:val="16"/>
              </w:rPr>
              <w:t>)</w:t>
            </w:r>
          </w:p>
        </w:tc>
        <w:tc>
          <w:tcPr>
            <w:tcW w:w="900" w:type="dxa"/>
            <w:gridSpan w:val="2"/>
            <w:tcBorders>
              <w:top w:val="single" w:color="auto" w:sz="4" w:space="0"/>
              <w:bottom w:val="single" w:color="auto" w:sz="4" w:space="0"/>
            </w:tcBorders>
            <w:shd w:val="clear" w:color="auto" w:fill="FFFFFF" w:themeFill="background1"/>
            <w:tcMar>
              <w:left w:w="58" w:type="dxa"/>
              <w:right w:w="58" w:type="dxa"/>
            </w:tcMar>
            <w:vAlign w:val="center"/>
          </w:tcPr>
          <w:p w:rsidRPr="00AD2FDD" w:rsidR="00D520BD" w:rsidP="00982BD1" w:rsidRDefault="00D1075B" w14:paraId="6FC07442" w14:textId="766EE324">
            <w:pPr>
              <w:keepNext/>
              <w:keepLines/>
              <w:jc w:val="right"/>
              <w:rPr>
                <w:sz w:val="16"/>
                <w:szCs w:val="16"/>
              </w:rPr>
            </w:pPr>
            <w:r w:rsidRPr="00AD2FDD">
              <w:rPr>
                <w:sz w:val="16"/>
                <w:szCs w:val="16"/>
              </w:rPr>
              <w:t>59</w:t>
            </w:r>
          </w:p>
        </w:tc>
        <w:tc>
          <w:tcPr>
            <w:tcW w:w="1170" w:type="dxa"/>
            <w:tcBorders>
              <w:top w:val="single" w:color="auto" w:sz="4" w:space="0"/>
              <w:bottom w:val="single" w:color="auto" w:sz="4" w:space="0"/>
            </w:tcBorders>
            <w:shd w:val="clear" w:color="auto" w:fill="FFFFFF" w:themeFill="background1"/>
            <w:tcMar>
              <w:left w:w="58" w:type="dxa"/>
              <w:right w:w="58" w:type="dxa"/>
            </w:tcMar>
            <w:vAlign w:val="center"/>
          </w:tcPr>
          <w:p w:rsidRPr="00AD2FDD" w:rsidR="00D520BD" w:rsidP="00982BD1" w:rsidRDefault="00D520BD" w14:paraId="4538ED5B" w14:textId="20E99442">
            <w:pPr>
              <w:keepNext/>
              <w:keepLines/>
              <w:jc w:val="right"/>
              <w:rPr>
                <w:sz w:val="16"/>
                <w:szCs w:val="16"/>
              </w:rPr>
            </w:pPr>
            <w:r w:rsidRPr="00AD2FDD">
              <w:rPr>
                <w:sz w:val="16"/>
                <w:szCs w:val="16"/>
              </w:rPr>
              <w:t>($</w:t>
            </w:r>
            <w:r w:rsidRPr="00AD2FDD" w:rsidR="007713B4">
              <w:rPr>
                <w:sz w:val="16"/>
                <w:szCs w:val="16"/>
              </w:rPr>
              <w:t>2,065</w:t>
            </w:r>
            <w:r w:rsidRPr="00AD2FDD">
              <w:rPr>
                <w:sz w:val="16"/>
                <w:szCs w:val="16"/>
              </w:rPr>
              <w:t>)</w:t>
            </w:r>
          </w:p>
        </w:tc>
      </w:tr>
      <w:tr w:rsidRPr="00AD2FDD" w:rsidR="00D520BD" w:rsidTr="00427A8C" w14:paraId="3F8CAB0F" w14:textId="77777777">
        <w:trPr>
          <w:trHeight w:val="260"/>
        </w:trPr>
        <w:tc>
          <w:tcPr>
            <w:tcW w:w="2070" w:type="dxa"/>
            <w:gridSpan w:val="2"/>
            <w:vMerge/>
            <w:tcMar>
              <w:left w:w="58" w:type="dxa"/>
              <w:right w:w="58" w:type="dxa"/>
            </w:tcMar>
            <w:vAlign w:val="center"/>
          </w:tcPr>
          <w:p w:rsidRPr="00AD2FDD" w:rsidR="00D520BD" w:rsidP="00982BD1" w:rsidRDefault="00D520BD" w14:paraId="1482BA02" w14:textId="77777777">
            <w:pPr>
              <w:keepNext/>
              <w:keepLines/>
              <w:rPr>
                <w:sz w:val="16"/>
                <w:szCs w:val="16"/>
              </w:rPr>
            </w:pPr>
          </w:p>
        </w:tc>
        <w:tc>
          <w:tcPr>
            <w:tcW w:w="3690" w:type="dxa"/>
            <w:gridSpan w:val="3"/>
            <w:tcMar>
              <w:left w:w="58" w:type="dxa"/>
              <w:right w:w="58" w:type="dxa"/>
            </w:tcMar>
            <w:vAlign w:val="center"/>
          </w:tcPr>
          <w:p w:rsidRPr="00AD2FDD" w:rsidR="00D520BD" w:rsidP="00982BD1" w:rsidRDefault="00D520BD" w14:paraId="762695CC" w14:textId="77777777">
            <w:pPr>
              <w:keepNext/>
              <w:keepLines/>
              <w:rPr>
                <w:sz w:val="16"/>
                <w:szCs w:val="16"/>
              </w:rPr>
            </w:pPr>
            <w:r w:rsidRPr="00AD2FDD">
              <w:rPr>
                <w:sz w:val="16"/>
                <w:szCs w:val="16"/>
              </w:rPr>
              <w:t>FFD current positive test rate</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414DA05B" w14:textId="62DAD7F7">
            <w:pPr>
              <w:keepNext/>
              <w:keepLines/>
              <w:jc w:val="right"/>
              <w:rPr>
                <w:sz w:val="16"/>
                <w:szCs w:val="16"/>
              </w:rPr>
            </w:pPr>
            <w:r w:rsidRPr="00AD2FDD">
              <w:rPr>
                <w:sz w:val="16"/>
                <w:szCs w:val="16"/>
              </w:rPr>
              <w:t>0.0</w:t>
            </w:r>
            <w:r w:rsidRPr="00AD2FDD" w:rsidR="004C3507">
              <w:rPr>
                <w:sz w:val="16"/>
                <w:szCs w:val="16"/>
              </w:rPr>
              <w:t>66</w:t>
            </w:r>
            <w:r w:rsidRPr="00AD2FDD">
              <w:rPr>
                <w:sz w:val="16"/>
                <w:szCs w:val="16"/>
              </w:rPr>
              <w:t>%</w:t>
            </w:r>
          </w:p>
        </w:tc>
        <w:tc>
          <w:tcPr>
            <w:tcW w:w="828"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5A0D969A" w14:textId="77777777">
            <w:pPr>
              <w:keepNext/>
              <w:keepLines/>
              <w:jc w:val="right"/>
              <w:rPr>
                <w:sz w:val="16"/>
                <w:szCs w:val="16"/>
              </w:rPr>
            </w:pPr>
          </w:p>
        </w:tc>
        <w:tc>
          <w:tcPr>
            <w:tcW w:w="900" w:type="dxa"/>
            <w:gridSpan w:val="2"/>
            <w:tcBorders>
              <w:top w:val="single" w:color="auto" w:sz="4" w:space="0"/>
              <w:left w:val="nil"/>
              <w:bottom w:val="nil"/>
              <w:right w:val="nil"/>
            </w:tcBorders>
            <w:shd w:val="clear" w:color="auto" w:fill="FFFFFF" w:themeFill="background1"/>
            <w:tcMar>
              <w:left w:w="58" w:type="dxa"/>
              <w:right w:w="58" w:type="dxa"/>
            </w:tcMar>
            <w:vAlign w:val="center"/>
          </w:tcPr>
          <w:p w:rsidRPr="00AD2FDD" w:rsidR="00D520BD" w:rsidP="00982BD1" w:rsidRDefault="00D520BD" w14:paraId="56578017" w14:textId="77777777">
            <w:pPr>
              <w:keepNext/>
              <w:keepLines/>
              <w:jc w:val="right"/>
              <w:rPr>
                <w:sz w:val="16"/>
                <w:szCs w:val="16"/>
              </w:rPr>
            </w:pPr>
          </w:p>
        </w:tc>
        <w:tc>
          <w:tcPr>
            <w:tcW w:w="117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75D9CCA4" w14:textId="77777777">
            <w:pPr>
              <w:keepNext/>
              <w:keepLines/>
              <w:jc w:val="right"/>
              <w:rPr>
                <w:sz w:val="16"/>
                <w:szCs w:val="16"/>
              </w:rPr>
            </w:pPr>
          </w:p>
        </w:tc>
      </w:tr>
      <w:tr w:rsidRPr="00AD2FDD" w:rsidR="00D520BD" w:rsidTr="007713B4" w14:paraId="6DDDC2CE" w14:textId="77777777">
        <w:trPr>
          <w:trHeight w:val="260"/>
        </w:trPr>
        <w:tc>
          <w:tcPr>
            <w:tcW w:w="2070" w:type="dxa"/>
            <w:gridSpan w:val="2"/>
            <w:vMerge/>
            <w:tcMar>
              <w:left w:w="58" w:type="dxa"/>
              <w:right w:w="58" w:type="dxa"/>
            </w:tcMar>
            <w:vAlign w:val="center"/>
          </w:tcPr>
          <w:p w:rsidRPr="00AD2FDD" w:rsidR="00D520BD" w:rsidP="00982BD1" w:rsidRDefault="00D520BD" w14:paraId="128B457B" w14:textId="77777777">
            <w:pPr>
              <w:keepNext/>
              <w:keepLines/>
              <w:rPr>
                <w:sz w:val="16"/>
                <w:szCs w:val="16"/>
              </w:rPr>
            </w:pPr>
          </w:p>
        </w:tc>
        <w:tc>
          <w:tcPr>
            <w:tcW w:w="3690" w:type="dxa"/>
            <w:gridSpan w:val="3"/>
            <w:tcMar>
              <w:left w:w="58" w:type="dxa"/>
              <w:right w:w="58" w:type="dxa"/>
            </w:tcMar>
            <w:vAlign w:val="center"/>
          </w:tcPr>
          <w:p w:rsidRPr="00AD2FDD" w:rsidR="00D520BD" w:rsidP="00982BD1" w:rsidRDefault="00D520BD" w14:paraId="03F529CC" w14:textId="77777777">
            <w:pPr>
              <w:keepNext/>
              <w:keepLines/>
              <w:rPr>
                <w:sz w:val="16"/>
                <w:szCs w:val="16"/>
              </w:rPr>
            </w:pPr>
            <w:r w:rsidRPr="00AD2FDD">
              <w:rPr>
                <w:sz w:val="16"/>
                <w:szCs w:val="16"/>
              </w:rPr>
              <w:t>Projected percent increase in positive test rate</w:t>
            </w:r>
          </w:p>
        </w:tc>
        <w:tc>
          <w:tcPr>
            <w:tcW w:w="810" w:type="dxa"/>
            <w:gridSpan w:val="2"/>
            <w:tcBorders>
              <w:bottom w:val="single" w:color="auto" w:sz="4" w:space="0"/>
              <w:right w:val="single" w:color="auto" w:sz="4" w:space="0"/>
            </w:tcBorders>
            <w:shd w:val="clear" w:color="auto" w:fill="FFFFFF" w:themeFill="background1"/>
            <w:tcMar>
              <w:left w:w="58" w:type="dxa"/>
              <w:right w:w="58" w:type="dxa"/>
            </w:tcMar>
            <w:vAlign w:val="center"/>
          </w:tcPr>
          <w:p w:rsidRPr="00AD2FDD" w:rsidR="00D520BD" w:rsidP="00982BD1" w:rsidRDefault="004C3507" w14:paraId="6F512DBB" w14:textId="72039706">
            <w:pPr>
              <w:keepNext/>
              <w:keepLines/>
              <w:jc w:val="right"/>
              <w:rPr>
                <w:sz w:val="16"/>
                <w:szCs w:val="16"/>
              </w:rPr>
            </w:pPr>
            <w:r w:rsidRPr="00AD2FDD">
              <w:rPr>
                <w:sz w:val="16"/>
                <w:szCs w:val="16"/>
              </w:rPr>
              <w:t>36.65</w:t>
            </w:r>
            <w:r w:rsidRPr="00AD2FDD" w:rsidR="00D520BD">
              <w:rPr>
                <w:sz w:val="16"/>
                <w:szCs w:val="16"/>
              </w:rPr>
              <w:t>%</w:t>
            </w:r>
          </w:p>
        </w:tc>
        <w:tc>
          <w:tcPr>
            <w:tcW w:w="828" w:type="dxa"/>
            <w:tcBorders>
              <w:top w:val="nil"/>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185448BC" w14:textId="77777777">
            <w:pPr>
              <w:keepNext/>
              <w:keepLines/>
              <w:jc w:val="right"/>
              <w:rPr>
                <w:sz w:val="16"/>
                <w:szCs w:val="16"/>
              </w:rPr>
            </w:pPr>
          </w:p>
        </w:tc>
        <w:tc>
          <w:tcPr>
            <w:tcW w:w="900" w:type="dxa"/>
            <w:gridSpan w:val="2"/>
            <w:tcBorders>
              <w:top w:val="nil"/>
              <w:left w:val="nil"/>
              <w:bottom w:val="nil"/>
              <w:right w:val="nil"/>
            </w:tcBorders>
            <w:shd w:val="clear" w:color="auto" w:fill="FFFFFF" w:themeFill="background1"/>
            <w:tcMar>
              <w:left w:w="58" w:type="dxa"/>
              <w:right w:w="58" w:type="dxa"/>
            </w:tcMar>
            <w:vAlign w:val="center"/>
          </w:tcPr>
          <w:p w:rsidRPr="00AD2FDD" w:rsidR="00D520BD" w:rsidP="00982BD1" w:rsidRDefault="00D520BD" w14:paraId="74771A0D" w14:textId="77777777">
            <w:pPr>
              <w:keepNext/>
              <w:keepLines/>
              <w:jc w:val="right"/>
              <w:rPr>
                <w:sz w:val="16"/>
                <w:szCs w:val="16"/>
              </w:rPr>
            </w:pPr>
          </w:p>
        </w:tc>
        <w:tc>
          <w:tcPr>
            <w:tcW w:w="1170" w:type="dxa"/>
            <w:tcBorders>
              <w:top w:val="nil"/>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182F690C" w14:textId="77777777">
            <w:pPr>
              <w:keepNext/>
              <w:keepLines/>
              <w:jc w:val="right"/>
              <w:rPr>
                <w:sz w:val="16"/>
                <w:szCs w:val="16"/>
              </w:rPr>
            </w:pPr>
          </w:p>
        </w:tc>
      </w:tr>
      <w:tr w:rsidRPr="00AD2FDD" w:rsidR="00D520BD" w:rsidTr="007713B4" w14:paraId="53E84B62" w14:textId="77777777">
        <w:trPr>
          <w:trHeight w:val="260"/>
        </w:trPr>
        <w:tc>
          <w:tcPr>
            <w:tcW w:w="2070" w:type="dxa"/>
            <w:gridSpan w:val="2"/>
            <w:vMerge/>
            <w:tcMar>
              <w:left w:w="58" w:type="dxa"/>
              <w:right w:w="58" w:type="dxa"/>
            </w:tcMar>
            <w:vAlign w:val="center"/>
          </w:tcPr>
          <w:p w:rsidRPr="00AD2FDD" w:rsidR="00D520BD" w:rsidP="00982BD1" w:rsidRDefault="00D520BD" w14:paraId="6F8743AE" w14:textId="77777777">
            <w:pPr>
              <w:keepNext/>
              <w:keepLines/>
              <w:rPr>
                <w:sz w:val="16"/>
                <w:szCs w:val="16"/>
              </w:rPr>
            </w:pPr>
          </w:p>
        </w:tc>
        <w:tc>
          <w:tcPr>
            <w:tcW w:w="3690" w:type="dxa"/>
            <w:gridSpan w:val="3"/>
            <w:shd w:val="clear" w:color="auto" w:fill="FFFFFF" w:themeFill="background1"/>
            <w:tcMar>
              <w:left w:w="58" w:type="dxa"/>
              <w:right w:w="58" w:type="dxa"/>
            </w:tcMar>
            <w:vAlign w:val="center"/>
          </w:tcPr>
          <w:p w:rsidRPr="00AD2FDD" w:rsidR="00D520BD" w:rsidP="00982BD1" w:rsidRDefault="00D520BD" w14:paraId="333C6B50" w14:textId="77777777">
            <w:pPr>
              <w:keepNext/>
              <w:keepLines/>
              <w:rPr>
                <w:sz w:val="16"/>
                <w:szCs w:val="16"/>
              </w:rPr>
            </w:pPr>
            <w:r w:rsidRPr="00AD2FDD">
              <w:rPr>
                <w:rFonts w:eastAsia="Arial" w:cs="Arial"/>
                <w:sz w:val="16"/>
                <w:szCs w:val="16"/>
              </w:rPr>
              <w:t>Expected percent of additional positive results that will be negative after MRO interview with donor</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2FEDB4B4" w14:textId="39A8894B">
            <w:pPr>
              <w:keepNext/>
              <w:keepLines/>
              <w:jc w:val="right"/>
              <w:rPr>
                <w:sz w:val="16"/>
                <w:szCs w:val="16"/>
              </w:rPr>
            </w:pPr>
            <w:r w:rsidRPr="00AD2FDD">
              <w:rPr>
                <w:sz w:val="16"/>
                <w:szCs w:val="16"/>
              </w:rPr>
              <w:t>2</w:t>
            </w:r>
            <w:r w:rsidRPr="00AD2FDD" w:rsidR="004C3507">
              <w:rPr>
                <w:sz w:val="16"/>
                <w:szCs w:val="16"/>
              </w:rPr>
              <w:t>9</w:t>
            </w:r>
            <w:r w:rsidRPr="00AD2FDD">
              <w:rPr>
                <w:sz w:val="16"/>
                <w:szCs w:val="16"/>
              </w:rPr>
              <w:t>%</w:t>
            </w:r>
          </w:p>
        </w:tc>
        <w:tc>
          <w:tcPr>
            <w:tcW w:w="828" w:type="dxa"/>
            <w:tcBorders>
              <w:top w:val="nil"/>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4D3A32A9" w14:textId="77777777">
            <w:pPr>
              <w:keepNext/>
              <w:keepLines/>
              <w:jc w:val="right"/>
              <w:rPr>
                <w:sz w:val="16"/>
                <w:szCs w:val="16"/>
              </w:rPr>
            </w:pPr>
          </w:p>
        </w:tc>
        <w:tc>
          <w:tcPr>
            <w:tcW w:w="900" w:type="dxa"/>
            <w:gridSpan w:val="2"/>
            <w:tcBorders>
              <w:top w:val="nil"/>
              <w:left w:val="nil"/>
              <w:bottom w:val="nil"/>
              <w:right w:val="nil"/>
            </w:tcBorders>
            <w:shd w:val="clear" w:color="auto" w:fill="FFFFFF" w:themeFill="background1"/>
            <w:tcMar>
              <w:left w:w="58" w:type="dxa"/>
              <w:right w:w="58" w:type="dxa"/>
            </w:tcMar>
            <w:vAlign w:val="center"/>
          </w:tcPr>
          <w:p w:rsidRPr="00AD2FDD" w:rsidR="00D520BD" w:rsidP="00982BD1" w:rsidRDefault="00D520BD" w14:paraId="4CB64BFE" w14:textId="77777777">
            <w:pPr>
              <w:keepNext/>
              <w:keepLines/>
              <w:jc w:val="right"/>
              <w:rPr>
                <w:sz w:val="16"/>
                <w:szCs w:val="16"/>
              </w:rPr>
            </w:pPr>
          </w:p>
        </w:tc>
        <w:tc>
          <w:tcPr>
            <w:tcW w:w="1170" w:type="dxa"/>
            <w:tcBorders>
              <w:top w:val="nil"/>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088E3DDF" w14:textId="77777777">
            <w:pPr>
              <w:keepNext/>
              <w:keepLines/>
              <w:jc w:val="right"/>
              <w:rPr>
                <w:sz w:val="16"/>
                <w:szCs w:val="16"/>
              </w:rPr>
            </w:pPr>
          </w:p>
        </w:tc>
      </w:tr>
      <w:tr w:rsidRPr="00AD2FDD" w:rsidR="00D520BD" w:rsidTr="00427A8C" w14:paraId="1FC4DF87" w14:textId="77777777">
        <w:trPr>
          <w:trHeight w:val="125"/>
        </w:trPr>
        <w:tc>
          <w:tcPr>
            <w:tcW w:w="2070" w:type="dxa"/>
            <w:gridSpan w:val="2"/>
            <w:vMerge/>
            <w:tcMar>
              <w:left w:w="58" w:type="dxa"/>
              <w:right w:w="58" w:type="dxa"/>
            </w:tcMar>
            <w:vAlign w:val="center"/>
          </w:tcPr>
          <w:p w:rsidRPr="00AD2FDD" w:rsidR="00D520BD" w:rsidP="00982BD1" w:rsidRDefault="00D520BD" w14:paraId="11A0D15C" w14:textId="77777777">
            <w:pPr>
              <w:keepNext/>
              <w:keepLines/>
              <w:rPr>
                <w:sz w:val="16"/>
                <w:szCs w:val="16"/>
              </w:rPr>
            </w:pPr>
          </w:p>
        </w:tc>
        <w:tc>
          <w:tcPr>
            <w:tcW w:w="3690" w:type="dxa"/>
            <w:gridSpan w:val="3"/>
            <w:shd w:val="clear" w:color="auto" w:fill="FFFFFF" w:themeFill="background1"/>
            <w:tcMar>
              <w:left w:w="58" w:type="dxa"/>
              <w:right w:w="58" w:type="dxa"/>
            </w:tcMar>
            <w:vAlign w:val="center"/>
          </w:tcPr>
          <w:p w:rsidRPr="00AD2FDD" w:rsidR="00D520BD" w:rsidP="006F21ED" w:rsidRDefault="00D520BD" w14:paraId="65179395" w14:textId="7E3D1662">
            <w:pPr>
              <w:keepNext/>
              <w:keepLines/>
              <w:rPr>
                <w:sz w:val="16"/>
                <w:szCs w:val="16"/>
              </w:rPr>
            </w:pPr>
            <w:r w:rsidRPr="00AD2FDD">
              <w:rPr>
                <w:sz w:val="16"/>
                <w:szCs w:val="16"/>
              </w:rPr>
              <w:t xml:space="preserve">MRO activities (1 hour per positive): </w:t>
            </w:r>
            <w:r w:rsidRPr="00AD2FDD" w:rsidR="006F21ED">
              <w:rPr>
                <w:sz w:val="16"/>
                <w:szCs w:val="16"/>
              </w:rPr>
              <w:t xml:space="preserve"> </w:t>
            </w:r>
            <w:r w:rsidRPr="00AD2FDD">
              <w:rPr>
                <w:sz w:val="16"/>
                <w:szCs w:val="16"/>
              </w:rPr>
              <w:t>review laboratory result</w:t>
            </w:r>
            <w:r w:rsidRPr="00AD2FDD" w:rsidR="00646A79">
              <w:rPr>
                <w:sz w:val="16"/>
                <w:szCs w:val="16"/>
              </w:rPr>
              <w:t>,</w:t>
            </w:r>
            <w:r w:rsidRPr="00AD2FDD">
              <w:rPr>
                <w:sz w:val="16"/>
                <w:szCs w:val="16"/>
              </w:rPr>
              <w:t xml:space="preserve"> interview donor</w:t>
            </w:r>
            <w:r w:rsidRPr="00AD2FDD" w:rsidR="00646A79">
              <w:rPr>
                <w:sz w:val="16"/>
                <w:szCs w:val="16"/>
              </w:rPr>
              <w:t>,</w:t>
            </w:r>
            <w:r w:rsidRPr="00AD2FDD">
              <w:rPr>
                <w:sz w:val="16"/>
                <w:szCs w:val="16"/>
              </w:rPr>
              <w:t xml:space="preserve"> and evaluate medical information from donor</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5485B5EF" w14:textId="3DAD26DC">
            <w:pPr>
              <w:keepNext/>
              <w:keepLines/>
              <w:jc w:val="right"/>
              <w:rPr>
                <w:sz w:val="16"/>
                <w:szCs w:val="16"/>
              </w:rPr>
            </w:pPr>
            <w:r w:rsidRPr="00AD2FDD">
              <w:rPr>
                <w:sz w:val="16"/>
                <w:szCs w:val="16"/>
              </w:rPr>
              <w:t>$</w:t>
            </w:r>
            <w:r w:rsidRPr="00AD2FDD" w:rsidR="004C3507">
              <w:rPr>
                <w:sz w:val="16"/>
                <w:szCs w:val="16"/>
              </w:rPr>
              <w:t>151.36</w:t>
            </w:r>
            <w:r w:rsidRPr="00AD2FDD" w:rsidR="00832BFD">
              <w:rPr>
                <w:sz w:val="16"/>
                <w:szCs w:val="16"/>
              </w:rPr>
              <w:t xml:space="preserve"> </w:t>
            </w:r>
            <w:r w:rsidRPr="00AD2FDD">
              <w:rPr>
                <w:sz w:val="16"/>
                <w:szCs w:val="16"/>
              </w:rPr>
              <w:t>per hour</w:t>
            </w:r>
          </w:p>
        </w:tc>
        <w:tc>
          <w:tcPr>
            <w:tcW w:w="828" w:type="dxa"/>
            <w:tcBorders>
              <w:top w:val="nil"/>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28A186DD" w14:textId="77777777">
            <w:pPr>
              <w:keepNext/>
              <w:keepLines/>
              <w:jc w:val="right"/>
              <w:rPr>
                <w:sz w:val="16"/>
                <w:szCs w:val="16"/>
              </w:rPr>
            </w:pPr>
          </w:p>
        </w:tc>
        <w:tc>
          <w:tcPr>
            <w:tcW w:w="900" w:type="dxa"/>
            <w:gridSpan w:val="2"/>
            <w:tcBorders>
              <w:top w:val="nil"/>
              <w:left w:val="nil"/>
              <w:bottom w:val="nil"/>
              <w:right w:val="nil"/>
            </w:tcBorders>
            <w:shd w:val="clear" w:color="auto" w:fill="FFFFFF" w:themeFill="background1"/>
            <w:tcMar>
              <w:left w:w="58" w:type="dxa"/>
              <w:right w:w="58" w:type="dxa"/>
            </w:tcMar>
            <w:vAlign w:val="center"/>
          </w:tcPr>
          <w:p w:rsidRPr="00AD2FDD" w:rsidR="00D520BD" w:rsidP="00982BD1" w:rsidRDefault="00D520BD" w14:paraId="57BF9B7C" w14:textId="77777777">
            <w:pPr>
              <w:keepNext/>
              <w:keepLines/>
              <w:jc w:val="right"/>
              <w:rPr>
                <w:sz w:val="16"/>
                <w:szCs w:val="16"/>
              </w:rPr>
            </w:pPr>
          </w:p>
        </w:tc>
        <w:tc>
          <w:tcPr>
            <w:tcW w:w="1170" w:type="dxa"/>
            <w:tcBorders>
              <w:top w:val="nil"/>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6CBCBDA9" w14:textId="77777777">
            <w:pPr>
              <w:keepNext/>
              <w:keepLines/>
              <w:jc w:val="right"/>
              <w:rPr>
                <w:sz w:val="16"/>
                <w:szCs w:val="16"/>
              </w:rPr>
            </w:pPr>
          </w:p>
        </w:tc>
      </w:tr>
      <w:tr w:rsidRPr="00AD2FDD" w:rsidR="00D520BD" w:rsidTr="00F27D56" w14:paraId="43DED269" w14:textId="77777777">
        <w:trPr>
          <w:trHeight w:val="206"/>
        </w:trPr>
        <w:tc>
          <w:tcPr>
            <w:tcW w:w="2070" w:type="dxa"/>
            <w:gridSpan w:val="2"/>
            <w:vMerge/>
            <w:tcMar>
              <w:left w:w="58" w:type="dxa"/>
              <w:right w:w="58" w:type="dxa"/>
            </w:tcMar>
            <w:vAlign w:val="center"/>
          </w:tcPr>
          <w:p w:rsidRPr="00AD2FDD" w:rsidR="00D520BD" w:rsidP="00982BD1" w:rsidRDefault="00D520BD" w14:paraId="5EBFFD81" w14:textId="77777777">
            <w:pPr>
              <w:keepNext/>
              <w:keepLines/>
              <w:rPr>
                <w:sz w:val="16"/>
                <w:szCs w:val="16"/>
              </w:rPr>
            </w:pPr>
          </w:p>
        </w:tc>
        <w:tc>
          <w:tcPr>
            <w:tcW w:w="3690" w:type="dxa"/>
            <w:gridSpan w:val="3"/>
            <w:tcBorders>
              <w:bottom w:val="single" w:color="auto" w:sz="4" w:space="0"/>
            </w:tcBorders>
            <w:shd w:val="clear" w:color="auto" w:fill="FFFFFF" w:themeFill="background1"/>
            <w:tcMar>
              <w:left w:w="58" w:type="dxa"/>
              <w:right w:w="58" w:type="dxa"/>
            </w:tcMar>
            <w:vAlign w:val="center"/>
          </w:tcPr>
          <w:p w:rsidRPr="00AD2FDD" w:rsidR="00D520BD" w:rsidP="00982BD1" w:rsidRDefault="00D520BD" w14:paraId="066D384D" w14:textId="643DF2A1">
            <w:pPr>
              <w:keepNext/>
              <w:keepLines/>
              <w:rPr>
                <w:sz w:val="16"/>
                <w:szCs w:val="16"/>
              </w:rPr>
            </w:pPr>
            <w:r w:rsidRPr="00AD2FDD">
              <w:rPr>
                <w:sz w:val="16"/>
                <w:szCs w:val="16"/>
              </w:rPr>
              <w:t>Facility Worker activities (1 hour per positive): participate in interview with MRO</w:t>
            </w:r>
            <w:r w:rsidRPr="00AD2FDD" w:rsidR="00646A79">
              <w:rPr>
                <w:sz w:val="16"/>
                <w:szCs w:val="16"/>
              </w:rPr>
              <w:t>,</w:t>
            </w:r>
            <w:r w:rsidRPr="00AD2FDD">
              <w:rPr>
                <w:sz w:val="16"/>
                <w:szCs w:val="16"/>
              </w:rPr>
              <w:t xml:space="preserve"> obtain medical information on valid use</w:t>
            </w:r>
            <w:r w:rsidRPr="00AD2FDD" w:rsidR="00646A79">
              <w:rPr>
                <w:sz w:val="16"/>
                <w:szCs w:val="16"/>
              </w:rPr>
              <w:t>,</w:t>
            </w:r>
            <w:r w:rsidRPr="00AD2FDD">
              <w:rPr>
                <w:sz w:val="16"/>
                <w:szCs w:val="16"/>
              </w:rPr>
              <w:t xml:space="preserve"> and provide to MRO</w:t>
            </w:r>
          </w:p>
        </w:tc>
        <w:tc>
          <w:tcPr>
            <w:tcW w:w="810" w:type="dxa"/>
            <w:gridSpan w:val="2"/>
            <w:tcBorders>
              <w:bottom w:val="single" w:color="auto" w:sz="4" w:space="0"/>
              <w:right w:val="single" w:color="auto" w:sz="4" w:space="0"/>
            </w:tcBorders>
            <w:shd w:val="clear" w:color="auto" w:fill="FFFFFF" w:themeFill="background1"/>
            <w:tcMar>
              <w:left w:w="58" w:type="dxa"/>
              <w:right w:w="58" w:type="dxa"/>
            </w:tcMar>
            <w:vAlign w:val="center"/>
          </w:tcPr>
          <w:p w:rsidRPr="00AD2FDD" w:rsidR="00D520BD" w:rsidP="00982BD1" w:rsidRDefault="00D520BD" w14:paraId="27158DCF" w14:textId="287FFCA2">
            <w:pPr>
              <w:keepNext/>
              <w:keepLines/>
              <w:jc w:val="right"/>
              <w:rPr>
                <w:sz w:val="16"/>
                <w:szCs w:val="16"/>
              </w:rPr>
            </w:pPr>
            <w:r w:rsidRPr="00AD2FDD">
              <w:rPr>
                <w:sz w:val="16"/>
                <w:szCs w:val="16"/>
              </w:rPr>
              <w:t>$</w:t>
            </w:r>
            <w:r w:rsidRPr="00AD2FDD" w:rsidR="002C1912">
              <w:rPr>
                <w:sz w:val="16"/>
                <w:szCs w:val="16"/>
              </w:rPr>
              <w:t>70.65</w:t>
            </w:r>
            <w:r w:rsidRPr="00AD2FDD">
              <w:rPr>
                <w:sz w:val="16"/>
                <w:szCs w:val="16"/>
              </w:rPr>
              <w:t xml:space="preserve"> per hour</w:t>
            </w:r>
          </w:p>
        </w:tc>
        <w:tc>
          <w:tcPr>
            <w:tcW w:w="828"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AD2FDD" w:rsidR="00D520BD" w:rsidP="00982BD1" w:rsidRDefault="00D520BD" w14:paraId="00EDFBA5" w14:textId="77777777">
            <w:pPr>
              <w:keepNext/>
              <w:keepLines/>
              <w:jc w:val="right"/>
              <w:rPr>
                <w:sz w:val="16"/>
                <w:szCs w:val="16"/>
              </w:rPr>
            </w:pPr>
          </w:p>
        </w:tc>
        <w:tc>
          <w:tcPr>
            <w:tcW w:w="900" w:type="dxa"/>
            <w:gridSpan w:val="2"/>
            <w:tcBorders>
              <w:top w:val="nil"/>
              <w:left w:val="nil"/>
              <w:bottom w:val="single" w:color="auto" w:sz="4" w:space="0"/>
              <w:right w:val="nil"/>
            </w:tcBorders>
            <w:shd w:val="clear" w:color="auto" w:fill="FFFFFF" w:themeFill="background1"/>
            <w:tcMar>
              <w:left w:w="58" w:type="dxa"/>
              <w:right w:w="58" w:type="dxa"/>
            </w:tcMar>
            <w:vAlign w:val="center"/>
          </w:tcPr>
          <w:p w:rsidRPr="00AD2FDD" w:rsidR="00D520BD" w:rsidP="00982BD1" w:rsidRDefault="00D520BD" w14:paraId="44DB9A52" w14:textId="77777777">
            <w:pPr>
              <w:keepNext/>
              <w:keepLines/>
              <w:jc w:val="right"/>
              <w:rPr>
                <w:sz w:val="16"/>
                <w:szCs w:val="16"/>
              </w:rPr>
            </w:pPr>
          </w:p>
        </w:tc>
        <w:tc>
          <w:tcPr>
            <w:tcW w:w="117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AD2FDD" w:rsidR="00D520BD" w:rsidP="00982BD1" w:rsidRDefault="00D520BD" w14:paraId="37BC0A2B" w14:textId="77777777">
            <w:pPr>
              <w:keepNext/>
              <w:keepLines/>
              <w:jc w:val="right"/>
              <w:rPr>
                <w:sz w:val="16"/>
                <w:szCs w:val="16"/>
              </w:rPr>
            </w:pPr>
          </w:p>
        </w:tc>
      </w:tr>
      <w:tr w:rsidRPr="00AD2FDD" w:rsidR="00D520BD" w:rsidTr="00F27D56" w14:paraId="5AF30CA0" w14:textId="77777777">
        <w:trPr>
          <w:trHeight w:val="278"/>
        </w:trPr>
        <w:tc>
          <w:tcPr>
            <w:tcW w:w="2070" w:type="dxa"/>
            <w:gridSpan w:val="2"/>
            <w:vMerge w:val="restart"/>
            <w:tcMar>
              <w:left w:w="58" w:type="dxa"/>
              <w:right w:w="58" w:type="dxa"/>
            </w:tcMar>
            <w:vAlign w:val="center"/>
          </w:tcPr>
          <w:p w:rsidR="00D13A4F" w:rsidP="00982BD1" w:rsidRDefault="00D520BD" w14:paraId="76B0EBDB" w14:textId="77777777">
            <w:pPr>
              <w:keepNext/>
              <w:keepLines/>
              <w:ind w:left="88" w:right="-20"/>
              <w:rPr>
                <w:rFonts w:eastAsia="Arial" w:cs="Arial"/>
                <w:sz w:val="16"/>
                <w:szCs w:val="16"/>
              </w:rPr>
            </w:pPr>
            <w:r w:rsidRPr="00AD2FDD">
              <w:rPr>
                <w:rFonts w:eastAsia="Arial" w:cs="Arial"/>
                <w:sz w:val="16"/>
                <w:szCs w:val="16"/>
              </w:rPr>
              <w:t>S</w:t>
            </w:r>
            <w:r w:rsidRPr="00317438">
              <w:rPr>
                <w:rFonts w:eastAsia="Arial"/>
                <w:sz w:val="16"/>
              </w:rPr>
              <w:t>u</w:t>
            </w:r>
            <w:r w:rsidRPr="00AD2FDD">
              <w:rPr>
                <w:rFonts w:eastAsia="Arial" w:cs="Arial"/>
                <w:sz w:val="16"/>
                <w:szCs w:val="16"/>
              </w:rPr>
              <w:t>b</w:t>
            </w:r>
            <w:r w:rsidRPr="00317438">
              <w:rPr>
                <w:rFonts w:eastAsia="Arial"/>
                <w:sz w:val="16"/>
              </w:rPr>
              <w:t>s</w:t>
            </w:r>
            <w:r w:rsidRPr="00AD2FDD">
              <w:rPr>
                <w:rFonts w:eastAsia="Arial" w:cs="Arial"/>
                <w:sz w:val="16"/>
                <w:szCs w:val="16"/>
              </w:rPr>
              <w:t>e</w:t>
            </w:r>
            <w:r w:rsidRPr="00317438">
              <w:rPr>
                <w:rFonts w:eastAsia="Arial"/>
                <w:sz w:val="16"/>
              </w:rPr>
              <w:t>quen</w:t>
            </w:r>
            <w:r w:rsidRPr="00AD2FDD">
              <w:rPr>
                <w:rFonts w:eastAsia="Arial" w:cs="Arial"/>
                <w:sz w:val="16"/>
                <w:szCs w:val="16"/>
              </w:rPr>
              <w:t>t</w:t>
            </w:r>
            <w:r w:rsidRPr="00317438">
              <w:rPr>
                <w:rFonts w:eastAsia="Arial"/>
                <w:sz w:val="16"/>
              </w:rPr>
              <w:t xml:space="preserve"> </w:t>
            </w:r>
            <w:r w:rsidRPr="00AD2FDD">
              <w:rPr>
                <w:rFonts w:eastAsia="Arial" w:cs="Arial"/>
                <w:sz w:val="16"/>
                <w:szCs w:val="16"/>
              </w:rPr>
              <w:t>a</w:t>
            </w:r>
            <w:r w:rsidRPr="00317438">
              <w:rPr>
                <w:rFonts w:eastAsia="Arial"/>
                <w:sz w:val="16"/>
              </w:rPr>
              <w:t>c</w:t>
            </w:r>
            <w:r w:rsidRPr="00AD2FDD">
              <w:rPr>
                <w:rFonts w:eastAsia="Arial" w:cs="Arial"/>
                <w:sz w:val="16"/>
                <w:szCs w:val="16"/>
              </w:rPr>
              <w:t>t</w:t>
            </w:r>
            <w:r w:rsidRPr="00317438">
              <w:rPr>
                <w:rFonts w:eastAsia="Arial"/>
                <w:sz w:val="16"/>
              </w:rPr>
              <w:t>ion</w:t>
            </w:r>
            <w:r w:rsidRPr="00AD2FDD">
              <w:rPr>
                <w:rFonts w:eastAsia="Arial" w:cs="Arial"/>
                <w:sz w:val="16"/>
                <w:szCs w:val="16"/>
              </w:rPr>
              <w:t>s</w:t>
            </w:r>
            <w:r w:rsidRPr="00317438">
              <w:rPr>
                <w:rFonts w:eastAsia="Arial"/>
                <w:sz w:val="16"/>
              </w:rPr>
              <w:t xml:space="preserve"> </w:t>
            </w:r>
            <w:r w:rsidRPr="00AD2FDD">
              <w:rPr>
                <w:rFonts w:eastAsia="Arial" w:cs="Arial"/>
                <w:sz w:val="16"/>
                <w:szCs w:val="16"/>
              </w:rPr>
              <w:t>by</w:t>
            </w:r>
            <w:r w:rsidRPr="00317438">
              <w:rPr>
                <w:rFonts w:eastAsia="Arial"/>
                <w:sz w:val="16"/>
              </w:rPr>
              <w:t xml:space="preserve"> </w:t>
            </w:r>
            <w:r w:rsidRPr="00AD2FDD">
              <w:rPr>
                <w:rFonts w:eastAsia="Arial" w:cs="Arial"/>
                <w:sz w:val="16"/>
                <w:szCs w:val="16"/>
              </w:rPr>
              <w:t>FFD</w:t>
            </w:r>
            <w:r w:rsidRPr="00317438">
              <w:rPr>
                <w:rFonts w:eastAsia="Arial"/>
                <w:sz w:val="16"/>
              </w:rPr>
              <w:t xml:space="preserve"> program </w:t>
            </w:r>
            <w:r w:rsidRPr="00AD2FDD">
              <w:rPr>
                <w:rFonts w:eastAsia="Arial" w:cs="Arial"/>
                <w:sz w:val="16"/>
                <w:szCs w:val="16"/>
              </w:rPr>
              <w:t>per</w:t>
            </w:r>
            <w:r w:rsidRPr="00317438">
              <w:rPr>
                <w:rFonts w:eastAsia="Arial"/>
                <w:sz w:val="16"/>
              </w:rPr>
              <w:t>so</w:t>
            </w:r>
            <w:r w:rsidRPr="00AD2FDD">
              <w:rPr>
                <w:rFonts w:eastAsia="Arial" w:cs="Arial"/>
                <w:sz w:val="16"/>
                <w:szCs w:val="16"/>
              </w:rPr>
              <w:t>n</w:t>
            </w:r>
            <w:r w:rsidRPr="00317438">
              <w:rPr>
                <w:rFonts w:eastAsia="Arial"/>
                <w:sz w:val="16"/>
              </w:rPr>
              <w:t>n</w:t>
            </w:r>
            <w:r w:rsidRPr="00AD2FDD">
              <w:rPr>
                <w:rFonts w:eastAsia="Arial" w:cs="Arial"/>
                <w:sz w:val="16"/>
                <w:szCs w:val="16"/>
              </w:rPr>
              <w:t>el</w:t>
            </w:r>
            <w:r w:rsidRPr="00317438">
              <w:rPr>
                <w:rFonts w:eastAsia="Arial"/>
                <w:sz w:val="16"/>
              </w:rPr>
              <w:t xml:space="preserve"> </w:t>
            </w:r>
            <w:r w:rsidRPr="00AD2FDD">
              <w:rPr>
                <w:rFonts w:eastAsia="Arial" w:cs="Arial"/>
                <w:sz w:val="16"/>
                <w:szCs w:val="16"/>
              </w:rPr>
              <w:t>for</w:t>
            </w:r>
            <w:r w:rsidRPr="00317438">
              <w:rPr>
                <w:rFonts w:eastAsia="Arial"/>
                <w:sz w:val="16"/>
              </w:rPr>
              <w:t xml:space="preserve"> </w:t>
            </w:r>
            <w:r w:rsidRPr="00AD2FDD">
              <w:rPr>
                <w:rFonts w:eastAsia="Arial" w:cs="Arial"/>
                <w:sz w:val="16"/>
                <w:szCs w:val="16"/>
              </w:rPr>
              <w:t>add</w:t>
            </w:r>
            <w:r w:rsidRPr="00317438">
              <w:rPr>
                <w:rFonts w:eastAsia="Arial"/>
                <w:sz w:val="16"/>
              </w:rPr>
              <w:t>i</w:t>
            </w:r>
            <w:r w:rsidRPr="00AD2FDD">
              <w:rPr>
                <w:rFonts w:eastAsia="Arial" w:cs="Arial"/>
                <w:sz w:val="16"/>
                <w:szCs w:val="16"/>
              </w:rPr>
              <w:t>t</w:t>
            </w:r>
            <w:r w:rsidRPr="00317438">
              <w:rPr>
                <w:rFonts w:eastAsia="Arial"/>
                <w:sz w:val="16"/>
              </w:rPr>
              <w:t>ion</w:t>
            </w:r>
            <w:r w:rsidRPr="00AD2FDD">
              <w:rPr>
                <w:rFonts w:eastAsia="Arial" w:cs="Arial"/>
                <w:sz w:val="16"/>
                <w:szCs w:val="16"/>
              </w:rPr>
              <w:t>al</w:t>
            </w:r>
            <w:r w:rsidRPr="00317438">
              <w:rPr>
                <w:rFonts w:eastAsia="Arial"/>
                <w:sz w:val="16"/>
              </w:rPr>
              <w:t xml:space="preserve"> amphetamines confirmed </w:t>
            </w:r>
            <w:r w:rsidRPr="00AD2FDD">
              <w:rPr>
                <w:rFonts w:eastAsia="Arial" w:cs="Arial"/>
                <w:sz w:val="16"/>
                <w:szCs w:val="16"/>
              </w:rPr>
              <w:t>po</w:t>
            </w:r>
            <w:r w:rsidRPr="00317438">
              <w:rPr>
                <w:rFonts w:eastAsia="Arial"/>
                <w:sz w:val="16"/>
              </w:rPr>
              <w:t>sitiv</w:t>
            </w:r>
            <w:r w:rsidRPr="00AD2FDD">
              <w:rPr>
                <w:rFonts w:eastAsia="Arial" w:cs="Arial"/>
                <w:sz w:val="16"/>
                <w:szCs w:val="16"/>
              </w:rPr>
              <w:t>e</w:t>
            </w:r>
            <w:r w:rsidRPr="00317438">
              <w:rPr>
                <w:rFonts w:eastAsia="Arial"/>
                <w:sz w:val="16"/>
              </w:rPr>
              <w:t xml:space="preserve"> </w:t>
            </w:r>
            <w:r w:rsidRPr="00AD2FDD">
              <w:rPr>
                <w:rFonts w:eastAsia="Arial" w:cs="Arial"/>
                <w:sz w:val="16"/>
                <w:szCs w:val="16"/>
              </w:rPr>
              <w:t>test</w:t>
            </w:r>
            <w:r w:rsidRPr="00317438">
              <w:rPr>
                <w:rFonts w:eastAsia="Arial"/>
                <w:sz w:val="16"/>
              </w:rPr>
              <w:t xml:space="preserve"> </w:t>
            </w:r>
            <w:r w:rsidRPr="00AD2FDD">
              <w:rPr>
                <w:rFonts w:eastAsia="Arial" w:cs="Arial"/>
                <w:sz w:val="16"/>
                <w:szCs w:val="16"/>
              </w:rPr>
              <w:t>re</w:t>
            </w:r>
            <w:r w:rsidRPr="00317438">
              <w:rPr>
                <w:rFonts w:eastAsia="Arial"/>
                <w:sz w:val="16"/>
              </w:rPr>
              <w:t>sul</w:t>
            </w:r>
            <w:r w:rsidRPr="00AD2FDD">
              <w:rPr>
                <w:rFonts w:eastAsia="Arial" w:cs="Arial"/>
                <w:sz w:val="16"/>
                <w:szCs w:val="16"/>
              </w:rPr>
              <w:t>ts</w:t>
            </w:r>
            <w:r w:rsidRPr="00317438">
              <w:rPr>
                <w:rFonts w:eastAsia="Arial"/>
                <w:sz w:val="16"/>
              </w:rPr>
              <w:t xml:space="preserve"> </w:t>
            </w:r>
          </w:p>
          <w:p w:rsidRPr="00AD2FDD" w:rsidR="00D520BD" w:rsidP="00982BD1" w:rsidRDefault="00D520BD" w14:paraId="563AE83A" w14:textId="36766296">
            <w:pPr>
              <w:keepNext/>
              <w:keepLines/>
              <w:ind w:left="88" w:right="-20"/>
              <w:rPr>
                <w:sz w:val="16"/>
                <w:szCs w:val="16"/>
              </w:rPr>
            </w:pPr>
            <w:r w:rsidRPr="00A47604">
              <w:rPr>
                <w:rFonts w:eastAsia="Arial"/>
                <w:sz w:val="16"/>
              </w:rPr>
              <w:t>(</w:t>
            </w:r>
            <w:r w:rsidRPr="00AD2FDD">
              <w:rPr>
                <w:rFonts w:eastAsia="Arial" w:cs="Arial"/>
                <w:sz w:val="16"/>
                <w:szCs w:val="16"/>
              </w:rPr>
              <w:t>a</w:t>
            </w:r>
            <w:r w:rsidRPr="00A47604">
              <w:rPr>
                <w:rFonts w:eastAsia="Arial"/>
                <w:sz w:val="16"/>
              </w:rPr>
              <w:t>l</w:t>
            </w:r>
            <w:r w:rsidRPr="00AD2FDD">
              <w:rPr>
                <w:rFonts w:eastAsia="Arial" w:cs="Arial"/>
                <w:sz w:val="16"/>
                <w:szCs w:val="16"/>
              </w:rPr>
              <w:t>l s</w:t>
            </w:r>
            <w:r w:rsidRPr="00A47604">
              <w:rPr>
                <w:rFonts w:eastAsia="Arial"/>
                <w:sz w:val="16"/>
              </w:rPr>
              <w:t>ite</w:t>
            </w:r>
            <w:r w:rsidRPr="00AD2FDD">
              <w:rPr>
                <w:rFonts w:eastAsia="Arial" w:cs="Arial"/>
                <w:sz w:val="16"/>
                <w:szCs w:val="16"/>
              </w:rPr>
              <w:t>s)</w:t>
            </w:r>
          </w:p>
        </w:tc>
        <w:tc>
          <w:tcPr>
            <w:tcW w:w="3690" w:type="dxa"/>
            <w:gridSpan w:val="3"/>
            <w:shd w:val="clear" w:color="auto" w:fill="FFFFFF" w:themeFill="background1"/>
            <w:tcMar>
              <w:left w:w="58" w:type="dxa"/>
              <w:right w:w="58" w:type="dxa"/>
            </w:tcMar>
            <w:vAlign w:val="center"/>
          </w:tcPr>
          <w:p w:rsidRPr="00AD2FDD" w:rsidR="00D520BD" w:rsidP="00982BD1" w:rsidRDefault="00D520BD" w14:paraId="2CEBC9FF" w14:textId="77777777">
            <w:pPr>
              <w:keepNext/>
              <w:keepLines/>
              <w:rPr>
                <w:sz w:val="16"/>
                <w:szCs w:val="16"/>
              </w:rPr>
            </w:pPr>
            <w:r w:rsidRPr="00AD2FDD">
              <w:rPr>
                <w:sz w:val="16"/>
                <w:szCs w:val="16"/>
              </w:rPr>
              <w:t>Number of drug tests conducted per site per year under 10 CFR Part 26</w:t>
            </w:r>
          </w:p>
        </w:tc>
        <w:tc>
          <w:tcPr>
            <w:tcW w:w="810" w:type="dxa"/>
            <w:gridSpan w:val="2"/>
            <w:shd w:val="clear" w:color="auto" w:fill="FFFFFF" w:themeFill="background1"/>
            <w:tcMar>
              <w:left w:w="58" w:type="dxa"/>
              <w:right w:w="58" w:type="dxa"/>
            </w:tcMar>
            <w:vAlign w:val="center"/>
          </w:tcPr>
          <w:p w:rsidRPr="00AD2FDD" w:rsidR="00D520BD" w:rsidP="00982BD1" w:rsidRDefault="00D520BD" w14:paraId="6CB0F5B4" w14:textId="32F8BC21">
            <w:pPr>
              <w:keepNext/>
              <w:keepLines/>
              <w:jc w:val="right"/>
              <w:rPr>
                <w:sz w:val="16"/>
                <w:szCs w:val="16"/>
              </w:rPr>
            </w:pPr>
            <w:r w:rsidRPr="00AD2FDD">
              <w:rPr>
                <w:sz w:val="16"/>
                <w:szCs w:val="16"/>
              </w:rPr>
              <w:t>2</w:t>
            </w:r>
            <w:r w:rsidRPr="00AD2FDD" w:rsidR="00646A79">
              <w:rPr>
                <w:sz w:val="16"/>
                <w:szCs w:val="16"/>
              </w:rPr>
              <w:t>,</w:t>
            </w:r>
            <w:r w:rsidRPr="00AD2FDD" w:rsidR="002C1912">
              <w:rPr>
                <w:sz w:val="16"/>
                <w:szCs w:val="16"/>
              </w:rPr>
              <w:t>257</w:t>
            </w:r>
          </w:p>
        </w:tc>
        <w:tc>
          <w:tcPr>
            <w:tcW w:w="828" w:type="dxa"/>
            <w:tcBorders>
              <w:top w:val="single" w:color="auto" w:sz="4" w:space="0"/>
              <w:bottom w:val="single" w:color="auto" w:sz="4" w:space="0"/>
            </w:tcBorders>
            <w:shd w:val="clear" w:color="auto" w:fill="FFFFFF" w:themeFill="background1"/>
            <w:tcMar>
              <w:left w:w="58" w:type="dxa"/>
              <w:right w:w="58" w:type="dxa"/>
            </w:tcMar>
            <w:vAlign w:val="center"/>
          </w:tcPr>
          <w:p w:rsidRPr="00AD2FDD" w:rsidR="00D520BD" w:rsidP="00982BD1" w:rsidRDefault="00D520BD" w14:paraId="5BCEF1D3" w14:textId="3083989F">
            <w:pPr>
              <w:keepNext/>
              <w:keepLines/>
              <w:jc w:val="right"/>
              <w:rPr>
                <w:sz w:val="16"/>
                <w:szCs w:val="16"/>
              </w:rPr>
            </w:pPr>
            <w:r w:rsidRPr="00AD2FDD">
              <w:rPr>
                <w:sz w:val="16"/>
                <w:szCs w:val="16"/>
              </w:rPr>
              <w:t>($</w:t>
            </w:r>
            <w:r w:rsidRPr="00AD2FDD" w:rsidR="00F27D56">
              <w:rPr>
                <w:sz w:val="16"/>
                <w:szCs w:val="16"/>
              </w:rPr>
              <w:t>120</w:t>
            </w:r>
            <w:r w:rsidRPr="00AD2FDD">
              <w:rPr>
                <w:sz w:val="16"/>
                <w:szCs w:val="16"/>
              </w:rPr>
              <w:t>)</w:t>
            </w:r>
          </w:p>
        </w:tc>
        <w:tc>
          <w:tcPr>
            <w:tcW w:w="900" w:type="dxa"/>
            <w:gridSpan w:val="2"/>
            <w:tcBorders>
              <w:top w:val="single" w:color="auto" w:sz="4" w:space="0"/>
              <w:bottom w:val="single" w:color="auto" w:sz="4" w:space="0"/>
            </w:tcBorders>
            <w:shd w:val="clear" w:color="auto" w:fill="FFFFFF" w:themeFill="background1"/>
            <w:tcMar>
              <w:left w:w="58" w:type="dxa"/>
              <w:right w:w="58" w:type="dxa"/>
            </w:tcMar>
            <w:vAlign w:val="center"/>
          </w:tcPr>
          <w:p w:rsidRPr="00AD2FDD" w:rsidR="00D520BD" w:rsidP="00982BD1" w:rsidRDefault="002C1912" w14:paraId="2D201A2C" w14:textId="34C63260">
            <w:pPr>
              <w:keepNext/>
              <w:keepLines/>
              <w:jc w:val="right"/>
              <w:rPr>
                <w:sz w:val="16"/>
                <w:szCs w:val="16"/>
              </w:rPr>
            </w:pPr>
            <w:r w:rsidRPr="00AD2FDD">
              <w:rPr>
                <w:sz w:val="16"/>
                <w:szCs w:val="16"/>
              </w:rPr>
              <w:t>59</w:t>
            </w:r>
          </w:p>
        </w:tc>
        <w:tc>
          <w:tcPr>
            <w:tcW w:w="1170" w:type="dxa"/>
            <w:tcBorders>
              <w:top w:val="single" w:color="auto" w:sz="4" w:space="0"/>
              <w:bottom w:val="single" w:color="auto" w:sz="4" w:space="0"/>
            </w:tcBorders>
            <w:shd w:val="clear" w:color="auto" w:fill="FFFFFF" w:themeFill="background1"/>
            <w:tcMar>
              <w:left w:w="58" w:type="dxa"/>
              <w:right w:w="58" w:type="dxa"/>
            </w:tcMar>
            <w:vAlign w:val="center"/>
          </w:tcPr>
          <w:p w:rsidRPr="00AD2FDD" w:rsidR="00D520BD" w:rsidP="00982BD1" w:rsidRDefault="00D520BD" w14:paraId="4398E0C0" w14:textId="33A6AE99">
            <w:pPr>
              <w:keepNext/>
              <w:keepLines/>
              <w:jc w:val="right"/>
              <w:rPr>
                <w:sz w:val="16"/>
                <w:szCs w:val="16"/>
              </w:rPr>
            </w:pPr>
            <w:r w:rsidRPr="00AD2FDD">
              <w:rPr>
                <w:sz w:val="16"/>
                <w:szCs w:val="16"/>
              </w:rPr>
              <w:t>($</w:t>
            </w:r>
            <w:r w:rsidRPr="00AD2FDD" w:rsidR="00431278">
              <w:rPr>
                <w:sz w:val="16"/>
                <w:szCs w:val="16"/>
              </w:rPr>
              <w:t>7,080</w:t>
            </w:r>
            <w:r w:rsidRPr="00AD2FDD">
              <w:rPr>
                <w:sz w:val="16"/>
                <w:szCs w:val="16"/>
              </w:rPr>
              <w:t>)</w:t>
            </w:r>
          </w:p>
        </w:tc>
      </w:tr>
      <w:tr w:rsidRPr="00AD2FDD" w:rsidR="00D520BD" w:rsidTr="00F27D56" w14:paraId="3A2CB04E" w14:textId="77777777">
        <w:tc>
          <w:tcPr>
            <w:tcW w:w="2070" w:type="dxa"/>
            <w:gridSpan w:val="2"/>
            <w:vMerge/>
            <w:tcMar>
              <w:left w:w="58" w:type="dxa"/>
              <w:right w:w="58" w:type="dxa"/>
            </w:tcMar>
          </w:tcPr>
          <w:p w:rsidRPr="00AD2FDD" w:rsidR="00D520BD" w:rsidP="00982BD1" w:rsidRDefault="00D520BD" w14:paraId="39383F06" w14:textId="77777777">
            <w:pPr>
              <w:keepNext/>
              <w:keepLines/>
              <w:rPr>
                <w:sz w:val="16"/>
                <w:szCs w:val="16"/>
              </w:rPr>
            </w:pPr>
          </w:p>
        </w:tc>
        <w:tc>
          <w:tcPr>
            <w:tcW w:w="3690" w:type="dxa"/>
            <w:gridSpan w:val="3"/>
            <w:shd w:val="clear" w:color="auto" w:fill="FFFFFF" w:themeFill="background1"/>
            <w:tcMar>
              <w:left w:w="58" w:type="dxa"/>
              <w:right w:w="58" w:type="dxa"/>
            </w:tcMar>
            <w:vAlign w:val="center"/>
          </w:tcPr>
          <w:p w:rsidRPr="00AD2FDD" w:rsidR="00D520BD" w:rsidP="00982BD1" w:rsidRDefault="00D520BD" w14:paraId="3DD6AE69" w14:textId="77777777">
            <w:pPr>
              <w:keepNext/>
              <w:keepLines/>
              <w:rPr>
                <w:sz w:val="16"/>
                <w:szCs w:val="16"/>
              </w:rPr>
            </w:pPr>
            <w:r w:rsidRPr="00AD2FDD">
              <w:rPr>
                <w:rFonts w:eastAsia="Arial" w:cs="Arial"/>
                <w:sz w:val="16"/>
                <w:szCs w:val="16"/>
              </w:rPr>
              <w:t>FFD c</w:t>
            </w:r>
            <w:r w:rsidRPr="00A47604">
              <w:rPr>
                <w:rFonts w:eastAsia="Arial"/>
                <w:sz w:val="16"/>
              </w:rPr>
              <w:t>ur</w:t>
            </w:r>
            <w:r w:rsidRPr="00AD2FDD">
              <w:rPr>
                <w:rFonts w:eastAsia="Arial" w:cs="Arial"/>
                <w:sz w:val="16"/>
                <w:szCs w:val="16"/>
              </w:rPr>
              <w:t>r</w:t>
            </w:r>
            <w:r w:rsidRPr="00A47604">
              <w:rPr>
                <w:rFonts w:eastAsia="Arial"/>
                <w:sz w:val="16"/>
              </w:rPr>
              <w:t>en</w:t>
            </w:r>
            <w:r w:rsidRPr="00AD2FDD">
              <w:rPr>
                <w:rFonts w:eastAsia="Arial" w:cs="Arial"/>
                <w:sz w:val="16"/>
                <w:szCs w:val="16"/>
              </w:rPr>
              <w:t>t</w:t>
            </w:r>
            <w:r w:rsidRPr="00A47604">
              <w:rPr>
                <w:rFonts w:eastAsia="Arial"/>
                <w:sz w:val="16"/>
              </w:rPr>
              <w:t xml:space="preserve"> </w:t>
            </w:r>
            <w:r w:rsidRPr="00AD2FDD">
              <w:rPr>
                <w:rFonts w:eastAsia="Arial" w:cs="Arial"/>
                <w:sz w:val="16"/>
                <w:szCs w:val="16"/>
              </w:rPr>
              <w:t>pos</w:t>
            </w:r>
            <w:r w:rsidRPr="00A47604">
              <w:rPr>
                <w:rFonts w:eastAsia="Arial"/>
                <w:sz w:val="16"/>
              </w:rPr>
              <w:t>i</w:t>
            </w:r>
            <w:r w:rsidRPr="00AD2FDD">
              <w:rPr>
                <w:rFonts w:eastAsia="Arial" w:cs="Arial"/>
                <w:sz w:val="16"/>
                <w:szCs w:val="16"/>
              </w:rPr>
              <w:t>t</w:t>
            </w:r>
            <w:r w:rsidRPr="00A47604">
              <w:rPr>
                <w:rFonts w:eastAsia="Arial"/>
                <w:sz w:val="16"/>
              </w:rPr>
              <w:t>iv</w:t>
            </w:r>
            <w:r w:rsidRPr="00AD2FDD">
              <w:rPr>
                <w:rFonts w:eastAsia="Arial" w:cs="Arial"/>
                <w:sz w:val="16"/>
                <w:szCs w:val="16"/>
              </w:rPr>
              <w:t>e</w:t>
            </w:r>
            <w:r w:rsidRPr="00A47604">
              <w:rPr>
                <w:rFonts w:eastAsia="Arial"/>
                <w:sz w:val="16"/>
              </w:rPr>
              <w:t xml:space="preserve"> </w:t>
            </w:r>
            <w:r w:rsidRPr="00AD2FDD">
              <w:rPr>
                <w:rFonts w:eastAsia="Arial" w:cs="Arial"/>
                <w:sz w:val="16"/>
                <w:szCs w:val="16"/>
              </w:rPr>
              <w:t>t</w:t>
            </w:r>
            <w:r w:rsidRPr="00A47604">
              <w:rPr>
                <w:rFonts w:eastAsia="Arial"/>
                <w:sz w:val="16"/>
              </w:rPr>
              <w:t>e</w:t>
            </w:r>
            <w:r w:rsidRPr="00AD2FDD">
              <w:rPr>
                <w:rFonts w:eastAsia="Arial" w:cs="Arial"/>
                <w:sz w:val="16"/>
                <w:szCs w:val="16"/>
              </w:rPr>
              <w:t>s</w:t>
            </w:r>
            <w:r w:rsidRPr="00A47604">
              <w:rPr>
                <w:rFonts w:eastAsia="Arial"/>
                <w:sz w:val="16"/>
              </w:rPr>
              <w:t xml:space="preserve">t </w:t>
            </w:r>
            <w:r w:rsidRPr="00AD2FDD">
              <w:rPr>
                <w:rFonts w:eastAsia="Arial" w:cs="Arial"/>
                <w:sz w:val="16"/>
                <w:szCs w:val="16"/>
              </w:rPr>
              <w:t xml:space="preserve">rate </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6FEDB4D4" w14:textId="237FC9F8">
            <w:pPr>
              <w:keepNext/>
              <w:keepLines/>
              <w:jc w:val="right"/>
              <w:rPr>
                <w:sz w:val="16"/>
                <w:szCs w:val="16"/>
              </w:rPr>
            </w:pPr>
            <w:r w:rsidRPr="00A47604">
              <w:rPr>
                <w:rFonts w:eastAsia="Arial"/>
                <w:sz w:val="16"/>
              </w:rPr>
              <w:t>0.0</w:t>
            </w:r>
            <w:r w:rsidRPr="00A47604" w:rsidR="00913EB7">
              <w:rPr>
                <w:rFonts w:eastAsia="Arial"/>
                <w:sz w:val="16"/>
              </w:rPr>
              <w:t>66</w:t>
            </w:r>
            <w:r w:rsidRPr="00A47604">
              <w:rPr>
                <w:rFonts w:eastAsia="Arial"/>
                <w:sz w:val="16"/>
              </w:rPr>
              <w:t>%</w:t>
            </w:r>
          </w:p>
        </w:tc>
        <w:tc>
          <w:tcPr>
            <w:tcW w:w="828"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0D3F1C2F" w14:textId="77777777">
            <w:pPr>
              <w:keepNext/>
              <w:keepLines/>
              <w:jc w:val="right"/>
              <w:rPr>
                <w:sz w:val="16"/>
                <w:szCs w:val="16"/>
              </w:rPr>
            </w:pPr>
          </w:p>
        </w:tc>
        <w:tc>
          <w:tcPr>
            <w:tcW w:w="900" w:type="dxa"/>
            <w:gridSpan w:val="2"/>
            <w:tcBorders>
              <w:top w:val="single" w:color="auto" w:sz="4" w:space="0"/>
              <w:left w:val="nil"/>
              <w:bottom w:val="nil"/>
              <w:right w:val="nil"/>
            </w:tcBorders>
            <w:shd w:val="clear" w:color="auto" w:fill="FFFFFF" w:themeFill="background1"/>
            <w:tcMar>
              <w:left w:w="58" w:type="dxa"/>
              <w:right w:w="58" w:type="dxa"/>
            </w:tcMar>
            <w:vAlign w:val="center"/>
          </w:tcPr>
          <w:p w:rsidRPr="00AD2FDD" w:rsidR="00D520BD" w:rsidP="00982BD1" w:rsidRDefault="00D520BD" w14:paraId="4928F198" w14:textId="77777777">
            <w:pPr>
              <w:keepNext/>
              <w:keepLines/>
              <w:jc w:val="right"/>
              <w:rPr>
                <w:sz w:val="16"/>
                <w:szCs w:val="16"/>
              </w:rPr>
            </w:pPr>
          </w:p>
        </w:tc>
        <w:tc>
          <w:tcPr>
            <w:tcW w:w="117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42C928BD" w14:textId="77777777">
            <w:pPr>
              <w:keepNext/>
              <w:keepLines/>
              <w:jc w:val="right"/>
              <w:rPr>
                <w:sz w:val="16"/>
                <w:szCs w:val="16"/>
              </w:rPr>
            </w:pPr>
          </w:p>
        </w:tc>
      </w:tr>
      <w:tr w:rsidRPr="00AD2FDD" w:rsidR="00D520BD" w:rsidTr="00F27D56" w14:paraId="2E29F1FA" w14:textId="77777777">
        <w:tc>
          <w:tcPr>
            <w:tcW w:w="2070" w:type="dxa"/>
            <w:gridSpan w:val="2"/>
            <w:vMerge/>
            <w:tcMar>
              <w:left w:w="58" w:type="dxa"/>
              <w:right w:w="58" w:type="dxa"/>
            </w:tcMar>
          </w:tcPr>
          <w:p w:rsidRPr="00AD2FDD" w:rsidR="00D520BD" w:rsidP="00982BD1" w:rsidRDefault="00D520BD" w14:paraId="5F746B6A" w14:textId="77777777">
            <w:pPr>
              <w:keepNext/>
              <w:keepLines/>
              <w:rPr>
                <w:sz w:val="16"/>
                <w:szCs w:val="16"/>
              </w:rPr>
            </w:pPr>
          </w:p>
        </w:tc>
        <w:tc>
          <w:tcPr>
            <w:tcW w:w="3690" w:type="dxa"/>
            <w:gridSpan w:val="3"/>
            <w:shd w:val="clear" w:color="auto" w:fill="FFFFFF" w:themeFill="background1"/>
            <w:tcMar>
              <w:left w:w="58" w:type="dxa"/>
              <w:right w:w="58" w:type="dxa"/>
            </w:tcMar>
            <w:vAlign w:val="center"/>
          </w:tcPr>
          <w:p w:rsidRPr="00AD2FDD" w:rsidR="00D520BD" w:rsidP="00982BD1" w:rsidRDefault="00D520BD" w14:paraId="10499B80" w14:textId="77777777">
            <w:pPr>
              <w:keepNext/>
              <w:keepLines/>
              <w:rPr>
                <w:sz w:val="16"/>
                <w:szCs w:val="16"/>
              </w:rPr>
            </w:pPr>
            <w:r w:rsidRPr="00AD2FDD">
              <w:rPr>
                <w:rFonts w:eastAsia="Arial" w:cs="Arial"/>
                <w:sz w:val="16"/>
                <w:szCs w:val="16"/>
              </w:rPr>
              <w:t>Projected</w:t>
            </w:r>
            <w:r w:rsidRPr="00A47604">
              <w:rPr>
                <w:rFonts w:eastAsia="Arial"/>
                <w:sz w:val="16"/>
              </w:rPr>
              <w:t xml:space="preserve"> </w:t>
            </w:r>
            <w:r w:rsidRPr="00AD2FDD">
              <w:rPr>
                <w:rFonts w:eastAsia="Arial" w:cs="Arial"/>
                <w:sz w:val="16"/>
                <w:szCs w:val="16"/>
              </w:rPr>
              <w:t>p</w:t>
            </w:r>
            <w:r w:rsidRPr="00A47604">
              <w:rPr>
                <w:rFonts w:eastAsia="Arial"/>
                <w:sz w:val="16"/>
              </w:rPr>
              <w:t>e</w:t>
            </w:r>
            <w:r w:rsidRPr="00AD2FDD">
              <w:rPr>
                <w:rFonts w:eastAsia="Arial" w:cs="Arial"/>
                <w:sz w:val="16"/>
                <w:szCs w:val="16"/>
              </w:rPr>
              <w:t>rc</w:t>
            </w:r>
            <w:r w:rsidRPr="00A47604">
              <w:rPr>
                <w:rFonts w:eastAsia="Arial"/>
                <w:sz w:val="16"/>
              </w:rPr>
              <w:t>en</w:t>
            </w:r>
            <w:r w:rsidRPr="00AD2FDD">
              <w:rPr>
                <w:rFonts w:eastAsia="Arial" w:cs="Arial"/>
                <w:sz w:val="16"/>
                <w:szCs w:val="16"/>
              </w:rPr>
              <w:t>t</w:t>
            </w:r>
            <w:r w:rsidRPr="00A47604">
              <w:rPr>
                <w:rFonts w:eastAsia="Arial"/>
                <w:sz w:val="16"/>
              </w:rPr>
              <w:t xml:space="preserve"> inc</w:t>
            </w:r>
            <w:r w:rsidRPr="00AD2FDD">
              <w:rPr>
                <w:rFonts w:eastAsia="Arial" w:cs="Arial"/>
                <w:sz w:val="16"/>
                <w:szCs w:val="16"/>
              </w:rPr>
              <w:t>rease</w:t>
            </w:r>
            <w:r w:rsidRPr="00A47604">
              <w:rPr>
                <w:rFonts w:eastAsia="Arial"/>
                <w:sz w:val="16"/>
              </w:rPr>
              <w:t xml:space="preserve"> i</w:t>
            </w:r>
            <w:r w:rsidRPr="00AD2FDD">
              <w:rPr>
                <w:rFonts w:eastAsia="Arial" w:cs="Arial"/>
                <w:sz w:val="16"/>
                <w:szCs w:val="16"/>
              </w:rPr>
              <w:t>n</w:t>
            </w:r>
            <w:r w:rsidRPr="00A47604">
              <w:rPr>
                <w:rFonts w:eastAsia="Arial"/>
                <w:sz w:val="16"/>
              </w:rPr>
              <w:t xml:space="preserve"> confirmed </w:t>
            </w:r>
            <w:r w:rsidRPr="00AD2FDD">
              <w:rPr>
                <w:rFonts w:eastAsia="Arial" w:cs="Arial"/>
                <w:sz w:val="16"/>
                <w:szCs w:val="16"/>
              </w:rPr>
              <w:t>pos</w:t>
            </w:r>
            <w:r w:rsidRPr="00A47604">
              <w:rPr>
                <w:rFonts w:eastAsia="Arial"/>
                <w:sz w:val="16"/>
              </w:rPr>
              <w:t>i</w:t>
            </w:r>
            <w:r w:rsidRPr="00AD2FDD">
              <w:rPr>
                <w:rFonts w:eastAsia="Arial" w:cs="Arial"/>
                <w:sz w:val="16"/>
                <w:szCs w:val="16"/>
              </w:rPr>
              <w:t>t</w:t>
            </w:r>
            <w:r w:rsidRPr="00A47604">
              <w:rPr>
                <w:rFonts w:eastAsia="Arial"/>
                <w:sz w:val="16"/>
              </w:rPr>
              <w:t>iv</w:t>
            </w:r>
            <w:r w:rsidRPr="00AD2FDD">
              <w:rPr>
                <w:rFonts w:eastAsia="Arial" w:cs="Arial"/>
                <w:sz w:val="16"/>
                <w:szCs w:val="16"/>
              </w:rPr>
              <w:t>e</w:t>
            </w:r>
            <w:r w:rsidRPr="00A47604">
              <w:rPr>
                <w:rFonts w:eastAsia="Arial"/>
                <w:sz w:val="16"/>
              </w:rPr>
              <w:t xml:space="preserve"> </w:t>
            </w:r>
            <w:r w:rsidRPr="00AD2FDD">
              <w:rPr>
                <w:rFonts w:eastAsia="Arial" w:cs="Arial"/>
                <w:sz w:val="16"/>
                <w:szCs w:val="16"/>
              </w:rPr>
              <w:t>test</w:t>
            </w:r>
            <w:r w:rsidRPr="00A47604">
              <w:rPr>
                <w:rFonts w:eastAsia="Arial"/>
                <w:sz w:val="16"/>
              </w:rPr>
              <w:t xml:space="preserve"> </w:t>
            </w:r>
            <w:r w:rsidRPr="00AD2FDD">
              <w:rPr>
                <w:rFonts w:eastAsia="Arial" w:cs="Arial"/>
                <w:sz w:val="16"/>
                <w:szCs w:val="16"/>
              </w:rPr>
              <w:t>r</w:t>
            </w:r>
            <w:r w:rsidRPr="00A47604">
              <w:rPr>
                <w:rFonts w:eastAsia="Arial"/>
                <w:sz w:val="16"/>
              </w:rPr>
              <w:t>a</w:t>
            </w:r>
            <w:r w:rsidRPr="00AD2FDD">
              <w:rPr>
                <w:rFonts w:eastAsia="Arial" w:cs="Arial"/>
                <w:sz w:val="16"/>
                <w:szCs w:val="16"/>
              </w:rPr>
              <w:t>te</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913EB7" w14:paraId="72DF36BE" w14:textId="57F68147">
            <w:pPr>
              <w:keepNext/>
              <w:keepLines/>
              <w:jc w:val="right"/>
              <w:rPr>
                <w:sz w:val="16"/>
                <w:szCs w:val="16"/>
              </w:rPr>
            </w:pPr>
            <w:r w:rsidRPr="00AD2FDD">
              <w:rPr>
                <w:rFonts w:eastAsia="Arial" w:cs="Arial"/>
                <w:sz w:val="16"/>
                <w:szCs w:val="16"/>
              </w:rPr>
              <w:t>36.65</w:t>
            </w:r>
            <w:r w:rsidRPr="00AD2FDD" w:rsidR="00D520BD">
              <w:rPr>
                <w:rFonts w:eastAsia="Arial" w:cs="Arial"/>
                <w:sz w:val="16"/>
                <w:szCs w:val="16"/>
              </w:rPr>
              <w:t>%</w:t>
            </w:r>
          </w:p>
        </w:tc>
        <w:tc>
          <w:tcPr>
            <w:tcW w:w="828" w:type="dxa"/>
            <w:tcBorders>
              <w:top w:val="nil"/>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78440E88" w14:textId="77777777">
            <w:pPr>
              <w:keepNext/>
              <w:keepLines/>
              <w:jc w:val="right"/>
              <w:rPr>
                <w:sz w:val="16"/>
                <w:szCs w:val="16"/>
              </w:rPr>
            </w:pPr>
          </w:p>
        </w:tc>
        <w:tc>
          <w:tcPr>
            <w:tcW w:w="900" w:type="dxa"/>
            <w:gridSpan w:val="2"/>
            <w:tcBorders>
              <w:top w:val="nil"/>
              <w:left w:val="nil"/>
              <w:bottom w:val="nil"/>
              <w:right w:val="nil"/>
            </w:tcBorders>
            <w:shd w:val="clear" w:color="auto" w:fill="FFFFFF" w:themeFill="background1"/>
            <w:tcMar>
              <w:left w:w="58" w:type="dxa"/>
              <w:right w:w="58" w:type="dxa"/>
            </w:tcMar>
            <w:vAlign w:val="center"/>
          </w:tcPr>
          <w:p w:rsidRPr="00AD2FDD" w:rsidR="00D520BD" w:rsidP="00982BD1" w:rsidRDefault="00D520BD" w14:paraId="65EE6CD1" w14:textId="77777777">
            <w:pPr>
              <w:keepNext/>
              <w:keepLines/>
              <w:jc w:val="right"/>
              <w:rPr>
                <w:sz w:val="16"/>
                <w:szCs w:val="16"/>
              </w:rPr>
            </w:pPr>
          </w:p>
        </w:tc>
        <w:tc>
          <w:tcPr>
            <w:tcW w:w="1170" w:type="dxa"/>
            <w:tcBorders>
              <w:top w:val="nil"/>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06D1800C" w14:textId="77777777">
            <w:pPr>
              <w:keepNext/>
              <w:keepLines/>
              <w:jc w:val="right"/>
              <w:rPr>
                <w:sz w:val="16"/>
                <w:szCs w:val="16"/>
              </w:rPr>
            </w:pPr>
          </w:p>
        </w:tc>
      </w:tr>
      <w:tr w:rsidRPr="00AD2FDD" w:rsidR="00D520BD" w:rsidTr="00F27D56" w14:paraId="0F4D8D64" w14:textId="77777777">
        <w:trPr>
          <w:trHeight w:val="584"/>
        </w:trPr>
        <w:tc>
          <w:tcPr>
            <w:tcW w:w="2070" w:type="dxa"/>
            <w:gridSpan w:val="2"/>
            <w:vMerge/>
            <w:tcMar>
              <w:left w:w="58" w:type="dxa"/>
              <w:right w:w="58" w:type="dxa"/>
            </w:tcMar>
          </w:tcPr>
          <w:p w:rsidRPr="00AD2FDD" w:rsidR="00D520BD" w:rsidP="00982BD1" w:rsidRDefault="00D520BD" w14:paraId="1A34BE58" w14:textId="77777777">
            <w:pPr>
              <w:keepNext/>
              <w:keepLines/>
              <w:rPr>
                <w:sz w:val="16"/>
                <w:szCs w:val="16"/>
              </w:rPr>
            </w:pPr>
          </w:p>
        </w:tc>
        <w:tc>
          <w:tcPr>
            <w:tcW w:w="3690" w:type="dxa"/>
            <w:gridSpan w:val="3"/>
            <w:shd w:val="clear" w:color="auto" w:fill="FFFFFF" w:themeFill="background1"/>
            <w:tcMar>
              <w:left w:w="58" w:type="dxa"/>
              <w:right w:w="58" w:type="dxa"/>
            </w:tcMar>
            <w:vAlign w:val="center"/>
          </w:tcPr>
          <w:p w:rsidRPr="00AD2FDD" w:rsidR="00D520BD" w:rsidP="00982BD1" w:rsidRDefault="00D520BD" w14:paraId="7476E41F" w14:textId="77777777">
            <w:pPr>
              <w:keepNext/>
              <w:keepLines/>
              <w:rPr>
                <w:rFonts w:eastAsia="Arial" w:cs="Arial"/>
                <w:sz w:val="16"/>
                <w:szCs w:val="16"/>
              </w:rPr>
            </w:pPr>
            <w:r w:rsidRPr="00AD2FDD">
              <w:rPr>
                <w:rFonts w:eastAsia="Arial" w:cs="Arial"/>
                <w:sz w:val="16"/>
                <w:szCs w:val="16"/>
              </w:rPr>
              <w:t>Projected percent of additional positive results that will confirm positive after MRO interview with donor</w:t>
            </w:r>
          </w:p>
        </w:tc>
        <w:tc>
          <w:tcPr>
            <w:tcW w:w="810" w:type="dxa"/>
            <w:gridSpan w:val="2"/>
            <w:tcBorders>
              <w:right w:val="single" w:color="auto" w:sz="4" w:space="0"/>
            </w:tcBorders>
            <w:shd w:val="clear" w:color="auto" w:fill="FFFFFF" w:themeFill="background1"/>
            <w:tcMar>
              <w:left w:w="58" w:type="dxa"/>
              <w:right w:w="58" w:type="dxa"/>
            </w:tcMar>
            <w:vAlign w:val="center"/>
          </w:tcPr>
          <w:p w:rsidRPr="00A47604" w:rsidR="00D520BD" w:rsidP="00982BD1" w:rsidRDefault="00D520BD" w14:paraId="101A7545" w14:textId="3C7B47F1">
            <w:pPr>
              <w:keepNext/>
              <w:keepLines/>
              <w:jc w:val="right"/>
              <w:rPr>
                <w:rFonts w:eastAsia="Arial"/>
                <w:sz w:val="16"/>
              </w:rPr>
            </w:pPr>
            <w:r w:rsidRPr="00A47604">
              <w:rPr>
                <w:rFonts w:eastAsia="Arial"/>
                <w:sz w:val="16"/>
              </w:rPr>
              <w:t>7</w:t>
            </w:r>
            <w:r w:rsidRPr="00A47604" w:rsidR="00913EB7">
              <w:rPr>
                <w:rFonts w:eastAsia="Arial"/>
                <w:sz w:val="16"/>
              </w:rPr>
              <w:t>1</w:t>
            </w:r>
            <w:r w:rsidRPr="00A47604">
              <w:rPr>
                <w:rFonts w:eastAsia="Arial"/>
                <w:sz w:val="16"/>
              </w:rPr>
              <w:t>%</w:t>
            </w:r>
          </w:p>
        </w:tc>
        <w:tc>
          <w:tcPr>
            <w:tcW w:w="828" w:type="dxa"/>
            <w:tcBorders>
              <w:top w:val="nil"/>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6211A338" w14:textId="77777777">
            <w:pPr>
              <w:keepNext/>
              <w:keepLines/>
              <w:jc w:val="right"/>
              <w:rPr>
                <w:sz w:val="16"/>
                <w:szCs w:val="16"/>
              </w:rPr>
            </w:pPr>
          </w:p>
        </w:tc>
        <w:tc>
          <w:tcPr>
            <w:tcW w:w="900" w:type="dxa"/>
            <w:gridSpan w:val="2"/>
            <w:tcBorders>
              <w:top w:val="nil"/>
              <w:left w:val="nil"/>
              <w:bottom w:val="nil"/>
              <w:right w:val="nil"/>
            </w:tcBorders>
            <w:shd w:val="clear" w:color="auto" w:fill="FFFFFF" w:themeFill="background1"/>
            <w:tcMar>
              <w:left w:w="58" w:type="dxa"/>
              <w:right w:w="58" w:type="dxa"/>
            </w:tcMar>
            <w:vAlign w:val="center"/>
          </w:tcPr>
          <w:p w:rsidRPr="00AD2FDD" w:rsidR="00D520BD" w:rsidP="00982BD1" w:rsidRDefault="00D520BD" w14:paraId="59AF7C4D" w14:textId="77777777">
            <w:pPr>
              <w:keepNext/>
              <w:keepLines/>
              <w:jc w:val="right"/>
              <w:rPr>
                <w:sz w:val="16"/>
                <w:szCs w:val="16"/>
              </w:rPr>
            </w:pPr>
          </w:p>
        </w:tc>
        <w:tc>
          <w:tcPr>
            <w:tcW w:w="1170" w:type="dxa"/>
            <w:tcBorders>
              <w:top w:val="nil"/>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3C407176" w14:textId="77777777">
            <w:pPr>
              <w:keepNext/>
              <w:keepLines/>
              <w:jc w:val="right"/>
              <w:rPr>
                <w:sz w:val="16"/>
                <w:szCs w:val="16"/>
              </w:rPr>
            </w:pPr>
          </w:p>
        </w:tc>
      </w:tr>
      <w:tr w:rsidRPr="00AD2FDD" w:rsidR="00D520BD" w:rsidTr="00F27D56" w14:paraId="583735A9" w14:textId="77777777">
        <w:trPr>
          <w:trHeight w:val="206"/>
        </w:trPr>
        <w:tc>
          <w:tcPr>
            <w:tcW w:w="2070" w:type="dxa"/>
            <w:gridSpan w:val="2"/>
            <w:vMerge/>
            <w:tcMar>
              <w:left w:w="58" w:type="dxa"/>
              <w:right w:w="58" w:type="dxa"/>
            </w:tcMar>
          </w:tcPr>
          <w:p w:rsidRPr="00AD2FDD" w:rsidR="00D520BD" w:rsidP="00982BD1" w:rsidRDefault="00D520BD" w14:paraId="2D3600C8" w14:textId="77777777">
            <w:pPr>
              <w:keepNext/>
              <w:keepLines/>
              <w:rPr>
                <w:sz w:val="16"/>
                <w:szCs w:val="16"/>
              </w:rPr>
            </w:pPr>
          </w:p>
        </w:tc>
        <w:tc>
          <w:tcPr>
            <w:tcW w:w="3690" w:type="dxa"/>
            <w:gridSpan w:val="3"/>
            <w:shd w:val="clear" w:color="auto" w:fill="FFFFFF" w:themeFill="background1"/>
            <w:tcMar>
              <w:left w:w="58" w:type="dxa"/>
              <w:right w:w="58" w:type="dxa"/>
            </w:tcMar>
            <w:vAlign w:val="center"/>
          </w:tcPr>
          <w:p w:rsidRPr="00AD2FDD" w:rsidR="00D520BD" w:rsidP="00982BD1" w:rsidRDefault="00D520BD" w14:paraId="0BC8CF21" w14:textId="77777777">
            <w:pPr>
              <w:keepNext/>
              <w:keepLines/>
              <w:rPr>
                <w:sz w:val="16"/>
                <w:szCs w:val="16"/>
              </w:rPr>
            </w:pPr>
            <w:r w:rsidRPr="00AD2FDD">
              <w:rPr>
                <w:rFonts w:eastAsia="Arial" w:cs="Arial"/>
                <w:sz w:val="16"/>
                <w:szCs w:val="16"/>
              </w:rPr>
              <w:t>Cost</w:t>
            </w:r>
            <w:r w:rsidRPr="00A47604">
              <w:rPr>
                <w:rFonts w:eastAsia="Arial"/>
                <w:sz w:val="16"/>
              </w:rPr>
              <w:t xml:space="preserve"> </w:t>
            </w:r>
            <w:r w:rsidRPr="00AD2FDD">
              <w:rPr>
                <w:rFonts w:eastAsia="Arial" w:cs="Arial"/>
                <w:sz w:val="16"/>
                <w:szCs w:val="16"/>
              </w:rPr>
              <w:t>of</w:t>
            </w:r>
            <w:r w:rsidRPr="006F767F">
              <w:rPr>
                <w:rFonts w:eastAsia="Arial"/>
                <w:sz w:val="16"/>
              </w:rPr>
              <w:t xml:space="preserve"> </w:t>
            </w:r>
            <w:r w:rsidRPr="00AD2FDD">
              <w:rPr>
                <w:rFonts w:eastAsia="Arial" w:cs="Arial"/>
                <w:sz w:val="16"/>
                <w:szCs w:val="16"/>
              </w:rPr>
              <w:t>s</w:t>
            </w:r>
            <w:r w:rsidRPr="006F767F">
              <w:rPr>
                <w:rFonts w:eastAsia="Arial"/>
                <w:sz w:val="16"/>
              </w:rPr>
              <w:t>ub</w:t>
            </w:r>
            <w:r w:rsidRPr="00AD2FDD">
              <w:rPr>
                <w:rFonts w:eastAsia="Arial" w:cs="Arial"/>
                <w:sz w:val="16"/>
                <w:szCs w:val="16"/>
              </w:rPr>
              <w:t>se</w:t>
            </w:r>
            <w:r w:rsidRPr="006F767F">
              <w:rPr>
                <w:rFonts w:eastAsia="Arial"/>
                <w:sz w:val="16"/>
              </w:rPr>
              <w:t>quen</w:t>
            </w:r>
            <w:r w:rsidRPr="00AD2FDD">
              <w:rPr>
                <w:rFonts w:eastAsia="Arial" w:cs="Arial"/>
                <w:sz w:val="16"/>
                <w:szCs w:val="16"/>
              </w:rPr>
              <w:t>t</w:t>
            </w:r>
            <w:r w:rsidRPr="006F767F">
              <w:rPr>
                <w:rFonts w:eastAsia="Arial"/>
                <w:sz w:val="16"/>
              </w:rPr>
              <w:t xml:space="preserve"> </w:t>
            </w:r>
            <w:r w:rsidRPr="00AD2FDD">
              <w:rPr>
                <w:rFonts w:eastAsia="Arial" w:cs="Arial"/>
                <w:sz w:val="16"/>
                <w:szCs w:val="16"/>
              </w:rPr>
              <w:t>a</w:t>
            </w:r>
            <w:r w:rsidRPr="006F767F">
              <w:rPr>
                <w:rFonts w:eastAsia="Arial"/>
                <w:sz w:val="16"/>
              </w:rPr>
              <w:t>c</w:t>
            </w:r>
            <w:r w:rsidRPr="00AD2FDD">
              <w:rPr>
                <w:rFonts w:eastAsia="Arial" w:cs="Arial"/>
                <w:sz w:val="16"/>
                <w:szCs w:val="16"/>
              </w:rPr>
              <w:t>t</w:t>
            </w:r>
            <w:r w:rsidRPr="006F767F">
              <w:rPr>
                <w:rFonts w:eastAsia="Arial"/>
                <w:sz w:val="16"/>
              </w:rPr>
              <w:t>ion</w:t>
            </w:r>
            <w:r w:rsidRPr="00AD2FDD">
              <w:rPr>
                <w:rFonts w:eastAsia="Arial" w:cs="Arial"/>
                <w:sz w:val="16"/>
                <w:szCs w:val="16"/>
              </w:rPr>
              <w:t>s</w:t>
            </w:r>
            <w:r w:rsidRPr="006F767F">
              <w:rPr>
                <w:rFonts w:eastAsia="Arial"/>
                <w:sz w:val="16"/>
              </w:rPr>
              <w:t xml:space="preserve"> </w:t>
            </w:r>
            <w:r w:rsidRPr="00AD2FDD">
              <w:rPr>
                <w:rFonts w:eastAsia="Arial" w:cs="Arial"/>
                <w:sz w:val="16"/>
                <w:szCs w:val="16"/>
              </w:rPr>
              <w:t>(per</w:t>
            </w:r>
            <w:r w:rsidRPr="006F767F">
              <w:rPr>
                <w:rFonts w:eastAsia="Arial"/>
                <w:sz w:val="16"/>
              </w:rPr>
              <w:t xml:space="preserve"> </w:t>
            </w:r>
            <w:r w:rsidRPr="00AD2FDD">
              <w:rPr>
                <w:rFonts w:eastAsia="Arial" w:cs="Arial"/>
                <w:sz w:val="16"/>
                <w:szCs w:val="16"/>
              </w:rPr>
              <w:t>pos</w:t>
            </w:r>
            <w:r w:rsidRPr="006F767F">
              <w:rPr>
                <w:rFonts w:eastAsia="Arial"/>
                <w:sz w:val="16"/>
              </w:rPr>
              <w:t>i</w:t>
            </w:r>
            <w:r w:rsidRPr="00AD2FDD">
              <w:rPr>
                <w:rFonts w:eastAsia="Arial" w:cs="Arial"/>
                <w:sz w:val="16"/>
                <w:szCs w:val="16"/>
              </w:rPr>
              <w:t>t</w:t>
            </w:r>
            <w:r w:rsidRPr="006F767F">
              <w:rPr>
                <w:rFonts w:eastAsia="Arial"/>
                <w:sz w:val="16"/>
              </w:rPr>
              <w:t>iv</w:t>
            </w:r>
            <w:r w:rsidRPr="00AD2FDD">
              <w:rPr>
                <w:rFonts w:eastAsia="Arial" w:cs="Arial"/>
                <w:sz w:val="16"/>
                <w:szCs w:val="16"/>
              </w:rPr>
              <w:t>e</w:t>
            </w:r>
            <w:r w:rsidRPr="006F767F">
              <w:rPr>
                <w:rFonts w:eastAsia="Arial"/>
                <w:sz w:val="16"/>
              </w:rPr>
              <w:t xml:space="preserve"> </w:t>
            </w:r>
            <w:r w:rsidRPr="00AD2FDD">
              <w:rPr>
                <w:rFonts w:eastAsia="Arial" w:cs="Arial"/>
                <w:sz w:val="16"/>
                <w:szCs w:val="16"/>
              </w:rPr>
              <w:t>re</w:t>
            </w:r>
            <w:r w:rsidRPr="006F767F">
              <w:rPr>
                <w:rFonts w:eastAsia="Arial"/>
                <w:sz w:val="16"/>
              </w:rPr>
              <w:t>sul</w:t>
            </w:r>
            <w:r w:rsidRPr="00AD2FDD">
              <w:rPr>
                <w:rFonts w:eastAsia="Arial" w:cs="Arial"/>
                <w:sz w:val="16"/>
                <w:szCs w:val="16"/>
              </w:rPr>
              <w:t>t)</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31BEC9A1" w14:textId="59C7F6E0">
            <w:pPr>
              <w:keepNext/>
              <w:keepLines/>
              <w:jc w:val="right"/>
              <w:rPr>
                <w:sz w:val="16"/>
                <w:szCs w:val="16"/>
              </w:rPr>
            </w:pPr>
            <w:r w:rsidRPr="006F767F">
              <w:rPr>
                <w:rFonts w:eastAsia="Arial"/>
                <w:sz w:val="16"/>
              </w:rPr>
              <w:t>$</w:t>
            </w:r>
            <w:r w:rsidRPr="006F767F" w:rsidR="00431278">
              <w:rPr>
                <w:rFonts w:eastAsia="Arial"/>
                <w:sz w:val="16"/>
              </w:rPr>
              <w:t>310.66</w:t>
            </w:r>
          </w:p>
        </w:tc>
        <w:tc>
          <w:tcPr>
            <w:tcW w:w="828"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AD2FDD" w:rsidR="00D520BD" w:rsidP="00982BD1" w:rsidRDefault="00D520BD" w14:paraId="7F49F881" w14:textId="77777777">
            <w:pPr>
              <w:keepNext/>
              <w:keepLines/>
              <w:jc w:val="right"/>
              <w:rPr>
                <w:sz w:val="16"/>
                <w:szCs w:val="16"/>
              </w:rPr>
            </w:pPr>
          </w:p>
        </w:tc>
        <w:tc>
          <w:tcPr>
            <w:tcW w:w="900" w:type="dxa"/>
            <w:gridSpan w:val="2"/>
            <w:tcBorders>
              <w:top w:val="nil"/>
              <w:left w:val="nil"/>
              <w:bottom w:val="single" w:color="auto" w:sz="4" w:space="0"/>
              <w:right w:val="nil"/>
            </w:tcBorders>
            <w:shd w:val="clear" w:color="auto" w:fill="FFFFFF" w:themeFill="background1"/>
            <w:tcMar>
              <w:left w:w="58" w:type="dxa"/>
              <w:right w:w="58" w:type="dxa"/>
            </w:tcMar>
            <w:vAlign w:val="center"/>
          </w:tcPr>
          <w:p w:rsidRPr="00AD2FDD" w:rsidR="00D520BD" w:rsidP="00982BD1" w:rsidRDefault="00D520BD" w14:paraId="53CF76F5" w14:textId="77777777">
            <w:pPr>
              <w:keepNext/>
              <w:keepLines/>
              <w:jc w:val="right"/>
              <w:rPr>
                <w:sz w:val="16"/>
                <w:szCs w:val="16"/>
              </w:rPr>
            </w:pPr>
          </w:p>
        </w:tc>
        <w:tc>
          <w:tcPr>
            <w:tcW w:w="117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AD2FDD" w:rsidR="00D520BD" w:rsidP="00982BD1" w:rsidRDefault="00D520BD" w14:paraId="591365DA" w14:textId="77777777">
            <w:pPr>
              <w:keepNext/>
              <w:keepLines/>
              <w:jc w:val="right"/>
              <w:rPr>
                <w:sz w:val="16"/>
                <w:szCs w:val="16"/>
              </w:rPr>
            </w:pPr>
          </w:p>
        </w:tc>
      </w:tr>
      <w:tr w:rsidRPr="00AD2FDD" w:rsidR="00D520BD" w:rsidTr="00A850AD" w14:paraId="32698D7D" w14:textId="77777777">
        <w:tc>
          <w:tcPr>
            <w:tcW w:w="9468" w:type="dxa"/>
            <w:gridSpan w:val="11"/>
            <w:tcBorders>
              <w:bottom w:val="single" w:color="auto" w:sz="4" w:space="0"/>
            </w:tcBorders>
            <w:shd w:val="clear" w:color="auto" w:fill="FFFFFF" w:themeFill="background1"/>
            <w:tcMar>
              <w:left w:w="58" w:type="dxa"/>
              <w:right w:w="58" w:type="dxa"/>
            </w:tcMar>
            <w:vAlign w:val="center"/>
          </w:tcPr>
          <w:p w:rsidRPr="00AD2FDD" w:rsidR="00D520BD" w:rsidP="00982BD1" w:rsidRDefault="00D520BD" w14:paraId="59126996" w14:textId="77777777">
            <w:pPr>
              <w:keepNext/>
              <w:keepLines/>
              <w:rPr>
                <w:sz w:val="16"/>
                <w:szCs w:val="16"/>
              </w:rPr>
            </w:pPr>
            <w:r w:rsidRPr="006F767F">
              <w:rPr>
                <w:rFonts w:eastAsia="Arial"/>
                <w:b/>
                <w:sz w:val="16"/>
              </w:rPr>
              <w:t>Cocaine</w:t>
            </w:r>
          </w:p>
        </w:tc>
      </w:tr>
      <w:tr w:rsidRPr="00AD2FDD" w:rsidR="00D520BD" w:rsidTr="00A850AD" w14:paraId="3003F091" w14:textId="77777777">
        <w:trPr>
          <w:trHeight w:val="260"/>
        </w:trPr>
        <w:tc>
          <w:tcPr>
            <w:tcW w:w="2070" w:type="dxa"/>
            <w:gridSpan w:val="2"/>
            <w:vMerge w:val="restart"/>
            <w:shd w:val="clear" w:color="auto" w:fill="FFFFFF" w:themeFill="background1"/>
            <w:tcMar>
              <w:left w:w="58" w:type="dxa"/>
              <w:right w:w="58" w:type="dxa"/>
            </w:tcMar>
            <w:vAlign w:val="center"/>
          </w:tcPr>
          <w:p w:rsidR="00D13A4F" w:rsidP="00982BD1" w:rsidRDefault="00D520BD" w14:paraId="4FAC193E" w14:textId="77777777">
            <w:pPr>
              <w:keepNext/>
              <w:keepLines/>
              <w:ind w:left="88" w:right="68"/>
              <w:rPr>
                <w:rFonts w:eastAsia="Arial" w:cs="Arial"/>
                <w:sz w:val="16"/>
                <w:szCs w:val="16"/>
              </w:rPr>
            </w:pPr>
            <w:r w:rsidRPr="00AD2FDD">
              <w:rPr>
                <w:rFonts w:eastAsia="Arial" w:cs="Arial"/>
                <w:sz w:val="16"/>
                <w:szCs w:val="16"/>
              </w:rPr>
              <w:t>Add</w:t>
            </w:r>
            <w:r w:rsidRPr="006F767F">
              <w:rPr>
                <w:rFonts w:eastAsia="Arial"/>
                <w:sz w:val="16"/>
              </w:rPr>
              <w:t>iti</w:t>
            </w:r>
            <w:r w:rsidRPr="00AD2FDD">
              <w:rPr>
                <w:rFonts w:eastAsia="Arial" w:cs="Arial"/>
                <w:sz w:val="16"/>
                <w:szCs w:val="16"/>
              </w:rPr>
              <w:t>o</w:t>
            </w:r>
            <w:r w:rsidRPr="006F767F">
              <w:rPr>
                <w:rFonts w:eastAsia="Arial"/>
                <w:sz w:val="16"/>
              </w:rPr>
              <w:t>n</w:t>
            </w:r>
            <w:r w:rsidRPr="00AD2FDD">
              <w:rPr>
                <w:rFonts w:eastAsia="Arial" w:cs="Arial"/>
                <w:sz w:val="16"/>
                <w:szCs w:val="16"/>
              </w:rPr>
              <w:t>al</w:t>
            </w:r>
            <w:r w:rsidRPr="006F767F">
              <w:rPr>
                <w:rFonts w:eastAsia="Arial"/>
                <w:sz w:val="16"/>
              </w:rPr>
              <w:t xml:space="preserve"> t</w:t>
            </w:r>
            <w:r w:rsidRPr="00AD2FDD">
              <w:rPr>
                <w:rFonts w:eastAsia="Arial" w:cs="Arial"/>
                <w:sz w:val="16"/>
                <w:szCs w:val="16"/>
              </w:rPr>
              <w:t>est</w:t>
            </w:r>
            <w:r w:rsidRPr="006F767F">
              <w:rPr>
                <w:rFonts w:eastAsia="Arial"/>
                <w:sz w:val="16"/>
              </w:rPr>
              <w:t>in</w:t>
            </w:r>
            <w:r w:rsidRPr="00AD2FDD">
              <w:rPr>
                <w:rFonts w:eastAsia="Arial" w:cs="Arial"/>
                <w:sz w:val="16"/>
                <w:szCs w:val="16"/>
              </w:rPr>
              <w:t>g</w:t>
            </w:r>
            <w:r w:rsidRPr="006F767F">
              <w:rPr>
                <w:rFonts w:eastAsia="Arial"/>
                <w:sz w:val="16"/>
              </w:rPr>
              <w:t xml:space="preserve"> </w:t>
            </w:r>
            <w:r w:rsidRPr="00AD2FDD">
              <w:rPr>
                <w:rFonts w:eastAsia="Arial" w:cs="Arial"/>
                <w:sz w:val="16"/>
                <w:szCs w:val="16"/>
              </w:rPr>
              <w:t>at</w:t>
            </w:r>
            <w:r w:rsidRPr="006F767F">
              <w:rPr>
                <w:rFonts w:eastAsia="Arial"/>
                <w:sz w:val="16"/>
              </w:rPr>
              <w:t xml:space="preserve"> </w:t>
            </w:r>
            <w:r w:rsidRPr="00AD2FDD">
              <w:rPr>
                <w:rFonts w:eastAsia="Arial" w:cs="Arial"/>
                <w:sz w:val="16"/>
                <w:szCs w:val="16"/>
              </w:rPr>
              <w:t>HHS-</w:t>
            </w:r>
            <w:r w:rsidRPr="006F767F">
              <w:rPr>
                <w:rFonts w:eastAsia="Arial"/>
                <w:sz w:val="16"/>
              </w:rPr>
              <w:t>c</w:t>
            </w:r>
            <w:r w:rsidRPr="00AD2FDD">
              <w:rPr>
                <w:rFonts w:eastAsia="Arial" w:cs="Arial"/>
                <w:sz w:val="16"/>
                <w:szCs w:val="16"/>
              </w:rPr>
              <w:t>ert</w:t>
            </w:r>
            <w:r w:rsidRPr="006F767F">
              <w:rPr>
                <w:rFonts w:eastAsia="Arial"/>
                <w:sz w:val="16"/>
              </w:rPr>
              <w:t>i</w:t>
            </w:r>
            <w:r w:rsidRPr="00AD2FDD">
              <w:rPr>
                <w:rFonts w:eastAsia="Arial" w:cs="Arial"/>
                <w:sz w:val="16"/>
                <w:szCs w:val="16"/>
              </w:rPr>
              <w:t>f</w:t>
            </w:r>
            <w:r w:rsidRPr="006F767F">
              <w:rPr>
                <w:rFonts w:eastAsia="Arial"/>
                <w:sz w:val="16"/>
              </w:rPr>
              <w:t>i</w:t>
            </w:r>
            <w:r w:rsidRPr="00AD2FDD">
              <w:rPr>
                <w:rFonts w:eastAsia="Arial" w:cs="Arial"/>
                <w:sz w:val="16"/>
                <w:szCs w:val="16"/>
              </w:rPr>
              <w:t>ed</w:t>
            </w:r>
            <w:r w:rsidRPr="006F767F">
              <w:rPr>
                <w:rFonts w:eastAsia="Arial"/>
                <w:sz w:val="16"/>
              </w:rPr>
              <w:t xml:space="preserve"> labor</w:t>
            </w:r>
            <w:r w:rsidRPr="00AD2FDD">
              <w:rPr>
                <w:rFonts w:eastAsia="Arial" w:cs="Arial"/>
                <w:sz w:val="16"/>
                <w:szCs w:val="16"/>
              </w:rPr>
              <w:t>a</w:t>
            </w:r>
            <w:r w:rsidRPr="006F767F">
              <w:rPr>
                <w:rFonts w:eastAsia="Arial"/>
                <w:sz w:val="16"/>
              </w:rPr>
              <w:t>tor</w:t>
            </w:r>
            <w:r w:rsidRPr="00AD2FDD">
              <w:rPr>
                <w:rFonts w:eastAsia="Arial" w:cs="Arial"/>
                <w:sz w:val="16"/>
                <w:szCs w:val="16"/>
              </w:rPr>
              <w:t>y for</w:t>
            </w:r>
            <w:r w:rsidRPr="006F767F">
              <w:rPr>
                <w:rFonts w:eastAsia="Arial"/>
                <w:sz w:val="16"/>
              </w:rPr>
              <w:t xml:space="preserve"> </w:t>
            </w:r>
            <w:r w:rsidRPr="00AD2FDD">
              <w:rPr>
                <w:rFonts w:eastAsia="Arial" w:cs="Arial"/>
                <w:sz w:val="16"/>
                <w:szCs w:val="16"/>
              </w:rPr>
              <w:t>coca</w:t>
            </w:r>
            <w:r w:rsidRPr="006F767F">
              <w:rPr>
                <w:rFonts w:eastAsia="Arial"/>
                <w:sz w:val="16"/>
              </w:rPr>
              <w:t>in</w:t>
            </w:r>
            <w:r w:rsidRPr="00AD2FDD">
              <w:rPr>
                <w:rFonts w:eastAsia="Arial" w:cs="Arial"/>
                <w:sz w:val="16"/>
                <w:szCs w:val="16"/>
              </w:rPr>
              <w:t>e</w:t>
            </w:r>
            <w:r w:rsidRPr="006F767F">
              <w:rPr>
                <w:rFonts w:eastAsia="Arial"/>
                <w:sz w:val="16"/>
              </w:rPr>
              <w:t xml:space="preserve"> </w:t>
            </w:r>
            <w:r w:rsidRPr="00AD2FDD">
              <w:rPr>
                <w:rFonts w:eastAsia="Arial" w:cs="Arial"/>
                <w:sz w:val="16"/>
                <w:szCs w:val="16"/>
              </w:rPr>
              <w:t>pos</w:t>
            </w:r>
            <w:r w:rsidRPr="006F767F">
              <w:rPr>
                <w:rFonts w:eastAsia="Arial"/>
                <w:sz w:val="16"/>
              </w:rPr>
              <w:t>i</w:t>
            </w:r>
            <w:r w:rsidRPr="00AD2FDD">
              <w:rPr>
                <w:rFonts w:eastAsia="Arial" w:cs="Arial"/>
                <w:sz w:val="16"/>
                <w:szCs w:val="16"/>
              </w:rPr>
              <w:t>t</w:t>
            </w:r>
            <w:r w:rsidRPr="006F767F">
              <w:rPr>
                <w:rFonts w:eastAsia="Arial"/>
                <w:sz w:val="16"/>
              </w:rPr>
              <w:t>iv</w:t>
            </w:r>
            <w:r w:rsidRPr="00AD2FDD">
              <w:rPr>
                <w:rFonts w:eastAsia="Arial" w:cs="Arial"/>
                <w:sz w:val="16"/>
                <w:szCs w:val="16"/>
              </w:rPr>
              <w:t>e</w:t>
            </w:r>
            <w:r w:rsidRPr="006F767F">
              <w:rPr>
                <w:rFonts w:eastAsia="Arial"/>
                <w:sz w:val="16"/>
              </w:rPr>
              <w:t xml:space="preserve"> r</w:t>
            </w:r>
            <w:r w:rsidRPr="00AD2FDD">
              <w:rPr>
                <w:rFonts w:eastAsia="Arial" w:cs="Arial"/>
                <w:sz w:val="16"/>
                <w:szCs w:val="16"/>
              </w:rPr>
              <w:t>e</w:t>
            </w:r>
            <w:r w:rsidRPr="006F767F">
              <w:rPr>
                <w:rFonts w:eastAsia="Arial"/>
                <w:sz w:val="16"/>
              </w:rPr>
              <w:t>sul</w:t>
            </w:r>
            <w:r w:rsidRPr="00AD2FDD">
              <w:rPr>
                <w:rFonts w:eastAsia="Arial" w:cs="Arial"/>
                <w:sz w:val="16"/>
                <w:szCs w:val="16"/>
              </w:rPr>
              <w:t xml:space="preserve">ts </w:t>
            </w:r>
          </w:p>
          <w:p w:rsidRPr="00AD2FDD" w:rsidR="00D520BD" w:rsidP="00982BD1" w:rsidRDefault="00D520BD" w14:paraId="1665C0C4" w14:textId="4492D2C1">
            <w:pPr>
              <w:keepNext/>
              <w:keepLines/>
              <w:ind w:left="88" w:right="68"/>
              <w:rPr>
                <w:sz w:val="16"/>
                <w:szCs w:val="16"/>
              </w:rPr>
            </w:pPr>
            <w:r w:rsidRPr="00AD2FDD">
              <w:rPr>
                <w:rFonts w:eastAsia="Arial" w:cs="Arial"/>
                <w:sz w:val="16"/>
                <w:szCs w:val="16"/>
              </w:rPr>
              <w:t>(s</w:t>
            </w:r>
            <w:r w:rsidRPr="006F767F">
              <w:rPr>
                <w:rFonts w:eastAsia="Arial"/>
                <w:sz w:val="16"/>
              </w:rPr>
              <w:t>i</w:t>
            </w:r>
            <w:r w:rsidRPr="00AD2FDD">
              <w:rPr>
                <w:rFonts w:eastAsia="Arial" w:cs="Arial"/>
                <w:sz w:val="16"/>
                <w:szCs w:val="16"/>
              </w:rPr>
              <w:t>tes</w:t>
            </w:r>
            <w:r w:rsidRPr="006F767F">
              <w:rPr>
                <w:rFonts w:eastAsia="Arial"/>
                <w:sz w:val="16"/>
              </w:rPr>
              <w:t xml:space="preserve"> u</w:t>
            </w:r>
            <w:r w:rsidRPr="00AD2FDD">
              <w:rPr>
                <w:rFonts w:eastAsia="Arial" w:cs="Arial"/>
                <w:sz w:val="16"/>
                <w:szCs w:val="16"/>
              </w:rPr>
              <w:t>s</w:t>
            </w:r>
            <w:r w:rsidRPr="006F767F">
              <w:rPr>
                <w:rFonts w:eastAsia="Arial"/>
                <w:sz w:val="16"/>
              </w:rPr>
              <w:t>in</w:t>
            </w:r>
            <w:r w:rsidRPr="00AD2FDD">
              <w:rPr>
                <w:rFonts w:eastAsia="Arial" w:cs="Arial"/>
                <w:sz w:val="16"/>
                <w:szCs w:val="16"/>
              </w:rPr>
              <w:t>g</w:t>
            </w:r>
            <w:r w:rsidRPr="006F767F">
              <w:rPr>
                <w:rFonts w:eastAsia="Arial"/>
                <w:sz w:val="16"/>
              </w:rPr>
              <w:t xml:space="preserve"> LTF</w:t>
            </w:r>
            <w:r w:rsidRPr="00AD2FDD">
              <w:rPr>
                <w:rFonts w:eastAsia="Arial" w:cs="Arial"/>
                <w:sz w:val="16"/>
                <w:szCs w:val="16"/>
              </w:rPr>
              <w:t>s)</w:t>
            </w:r>
          </w:p>
        </w:tc>
        <w:tc>
          <w:tcPr>
            <w:tcW w:w="3690" w:type="dxa"/>
            <w:gridSpan w:val="3"/>
            <w:shd w:val="clear" w:color="auto" w:fill="FFFFFF" w:themeFill="background1"/>
            <w:tcMar>
              <w:left w:w="58" w:type="dxa"/>
              <w:right w:w="58" w:type="dxa"/>
            </w:tcMar>
            <w:vAlign w:val="center"/>
          </w:tcPr>
          <w:p w:rsidRPr="00AD2FDD" w:rsidR="00D520BD" w:rsidP="00982BD1" w:rsidRDefault="00D520BD" w14:paraId="58A0D633" w14:textId="77777777">
            <w:pPr>
              <w:keepNext/>
              <w:keepLines/>
              <w:rPr>
                <w:sz w:val="16"/>
                <w:szCs w:val="16"/>
              </w:rPr>
            </w:pPr>
            <w:r w:rsidRPr="00AD2FDD">
              <w:rPr>
                <w:sz w:val="16"/>
                <w:szCs w:val="16"/>
              </w:rPr>
              <w:t>Number of drug tests conducted per site per year under 10 CFR Part 26</w:t>
            </w:r>
          </w:p>
        </w:tc>
        <w:tc>
          <w:tcPr>
            <w:tcW w:w="810" w:type="dxa"/>
            <w:gridSpan w:val="2"/>
            <w:shd w:val="clear" w:color="auto" w:fill="FFFFFF" w:themeFill="background1"/>
            <w:tcMar>
              <w:left w:w="58" w:type="dxa"/>
              <w:right w:w="58" w:type="dxa"/>
            </w:tcMar>
            <w:vAlign w:val="center"/>
          </w:tcPr>
          <w:p w:rsidRPr="00AD2FDD" w:rsidR="00D520BD" w:rsidP="00982BD1" w:rsidRDefault="00D520BD" w14:paraId="2D4648CE" w14:textId="02822EF9">
            <w:pPr>
              <w:keepNext/>
              <w:keepLines/>
              <w:jc w:val="right"/>
              <w:rPr>
                <w:sz w:val="16"/>
                <w:szCs w:val="16"/>
              </w:rPr>
            </w:pPr>
            <w:r w:rsidRPr="00AD2FDD">
              <w:rPr>
                <w:sz w:val="16"/>
                <w:szCs w:val="16"/>
              </w:rPr>
              <w:t>2</w:t>
            </w:r>
            <w:r w:rsidRPr="00AD2FDD" w:rsidR="00646A79">
              <w:rPr>
                <w:sz w:val="16"/>
                <w:szCs w:val="16"/>
              </w:rPr>
              <w:t>,</w:t>
            </w:r>
            <w:r w:rsidRPr="00AD2FDD" w:rsidR="00F5147E">
              <w:rPr>
                <w:sz w:val="16"/>
                <w:szCs w:val="16"/>
              </w:rPr>
              <w:t>257</w:t>
            </w:r>
          </w:p>
        </w:tc>
        <w:tc>
          <w:tcPr>
            <w:tcW w:w="828" w:type="dxa"/>
            <w:tcBorders>
              <w:bottom w:val="single" w:color="auto" w:sz="4" w:space="0"/>
            </w:tcBorders>
            <w:shd w:val="clear" w:color="auto" w:fill="FFFFFF" w:themeFill="background1"/>
            <w:tcMar>
              <w:left w:w="58" w:type="dxa"/>
              <w:right w:w="58" w:type="dxa"/>
            </w:tcMar>
            <w:vAlign w:val="center"/>
          </w:tcPr>
          <w:p w:rsidRPr="00AD2FDD" w:rsidR="00D520BD" w:rsidP="00982BD1" w:rsidRDefault="00A850AD" w14:paraId="7C63DE59" w14:textId="34707EB9">
            <w:pPr>
              <w:keepNext/>
              <w:keepLines/>
              <w:jc w:val="right"/>
              <w:rPr>
                <w:sz w:val="16"/>
                <w:szCs w:val="16"/>
              </w:rPr>
            </w:pPr>
            <w:r w:rsidRPr="00AD2FDD">
              <w:rPr>
                <w:sz w:val="16"/>
                <w:szCs w:val="16"/>
              </w:rPr>
              <w:t>($11)</w:t>
            </w:r>
          </w:p>
        </w:tc>
        <w:tc>
          <w:tcPr>
            <w:tcW w:w="900" w:type="dxa"/>
            <w:gridSpan w:val="2"/>
            <w:tcBorders>
              <w:bottom w:val="single" w:color="auto" w:sz="4" w:space="0"/>
            </w:tcBorders>
            <w:shd w:val="clear" w:color="auto" w:fill="FFFFFF" w:themeFill="background1"/>
            <w:tcMar>
              <w:left w:w="58" w:type="dxa"/>
              <w:right w:w="58" w:type="dxa"/>
            </w:tcMar>
            <w:vAlign w:val="center"/>
          </w:tcPr>
          <w:p w:rsidRPr="00AD2FDD" w:rsidR="00D520BD" w:rsidP="00982BD1" w:rsidRDefault="00F5147E" w14:paraId="1E560288" w14:textId="24E81760">
            <w:pPr>
              <w:keepNext/>
              <w:keepLines/>
              <w:jc w:val="right"/>
              <w:rPr>
                <w:sz w:val="16"/>
                <w:szCs w:val="16"/>
              </w:rPr>
            </w:pPr>
            <w:r w:rsidRPr="00AD2FDD">
              <w:rPr>
                <w:sz w:val="16"/>
                <w:szCs w:val="16"/>
              </w:rPr>
              <w:t>3</w:t>
            </w:r>
          </w:p>
        </w:tc>
        <w:tc>
          <w:tcPr>
            <w:tcW w:w="1170" w:type="dxa"/>
            <w:tcBorders>
              <w:bottom w:val="single" w:color="auto" w:sz="4" w:space="0"/>
            </w:tcBorders>
            <w:shd w:val="clear" w:color="auto" w:fill="FFFFFF" w:themeFill="background1"/>
            <w:tcMar>
              <w:left w:w="58" w:type="dxa"/>
              <w:right w:w="58" w:type="dxa"/>
            </w:tcMar>
            <w:vAlign w:val="center"/>
          </w:tcPr>
          <w:p w:rsidRPr="00AD2FDD" w:rsidR="00D520BD" w:rsidP="00982BD1" w:rsidRDefault="00D520BD" w14:paraId="64ABDB2B" w14:textId="429FCE91">
            <w:pPr>
              <w:keepNext/>
              <w:keepLines/>
              <w:jc w:val="right"/>
              <w:rPr>
                <w:sz w:val="16"/>
                <w:szCs w:val="16"/>
              </w:rPr>
            </w:pPr>
            <w:r w:rsidRPr="00AD2FDD">
              <w:rPr>
                <w:rFonts w:eastAsia="Arial"/>
                <w:sz w:val="16"/>
                <w:szCs w:val="16"/>
              </w:rPr>
              <w:t>($</w:t>
            </w:r>
            <w:r w:rsidRPr="00AD2FDD" w:rsidR="007D5FA8">
              <w:rPr>
                <w:sz w:val="16"/>
                <w:szCs w:val="16"/>
              </w:rPr>
              <w:t>33</w:t>
            </w:r>
            <w:r w:rsidRPr="00AD2FDD">
              <w:rPr>
                <w:rFonts w:eastAsia="Arial"/>
                <w:sz w:val="16"/>
                <w:szCs w:val="16"/>
              </w:rPr>
              <w:t>)</w:t>
            </w:r>
          </w:p>
        </w:tc>
      </w:tr>
      <w:tr w:rsidRPr="00AD2FDD" w:rsidR="00D520BD" w:rsidTr="00A850AD" w14:paraId="1ABBC767" w14:textId="77777777">
        <w:tc>
          <w:tcPr>
            <w:tcW w:w="2070" w:type="dxa"/>
            <w:gridSpan w:val="2"/>
            <w:vMerge/>
            <w:shd w:val="clear" w:color="auto" w:fill="FFFFFF" w:themeFill="background1"/>
            <w:tcMar>
              <w:left w:w="58" w:type="dxa"/>
              <w:right w:w="58" w:type="dxa"/>
            </w:tcMar>
            <w:vAlign w:val="center"/>
          </w:tcPr>
          <w:p w:rsidRPr="00AD2FDD" w:rsidR="00D520BD" w:rsidP="00982BD1" w:rsidRDefault="00D520BD" w14:paraId="2230AC64" w14:textId="77777777">
            <w:pPr>
              <w:keepNext/>
              <w:keepLines/>
              <w:rPr>
                <w:sz w:val="16"/>
                <w:szCs w:val="16"/>
              </w:rPr>
            </w:pPr>
          </w:p>
        </w:tc>
        <w:tc>
          <w:tcPr>
            <w:tcW w:w="3690" w:type="dxa"/>
            <w:gridSpan w:val="3"/>
            <w:shd w:val="clear" w:color="auto" w:fill="FFFFFF" w:themeFill="background1"/>
            <w:tcMar>
              <w:left w:w="58" w:type="dxa"/>
              <w:right w:w="58" w:type="dxa"/>
            </w:tcMar>
            <w:vAlign w:val="center"/>
          </w:tcPr>
          <w:p w:rsidRPr="00AD2FDD" w:rsidR="00D520BD" w:rsidP="00982BD1" w:rsidRDefault="00D520BD" w14:paraId="40523745" w14:textId="77777777">
            <w:pPr>
              <w:keepNext/>
              <w:keepLines/>
              <w:rPr>
                <w:sz w:val="16"/>
                <w:szCs w:val="16"/>
              </w:rPr>
            </w:pPr>
            <w:r w:rsidRPr="00AD2FDD">
              <w:rPr>
                <w:sz w:val="16"/>
                <w:szCs w:val="16"/>
              </w:rPr>
              <w:t>FFD current positive test rate</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2D1F1BB9" w14:textId="59E4010E">
            <w:pPr>
              <w:keepNext/>
              <w:keepLines/>
              <w:jc w:val="right"/>
              <w:rPr>
                <w:sz w:val="16"/>
                <w:szCs w:val="16"/>
              </w:rPr>
            </w:pPr>
            <w:r w:rsidRPr="00AD2FDD">
              <w:rPr>
                <w:sz w:val="16"/>
                <w:szCs w:val="16"/>
              </w:rPr>
              <w:t>0.0</w:t>
            </w:r>
            <w:r w:rsidRPr="00AD2FDD" w:rsidR="008A4AF2">
              <w:rPr>
                <w:sz w:val="16"/>
                <w:szCs w:val="16"/>
              </w:rPr>
              <w:t>83</w:t>
            </w:r>
            <w:r w:rsidRPr="00AD2FDD">
              <w:rPr>
                <w:sz w:val="16"/>
                <w:szCs w:val="16"/>
              </w:rPr>
              <w:t>%</w:t>
            </w:r>
          </w:p>
        </w:tc>
        <w:tc>
          <w:tcPr>
            <w:tcW w:w="828"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1D7750E4" w14:textId="77777777">
            <w:pPr>
              <w:keepNext/>
              <w:keepLines/>
              <w:jc w:val="right"/>
              <w:rPr>
                <w:sz w:val="16"/>
                <w:szCs w:val="16"/>
              </w:rPr>
            </w:pPr>
          </w:p>
        </w:tc>
        <w:tc>
          <w:tcPr>
            <w:tcW w:w="900" w:type="dxa"/>
            <w:gridSpan w:val="2"/>
            <w:tcBorders>
              <w:top w:val="single" w:color="auto" w:sz="4" w:space="0"/>
              <w:left w:val="nil"/>
              <w:bottom w:val="nil"/>
              <w:right w:val="nil"/>
            </w:tcBorders>
            <w:shd w:val="clear" w:color="auto" w:fill="FFFFFF" w:themeFill="background1"/>
            <w:tcMar>
              <w:left w:w="58" w:type="dxa"/>
              <w:right w:w="58" w:type="dxa"/>
            </w:tcMar>
            <w:vAlign w:val="center"/>
          </w:tcPr>
          <w:p w:rsidRPr="00AD2FDD" w:rsidR="00D520BD" w:rsidP="00982BD1" w:rsidRDefault="00D520BD" w14:paraId="0566F5A7" w14:textId="77777777">
            <w:pPr>
              <w:keepNext/>
              <w:keepLines/>
              <w:jc w:val="right"/>
              <w:rPr>
                <w:sz w:val="16"/>
                <w:szCs w:val="16"/>
              </w:rPr>
            </w:pPr>
          </w:p>
        </w:tc>
        <w:tc>
          <w:tcPr>
            <w:tcW w:w="117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59EAAB55" w14:textId="77777777">
            <w:pPr>
              <w:keepNext/>
              <w:keepLines/>
              <w:jc w:val="right"/>
              <w:rPr>
                <w:sz w:val="16"/>
                <w:szCs w:val="16"/>
              </w:rPr>
            </w:pPr>
          </w:p>
        </w:tc>
      </w:tr>
      <w:tr w:rsidRPr="00AD2FDD" w:rsidR="00D520BD" w:rsidTr="00A850AD" w14:paraId="6D23B164" w14:textId="77777777">
        <w:tc>
          <w:tcPr>
            <w:tcW w:w="2070" w:type="dxa"/>
            <w:gridSpan w:val="2"/>
            <w:vMerge/>
            <w:shd w:val="clear" w:color="auto" w:fill="FFFFFF" w:themeFill="background1"/>
            <w:tcMar>
              <w:left w:w="58" w:type="dxa"/>
              <w:right w:w="58" w:type="dxa"/>
            </w:tcMar>
            <w:vAlign w:val="center"/>
          </w:tcPr>
          <w:p w:rsidRPr="00AD2FDD" w:rsidR="00D520BD" w:rsidP="00982BD1" w:rsidRDefault="00D520BD" w14:paraId="30DD86FF" w14:textId="77777777">
            <w:pPr>
              <w:keepNext/>
              <w:keepLines/>
              <w:rPr>
                <w:sz w:val="16"/>
                <w:szCs w:val="16"/>
              </w:rPr>
            </w:pPr>
          </w:p>
        </w:tc>
        <w:tc>
          <w:tcPr>
            <w:tcW w:w="3690" w:type="dxa"/>
            <w:gridSpan w:val="3"/>
            <w:shd w:val="clear" w:color="auto" w:fill="FFFFFF" w:themeFill="background1"/>
            <w:tcMar>
              <w:left w:w="58" w:type="dxa"/>
              <w:right w:w="58" w:type="dxa"/>
            </w:tcMar>
            <w:vAlign w:val="center"/>
          </w:tcPr>
          <w:p w:rsidRPr="00AD2FDD" w:rsidR="00D520BD" w:rsidP="00982BD1" w:rsidRDefault="00D520BD" w14:paraId="3D90B08A" w14:textId="77777777">
            <w:pPr>
              <w:keepNext/>
              <w:keepLines/>
              <w:rPr>
                <w:sz w:val="16"/>
                <w:szCs w:val="16"/>
              </w:rPr>
            </w:pPr>
            <w:r w:rsidRPr="00AD2FDD">
              <w:rPr>
                <w:sz w:val="16"/>
                <w:szCs w:val="16"/>
              </w:rPr>
              <w:t>Projected percent increase in positive test rate</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72D1780B" w14:textId="1750E3C6">
            <w:pPr>
              <w:keepNext/>
              <w:keepLines/>
              <w:jc w:val="right"/>
              <w:rPr>
                <w:sz w:val="16"/>
                <w:szCs w:val="16"/>
              </w:rPr>
            </w:pPr>
            <w:r w:rsidRPr="00AD2FDD">
              <w:rPr>
                <w:sz w:val="16"/>
                <w:szCs w:val="16"/>
              </w:rPr>
              <w:t>1</w:t>
            </w:r>
            <w:r w:rsidRPr="00AD2FDD" w:rsidR="008A4AF2">
              <w:rPr>
                <w:sz w:val="16"/>
                <w:szCs w:val="16"/>
              </w:rPr>
              <w:t>9.66</w:t>
            </w:r>
            <w:r w:rsidRPr="00AD2FDD">
              <w:rPr>
                <w:sz w:val="16"/>
                <w:szCs w:val="16"/>
              </w:rPr>
              <w:t>%</w:t>
            </w:r>
          </w:p>
        </w:tc>
        <w:tc>
          <w:tcPr>
            <w:tcW w:w="828" w:type="dxa"/>
            <w:tcBorders>
              <w:top w:val="nil"/>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68F73CFF" w14:textId="77777777">
            <w:pPr>
              <w:keepNext/>
              <w:keepLines/>
              <w:jc w:val="right"/>
              <w:rPr>
                <w:sz w:val="16"/>
                <w:szCs w:val="16"/>
              </w:rPr>
            </w:pPr>
          </w:p>
        </w:tc>
        <w:tc>
          <w:tcPr>
            <w:tcW w:w="900" w:type="dxa"/>
            <w:gridSpan w:val="2"/>
            <w:tcBorders>
              <w:top w:val="nil"/>
              <w:left w:val="nil"/>
              <w:bottom w:val="nil"/>
              <w:right w:val="nil"/>
            </w:tcBorders>
            <w:shd w:val="clear" w:color="auto" w:fill="FFFFFF" w:themeFill="background1"/>
            <w:tcMar>
              <w:left w:w="58" w:type="dxa"/>
              <w:right w:w="58" w:type="dxa"/>
            </w:tcMar>
            <w:vAlign w:val="center"/>
          </w:tcPr>
          <w:p w:rsidRPr="00AD2FDD" w:rsidR="00D520BD" w:rsidP="00982BD1" w:rsidRDefault="00D520BD" w14:paraId="6FEBFE57" w14:textId="77777777">
            <w:pPr>
              <w:keepNext/>
              <w:keepLines/>
              <w:jc w:val="right"/>
              <w:rPr>
                <w:sz w:val="16"/>
                <w:szCs w:val="16"/>
              </w:rPr>
            </w:pPr>
          </w:p>
        </w:tc>
        <w:tc>
          <w:tcPr>
            <w:tcW w:w="1170" w:type="dxa"/>
            <w:tcBorders>
              <w:top w:val="nil"/>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4B894B89" w14:textId="77777777">
            <w:pPr>
              <w:keepNext/>
              <w:keepLines/>
              <w:jc w:val="right"/>
              <w:rPr>
                <w:sz w:val="16"/>
                <w:szCs w:val="16"/>
              </w:rPr>
            </w:pPr>
          </w:p>
        </w:tc>
      </w:tr>
      <w:tr w:rsidRPr="00AD2FDD" w:rsidR="00D520BD" w:rsidTr="00A850AD" w14:paraId="54F052CA" w14:textId="77777777">
        <w:tc>
          <w:tcPr>
            <w:tcW w:w="2070" w:type="dxa"/>
            <w:gridSpan w:val="2"/>
            <w:vMerge/>
            <w:shd w:val="clear" w:color="auto" w:fill="FFFFFF" w:themeFill="background1"/>
            <w:tcMar>
              <w:left w:w="58" w:type="dxa"/>
              <w:right w:w="58" w:type="dxa"/>
            </w:tcMar>
            <w:vAlign w:val="center"/>
          </w:tcPr>
          <w:p w:rsidRPr="00AD2FDD" w:rsidR="00D520BD" w:rsidP="00982BD1" w:rsidRDefault="00D520BD" w14:paraId="0D593561" w14:textId="77777777">
            <w:pPr>
              <w:keepNext/>
              <w:keepLines/>
              <w:rPr>
                <w:sz w:val="16"/>
                <w:szCs w:val="16"/>
              </w:rPr>
            </w:pPr>
          </w:p>
        </w:tc>
        <w:tc>
          <w:tcPr>
            <w:tcW w:w="3690" w:type="dxa"/>
            <w:gridSpan w:val="3"/>
            <w:shd w:val="clear" w:color="auto" w:fill="FFFFFF" w:themeFill="background1"/>
            <w:tcMar>
              <w:left w:w="58" w:type="dxa"/>
              <w:right w:w="58" w:type="dxa"/>
            </w:tcMar>
            <w:vAlign w:val="center"/>
          </w:tcPr>
          <w:p w:rsidRPr="00AD2FDD" w:rsidR="00D520BD" w:rsidP="00982BD1" w:rsidRDefault="00D520BD" w14:paraId="32617B05" w14:textId="6C195D2C">
            <w:pPr>
              <w:keepNext/>
              <w:keepLines/>
              <w:rPr>
                <w:sz w:val="16"/>
                <w:szCs w:val="16"/>
              </w:rPr>
            </w:pPr>
            <w:r w:rsidRPr="00AD2FDD">
              <w:rPr>
                <w:sz w:val="16"/>
                <w:szCs w:val="16"/>
              </w:rPr>
              <w:t>Initial and confirmatory drug testing</w:t>
            </w:r>
            <w:r w:rsidRPr="00AD2FDD" w:rsidR="00646A79">
              <w:rPr>
                <w:sz w:val="16"/>
                <w:szCs w:val="16"/>
              </w:rPr>
              <w:t>,</w:t>
            </w:r>
            <w:r w:rsidRPr="00AD2FDD">
              <w:rPr>
                <w:sz w:val="16"/>
                <w:szCs w:val="16"/>
              </w:rPr>
              <w:t xml:space="preserve"> HHS-certified laboratory </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60B92BCE" w14:textId="20F81510">
            <w:pPr>
              <w:keepNext/>
              <w:keepLines/>
              <w:jc w:val="right"/>
              <w:rPr>
                <w:sz w:val="16"/>
                <w:szCs w:val="16"/>
              </w:rPr>
            </w:pPr>
            <w:r w:rsidRPr="00AD2FDD">
              <w:rPr>
                <w:sz w:val="16"/>
                <w:szCs w:val="16"/>
              </w:rPr>
              <w:t>$</w:t>
            </w:r>
            <w:r w:rsidRPr="00AD2FDD" w:rsidR="00020E5C">
              <w:rPr>
                <w:sz w:val="16"/>
                <w:szCs w:val="16"/>
              </w:rPr>
              <w:t>28.83</w:t>
            </w:r>
          </w:p>
        </w:tc>
        <w:tc>
          <w:tcPr>
            <w:tcW w:w="828"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AD2FDD" w:rsidR="00D520BD" w:rsidP="00982BD1" w:rsidRDefault="00D520BD" w14:paraId="3AD2787F" w14:textId="77777777">
            <w:pPr>
              <w:keepNext/>
              <w:keepLines/>
              <w:jc w:val="right"/>
              <w:rPr>
                <w:sz w:val="16"/>
                <w:szCs w:val="16"/>
              </w:rPr>
            </w:pPr>
          </w:p>
        </w:tc>
        <w:tc>
          <w:tcPr>
            <w:tcW w:w="900" w:type="dxa"/>
            <w:gridSpan w:val="2"/>
            <w:tcBorders>
              <w:top w:val="nil"/>
              <w:left w:val="nil"/>
              <w:bottom w:val="single" w:color="auto" w:sz="4" w:space="0"/>
              <w:right w:val="nil"/>
            </w:tcBorders>
            <w:shd w:val="clear" w:color="auto" w:fill="FFFFFF" w:themeFill="background1"/>
            <w:tcMar>
              <w:left w:w="58" w:type="dxa"/>
              <w:right w:w="58" w:type="dxa"/>
            </w:tcMar>
            <w:vAlign w:val="center"/>
          </w:tcPr>
          <w:p w:rsidRPr="00AD2FDD" w:rsidR="00D520BD" w:rsidP="00982BD1" w:rsidRDefault="00D520BD" w14:paraId="376560E0" w14:textId="77777777">
            <w:pPr>
              <w:keepNext/>
              <w:keepLines/>
              <w:jc w:val="right"/>
              <w:rPr>
                <w:sz w:val="16"/>
                <w:szCs w:val="16"/>
              </w:rPr>
            </w:pPr>
          </w:p>
        </w:tc>
        <w:tc>
          <w:tcPr>
            <w:tcW w:w="117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AD2FDD" w:rsidR="00D520BD" w:rsidP="00982BD1" w:rsidRDefault="00D520BD" w14:paraId="474248D1" w14:textId="77777777">
            <w:pPr>
              <w:keepNext/>
              <w:keepLines/>
              <w:jc w:val="right"/>
              <w:rPr>
                <w:sz w:val="16"/>
                <w:szCs w:val="16"/>
              </w:rPr>
            </w:pPr>
          </w:p>
        </w:tc>
      </w:tr>
      <w:tr w:rsidRPr="00AD2FDD" w:rsidR="00D520BD" w:rsidTr="00A850AD" w14:paraId="3E492752" w14:textId="77777777">
        <w:tc>
          <w:tcPr>
            <w:tcW w:w="2070" w:type="dxa"/>
            <w:gridSpan w:val="2"/>
            <w:vMerge w:val="restart"/>
            <w:shd w:val="clear" w:color="auto" w:fill="FFFFFF" w:themeFill="background1"/>
            <w:tcMar>
              <w:left w:w="58" w:type="dxa"/>
              <w:right w:w="58" w:type="dxa"/>
            </w:tcMar>
            <w:vAlign w:val="center"/>
          </w:tcPr>
          <w:p w:rsidRPr="006F767F" w:rsidR="00D520BD" w:rsidP="00D13A4F" w:rsidRDefault="00D520BD" w14:paraId="22A4F98F" w14:textId="523FF436">
            <w:pPr>
              <w:keepNext/>
              <w:keepLines/>
              <w:ind w:left="88" w:right="-20"/>
              <w:rPr>
                <w:rFonts w:eastAsia="Arial"/>
                <w:sz w:val="16"/>
              </w:rPr>
            </w:pPr>
            <w:r w:rsidRPr="00AD2FDD">
              <w:rPr>
                <w:rFonts w:eastAsia="Arial" w:cs="Arial"/>
                <w:sz w:val="16"/>
                <w:szCs w:val="16"/>
              </w:rPr>
              <w:t>S</w:t>
            </w:r>
            <w:r w:rsidRPr="006F767F">
              <w:rPr>
                <w:rFonts w:eastAsia="Arial"/>
                <w:sz w:val="16"/>
              </w:rPr>
              <w:t>u</w:t>
            </w:r>
            <w:r w:rsidRPr="00AD2FDD">
              <w:rPr>
                <w:rFonts w:eastAsia="Arial" w:cs="Arial"/>
                <w:sz w:val="16"/>
                <w:szCs w:val="16"/>
              </w:rPr>
              <w:t>b</w:t>
            </w:r>
            <w:r w:rsidRPr="006F767F">
              <w:rPr>
                <w:rFonts w:eastAsia="Arial"/>
                <w:sz w:val="16"/>
              </w:rPr>
              <w:t>s</w:t>
            </w:r>
            <w:r w:rsidRPr="00AD2FDD">
              <w:rPr>
                <w:rFonts w:eastAsia="Arial" w:cs="Arial"/>
                <w:sz w:val="16"/>
                <w:szCs w:val="16"/>
              </w:rPr>
              <w:t>e</w:t>
            </w:r>
            <w:r w:rsidRPr="006F767F">
              <w:rPr>
                <w:rFonts w:eastAsia="Arial"/>
                <w:sz w:val="16"/>
              </w:rPr>
              <w:t>quen</w:t>
            </w:r>
            <w:r w:rsidRPr="00AD2FDD">
              <w:rPr>
                <w:rFonts w:eastAsia="Arial" w:cs="Arial"/>
                <w:sz w:val="16"/>
                <w:szCs w:val="16"/>
              </w:rPr>
              <w:t>t</w:t>
            </w:r>
            <w:r w:rsidRPr="006F767F">
              <w:rPr>
                <w:rFonts w:eastAsia="Arial"/>
                <w:sz w:val="16"/>
              </w:rPr>
              <w:t xml:space="preserve"> </w:t>
            </w:r>
            <w:r w:rsidRPr="00AD2FDD">
              <w:rPr>
                <w:rFonts w:eastAsia="Arial" w:cs="Arial"/>
                <w:sz w:val="16"/>
                <w:szCs w:val="16"/>
              </w:rPr>
              <w:t>a</w:t>
            </w:r>
            <w:r w:rsidRPr="006F767F">
              <w:rPr>
                <w:rFonts w:eastAsia="Arial"/>
                <w:sz w:val="16"/>
              </w:rPr>
              <w:t>c</w:t>
            </w:r>
            <w:r w:rsidRPr="00AD2FDD">
              <w:rPr>
                <w:rFonts w:eastAsia="Arial" w:cs="Arial"/>
                <w:sz w:val="16"/>
                <w:szCs w:val="16"/>
              </w:rPr>
              <w:t>t</w:t>
            </w:r>
            <w:r w:rsidRPr="006F767F">
              <w:rPr>
                <w:rFonts w:eastAsia="Arial"/>
                <w:sz w:val="16"/>
              </w:rPr>
              <w:t>ion</w:t>
            </w:r>
            <w:r w:rsidRPr="00AD2FDD">
              <w:rPr>
                <w:rFonts w:eastAsia="Arial" w:cs="Arial"/>
                <w:sz w:val="16"/>
                <w:szCs w:val="16"/>
              </w:rPr>
              <w:t>s</w:t>
            </w:r>
            <w:r w:rsidRPr="006F767F">
              <w:rPr>
                <w:rFonts w:eastAsia="Arial"/>
                <w:sz w:val="16"/>
              </w:rPr>
              <w:t xml:space="preserve"> </w:t>
            </w:r>
            <w:r w:rsidRPr="00AD2FDD">
              <w:rPr>
                <w:rFonts w:eastAsia="Arial" w:cs="Arial"/>
                <w:sz w:val="16"/>
                <w:szCs w:val="16"/>
              </w:rPr>
              <w:t>by</w:t>
            </w:r>
            <w:r w:rsidRPr="006F767F">
              <w:rPr>
                <w:rFonts w:eastAsia="Arial"/>
                <w:sz w:val="16"/>
              </w:rPr>
              <w:t xml:space="preserve"> </w:t>
            </w:r>
            <w:r w:rsidRPr="00AD2FDD">
              <w:rPr>
                <w:rFonts w:eastAsia="Arial" w:cs="Arial"/>
                <w:sz w:val="16"/>
                <w:szCs w:val="16"/>
              </w:rPr>
              <w:t>FFD</w:t>
            </w:r>
            <w:r w:rsidRPr="006F767F">
              <w:rPr>
                <w:rFonts w:eastAsia="Arial"/>
                <w:sz w:val="16"/>
              </w:rPr>
              <w:t xml:space="preserve"> program </w:t>
            </w:r>
            <w:r w:rsidRPr="00AD2FDD">
              <w:rPr>
                <w:rFonts w:eastAsia="Arial" w:cs="Arial"/>
                <w:sz w:val="16"/>
                <w:szCs w:val="16"/>
              </w:rPr>
              <w:t>per</w:t>
            </w:r>
            <w:r w:rsidRPr="006F767F">
              <w:rPr>
                <w:rFonts w:eastAsia="Arial"/>
                <w:sz w:val="16"/>
              </w:rPr>
              <w:t>so</w:t>
            </w:r>
            <w:r w:rsidRPr="00AD2FDD">
              <w:rPr>
                <w:rFonts w:eastAsia="Arial" w:cs="Arial"/>
                <w:sz w:val="16"/>
                <w:szCs w:val="16"/>
              </w:rPr>
              <w:t>n</w:t>
            </w:r>
            <w:r w:rsidRPr="006F767F">
              <w:rPr>
                <w:rFonts w:eastAsia="Arial"/>
                <w:sz w:val="16"/>
              </w:rPr>
              <w:t>n</w:t>
            </w:r>
            <w:r w:rsidRPr="00AD2FDD">
              <w:rPr>
                <w:rFonts w:eastAsia="Arial" w:cs="Arial"/>
                <w:sz w:val="16"/>
                <w:szCs w:val="16"/>
              </w:rPr>
              <w:t>el</w:t>
            </w:r>
            <w:r w:rsidRPr="006F767F">
              <w:rPr>
                <w:rFonts w:eastAsia="Arial"/>
                <w:sz w:val="16"/>
              </w:rPr>
              <w:t xml:space="preserve"> </w:t>
            </w:r>
            <w:r w:rsidRPr="00AD2FDD">
              <w:rPr>
                <w:rFonts w:eastAsia="Arial" w:cs="Arial"/>
                <w:sz w:val="16"/>
                <w:szCs w:val="16"/>
              </w:rPr>
              <w:t>for</w:t>
            </w:r>
            <w:r w:rsidRPr="006F767F">
              <w:rPr>
                <w:rFonts w:eastAsia="Arial"/>
                <w:sz w:val="16"/>
              </w:rPr>
              <w:t xml:space="preserve"> </w:t>
            </w:r>
            <w:r w:rsidRPr="00AD2FDD">
              <w:rPr>
                <w:rFonts w:eastAsia="Arial" w:cs="Arial"/>
                <w:sz w:val="16"/>
                <w:szCs w:val="16"/>
              </w:rPr>
              <w:t>add</w:t>
            </w:r>
            <w:r w:rsidRPr="006F767F">
              <w:rPr>
                <w:rFonts w:eastAsia="Arial"/>
                <w:sz w:val="16"/>
              </w:rPr>
              <w:t>i</w:t>
            </w:r>
            <w:r w:rsidRPr="00AD2FDD">
              <w:rPr>
                <w:rFonts w:eastAsia="Arial" w:cs="Arial"/>
                <w:sz w:val="16"/>
                <w:szCs w:val="16"/>
              </w:rPr>
              <w:t>t</w:t>
            </w:r>
            <w:r w:rsidRPr="006F767F">
              <w:rPr>
                <w:rFonts w:eastAsia="Arial"/>
                <w:sz w:val="16"/>
              </w:rPr>
              <w:t>ion</w:t>
            </w:r>
            <w:r w:rsidRPr="00AD2FDD">
              <w:rPr>
                <w:rFonts w:eastAsia="Arial" w:cs="Arial"/>
                <w:sz w:val="16"/>
                <w:szCs w:val="16"/>
              </w:rPr>
              <w:t>al</w:t>
            </w:r>
            <w:r w:rsidRPr="006F767F">
              <w:rPr>
                <w:rFonts w:eastAsia="Arial"/>
                <w:sz w:val="16"/>
              </w:rPr>
              <w:t xml:space="preserve"> cocaine </w:t>
            </w:r>
            <w:r w:rsidRPr="00AD2FDD">
              <w:rPr>
                <w:rFonts w:eastAsia="Arial" w:cs="Arial"/>
                <w:sz w:val="16"/>
                <w:szCs w:val="16"/>
              </w:rPr>
              <w:t>po</w:t>
            </w:r>
            <w:r w:rsidRPr="006F767F">
              <w:rPr>
                <w:rFonts w:eastAsia="Arial"/>
                <w:sz w:val="16"/>
              </w:rPr>
              <w:t>sitiv</w:t>
            </w:r>
            <w:r w:rsidRPr="00AD2FDD">
              <w:rPr>
                <w:rFonts w:eastAsia="Arial" w:cs="Arial"/>
                <w:sz w:val="16"/>
                <w:szCs w:val="16"/>
              </w:rPr>
              <w:t>e</w:t>
            </w:r>
            <w:r w:rsidRPr="006F767F">
              <w:rPr>
                <w:rFonts w:eastAsia="Arial"/>
                <w:sz w:val="16"/>
              </w:rPr>
              <w:t xml:space="preserve"> </w:t>
            </w:r>
            <w:r w:rsidRPr="00AD2FDD">
              <w:rPr>
                <w:rFonts w:eastAsia="Arial" w:cs="Arial"/>
                <w:sz w:val="16"/>
                <w:szCs w:val="16"/>
              </w:rPr>
              <w:t>test</w:t>
            </w:r>
            <w:r w:rsidRPr="006F767F">
              <w:rPr>
                <w:rFonts w:eastAsia="Arial"/>
                <w:sz w:val="16"/>
              </w:rPr>
              <w:t xml:space="preserve"> </w:t>
            </w:r>
            <w:r w:rsidRPr="00AD2FDD">
              <w:rPr>
                <w:rFonts w:eastAsia="Arial" w:cs="Arial"/>
                <w:sz w:val="16"/>
                <w:szCs w:val="16"/>
              </w:rPr>
              <w:t>re</w:t>
            </w:r>
            <w:r w:rsidRPr="006F767F">
              <w:rPr>
                <w:rFonts w:eastAsia="Arial"/>
                <w:sz w:val="16"/>
              </w:rPr>
              <w:t>sul</w:t>
            </w:r>
            <w:r w:rsidRPr="00AD2FDD">
              <w:rPr>
                <w:rFonts w:eastAsia="Arial" w:cs="Arial"/>
                <w:sz w:val="16"/>
                <w:szCs w:val="16"/>
              </w:rPr>
              <w:t>ts</w:t>
            </w:r>
          </w:p>
          <w:p w:rsidRPr="00AD2FDD" w:rsidR="00D520BD" w:rsidP="007E2603" w:rsidRDefault="00D520BD" w14:paraId="2E06A530" w14:textId="77777777">
            <w:pPr>
              <w:keepNext/>
              <w:keepLines/>
              <w:ind w:left="88" w:right="-20"/>
              <w:rPr>
                <w:sz w:val="16"/>
                <w:szCs w:val="16"/>
              </w:rPr>
            </w:pPr>
            <w:r w:rsidRPr="006F767F">
              <w:rPr>
                <w:rFonts w:eastAsia="Arial"/>
                <w:sz w:val="16"/>
              </w:rPr>
              <w:t>(</w:t>
            </w:r>
            <w:r w:rsidRPr="00AD2FDD">
              <w:rPr>
                <w:rFonts w:eastAsia="Arial" w:cs="Arial"/>
                <w:sz w:val="16"/>
                <w:szCs w:val="16"/>
              </w:rPr>
              <w:t>a</w:t>
            </w:r>
            <w:r w:rsidRPr="006F767F">
              <w:rPr>
                <w:rFonts w:eastAsia="Arial"/>
                <w:sz w:val="16"/>
              </w:rPr>
              <w:t>l</w:t>
            </w:r>
            <w:r w:rsidRPr="00AD2FDD">
              <w:rPr>
                <w:rFonts w:eastAsia="Arial" w:cs="Arial"/>
                <w:sz w:val="16"/>
                <w:szCs w:val="16"/>
              </w:rPr>
              <w:t>l s</w:t>
            </w:r>
            <w:r w:rsidRPr="006F767F">
              <w:rPr>
                <w:rFonts w:eastAsia="Arial"/>
                <w:sz w:val="16"/>
              </w:rPr>
              <w:t>ite</w:t>
            </w:r>
            <w:r w:rsidRPr="00AD2FDD">
              <w:rPr>
                <w:rFonts w:eastAsia="Arial" w:cs="Arial"/>
                <w:sz w:val="16"/>
                <w:szCs w:val="16"/>
              </w:rPr>
              <w:t>s)</w:t>
            </w:r>
          </w:p>
        </w:tc>
        <w:tc>
          <w:tcPr>
            <w:tcW w:w="3690" w:type="dxa"/>
            <w:gridSpan w:val="3"/>
            <w:shd w:val="clear" w:color="auto" w:fill="FFFFFF" w:themeFill="background1"/>
            <w:tcMar>
              <w:left w:w="58" w:type="dxa"/>
              <w:right w:w="58" w:type="dxa"/>
            </w:tcMar>
            <w:vAlign w:val="center"/>
          </w:tcPr>
          <w:p w:rsidRPr="00AD2FDD" w:rsidR="00D520BD" w:rsidP="00982BD1" w:rsidRDefault="00D520BD" w14:paraId="4FFBEBCB" w14:textId="77777777">
            <w:pPr>
              <w:keepNext/>
              <w:keepLines/>
              <w:rPr>
                <w:sz w:val="16"/>
                <w:szCs w:val="16"/>
              </w:rPr>
            </w:pPr>
            <w:r w:rsidRPr="00AD2FDD">
              <w:rPr>
                <w:sz w:val="16"/>
                <w:szCs w:val="16"/>
              </w:rPr>
              <w:t>Number of drug tests conducted per site per year under 10 CFR Part 26</w:t>
            </w:r>
          </w:p>
        </w:tc>
        <w:tc>
          <w:tcPr>
            <w:tcW w:w="810" w:type="dxa"/>
            <w:gridSpan w:val="2"/>
            <w:shd w:val="clear" w:color="auto" w:fill="FFFFFF" w:themeFill="background1"/>
            <w:tcMar>
              <w:left w:w="58" w:type="dxa"/>
              <w:right w:w="58" w:type="dxa"/>
            </w:tcMar>
            <w:vAlign w:val="center"/>
          </w:tcPr>
          <w:p w:rsidRPr="00AD2FDD" w:rsidR="00D520BD" w:rsidP="00982BD1" w:rsidRDefault="00D520BD" w14:paraId="0E919DEB" w14:textId="27A2778F">
            <w:pPr>
              <w:keepNext/>
              <w:keepLines/>
              <w:jc w:val="right"/>
              <w:rPr>
                <w:sz w:val="16"/>
                <w:szCs w:val="16"/>
              </w:rPr>
            </w:pPr>
            <w:r w:rsidRPr="00AD2FDD">
              <w:rPr>
                <w:sz w:val="16"/>
                <w:szCs w:val="16"/>
              </w:rPr>
              <w:t>2</w:t>
            </w:r>
            <w:r w:rsidRPr="00AD2FDD" w:rsidR="00646A79">
              <w:rPr>
                <w:sz w:val="16"/>
                <w:szCs w:val="16"/>
              </w:rPr>
              <w:t>,</w:t>
            </w:r>
            <w:r w:rsidRPr="00AD2FDD" w:rsidR="008A4AF2">
              <w:rPr>
                <w:sz w:val="16"/>
                <w:szCs w:val="16"/>
              </w:rPr>
              <w:t>257</w:t>
            </w:r>
          </w:p>
        </w:tc>
        <w:tc>
          <w:tcPr>
            <w:tcW w:w="828" w:type="dxa"/>
            <w:tcBorders>
              <w:top w:val="single" w:color="auto" w:sz="4" w:space="0"/>
              <w:bottom w:val="single" w:color="auto" w:sz="4" w:space="0"/>
            </w:tcBorders>
            <w:shd w:val="clear" w:color="auto" w:fill="FFFFFF" w:themeFill="background1"/>
            <w:tcMar>
              <w:left w:w="58" w:type="dxa"/>
              <w:right w:w="58" w:type="dxa"/>
            </w:tcMar>
            <w:vAlign w:val="center"/>
          </w:tcPr>
          <w:p w:rsidRPr="00AD2FDD" w:rsidR="00D520BD" w:rsidP="00982BD1" w:rsidRDefault="00D520BD" w14:paraId="03640BAE" w14:textId="17DE2034">
            <w:pPr>
              <w:keepNext/>
              <w:keepLines/>
              <w:jc w:val="right"/>
              <w:rPr>
                <w:sz w:val="16"/>
                <w:szCs w:val="16"/>
              </w:rPr>
            </w:pPr>
            <w:r w:rsidRPr="00AD2FDD">
              <w:rPr>
                <w:sz w:val="16"/>
                <w:szCs w:val="16"/>
              </w:rPr>
              <w:t>($</w:t>
            </w:r>
            <w:r w:rsidRPr="00AD2FDD" w:rsidR="007D5FA8">
              <w:rPr>
                <w:sz w:val="16"/>
                <w:szCs w:val="16"/>
              </w:rPr>
              <w:t>114</w:t>
            </w:r>
            <w:r w:rsidRPr="00AD2FDD">
              <w:rPr>
                <w:sz w:val="16"/>
                <w:szCs w:val="16"/>
              </w:rPr>
              <w:t>)</w:t>
            </w:r>
          </w:p>
        </w:tc>
        <w:tc>
          <w:tcPr>
            <w:tcW w:w="900" w:type="dxa"/>
            <w:gridSpan w:val="2"/>
            <w:tcBorders>
              <w:top w:val="single" w:color="auto" w:sz="4" w:space="0"/>
              <w:bottom w:val="single" w:color="auto" w:sz="4" w:space="0"/>
            </w:tcBorders>
            <w:shd w:val="clear" w:color="auto" w:fill="FFFFFF" w:themeFill="background1"/>
            <w:tcMar>
              <w:left w:w="58" w:type="dxa"/>
              <w:right w:w="58" w:type="dxa"/>
            </w:tcMar>
            <w:vAlign w:val="center"/>
          </w:tcPr>
          <w:p w:rsidRPr="00AD2FDD" w:rsidR="00D520BD" w:rsidP="00982BD1" w:rsidRDefault="008A4AF2" w14:paraId="3020B461" w14:textId="151D6695">
            <w:pPr>
              <w:keepNext/>
              <w:keepLines/>
              <w:jc w:val="right"/>
              <w:rPr>
                <w:sz w:val="16"/>
                <w:szCs w:val="16"/>
              </w:rPr>
            </w:pPr>
            <w:r w:rsidRPr="00AD2FDD">
              <w:rPr>
                <w:sz w:val="16"/>
                <w:szCs w:val="16"/>
              </w:rPr>
              <w:t>59</w:t>
            </w:r>
          </w:p>
        </w:tc>
        <w:tc>
          <w:tcPr>
            <w:tcW w:w="1170" w:type="dxa"/>
            <w:tcBorders>
              <w:top w:val="single" w:color="auto" w:sz="4" w:space="0"/>
              <w:bottom w:val="single" w:color="auto" w:sz="4" w:space="0"/>
            </w:tcBorders>
            <w:shd w:val="clear" w:color="auto" w:fill="FFFFFF" w:themeFill="background1"/>
            <w:tcMar>
              <w:left w:w="58" w:type="dxa"/>
              <w:right w:w="58" w:type="dxa"/>
            </w:tcMar>
            <w:vAlign w:val="center"/>
          </w:tcPr>
          <w:p w:rsidRPr="00AD2FDD" w:rsidR="00D520BD" w:rsidP="00982BD1" w:rsidRDefault="00D520BD" w14:paraId="71B4C07B" w14:textId="40BC863C">
            <w:pPr>
              <w:keepNext/>
              <w:keepLines/>
              <w:jc w:val="right"/>
              <w:rPr>
                <w:sz w:val="16"/>
                <w:szCs w:val="16"/>
              </w:rPr>
            </w:pPr>
            <w:r w:rsidRPr="00AD2FDD">
              <w:rPr>
                <w:sz w:val="16"/>
                <w:szCs w:val="16"/>
              </w:rPr>
              <w:t>($</w:t>
            </w:r>
            <w:r w:rsidRPr="00AD2FDD" w:rsidR="007D5FA8">
              <w:rPr>
                <w:sz w:val="16"/>
                <w:szCs w:val="16"/>
              </w:rPr>
              <w:t>6,726</w:t>
            </w:r>
            <w:r w:rsidRPr="00AD2FDD">
              <w:rPr>
                <w:sz w:val="16"/>
                <w:szCs w:val="16"/>
              </w:rPr>
              <w:t>)</w:t>
            </w:r>
          </w:p>
        </w:tc>
      </w:tr>
      <w:tr w:rsidRPr="00AD2FDD" w:rsidR="00D520BD" w:rsidTr="00A850AD" w14:paraId="30E639F9" w14:textId="77777777">
        <w:tc>
          <w:tcPr>
            <w:tcW w:w="2070" w:type="dxa"/>
            <w:gridSpan w:val="2"/>
            <w:vMerge/>
            <w:shd w:val="clear" w:color="auto" w:fill="FFFFFF" w:themeFill="background1"/>
            <w:tcMar>
              <w:left w:w="58" w:type="dxa"/>
              <w:right w:w="58" w:type="dxa"/>
            </w:tcMar>
          </w:tcPr>
          <w:p w:rsidRPr="00AD2FDD" w:rsidR="00D520BD" w:rsidP="00982BD1" w:rsidRDefault="00D520BD" w14:paraId="1776395A" w14:textId="77777777">
            <w:pPr>
              <w:keepNext/>
              <w:keepLines/>
              <w:rPr>
                <w:sz w:val="16"/>
                <w:szCs w:val="16"/>
              </w:rPr>
            </w:pPr>
          </w:p>
        </w:tc>
        <w:tc>
          <w:tcPr>
            <w:tcW w:w="3690" w:type="dxa"/>
            <w:gridSpan w:val="3"/>
            <w:shd w:val="clear" w:color="auto" w:fill="FFFFFF" w:themeFill="background1"/>
            <w:tcMar>
              <w:left w:w="58" w:type="dxa"/>
              <w:right w:w="58" w:type="dxa"/>
            </w:tcMar>
            <w:vAlign w:val="center"/>
          </w:tcPr>
          <w:p w:rsidRPr="00AD2FDD" w:rsidR="00D520BD" w:rsidP="00982BD1" w:rsidRDefault="00D520BD" w14:paraId="2D82ECE4" w14:textId="77777777">
            <w:pPr>
              <w:keepNext/>
              <w:keepLines/>
              <w:rPr>
                <w:sz w:val="16"/>
                <w:szCs w:val="16"/>
              </w:rPr>
            </w:pPr>
            <w:r w:rsidRPr="00AD2FDD">
              <w:rPr>
                <w:sz w:val="16"/>
                <w:szCs w:val="16"/>
              </w:rPr>
              <w:t>FFD current positive testing rate</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12C6AD57" w14:textId="6E1956FC">
            <w:pPr>
              <w:keepNext/>
              <w:keepLines/>
              <w:jc w:val="right"/>
              <w:rPr>
                <w:sz w:val="16"/>
                <w:szCs w:val="16"/>
              </w:rPr>
            </w:pPr>
            <w:r w:rsidRPr="00AD2FDD">
              <w:rPr>
                <w:sz w:val="16"/>
                <w:szCs w:val="16"/>
              </w:rPr>
              <w:t>0.0</w:t>
            </w:r>
            <w:r w:rsidRPr="00AD2FDD" w:rsidR="00972AB8">
              <w:rPr>
                <w:sz w:val="16"/>
                <w:szCs w:val="16"/>
              </w:rPr>
              <w:t>83</w:t>
            </w:r>
            <w:r w:rsidRPr="00AD2FDD">
              <w:rPr>
                <w:sz w:val="16"/>
                <w:szCs w:val="16"/>
              </w:rPr>
              <w:t>%</w:t>
            </w:r>
          </w:p>
        </w:tc>
        <w:tc>
          <w:tcPr>
            <w:tcW w:w="828"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6AF49328" w14:textId="77777777">
            <w:pPr>
              <w:keepNext/>
              <w:keepLines/>
              <w:jc w:val="right"/>
              <w:rPr>
                <w:sz w:val="16"/>
                <w:szCs w:val="16"/>
              </w:rPr>
            </w:pPr>
          </w:p>
        </w:tc>
        <w:tc>
          <w:tcPr>
            <w:tcW w:w="900" w:type="dxa"/>
            <w:gridSpan w:val="2"/>
            <w:tcBorders>
              <w:top w:val="single" w:color="auto" w:sz="4" w:space="0"/>
              <w:left w:val="nil"/>
              <w:bottom w:val="nil"/>
              <w:right w:val="nil"/>
            </w:tcBorders>
            <w:shd w:val="clear" w:color="auto" w:fill="FFFFFF" w:themeFill="background1"/>
            <w:tcMar>
              <w:left w:w="58" w:type="dxa"/>
              <w:right w:w="58" w:type="dxa"/>
            </w:tcMar>
            <w:vAlign w:val="center"/>
          </w:tcPr>
          <w:p w:rsidRPr="00AD2FDD" w:rsidR="00D520BD" w:rsidP="00982BD1" w:rsidRDefault="00D520BD" w14:paraId="43BE5A58" w14:textId="77777777">
            <w:pPr>
              <w:keepNext/>
              <w:keepLines/>
              <w:jc w:val="right"/>
              <w:rPr>
                <w:sz w:val="16"/>
                <w:szCs w:val="16"/>
              </w:rPr>
            </w:pPr>
          </w:p>
        </w:tc>
        <w:tc>
          <w:tcPr>
            <w:tcW w:w="117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789CC2B3" w14:textId="77777777">
            <w:pPr>
              <w:keepNext/>
              <w:keepLines/>
              <w:jc w:val="right"/>
              <w:rPr>
                <w:sz w:val="16"/>
                <w:szCs w:val="16"/>
              </w:rPr>
            </w:pPr>
          </w:p>
        </w:tc>
      </w:tr>
      <w:tr w:rsidRPr="00AD2FDD" w:rsidR="00D520BD" w:rsidTr="00A850AD" w14:paraId="1A969F52" w14:textId="77777777">
        <w:tc>
          <w:tcPr>
            <w:tcW w:w="2070" w:type="dxa"/>
            <w:gridSpan w:val="2"/>
            <w:vMerge/>
            <w:shd w:val="clear" w:color="auto" w:fill="FFFFFF" w:themeFill="background1"/>
            <w:tcMar>
              <w:left w:w="58" w:type="dxa"/>
              <w:right w:w="58" w:type="dxa"/>
            </w:tcMar>
          </w:tcPr>
          <w:p w:rsidRPr="00AD2FDD" w:rsidR="00D520BD" w:rsidP="00982BD1" w:rsidRDefault="00D520BD" w14:paraId="0B4AE37F" w14:textId="77777777">
            <w:pPr>
              <w:keepNext/>
              <w:keepLines/>
              <w:rPr>
                <w:sz w:val="16"/>
                <w:szCs w:val="16"/>
              </w:rPr>
            </w:pPr>
          </w:p>
        </w:tc>
        <w:tc>
          <w:tcPr>
            <w:tcW w:w="3690" w:type="dxa"/>
            <w:gridSpan w:val="3"/>
            <w:tcBorders>
              <w:bottom w:val="single" w:color="auto" w:sz="4" w:space="0"/>
            </w:tcBorders>
            <w:shd w:val="clear" w:color="auto" w:fill="FFFFFF" w:themeFill="background1"/>
            <w:tcMar>
              <w:left w:w="58" w:type="dxa"/>
              <w:right w:w="58" w:type="dxa"/>
            </w:tcMar>
            <w:vAlign w:val="center"/>
          </w:tcPr>
          <w:p w:rsidRPr="00AD2FDD" w:rsidR="00D520BD" w:rsidP="00982BD1" w:rsidRDefault="00D520BD" w14:paraId="5306310A" w14:textId="77777777">
            <w:pPr>
              <w:keepNext/>
              <w:keepLines/>
              <w:rPr>
                <w:sz w:val="16"/>
                <w:szCs w:val="16"/>
              </w:rPr>
            </w:pPr>
            <w:r w:rsidRPr="00AD2FDD">
              <w:rPr>
                <w:sz w:val="16"/>
                <w:szCs w:val="16"/>
              </w:rPr>
              <w:t>Projected percent increase in positive test rate</w:t>
            </w:r>
          </w:p>
        </w:tc>
        <w:tc>
          <w:tcPr>
            <w:tcW w:w="810" w:type="dxa"/>
            <w:gridSpan w:val="2"/>
            <w:tcBorders>
              <w:bottom w:val="single" w:color="auto" w:sz="4" w:space="0"/>
              <w:right w:val="single" w:color="auto" w:sz="4" w:space="0"/>
            </w:tcBorders>
            <w:shd w:val="clear" w:color="auto" w:fill="FFFFFF" w:themeFill="background1"/>
            <w:tcMar>
              <w:left w:w="58" w:type="dxa"/>
              <w:right w:w="58" w:type="dxa"/>
            </w:tcMar>
            <w:vAlign w:val="center"/>
          </w:tcPr>
          <w:p w:rsidRPr="00AD2FDD" w:rsidR="00D520BD" w:rsidP="00982BD1" w:rsidRDefault="00972AB8" w14:paraId="2F94256D" w14:textId="5C350085">
            <w:pPr>
              <w:keepNext/>
              <w:keepLines/>
              <w:jc w:val="right"/>
              <w:rPr>
                <w:sz w:val="16"/>
                <w:szCs w:val="16"/>
              </w:rPr>
            </w:pPr>
            <w:r w:rsidRPr="00AD2FDD">
              <w:rPr>
                <w:sz w:val="16"/>
                <w:szCs w:val="16"/>
              </w:rPr>
              <w:t>19.66</w:t>
            </w:r>
            <w:r w:rsidRPr="00AD2FDD" w:rsidR="00D520BD">
              <w:rPr>
                <w:sz w:val="16"/>
                <w:szCs w:val="16"/>
              </w:rPr>
              <w:t>%</w:t>
            </w:r>
          </w:p>
        </w:tc>
        <w:tc>
          <w:tcPr>
            <w:tcW w:w="828" w:type="dxa"/>
            <w:tcBorders>
              <w:top w:val="nil"/>
              <w:left w:val="single" w:color="auto" w:sz="4" w:space="0"/>
              <w:bottom w:val="nil"/>
              <w:right w:val="nil"/>
            </w:tcBorders>
            <w:shd w:val="clear" w:color="auto" w:fill="FFFFFF" w:themeFill="background1"/>
            <w:tcMar>
              <w:left w:w="58" w:type="dxa"/>
              <w:right w:w="58" w:type="dxa"/>
            </w:tcMar>
            <w:vAlign w:val="center"/>
          </w:tcPr>
          <w:p w:rsidRPr="00AD2FDD" w:rsidR="00D520BD" w:rsidP="00982BD1" w:rsidRDefault="00D520BD" w14:paraId="616C8370" w14:textId="77777777">
            <w:pPr>
              <w:keepNext/>
              <w:keepLines/>
              <w:jc w:val="right"/>
              <w:rPr>
                <w:sz w:val="16"/>
                <w:szCs w:val="16"/>
              </w:rPr>
            </w:pPr>
          </w:p>
        </w:tc>
        <w:tc>
          <w:tcPr>
            <w:tcW w:w="900" w:type="dxa"/>
            <w:gridSpan w:val="2"/>
            <w:tcBorders>
              <w:top w:val="nil"/>
              <w:left w:val="nil"/>
              <w:bottom w:val="nil"/>
              <w:right w:val="nil"/>
            </w:tcBorders>
            <w:shd w:val="clear" w:color="auto" w:fill="FFFFFF" w:themeFill="background1"/>
            <w:tcMar>
              <w:left w:w="58" w:type="dxa"/>
              <w:right w:w="58" w:type="dxa"/>
            </w:tcMar>
            <w:vAlign w:val="center"/>
          </w:tcPr>
          <w:p w:rsidRPr="00AD2FDD" w:rsidR="00D520BD" w:rsidP="00982BD1" w:rsidRDefault="00D520BD" w14:paraId="1AFB4C69" w14:textId="77777777">
            <w:pPr>
              <w:keepNext/>
              <w:keepLines/>
              <w:jc w:val="right"/>
              <w:rPr>
                <w:sz w:val="16"/>
                <w:szCs w:val="16"/>
              </w:rPr>
            </w:pPr>
          </w:p>
        </w:tc>
        <w:tc>
          <w:tcPr>
            <w:tcW w:w="1170" w:type="dxa"/>
            <w:tcBorders>
              <w:top w:val="nil"/>
              <w:left w:val="nil"/>
              <w:bottom w:val="nil"/>
              <w:right w:val="single" w:color="auto" w:sz="4" w:space="0"/>
            </w:tcBorders>
            <w:shd w:val="clear" w:color="auto" w:fill="FFFFFF" w:themeFill="background1"/>
            <w:tcMar>
              <w:left w:w="58" w:type="dxa"/>
              <w:right w:w="58" w:type="dxa"/>
            </w:tcMar>
            <w:vAlign w:val="center"/>
          </w:tcPr>
          <w:p w:rsidRPr="00AD2FDD" w:rsidR="00D520BD" w:rsidP="00982BD1" w:rsidRDefault="00D520BD" w14:paraId="35AF2120" w14:textId="77777777">
            <w:pPr>
              <w:keepNext/>
              <w:keepLines/>
              <w:jc w:val="right"/>
              <w:rPr>
                <w:sz w:val="16"/>
                <w:szCs w:val="16"/>
              </w:rPr>
            </w:pPr>
          </w:p>
        </w:tc>
      </w:tr>
      <w:tr w:rsidRPr="00AD2FDD" w:rsidR="00D520BD" w:rsidTr="00A850AD" w14:paraId="6CA24549" w14:textId="77777777">
        <w:tc>
          <w:tcPr>
            <w:tcW w:w="2070" w:type="dxa"/>
            <w:gridSpan w:val="2"/>
            <w:vMerge/>
            <w:shd w:val="clear" w:color="auto" w:fill="FFFFFF" w:themeFill="background1"/>
            <w:tcMar>
              <w:left w:w="58" w:type="dxa"/>
              <w:right w:w="58" w:type="dxa"/>
            </w:tcMar>
          </w:tcPr>
          <w:p w:rsidRPr="00AD2FDD" w:rsidR="00D520BD" w:rsidP="00982BD1" w:rsidRDefault="00D520BD" w14:paraId="1F6AC656" w14:textId="77777777">
            <w:pPr>
              <w:keepNext/>
              <w:keepLines/>
              <w:rPr>
                <w:sz w:val="16"/>
                <w:szCs w:val="16"/>
              </w:rPr>
            </w:pPr>
          </w:p>
        </w:tc>
        <w:tc>
          <w:tcPr>
            <w:tcW w:w="3690" w:type="dxa"/>
            <w:gridSpan w:val="3"/>
            <w:shd w:val="clear" w:color="auto" w:fill="FFFFFF" w:themeFill="background1"/>
            <w:tcMar>
              <w:left w:w="58" w:type="dxa"/>
              <w:right w:w="58" w:type="dxa"/>
            </w:tcMar>
            <w:vAlign w:val="center"/>
          </w:tcPr>
          <w:p w:rsidRPr="00AD2FDD" w:rsidR="00D520BD" w:rsidP="00982BD1" w:rsidRDefault="00D520BD" w14:paraId="5E4797E6" w14:textId="77777777">
            <w:pPr>
              <w:keepNext/>
              <w:keepLines/>
              <w:rPr>
                <w:sz w:val="16"/>
                <w:szCs w:val="16"/>
              </w:rPr>
            </w:pPr>
            <w:r w:rsidRPr="00AD2FDD">
              <w:rPr>
                <w:sz w:val="16"/>
                <w:szCs w:val="16"/>
              </w:rPr>
              <w:t>Cost of subsequent actions (per positive result)</w:t>
            </w:r>
          </w:p>
        </w:tc>
        <w:tc>
          <w:tcPr>
            <w:tcW w:w="810" w:type="dxa"/>
            <w:gridSpan w:val="2"/>
            <w:tcBorders>
              <w:right w:val="single" w:color="auto" w:sz="4" w:space="0"/>
            </w:tcBorders>
            <w:shd w:val="clear" w:color="auto" w:fill="FFFFFF" w:themeFill="background1"/>
            <w:tcMar>
              <w:left w:w="58" w:type="dxa"/>
              <w:right w:w="58" w:type="dxa"/>
            </w:tcMar>
            <w:vAlign w:val="center"/>
          </w:tcPr>
          <w:p w:rsidRPr="00AD2FDD" w:rsidR="00D520BD" w:rsidP="00982BD1" w:rsidRDefault="00D520BD" w14:paraId="7B9B3768" w14:textId="0924377A">
            <w:pPr>
              <w:keepNext/>
              <w:keepLines/>
              <w:jc w:val="right"/>
              <w:rPr>
                <w:sz w:val="16"/>
                <w:szCs w:val="16"/>
              </w:rPr>
            </w:pPr>
            <w:r w:rsidRPr="00AD2FDD">
              <w:rPr>
                <w:sz w:val="16"/>
                <w:szCs w:val="16"/>
              </w:rPr>
              <w:t>$</w:t>
            </w:r>
            <w:r w:rsidRPr="00AD2FDD" w:rsidR="00F96546">
              <w:rPr>
                <w:sz w:val="16"/>
                <w:szCs w:val="16"/>
              </w:rPr>
              <w:t>310.66</w:t>
            </w:r>
          </w:p>
        </w:tc>
        <w:tc>
          <w:tcPr>
            <w:tcW w:w="828"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AD2FDD" w:rsidR="00D520BD" w:rsidP="00982BD1" w:rsidRDefault="00D520BD" w14:paraId="0CA97D5B" w14:textId="77777777">
            <w:pPr>
              <w:keepNext/>
              <w:keepLines/>
              <w:jc w:val="right"/>
              <w:rPr>
                <w:sz w:val="16"/>
                <w:szCs w:val="16"/>
              </w:rPr>
            </w:pPr>
          </w:p>
        </w:tc>
        <w:tc>
          <w:tcPr>
            <w:tcW w:w="900" w:type="dxa"/>
            <w:gridSpan w:val="2"/>
            <w:tcBorders>
              <w:top w:val="nil"/>
              <w:left w:val="nil"/>
              <w:bottom w:val="single" w:color="auto" w:sz="4" w:space="0"/>
              <w:right w:val="nil"/>
            </w:tcBorders>
            <w:shd w:val="clear" w:color="auto" w:fill="FFFFFF" w:themeFill="background1"/>
            <w:tcMar>
              <w:left w:w="58" w:type="dxa"/>
              <w:right w:w="58" w:type="dxa"/>
            </w:tcMar>
            <w:vAlign w:val="center"/>
          </w:tcPr>
          <w:p w:rsidRPr="00AD2FDD" w:rsidR="00D520BD" w:rsidP="00982BD1" w:rsidRDefault="00D520BD" w14:paraId="5D3AC72D" w14:textId="77777777">
            <w:pPr>
              <w:keepNext/>
              <w:keepLines/>
              <w:jc w:val="right"/>
              <w:rPr>
                <w:sz w:val="16"/>
                <w:szCs w:val="16"/>
              </w:rPr>
            </w:pPr>
          </w:p>
        </w:tc>
        <w:tc>
          <w:tcPr>
            <w:tcW w:w="117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AD2FDD" w:rsidR="00D520BD" w:rsidP="00982BD1" w:rsidRDefault="00D520BD" w14:paraId="32F7EF40" w14:textId="77777777">
            <w:pPr>
              <w:keepNext/>
              <w:keepLines/>
              <w:jc w:val="right"/>
              <w:rPr>
                <w:sz w:val="16"/>
                <w:szCs w:val="16"/>
              </w:rPr>
            </w:pPr>
          </w:p>
        </w:tc>
      </w:tr>
      <w:tr w:rsidRPr="00AD2FDD" w:rsidR="00D520BD" w:rsidTr="00A850AD" w14:paraId="224A4B09" w14:textId="77777777">
        <w:tc>
          <w:tcPr>
            <w:tcW w:w="8298" w:type="dxa"/>
            <w:gridSpan w:val="10"/>
            <w:shd w:val="clear" w:color="auto" w:fill="FFFFFF" w:themeFill="background1"/>
            <w:tcMar>
              <w:left w:w="58" w:type="dxa"/>
              <w:right w:w="58" w:type="dxa"/>
            </w:tcMar>
          </w:tcPr>
          <w:p w:rsidRPr="00AD2FDD" w:rsidR="00D520BD" w:rsidP="00982BD1" w:rsidRDefault="00D520BD" w14:paraId="2848F5F6" w14:textId="77777777">
            <w:pPr>
              <w:keepNext/>
              <w:keepLines/>
              <w:jc w:val="right"/>
              <w:rPr>
                <w:b/>
                <w:i/>
                <w:sz w:val="16"/>
                <w:szCs w:val="16"/>
              </w:rPr>
            </w:pPr>
            <w:r w:rsidRPr="006F767F">
              <w:rPr>
                <w:rFonts w:eastAsia="Arial"/>
                <w:b/>
                <w:i/>
                <w:sz w:val="16"/>
              </w:rPr>
              <w:t>To</w:t>
            </w:r>
            <w:r w:rsidRPr="00AD2FDD">
              <w:rPr>
                <w:rFonts w:eastAsia="Arial" w:cs="Arial"/>
                <w:b/>
                <w:i/>
                <w:sz w:val="16"/>
                <w:szCs w:val="16"/>
              </w:rPr>
              <w:t>tal</w:t>
            </w:r>
            <w:r w:rsidRPr="006F767F">
              <w:rPr>
                <w:rFonts w:eastAsia="Arial"/>
                <w:b/>
                <w:i/>
                <w:sz w:val="16"/>
              </w:rPr>
              <w:t xml:space="preserve"> </w:t>
            </w:r>
            <w:r w:rsidRPr="00AD2FDD">
              <w:rPr>
                <w:rFonts w:eastAsia="Arial" w:cs="Arial"/>
                <w:b/>
                <w:i/>
                <w:sz w:val="16"/>
                <w:szCs w:val="16"/>
              </w:rPr>
              <w:t>I</w:t>
            </w:r>
            <w:r w:rsidRPr="006F767F">
              <w:rPr>
                <w:rFonts w:eastAsia="Arial"/>
                <w:b/>
                <w:i/>
                <w:sz w:val="16"/>
              </w:rPr>
              <w:t>ndus</w:t>
            </w:r>
            <w:r w:rsidRPr="00AD2FDD">
              <w:rPr>
                <w:rFonts w:eastAsia="Arial" w:cs="Arial"/>
                <w:b/>
                <w:i/>
                <w:sz w:val="16"/>
                <w:szCs w:val="16"/>
              </w:rPr>
              <w:t>try</w:t>
            </w:r>
            <w:r w:rsidRPr="006F767F">
              <w:rPr>
                <w:rFonts w:eastAsia="Arial"/>
                <w:b/>
                <w:i/>
                <w:sz w:val="16"/>
              </w:rPr>
              <w:t xml:space="preserve"> </w:t>
            </w:r>
            <w:r w:rsidRPr="00AD2FDD">
              <w:rPr>
                <w:rFonts w:eastAsia="Arial" w:cs="Arial"/>
                <w:b/>
                <w:i/>
                <w:sz w:val="16"/>
                <w:szCs w:val="16"/>
              </w:rPr>
              <w:t>Oper</w:t>
            </w:r>
            <w:r w:rsidRPr="006F767F">
              <w:rPr>
                <w:rFonts w:eastAsia="Arial"/>
                <w:b/>
                <w:i/>
                <w:sz w:val="16"/>
              </w:rPr>
              <w:t>a</w:t>
            </w:r>
            <w:r w:rsidRPr="00AD2FDD">
              <w:rPr>
                <w:rFonts w:eastAsia="Arial" w:cs="Arial"/>
                <w:b/>
                <w:i/>
                <w:sz w:val="16"/>
                <w:szCs w:val="16"/>
              </w:rPr>
              <w:t>t</w:t>
            </w:r>
            <w:r w:rsidRPr="006F767F">
              <w:rPr>
                <w:rFonts w:eastAsia="Arial"/>
                <w:b/>
                <w:i/>
                <w:sz w:val="16"/>
              </w:rPr>
              <w:t>ion</w:t>
            </w:r>
            <w:r w:rsidRPr="00AD2FDD">
              <w:rPr>
                <w:rFonts w:eastAsia="Arial" w:cs="Arial"/>
                <w:b/>
                <w:i/>
                <w:sz w:val="16"/>
                <w:szCs w:val="16"/>
              </w:rPr>
              <w:t>s</w:t>
            </w:r>
            <w:r w:rsidRPr="006F767F">
              <w:rPr>
                <w:rFonts w:eastAsia="Arial"/>
                <w:b/>
                <w:i/>
                <w:sz w:val="16"/>
              </w:rPr>
              <w:t xml:space="preserve"> Cost</w:t>
            </w:r>
          </w:p>
        </w:tc>
        <w:tc>
          <w:tcPr>
            <w:tcW w:w="1170" w:type="dxa"/>
            <w:shd w:val="clear" w:color="auto" w:fill="FFFFFF" w:themeFill="background1"/>
            <w:tcMar>
              <w:left w:w="58" w:type="dxa"/>
              <w:right w:w="58" w:type="dxa"/>
            </w:tcMar>
          </w:tcPr>
          <w:p w:rsidRPr="00AD2FDD" w:rsidR="00D520BD" w:rsidP="00982BD1" w:rsidRDefault="00D520BD" w14:paraId="12109C56" w14:textId="1DBF20EE">
            <w:pPr>
              <w:keepNext/>
              <w:keepLines/>
              <w:jc w:val="right"/>
              <w:rPr>
                <w:b/>
                <w:i/>
                <w:sz w:val="16"/>
                <w:szCs w:val="16"/>
              </w:rPr>
            </w:pPr>
            <w:r w:rsidRPr="00AD2FDD">
              <w:rPr>
                <w:b/>
                <w:i/>
                <w:sz w:val="16"/>
                <w:szCs w:val="16"/>
              </w:rPr>
              <w:t>($</w:t>
            </w:r>
            <w:r w:rsidRPr="00AD2FDD" w:rsidR="00A850AD">
              <w:rPr>
                <w:b/>
                <w:i/>
                <w:sz w:val="16"/>
                <w:szCs w:val="16"/>
              </w:rPr>
              <w:t>15,952</w:t>
            </w:r>
            <w:r w:rsidRPr="00AD2FDD">
              <w:rPr>
                <w:b/>
                <w:i/>
                <w:sz w:val="16"/>
                <w:szCs w:val="16"/>
              </w:rPr>
              <w:t>)</w:t>
            </w:r>
          </w:p>
        </w:tc>
      </w:tr>
      <w:tr w:rsidRPr="00AD2FDD" w:rsidR="00D520BD" w:rsidTr="00A850AD" w14:paraId="117F0FB4" w14:textId="77777777">
        <w:tc>
          <w:tcPr>
            <w:tcW w:w="8298" w:type="dxa"/>
            <w:gridSpan w:val="10"/>
            <w:shd w:val="clear" w:color="auto" w:fill="FFFFFF" w:themeFill="background1"/>
            <w:tcMar>
              <w:left w:w="58" w:type="dxa"/>
              <w:right w:w="58" w:type="dxa"/>
            </w:tcMar>
          </w:tcPr>
          <w:p w:rsidRPr="00AD2FDD" w:rsidR="00D520BD" w:rsidP="00982BD1" w:rsidRDefault="00D520BD" w14:paraId="172D702A" w14:textId="77777777">
            <w:pPr>
              <w:keepNext/>
              <w:keepLines/>
              <w:jc w:val="right"/>
              <w:rPr>
                <w:b/>
                <w:i/>
                <w:sz w:val="16"/>
                <w:szCs w:val="16"/>
              </w:rPr>
            </w:pPr>
            <w:r w:rsidRPr="00AD2FDD">
              <w:rPr>
                <w:rFonts w:eastAsia="Arial" w:cs="Arial"/>
                <w:b/>
                <w:i/>
                <w:sz w:val="16"/>
                <w:szCs w:val="16"/>
              </w:rPr>
              <w:t>A</w:t>
            </w:r>
            <w:r w:rsidRPr="006F767F">
              <w:rPr>
                <w:rFonts w:eastAsia="Arial"/>
                <w:b/>
                <w:i/>
                <w:sz w:val="16"/>
              </w:rPr>
              <w:t>v</w:t>
            </w:r>
            <w:r w:rsidRPr="00AD2FDD">
              <w:rPr>
                <w:rFonts w:eastAsia="Arial" w:cs="Arial"/>
                <w:b/>
                <w:i/>
                <w:sz w:val="16"/>
                <w:szCs w:val="16"/>
              </w:rPr>
              <w:t>erage</w:t>
            </w:r>
            <w:r w:rsidRPr="006F767F">
              <w:rPr>
                <w:rFonts w:eastAsia="Arial"/>
                <w:b/>
                <w:i/>
                <w:sz w:val="16"/>
              </w:rPr>
              <w:t xml:space="preserve"> </w:t>
            </w:r>
            <w:r w:rsidRPr="00AD2FDD">
              <w:rPr>
                <w:rFonts w:eastAsia="Arial" w:cs="Arial"/>
                <w:b/>
                <w:i/>
                <w:sz w:val="16"/>
                <w:szCs w:val="16"/>
              </w:rPr>
              <w:t>Ope</w:t>
            </w:r>
            <w:r w:rsidRPr="006F767F">
              <w:rPr>
                <w:rFonts w:eastAsia="Arial"/>
                <w:b/>
                <w:i/>
                <w:sz w:val="16"/>
              </w:rPr>
              <w:t>r</w:t>
            </w:r>
            <w:r w:rsidRPr="00AD2FDD">
              <w:rPr>
                <w:rFonts w:eastAsia="Arial" w:cs="Arial"/>
                <w:b/>
                <w:i/>
                <w:sz w:val="16"/>
                <w:szCs w:val="16"/>
              </w:rPr>
              <w:t>at</w:t>
            </w:r>
            <w:r w:rsidRPr="006F767F">
              <w:rPr>
                <w:rFonts w:eastAsia="Arial"/>
                <w:b/>
                <w:i/>
                <w:sz w:val="16"/>
              </w:rPr>
              <w:t>ion</w:t>
            </w:r>
            <w:r w:rsidRPr="00AD2FDD">
              <w:rPr>
                <w:rFonts w:eastAsia="Arial" w:cs="Arial"/>
                <w:b/>
                <w:i/>
                <w:sz w:val="16"/>
                <w:szCs w:val="16"/>
              </w:rPr>
              <w:t>s</w:t>
            </w:r>
            <w:r w:rsidRPr="006F767F">
              <w:rPr>
                <w:rFonts w:eastAsia="Arial"/>
                <w:b/>
                <w:i/>
                <w:sz w:val="16"/>
              </w:rPr>
              <w:t xml:space="preserve"> </w:t>
            </w:r>
            <w:r w:rsidRPr="00AD2FDD">
              <w:rPr>
                <w:rFonts w:eastAsia="Arial" w:cs="Arial"/>
                <w:b/>
                <w:i/>
                <w:sz w:val="16"/>
                <w:szCs w:val="16"/>
              </w:rPr>
              <w:t>Cost</w:t>
            </w:r>
            <w:r w:rsidRPr="006F767F">
              <w:rPr>
                <w:rFonts w:eastAsia="Arial"/>
                <w:b/>
                <w:i/>
                <w:sz w:val="16"/>
              </w:rPr>
              <w:t xml:space="preserve"> </w:t>
            </w:r>
            <w:r w:rsidRPr="00AD2FDD">
              <w:rPr>
                <w:rFonts w:eastAsia="Arial" w:cs="Arial"/>
                <w:b/>
                <w:i/>
                <w:sz w:val="16"/>
                <w:szCs w:val="16"/>
              </w:rPr>
              <w:t>Per</w:t>
            </w:r>
            <w:r w:rsidRPr="006F767F">
              <w:rPr>
                <w:rFonts w:eastAsia="Arial"/>
                <w:b/>
                <w:i/>
                <w:sz w:val="16"/>
              </w:rPr>
              <w:t xml:space="preserve"> Site</w:t>
            </w:r>
          </w:p>
        </w:tc>
        <w:tc>
          <w:tcPr>
            <w:tcW w:w="1170" w:type="dxa"/>
            <w:shd w:val="clear" w:color="auto" w:fill="FFFFFF" w:themeFill="background1"/>
            <w:tcMar>
              <w:left w:w="58" w:type="dxa"/>
              <w:right w:w="58" w:type="dxa"/>
            </w:tcMar>
          </w:tcPr>
          <w:p w:rsidRPr="00AD2FDD" w:rsidR="00D520BD" w:rsidP="00982BD1" w:rsidRDefault="00D520BD" w14:paraId="4534B135" w14:textId="5216812D">
            <w:pPr>
              <w:keepNext/>
              <w:keepLines/>
              <w:jc w:val="right"/>
              <w:rPr>
                <w:b/>
                <w:i/>
                <w:sz w:val="16"/>
                <w:szCs w:val="16"/>
              </w:rPr>
            </w:pPr>
            <w:r w:rsidRPr="00AD2FDD">
              <w:rPr>
                <w:b/>
                <w:i/>
                <w:sz w:val="16"/>
                <w:szCs w:val="16"/>
              </w:rPr>
              <w:t>($</w:t>
            </w:r>
            <w:r w:rsidRPr="00AD2FDD" w:rsidR="00A850AD">
              <w:rPr>
                <w:b/>
                <w:i/>
                <w:sz w:val="16"/>
                <w:szCs w:val="16"/>
              </w:rPr>
              <w:t>270</w:t>
            </w:r>
            <w:r w:rsidRPr="00AD2FDD">
              <w:rPr>
                <w:b/>
                <w:i/>
                <w:sz w:val="16"/>
                <w:szCs w:val="16"/>
              </w:rPr>
              <w:t>)</w:t>
            </w:r>
          </w:p>
        </w:tc>
      </w:tr>
      <w:tr w:rsidRPr="00AD2FDD" w:rsidR="00D520BD" w:rsidTr="00DE4F0E" w14:paraId="7228E6F5" w14:textId="77777777">
        <w:tc>
          <w:tcPr>
            <w:tcW w:w="9468" w:type="dxa"/>
            <w:gridSpan w:val="11"/>
            <w:tcBorders>
              <w:bottom w:val="nil"/>
            </w:tcBorders>
            <w:shd w:val="clear" w:color="auto" w:fill="auto"/>
          </w:tcPr>
          <w:p w:rsidRPr="00AD2FDD" w:rsidR="00D520BD" w:rsidP="00982BD1" w:rsidRDefault="00D520BD" w14:paraId="528A30E0" w14:textId="77777777">
            <w:pPr>
              <w:keepNext/>
              <w:keepLines/>
              <w:spacing w:before="120"/>
              <w:ind w:left="14" w:right="-14"/>
              <w:rPr>
                <w:rFonts w:eastAsia="Arial" w:cs="Arial"/>
                <w:sz w:val="16"/>
                <w:szCs w:val="16"/>
              </w:rPr>
            </w:pPr>
            <w:r w:rsidRPr="00AD2FDD">
              <w:rPr>
                <w:rFonts w:eastAsia="Arial" w:cs="Arial"/>
                <w:b/>
                <w:bCs/>
                <w:sz w:val="16"/>
                <w:szCs w:val="16"/>
              </w:rPr>
              <w:t>Calcu</w:t>
            </w:r>
            <w:r w:rsidRPr="00A27E74">
              <w:rPr>
                <w:rFonts w:eastAsia="Arial"/>
                <w:b/>
                <w:sz w:val="16"/>
              </w:rPr>
              <w:t>l</w:t>
            </w:r>
            <w:r w:rsidRPr="00AD2FDD">
              <w:rPr>
                <w:rFonts w:eastAsia="Arial" w:cs="Arial"/>
                <w:b/>
                <w:bCs/>
                <w:sz w:val="16"/>
                <w:szCs w:val="16"/>
              </w:rPr>
              <w:t>at</w:t>
            </w:r>
            <w:r w:rsidRPr="00A27E74">
              <w:rPr>
                <w:rFonts w:eastAsia="Arial"/>
                <w:b/>
                <w:sz w:val="16"/>
              </w:rPr>
              <w:t>i</w:t>
            </w:r>
            <w:r w:rsidRPr="00AD2FDD">
              <w:rPr>
                <w:rFonts w:eastAsia="Arial" w:cs="Arial"/>
                <w:b/>
                <w:bCs/>
                <w:sz w:val="16"/>
                <w:szCs w:val="16"/>
              </w:rPr>
              <w:t>ons</w:t>
            </w:r>
            <w:r w:rsidRPr="00A27E74">
              <w:rPr>
                <w:rFonts w:eastAsia="Arial"/>
                <w:b/>
                <w:sz w:val="16"/>
              </w:rPr>
              <w:t xml:space="preserve"> </w:t>
            </w:r>
            <w:r w:rsidRPr="00AD2FDD">
              <w:rPr>
                <w:rFonts w:eastAsia="Arial" w:cs="Arial"/>
                <w:b/>
                <w:bCs/>
                <w:sz w:val="16"/>
                <w:szCs w:val="16"/>
              </w:rPr>
              <w:t>(t</w:t>
            </w:r>
            <w:r w:rsidRPr="00A27E74">
              <w:rPr>
                <w:rFonts w:eastAsia="Arial"/>
                <w:b/>
                <w:sz w:val="16"/>
              </w:rPr>
              <w:t>o</w:t>
            </w:r>
            <w:r w:rsidRPr="00AD2FDD">
              <w:rPr>
                <w:rFonts w:eastAsia="Arial" w:cs="Arial"/>
                <w:b/>
                <w:bCs/>
                <w:sz w:val="16"/>
                <w:szCs w:val="16"/>
              </w:rPr>
              <w:t>tals</w:t>
            </w:r>
            <w:r w:rsidRPr="00A27E74">
              <w:rPr>
                <w:rFonts w:eastAsia="Arial"/>
                <w:b/>
                <w:sz w:val="16"/>
              </w:rPr>
              <w:t xml:space="preserve"> ma</w:t>
            </w:r>
            <w:r w:rsidRPr="00AD2FDD">
              <w:rPr>
                <w:rFonts w:eastAsia="Arial" w:cs="Arial"/>
                <w:b/>
                <w:bCs/>
                <w:sz w:val="16"/>
                <w:szCs w:val="16"/>
              </w:rPr>
              <w:t>y</w:t>
            </w:r>
            <w:r w:rsidRPr="00A27E74">
              <w:rPr>
                <w:rFonts w:eastAsia="Arial"/>
                <w:b/>
                <w:sz w:val="16"/>
              </w:rPr>
              <w:t xml:space="preserve"> </w:t>
            </w:r>
            <w:r w:rsidRPr="00AD2FDD">
              <w:rPr>
                <w:rFonts w:eastAsia="Arial" w:cs="Arial"/>
                <w:b/>
                <w:bCs/>
                <w:sz w:val="16"/>
                <w:szCs w:val="16"/>
              </w:rPr>
              <w:t>not</w:t>
            </w:r>
            <w:r w:rsidRPr="00A27E74">
              <w:rPr>
                <w:rFonts w:eastAsia="Arial"/>
                <w:b/>
                <w:sz w:val="16"/>
              </w:rPr>
              <w:t xml:space="preserve"> </w:t>
            </w:r>
            <w:r w:rsidRPr="00AD2FDD">
              <w:rPr>
                <w:rFonts w:eastAsia="Arial" w:cs="Arial"/>
                <w:b/>
                <w:bCs/>
                <w:sz w:val="16"/>
                <w:szCs w:val="16"/>
              </w:rPr>
              <w:t>add</w:t>
            </w:r>
            <w:r w:rsidRPr="00A27E74">
              <w:rPr>
                <w:rFonts w:eastAsia="Arial"/>
                <w:b/>
                <w:sz w:val="16"/>
              </w:rPr>
              <w:t xml:space="preserve"> b</w:t>
            </w:r>
            <w:r w:rsidRPr="00AD2FDD">
              <w:rPr>
                <w:rFonts w:eastAsia="Arial" w:cs="Arial"/>
                <w:b/>
                <w:bCs/>
                <w:sz w:val="16"/>
                <w:szCs w:val="16"/>
              </w:rPr>
              <w:t>ec</w:t>
            </w:r>
            <w:r w:rsidRPr="00A27E74">
              <w:rPr>
                <w:rFonts w:eastAsia="Arial"/>
                <w:b/>
                <w:sz w:val="16"/>
              </w:rPr>
              <w:t>a</w:t>
            </w:r>
            <w:r w:rsidRPr="00AD2FDD">
              <w:rPr>
                <w:rFonts w:eastAsia="Arial" w:cs="Arial"/>
                <w:b/>
                <w:bCs/>
                <w:sz w:val="16"/>
                <w:szCs w:val="16"/>
              </w:rPr>
              <w:t>use</w:t>
            </w:r>
            <w:r w:rsidRPr="00A27E74">
              <w:rPr>
                <w:rFonts w:eastAsia="Arial"/>
                <w:b/>
                <w:sz w:val="16"/>
              </w:rPr>
              <w:t xml:space="preserve"> </w:t>
            </w:r>
            <w:r w:rsidRPr="00AD2FDD">
              <w:rPr>
                <w:rFonts w:eastAsia="Arial" w:cs="Arial"/>
                <w:b/>
                <w:bCs/>
                <w:sz w:val="16"/>
                <w:szCs w:val="16"/>
              </w:rPr>
              <w:t>of</w:t>
            </w:r>
            <w:r w:rsidRPr="00A27E74">
              <w:rPr>
                <w:rFonts w:eastAsia="Arial"/>
                <w:b/>
                <w:sz w:val="16"/>
              </w:rPr>
              <w:t xml:space="preserve"> rounding)</w:t>
            </w:r>
            <w:r w:rsidRPr="00AD2FDD">
              <w:rPr>
                <w:rFonts w:eastAsia="Arial" w:cs="Arial"/>
                <w:b/>
                <w:bCs/>
                <w:sz w:val="16"/>
                <w:szCs w:val="16"/>
              </w:rPr>
              <w:t>:</w:t>
            </w:r>
          </w:p>
          <w:p w:rsidRPr="00AD2FDD" w:rsidR="00D520BD" w:rsidP="005C6BA3" w:rsidRDefault="00D520BD" w14:paraId="1A81DBF7" w14:textId="6A7081D1">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 xml:space="preserve">Benefits (Cost) </w:t>
            </w:r>
            <w:r w:rsidR="00714407">
              <w:rPr>
                <w:rFonts w:eastAsia="Arial" w:cs="Arial"/>
                <w:sz w:val="16"/>
                <w:szCs w:val="16"/>
              </w:rPr>
              <w:t>p</w:t>
            </w:r>
            <w:r w:rsidRPr="00AD2FDD">
              <w:rPr>
                <w:rFonts w:eastAsia="Arial" w:cs="Arial"/>
                <w:sz w:val="16"/>
                <w:szCs w:val="16"/>
              </w:rPr>
              <w:t>er Site = Product (Data Inputs)</w:t>
            </w:r>
          </w:p>
          <w:p w:rsidRPr="00AD2FDD" w:rsidR="00D520BD" w:rsidP="005C6BA3" w:rsidRDefault="00D520BD" w14:paraId="02E05D5D" w14:textId="760F3FE3">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 xml:space="preserve">Total Benefits (Cost) = Benefits (Cost) </w:t>
            </w:r>
            <w:r w:rsidR="00714407">
              <w:rPr>
                <w:rFonts w:eastAsia="Arial" w:cs="Arial"/>
                <w:sz w:val="16"/>
                <w:szCs w:val="16"/>
              </w:rPr>
              <w:t>p</w:t>
            </w:r>
            <w:r w:rsidRPr="00AD2FDD">
              <w:rPr>
                <w:rFonts w:eastAsia="Arial" w:cs="Arial"/>
                <w:sz w:val="16"/>
                <w:szCs w:val="16"/>
              </w:rPr>
              <w:t xml:space="preserve">er Site x </w:t>
            </w:r>
            <w:r w:rsidRPr="00AD2FDD" w:rsidR="00267C3A">
              <w:rPr>
                <w:rFonts w:eastAsia="Arial" w:cs="Arial"/>
                <w:sz w:val="16"/>
                <w:szCs w:val="16"/>
              </w:rPr>
              <w:t xml:space="preserve">Number of </w:t>
            </w:r>
            <w:r w:rsidRPr="00AD2FDD">
              <w:rPr>
                <w:rFonts w:eastAsia="Arial" w:cs="Arial"/>
                <w:sz w:val="16"/>
                <w:szCs w:val="16"/>
              </w:rPr>
              <w:t>Sites Affected</w:t>
            </w:r>
          </w:p>
          <w:p w:rsidRPr="00AD2FDD" w:rsidR="00D520BD" w:rsidP="005C6BA3" w:rsidRDefault="00D520BD" w14:paraId="746A68F6" w14:textId="77777777">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Total Industry Operations Cost = Sum (Total Benefits (Cost))</w:t>
            </w:r>
          </w:p>
          <w:p w:rsidRPr="00AD2FDD" w:rsidR="00D520BD" w:rsidP="005C6BA3" w:rsidRDefault="00D520BD" w14:paraId="31499DB5" w14:textId="4212D6CF">
            <w:pPr>
              <w:pStyle w:val="ListParagraph"/>
              <w:numPr>
                <w:ilvl w:val="0"/>
                <w:numId w:val="20"/>
              </w:numPr>
              <w:spacing w:after="60"/>
              <w:ind w:left="374"/>
              <w:contextualSpacing w:val="0"/>
            </w:pPr>
            <w:r w:rsidRPr="00AD2FDD">
              <w:rPr>
                <w:rFonts w:eastAsia="Arial" w:cs="Arial"/>
                <w:sz w:val="16"/>
                <w:szCs w:val="16"/>
              </w:rPr>
              <w:t xml:space="preserve">Average Operations Cost </w:t>
            </w:r>
            <w:r w:rsidR="00970EA5">
              <w:rPr>
                <w:rFonts w:eastAsia="Arial" w:cs="Arial"/>
                <w:sz w:val="16"/>
                <w:szCs w:val="16"/>
              </w:rPr>
              <w:t>p</w:t>
            </w:r>
            <w:r w:rsidRPr="00AD2FDD">
              <w:rPr>
                <w:rFonts w:eastAsia="Arial" w:cs="Arial"/>
                <w:sz w:val="16"/>
                <w:szCs w:val="16"/>
              </w:rPr>
              <w:t>er Site = Total Industry Operations Cost / Total Number of Sites</w:t>
            </w:r>
          </w:p>
          <w:p w:rsidRPr="00AD2FDD" w:rsidR="00D520BD" w:rsidP="00982BD1" w:rsidRDefault="00D520BD" w14:paraId="7033E85E" w14:textId="77777777">
            <w:pPr>
              <w:widowControl w:val="0"/>
              <w:spacing w:before="120"/>
              <w:ind w:right="-14"/>
              <w:rPr>
                <w:rFonts w:eastAsia="Arial" w:cs="Arial"/>
                <w:sz w:val="16"/>
                <w:szCs w:val="16"/>
              </w:rPr>
            </w:pPr>
            <w:r w:rsidRPr="00A27E74">
              <w:rPr>
                <w:rFonts w:eastAsia="Arial"/>
                <w:b/>
                <w:sz w:val="16"/>
              </w:rPr>
              <w:t>Assu</w:t>
            </w:r>
            <w:r w:rsidRPr="00AD2FDD">
              <w:rPr>
                <w:rFonts w:eastAsia="Arial" w:cs="Arial"/>
                <w:b/>
                <w:bCs/>
                <w:sz w:val="16"/>
                <w:szCs w:val="16"/>
              </w:rPr>
              <w:t>m</w:t>
            </w:r>
            <w:r w:rsidRPr="00A27E74">
              <w:rPr>
                <w:rFonts w:eastAsia="Arial"/>
                <w:b/>
                <w:sz w:val="16"/>
              </w:rPr>
              <w:t>ptions</w:t>
            </w:r>
            <w:r w:rsidRPr="00AD2FDD">
              <w:rPr>
                <w:rFonts w:eastAsia="Arial" w:cs="Arial"/>
                <w:b/>
                <w:bCs/>
                <w:sz w:val="16"/>
                <w:szCs w:val="16"/>
              </w:rPr>
              <w:t>:</w:t>
            </w:r>
          </w:p>
          <w:p w:rsidRPr="00AD2FDD" w:rsidR="00D520BD" w:rsidP="005C6BA3" w:rsidRDefault="00D520BD" w14:paraId="12664028" w14:textId="0F57BA35">
            <w:pPr>
              <w:pStyle w:val="ListParagraph"/>
              <w:widowControl w:val="0"/>
              <w:numPr>
                <w:ilvl w:val="0"/>
                <w:numId w:val="20"/>
              </w:numPr>
              <w:spacing w:after="60"/>
              <w:ind w:left="374"/>
              <w:contextualSpacing w:val="0"/>
              <w:rPr>
                <w:rFonts w:eastAsia="Arial" w:cs="Arial"/>
                <w:sz w:val="16"/>
                <w:szCs w:val="16"/>
              </w:rPr>
            </w:pPr>
            <w:r w:rsidRPr="00AD2FDD">
              <w:rPr>
                <w:rFonts w:eastAsia="Arial" w:cs="Arial"/>
                <w:sz w:val="16"/>
                <w:szCs w:val="16"/>
              </w:rPr>
              <w:t>Licensees only us</w:t>
            </w:r>
            <w:r w:rsidRPr="00AD2FDD" w:rsidR="00243E2D">
              <w:rPr>
                <w:rFonts w:eastAsia="Arial" w:cs="Arial"/>
                <w:sz w:val="16"/>
                <w:szCs w:val="16"/>
              </w:rPr>
              <w:t>ing</w:t>
            </w:r>
            <w:r w:rsidRPr="00AD2FDD">
              <w:rPr>
                <w:rFonts w:eastAsia="Arial" w:cs="Arial"/>
                <w:sz w:val="16"/>
                <w:szCs w:val="16"/>
              </w:rPr>
              <w:t xml:space="preserve"> HHS-certified laboratories for drug testing pay a per</w:t>
            </w:r>
            <w:r w:rsidRPr="00AD2FDD">
              <w:rPr>
                <w:rFonts w:eastAsia="Arial" w:cs="Arial"/>
                <w:sz w:val="16"/>
                <w:szCs w:val="16"/>
              </w:rPr>
              <w:noBreakHyphen/>
              <w:t>specimen cost</w:t>
            </w:r>
            <w:r w:rsidRPr="00AD2FDD" w:rsidR="00646A79">
              <w:rPr>
                <w:rFonts w:eastAsia="Arial" w:cs="Arial"/>
                <w:sz w:val="16"/>
                <w:szCs w:val="16"/>
              </w:rPr>
              <w:t>,</w:t>
            </w:r>
            <w:r w:rsidRPr="00AD2FDD">
              <w:rPr>
                <w:rFonts w:eastAsia="Arial" w:cs="Arial"/>
                <w:sz w:val="16"/>
                <w:szCs w:val="16"/>
              </w:rPr>
              <w:t xml:space="preserve"> which includes initial drug testing of all specimens and confirmatory drug testing when applicable.  Licensees us</w:t>
            </w:r>
            <w:r w:rsidRPr="00AD2FDD" w:rsidR="00984C76">
              <w:rPr>
                <w:rFonts w:eastAsia="Arial" w:cs="Arial"/>
                <w:sz w:val="16"/>
                <w:szCs w:val="16"/>
              </w:rPr>
              <w:t>ing</w:t>
            </w:r>
            <w:r w:rsidRPr="00AD2FDD">
              <w:rPr>
                <w:rFonts w:eastAsia="Arial" w:cs="Arial"/>
                <w:sz w:val="16"/>
                <w:szCs w:val="16"/>
              </w:rPr>
              <w:t xml:space="preserve"> LTFs for initial drug testing and HHS-certified laboratories for confirmatory testing </w:t>
            </w:r>
            <w:r w:rsidRPr="00AD2FDD" w:rsidR="00675F31">
              <w:rPr>
                <w:rFonts w:eastAsia="Arial" w:cs="Arial"/>
                <w:sz w:val="16"/>
                <w:szCs w:val="16"/>
              </w:rPr>
              <w:t>will</w:t>
            </w:r>
            <w:r w:rsidRPr="00AD2FDD">
              <w:rPr>
                <w:rFonts w:eastAsia="Arial" w:cs="Arial"/>
                <w:sz w:val="16"/>
                <w:szCs w:val="16"/>
              </w:rPr>
              <w:t xml:space="preserve"> incur an incremental cost to conduct confirmatory testing at an HHS</w:t>
            </w:r>
            <w:r w:rsidRPr="00AD2FDD">
              <w:rPr>
                <w:rFonts w:eastAsia="Arial" w:cs="Arial"/>
                <w:sz w:val="16"/>
                <w:szCs w:val="16"/>
              </w:rPr>
              <w:noBreakHyphen/>
              <w:t>certified laboratory for any additional specimens that screen positive at the LTF as a result of the rule changes.</w:t>
            </w:r>
          </w:p>
          <w:p w:rsidRPr="00AD2FDD" w:rsidR="00D520BD" w:rsidP="005C6BA3" w:rsidRDefault="00D520BD" w14:paraId="77B8087B" w14:textId="07278C07">
            <w:pPr>
              <w:pStyle w:val="ListParagraph"/>
              <w:keepNext/>
              <w:keepLines/>
              <w:numPr>
                <w:ilvl w:val="0"/>
                <w:numId w:val="20"/>
              </w:numPr>
              <w:spacing w:after="60"/>
              <w:ind w:left="374"/>
              <w:contextualSpacing w:val="0"/>
              <w:rPr>
                <w:rFonts w:eastAsia="Arial" w:cs="Arial"/>
                <w:sz w:val="16"/>
                <w:szCs w:val="16"/>
              </w:rPr>
            </w:pPr>
            <w:r w:rsidRPr="00AD2FDD">
              <w:rPr>
                <w:rFonts w:eastAsia="Arial" w:cs="Arial"/>
                <w:sz w:val="16"/>
                <w:szCs w:val="16"/>
              </w:rPr>
              <w:t xml:space="preserve">Lowering the testing cutoff levels </w:t>
            </w:r>
            <w:r w:rsidRPr="00AD2FDD" w:rsidR="00675F31">
              <w:rPr>
                <w:rFonts w:eastAsia="Arial" w:cs="Arial"/>
                <w:sz w:val="16"/>
                <w:szCs w:val="16"/>
              </w:rPr>
              <w:t>will</w:t>
            </w:r>
            <w:r w:rsidRPr="00AD2FDD">
              <w:rPr>
                <w:rFonts w:eastAsia="Arial" w:cs="Arial"/>
                <w:sz w:val="16"/>
                <w:szCs w:val="16"/>
              </w:rPr>
              <w:t xml:space="preserve"> not change the LTF assay costs</w:t>
            </w:r>
            <w:r w:rsidRPr="00AD2FDD" w:rsidR="00646A79">
              <w:rPr>
                <w:rFonts w:eastAsia="Arial" w:cs="Arial"/>
                <w:sz w:val="16"/>
                <w:szCs w:val="16"/>
              </w:rPr>
              <w:t>,</w:t>
            </w:r>
            <w:r w:rsidRPr="00AD2FDD">
              <w:rPr>
                <w:rFonts w:eastAsia="Arial" w:cs="Arial"/>
                <w:sz w:val="16"/>
                <w:szCs w:val="16"/>
              </w:rPr>
              <w:t xml:space="preserve"> nor </w:t>
            </w:r>
            <w:r w:rsidRPr="00AD2FDD" w:rsidR="00675F31">
              <w:rPr>
                <w:rFonts w:eastAsia="Arial" w:cs="Arial"/>
                <w:sz w:val="16"/>
                <w:szCs w:val="16"/>
              </w:rPr>
              <w:t>will</w:t>
            </w:r>
            <w:r w:rsidRPr="00AD2FDD">
              <w:rPr>
                <w:rFonts w:eastAsia="Arial" w:cs="Arial"/>
                <w:sz w:val="16"/>
                <w:szCs w:val="16"/>
              </w:rPr>
              <w:t xml:space="preserve"> it require equipment upgrades.  LTFs </w:t>
            </w:r>
            <w:r w:rsidRPr="00AD2FDD" w:rsidR="00675F31">
              <w:rPr>
                <w:rFonts w:eastAsia="Arial" w:cs="Arial"/>
                <w:sz w:val="16"/>
                <w:szCs w:val="16"/>
              </w:rPr>
              <w:t>will</w:t>
            </w:r>
            <w:r w:rsidRPr="00AD2FDD">
              <w:rPr>
                <w:rFonts w:eastAsia="Arial" w:cs="Arial"/>
                <w:sz w:val="16"/>
                <w:szCs w:val="16"/>
              </w:rPr>
              <w:t xml:space="preserve"> purchase different standards and controls to comply with the new testing cutoff levels; however</w:t>
            </w:r>
            <w:r w:rsidRPr="00AD2FDD" w:rsidR="00646A79">
              <w:rPr>
                <w:rFonts w:eastAsia="Arial" w:cs="Arial"/>
                <w:sz w:val="16"/>
                <w:szCs w:val="16"/>
              </w:rPr>
              <w:t>,</w:t>
            </w:r>
            <w:r w:rsidRPr="00AD2FDD">
              <w:rPr>
                <w:rFonts w:eastAsia="Arial" w:cs="Arial"/>
                <w:sz w:val="16"/>
                <w:szCs w:val="16"/>
              </w:rPr>
              <w:t xml:space="preserve"> </w:t>
            </w:r>
            <w:r w:rsidRPr="00AD2FDD" w:rsidR="0094378D">
              <w:rPr>
                <w:rFonts w:eastAsia="Arial" w:cs="Arial"/>
                <w:sz w:val="16"/>
                <w:szCs w:val="16"/>
              </w:rPr>
              <w:t xml:space="preserve">the </w:t>
            </w:r>
            <w:r w:rsidRPr="00AD2FDD">
              <w:rPr>
                <w:rFonts w:eastAsia="Arial" w:cs="Arial"/>
                <w:sz w:val="16"/>
                <w:szCs w:val="16"/>
              </w:rPr>
              <w:t>purchas</w:t>
            </w:r>
            <w:r w:rsidRPr="00AD2FDD" w:rsidR="0094378D">
              <w:rPr>
                <w:rFonts w:eastAsia="Arial" w:cs="Arial"/>
                <w:sz w:val="16"/>
                <w:szCs w:val="16"/>
              </w:rPr>
              <w:t>e of</w:t>
            </w:r>
            <w:r w:rsidRPr="00AD2FDD">
              <w:rPr>
                <w:rFonts w:eastAsia="Arial" w:cs="Arial"/>
                <w:sz w:val="16"/>
                <w:szCs w:val="16"/>
              </w:rPr>
              <w:t xml:space="preserve"> standards</w:t>
            </w:r>
            <w:r w:rsidRPr="00AD2FDD" w:rsidR="00646A79">
              <w:rPr>
                <w:rFonts w:eastAsia="Arial" w:cs="Arial"/>
                <w:sz w:val="16"/>
                <w:szCs w:val="16"/>
              </w:rPr>
              <w:t>,</w:t>
            </w:r>
            <w:r w:rsidRPr="00AD2FDD">
              <w:rPr>
                <w:rFonts w:eastAsia="Arial" w:cs="Arial"/>
                <w:sz w:val="16"/>
                <w:szCs w:val="16"/>
              </w:rPr>
              <w:t xml:space="preserve"> controls</w:t>
            </w:r>
            <w:r w:rsidRPr="00AD2FDD" w:rsidR="00646A79">
              <w:rPr>
                <w:rFonts w:eastAsia="Arial" w:cs="Arial"/>
                <w:sz w:val="16"/>
                <w:szCs w:val="16"/>
              </w:rPr>
              <w:t>,</w:t>
            </w:r>
            <w:r w:rsidRPr="00AD2FDD">
              <w:rPr>
                <w:rFonts w:eastAsia="Arial" w:cs="Arial"/>
                <w:sz w:val="16"/>
                <w:szCs w:val="16"/>
              </w:rPr>
              <w:t xml:space="preserve"> and assays is a normal cost of operations and occurs on a regular basis</w:t>
            </w:r>
            <w:r w:rsidRPr="00AD2FDD" w:rsidR="00F94A46">
              <w:rPr>
                <w:rFonts w:eastAsia="Arial" w:cs="Arial"/>
                <w:sz w:val="16"/>
                <w:szCs w:val="16"/>
              </w:rPr>
              <w:t xml:space="preserve"> (</w:t>
            </w:r>
            <w:r w:rsidRPr="00AD2FDD" w:rsidR="00DF57B0">
              <w:rPr>
                <w:rFonts w:eastAsia="Arial" w:cs="Arial"/>
                <w:sz w:val="16"/>
                <w:szCs w:val="16"/>
              </w:rPr>
              <w:t xml:space="preserve">e.g., </w:t>
            </w:r>
            <w:r w:rsidRPr="00AD2FDD" w:rsidR="00F94A46">
              <w:rPr>
                <w:rFonts w:eastAsia="Arial" w:cs="Arial"/>
                <w:sz w:val="16"/>
                <w:szCs w:val="16"/>
              </w:rPr>
              <w:t>monthly, quarterly</w:t>
            </w:r>
            <w:r w:rsidRPr="00AD2FDD" w:rsidR="00DF57B0">
              <w:rPr>
                <w:rFonts w:eastAsia="Arial" w:cs="Arial"/>
                <w:sz w:val="16"/>
                <w:szCs w:val="16"/>
              </w:rPr>
              <w:t>)</w:t>
            </w:r>
            <w:r w:rsidRPr="00AD2FDD">
              <w:rPr>
                <w:rFonts w:eastAsia="Arial" w:cs="Arial"/>
                <w:sz w:val="16"/>
                <w:szCs w:val="16"/>
              </w:rPr>
              <w:t>.</w:t>
            </w:r>
          </w:p>
          <w:p w:rsidRPr="00AD2FDD" w:rsidR="00D520BD" w:rsidP="005C6BA3" w:rsidRDefault="00D520BD" w14:paraId="6A2A6199" w14:textId="638FEF19">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For amphetamines</w:t>
            </w:r>
            <w:r w:rsidRPr="00AD2FDD" w:rsidR="00646A79">
              <w:rPr>
                <w:rFonts w:eastAsia="Arial" w:cs="Arial"/>
                <w:sz w:val="16"/>
                <w:szCs w:val="16"/>
              </w:rPr>
              <w:t>,</w:t>
            </w:r>
            <w:r w:rsidRPr="00AD2FDD">
              <w:rPr>
                <w:rFonts w:eastAsia="Arial" w:cs="Arial"/>
                <w:sz w:val="16"/>
                <w:szCs w:val="16"/>
              </w:rPr>
              <w:t xml:space="preserve"> </w:t>
            </w:r>
            <w:r w:rsidRPr="00AD2FDD" w:rsidR="002722DB">
              <w:rPr>
                <w:rFonts w:eastAsia="Arial" w:cs="Arial"/>
                <w:sz w:val="16"/>
                <w:szCs w:val="16"/>
              </w:rPr>
              <w:t xml:space="preserve">the NRC estimates that </w:t>
            </w:r>
            <w:r w:rsidRPr="00AD2FDD">
              <w:rPr>
                <w:rFonts w:eastAsia="Arial" w:cs="Arial"/>
                <w:sz w:val="16"/>
                <w:szCs w:val="16"/>
              </w:rPr>
              <w:t>7</w:t>
            </w:r>
            <w:r w:rsidRPr="00AD2FDD" w:rsidR="00AE6FD8">
              <w:rPr>
                <w:rFonts w:eastAsia="Arial" w:cs="Arial"/>
                <w:sz w:val="16"/>
                <w:szCs w:val="16"/>
              </w:rPr>
              <w:t>1</w:t>
            </w:r>
            <w:r w:rsidRPr="00AD2FDD">
              <w:rPr>
                <w:rFonts w:eastAsia="Arial" w:cs="Arial"/>
                <w:sz w:val="16"/>
                <w:szCs w:val="16"/>
              </w:rPr>
              <w:t xml:space="preserve"> percent of HHS-certified laboratory positive tests results </w:t>
            </w:r>
            <w:r w:rsidR="00EB397D">
              <w:rPr>
                <w:rFonts w:eastAsia="Arial" w:cs="Arial"/>
                <w:sz w:val="16"/>
                <w:szCs w:val="16"/>
              </w:rPr>
              <w:t>will</w:t>
            </w:r>
            <w:r w:rsidRPr="007A7C87">
              <w:rPr>
                <w:rFonts w:eastAsia="Arial" w:cs="Arial"/>
                <w:sz w:val="16"/>
                <w:szCs w:val="16"/>
              </w:rPr>
              <w:t xml:space="preserve"> be confirmed positive by the MRO </w:t>
            </w:r>
            <w:r w:rsidRPr="00AD2FDD">
              <w:rPr>
                <w:rFonts w:eastAsia="Arial" w:cs="Arial"/>
                <w:sz w:val="16"/>
                <w:szCs w:val="16"/>
              </w:rPr>
              <w:t>(i.e.</w:t>
            </w:r>
            <w:r w:rsidRPr="00AD2FDD" w:rsidR="00646A79">
              <w:rPr>
                <w:rFonts w:eastAsia="Arial" w:cs="Arial"/>
                <w:sz w:val="16"/>
                <w:szCs w:val="16"/>
              </w:rPr>
              <w:t>,</w:t>
            </w:r>
            <w:r w:rsidRPr="00AD2FDD">
              <w:rPr>
                <w:rFonts w:eastAsia="Arial" w:cs="Arial"/>
                <w:sz w:val="16"/>
                <w:szCs w:val="16"/>
              </w:rPr>
              <w:t> 2</w:t>
            </w:r>
            <w:r w:rsidRPr="00AD2FDD" w:rsidR="00AE6FD8">
              <w:rPr>
                <w:rFonts w:eastAsia="Arial" w:cs="Arial"/>
                <w:sz w:val="16"/>
                <w:szCs w:val="16"/>
              </w:rPr>
              <w:t>9</w:t>
            </w:r>
            <w:r w:rsidRPr="00AD2FDD">
              <w:rPr>
                <w:rFonts w:eastAsia="Arial" w:cs="Arial"/>
                <w:sz w:val="16"/>
                <w:szCs w:val="16"/>
              </w:rPr>
              <w:t> percent of laboratory positives</w:t>
            </w:r>
            <w:r w:rsidRPr="007A7C87">
              <w:rPr>
                <w:rFonts w:eastAsia="Arial" w:cs="Arial"/>
                <w:sz w:val="16"/>
                <w:szCs w:val="16"/>
              </w:rPr>
              <w:t xml:space="preserve"> </w:t>
            </w:r>
            <w:r w:rsidR="00EB397D">
              <w:rPr>
                <w:rFonts w:eastAsia="Arial" w:cs="Arial"/>
                <w:sz w:val="16"/>
                <w:szCs w:val="16"/>
              </w:rPr>
              <w:t>will</w:t>
            </w:r>
            <w:r w:rsidRPr="007A7C87">
              <w:rPr>
                <w:rFonts w:eastAsia="Arial" w:cs="Arial"/>
                <w:sz w:val="16"/>
                <w:szCs w:val="16"/>
              </w:rPr>
              <w:t xml:space="preserve"> be medically downgraded by the MRO</w:t>
            </w:r>
            <w:r w:rsidRPr="00AD2FDD">
              <w:rPr>
                <w:rFonts w:eastAsia="Arial" w:cs="Arial"/>
                <w:sz w:val="16"/>
                <w:szCs w:val="16"/>
              </w:rPr>
              <w:t xml:space="preserve"> based on a valid medical condition and prescription).</w:t>
            </w:r>
          </w:p>
          <w:p w:rsidRPr="00AD2FDD" w:rsidR="00D520BD" w:rsidP="005C6BA3" w:rsidRDefault="00D520BD" w14:paraId="76EF21CA" w14:textId="23D472D1">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For cocaine</w:t>
            </w:r>
            <w:r w:rsidRPr="00AD2FDD" w:rsidR="00646A79">
              <w:rPr>
                <w:rFonts w:eastAsia="Arial" w:cs="Arial"/>
                <w:sz w:val="16"/>
                <w:szCs w:val="16"/>
              </w:rPr>
              <w:t>,</w:t>
            </w:r>
            <w:r w:rsidRPr="00AD2FDD">
              <w:rPr>
                <w:rFonts w:eastAsia="Arial" w:cs="Arial"/>
                <w:sz w:val="16"/>
                <w:szCs w:val="16"/>
              </w:rPr>
              <w:t xml:space="preserve"> all HHS-certified laboratory positive results</w:t>
            </w:r>
            <w:r w:rsidRPr="007A7C87">
              <w:rPr>
                <w:rFonts w:eastAsia="Arial" w:cs="Arial"/>
                <w:sz w:val="16"/>
                <w:szCs w:val="16"/>
              </w:rPr>
              <w:t xml:space="preserve"> </w:t>
            </w:r>
            <w:r w:rsidR="003615F2">
              <w:rPr>
                <w:rFonts w:eastAsia="Arial" w:cs="Arial"/>
                <w:sz w:val="16"/>
                <w:szCs w:val="16"/>
              </w:rPr>
              <w:t>will</w:t>
            </w:r>
            <w:r w:rsidRPr="007A7C87">
              <w:rPr>
                <w:rFonts w:eastAsia="Arial" w:cs="Arial"/>
                <w:sz w:val="16"/>
                <w:szCs w:val="16"/>
              </w:rPr>
              <w:t xml:space="preserve"> be confirmed positive by the MRO</w:t>
            </w:r>
            <w:r w:rsidRPr="00AD2FDD">
              <w:rPr>
                <w:rFonts w:eastAsia="Arial" w:cs="Arial"/>
                <w:sz w:val="16"/>
                <w:szCs w:val="16"/>
              </w:rPr>
              <w:t>.</w:t>
            </w:r>
          </w:p>
          <w:p w:rsidRPr="00AD2FDD" w:rsidR="00D520BD" w:rsidP="001C6A11" w:rsidRDefault="00D520BD" w14:paraId="4EF04236" w14:textId="1C1B4336">
            <w:pPr>
              <w:pStyle w:val="ListParagraph"/>
              <w:numPr>
                <w:ilvl w:val="0"/>
                <w:numId w:val="20"/>
              </w:numPr>
              <w:ind w:left="374"/>
              <w:contextualSpacing w:val="0"/>
              <w:rPr>
                <w:rFonts w:eastAsia="Arial" w:cs="Arial"/>
                <w:sz w:val="16"/>
                <w:szCs w:val="16"/>
              </w:rPr>
            </w:pPr>
            <w:r w:rsidRPr="00AD2FDD">
              <w:rPr>
                <w:rFonts w:eastAsia="Arial" w:cs="Arial"/>
                <w:sz w:val="16"/>
                <w:szCs w:val="16"/>
              </w:rPr>
              <w:t xml:space="preserve">Appendices B and D </w:t>
            </w:r>
            <w:r w:rsidRPr="00AD2FDD" w:rsidR="00656A44">
              <w:rPr>
                <w:rFonts w:eastAsia="Arial" w:cs="Arial"/>
                <w:sz w:val="16"/>
                <w:szCs w:val="16"/>
              </w:rPr>
              <w:t>present</w:t>
            </w:r>
            <w:r w:rsidRPr="00AD2FDD">
              <w:rPr>
                <w:rFonts w:eastAsia="Arial" w:cs="Arial"/>
                <w:sz w:val="16"/>
                <w:szCs w:val="16"/>
              </w:rPr>
              <w:t xml:space="preserve"> additional information on </w:t>
            </w:r>
            <w:r w:rsidRPr="00AD2FDD" w:rsidR="00656A44">
              <w:rPr>
                <w:rFonts w:eastAsia="Arial" w:cs="Arial"/>
                <w:sz w:val="16"/>
                <w:szCs w:val="16"/>
              </w:rPr>
              <w:t xml:space="preserve">the </w:t>
            </w:r>
            <w:r w:rsidRPr="00AD2FDD">
              <w:rPr>
                <w:rFonts w:eastAsia="Arial" w:cs="Arial"/>
                <w:sz w:val="16"/>
                <w:szCs w:val="16"/>
              </w:rPr>
              <w:t>parameters used in these calculations.</w:t>
            </w:r>
          </w:p>
        </w:tc>
      </w:tr>
      <w:tr w:rsidRPr="00AD2FDD" w:rsidR="00724108" w:rsidTr="00BA15A2" w14:paraId="46C132C8" w14:textId="77777777">
        <w:tc>
          <w:tcPr>
            <w:tcW w:w="9468" w:type="dxa"/>
            <w:gridSpan w:val="11"/>
            <w:tcBorders>
              <w:top w:val="nil"/>
            </w:tcBorders>
          </w:tcPr>
          <w:p w:rsidRPr="00AD2FDD" w:rsidR="00724108" w:rsidP="00AE6FD8" w:rsidRDefault="00724108" w14:paraId="6DF40DC5" w14:textId="77777777"/>
        </w:tc>
      </w:tr>
      <w:tr w:rsidRPr="00AD2FDD" w:rsidR="00D520BD" w:rsidTr="00E30B3F" w14:paraId="7814DC0D" w14:textId="77777777">
        <w:trPr>
          <w:trHeight w:val="3410"/>
        </w:trPr>
        <w:tc>
          <w:tcPr>
            <w:tcW w:w="9468" w:type="dxa"/>
            <w:gridSpan w:val="11"/>
          </w:tcPr>
          <w:p w:rsidRPr="00AD2FDD" w:rsidR="00D520BD" w:rsidP="00724108" w:rsidRDefault="00D520BD" w14:paraId="263140F0" w14:textId="77777777">
            <w:pPr>
              <w:pageBreakBefore/>
              <w:widowControl w:val="0"/>
              <w:spacing w:before="120"/>
              <w:ind w:left="418" w:hanging="418"/>
              <w:rPr>
                <w:rFonts w:cs="Arial"/>
                <w:b/>
                <w:i/>
                <w:szCs w:val="16"/>
              </w:rPr>
            </w:pPr>
            <w:r w:rsidRPr="00AD2FDD">
              <w:rPr>
                <w:rFonts w:cs="Arial"/>
                <w:b/>
                <w:i/>
                <w:szCs w:val="16"/>
              </w:rPr>
              <w:t>C.3  Expand Initial Drug Testing Panel to Include 6-AM and Revise Confirmatory Testing Cutoff Level for 6-AM</w:t>
            </w:r>
          </w:p>
          <w:p w:rsidRPr="00FF3A46" w:rsidR="00D520BD" w:rsidP="00982BD1" w:rsidRDefault="00D520BD" w14:paraId="4A94FB72" w14:textId="77777777">
            <w:pPr>
              <w:widowControl w:val="0"/>
              <w:rPr>
                <w:rFonts w:eastAsia="Arial"/>
                <w:sz w:val="16"/>
              </w:rPr>
            </w:pPr>
          </w:p>
          <w:p w:rsidRPr="00FF3A46" w:rsidR="00D520BD" w:rsidP="009F1479" w:rsidRDefault="00D520BD" w14:paraId="507F3076" w14:textId="28458283">
            <w:pPr>
              <w:widowControl w:val="0"/>
              <w:spacing w:after="120"/>
              <w:rPr>
                <w:rFonts w:eastAsia="Arial"/>
                <w:sz w:val="16"/>
              </w:rPr>
            </w:pPr>
            <w:r w:rsidRPr="00FF3A46">
              <w:rPr>
                <w:rFonts w:eastAsia="Arial"/>
                <w:sz w:val="16"/>
              </w:rPr>
              <w:t xml:space="preserve">The </w:t>
            </w:r>
            <w:r w:rsidRPr="00FF3A46" w:rsidR="0021730B">
              <w:rPr>
                <w:rFonts w:eastAsia="Arial"/>
                <w:sz w:val="16"/>
              </w:rPr>
              <w:t xml:space="preserve">final </w:t>
            </w:r>
            <w:r w:rsidRPr="00FF3A46">
              <w:rPr>
                <w:rFonts w:eastAsia="Arial"/>
                <w:sz w:val="16"/>
              </w:rPr>
              <w:t>rule add</w:t>
            </w:r>
            <w:r w:rsidRPr="00FF3A46" w:rsidR="00AE744A">
              <w:rPr>
                <w:rFonts w:eastAsia="Arial"/>
                <w:sz w:val="16"/>
              </w:rPr>
              <w:t>s</w:t>
            </w:r>
            <w:r w:rsidRPr="00FF3A46">
              <w:rPr>
                <w:rFonts w:eastAsia="Arial"/>
                <w:sz w:val="16"/>
              </w:rPr>
              <w:t xml:space="preserve"> testing for 6</w:t>
            </w:r>
            <w:r w:rsidRPr="00FF3A46">
              <w:rPr>
                <w:rFonts w:eastAsia="Arial"/>
                <w:sz w:val="16"/>
              </w:rPr>
              <w:noBreakHyphen/>
              <w:t>acetylmorphine (6-AM) to the initial testing panel (10 CFR 26.31(d)(1) and 10 CFR 26.405(d</w:t>
            </w:r>
            <w:r w:rsidRPr="00AD2FDD">
              <w:rPr>
                <w:rFonts w:eastAsia="Arial" w:cs="Arial"/>
                <w:sz w:val="16"/>
                <w:szCs w:val="16"/>
              </w:rPr>
              <w:t>))</w:t>
            </w:r>
            <w:r w:rsidRPr="00FF3A46">
              <w:rPr>
                <w:rFonts w:eastAsia="Arial"/>
                <w:sz w:val="16"/>
              </w:rPr>
              <w:t xml:space="preserve"> </w:t>
            </w:r>
            <w:r w:rsidRPr="00FF3A46" w:rsidR="006A295F">
              <w:rPr>
                <w:rFonts w:eastAsia="Arial"/>
                <w:sz w:val="16"/>
              </w:rPr>
              <w:t xml:space="preserve">and </w:t>
            </w:r>
            <w:r w:rsidRPr="00FF3A46">
              <w:rPr>
                <w:rFonts w:eastAsia="Arial"/>
                <w:sz w:val="16"/>
              </w:rPr>
              <w:t>make</w:t>
            </w:r>
            <w:r w:rsidRPr="00FF3A46" w:rsidR="00B43104">
              <w:rPr>
                <w:rFonts w:eastAsia="Arial"/>
                <w:sz w:val="16"/>
              </w:rPr>
              <w:t>s</w:t>
            </w:r>
            <w:r w:rsidRPr="00FF3A46">
              <w:rPr>
                <w:rFonts w:eastAsia="Arial"/>
                <w:sz w:val="16"/>
              </w:rPr>
              <w:t xml:space="preserve"> conforming changes to the substances for initial testing (10 CFR 26.133</w:t>
            </w:r>
            <w:r w:rsidRPr="00AD2FDD">
              <w:rPr>
                <w:rFonts w:eastAsia="Arial"/>
                <w:sz w:val="16"/>
              </w:rPr>
              <w:t xml:space="preserve"> </w:t>
            </w:r>
            <w:r w:rsidRPr="00FF3A46">
              <w:rPr>
                <w:rFonts w:eastAsia="Arial"/>
                <w:sz w:val="16"/>
              </w:rPr>
              <w:t>and 10 CFR 26.163(a)(1)) and confirmatory testing (10 CFR 26.163(b)(1)).  These changes align 10 CFR Part 26 with Section 3.4 of the 2008 HHS Guidelines as follows:</w:t>
            </w:r>
          </w:p>
          <w:p w:rsidRPr="00AD2FDD" w:rsidR="00D520BD" w:rsidP="00FF3A46" w:rsidRDefault="003D384B" w14:paraId="674ECE57" w14:textId="1C2A69A7">
            <w:pPr>
              <w:pStyle w:val="ListParagraph"/>
              <w:keepNext/>
              <w:keepLines/>
              <w:numPr>
                <w:ilvl w:val="0"/>
                <w:numId w:val="43"/>
              </w:numPr>
              <w:spacing w:after="120"/>
              <w:ind w:hanging="448"/>
              <w:contextualSpacing w:val="0"/>
              <w:rPr>
                <w:rFonts w:eastAsia="Arial" w:cs="Arial"/>
                <w:sz w:val="16"/>
                <w:szCs w:val="16"/>
              </w:rPr>
            </w:pPr>
            <w:r>
              <w:rPr>
                <w:rFonts w:eastAsia="Arial" w:cs="Arial"/>
                <w:sz w:val="16"/>
                <w:szCs w:val="16"/>
              </w:rPr>
              <w:t>i</w:t>
            </w:r>
            <w:r w:rsidRPr="00AD2FDD" w:rsidR="00D520BD">
              <w:rPr>
                <w:rFonts w:eastAsia="Arial" w:cs="Arial"/>
                <w:sz w:val="16"/>
                <w:szCs w:val="16"/>
              </w:rPr>
              <w:t>nclude</w:t>
            </w:r>
            <w:r w:rsidRPr="00AD2FDD" w:rsidR="00DE0930">
              <w:rPr>
                <w:rFonts w:eastAsia="Arial" w:cs="Arial"/>
                <w:sz w:val="16"/>
                <w:szCs w:val="16"/>
              </w:rPr>
              <w:t>s</w:t>
            </w:r>
            <w:r w:rsidRPr="00FF3A46" w:rsidR="00D520BD">
              <w:rPr>
                <w:rFonts w:eastAsia="Arial"/>
                <w:sz w:val="16"/>
              </w:rPr>
              <w:t xml:space="preserve"> ini</w:t>
            </w:r>
            <w:r w:rsidRPr="00AD2FDD" w:rsidR="00D520BD">
              <w:rPr>
                <w:rFonts w:eastAsia="Arial" w:cs="Arial"/>
                <w:sz w:val="16"/>
                <w:szCs w:val="16"/>
              </w:rPr>
              <w:t>t</w:t>
            </w:r>
            <w:r w:rsidRPr="00FF3A46" w:rsidR="00D520BD">
              <w:rPr>
                <w:rFonts w:eastAsia="Arial"/>
                <w:sz w:val="16"/>
              </w:rPr>
              <w:t>ia</w:t>
            </w:r>
            <w:r w:rsidRPr="00AD2FDD" w:rsidR="00D520BD">
              <w:rPr>
                <w:rFonts w:eastAsia="Arial" w:cs="Arial"/>
                <w:sz w:val="16"/>
                <w:szCs w:val="16"/>
              </w:rPr>
              <w:t>l</w:t>
            </w:r>
            <w:r w:rsidRPr="00FF3A46" w:rsidR="00D520BD">
              <w:rPr>
                <w:rFonts w:eastAsia="Arial"/>
                <w:sz w:val="16"/>
              </w:rPr>
              <w:t xml:space="preserve"> </w:t>
            </w:r>
            <w:r w:rsidRPr="00AD2FDD" w:rsidR="00D520BD">
              <w:rPr>
                <w:rFonts w:eastAsia="Arial" w:cs="Arial"/>
                <w:sz w:val="16"/>
                <w:szCs w:val="16"/>
              </w:rPr>
              <w:t>tes</w:t>
            </w:r>
            <w:r w:rsidRPr="00FF3A46" w:rsidR="00D520BD">
              <w:rPr>
                <w:rFonts w:eastAsia="Arial"/>
                <w:sz w:val="16"/>
              </w:rPr>
              <w:t>tin</w:t>
            </w:r>
            <w:r w:rsidRPr="00AD2FDD" w:rsidR="00D520BD">
              <w:rPr>
                <w:rFonts w:eastAsia="Arial" w:cs="Arial"/>
                <w:sz w:val="16"/>
                <w:szCs w:val="16"/>
              </w:rPr>
              <w:t>g</w:t>
            </w:r>
            <w:r w:rsidRPr="00FF3A46" w:rsidR="00D520BD">
              <w:rPr>
                <w:rFonts w:eastAsia="Arial"/>
                <w:sz w:val="16"/>
              </w:rPr>
              <w:t xml:space="preserve"> </w:t>
            </w:r>
            <w:r w:rsidRPr="00AD2FDD" w:rsidR="00D520BD">
              <w:rPr>
                <w:rFonts w:eastAsia="Arial" w:cs="Arial"/>
                <w:sz w:val="16"/>
                <w:szCs w:val="16"/>
              </w:rPr>
              <w:t>for</w:t>
            </w:r>
            <w:r w:rsidRPr="00FF3A46" w:rsidR="00D520BD">
              <w:rPr>
                <w:rFonts w:eastAsia="Arial"/>
                <w:sz w:val="16"/>
              </w:rPr>
              <w:t xml:space="preserve"> 6</w:t>
            </w:r>
            <w:r w:rsidRPr="00AD2FDD" w:rsidR="00D520BD">
              <w:rPr>
                <w:rFonts w:eastAsia="Arial" w:cs="Arial"/>
                <w:sz w:val="16"/>
                <w:szCs w:val="16"/>
              </w:rPr>
              <w:t>-AM</w:t>
            </w:r>
            <w:r w:rsidRPr="00FF3A46" w:rsidR="00D520BD">
              <w:rPr>
                <w:rFonts w:eastAsia="Arial"/>
                <w:sz w:val="16"/>
              </w:rPr>
              <w:t xml:space="preserve"> (</w:t>
            </w:r>
            <w:r w:rsidRPr="00AD2FDD" w:rsidR="00D520BD">
              <w:rPr>
                <w:rFonts w:eastAsia="Arial" w:cs="Arial"/>
                <w:sz w:val="16"/>
                <w:szCs w:val="16"/>
              </w:rPr>
              <w:t>10</w:t>
            </w:r>
            <w:r w:rsidRPr="00FF3A46" w:rsidR="00D520BD">
              <w:rPr>
                <w:rFonts w:eastAsia="Arial"/>
                <w:sz w:val="16"/>
              </w:rPr>
              <w:t> ng/mL cutoff level</w:t>
            </w:r>
            <w:r w:rsidRPr="00AD2FDD" w:rsidR="00D520BD">
              <w:rPr>
                <w:rFonts w:eastAsia="Arial" w:cs="Arial"/>
                <w:sz w:val="16"/>
                <w:szCs w:val="16"/>
              </w:rPr>
              <w:t>)</w:t>
            </w:r>
          </w:p>
          <w:p w:rsidRPr="00AD2FDD" w:rsidR="00D520BD" w:rsidP="00FF3A46" w:rsidRDefault="003D384B" w14:paraId="554EBC24" w14:textId="72B0EB5D">
            <w:pPr>
              <w:pStyle w:val="ListParagraph"/>
              <w:keepNext/>
              <w:keepLines/>
              <w:numPr>
                <w:ilvl w:val="0"/>
                <w:numId w:val="43"/>
              </w:numPr>
              <w:spacing w:after="120"/>
              <w:ind w:left="446" w:hanging="446"/>
              <w:contextualSpacing w:val="0"/>
              <w:rPr>
                <w:rFonts w:eastAsia="Arial" w:cs="Arial"/>
                <w:sz w:val="16"/>
                <w:szCs w:val="16"/>
              </w:rPr>
            </w:pPr>
            <w:r>
              <w:rPr>
                <w:rFonts w:eastAsia="Arial" w:cs="Arial"/>
                <w:sz w:val="16"/>
                <w:szCs w:val="16"/>
              </w:rPr>
              <w:t>r</w:t>
            </w:r>
            <w:r w:rsidRPr="00AD2FDD" w:rsidR="00D520BD">
              <w:rPr>
                <w:rFonts w:eastAsia="Arial" w:cs="Arial"/>
                <w:sz w:val="16"/>
                <w:szCs w:val="16"/>
              </w:rPr>
              <w:t>emove</w:t>
            </w:r>
            <w:r w:rsidRPr="00AD2FDD" w:rsidR="00697D11">
              <w:rPr>
                <w:rFonts w:eastAsia="Arial" w:cs="Arial"/>
                <w:sz w:val="16"/>
                <w:szCs w:val="16"/>
              </w:rPr>
              <w:t>s</w:t>
            </w:r>
            <w:r w:rsidRPr="00FF3A46" w:rsidR="00D520BD">
              <w:rPr>
                <w:rFonts w:eastAsia="Arial"/>
                <w:sz w:val="16"/>
              </w:rPr>
              <w:t xml:space="preserve"> th</w:t>
            </w:r>
            <w:r w:rsidRPr="00AD2FDD" w:rsidR="00D520BD">
              <w:rPr>
                <w:rFonts w:eastAsia="Arial" w:cs="Arial"/>
                <w:sz w:val="16"/>
                <w:szCs w:val="16"/>
              </w:rPr>
              <w:t>e</w:t>
            </w:r>
            <w:r w:rsidRPr="00FF3A46" w:rsidR="00D520BD">
              <w:rPr>
                <w:rFonts w:eastAsia="Arial"/>
                <w:sz w:val="16"/>
              </w:rPr>
              <w:t xml:space="preserve"> </w:t>
            </w:r>
            <w:r w:rsidRPr="00AD2FDD" w:rsidR="00D520BD">
              <w:rPr>
                <w:rFonts w:eastAsia="Arial" w:cs="Arial"/>
                <w:sz w:val="16"/>
                <w:szCs w:val="16"/>
              </w:rPr>
              <w:t>re</w:t>
            </w:r>
            <w:r w:rsidRPr="00FF3A46" w:rsidR="00D520BD">
              <w:rPr>
                <w:rFonts w:eastAsia="Arial"/>
                <w:sz w:val="16"/>
              </w:rPr>
              <w:t>qui</w:t>
            </w:r>
            <w:r w:rsidRPr="00AD2FDD" w:rsidR="00D520BD">
              <w:rPr>
                <w:rFonts w:eastAsia="Arial" w:cs="Arial"/>
                <w:sz w:val="16"/>
                <w:szCs w:val="16"/>
              </w:rPr>
              <w:t>r</w:t>
            </w:r>
            <w:r w:rsidRPr="00FF3A46" w:rsidR="00D520BD">
              <w:rPr>
                <w:rFonts w:eastAsia="Arial"/>
                <w:sz w:val="16"/>
              </w:rPr>
              <w:t>e</w:t>
            </w:r>
            <w:r w:rsidRPr="00AD2FDD" w:rsidR="00D520BD">
              <w:rPr>
                <w:rFonts w:eastAsia="Arial" w:cs="Arial"/>
                <w:sz w:val="16"/>
                <w:szCs w:val="16"/>
              </w:rPr>
              <w:t>m</w:t>
            </w:r>
            <w:r w:rsidRPr="00FF3A46" w:rsidR="00D520BD">
              <w:rPr>
                <w:rFonts w:eastAsia="Arial"/>
                <w:sz w:val="16"/>
              </w:rPr>
              <w:t>en</w:t>
            </w:r>
            <w:r w:rsidRPr="00AD2FDD" w:rsidR="00D520BD">
              <w:rPr>
                <w:rFonts w:eastAsia="Arial" w:cs="Arial"/>
                <w:sz w:val="16"/>
                <w:szCs w:val="16"/>
              </w:rPr>
              <w:t>t</w:t>
            </w:r>
            <w:r w:rsidRPr="00FF3A46" w:rsidR="00D520BD">
              <w:rPr>
                <w:rFonts w:eastAsia="Arial"/>
                <w:sz w:val="16"/>
              </w:rPr>
              <w:t xml:space="preserve"> tha</w:t>
            </w:r>
            <w:r w:rsidRPr="00AD2FDD" w:rsidR="00D520BD">
              <w:rPr>
                <w:rFonts w:eastAsia="Arial" w:cs="Arial"/>
                <w:sz w:val="16"/>
                <w:szCs w:val="16"/>
              </w:rPr>
              <w:t>t</w:t>
            </w:r>
            <w:r w:rsidRPr="00FF3A46" w:rsidR="00D520BD">
              <w:rPr>
                <w:rFonts w:eastAsia="Arial"/>
                <w:sz w:val="16"/>
              </w:rPr>
              <w:t xml:space="preserve"> </w:t>
            </w:r>
            <w:r w:rsidRPr="00AD2FDD" w:rsidR="00D520BD">
              <w:rPr>
                <w:rFonts w:eastAsia="Arial" w:cs="Arial"/>
                <w:sz w:val="16"/>
                <w:szCs w:val="16"/>
              </w:rPr>
              <w:t>c</w:t>
            </w:r>
            <w:r w:rsidRPr="00FF3A46" w:rsidR="00D520BD">
              <w:rPr>
                <w:rFonts w:eastAsia="Arial"/>
                <w:sz w:val="16"/>
              </w:rPr>
              <w:t>on</w:t>
            </w:r>
            <w:r w:rsidRPr="00AD2FDD" w:rsidR="00D520BD">
              <w:rPr>
                <w:rFonts w:eastAsia="Arial" w:cs="Arial"/>
                <w:sz w:val="16"/>
                <w:szCs w:val="16"/>
              </w:rPr>
              <w:t>f</w:t>
            </w:r>
            <w:r w:rsidRPr="00FF3A46" w:rsidR="00D520BD">
              <w:rPr>
                <w:rFonts w:eastAsia="Arial"/>
                <w:sz w:val="16"/>
              </w:rPr>
              <w:t>i</w:t>
            </w:r>
            <w:r w:rsidRPr="00AD2FDD" w:rsidR="00D520BD">
              <w:rPr>
                <w:rFonts w:eastAsia="Arial" w:cs="Arial"/>
                <w:sz w:val="16"/>
                <w:szCs w:val="16"/>
              </w:rPr>
              <w:t>r</w:t>
            </w:r>
            <w:r w:rsidRPr="00FF3A46" w:rsidR="00D520BD">
              <w:rPr>
                <w:rFonts w:eastAsia="Arial"/>
                <w:sz w:val="16"/>
              </w:rPr>
              <w:t>m</w:t>
            </w:r>
            <w:r w:rsidRPr="00AD2FDD" w:rsidR="00D520BD">
              <w:rPr>
                <w:rFonts w:eastAsia="Arial" w:cs="Arial"/>
                <w:sz w:val="16"/>
                <w:szCs w:val="16"/>
              </w:rPr>
              <w:t>atory</w:t>
            </w:r>
            <w:r w:rsidRPr="00FF3A46" w:rsidR="00D520BD">
              <w:rPr>
                <w:rFonts w:eastAsia="Arial"/>
                <w:sz w:val="16"/>
              </w:rPr>
              <w:t xml:space="preserve"> testing </w:t>
            </w:r>
            <w:r w:rsidRPr="00AD2FDD" w:rsidR="00D520BD">
              <w:rPr>
                <w:rFonts w:eastAsia="Arial" w:cs="Arial"/>
                <w:sz w:val="16"/>
                <w:szCs w:val="16"/>
              </w:rPr>
              <w:t>of</w:t>
            </w:r>
            <w:r w:rsidRPr="00FF3A46" w:rsidR="00D520BD">
              <w:rPr>
                <w:rFonts w:eastAsia="Arial"/>
                <w:sz w:val="16"/>
              </w:rPr>
              <w:t xml:space="preserve"> </w:t>
            </w:r>
            <w:r w:rsidRPr="00AD2FDD" w:rsidR="00D520BD">
              <w:rPr>
                <w:rFonts w:eastAsia="Arial" w:cs="Arial"/>
                <w:sz w:val="16"/>
                <w:szCs w:val="16"/>
              </w:rPr>
              <w:t>6-AM</w:t>
            </w:r>
            <w:r w:rsidRPr="00FF3A46" w:rsidR="00D520BD">
              <w:rPr>
                <w:rFonts w:eastAsia="Arial"/>
                <w:sz w:val="16"/>
              </w:rPr>
              <w:t xml:space="preserve"> onl</w:t>
            </w:r>
            <w:r w:rsidRPr="00AD2FDD" w:rsidR="00D520BD">
              <w:rPr>
                <w:rFonts w:eastAsia="Arial" w:cs="Arial"/>
                <w:sz w:val="16"/>
                <w:szCs w:val="16"/>
              </w:rPr>
              <w:t>y</w:t>
            </w:r>
            <w:r w:rsidRPr="00FF3A46" w:rsidR="00D520BD">
              <w:rPr>
                <w:rFonts w:eastAsia="Arial"/>
                <w:sz w:val="16"/>
              </w:rPr>
              <w:t xml:space="preserve"> </w:t>
            </w:r>
            <w:r w:rsidRPr="00AD2FDD" w:rsidR="00D520BD">
              <w:rPr>
                <w:rFonts w:eastAsia="Arial" w:cs="Arial"/>
                <w:sz w:val="16"/>
                <w:szCs w:val="16"/>
              </w:rPr>
              <w:t>proceed</w:t>
            </w:r>
            <w:r w:rsidRPr="00FF3A46" w:rsidR="00D520BD">
              <w:rPr>
                <w:rFonts w:eastAsia="Arial"/>
                <w:sz w:val="16"/>
              </w:rPr>
              <w:t xml:space="preserve"> whe</w:t>
            </w:r>
            <w:r w:rsidRPr="00AD2FDD" w:rsidR="00D520BD">
              <w:rPr>
                <w:rFonts w:eastAsia="Arial" w:cs="Arial"/>
                <w:sz w:val="16"/>
                <w:szCs w:val="16"/>
              </w:rPr>
              <w:t>n</w:t>
            </w:r>
            <w:r w:rsidRPr="00FF3A46" w:rsidR="00D520BD">
              <w:rPr>
                <w:rFonts w:eastAsia="Arial"/>
                <w:sz w:val="16"/>
              </w:rPr>
              <w:t xml:space="preserve"> </w:t>
            </w:r>
            <w:r w:rsidRPr="00AD2FDD" w:rsidR="00D520BD">
              <w:rPr>
                <w:rFonts w:eastAsia="Arial" w:cs="Arial"/>
                <w:sz w:val="16"/>
                <w:szCs w:val="16"/>
              </w:rPr>
              <w:t>co</w:t>
            </w:r>
            <w:r w:rsidRPr="00FF3A46" w:rsidR="00D520BD">
              <w:rPr>
                <w:rFonts w:eastAsia="Arial"/>
                <w:sz w:val="16"/>
              </w:rPr>
              <w:t>n</w:t>
            </w:r>
            <w:r w:rsidRPr="00AD2FDD" w:rsidR="00D520BD">
              <w:rPr>
                <w:rFonts w:eastAsia="Arial" w:cs="Arial"/>
                <w:sz w:val="16"/>
                <w:szCs w:val="16"/>
              </w:rPr>
              <w:t>f</w:t>
            </w:r>
            <w:r w:rsidRPr="00FF3A46" w:rsidR="00D520BD">
              <w:rPr>
                <w:rFonts w:eastAsia="Arial"/>
                <w:sz w:val="16"/>
              </w:rPr>
              <w:t>i</w:t>
            </w:r>
            <w:r w:rsidRPr="00AD2FDD" w:rsidR="00D520BD">
              <w:rPr>
                <w:rFonts w:eastAsia="Arial" w:cs="Arial"/>
                <w:sz w:val="16"/>
                <w:szCs w:val="16"/>
              </w:rPr>
              <w:t>rm</w:t>
            </w:r>
            <w:r w:rsidRPr="00FF3A46" w:rsidR="00D520BD">
              <w:rPr>
                <w:rFonts w:eastAsia="Arial"/>
                <w:sz w:val="16"/>
              </w:rPr>
              <w:t>a</w:t>
            </w:r>
            <w:r w:rsidRPr="00AD2FDD" w:rsidR="00D520BD">
              <w:rPr>
                <w:rFonts w:eastAsia="Arial" w:cs="Arial"/>
                <w:sz w:val="16"/>
                <w:szCs w:val="16"/>
              </w:rPr>
              <w:t>to</w:t>
            </w:r>
            <w:r w:rsidRPr="00FF3A46" w:rsidR="00D520BD">
              <w:rPr>
                <w:rFonts w:eastAsia="Arial"/>
                <w:sz w:val="16"/>
              </w:rPr>
              <w:t>r</w:t>
            </w:r>
            <w:r w:rsidRPr="00AD2FDD" w:rsidR="00D520BD">
              <w:rPr>
                <w:rFonts w:eastAsia="Arial" w:cs="Arial"/>
                <w:sz w:val="16"/>
                <w:szCs w:val="16"/>
              </w:rPr>
              <w:t>y</w:t>
            </w:r>
            <w:r w:rsidRPr="00FF3A46" w:rsidR="00D520BD">
              <w:rPr>
                <w:rFonts w:eastAsia="Arial"/>
                <w:sz w:val="16"/>
              </w:rPr>
              <w:t xml:space="preserve"> testing show</w:t>
            </w:r>
            <w:r w:rsidRPr="00AD2FDD" w:rsidR="00D520BD">
              <w:rPr>
                <w:rFonts w:eastAsia="Arial" w:cs="Arial"/>
                <w:sz w:val="16"/>
                <w:szCs w:val="16"/>
              </w:rPr>
              <w:t>s</w:t>
            </w:r>
            <w:r w:rsidRPr="00FF3A46" w:rsidR="00D520BD">
              <w:rPr>
                <w:rFonts w:eastAsia="Arial"/>
                <w:sz w:val="16"/>
              </w:rPr>
              <w:t xml:space="preserve"> </w:t>
            </w:r>
            <w:r w:rsidRPr="00AD2FDD" w:rsidR="00D520BD">
              <w:rPr>
                <w:rFonts w:eastAsia="Arial" w:cs="Arial"/>
                <w:sz w:val="16"/>
                <w:szCs w:val="16"/>
              </w:rPr>
              <w:t>a</w:t>
            </w:r>
            <w:r w:rsidRPr="00FF3A46" w:rsidR="00D520BD">
              <w:rPr>
                <w:rFonts w:eastAsia="Arial"/>
                <w:sz w:val="16"/>
              </w:rPr>
              <w:t xml:space="preserve"> </w:t>
            </w:r>
            <w:r w:rsidRPr="00AD2FDD" w:rsidR="00D520BD">
              <w:rPr>
                <w:rFonts w:eastAsia="Arial" w:cs="Arial"/>
                <w:sz w:val="16"/>
                <w:szCs w:val="16"/>
              </w:rPr>
              <w:t>mo</w:t>
            </w:r>
            <w:r w:rsidRPr="00FF3A46" w:rsidR="00D520BD">
              <w:rPr>
                <w:rFonts w:eastAsia="Arial"/>
                <w:sz w:val="16"/>
              </w:rPr>
              <w:t>rphin</w:t>
            </w:r>
            <w:r w:rsidRPr="00AD2FDD" w:rsidR="00D520BD">
              <w:rPr>
                <w:rFonts w:eastAsia="Arial" w:cs="Arial"/>
                <w:sz w:val="16"/>
                <w:szCs w:val="16"/>
              </w:rPr>
              <w:t>e</w:t>
            </w:r>
            <w:r w:rsidRPr="00FF3A46" w:rsidR="00D520BD">
              <w:rPr>
                <w:rFonts w:eastAsia="Arial"/>
                <w:sz w:val="16"/>
              </w:rPr>
              <w:t xml:space="preserve"> c</w:t>
            </w:r>
            <w:r w:rsidRPr="00AD2FDD" w:rsidR="00D520BD">
              <w:rPr>
                <w:rFonts w:eastAsia="Arial" w:cs="Arial"/>
                <w:sz w:val="16"/>
                <w:szCs w:val="16"/>
              </w:rPr>
              <w:t>o</w:t>
            </w:r>
            <w:r w:rsidRPr="00FF3A46" w:rsidR="00D520BD">
              <w:rPr>
                <w:rFonts w:eastAsia="Arial"/>
                <w:sz w:val="16"/>
              </w:rPr>
              <w:t>n</w:t>
            </w:r>
            <w:r w:rsidRPr="00AD2FDD" w:rsidR="00D520BD">
              <w:rPr>
                <w:rFonts w:eastAsia="Arial" w:cs="Arial"/>
                <w:sz w:val="16"/>
                <w:szCs w:val="16"/>
              </w:rPr>
              <w:t>c</w:t>
            </w:r>
            <w:r w:rsidRPr="00FF3A46" w:rsidR="00D520BD">
              <w:rPr>
                <w:rFonts w:eastAsia="Arial"/>
                <w:sz w:val="16"/>
              </w:rPr>
              <w:t>ent</w:t>
            </w:r>
            <w:r w:rsidRPr="00AD2FDD" w:rsidR="00D520BD">
              <w:rPr>
                <w:rFonts w:eastAsia="Arial" w:cs="Arial"/>
                <w:sz w:val="16"/>
                <w:szCs w:val="16"/>
              </w:rPr>
              <w:t>ra</w:t>
            </w:r>
            <w:r w:rsidRPr="00FF3A46" w:rsidR="00D520BD">
              <w:rPr>
                <w:rFonts w:eastAsia="Arial"/>
                <w:sz w:val="16"/>
              </w:rPr>
              <w:t>ti</w:t>
            </w:r>
            <w:r w:rsidRPr="00AD2FDD" w:rsidR="00D520BD">
              <w:rPr>
                <w:rFonts w:eastAsia="Arial" w:cs="Arial"/>
                <w:sz w:val="16"/>
                <w:szCs w:val="16"/>
              </w:rPr>
              <w:t>on</w:t>
            </w:r>
            <w:r w:rsidRPr="00FF3A46" w:rsidR="00D520BD">
              <w:rPr>
                <w:rFonts w:eastAsia="Arial"/>
                <w:sz w:val="16"/>
              </w:rPr>
              <w:t xml:space="preserve"> exceeding 2</w:t>
            </w:r>
            <w:r w:rsidRPr="00FF3A46" w:rsidR="00646A79">
              <w:rPr>
                <w:rFonts w:eastAsia="Arial"/>
                <w:sz w:val="16"/>
              </w:rPr>
              <w:t>,</w:t>
            </w:r>
            <w:r w:rsidRPr="00AD2FDD" w:rsidR="00D520BD">
              <w:rPr>
                <w:rFonts w:eastAsia="Arial" w:cs="Arial"/>
                <w:sz w:val="16"/>
                <w:szCs w:val="16"/>
              </w:rPr>
              <w:t>000</w:t>
            </w:r>
            <w:r w:rsidRPr="00FF3A46" w:rsidR="00D520BD">
              <w:rPr>
                <w:rFonts w:eastAsia="Arial"/>
                <w:sz w:val="16"/>
              </w:rPr>
              <w:t> n</w:t>
            </w:r>
            <w:r w:rsidRPr="00AD2FDD" w:rsidR="00D520BD">
              <w:rPr>
                <w:rFonts w:eastAsia="Arial" w:cs="Arial"/>
                <w:sz w:val="16"/>
                <w:szCs w:val="16"/>
              </w:rPr>
              <w:t>g</w:t>
            </w:r>
            <w:r w:rsidRPr="00FF3A46" w:rsidR="00D520BD">
              <w:rPr>
                <w:rFonts w:eastAsia="Arial"/>
                <w:sz w:val="16"/>
              </w:rPr>
              <w:t>/</w:t>
            </w:r>
            <w:r w:rsidRPr="00AD2FDD" w:rsidR="00D520BD">
              <w:rPr>
                <w:rFonts w:eastAsia="Arial" w:cs="Arial"/>
                <w:sz w:val="16"/>
                <w:szCs w:val="16"/>
              </w:rPr>
              <w:t>mL</w:t>
            </w:r>
            <w:r w:rsidRPr="00FF3A46" w:rsidR="00D520BD">
              <w:rPr>
                <w:rFonts w:eastAsia="Arial"/>
                <w:sz w:val="16"/>
              </w:rPr>
              <w:t xml:space="preserve"> </w:t>
            </w:r>
            <w:r w:rsidRPr="00AD2FDD" w:rsidR="00D520BD">
              <w:rPr>
                <w:rFonts w:eastAsia="Arial" w:cs="Arial"/>
                <w:sz w:val="16"/>
                <w:szCs w:val="16"/>
              </w:rPr>
              <w:t>(such that</w:t>
            </w:r>
            <w:r w:rsidRPr="00AD2FDD" w:rsidR="00646A79">
              <w:rPr>
                <w:rFonts w:eastAsia="Arial" w:cs="Arial"/>
                <w:sz w:val="16"/>
                <w:szCs w:val="16"/>
              </w:rPr>
              <w:t>,</w:t>
            </w:r>
            <w:r w:rsidRPr="00AD2FDD" w:rsidR="00D520BD">
              <w:rPr>
                <w:rFonts w:eastAsia="Arial" w:cs="Arial"/>
                <w:sz w:val="16"/>
                <w:szCs w:val="16"/>
              </w:rPr>
              <w:t xml:space="preserve"> under the </w:t>
            </w:r>
            <w:r w:rsidRPr="00AD2FDD" w:rsidR="00C82438">
              <w:rPr>
                <w:rFonts w:eastAsia="Arial" w:cs="Arial"/>
                <w:sz w:val="16"/>
                <w:szCs w:val="16"/>
              </w:rPr>
              <w:t>final</w:t>
            </w:r>
            <w:r w:rsidRPr="00AD2FDD" w:rsidR="00D520BD">
              <w:rPr>
                <w:rFonts w:eastAsia="Arial" w:cs="Arial"/>
                <w:sz w:val="16"/>
                <w:szCs w:val="16"/>
              </w:rPr>
              <w:t xml:space="preserve"> rule</w:t>
            </w:r>
            <w:r w:rsidRPr="00AD2FDD" w:rsidR="00646A79">
              <w:rPr>
                <w:rFonts w:eastAsia="Arial" w:cs="Arial"/>
                <w:sz w:val="16"/>
                <w:szCs w:val="16"/>
              </w:rPr>
              <w:t>,</w:t>
            </w:r>
            <w:r w:rsidRPr="00AD2FDD" w:rsidR="00D520BD">
              <w:rPr>
                <w:rFonts w:eastAsia="Arial" w:cs="Arial"/>
                <w:sz w:val="16"/>
                <w:szCs w:val="16"/>
              </w:rPr>
              <w:t xml:space="preserve"> </w:t>
            </w:r>
            <w:r w:rsidRPr="00FF3A46" w:rsidR="00D520BD">
              <w:rPr>
                <w:rFonts w:eastAsia="Arial"/>
                <w:sz w:val="16"/>
              </w:rPr>
              <w:t>i</w:t>
            </w:r>
            <w:r w:rsidRPr="00AD2FDD" w:rsidR="00D520BD">
              <w:rPr>
                <w:rFonts w:eastAsia="Arial" w:cs="Arial"/>
                <w:sz w:val="16"/>
                <w:szCs w:val="16"/>
              </w:rPr>
              <w:t>f</w:t>
            </w:r>
            <w:r w:rsidRPr="00FF3A46" w:rsidR="00D520BD">
              <w:rPr>
                <w:rFonts w:eastAsia="Arial"/>
                <w:sz w:val="16"/>
              </w:rPr>
              <w:t xml:space="preserve"> ini</w:t>
            </w:r>
            <w:r w:rsidRPr="00AD2FDD" w:rsidR="00D520BD">
              <w:rPr>
                <w:rFonts w:eastAsia="Arial" w:cs="Arial"/>
                <w:sz w:val="16"/>
                <w:szCs w:val="16"/>
              </w:rPr>
              <w:t>t</w:t>
            </w:r>
            <w:r w:rsidRPr="00FF3A46" w:rsidR="00D520BD">
              <w:rPr>
                <w:rFonts w:eastAsia="Arial"/>
                <w:sz w:val="16"/>
              </w:rPr>
              <w:t>ia</w:t>
            </w:r>
            <w:r w:rsidRPr="00AD2FDD" w:rsidR="00D520BD">
              <w:rPr>
                <w:rFonts w:eastAsia="Arial" w:cs="Arial"/>
                <w:sz w:val="16"/>
                <w:szCs w:val="16"/>
              </w:rPr>
              <w:t>l test</w:t>
            </w:r>
            <w:r w:rsidRPr="00FF3A46" w:rsidR="00D520BD">
              <w:rPr>
                <w:rFonts w:eastAsia="Arial"/>
                <w:sz w:val="16"/>
              </w:rPr>
              <w:t>in</w:t>
            </w:r>
            <w:r w:rsidRPr="00AD2FDD" w:rsidR="00D520BD">
              <w:rPr>
                <w:rFonts w:eastAsia="Arial" w:cs="Arial"/>
                <w:sz w:val="16"/>
                <w:szCs w:val="16"/>
              </w:rPr>
              <w:t>g</w:t>
            </w:r>
            <w:r w:rsidRPr="00FF3A46" w:rsidR="00D520BD">
              <w:rPr>
                <w:rFonts w:eastAsia="Arial"/>
                <w:sz w:val="16"/>
              </w:rPr>
              <w:t xml:space="preserve"> </w:t>
            </w:r>
            <w:r w:rsidRPr="00AD2FDD" w:rsidR="00D520BD">
              <w:rPr>
                <w:rFonts w:eastAsia="Arial" w:cs="Arial"/>
                <w:sz w:val="16"/>
                <w:szCs w:val="16"/>
              </w:rPr>
              <w:t>for</w:t>
            </w:r>
            <w:r w:rsidRPr="00FF3A46" w:rsidR="00D520BD">
              <w:rPr>
                <w:rFonts w:eastAsia="Arial"/>
                <w:sz w:val="16"/>
              </w:rPr>
              <w:t xml:space="preserve"> 6-</w:t>
            </w:r>
            <w:r w:rsidRPr="00AD2FDD" w:rsidR="00D520BD">
              <w:rPr>
                <w:rFonts w:eastAsia="Arial" w:cs="Arial"/>
                <w:sz w:val="16"/>
                <w:szCs w:val="16"/>
              </w:rPr>
              <w:t>AM</w:t>
            </w:r>
            <w:r w:rsidRPr="00FF3A46" w:rsidR="00D520BD">
              <w:rPr>
                <w:rFonts w:eastAsia="Arial"/>
                <w:sz w:val="16"/>
              </w:rPr>
              <w:t xml:space="preserve"> i</w:t>
            </w:r>
            <w:r w:rsidRPr="00AD2FDD" w:rsidR="00D520BD">
              <w:rPr>
                <w:rFonts w:eastAsia="Arial" w:cs="Arial"/>
                <w:sz w:val="16"/>
                <w:szCs w:val="16"/>
              </w:rPr>
              <w:t>s</w:t>
            </w:r>
            <w:r w:rsidRPr="00FF3A46" w:rsidR="00D520BD">
              <w:rPr>
                <w:rFonts w:eastAsia="Arial"/>
                <w:sz w:val="16"/>
              </w:rPr>
              <w:t xml:space="preserve"> </w:t>
            </w:r>
            <w:r w:rsidRPr="00AD2FDD" w:rsidR="00D520BD">
              <w:rPr>
                <w:rFonts w:eastAsia="Arial" w:cs="Arial"/>
                <w:sz w:val="16"/>
                <w:szCs w:val="16"/>
              </w:rPr>
              <w:t>po</w:t>
            </w:r>
            <w:r w:rsidRPr="00FF3A46" w:rsidR="00D520BD">
              <w:rPr>
                <w:rFonts w:eastAsia="Arial"/>
                <w:sz w:val="16"/>
              </w:rPr>
              <w:t>sitiv</w:t>
            </w:r>
            <w:r w:rsidRPr="00AD2FDD" w:rsidR="00D520BD">
              <w:rPr>
                <w:rFonts w:eastAsia="Arial" w:cs="Arial"/>
                <w:sz w:val="16"/>
                <w:szCs w:val="16"/>
              </w:rPr>
              <w:t>e</w:t>
            </w:r>
            <w:r w:rsidRPr="00AD2FDD" w:rsidR="00646A79">
              <w:rPr>
                <w:rFonts w:eastAsia="Arial" w:cs="Arial"/>
                <w:sz w:val="16"/>
                <w:szCs w:val="16"/>
              </w:rPr>
              <w:t>,</w:t>
            </w:r>
            <w:r w:rsidRPr="00FF3A46" w:rsidR="00D520BD">
              <w:rPr>
                <w:rFonts w:eastAsia="Arial"/>
                <w:sz w:val="16"/>
              </w:rPr>
              <w:t xml:space="preserve"> </w:t>
            </w:r>
            <w:r w:rsidRPr="00AD2FDD" w:rsidR="00D520BD">
              <w:rPr>
                <w:rFonts w:eastAsia="Arial" w:cs="Arial"/>
                <w:sz w:val="16"/>
                <w:szCs w:val="16"/>
              </w:rPr>
              <w:t>c</w:t>
            </w:r>
            <w:r w:rsidRPr="00FF3A46" w:rsidR="00D520BD">
              <w:rPr>
                <w:rFonts w:eastAsia="Arial"/>
                <w:sz w:val="16"/>
              </w:rPr>
              <w:t>on</w:t>
            </w:r>
            <w:r w:rsidRPr="00AD2FDD" w:rsidR="00D520BD">
              <w:rPr>
                <w:rFonts w:eastAsia="Arial" w:cs="Arial"/>
                <w:sz w:val="16"/>
                <w:szCs w:val="16"/>
              </w:rPr>
              <w:t>f</w:t>
            </w:r>
            <w:r w:rsidRPr="00FF3A46" w:rsidR="00D520BD">
              <w:rPr>
                <w:rFonts w:eastAsia="Arial"/>
                <w:sz w:val="16"/>
              </w:rPr>
              <w:t>i</w:t>
            </w:r>
            <w:r w:rsidRPr="00AD2FDD" w:rsidR="00D520BD">
              <w:rPr>
                <w:rFonts w:eastAsia="Arial" w:cs="Arial"/>
                <w:sz w:val="16"/>
                <w:szCs w:val="16"/>
              </w:rPr>
              <w:t>rm</w:t>
            </w:r>
            <w:r w:rsidRPr="00FF3A46" w:rsidR="00D520BD">
              <w:rPr>
                <w:rFonts w:eastAsia="Arial"/>
                <w:sz w:val="16"/>
              </w:rPr>
              <w:t>a</w:t>
            </w:r>
            <w:r w:rsidRPr="00AD2FDD" w:rsidR="00D520BD">
              <w:rPr>
                <w:rFonts w:eastAsia="Arial" w:cs="Arial"/>
                <w:sz w:val="16"/>
                <w:szCs w:val="16"/>
              </w:rPr>
              <w:t>tory</w:t>
            </w:r>
            <w:r w:rsidRPr="00FF3A46" w:rsidR="00D520BD">
              <w:rPr>
                <w:rFonts w:eastAsia="Arial"/>
                <w:sz w:val="16"/>
              </w:rPr>
              <w:t xml:space="preserve"> </w:t>
            </w:r>
            <w:r w:rsidRPr="00AD2FDD" w:rsidR="00D520BD">
              <w:rPr>
                <w:rFonts w:eastAsia="Arial" w:cs="Arial"/>
                <w:sz w:val="16"/>
                <w:szCs w:val="16"/>
              </w:rPr>
              <w:t>test</w:t>
            </w:r>
            <w:r w:rsidRPr="00FF3A46" w:rsidR="00D520BD">
              <w:rPr>
                <w:rFonts w:eastAsia="Arial"/>
                <w:sz w:val="16"/>
              </w:rPr>
              <w:t>in</w:t>
            </w:r>
            <w:r w:rsidRPr="00AD2FDD" w:rsidR="00D520BD">
              <w:rPr>
                <w:rFonts w:eastAsia="Arial" w:cs="Arial"/>
                <w:sz w:val="16"/>
                <w:szCs w:val="16"/>
              </w:rPr>
              <w:t>g</w:t>
            </w:r>
            <w:r w:rsidRPr="00FF3A46" w:rsidR="00D520BD">
              <w:rPr>
                <w:rFonts w:eastAsia="Arial"/>
                <w:sz w:val="16"/>
              </w:rPr>
              <w:t xml:space="preserve"> </w:t>
            </w:r>
            <w:r w:rsidRPr="00AD2FDD" w:rsidR="00D520BD">
              <w:rPr>
                <w:rFonts w:eastAsia="Arial" w:cs="Arial"/>
                <w:sz w:val="16"/>
                <w:szCs w:val="16"/>
              </w:rPr>
              <w:t>for</w:t>
            </w:r>
            <w:r w:rsidRPr="00FF3A46" w:rsidR="00D520BD">
              <w:rPr>
                <w:rFonts w:eastAsia="Arial"/>
                <w:sz w:val="16"/>
              </w:rPr>
              <w:t xml:space="preserve"> 6-</w:t>
            </w:r>
            <w:r w:rsidRPr="00AD2FDD" w:rsidR="00D520BD">
              <w:rPr>
                <w:rFonts w:eastAsia="Arial" w:cs="Arial"/>
                <w:sz w:val="16"/>
                <w:szCs w:val="16"/>
              </w:rPr>
              <w:t>AM</w:t>
            </w:r>
            <w:r w:rsidRPr="00FF3A46" w:rsidR="00D520BD">
              <w:rPr>
                <w:rFonts w:eastAsia="Arial"/>
                <w:sz w:val="16"/>
              </w:rPr>
              <w:t xml:space="preserve"> </w:t>
            </w:r>
            <w:r w:rsidRPr="00AD2FDD" w:rsidR="00D520BD">
              <w:rPr>
                <w:rFonts w:eastAsia="Arial" w:cs="Arial"/>
                <w:sz w:val="16"/>
                <w:szCs w:val="16"/>
              </w:rPr>
              <w:t>pro</w:t>
            </w:r>
            <w:r w:rsidRPr="00FF3A46" w:rsidR="00D520BD">
              <w:rPr>
                <w:rFonts w:eastAsia="Arial"/>
                <w:sz w:val="16"/>
              </w:rPr>
              <w:t>c</w:t>
            </w:r>
            <w:r w:rsidRPr="00AD2FDD" w:rsidR="00D520BD">
              <w:rPr>
                <w:rFonts w:eastAsia="Arial" w:cs="Arial"/>
                <w:sz w:val="16"/>
                <w:szCs w:val="16"/>
              </w:rPr>
              <w:t>eeds</w:t>
            </w:r>
            <w:r w:rsidRPr="00FF3A46" w:rsidR="00D520BD">
              <w:rPr>
                <w:rFonts w:eastAsia="Arial"/>
                <w:sz w:val="16"/>
              </w:rPr>
              <w:t xml:space="preserve"> in</w:t>
            </w:r>
            <w:r w:rsidRPr="00AD2FDD" w:rsidR="00D520BD">
              <w:rPr>
                <w:rFonts w:eastAsia="Arial" w:cs="Arial"/>
                <w:sz w:val="16"/>
                <w:szCs w:val="16"/>
              </w:rPr>
              <w:t>de</w:t>
            </w:r>
            <w:r w:rsidRPr="00FF3A46" w:rsidR="00D520BD">
              <w:rPr>
                <w:rFonts w:eastAsia="Arial"/>
                <w:sz w:val="16"/>
              </w:rPr>
              <w:t>pen</w:t>
            </w:r>
            <w:r w:rsidRPr="00AD2FDD" w:rsidR="00D520BD">
              <w:rPr>
                <w:rFonts w:eastAsia="Arial" w:cs="Arial"/>
                <w:sz w:val="16"/>
                <w:szCs w:val="16"/>
              </w:rPr>
              <w:t>d</w:t>
            </w:r>
            <w:r w:rsidRPr="00FF3A46" w:rsidR="00D520BD">
              <w:rPr>
                <w:rFonts w:eastAsia="Arial"/>
                <w:sz w:val="16"/>
              </w:rPr>
              <w:t>en</w:t>
            </w:r>
            <w:r w:rsidRPr="00AD2FDD" w:rsidR="00D520BD">
              <w:rPr>
                <w:rFonts w:eastAsia="Arial" w:cs="Arial"/>
                <w:sz w:val="16"/>
                <w:szCs w:val="16"/>
              </w:rPr>
              <w:t>t</w:t>
            </w:r>
            <w:r w:rsidRPr="00FF3A46" w:rsidR="00D520BD">
              <w:rPr>
                <w:rFonts w:eastAsia="Arial"/>
                <w:sz w:val="16"/>
              </w:rPr>
              <w:t xml:space="preserve"> </w:t>
            </w:r>
            <w:r w:rsidRPr="00AD2FDD" w:rsidR="00D520BD">
              <w:rPr>
                <w:rFonts w:eastAsia="Arial" w:cs="Arial"/>
                <w:sz w:val="16"/>
                <w:szCs w:val="16"/>
              </w:rPr>
              <w:t>of</w:t>
            </w:r>
            <w:r w:rsidRPr="00FF3A46" w:rsidR="00D520BD">
              <w:rPr>
                <w:rFonts w:eastAsia="Arial"/>
                <w:sz w:val="16"/>
              </w:rPr>
              <w:t xml:space="preserve"> th</w:t>
            </w:r>
            <w:r w:rsidRPr="00AD2FDD" w:rsidR="00D520BD">
              <w:rPr>
                <w:rFonts w:eastAsia="Arial" w:cs="Arial"/>
                <w:sz w:val="16"/>
                <w:szCs w:val="16"/>
              </w:rPr>
              <w:t>e</w:t>
            </w:r>
            <w:r w:rsidRPr="00FF3A46" w:rsidR="00D520BD">
              <w:rPr>
                <w:rFonts w:eastAsia="Arial"/>
                <w:sz w:val="16"/>
              </w:rPr>
              <w:t xml:space="preserve"> </w:t>
            </w:r>
            <w:r w:rsidRPr="00AD2FDD" w:rsidR="00D520BD">
              <w:rPr>
                <w:rFonts w:eastAsia="Arial" w:cs="Arial"/>
                <w:sz w:val="16"/>
                <w:szCs w:val="16"/>
              </w:rPr>
              <w:t>m</w:t>
            </w:r>
            <w:r w:rsidRPr="00FF3A46" w:rsidR="00D520BD">
              <w:rPr>
                <w:rFonts w:eastAsia="Arial"/>
                <w:sz w:val="16"/>
              </w:rPr>
              <w:t>o</w:t>
            </w:r>
            <w:r w:rsidRPr="00AD2FDD" w:rsidR="00D520BD">
              <w:rPr>
                <w:rFonts w:eastAsia="Arial" w:cs="Arial"/>
                <w:sz w:val="16"/>
                <w:szCs w:val="16"/>
              </w:rPr>
              <w:t>r</w:t>
            </w:r>
            <w:r w:rsidRPr="00FF3A46" w:rsidR="00D520BD">
              <w:rPr>
                <w:rFonts w:eastAsia="Arial"/>
                <w:sz w:val="16"/>
              </w:rPr>
              <w:t>phin</w:t>
            </w:r>
            <w:r w:rsidRPr="00AD2FDD" w:rsidR="00D520BD">
              <w:rPr>
                <w:rFonts w:eastAsia="Arial" w:cs="Arial"/>
                <w:sz w:val="16"/>
                <w:szCs w:val="16"/>
              </w:rPr>
              <w:t>e</w:t>
            </w:r>
            <w:r w:rsidRPr="00FF3A46" w:rsidR="00D520BD">
              <w:rPr>
                <w:rFonts w:eastAsia="Arial"/>
                <w:sz w:val="16"/>
              </w:rPr>
              <w:t xml:space="preserve"> concentration</w:t>
            </w:r>
            <w:r w:rsidRPr="00AD2FDD" w:rsidR="00D520BD">
              <w:rPr>
                <w:rFonts w:eastAsia="Arial" w:cs="Arial"/>
                <w:sz w:val="16"/>
                <w:szCs w:val="16"/>
              </w:rPr>
              <w:t>)</w:t>
            </w:r>
          </w:p>
          <w:p w:rsidRPr="00AD2FDD" w:rsidR="00D520BD" w:rsidP="00E30B3F" w:rsidRDefault="00D520BD" w14:paraId="29493221" w14:textId="1F900FE6">
            <w:pPr>
              <w:keepNext/>
              <w:keepLines/>
              <w:spacing w:after="120"/>
              <w:rPr>
                <w:rFonts w:cs="Arial"/>
                <w:sz w:val="16"/>
                <w:szCs w:val="16"/>
              </w:rPr>
            </w:pPr>
            <w:r w:rsidRPr="00FF3A46">
              <w:rPr>
                <w:rFonts w:eastAsia="Arial"/>
                <w:sz w:val="16"/>
              </w:rPr>
              <w:t>Conducting initial t</w:t>
            </w:r>
            <w:r w:rsidRPr="00AD2FDD">
              <w:rPr>
                <w:rFonts w:eastAsia="Arial" w:cs="Arial"/>
                <w:sz w:val="16"/>
                <w:szCs w:val="16"/>
              </w:rPr>
              <w:t>es</w:t>
            </w:r>
            <w:r w:rsidRPr="00FF3A46">
              <w:rPr>
                <w:rFonts w:eastAsia="Arial"/>
                <w:sz w:val="16"/>
              </w:rPr>
              <w:t>tin</w:t>
            </w:r>
            <w:r w:rsidRPr="00AD2FDD">
              <w:rPr>
                <w:rFonts w:eastAsia="Arial" w:cs="Arial"/>
                <w:sz w:val="16"/>
                <w:szCs w:val="16"/>
              </w:rPr>
              <w:t>g</w:t>
            </w:r>
            <w:r w:rsidRPr="00FF3A46">
              <w:rPr>
                <w:rFonts w:eastAsia="Arial"/>
                <w:sz w:val="16"/>
              </w:rPr>
              <w:t xml:space="preserve"> </w:t>
            </w:r>
            <w:r w:rsidRPr="00AD2FDD">
              <w:rPr>
                <w:rFonts w:eastAsia="Arial" w:cs="Arial"/>
                <w:sz w:val="16"/>
                <w:szCs w:val="16"/>
              </w:rPr>
              <w:t>for</w:t>
            </w:r>
            <w:r w:rsidRPr="00FF3A46">
              <w:rPr>
                <w:rFonts w:eastAsia="Arial"/>
                <w:sz w:val="16"/>
              </w:rPr>
              <w:t xml:space="preserve"> an </w:t>
            </w:r>
            <w:r w:rsidRPr="00AD2FDD">
              <w:rPr>
                <w:rFonts w:eastAsia="Arial" w:cs="Arial"/>
                <w:sz w:val="16"/>
                <w:szCs w:val="16"/>
              </w:rPr>
              <w:t>add</w:t>
            </w:r>
            <w:r w:rsidRPr="00FF3A46">
              <w:rPr>
                <w:rFonts w:eastAsia="Arial"/>
                <w:sz w:val="16"/>
              </w:rPr>
              <w:t>i</w:t>
            </w:r>
            <w:r w:rsidRPr="00AD2FDD">
              <w:rPr>
                <w:rFonts w:eastAsia="Arial" w:cs="Arial"/>
                <w:sz w:val="16"/>
                <w:szCs w:val="16"/>
              </w:rPr>
              <w:t>t</w:t>
            </w:r>
            <w:r w:rsidRPr="00FF3A46">
              <w:rPr>
                <w:rFonts w:eastAsia="Arial"/>
                <w:sz w:val="16"/>
              </w:rPr>
              <w:t>ion</w:t>
            </w:r>
            <w:r w:rsidRPr="00AD2FDD">
              <w:rPr>
                <w:rFonts w:eastAsia="Arial" w:cs="Arial"/>
                <w:sz w:val="16"/>
                <w:szCs w:val="16"/>
              </w:rPr>
              <w:t>al</w:t>
            </w:r>
            <w:r w:rsidRPr="00FF3A46">
              <w:rPr>
                <w:rFonts w:eastAsia="Arial"/>
                <w:sz w:val="16"/>
              </w:rPr>
              <w:t xml:space="preserve"> </w:t>
            </w:r>
            <w:r w:rsidRPr="00AD2FDD">
              <w:rPr>
                <w:rFonts w:eastAsia="Arial" w:cs="Arial"/>
                <w:sz w:val="16"/>
                <w:szCs w:val="16"/>
              </w:rPr>
              <w:t>s</w:t>
            </w:r>
            <w:r w:rsidRPr="00FF3A46">
              <w:rPr>
                <w:rFonts w:eastAsia="Arial"/>
                <w:sz w:val="16"/>
              </w:rPr>
              <w:t>u</w:t>
            </w:r>
            <w:r w:rsidRPr="00AD2FDD">
              <w:rPr>
                <w:rFonts w:eastAsia="Arial" w:cs="Arial"/>
                <w:sz w:val="16"/>
                <w:szCs w:val="16"/>
              </w:rPr>
              <w:t>bs</w:t>
            </w:r>
            <w:r w:rsidRPr="00FF3A46">
              <w:rPr>
                <w:rFonts w:eastAsia="Arial"/>
                <w:sz w:val="16"/>
              </w:rPr>
              <w:t>tan</w:t>
            </w:r>
            <w:r w:rsidRPr="00AD2FDD">
              <w:rPr>
                <w:rFonts w:eastAsia="Arial" w:cs="Arial"/>
                <w:sz w:val="16"/>
                <w:szCs w:val="16"/>
              </w:rPr>
              <w:t>ce</w:t>
            </w:r>
            <w:r w:rsidRPr="00FF3A46" w:rsidR="00646A79">
              <w:rPr>
                <w:rFonts w:eastAsia="Arial"/>
                <w:sz w:val="16"/>
              </w:rPr>
              <w:t>,</w:t>
            </w:r>
            <w:r w:rsidRPr="00FF3A46">
              <w:rPr>
                <w:rFonts w:eastAsia="Arial"/>
                <w:sz w:val="16"/>
              </w:rPr>
              <w:t xml:space="preserve"> 6-AM</w:t>
            </w:r>
            <w:r w:rsidRPr="00FF3A46" w:rsidR="00646A79">
              <w:rPr>
                <w:rFonts w:eastAsia="Arial"/>
                <w:sz w:val="16"/>
              </w:rPr>
              <w:t>,</w:t>
            </w:r>
            <w:r w:rsidRPr="00FF3A46">
              <w:rPr>
                <w:rFonts w:eastAsia="Arial"/>
                <w:sz w:val="16"/>
              </w:rPr>
              <w:t xml:space="preserve"> </w:t>
            </w:r>
            <w:r w:rsidRPr="00AD2FDD">
              <w:rPr>
                <w:rFonts w:eastAsia="Arial" w:cs="Arial"/>
                <w:sz w:val="16"/>
                <w:szCs w:val="16"/>
              </w:rPr>
              <w:t>e</w:t>
            </w:r>
            <w:r w:rsidRPr="00FF3A46">
              <w:rPr>
                <w:rFonts w:eastAsia="Arial"/>
                <w:sz w:val="16"/>
              </w:rPr>
              <w:t>nabl</w:t>
            </w:r>
            <w:r w:rsidRPr="00AD2FDD">
              <w:rPr>
                <w:rFonts w:eastAsia="Arial" w:cs="Arial"/>
                <w:sz w:val="16"/>
                <w:szCs w:val="16"/>
              </w:rPr>
              <w:t>e</w:t>
            </w:r>
            <w:r w:rsidRPr="00AD2FDD" w:rsidR="00DE0930">
              <w:rPr>
                <w:rFonts w:eastAsia="Arial" w:cs="Arial"/>
                <w:sz w:val="16"/>
                <w:szCs w:val="16"/>
              </w:rPr>
              <w:t>s</w:t>
            </w:r>
            <w:r w:rsidRPr="00FF3A46">
              <w:rPr>
                <w:rFonts w:eastAsia="Arial"/>
                <w:sz w:val="16"/>
              </w:rPr>
              <w:t xml:space="preserve"> th</w:t>
            </w:r>
            <w:r w:rsidRPr="00AD2FDD">
              <w:rPr>
                <w:rFonts w:eastAsia="Arial" w:cs="Arial"/>
                <w:sz w:val="16"/>
                <w:szCs w:val="16"/>
              </w:rPr>
              <w:t>e</w:t>
            </w:r>
            <w:r w:rsidRPr="00FF3A46">
              <w:rPr>
                <w:rFonts w:eastAsia="Arial"/>
                <w:sz w:val="16"/>
              </w:rPr>
              <w:t xml:space="preserve"> improved detection of the </w:t>
            </w:r>
            <w:r w:rsidRPr="00AD2FDD">
              <w:rPr>
                <w:rFonts w:eastAsia="Arial" w:cs="Arial"/>
                <w:sz w:val="16"/>
                <w:szCs w:val="16"/>
              </w:rPr>
              <w:t>illegal drug heroin</w:t>
            </w:r>
            <w:r w:rsidRPr="00AD2FDD" w:rsidR="00646A79">
              <w:rPr>
                <w:rFonts w:eastAsia="Arial" w:cs="Arial"/>
                <w:sz w:val="16"/>
                <w:szCs w:val="16"/>
              </w:rPr>
              <w:t>,</w:t>
            </w:r>
            <w:r w:rsidRPr="00AD2FDD">
              <w:rPr>
                <w:rFonts w:eastAsia="Arial" w:cs="Arial"/>
                <w:sz w:val="16"/>
                <w:szCs w:val="16"/>
              </w:rPr>
              <w:t xml:space="preserve"> which has been increasing in use in society.  The performance of initial testing for 6-AM is estimated to result in an increase </w:t>
            </w:r>
            <w:r w:rsidRPr="00AD2FDD" w:rsidR="00C436FF">
              <w:rPr>
                <w:rFonts w:eastAsia="Arial" w:cs="Arial"/>
                <w:sz w:val="16"/>
                <w:szCs w:val="16"/>
              </w:rPr>
              <w:t xml:space="preserve">in </w:t>
            </w:r>
            <w:r w:rsidRPr="00AD2FDD">
              <w:rPr>
                <w:rFonts w:eastAsia="Arial" w:cs="Arial"/>
                <w:sz w:val="16"/>
                <w:szCs w:val="16"/>
              </w:rPr>
              <w:t>the number of urine specimens identified as containing 6-AM.  The rule change also may increase the deterrent effect of the testing program</w:t>
            </w:r>
            <w:r w:rsidRPr="00AD2FDD" w:rsidR="0070598E">
              <w:rPr>
                <w:rFonts w:eastAsia="Arial" w:cs="Arial"/>
                <w:sz w:val="16"/>
                <w:szCs w:val="16"/>
              </w:rPr>
              <w:t xml:space="preserve"> under 10 CFR Part 26.</w:t>
            </w:r>
          </w:p>
        </w:tc>
      </w:tr>
      <w:tr w:rsidRPr="00AD2FDD" w:rsidR="00D520BD" w:rsidTr="00427A8C" w14:paraId="43D98C78" w14:textId="77777777">
        <w:tc>
          <w:tcPr>
            <w:tcW w:w="2070" w:type="dxa"/>
            <w:gridSpan w:val="2"/>
            <w:shd w:val="clear" w:color="auto" w:fill="D9D9D9" w:themeFill="background1" w:themeFillShade="D9"/>
            <w:tcMar>
              <w:left w:w="58" w:type="dxa"/>
              <w:right w:w="58" w:type="dxa"/>
            </w:tcMar>
            <w:vAlign w:val="center"/>
          </w:tcPr>
          <w:p w:rsidRPr="00AD2FDD" w:rsidR="00D520BD" w:rsidP="0088252A" w:rsidRDefault="00D520BD" w14:paraId="534AC42D" w14:textId="77777777">
            <w:pPr>
              <w:jc w:val="center"/>
              <w:rPr>
                <w:rFonts w:cs="Arial"/>
                <w:b/>
                <w:i/>
                <w:sz w:val="16"/>
                <w:szCs w:val="16"/>
              </w:rPr>
            </w:pPr>
            <w:r w:rsidRPr="00AD2FDD">
              <w:rPr>
                <w:rFonts w:cs="Arial"/>
                <w:b/>
                <w:i/>
                <w:sz w:val="16"/>
                <w:szCs w:val="16"/>
              </w:rPr>
              <w:t>Activity</w:t>
            </w:r>
          </w:p>
        </w:tc>
        <w:tc>
          <w:tcPr>
            <w:tcW w:w="3690" w:type="dxa"/>
            <w:gridSpan w:val="3"/>
            <w:shd w:val="clear" w:color="auto" w:fill="D9D9D9" w:themeFill="background1" w:themeFillShade="D9"/>
            <w:tcMar>
              <w:left w:w="58" w:type="dxa"/>
              <w:right w:w="58" w:type="dxa"/>
            </w:tcMar>
            <w:vAlign w:val="center"/>
          </w:tcPr>
          <w:p w:rsidRPr="00AD2FDD" w:rsidR="00D520BD" w:rsidP="0088252A" w:rsidRDefault="00D520BD" w14:paraId="7654CA16" w14:textId="77777777">
            <w:pPr>
              <w:jc w:val="center"/>
              <w:rPr>
                <w:rFonts w:cs="Arial"/>
                <w:b/>
                <w:i/>
                <w:sz w:val="16"/>
                <w:szCs w:val="16"/>
              </w:rPr>
            </w:pPr>
            <w:r w:rsidRPr="00AD2FDD">
              <w:rPr>
                <w:rFonts w:cs="Arial"/>
                <w:b/>
                <w:i/>
                <w:sz w:val="16"/>
                <w:szCs w:val="16"/>
              </w:rPr>
              <w:t>Parameter</w:t>
            </w:r>
          </w:p>
        </w:tc>
        <w:tc>
          <w:tcPr>
            <w:tcW w:w="810" w:type="dxa"/>
            <w:gridSpan w:val="2"/>
            <w:shd w:val="clear" w:color="auto" w:fill="D9D9D9" w:themeFill="background1" w:themeFillShade="D9"/>
            <w:tcMar>
              <w:left w:w="58" w:type="dxa"/>
              <w:right w:w="58" w:type="dxa"/>
            </w:tcMar>
            <w:vAlign w:val="center"/>
          </w:tcPr>
          <w:p w:rsidRPr="00AD2FDD" w:rsidR="00D520BD" w:rsidP="0088252A" w:rsidRDefault="00D520BD" w14:paraId="2DD9A2BB" w14:textId="77777777">
            <w:pPr>
              <w:jc w:val="center"/>
              <w:rPr>
                <w:rFonts w:cs="Arial"/>
                <w:b/>
                <w:i/>
                <w:sz w:val="16"/>
                <w:szCs w:val="16"/>
              </w:rPr>
            </w:pPr>
            <w:r w:rsidRPr="00AD2FDD">
              <w:rPr>
                <w:rFonts w:cs="Arial"/>
                <w:b/>
                <w:i/>
                <w:sz w:val="16"/>
                <w:szCs w:val="16"/>
              </w:rPr>
              <w:t>Value</w:t>
            </w:r>
          </w:p>
        </w:tc>
        <w:tc>
          <w:tcPr>
            <w:tcW w:w="828" w:type="dxa"/>
            <w:shd w:val="clear" w:color="auto" w:fill="D9D9D9" w:themeFill="background1" w:themeFillShade="D9"/>
            <w:tcMar>
              <w:left w:w="58" w:type="dxa"/>
              <w:right w:w="58" w:type="dxa"/>
            </w:tcMar>
            <w:vAlign w:val="center"/>
          </w:tcPr>
          <w:p w:rsidRPr="00AD2FDD" w:rsidR="00D520BD" w:rsidP="0088252A" w:rsidRDefault="00D520BD" w14:paraId="1144B9C7" w14:textId="77777777">
            <w:pPr>
              <w:jc w:val="center"/>
              <w:rPr>
                <w:rFonts w:cs="Arial"/>
                <w:b/>
                <w:i/>
                <w:sz w:val="16"/>
                <w:szCs w:val="16"/>
              </w:rPr>
            </w:pPr>
            <w:r w:rsidRPr="00AD2FDD">
              <w:rPr>
                <w:rFonts w:cs="Arial"/>
                <w:b/>
                <w:i/>
                <w:sz w:val="16"/>
                <w:szCs w:val="16"/>
              </w:rPr>
              <w:t>Benefits (Cost)</w:t>
            </w:r>
          </w:p>
        </w:tc>
        <w:tc>
          <w:tcPr>
            <w:tcW w:w="810" w:type="dxa"/>
            <w:shd w:val="clear" w:color="auto" w:fill="D9D9D9" w:themeFill="background1" w:themeFillShade="D9"/>
            <w:tcMar>
              <w:left w:w="58" w:type="dxa"/>
              <w:right w:w="58" w:type="dxa"/>
            </w:tcMar>
            <w:vAlign w:val="center"/>
          </w:tcPr>
          <w:p w:rsidRPr="00AD2FDD" w:rsidR="00D520BD" w:rsidP="0088252A" w:rsidRDefault="00D520BD" w14:paraId="1497B29B" w14:textId="77777777">
            <w:pPr>
              <w:jc w:val="center"/>
              <w:rPr>
                <w:rFonts w:cs="Arial"/>
                <w:b/>
                <w:i/>
                <w:sz w:val="16"/>
                <w:szCs w:val="16"/>
              </w:rPr>
            </w:pPr>
            <w:r w:rsidRPr="00AD2FDD">
              <w:rPr>
                <w:rFonts w:cs="Arial"/>
                <w:b/>
                <w:i/>
                <w:sz w:val="16"/>
                <w:szCs w:val="16"/>
              </w:rPr>
              <w:t>Sites Affected</w:t>
            </w:r>
          </w:p>
        </w:tc>
        <w:tc>
          <w:tcPr>
            <w:tcW w:w="1260" w:type="dxa"/>
            <w:gridSpan w:val="2"/>
            <w:shd w:val="clear" w:color="auto" w:fill="D9D9D9" w:themeFill="background1" w:themeFillShade="D9"/>
            <w:tcMar>
              <w:left w:w="58" w:type="dxa"/>
              <w:right w:w="58" w:type="dxa"/>
            </w:tcMar>
            <w:vAlign w:val="center"/>
          </w:tcPr>
          <w:p w:rsidRPr="00AD2FDD" w:rsidR="00D520BD" w:rsidP="0088252A" w:rsidRDefault="00D520BD" w14:paraId="1AAB9756" w14:textId="77777777">
            <w:pPr>
              <w:jc w:val="center"/>
              <w:rPr>
                <w:rFonts w:cs="Arial"/>
                <w:b/>
                <w:i/>
                <w:sz w:val="16"/>
                <w:szCs w:val="16"/>
              </w:rPr>
            </w:pPr>
            <w:r w:rsidRPr="00AD2FDD">
              <w:rPr>
                <w:rFonts w:cs="Arial"/>
                <w:b/>
                <w:i/>
                <w:sz w:val="16"/>
                <w:szCs w:val="16"/>
              </w:rPr>
              <w:t>Total Benefits (Costs)</w:t>
            </w:r>
          </w:p>
        </w:tc>
      </w:tr>
      <w:tr w:rsidRPr="00AD2FDD" w:rsidR="00D520BD" w:rsidTr="00427A8C" w14:paraId="5CFD594F" w14:textId="77777777">
        <w:tc>
          <w:tcPr>
            <w:tcW w:w="9468" w:type="dxa"/>
            <w:gridSpan w:val="11"/>
            <w:shd w:val="clear" w:color="auto" w:fill="D9D9D9" w:themeFill="background1" w:themeFillShade="D9"/>
            <w:tcMar>
              <w:left w:w="58" w:type="dxa"/>
              <w:right w:w="58" w:type="dxa"/>
            </w:tcMar>
            <w:vAlign w:val="center"/>
          </w:tcPr>
          <w:p w:rsidRPr="00AD2FDD" w:rsidR="00D520BD" w:rsidP="0088252A" w:rsidRDefault="00D520BD" w14:paraId="0BEEA35A" w14:textId="77777777">
            <w:pPr>
              <w:rPr>
                <w:rFonts w:cs="Arial"/>
                <w:sz w:val="16"/>
                <w:szCs w:val="16"/>
              </w:rPr>
            </w:pPr>
            <w:r w:rsidRPr="00AD2FDD">
              <w:rPr>
                <w:rFonts w:eastAsia="Arial" w:cs="Arial"/>
                <w:b/>
                <w:bCs/>
                <w:sz w:val="16"/>
                <w:szCs w:val="16"/>
              </w:rPr>
              <w:t>INDU</w:t>
            </w:r>
            <w:r w:rsidRPr="003E4208">
              <w:rPr>
                <w:rFonts w:eastAsia="Arial"/>
                <w:b/>
                <w:sz w:val="16"/>
              </w:rPr>
              <w:t>STR</w:t>
            </w:r>
            <w:r w:rsidRPr="00AD2FDD">
              <w:rPr>
                <w:rFonts w:eastAsia="Arial" w:cs="Arial"/>
                <w:b/>
                <w:bCs/>
                <w:sz w:val="16"/>
                <w:szCs w:val="16"/>
              </w:rPr>
              <w:t>Y</w:t>
            </w:r>
            <w:r w:rsidRPr="003E4208">
              <w:rPr>
                <w:rFonts w:eastAsia="Arial"/>
                <w:b/>
                <w:sz w:val="16"/>
              </w:rPr>
              <w:t xml:space="preserve"> </w:t>
            </w:r>
            <w:r w:rsidRPr="00AD2FDD">
              <w:rPr>
                <w:rFonts w:eastAsia="Arial" w:cs="Arial"/>
                <w:b/>
                <w:bCs/>
                <w:sz w:val="16"/>
                <w:szCs w:val="16"/>
              </w:rPr>
              <w:t>OPE</w:t>
            </w:r>
            <w:r w:rsidRPr="003E4208">
              <w:rPr>
                <w:rFonts w:eastAsia="Arial"/>
                <w:b/>
                <w:sz w:val="16"/>
              </w:rPr>
              <w:t>RA</w:t>
            </w:r>
            <w:r w:rsidRPr="00AD2FDD">
              <w:rPr>
                <w:rFonts w:eastAsia="Arial" w:cs="Arial"/>
                <w:b/>
                <w:bCs/>
                <w:sz w:val="16"/>
                <w:szCs w:val="16"/>
              </w:rPr>
              <w:t>T</w:t>
            </w:r>
            <w:r w:rsidRPr="003E4208">
              <w:rPr>
                <w:rFonts w:eastAsia="Arial"/>
                <w:b/>
                <w:sz w:val="16"/>
              </w:rPr>
              <w:t>I</w:t>
            </w:r>
            <w:r w:rsidRPr="00AD2FDD">
              <w:rPr>
                <w:rFonts w:eastAsia="Arial" w:cs="Arial"/>
                <w:b/>
                <w:bCs/>
                <w:sz w:val="16"/>
                <w:szCs w:val="16"/>
              </w:rPr>
              <w:t>ONS</w:t>
            </w:r>
            <w:r w:rsidRPr="003E4208">
              <w:rPr>
                <w:rFonts w:eastAsia="Arial"/>
                <w:b/>
                <w:sz w:val="16"/>
              </w:rPr>
              <w:t xml:space="preserve"> (ANNUAL)</w:t>
            </w:r>
          </w:p>
        </w:tc>
      </w:tr>
      <w:tr w:rsidRPr="00AD2FDD" w:rsidR="00D520BD" w:rsidTr="00427A8C" w14:paraId="12E784A7" w14:textId="77777777">
        <w:tc>
          <w:tcPr>
            <w:tcW w:w="9468" w:type="dxa"/>
            <w:gridSpan w:val="11"/>
            <w:tcMar>
              <w:left w:w="58" w:type="dxa"/>
              <w:right w:w="58" w:type="dxa"/>
            </w:tcMar>
            <w:vAlign w:val="center"/>
          </w:tcPr>
          <w:p w:rsidRPr="00AD2FDD" w:rsidR="00D520BD" w:rsidP="0088252A" w:rsidRDefault="00D520BD" w14:paraId="7E580C94" w14:textId="77777777">
            <w:pPr>
              <w:rPr>
                <w:rFonts w:cs="Arial"/>
                <w:sz w:val="16"/>
                <w:szCs w:val="16"/>
              </w:rPr>
            </w:pPr>
            <w:r w:rsidRPr="003E4208">
              <w:rPr>
                <w:rFonts w:eastAsia="Arial"/>
                <w:b/>
                <w:sz w:val="16"/>
              </w:rPr>
              <w:t>6-AM</w:t>
            </w:r>
          </w:p>
        </w:tc>
      </w:tr>
      <w:tr w:rsidRPr="00AD2FDD" w:rsidR="00D520BD" w:rsidTr="00C70988" w14:paraId="3D291136" w14:textId="77777777">
        <w:trPr>
          <w:trHeight w:val="242"/>
        </w:trPr>
        <w:tc>
          <w:tcPr>
            <w:tcW w:w="2070" w:type="dxa"/>
            <w:gridSpan w:val="2"/>
            <w:vMerge w:val="restart"/>
            <w:tcMar>
              <w:left w:w="58" w:type="dxa"/>
              <w:right w:w="58" w:type="dxa"/>
            </w:tcMar>
            <w:vAlign w:val="center"/>
          </w:tcPr>
          <w:p w:rsidRPr="00FF3A46" w:rsidR="00D520BD" w:rsidP="0088252A" w:rsidRDefault="00D520BD" w14:paraId="56D8A9F2" w14:textId="7B236E34">
            <w:pPr>
              <w:ind w:left="86" w:right="72"/>
              <w:rPr>
                <w:rFonts w:eastAsia="Arial"/>
                <w:sz w:val="16"/>
              </w:rPr>
            </w:pPr>
            <w:r w:rsidRPr="00AD2FDD">
              <w:rPr>
                <w:rFonts w:eastAsia="Arial" w:cs="Arial"/>
                <w:sz w:val="16"/>
                <w:szCs w:val="16"/>
              </w:rPr>
              <w:t>6-AM</w:t>
            </w:r>
            <w:r w:rsidRPr="00FF3A46">
              <w:rPr>
                <w:rFonts w:eastAsia="Arial"/>
                <w:sz w:val="16"/>
              </w:rPr>
              <w:t xml:space="preserve"> initia</w:t>
            </w:r>
            <w:r w:rsidRPr="00AD2FDD">
              <w:rPr>
                <w:rFonts w:eastAsia="Arial" w:cs="Arial"/>
                <w:sz w:val="16"/>
                <w:szCs w:val="16"/>
              </w:rPr>
              <w:t>l</w:t>
            </w:r>
            <w:r w:rsidRPr="00FF3A46">
              <w:rPr>
                <w:rFonts w:eastAsia="Arial"/>
                <w:sz w:val="16"/>
              </w:rPr>
              <w:t xml:space="preserve"> </w:t>
            </w:r>
            <w:r w:rsidRPr="00AD2FDD">
              <w:rPr>
                <w:rFonts w:eastAsia="Arial" w:cs="Arial"/>
                <w:sz w:val="16"/>
                <w:szCs w:val="16"/>
              </w:rPr>
              <w:t>te</w:t>
            </w:r>
            <w:r w:rsidRPr="00FF3A46">
              <w:rPr>
                <w:rFonts w:eastAsia="Arial"/>
                <w:sz w:val="16"/>
              </w:rPr>
              <w:t>stin</w:t>
            </w:r>
            <w:r w:rsidRPr="00AD2FDD">
              <w:rPr>
                <w:rFonts w:eastAsia="Arial" w:cs="Arial"/>
                <w:sz w:val="16"/>
                <w:szCs w:val="16"/>
              </w:rPr>
              <w:t>g</w:t>
            </w:r>
            <w:r w:rsidRPr="00FF3A46">
              <w:rPr>
                <w:rFonts w:eastAsia="Arial"/>
                <w:sz w:val="16"/>
              </w:rPr>
              <w:t xml:space="preserve"> </w:t>
            </w:r>
            <w:r w:rsidRPr="00FF3A46">
              <w:rPr>
                <w:rFonts w:eastAsia="Arial"/>
                <w:sz w:val="16"/>
              </w:rPr>
              <w:br/>
            </w:r>
            <w:r w:rsidRPr="00AD2FDD">
              <w:rPr>
                <w:rFonts w:eastAsia="Arial" w:cs="Arial"/>
                <w:sz w:val="16"/>
                <w:szCs w:val="16"/>
              </w:rPr>
              <w:t>(s</w:t>
            </w:r>
            <w:r w:rsidRPr="00FF3A46">
              <w:rPr>
                <w:rFonts w:eastAsia="Arial"/>
                <w:sz w:val="16"/>
              </w:rPr>
              <w:t>i</w:t>
            </w:r>
            <w:r w:rsidRPr="00AD2FDD">
              <w:rPr>
                <w:rFonts w:eastAsia="Arial" w:cs="Arial"/>
                <w:sz w:val="16"/>
                <w:szCs w:val="16"/>
              </w:rPr>
              <w:t>tes</w:t>
            </w:r>
            <w:r w:rsidRPr="00FF3A46">
              <w:rPr>
                <w:rFonts w:eastAsia="Arial"/>
                <w:sz w:val="16"/>
              </w:rPr>
              <w:t xml:space="preserve"> u</w:t>
            </w:r>
            <w:r w:rsidRPr="00AD2FDD">
              <w:rPr>
                <w:rFonts w:eastAsia="Arial" w:cs="Arial"/>
                <w:sz w:val="16"/>
                <w:szCs w:val="16"/>
              </w:rPr>
              <w:t>s</w:t>
            </w:r>
            <w:r w:rsidRPr="00FF3A46">
              <w:rPr>
                <w:rFonts w:eastAsia="Arial"/>
                <w:sz w:val="16"/>
              </w:rPr>
              <w:t>in</w:t>
            </w:r>
            <w:r w:rsidRPr="00AD2FDD">
              <w:rPr>
                <w:rFonts w:eastAsia="Arial" w:cs="Arial"/>
                <w:sz w:val="16"/>
                <w:szCs w:val="16"/>
              </w:rPr>
              <w:t>g</w:t>
            </w:r>
            <w:r w:rsidRPr="00FF3A46">
              <w:rPr>
                <w:rFonts w:eastAsia="Arial"/>
                <w:sz w:val="16"/>
              </w:rPr>
              <w:t xml:space="preserve"> LT</w:t>
            </w:r>
            <w:r w:rsidRPr="00AD2FDD">
              <w:rPr>
                <w:rFonts w:eastAsia="Arial" w:cs="Arial"/>
                <w:sz w:val="16"/>
                <w:szCs w:val="16"/>
              </w:rPr>
              <w:t>F</w:t>
            </w:r>
            <w:r w:rsidRPr="00FF3A46">
              <w:rPr>
                <w:rFonts w:eastAsia="Arial"/>
                <w:sz w:val="16"/>
              </w:rPr>
              <w:t>s</w:t>
            </w:r>
            <w:r w:rsidRPr="00AD2FDD">
              <w:rPr>
                <w:rFonts w:eastAsia="Arial" w:cs="Arial"/>
                <w:sz w:val="16"/>
                <w:szCs w:val="16"/>
              </w:rPr>
              <w:t>)</w:t>
            </w:r>
          </w:p>
        </w:tc>
        <w:tc>
          <w:tcPr>
            <w:tcW w:w="3690" w:type="dxa"/>
            <w:gridSpan w:val="3"/>
            <w:tcBorders>
              <w:bottom w:val="single" w:color="auto" w:sz="4" w:space="0"/>
            </w:tcBorders>
            <w:tcMar>
              <w:left w:w="58" w:type="dxa"/>
              <w:right w:w="58" w:type="dxa"/>
            </w:tcMar>
            <w:vAlign w:val="center"/>
          </w:tcPr>
          <w:p w:rsidRPr="00AD2FDD" w:rsidR="00D520BD" w:rsidP="0088252A" w:rsidRDefault="00D520BD" w14:paraId="50FC9A5B" w14:textId="77777777">
            <w:pPr>
              <w:rPr>
                <w:rFonts w:cs="Arial"/>
                <w:sz w:val="16"/>
                <w:szCs w:val="16"/>
              </w:rPr>
            </w:pPr>
            <w:r w:rsidRPr="00AD2FDD">
              <w:rPr>
                <w:rFonts w:cs="Arial"/>
                <w:sz w:val="16"/>
                <w:szCs w:val="16"/>
              </w:rPr>
              <w:t>Number of drug tests conducted per site per year under 10 CFR Part 26</w:t>
            </w:r>
          </w:p>
        </w:tc>
        <w:tc>
          <w:tcPr>
            <w:tcW w:w="810" w:type="dxa"/>
            <w:gridSpan w:val="2"/>
            <w:tcBorders>
              <w:bottom w:val="single" w:color="auto" w:sz="4" w:space="0"/>
            </w:tcBorders>
            <w:shd w:val="clear" w:color="auto" w:fill="auto"/>
            <w:tcMar>
              <w:left w:w="58" w:type="dxa"/>
              <w:right w:w="58" w:type="dxa"/>
            </w:tcMar>
            <w:vAlign w:val="center"/>
          </w:tcPr>
          <w:p w:rsidRPr="00AD2FDD" w:rsidR="00D520BD" w:rsidP="0088252A" w:rsidRDefault="00D520BD" w14:paraId="05BA6F0D" w14:textId="76E8677C">
            <w:pPr>
              <w:jc w:val="right"/>
              <w:rPr>
                <w:rFonts w:cs="Arial"/>
                <w:sz w:val="16"/>
                <w:szCs w:val="16"/>
              </w:rPr>
            </w:pPr>
            <w:r w:rsidRPr="00AD2FDD">
              <w:rPr>
                <w:rFonts w:cs="Arial"/>
                <w:sz w:val="16"/>
                <w:szCs w:val="16"/>
              </w:rPr>
              <w:t>2</w:t>
            </w:r>
            <w:r w:rsidRPr="00AD2FDD" w:rsidR="00646A79">
              <w:rPr>
                <w:rFonts w:cs="Arial"/>
                <w:sz w:val="16"/>
                <w:szCs w:val="16"/>
              </w:rPr>
              <w:t>,</w:t>
            </w:r>
            <w:r w:rsidRPr="00AD2FDD" w:rsidR="00EC1753">
              <w:rPr>
                <w:rFonts w:cs="Arial"/>
                <w:sz w:val="16"/>
                <w:szCs w:val="16"/>
              </w:rPr>
              <w:t>257</w:t>
            </w:r>
          </w:p>
        </w:tc>
        <w:tc>
          <w:tcPr>
            <w:tcW w:w="828" w:type="dxa"/>
            <w:tcBorders>
              <w:bottom w:val="single" w:color="auto" w:sz="4" w:space="0"/>
            </w:tcBorders>
            <w:shd w:val="clear" w:color="auto" w:fill="auto"/>
            <w:tcMar>
              <w:left w:w="58" w:type="dxa"/>
              <w:right w:w="58" w:type="dxa"/>
            </w:tcMar>
            <w:vAlign w:val="center"/>
          </w:tcPr>
          <w:p w:rsidRPr="00AD2FDD" w:rsidR="00D520BD" w:rsidP="0088252A" w:rsidRDefault="00D520BD" w14:paraId="5C42FEF7" w14:textId="49F1AB25">
            <w:pPr>
              <w:jc w:val="right"/>
              <w:rPr>
                <w:rFonts w:cs="Arial"/>
                <w:sz w:val="16"/>
                <w:szCs w:val="16"/>
              </w:rPr>
            </w:pPr>
            <w:r w:rsidRPr="00AD2FDD">
              <w:rPr>
                <w:rFonts w:cs="Arial"/>
                <w:sz w:val="16"/>
                <w:szCs w:val="16"/>
              </w:rPr>
              <w:t>($</w:t>
            </w:r>
            <w:r w:rsidRPr="00AD2FDD" w:rsidR="00213968">
              <w:rPr>
                <w:rFonts w:cs="Arial"/>
                <w:sz w:val="16"/>
                <w:szCs w:val="16"/>
              </w:rPr>
              <w:t>8,095</w:t>
            </w:r>
            <w:r w:rsidRPr="00AD2FDD">
              <w:rPr>
                <w:rFonts w:cs="Arial"/>
                <w:sz w:val="16"/>
                <w:szCs w:val="16"/>
              </w:rPr>
              <w:t>)</w:t>
            </w:r>
          </w:p>
        </w:tc>
        <w:tc>
          <w:tcPr>
            <w:tcW w:w="810" w:type="dxa"/>
            <w:tcBorders>
              <w:bottom w:val="single" w:color="auto" w:sz="4" w:space="0"/>
            </w:tcBorders>
            <w:shd w:val="clear" w:color="auto" w:fill="auto"/>
            <w:tcMar>
              <w:left w:w="58" w:type="dxa"/>
              <w:right w:w="58" w:type="dxa"/>
            </w:tcMar>
            <w:vAlign w:val="center"/>
          </w:tcPr>
          <w:p w:rsidRPr="00AD2FDD" w:rsidR="00D520BD" w:rsidP="0088252A" w:rsidRDefault="00EC1753" w14:paraId="113C413F" w14:textId="63CFE056">
            <w:pPr>
              <w:jc w:val="right"/>
              <w:rPr>
                <w:rFonts w:cs="Arial"/>
                <w:sz w:val="16"/>
                <w:szCs w:val="16"/>
              </w:rPr>
            </w:pPr>
            <w:r w:rsidRPr="00AD2FDD">
              <w:rPr>
                <w:rFonts w:cs="Arial"/>
                <w:sz w:val="16"/>
                <w:szCs w:val="16"/>
              </w:rPr>
              <w:t>3</w:t>
            </w:r>
          </w:p>
        </w:tc>
        <w:tc>
          <w:tcPr>
            <w:tcW w:w="1260" w:type="dxa"/>
            <w:gridSpan w:val="2"/>
            <w:tcBorders>
              <w:bottom w:val="single" w:color="auto" w:sz="4" w:space="0"/>
            </w:tcBorders>
            <w:shd w:val="clear" w:color="auto" w:fill="auto"/>
            <w:tcMar>
              <w:left w:w="58" w:type="dxa"/>
              <w:right w:w="58" w:type="dxa"/>
            </w:tcMar>
            <w:vAlign w:val="center"/>
          </w:tcPr>
          <w:p w:rsidRPr="00AD2FDD" w:rsidR="00D520BD" w:rsidP="0088252A" w:rsidRDefault="00D520BD" w14:paraId="4F9FB67F" w14:textId="2D93B147">
            <w:pPr>
              <w:jc w:val="right"/>
              <w:rPr>
                <w:rFonts w:cs="Arial"/>
                <w:sz w:val="16"/>
                <w:szCs w:val="16"/>
              </w:rPr>
            </w:pPr>
            <w:r w:rsidRPr="00AD2FDD">
              <w:rPr>
                <w:rFonts w:cs="Arial"/>
                <w:sz w:val="16"/>
                <w:szCs w:val="16"/>
              </w:rPr>
              <w:t>($</w:t>
            </w:r>
            <w:r w:rsidRPr="00AD2FDD" w:rsidR="00213968">
              <w:rPr>
                <w:rFonts w:cs="Arial"/>
                <w:sz w:val="16"/>
                <w:szCs w:val="16"/>
              </w:rPr>
              <w:t>24,285</w:t>
            </w:r>
            <w:r w:rsidRPr="00AD2FDD">
              <w:rPr>
                <w:rFonts w:cs="Arial"/>
                <w:sz w:val="16"/>
                <w:szCs w:val="16"/>
              </w:rPr>
              <w:t>)</w:t>
            </w:r>
          </w:p>
        </w:tc>
      </w:tr>
      <w:tr w:rsidRPr="00AD2FDD" w:rsidR="00196635" w:rsidTr="00A47262" w14:paraId="03046679" w14:textId="77777777">
        <w:trPr>
          <w:trHeight w:val="323"/>
        </w:trPr>
        <w:tc>
          <w:tcPr>
            <w:tcW w:w="2070" w:type="dxa"/>
            <w:gridSpan w:val="2"/>
            <w:vMerge/>
            <w:tcMar>
              <w:left w:w="58" w:type="dxa"/>
              <w:right w:w="58" w:type="dxa"/>
            </w:tcMar>
            <w:vAlign w:val="center"/>
          </w:tcPr>
          <w:p w:rsidRPr="00AD2FDD" w:rsidR="00D520BD" w:rsidP="0088252A" w:rsidRDefault="00D520BD" w14:paraId="6B860DBF" w14:textId="77777777">
            <w:pPr>
              <w:rPr>
                <w:rFonts w:cs="Arial"/>
                <w:sz w:val="16"/>
                <w:szCs w:val="16"/>
              </w:rPr>
            </w:pPr>
          </w:p>
        </w:tc>
        <w:tc>
          <w:tcPr>
            <w:tcW w:w="3690" w:type="dxa"/>
            <w:gridSpan w:val="3"/>
            <w:shd w:val="clear" w:color="auto" w:fill="auto"/>
            <w:tcMar>
              <w:left w:w="58" w:type="dxa"/>
              <w:right w:w="58" w:type="dxa"/>
            </w:tcMar>
            <w:vAlign w:val="center"/>
          </w:tcPr>
          <w:p w:rsidRPr="00AD2FDD" w:rsidR="00D520BD" w:rsidP="0088252A" w:rsidRDefault="00D520BD" w14:paraId="10CA3D05" w14:textId="77777777">
            <w:pPr>
              <w:rPr>
                <w:rFonts w:cs="Arial"/>
                <w:sz w:val="16"/>
                <w:szCs w:val="16"/>
              </w:rPr>
            </w:pPr>
            <w:r w:rsidRPr="00AD2FDD">
              <w:rPr>
                <w:rFonts w:cs="Arial"/>
                <w:sz w:val="16"/>
                <w:szCs w:val="16"/>
              </w:rPr>
              <w:t>Initial testing for one additional drug at an LTF</w:t>
            </w:r>
          </w:p>
        </w:tc>
        <w:tc>
          <w:tcPr>
            <w:tcW w:w="810" w:type="dxa"/>
            <w:gridSpan w:val="2"/>
            <w:tcBorders>
              <w:bottom w:val="single" w:color="auto" w:sz="4" w:space="0"/>
              <w:right w:val="single" w:color="auto" w:sz="4" w:space="0"/>
            </w:tcBorders>
            <w:shd w:val="clear" w:color="auto" w:fill="auto"/>
            <w:tcMar>
              <w:left w:w="58" w:type="dxa"/>
              <w:right w:w="58" w:type="dxa"/>
            </w:tcMar>
            <w:vAlign w:val="center"/>
          </w:tcPr>
          <w:p w:rsidRPr="00AD2FDD" w:rsidR="00D520BD" w:rsidP="0088252A" w:rsidRDefault="00D520BD" w14:paraId="39939A32" w14:textId="06664638">
            <w:pPr>
              <w:jc w:val="right"/>
              <w:rPr>
                <w:rFonts w:cs="Arial"/>
                <w:sz w:val="16"/>
                <w:szCs w:val="16"/>
              </w:rPr>
            </w:pPr>
            <w:r w:rsidRPr="00AD2FDD">
              <w:rPr>
                <w:rFonts w:cs="Arial"/>
                <w:sz w:val="16"/>
                <w:szCs w:val="16"/>
              </w:rPr>
              <w:t>$</w:t>
            </w:r>
            <w:r w:rsidRPr="00AD2FDD" w:rsidR="00A47262">
              <w:rPr>
                <w:rFonts w:cs="Arial"/>
                <w:sz w:val="16"/>
                <w:szCs w:val="16"/>
              </w:rPr>
              <w:t>3.59</w:t>
            </w:r>
          </w:p>
        </w:tc>
        <w:tc>
          <w:tcPr>
            <w:tcW w:w="828" w:type="dxa"/>
            <w:tcBorders>
              <w:top w:val="single" w:color="auto" w:sz="4" w:space="0"/>
              <w:left w:val="single" w:color="auto" w:sz="4" w:space="0"/>
              <w:bottom w:val="single" w:color="auto" w:sz="4" w:space="0"/>
              <w:right w:val="nil"/>
            </w:tcBorders>
            <w:shd w:val="clear" w:color="auto" w:fill="auto"/>
            <w:tcMar>
              <w:left w:w="58" w:type="dxa"/>
              <w:right w:w="58" w:type="dxa"/>
            </w:tcMar>
            <w:vAlign w:val="center"/>
          </w:tcPr>
          <w:p w:rsidRPr="00AD2FDD" w:rsidR="00D520BD" w:rsidP="0088252A" w:rsidRDefault="00D520BD" w14:paraId="6E8F3E89" w14:textId="77777777">
            <w:pPr>
              <w:jc w:val="right"/>
              <w:rPr>
                <w:rFonts w:cs="Arial"/>
                <w:sz w:val="16"/>
                <w:szCs w:val="16"/>
              </w:rPr>
            </w:pPr>
          </w:p>
        </w:tc>
        <w:tc>
          <w:tcPr>
            <w:tcW w:w="810" w:type="dxa"/>
            <w:tcBorders>
              <w:top w:val="single" w:color="auto" w:sz="4" w:space="0"/>
              <w:left w:val="nil"/>
              <w:bottom w:val="single" w:color="auto" w:sz="4" w:space="0"/>
              <w:right w:val="nil"/>
            </w:tcBorders>
            <w:shd w:val="clear" w:color="auto" w:fill="auto"/>
            <w:tcMar>
              <w:left w:w="58" w:type="dxa"/>
              <w:right w:w="58" w:type="dxa"/>
            </w:tcMar>
            <w:vAlign w:val="center"/>
          </w:tcPr>
          <w:p w:rsidRPr="00AD2FDD" w:rsidR="00D520BD" w:rsidP="0088252A" w:rsidRDefault="00D520BD" w14:paraId="085F0DD3" w14:textId="77777777">
            <w:pPr>
              <w:jc w:val="right"/>
              <w:rPr>
                <w:rFonts w:cs="Arial"/>
                <w:sz w:val="16"/>
                <w:szCs w:val="16"/>
              </w:rPr>
            </w:pPr>
          </w:p>
        </w:tc>
        <w:tc>
          <w:tcPr>
            <w:tcW w:w="1260" w:type="dxa"/>
            <w:gridSpan w:val="2"/>
            <w:tcBorders>
              <w:top w:val="single" w:color="auto" w:sz="4" w:space="0"/>
              <w:left w:val="nil"/>
              <w:bottom w:val="single" w:color="auto" w:sz="4" w:space="0"/>
              <w:right w:val="single" w:color="auto" w:sz="4" w:space="0"/>
            </w:tcBorders>
            <w:shd w:val="clear" w:color="auto" w:fill="auto"/>
            <w:tcMar>
              <w:left w:w="58" w:type="dxa"/>
              <w:right w:w="58" w:type="dxa"/>
            </w:tcMar>
            <w:vAlign w:val="center"/>
          </w:tcPr>
          <w:p w:rsidRPr="00AD2FDD" w:rsidR="00D520BD" w:rsidP="0088252A" w:rsidRDefault="00D520BD" w14:paraId="41A21B76" w14:textId="77777777">
            <w:pPr>
              <w:jc w:val="right"/>
              <w:rPr>
                <w:rFonts w:cs="Arial"/>
                <w:sz w:val="16"/>
                <w:szCs w:val="16"/>
              </w:rPr>
            </w:pPr>
          </w:p>
        </w:tc>
      </w:tr>
      <w:tr w:rsidRPr="00AD2FDD" w:rsidR="008011F7" w:rsidTr="00A47262" w14:paraId="5BE856EF" w14:textId="77777777">
        <w:trPr>
          <w:trHeight w:val="296"/>
        </w:trPr>
        <w:tc>
          <w:tcPr>
            <w:tcW w:w="2070" w:type="dxa"/>
            <w:gridSpan w:val="2"/>
            <w:vMerge w:val="restart"/>
            <w:tcMar>
              <w:left w:w="58" w:type="dxa"/>
              <w:right w:w="58" w:type="dxa"/>
            </w:tcMar>
            <w:vAlign w:val="center"/>
          </w:tcPr>
          <w:p w:rsidRPr="00AD2FDD" w:rsidR="008011F7" w:rsidP="008011F7" w:rsidRDefault="008011F7" w14:paraId="22A48089" w14:textId="08423A9C">
            <w:pPr>
              <w:ind w:left="86" w:right="-14"/>
              <w:rPr>
                <w:rFonts w:eastAsia="Arial" w:cs="Arial"/>
                <w:sz w:val="16"/>
                <w:szCs w:val="16"/>
              </w:rPr>
            </w:pPr>
            <w:r w:rsidRPr="00AD2FDD">
              <w:rPr>
                <w:rFonts w:eastAsia="Arial" w:cs="Arial"/>
                <w:sz w:val="16"/>
                <w:szCs w:val="16"/>
              </w:rPr>
              <w:t>6-AM</w:t>
            </w:r>
            <w:r w:rsidRPr="00FF3A46">
              <w:rPr>
                <w:rFonts w:eastAsia="Arial"/>
                <w:sz w:val="16"/>
              </w:rPr>
              <w:t xml:space="preserve"> testing </w:t>
            </w:r>
            <w:r w:rsidRPr="00FF3A46">
              <w:rPr>
                <w:rFonts w:eastAsia="Arial"/>
                <w:sz w:val="16"/>
              </w:rPr>
              <w:br/>
            </w:r>
            <w:r w:rsidRPr="00AD2FDD">
              <w:rPr>
                <w:rFonts w:eastAsia="Arial" w:cs="Arial"/>
                <w:sz w:val="16"/>
                <w:szCs w:val="16"/>
              </w:rPr>
              <w:t>(s</w:t>
            </w:r>
            <w:r w:rsidRPr="00FF3A46">
              <w:rPr>
                <w:rFonts w:eastAsia="Arial"/>
                <w:sz w:val="16"/>
              </w:rPr>
              <w:t>i</w:t>
            </w:r>
            <w:r w:rsidRPr="00AD2FDD">
              <w:rPr>
                <w:rFonts w:eastAsia="Arial" w:cs="Arial"/>
                <w:sz w:val="16"/>
                <w:szCs w:val="16"/>
              </w:rPr>
              <w:t>tes</w:t>
            </w:r>
            <w:r w:rsidRPr="00FF3A46">
              <w:rPr>
                <w:rFonts w:eastAsia="Arial"/>
                <w:sz w:val="16"/>
              </w:rPr>
              <w:t xml:space="preserve"> onl</w:t>
            </w:r>
            <w:r w:rsidRPr="00AD2FDD">
              <w:rPr>
                <w:rFonts w:eastAsia="Arial" w:cs="Arial"/>
                <w:sz w:val="16"/>
                <w:szCs w:val="16"/>
              </w:rPr>
              <w:t>y</w:t>
            </w:r>
            <w:r w:rsidRPr="00FF3A46">
              <w:rPr>
                <w:rFonts w:eastAsia="Arial"/>
                <w:sz w:val="16"/>
              </w:rPr>
              <w:t xml:space="preserve"> u</w:t>
            </w:r>
            <w:r w:rsidRPr="00AD2FDD">
              <w:rPr>
                <w:rFonts w:eastAsia="Arial" w:cs="Arial"/>
                <w:sz w:val="16"/>
                <w:szCs w:val="16"/>
              </w:rPr>
              <w:t>s</w:t>
            </w:r>
            <w:r w:rsidRPr="00FF3A46">
              <w:rPr>
                <w:rFonts w:eastAsia="Arial"/>
                <w:sz w:val="16"/>
              </w:rPr>
              <w:t>in</w:t>
            </w:r>
            <w:r w:rsidRPr="00AD2FDD">
              <w:rPr>
                <w:rFonts w:eastAsia="Arial" w:cs="Arial"/>
                <w:sz w:val="16"/>
                <w:szCs w:val="16"/>
              </w:rPr>
              <w:t>g</w:t>
            </w:r>
            <w:r w:rsidRPr="00FF3A46">
              <w:rPr>
                <w:rFonts w:eastAsia="Arial"/>
                <w:sz w:val="16"/>
              </w:rPr>
              <w:t xml:space="preserve"> </w:t>
            </w:r>
            <w:r w:rsidRPr="00AD2FDD">
              <w:rPr>
                <w:rFonts w:eastAsia="Arial" w:cs="Arial"/>
                <w:sz w:val="16"/>
                <w:szCs w:val="16"/>
              </w:rPr>
              <w:t>HHS</w:t>
            </w:r>
            <w:r w:rsidR="00AD2FDD">
              <w:rPr>
                <w:rFonts w:eastAsia="Arial" w:cs="Arial"/>
                <w:sz w:val="16"/>
                <w:szCs w:val="16"/>
              </w:rPr>
              <w:noBreakHyphen/>
            </w:r>
            <w:r w:rsidRPr="00AD2FDD">
              <w:rPr>
                <w:rFonts w:eastAsia="Arial" w:cs="Arial"/>
                <w:sz w:val="16"/>
                <w:szCs w:val="16"/>
              </w:rPr>
              <w:t>ce</w:t>
            </w:r>
            <w:r w:rsidRPr="003E4208">
              <w:rPr>
                <w:rFonts w:eastAsia="Arial"/>
                <w:sz w:val="16"/>
              </w:rPr>
              <w:t>r</w:t>
            </w:r>
            <w:r w:rsidRPr="00AD2FDD">
              <w:rPr>
                <w:rFonts w:eastAsia="Arial" w:cs="Arial"/>
                <w:sz w:val="16"/>
                <w:szCs w:val="16"/>
              </w:rPr>
              <w:t>t</w:t>
            </w:r>
            <w:r w:rsidRPr="003E4208">
              <w:rPr>
                <w:rFonts w:eastAsia="Arial"/>
                <w:sz w:val="16"/>
              </w:rPr>
              <w:t>i</w:t>
            </w:r>
            <w:r w:rsidRPr="00AD2FDD">
              <w:rPr>
                <w:rFonts w:eastAsia="Arial" w:cs="Arial"/>
                <w:sz w:val="16"/>
                <w:szCs w:val="16"/>
              </w:rPr>
              <w:t>f</w:t>
            </w:r>
            <w:r w:rsidRPr="003E4208">
              <w:rPr>
                <w:rFonts w:eastAsia="Arial"/>
                <w:sz w:val="16"/>
              </w:rPr>
              <w:t>i</w:t>
            </w:r>
            <w:r w:rsidRPr="00AD2FDD">
              <w:rPr>
                <w:rFonts w:eastAsia="Arial" w:cs="Arial"/>
                <w:sz w:val="16"/>
                <w:szCs w:val="16"/>
              </w:rPr>
              <w:t>ed</w:t>
            </w:r>
            <w:r w:rsidRPr="003E4208">
              <w:rPr>
                <w:rFonts w:eastAsia="Arial"/>
                <w:sz w:val="16"/>
              </w:rPr>
              <w:t xml:space="preserve"> labor</w:t>
            </w:r>
            <w:r w:rsidRPr="00AD2FDD">
              <w:rPr>
                <w:rFonts w:eastAsia="Arial" w:cs="Arial"/>
                <w:sz w:val="16"/>
                <w:szCs w:val="16"/>
              </w:rPr>
              <w:t>a</w:t>
            </w:r>
            <w:r w:rsidRPr="003E4208">
              <w:rPr>
                <w:rFonts w:eastAsia="Arial"/>
                <w:sz w:val="16"/>
              </w:rPr>
              <w:t>to</w:t>
            </w:r>
            <w:r w:rsidRPr="00AD2FDD">
              <w:rPr>
                <w:rFonts w:eastAsia="Arial" w:cs="Arial"/>
                <w:sz w:val="16"/>
                <w:szCs w:val="16"/>
              </w:rPr>
              <w:t>r</w:t>
            </w:r>
            <w:r w:rsidRPr="003E4208">
              <w:rPr>
                <w:rFonts w:eastAsia="Arial"/>
                <w:sz w:val="16"/>
              </w:rPr>
              <w:t>ies)</w:t>
            </w:r>
          </w:p>
        </w:tc>
        <w:tc>
          <w:tcPr>
            <w:tcW w:w="3690" w:type="dxa"/>
            <w:gridSpan w:val="3"/>
            <w:tcBorders>
              <w:bottom w:val="single" w:color="auto" w:sz="4" w:space="0"/>
            </w:tcBorders>
            <w:tcMar>
              <w:left w:w="58" w:type="dxa"/>
              <w:right w:w="58" w:type="dxa"/>
            </w:tcMar>
            <w:vAlign w:val="center"/>
          </w:tcPr>
          <w:p w:rsidRPr="00AD2FDD" w:rsidR="008011F7" w:rsidP="008011F7" w:rsidRDefault="008011F7" w14:paraId="1BE3D9E5" w14:textId="5CA612B0">
            <w:pPr>
              <w:rPr>
                <w:rFonts w:cs="Arial"/>
                <w:sz w:val="16"/>
                <w:szCs w:val="16"/>
              </w:rPr>
            </w:pPr>
            <w:r w:rsidRPr="00AD2FDD">
              <w:rPr>
                <w:rFonts w:cs="Arial"/>
                <w:sz w:val="16"/>
                <w:szCs w:val="16"/>
              </w:rPr>
              <w:t>Number of drug tests conducted per site per year under 10 CFR Part 26</w:t>
            </w:r>
          </w:p>
        </w:tc>
        <w:tc>
          <w:tcPr>
            <w:tcW w:w="810" w:type="dxa"/>
            <w:gridSpan w:val="2"/>
            <w:tcBorders>
              <w:bottom w:val="single" w:color="auto" w:sz="4" w:space="0"/>
            </w:tcBorders>
            <w:shd w:val="clear" w:color="auto" w:fill="auto"/>
            <w:tcMar>
              <w:left w:w="58" w:type="dxa"/>
              <w:right w:w="58" w:type="dxa"/>
            </w:tcMar>
            <w:vAlign w:val="center"/>
          </w:tcPr>
          <w:p w:rsidRPr="00AD2FDD" w:rsidR="008011F7" w:rsidP="008011F7" w:rsidRDefault="008011F7" w14:paraId="0F2ADCAB" w14:textId="3AC2E663">
            <w:pPr>
              <w:jc w:val="right"/>
              <w:rPr>
                <w:rFonts w:cs="Arial"/>
                <w:sz w:val="16"/>
                <w:szCs w:val="16"/>
              </w:rPr>
            </w:pPr>
            <w:r w:rsidRPr="00AD2FDD">
              <w:rPr>
                <w:rFonts w:cs="Arial"/>
                <w:sz w:val="16"/>
                <w:szCs w:val="16"/>
              </w:rPr>
              <w:t>2,257</w:t>
            </w:r>
          </w:p>
        </w:tc>
        <w:tc>
          <w:tcPr>
            <w:tcW w:w="828" w:type="dxa"/>
            <w:tcBorders>
              <w:top w:val="single" w:color="auto" w:sz="4" w:space="0"/>
              <w:bottom w:val="single" w:color="auto" w:sz="4" w:space="0"/>
            </w:tcBorders>
            <w:shd w:val="clear" w:color="auto" w:fill="auto"/>
            <w:tcMar>
              <w:left w:w="58" w:type="dxa"/>
              <w:right w:w="58" w:type="dxa"/>
            </w:tcMar>
            <w:vAlign w:val="center"/>
          </w:tcPr>
          <w:p w:rsidRPr="00AD2FDD" w:rsidR="008011F7" w:rsidP="008011F7" w:rsidRDefault="008011F7" w14:paraId="7A60419E" w14:textId="7D3EACAD">
            <w:pPr>
              <w:jc w:val="right"/>
              <w:rPr>
                <w:rFonts w:cs="Arial"/>
                <w:sz w:val="16"/>
                <w:szCs w:val="16"/>
              </w:rPr>
            </w:pPr>
            <w:r w:rsidRPr="00AD2FDD">
              <w:rPr>
                <w:rFonts w:cs="Arial"/>
                <w:sz w:val="16"/>
                <w:szCs w:val="16"/>
              </w:rPr>
              <w:t>($</w:t>
            </w:r>
            <w:r w:rsidRPr="00AD2FDD" w:rsidR="00EA74F4">
              <w:rPr>
                <w:rFonts w:cs="Arial"/>
                <w:sz w:val="16"/>
                <w:szCs w:val="16"/>
              </w:rPr>
              <w:t>880)</w:t>
            </w:r>
          </w:p>
        </w:tc>
        <w:tc>
          <w:tcPr>
            <w:tcW w:w="810" w:type="dxa"/>
            <w:tcBorders>
              <w:top w:val="single" w:color="auto" w:sz="4" w:space="0"/>
              <w:bottom w:val="single" w:color="auto" w:sz="4" w:space="0"/>
            </w:tcBorders>
            <w:shd w:val="clear" w:color="auto" w:fill="auto"/>
            <w:tcMar>
              <w:left w:w="58" w:type="dxa"/>
              <w:right w:w="58" w:type="dxa"/>
            </w:tcMar>
            <w:vAlign w:val="center"/>
          </w:tcPr>
          <w:p w:rsidRPr="00AD2FDD" w:rsidR="008011F7" w:rsidP="008011F7" w:rsidRDefault="008011F7" w14:paraId="59C23EC3" w14:textId="32000E63">
            <w:pPr>
              <w:jc w:val="right"/>
              <w:rPr>
                <w:rFonts w:cs="Arial"/>
                <w:sz w:val="16"/>
                <w:szCs w:val="16"/>
              </w:rPr>
            </w:pPr>
            <w:r w:rsidRPr="00AD2FDD">
              <w:rPr>
                <w:rFonts w:cs="Arial"/>
                <w:sz w:val="16"/>
                <w:szCs w:val="16"/>
              </w:rPr>
              <w:t>56</w:t>
            </w:r>
          </w:p>
        </w:tc>
        <w:tc>
          <w:tcPr>
            <w:tcW w:w="1260" w:type="dxa"/>
            <w:gridSpan w:val="2"/>
            <w:tcBorders>
              <w:top w:val="single" w:color="auto" w:sz="4" w:space="0"/>
              <w:bottom w:val="single" w:color="auto" w:sz="4" w:space="0"/>
            </w:tcBorders>
            <w:shd w:val="clear" w:color="auto" w:fill="auto"/>
            <w:tcMar>
              <w:left w:w="58" w:type="dxa"/>
              <w:right w:w="58" w:type="dxa"/>
            </w:tcMar>
            <w:vAlign w:val="center"/>
          </w:tcPr>
          <w:p w:rsidRPr="00AD2FDD" w:rsidR="008011F7" w:rsidP="008011F7" w:rsidRDefault="008011F7" w14:paraId="0BEE9C21" w14:textId="12762604">
            <w:pPr>
              <w:jc w:val="right"/>
              <w:rPr>
                <w:rFonts w:cs="Arial"/>
                <w:sz w:val="16"/>
                <w:szCs w:val="16"/>
              </w:rPr>
            </w:pPr>
            <w:r w:rsidRPr="00AD2FDD">
              <w:rPr>
                <w:rFonts w:cs="Arial"/>
                <w:sz w:val="16"/>
                <w:szCs w:val="16"/>
              </w:rPr>
              <w:t>($</w:t>
            </w:r>
            <w:r w:rsidRPr="00AD2FDD" w:rsidR="00A608CB">
              <w:rPr>
                <w:rFonts w:cs="Arial"/>
                <w:sz w:val="16"/>
                <w:szCs w:val="16"/>
              </w:rPr>
              <w:t>49,280</w:t>
            </w:r>
            <w:r w:rsidRPr="00AD2FDD">
              <w:rPr>
                <w:rFonts w:cs="Arial"/>
                <w:sz w:val="16"/>
                <w:szCs w:val="16"/>
              </w:rPr>
              <w:t>)</w:t>
            </w:r>
          </w:p>
        </w:tc>
      </w:tr>
      <w:tr w:rsidRPr="00AD2FDD" w:rsidR="008011F7" w:rsidTr="00A47262" w14:paraId="545C934B" w14:textId="77777777">
        <w:trPr>
          <w:trHeight w:val="296"/>
        </w:trPr>
        <w:tc>
          <w:tcPr>
            <w:tcW w:w="2070" w:type="dxa"/>
            <w:gridSpan w:val="2"/>
            <w:vMerge/>
            <w:tcMar>
              <w:left w:w="58" w:type="dxa"/>
              <w:right w:w="58" w:type="dxa"/>
            </w:tcMar>
            <w:vAlign w:val="center"/>
          </w:tcPr>
          <w:p w:rsidRPr="00AD2FDD" w:rsidR="008011F7" w:rsidP="008011F7" w:rsidRDefault="008011F7" w14:paraId="7B5BEA75" w14:textId="77777777">
            <w:pPr>
              <w:ind w:left="86" w:right="-14"/>
              <w:rPr>
                <w:rFonts w:eastAsia="Arial" w:cs="Arial"/>
                <w:sz w:val="16"/>
                <w:szCs w:val="16"/>
              </w:rPr>
            </w:pPr>
          </w:p>
        </w:tc>
        <w:tc>
          <w:tcPr>
            <w:tcW w:w="3690" w:type="dxa"/>
            <w:gridSpan w:val="3"/>
            <w:tcBorders>
              <w:bottom w:val="single" w:color="auto" w:sz="4" w:space="0"/>
            </w:tcBorders>
            <w:tcMar>
              <w:left w:w="58" w:type="dxa"/>
              <w:right w:w="58" w:type="dxa"/>
            </w:tcMar>
            <w:vAlign w:val="center"/>
          </w:tcPr>
          <w:p w:rsidRPr="00AD2FDD" w:rsidR="008011F7" w:rsidP="00AD2FDD" w:rsidRDefault="008011F7" w14:paraId="103E9054" w14:textId="262D9ED0">
            <w:pPr>
              <w:rPr>
                <w:rFonts w:cs="Arial"/>
                <w:sz w:val="16"/>
                <w:szCs w:val="16"/>
              </w:rPr>
            </w:pPr>
            <w:r w:rsidRPr="00AD2FDD">
              <w:rPr>
                <w:rFonts w:cs="Arial"/>
                <w:sz w:val="16"/>
                <w:szCs w:val="16"/>
              </w:rPr>
              <w:t>Testing for 6-AM</w:t>
            </w:r>
            <w:r w:rsidR="00AD2FDD">
              <w:rPr>
                <w:rFonts w:cs="Arial"/>
                <w:sz w:val="16"/>
                <w:szCs w:val="16"/>
              </w:rPr>
              <w:t xml:space="preserve"> </w:t>
            </w:r>
            <w:r w:rsidRPr="00AD2FDD">
              <w:rPr>
                <w:rFonts w:cs="Arial"/>
                <w:sz w:val="16"/>
                <w:szCs w:val="16"/>
              </w:rPr>
              <w:t>(sites only using an HHS</w:t>
            </w:r>
            <w:r w:rsidR="00AD2FDD">
              <w:rPr>
                <w:rFonts w:cs="Arial"/>
                <w:sz w:val="16"/>
                <w:szCs w:val="16"/>
              </w:rPr>
              <w:noBreakHyphen/>
            </w:r>
            <w:r w:rsidRPr="00AD2FDD">
              <w:rPr>
                <w:rFonts w:cs="Arial"/>
                <w:sz w:val="16"/>
                <w:szCs w:val="16"/>
              </w:rPr>
              <w:t>certified laboratory)</w:t>
            </w:r>
          </w:p>
        </w:tc>
        <w:tc>
          <w:tcPr>
            <w:tcW w:w="810" w:type="dxa"/>
            <w:gridSpan w:val="2"/>
            <w:tcBorders>
              <w:bottom w:val="single" w:color="auto" w:sz="4" w:space="0"/>
            </w:tcBorders>
            <w:shd w:val="clear" w:color="auto" w:fill="auto"/>
            <w:tcMar>
              <w:left w:w="58" w:type="dxa"/>
              <w:right w:w="58" w:type="dxa"/>
            </w:tcMar>
            <w:vAlign w:val="center"/>
          </w:tcPr>
          <w:p w:rsidRPr="00AD2FDD" w:rsidR="008011F7" w:rsidP="008011F7" w:rsidRDefault="00EA74F4" w14:paraId="4B33A9E0" w14:textId="378C0654">
            <w:pPr>
              <w:jc w:val="right"/>
              <w:rPr>
                <w:rFonts w:cs="Arial"/>
                <w:sz w:val="16"/>
                <w:szCs w:val="16"/>
              </w:rPr>
            </w:pPr>
            <w:r w:rsidRPr="00AD2FDD">
              <w:rPr>
                <w:rFonts w:cs="Arial"/>
                <w:sz w:val="16"/>
                <w:szCs w:val="16"/>
              </w:rPr>
              <w:t>$0.39</w:t>
            </w:r>
          </w:p>
        </w:tc>
        <w:tc>
          <w:tcPr>
            <w:tcW w:w="828" w:type="dxa"/>
            <w:tcBorders>
              <w:top w:val="single" w:color="auto" w:sz="4" w:space="0"/>
              <w:bottom w:val="single" w:color="auto" w:sz="4" w:space="0"/>
            </w:tcBorders>
            <w:shd w:val="clear" w:color="auto" w:fill="auto"/>
            <w:tcMar>
              <w:left w:w="58" w:type="dxa"/>
              <w:right w:w="58" w:type="dxa"/>
            </w:tcMar>
            <w:vAlign w:val="center"/>
          </w:tcPr>
          <w:p w:rsidRPr="00AD2FDD" w:rsidR="008011F7" w:rsidP="008011F7" w:rsidRDefault="008011F7" w14:paraId="1808DB88" w14:textId="77777777">
            <w:pPr>
              <w:jc w:val="right"/>
              <w:rPr>
                <w:rFonts w:cs="Arial"/>
                <w:sz w:val="16"/>
                <w:szCs w:val="16"/>
              </w:rPr>
            </w:pPr>
          </w:p>
        </w:tc>
        <w:tc>
          <w:tcPr>
            <w:tcW w:w="810" w:type="dxa"/>
            <w:tcBorders>
              <w:top w:val="single" w:color="auto" w:sz="4" w:space="0"/>
              <w:bottom w:val="single" w:color="auto" w:sz="4" w:space="0"/>
            </w:tcBorders>
            <w:shd w:val="clear" w:color="auto" w:fill="auto"/>
            <w:tcMar>
              <w:left w:w="58" w:type="dxa"/>
              <w:right w:w="58" w:type="dxa"/>
            </w:tcMar>
            <w:vAlign w:val="center"/>
          </w:tcPr>
          <w:p w:rsidRPr="00AD2FDD" w:rsidR="008011F7" w:rsidP="008011F7" w:rsidRDefault="008011F7" w14:paraId="26DAAC20" w14:textId="77777777">
            <w:pPr>
              <w:jc w:val="right"/>
              <w:rPr>
                <w:rFonts w:cs="Arial"/>
                <w:sz w:val="16"/>
                <w:szCs w:val="16"/>
              </w:rPr>
            </w:pPr>
          </w:p>
        </w:tc>
        <w:tc>
          <w:tcPr>
            <w:tcW w:w="1260" w:type="dxa"/>
            <w:gridSpan w:val="2"/>
            <w:tcBorders>
              <w:top w:val="single" w:color="auto" w:sz="4" w:space="0"/>
              <w:bottom w:val="single" w:color="auto" w:sz="4" w:space="0"/>
            </w:tcBorders>
            <w:shd w:val="clear" w:color="auto" w:fill="auto"/>
            <w:tcMar>
              <w:left w:w="58" w:type="dxa"/>
              <w:right w:w="58" w:type="dxa"/>
            </w:tcMar>
            <w:vAlign w:val="center"/>
          </w:tcPr>
          <w:p w:rsidRPr="00AD2FDD" w:rsidR="008011F7" w:rsidP="008011F7" w:rsidRDefault="008011F7" w14:paraId="2E0A188D" w14:textId="77777777">
            <w:pPr>
              <w:jc w:val="right"/>
              <w:rPr>
                <w:rFonts w:cs="Arial"/>
                <w:sz w:val="16"/>
                <w:szCs w:val="16"/>
              </w:rPr>
            </w:pPr>
          </w:p>
        </w:tc>
      </w:tr>
      <w:tr w:rsidRPr="00AD2FDD" w:rsidR="008011F7" w:rsidTr="00427A8C" w14:paraId="6E3D02C1" w14:textId="77777777">
        <w:trPr>
          <w:trHeight w:val="260"/>
        </w:trPr>
        <w:tc>
          <w:tcPr>
            <w:tcW w:w="2070" w:type="dxa"/>
            <w:gridSpan w:val="2"/>
            <w:vMerge w:val="restart"/>
            <w:tcMar>
              <w:left w:w="58" w:type="dxa"/>
              <w:right w:w="58" w:type="dxa"/>
            </w:tcMar>
            <w:vAlign w:val="center"/>
          </w:tcPr>
          <w:p w:rsidRPr="00AD2FDD" w:rsidR="008011F7" w:rsidP="008011F7" w:rsidRDefault="008011F7" w14:paraId="5DF0B9B7" w14:textId="52AC4E1F">
            <w:pPr>
              <w:ind w:left="88" w:right="-20"/>
              <w:rPr>
                <w:rFonts w:cs="Arial"/>
                <w:sz w:val="16"/>
                <w:szCs w:val="16"/>
              </w:rPr>
            </w:pPr>
            <w:r w:rsidRPr="00AD2FDD">
              <w:rPr>
                <w:rFonts w:eastAsia="Arial" w:cs="Arial"/>
                <w:sz w:val="16"/>
                <w:szCs w:val="16"/>
              </w:rPr>
              <w:t>Add</w:t>
            </w:r>
            <w:r w:rsidRPr="003E4208">
              <w:rPr>
                <w:rFonts w:eastAsia="Arial"/>
                <w:sz w:val="16"/>
              </w:rPr>
              <w:t>iti</w:t>
            </w:r>
            <w:r w:rsidRPr="00AD2FDD">
              <w:rPr>
                <w:rFonts w:eastAsia="Arial" w:cs="Arial"/>
                <w:sz w:val="16"/>
                <w:szCs w:val="16"/>
              </w:rPr>
              <w:t>o</w:t>
            </w:r>
            <w:r w:rsidRPr="003E4208">
              <w:rPr>
                <w:rFonts w:eastAsia="Arial"/>
                <w:sz w:val="16"/>
              </w:rPr>
              <w:t>n</w:t>
            </w:r>
            <w:r w:rsidRPr="00AD2FDD">
              <w:rPr>
                <w:rFonts w:eastAsia="Arial" w:cs="Arial"/>
                <w:sz w:val="16"/>
                <w:szCs w:val="16"/>
              </w:rPr>
              <w:t>al</w:t>
            </w:r>
            <w:r w:rsidRPr="003E4208">
              <w:rPr>
                <w:rFonts w:eastAsia="Arial"/>
                <w:sz w:val="16"/>
              </w:rPr>
              <w:t xml:space="preserve"> t</w:t>
            </w:r>
            <w:r w:rsidRPr="00AD2FDD">
              <w:rPr>
                <w:rFonts w:eastAsia="Arial" w:cs="Arial"/>
                <w:sz w:val="16"/>
                <w:szCs w:val="16"/>
              </w:rPr>
              <w:t>est</w:t>
            </w:r>
            <w:r w:rsidRPr="003E4208">
              <w:rPr>
                <w:rFonts w:eastAsia="Arial"/>
                <w:sz w:val="16"/>
              </w:rPr>
              <w:t>in</w:t>
            </w:r>
            <w:r w:rsidRPr="00AD2FDD">
              <w:rPr>
                <w:rFonts w:eastAsia="Arial" w:cs="Arial"/>
                <w:sz w:val="16"/>
                <w:szCs w:val="16"/>
              </w:rPr>
              <w:t>g</w:t>
            </w:r>
            <w:r w:rsidRPr="003E4208">
              <w:rPr>
                <w:rFonts w:eastAsia="Arial"/>
                <w:sz w:val="16"/>
              </w:rPr>
              <w:t xml:space="preserve"> </w:t>
            </w:r>
            <w:r w:rsidRPr="00AD2FDD">
              <w:rPr>
                <w:rFonts w:eastAsia="Arial" w:cs="Arial"/>
                <w:sz w:val="16"/>
                <w:szCs w:val="16"/>
              </w:rPr>
              <w:t>at</w:t>
            </w:r>
            <w:r w:rsidRPr="003E4208">
              <w:rPr>
                <w:rFonts w:eastAsia="Arial"/>
                <w:sz w:val="16"/>
              </w:rPr>
              <w:t xml:space="preserve"> </w:t>
            </w:r>
            <w:r w:rsidRPr="00AD2FDD">
              <w:rPr>
                <w:rFonts w:eastAsia="Arial" w:cs="Arial"/>
                <w:sz w:val="16"/>
                <w:szCs w:val="16"/>
              </w:rPr>
              <w:t>HHS</w:t>
            </w:r>
            <w:r w:rsidRPr="00AD2FDD">
              <w:rPr>
                <w:rFonts w:eastAsia="Arial" w:cs="Arial"/>
                <w:sz w:val="16"/>
                <w:szCs w:val="16"/>
              </w:rPr>
              <w:noBreakHyphen/>
            </w:r>
            <w:r w:rsidRPr="003E4208">
              <w:rPr>
                <w:rFonts w:eastAsia="Arial"/>
                <w:sz w:val="16"/>
              </w:rPr>
              <w:t>c</w:t>
            </w:r>
            <w:r w:rsidRPr="00AD2FDD">
              <w:rPr>
                <w:rFonts w:eastAsia="Arial" w:cs="Arial"/>
                <w:sz w:val="16"/>
                <w:szCs w:val="16"/>
              </w:rPr>
              <w:t>ert</w:t>
            </w:r>
            <w:r w:rsidRPr="003E4208">
              <w:rPr>
                <w:rFonts w:eastAsia="Arial"/>
                <w:sz w:val="16"/>
              </w:rPr>
              <w:t>i</w:t>
            </w:r>
            <w:r w:rsidRPr="00AD2FDD">
              <w:rPr>
                <w:rFonts w:eastAsia="Arial" w:cs="Arial"/>
                <w:sz w:val="16"/>
                <w:szCs w:val="16"/>
              </w:rPr>
              <w:t>f</w:t>
            </w:r>
            <w:r w:rsidRPr="003E4208">
              <w:rPr>
                <w:rFonts w:eastAsia="Arial"/>
                <w:sz w:val="16"/>
              </w:rPr>
              <w:t>i</w:t>
            </w:r>
            <w:r w:rsidRPr="00AD2FDD">
              <w:rPr>
                <w:rFonts w:eastAsia="Arial" w:cs="Arial"/>
                <w:sz w:val="16"/>
                <w:szCs w:val="16"/>
              </w:rPr>
              <w:t>ed</w:t>
            </w:r>
            <w:r w:rsidRPr="003E4208">
              <w:rPr>
                <w:rFonts w:eastAsia="Arial"/>
                <w:sz w:val="16"/>
              </w:rPr>
              <w:t xml:space="preserve"> labor</w:t>
            </w:r>
            <w:r w:rsidRPr="00AD2FDD">
              <w:rPr>
                <w:rFonts w:eastAsia="Arial" w:cs="Arial"/>
                <w:sz w:val="16"/>
                <w:szCs w:val="16"/>
              </w:rPr>
              <w:t>a</w:t>
            </w:r>
            <w:r w:rsidRPr="003E4208">
              <w:rPr>
                <w:rFonts w:eastAsia="Arial"/>
                <w:sz w:val="16"/>
              </w:rPr>
              <w:t>tor</w:t>
            </w:r>
            <w:r w:rsidRPr="00AD2FDD">
              <w:rPr>
                <w:rFonts w:eastAsia="Arial" w:cs="Arial"/>
                <w:sz w:val="16"/>
                <w:szCs w:val="16"/>
              </w:rPr>
              <w:t>y for</w:t>
            </w:r>
            <w:r w:rsidRPr="003E4208">
              <w:rPr>
                <w:rFonts w:eastAsia="Arial"/>
                <w:sz w:val="16"/>
              </w:rPr>
              <w:t xml:space="preserve"> 6</w:t>
            </w:r>
            <w:r w:rsidRPr="003E4208">
              <w:rPr>
                <w:rFonts w:eastAsia="Arial"/>
                <w:sz w:val="16"/>
              </w:rPr>
              <w:noBreakHyphen/>
              <w:t xml:space="preserve">AM </w:t>
            </w:r>
            <w:r w:rsidRPr="00AD2FDD">
              <w:rPr>
                <w:rFonts w:eastAsia="Arial" w:cs="Arial"/>
                <w:sz w:val="16"/>
                <w:szCs w:val="16"/>
              </w:rPr>
              <w:t>pos</w:t>
            </w:r>
            <w:r w:rsidRPr="003E4208">
              <w:rPr>
                <w:rFonts w:eastAsia="Arial"/>
                <w:sz w:val="16"/>
              </w:rPr>
              <w:t>itiv</w:t>
            </w:r>
            <w:r w:rsidRPr="00AD2FDD">
              <w:rPr>
                <w:rFonts w:eastAsia="Arial" w:cs="Arial"/>
                <w:sz w:val="16"/>
                <w:szCs w:val="16"/>
              </w:rPr>
              <w:t>e</w:t>
            </w:r>
            <w:r w:rsidRPr="003E4208">
              <w:rPr>
                <w:rFonts w:eastAsia="Arial"/>
                <w:sz w:val="16"/>
              </w:rPr>
              <w:t xml:space="preserve"> result</w:t>
            </w:r>
            <w:r w:rsidRPr="00AD2FDD">
              <w:rPr>
                <w:rFonts w:eastAsia="Arial" w:cs="Arial"/>
                <w:sz w:val="16"/>
                <w:szCs w:val="16"/>
              </w:rPr>
              <w:t>s (s</w:t>
            </w:r>
            <w:r w:rsidRPr="003E4208">
              <w:rPr>
                <w:rFonts w:eastAsia="Arial"/>
                <w:sz w:val="16"/>
              </w:rPr>
              <w:t>i</w:t>
            </w:r>
            <w:r w:rsidRPr="00AD2FDD">
              <w:rPr>
                <w:rFonts w:eastAsia="Arial" w:cs="Arial"/>
                <w:sz w:val="16"/>
                <w:szCs w:val="16"/>
              </w:rPr>
              <w:t>tes</w:t>
            </w:r>
            <w:r w:rsidRPr="003E4208">
              <w:rPr>
                <w:rFonts w:eastAsia="Arial"/>
                <w:sz w:val="16"/>
              </w:rPr>
              <w:t xml:space="preserve"> u</w:t>
            </w:r>
            <w:r w:rsidRPr="00AD2FDD">
              <w:rPr>
                <w:rFonts w:eastAsia="Arial" w:cs="Arial"/>
                <w:sz w:val="16"/>
                <w:szCs w:val="16"/>
              </w:rPr>
              <w:t>s</w:t>
            </w:r>
            <w:r w:rsidRPr="003E4208">
              <w:rPr>
                <w:rFonts w:eastAsia="Arial"/>
                <w:sz w:val="16"/>
              </w:rPr>
              <w:t>in</w:t>
            </w:r>
            <w:r w:rsidRPr="00AD2FDD">
              <w:rPr>
                <w:rFonts w:eastAsia="Arial" w:cs="Arial"/>
                <w:sz w:val="16"/>
                <w:szCs w:val="16"/>
              </w:rPr>
              <w:t>g</w:t>
            </w:r>
            <w:r w:rsidRPr="003E4208">
              <w:rPr>
                <w:rFonts w:eastAsia="Arial"/>
                <w:sz w:val="16"/>
              </w:rPr>
              <w:t xml:space="preserve"> LTF</w:t>
            </w:r>
            <w:r w:rsidRPr="00AD2FDD">
              <w:rPr>
                <w:rFonts w:eastAsia="Arial" w:cs="Arial"/>
                <w:sz w:val="16"/>
                <w:szCs w:val="16"/>
              </w:rPr>
              <w:t>s)</w:t>
            </w:r>
          </w:p>
        </w:tc>
        <w:tc>
          <w:tcPr>
            <w:tcW w:w="3690" w:type="dxa"/>
            <w:gridSpan w:val="3"/>
            <w:tcMar>
              <w:left w:w="58" w:type="dxa"/>
              <w:right w:w="58" w:type="dxa"/>
            </w:tcMar>
            <w:vAlign w:val="center"/>
          </w:tcPr>
          <w:p w:rsidRPr="00AD2FDD" w:rsidR="008011F7" w:rsidP="008011F7" w:rsidRDefault="008011F7" w14:paraId="771193AB" w14:textId="77777777">
            <w:pPr>
              <w:rPr>
                <w:rFonts w:cs="Arial"/>
                <w:sz w:val="16"/>
                <w:szCs w:val="16"/>
              </w:rPr>
            </w:pPr>
            <w:r w:rsidRPr="00AD2FDD">
              <w:rPr>
                <w:rFonts w:cs="Arial"/>
                <w:sz w:val="16"/>
                <w:szCs w:val="16"/>
              </w:rPr>
              <w:t>Number of drug tests conducted per site per year under 10 CFR Part 26</w:t>
            </w:r>
          </w:p>
        </w:tc>
        <w:tc>
          <w:tcPr>
            <w:tcW w:w="810" w:type="dxa"/>
            <w:gridSpan w:val="2"/>
            <w:shd w:val="clear" w:color="auto" w:fill="auto"/>
            <w:tcMar>
              <w:left w:w="58" w:type="dxa"/>
              <w:right w:w="58" w:type="dxa"/>
            </w:tcMar>
            <w:vAlign w:val="center"/>
          </w:tcPr>
          <w:p w:rsidRPr="00AD2FDD" w:rsidR="008011F7" w:rsidP="008011F7" w:rsidRDefault="008011F7" w14:paraId="785B006D" w14:textId="75BE0162">
            <w:pPr>
              <w:jc w:val="right"/>
              <w:rPr>
                <w:rFonts w:cs="Arial"/>
                <w:sz w:val="16"/>
                <w:szCs w:val="16"/>
              </w:rPr>
            </w:pPr>
            <w:r w:rsidRPr="00AD2FDD">
              <w:rPr>
                <w:rFonts w:cs="Arial"/>
                <w:sz w:val="16"/>
                <w:szCs w:val="16"/>
              </w:rPr>
              <w:t>2,257</w:t>
            </w:r>
          </w:p>
        </w:tc>
        <w:tc>
          <w:tcPr>
            <w:tcW w:w="828" w:type="dxa"/>
            <w:tcBorders>
              <w:top w:val="single" w:color="auto" w:sz="4" w:space="0"/>
              <w:bottom w:val="single" w:color="auto" w:sz="4" w:space="0"/>
            </w:tcBorders>
            <w:shd w:val="clear" w:color="auto" w:fill="auto"/>
            <w:tcMar>
              <w:left w:w="58" w:type="dxa"/>
              <w:right w:w="58" w:type="dxa"/>
            </w:tcMar>
            <w:vAlign w:val="center"/>
          </w:tcPr>
          <w:p w:rsidRPr="00AD2FDD" w:rsidR="008011F7" w:rsidP="008011F7" w:rsidRDefault="008011F7" w14:paraId="562C58CC" w14:textId="2BCCB81A">
            <w:pPr>
              <w:jc w:val="right"/>
              <w:rPr>
                <w:rFonts w:cs="Arial"/>
                <w:sz w:val="16"/>
                <w:szCs w:val="16"/>
              </w:rPr>
            </w:pPr>
            <w:r w:rsidRPr="00AD2FDD">
              <w:rPr>
                <w:rFonts w:cs="Arial"/>
                <w:sz w:val="16"/>
                <w:szCs w:val="16"/>
              </w:rPr>
              <w:t>($1</w:t>
            </w:r>
            <w:r w:rsidRPr="00AD2FDD" w:rsidR="00A608CB">
              <w:rPr>
                <w:rFonts w:cs="Arial"/>
                <w:sz w:val="16"/>
                <w:szCs w:val="16"/>
              </w:rPr>
              <w:t>1</w:t>
            </w:r>
            <w:r w:rsidRPr="00AD2FDD">
              <w:rPr>
                <w:rFonts w:cs="Arial"/>
                <w:sz w:val="16"/>
                <w:szCs w:val="16"/>
              </w:rPr>
              <w:t>)</w:t>
            </w:r>
          </w:p>
        </w:tc>
        <w:tc>
          <w:tcPr>
            <w:tcW w:w="810" w:type="dxa"/>
            <w:tcBorders>
              <w:top w:val="single" w:color="auto" w:sz="4" w:space="0"/>
              <w:bottom w:val="single" w:color="auto" w:sz="4" w:space="0"/>
            </w:tcBorders>
            <w:shd w:val="clear" w:color="auto" w:fill="auto"/>
            <w:tcMar>
              <w:left w:w="58" w:type="dxa"/>
              <w:right w:w="58" w:type="dxa"/>
            </w:tcMar>
            <w:vAlign w:val="center"/>
          </w:tcPr>
          <w:p w:rsidRPr="00AD2FDD" w:rsidR="008011F7" w:rsidP="008011F7" w:rsidRDefault="008011F7" w14:paraId="7E57660B" w14:textId="067C5F78">
            <w:pPr>
              <w:jc w:val="right"/>
              <w:rPr>
                <w:rFonts w:cs="Arial"/>
                <w:sz w:val="16"/>
                <w:szCs w:val="16"/>
              </w:rPr>
            </w:pPr>
            <w:r w:rsidRPr="00AD2FDD">
              <w:rPr>
                <w:rFonts w:cs="Arial"/>
                <w:sz w:val="16"/>
                <w:szCs w:val="16"/>
              </w:rPr>
              <w:t>3</w:t>
            </w:r>
          </w:p>
        </w:tc>
        <w:tc>
          <w:tcPr>
            <w:tcW w:w="1260" w:type="dxa"/>
            <w:gridSpan w:val="2"/>
            <w:tcBorders>
              <w:top w:val="single" w:color="auto" w:sz="4" w:space="0"/>
              <w:bottom w:val="single" w:color="auto" w:sz="4" w:space="0"/>
            </w:tcBorders>
            <w:shd w:val="clear" w:color="auto" w:fill="auto"/>
            <w:tcMar>
              <w:left w:w="58" w:type="dxa"/>
              <w:right w:w="58" w:type="dxa"/>
            </w:tcMar>
            <w:vAlign w:val="center"/>
          </w:tcPr>
          <w:p w:rsidRPr="00AD2FDD" w:rsidR="008011F7" w:rsidP="008011F7" w:rsidRDefault="008011F7" w14:paraId="79F2AF53" w14:textId="6E8AE27C">
            <w:pPr>
              <w:jc w:val="right"/>
              <w:rPr>
                <w:rFonts w:cs="Arial"/>
                <w:sz w:val="16"/>
                <w:szCs w:val="16"/>
              </w:rPr>
            </w:pPr>
            <w:r w:rsidRPr="00AD2FDD">
              <w:rPr>
                <w:rFonts w:cs="Arial"/>
                <w:sz w:val="16"/>
                <w:szCs w:val="16"/>
              </w:rPr>
              <w:t>($3</w:t>
            </w:r>
            <w:r w:rsidRPr="00AD2FDD" w:rsidR="00533FC5">
              <w:rPr>
                <w:rFonts w:cs="Arial"/>
                <w:sz w:val="16"/>
                <w:szCs w:val="16"/>
              </w:rPr>
              <w:t>3</w:t>
            </w:r>
            <w:r w:rsidRPr="00AD2FDD">
              <w:rPr>
                <w:rFonts w:cs="Arial"/>
                <w:sz w:val="16"/>
                <w:szCs w:val="16"/>
              </w:rPr>
              <w:t>)</w:t>
            </w:r>
          </w:p>
        </w:tc>
      </w:tr>
      <w:tr w:rsidRPr="00AD2FDD" w:rsidR="00196635" w:rsidTr="00A47262" w14:paraId="6478248B" w14:textId="77777777">
        <w:trPr>
          <w:trHeight w:val="197"/>
        </w:trPr>
        <w:tc>
          <w:tcPr>
            <w:tcW w:w="2070" w:type="dxa"/>
            <w:gridSpan w:val="2"/>
            <w:vMerge/>
            <w:tcMar>
              <w:left w:w="58" w:type="dxa"/>
              <w:right w:w="58" w:type="dxa"/>
            </w:tcMar>
            <w:vAlign w:val="center"/>
          </w:tcPr>
          <w:p w:rsidRPr="00AD2FDD" w:rsidR="008011F7" w:rsidP="008011F7" w:rsidRDefault="008011F7" w14:paraId="359F8CD7" w14:textId="77777777">
            <w:pPr>
              <w:rPr>
                <w:rFonts w:cs="Arial"/>
                <w:sz w:val="16"/>
                <w:szCs w:val="16"/>
              </w:rPr>
            </w:pPr>
          </w:p>
        </w:tc>
        <w:tc>
          <w:tcPr>
            <w:tcW w:w="3690" w:type="dxa"/>
            <w:gridSpan w:val="3"/>
            <w:tcMar>
              <w:left w:w="58" w:type="dxa"/>
              <w:right w:w="58" w:type="dxa"/>
            </w:tcMar>
            <w:vAlign w:val="center"/>
          </w:tcPr>
          <w:p w:rsidRPr="00AD2FDD" w:rsidR="008011F7" w:rsidP="008011F7" w:rsidRDefault="008011F7" w14:paraId="44EAEF25" w14:textId="77777777">
            <w:pPr>
              <w:rPr>
                <w:rFonts w:cs="Arial"/>
                <w:sz w:val="16"/>
                <w:szCs w:val="16"/>
              </w:rPr>
            </w:pPr>
            <w:r w:rsidRPr="00AD2FDD">
              <w:rPr>
                <w:rFonts w:cs="Arial"/>
                <w:sz w:val="16"/>
                <w:szCs w:val="16"/>
              </w:rPr>
              <w:t>Projected confirmed positive test rate</w:t>
            </w:r>
          </w:p>
        </w:tc>
        <w:tc>
          <w:tcPr>
            <w:tcW w:w="810" w:type="dxa"/>
            <w:gridSpan w:val="2"/>
            <w:tcBorders>
              <w:right w:val="single" w:color="auto" w:sz="4" w:space="0"/>
            </w:tcBorders>
            <w:shd w:val="clear" w:color="auto" w:fill="auto"/>
            <w:tcMar>
              <w:left w:w="58" w:type="dxa"/>
              <w:right w:w="58" w:type="dxa"/>
            </w:tcMar>
            <w:vAlign w:val="center"/>
          </w:tcPr>
          <w:p w:rsidRPr="00AD2FDD" w:rsidR="008011F7" w:rsidP="008011F7" w:rsidRDefault="008011F7" w14:paraId="03E52C85" w14:textId="73572E9D">
            <w:pPr>
              <w:jc w:val="right"/>
              <w:rPr>
                <w:rFonts w:cs="Arial"/>
                <w:sz w:val="16"/>
                <w:szCs w:val="16"/>
              </w:rPr>
            </w:pPr>
            <w:r w:rsidRPr="00AD2FDD">
              <w:rPr>
                <w:rFonts w:cs="Arial"/>
                <w:sz w:val="16"/>
                <w:szCs w:val="16"/>
              </w:rPr>
              <w:t>0.01</w:t>
            </w:r>
            <w:r w:rsidRPr="00AD2FDD" w:rsidR="00A608CB">
              <w:rPr>
                <w:rFonts w:cs="Arial"/>
                <w:sz w:val="16"/>
                <w:szCs w:val="16"/>
              </w:rPr>
              <w:t>6</w:t>
            </w:r>
            <w:r w:rsidRPr="00AD2FDD">
              <w:rPr>
                <w:rFonts w:cs="Arial"/>
                <w:sz w:val="16"/>
                <w:szCs w:val="16"/>
              </w:rPr>
              <w:t>%</w:t>
            </w:r>
          </w:p>
        </w:tc>
        <w:tc>
          <w:tcPr>
            <w:tcW w:w="828" w:type="dxa"/>
            <w:tcBorders>
              <w:top w:val="single" w:color="auto" w:sz="4" w:space="0"/>
              <w:left w:val="single" w:color="auto" w:sz="4" w:space="0"/>
              <w:bottom w:val="nil"/>
              <w:right w:val="nil"/>
            </w:tcBorders>
            <w:shd w:val="clear" w:color="auto" w:fill="auto"/>
            <w:tcMar>
              <w:left w:w="58" w:type="dxa"/>
              <w:right w:w="58" w:type="dxa"/>
            </w:tcMar>
            <w:vAlign w:val="center"/>
          </w:tcPr>
          <w:p w:rsidRPr="00AD2FDD" w:rsidR="008011F7" w:rsidP="008011F7" w:rsidRDefault="008011F7" w14:paraId="09E9A823" w14:textId="77777777">
            <w:pPr>
              <w:jc w:val="right"/>
              <w:rPr>
                <w:rFonts w:cs="Arial"/>
                <w:sz w:val="16"/>
                <w:szCs w:val="16"/>
              </w:rPr>
            </w:pPr>
          </w:p>
        </w:tc>
        <w:tc>
          <w:tcPr>
            <w:tcW w:w="810" w:type="dxa"/>
            <w:tcBorders>
              <w:top w:val="single" w:color="auto" w:sz="4" w:space="0"/>
              <w:left w:val="nil"/>
              <w:bottom w:val="nil"/>
              <w:right w:val="nil"/>
            </w:tcBorders>
            <w:shd w:val="clear" w:color="auto" w:fill="auto"/>
            <w:tcMar>
              <w:left w:w="58" w:type="dxa"/>
              <w:right w:w="58" w:type="dxa"/>
            </w:tcMar>
            <w:vAlign w:val="center"/>
          </w:tcPr>
          <w:p w:rsidRPr="00AD2FDD" w:rsidR="008011F7" w:rsidP="008011F7" w:rsidRDefault="008011F7" w14:paraId="63E3F492" w14:textId="77777777">
            <w:pPr>
              <w:jc w:val="right"/>
              <w:rPr>
                <w:rFonts w:cs="Arial"/>
                <w:sz w:val="16"/>
                <w:szCs w:val="16"/>
              </w:rPr>
            </w:pPr>
          </w:p>
        </w:tc>
        <w:tc>
          <w:tcPr>
            <w:tcW w:w="1260" w:type="dxa"/>
            <w:gridSpan w:val="2"/>
            <w:tcBorders>
              <w:top w:val="single" w:color="auto" w:sz="4" w:space="0"/>
              <w:left w:val="nil"/>
              <w:bottom w:val="nil"/>
              <w:right w:val="single" w:color="auto" w:sz="4" w:space="0"/>
            </w:tcBorders>
            <w:shd w:val="clear" w:color="auto" w:fill="auto"/>
            <w:tcMar>
              <w:left w:w="58" w:type="dxa"/>
              <w:right w:w="58" w:type="dxa"/>
            </w:tcMar>
            <w:vAlign w:val="center"/>
          </w:tcPr>
          <w:p w:rsidRPr="00AD2FDD" w:rsidR="008011F7" w:rsidP="008011F7" w:rsidRDefault="008011F7" w14:paraId="3B2A652C" w14:textId="77777777">
            <w:pPr>
              <w:jc w:val="right"/>
              <w:rPr>
                <w:rFonts w:cs="Arial"/>
                <w:sz w:val="16"/>
                <w:szCs w:val="16"/>
              </w:rPr>
            </w:pPr>
          </w:p>
        </w:tc>
      </w:tr>
      <w:tr w:rsidRPr="00AD2FDD" w:rsidR="008011F7" w:rsidTr="00427A8C" w14:paraId="20BEFF27" w14:textId="77777777">
        <w:tc>
          <w:tcPr>
            <w:tcW w:w="2070" w:type="dxa"/>
            <w:gridSpan w:val="2"/>
            <w:vMerge/>
            <w:tcMar>
              <w:left w:w="58" w:type="dxa"/>
              <w:right w:w="58" w:type="dxa"/>
            </w:tcMar>
            <w:vAlign w:val="center"/>
          </w:tcPr>
          <w:p w:rsidRPr="00AD2FDD" w:rsidR="008011F7" w:rsidP="008011F7" w:rsidRDefault="008011F7" w14:paraId="701EE759" w14:textId="77777777">
            <w:pPr>
              <w:rPr>
                <w:rFonts w:cs="Arial"/>
                <w:sz w:val="16"/>
                <w:szCs w:val="16"/>
              </w:rPr>
            </w:pPr>
          </w:p>
        </w:tc>
        <w:tc>
          <w:tcPr>
            <w:tcW w:w="3690" w:type="dxa"/>
            <w:gridSpan w:val="3"/>
            <w:tcMar>
              <w:left w:w="58" w:type="dxa"/>
              <w:right w:w="58" w:type="dxa"/>
            </w:tcMar>
            <w:vAlign w:val="center"/>
          </w:tcPr>
          <w:p w:rsidRPr="00AD2FDD" w:rsidR="008011F7" w:rsidP="008011F7" w:rsidRDefault="008011F7" w14:paraId="6C9E2F06" w14:textId="78DC98B1">
            <w:pPr>
              <w:rPr>
                <w:rFonts w:cs="Arial"/>
                <w:sz w:val="16"/>
                <w:szCs w:val="16"/>
              </w:rPr>
            </w:pPr>
            <w:r w:rsidRPr="00AD2FDD">
              <w:rPr>
                <w:rFonts w:cs="Arial"/>
                <w:sz w:val="16"/>
                <w:szCs w:val="16"/>
              </w:rPr>
              <w:t>Initial and confirmatory drug testing, HHS-certified laboratory (sites using an LTF for initial testing)</w:t>
            </w:r>
          </w:p>
        </w:tc>
        <w:tc>
          <w:tcPr>
            <w:tcW w:w="810" w:type="dxa"/>
            <w:gridSpan w:val="2"/>
            <w:tcBorders>
              <w:right w:val="single" w:color="auto" w:sz="4" w:space="0"/>
            </w:tcBorders>
            <w:shd w:val="clear" w:color="auto" w:fill="auto"/>
            <w:tcMar>
              <w:left w:w="58" w:type="dxa"/>
              <w:right w:w="58" w:type="dxa"/>
            </w:tcMar>
            <w:vAlign w:val="center"/>
          </w:tcPr>
          <w:p w:rsidRPr="00AD2FDD" w:rsidR="008011F7" w:rsidP="008011F7" w:rsidRDefault="008011F7" w14:paraId="0B7EF663" w14:textId="0D9889C2">
            <w:pPr>
              <w:jc w:val="right"/>
              <w:rPr>
                <w:rFonts w:cs="Arial"/>
                <w:sz w:val="16"/>
                <w:szCs w:val="16"/>
              </w:rPr>
            </w:pPr>
            <w:r w:rsidRPr="00AD2FDD">
              <w:rPr>
                <w:rFonts w:cs="Arial"/>
                <w:sz w:val="16"/>
                <w:szCs w:val="16"/>
              </w:rPr>
              <w:t>$</w:t>
            </w:r>
            <w:r w:rsidRPr="00AD2FDD" w:rsidR="00A608CB">
              <w:rPr>
                <w:rFonts w:cs="Arial"/>
                <w:sz w:val="16"/>
                <w:szCs w:val="16"/>
              </w:rPr>
              <w:t>28.83</w:t>
            </w:r>
          </w:p>
        </w:tc>
        <w:tc>
          <w:tcPr>
            <w:tcW w:w="828" w:type="dxa"/>
            <w:tcBorders>
              <w:top w:val="nil"/>
              <w:left w:val="single" w:color="auto" w:sz="4" w:space="0"/>
              <w:bottom w:val="single" w:color="auto" w:sz="4" w:space="0"/>
              <w:right w:val="nil"/>
            </w:tcBorders>
            <w:shd w:val="clear" w:color="auto" w:fill="auto"/>
            <w:tcMar>
              <w:left w:w="58" w:type="dxa"/>
              <w:right w:w="58" w:type="dxa"/>
            </w:tcMar>
            <w:vAlign w:val="center"/>
          </w:tcPr>
          <w:p w:rsidRPr="00AD2FDD" w:rsidR="008011F7" w:rsidP="008011F7" w:rsidRDefault="008011F7" w14:paraId="20BEFB86" w14:textId="77777777">
            <w:pPr>
              <w:jc w:val="right"/>
              <w:rPr>
                <w:rFonts w:cs="Arial"/>
                <w:sz w:val="16"/>
                <w:szCs w:val="16"/>
              </w:rPr>
            </w:pPr>
          </w:p>
        </w:tc>
        <w:tc>
          <w:tcPr>
            <w:tcW w:w="810" w:type="dxa"/>
            <w:tcBorders>
              <w:top w:val="nil"/>
              <w:left w:val="nil"/>
              <w:bottom w:val="single" w:color="auto" w:sz="4" w:space="0"/>
              <w:right w:val="nil"/>
            </w:tcBorders>
            <w:shd w:val="clear" w:color="auto" w:fill="auto"/>
            <w:tcMar>
              <w:left w:w="58" w:type="dxa"/>
              <w:right w:w="58" w:type="dxa"/>
            </w:tcMar>
            <w:vAlign w:val="center"/>
          </w:tcPr>
          <w:p w:rsidRPr="00AD2FDD" w:rsidR="008011F7" w:rsidP="008011F7" w:rsidRDefault="008011F7" w14:paraId="59C40910" w14:textId="77777777">
            <w:pPr>
              <w:jc w:val="right"/>
              <w:rPr>
                <w:rFonts w:cs="Arial"/>
                <w:sz w:val="16"/>
                <w:szCs w:val="16"/>
              </w:rPr>
            </w:pPr>
          </w:p>
        </w:tc>
        <w:tc>
          <w:tcPr>
            <w:tcW w:w="1260" w:type="dxa"/>
            <w:gridSpan w:val="2"/>
            <w:tcBorders>
              <w:top w:val="nil"/>
              <w:left w:val="nil"/>
              <w:bottom w:val="single" w:color="auto" w:sz="4" w:space="0"/>
              <w:right w:val="single" w:color="auto" w:sz="4" w:space="0"/>
            </w:tcBorders>
            <w:shd w:val="clear" w:color="auto" w:fill="auto"/>
            <w:tcMar>
              <w:left w:w="58" w:type="dxa"/>
              <w:right w:w="58" w:type="dxa"/>
            </w:tcMar>
            <w:vAlign w:val="center"/>
          </w:tcPr>
          <w:p w:rsidRPr="00AD2FDD" w:rsidR="008011F7" w:rsidP="008011F7" w:rsidRDefault="008011F7" w14:paraId="509C8C4B" w14:textId="77777777">
            <w:pPr>
              <w:jc w:val="right"/>
              <w:rPr>
                <w:rFonts w:cs="Arial"/>
                <w:sz w:val="16"/>
                <w:szCs w:val="16"/>
              </w:rPr>
            </w:pPr>
          </w:p>
        </w:tc>
      </w:tr>
      <w:tr w:rsidRPr="00AD2FDD" w:rsidR="003B6F0D" w:rsidTr="00427A8C" w14:paraId="40CF0B21" w14:textId="77777777">
        <w:trPr>
          <w:trHeight w:val="305"/>
        </w:trPr>
        <w:tc>
          <w:tcPr>
            <w:tcW w:w="2070" w:type="dxa"/>
            <w:gridSpan w:val="2"/>
            <w:vMerge w:val="restart"/>
            <w:tcMar>
              <w:left w:w="58" w:type="dxa"/>
              <w:right w:w="58" w:type="dxa"/>
            </w:tcMar>
            <w:vAlign w:val="center"/>
          </w:tcPr>
          <w:p w:rsidRPr="00AD2FDD" w:rsidR="003B6F0D" w:rsidP="003B6F0D" w:rsidRDefault="003B6F0D" w14:paraId="0E0DBB81" w14:textId="3EAABCE0">
            <w:pPr>
              <w:ind w:left="88" w:right="-20"/>
              <w:rPr>
                <w:rFonts w:eastAsia="Arial" w:cs="Arial"/>
                <w:sz w:val="16"/>
                <w:szCs w:val="16"/>
              </w:rPr>
            </w:pPr>
            <w:r w:rsidRPr="00AD2FDD">
              <w:rPr>
                <w:rFonts w:eastAsia="Arial" w:cs="Arial"/>
                <w:sz w:val="16"/>
                <w:szCs w:val="16"/>
              </w:rPr>
              <w:t>S</w:t>
            </w:r>
            <w:r w:rsidRPr="003E4208">
              <w:rPr>
                <w:rFonts w:eastAsia="Arial"/>
                <w:sz w:val="16"/>
              </w:rPr>
              <w:t>u</w:t>
            </w:r>
            <w:r w:rsidRPr="00AD2FDD">
              <w:rPr>
                <w:rFonts w:eastAsia="Arial" w:cs="Arial"/>
                <w:sz w:val="16"/>
                <w:szCs w:val="16"/>
              </w:rPr>
              <w:t>b</w:t>
            </w:r>
            <w:r w:rsidRPr="003E4208">
              <w:rPr>
                <w:rFonts w:eastAsia="Arial"/>
                <w:sz w:val="16"/>
              </w:rPr>
              <w:t>s</w:t>
            </w:r>
            <w:r w:rsidRPr="00AD2FDD">
              <w:rPr>
                <w:rFonts w:eastAsia="Arial" w:cs="Arial"/>
                <w:sz w:val="16"/>
                <w:szCs w:val="16"/>
              </w:rPr>
              <w:t>e</w:t>
            </w:r>
            <w:r w:rsidRPr="003E4208">
              <w:rPr>
                <w:rFonts w:eastAsia="Arial"/>
                <w:sz w:val="16"/>
              </w:rPr>
              <w:t>quen</w:t>
            </w:r>
            <w:r w:rsidRPr="00AD2FDD">
              <w:rPr>
                <w:rFonts w:eastAsia="Arial" w:cs="Arial"/>
                <w:sz w:val="16"/>
                <w:szCs w:val="16"/>
              </w:rPr>
              <w:t>t</w:t>
            </w:r>
            <w:r w:rsidRPr="003E4208">
              <w:rPr>
                <w:rFonts w:eastAsia="Arial"/>
                <w:sz w:val="16"/>
              </w:rPr>
              <w:t xml:space="preserve"> </w:t>
            </w:r>
            <w:r w:rsidRPr="00AD2FDD">
              <w:rPr>
                <w:rFonts w:eastAsia="Arial" w:cs="Arial"/>
                <w:sz w:val="16"/>
                <w:szCs w:val="16"/>
              </w:rPr>
              <w:t>a</w:t>
            </w:r>
            <w:r w:rsidRPr="003E4208">
              <w:rPr>
                <w:rFonts w:eastAsia="Arial"/>
                <w:sz w:val="16"/>
              </w:rPr>
              <w:t>c</w:t>
            </w:r>
            <w:r w:rsidRPr="00AD2FDD">
              <w:rPr>
                <w:rFonts w:eastAsia="Arial" w:cs="Arial"/>
                <w:sz w:val="16"/>
                <w:szCs w:val="16"/>
              </w:rPr>
              <w:t>t</w:t>
            </w:r>
            <w:r w:rsidRPr="003E4208">
              <w:rPr>
                <w:rFonts w:eastAsia="Arial"/>
                <w:sz w:val="16"/>
              </w:rPr>
              <w:t>ion</w:t>
            </w:r>
            <w:r w:rsidRPr="00AD2FDD">
              <w:rPr>
                <w:rFonts w:eastAsia="Arial" w:cs="Arial"/>
                <w:sz w:val="16"/>
                <w:szCs w:val="16"/>
              </w:rPr>
              <w:t>s</w:t>
            </w:r>
            <w:r w:rsidRPr="003E4208">
              <w:rPr>
                <w:rFonts w:eastAsia="Arial"/>
                <w:sz w:val="16"/>
              </w:rPr>
              <w:t xml:space="preserve"> </w:t>
            </w:r>
            <w:r w:rsidRPr="00AD2FDD">
              <w:rPr>
                <w:rFonts w:eastAsia="Arial" w:cs="Arial"/>
                <w:sz w:val="16"/>
                <w:szCs w:val="16"/>
              </w:rPr>
              <w:t>by</w:t>
            </w:r>
            <w:r w:rsidRPr="003E4208">
              <w:rPr>
                <w:rFonts w:eastAsia="Arial"/>
                <w:sz w:val="16"/>
              </w:rPr>
              <w:t xml:space="preserve"> </w:t>
            </w:r>
            <w:r w:rsidRPr="00AD2FDD">
              <w:rPr>
                <w:rFonts w:eastAsia="Arial" w:cs="Arial"/>
                <w:sz w:val="16"/>
                <w:szCs w:val="16"/>
              </w:rPr>
              <w:t>FFD</w:t>
            </w:r>
            <w:r w:rsidRPr="003E4208">
              <w:rPr>
                <w:rFonts w:eastAsia="Arial"/>
                <w:sz w:val="16"/>
              </w:rPr>
              <w:t xml:space="preserve"> program </w:t>
            </w:r>
            <w:r w:rsidRPr="00AD2FDD">
              <w:rPr>
                <w:rFonts w:eastAsia="Arial" w:cs="Arial"/>
                <w:sz w:val="16"/>
                <w:szCs w:val="16"/>
              </w:rPr>
              <w:t>per</w:t>
            </w:r>
            <w:r w:rsidRPr="003E4208">
              <w:rPr>
                <w:rFonts w:eastAsia="Arial"/>
                <w:sz w:val="16"/>
              </w:rPr>
              <w:t>so</w:t>
            </w:r>
            <w:r w:rsidRPr="00AD2FDD">
              <w:rPr>
                <w:rFonts w:eastAsia="Arial" w:cs="Arial"/>
                <w:sz w:val="16"/>
                <w:szCs w:val="16"/>
              </w:rPr>
              <w:t>n</w:t>
            </w:r>
            <w:r w:rsidRPr="003E4208">
              <w:rPr>
                <w:rFonts w:eastAsia="Arial"/>
                <w:sz w:val="16"/>
              </w:rPr>
              <w:t>n</w:t>
            </w:r>
            <w:r w:rsidRPr="00AD2FDD">
              <w:rPr>
                <w:rFonts w:eastAsia="Arial" w:cs="Arial"/>
                <w:sz w:val="16"/>
                <w:szCs w:val="16"/>
              </w:rPr>
              <w:t>el</w:t>
            </w:r>
            <w:r w:rsidRPr="003E4208">
              <w:rPr>
                <w:rFonts w:eastAsia="Arial"/>
                <w:sz w:val="16"/>
              </w:rPr>
              <w:t xml:space="preserve"> </w:t>
            </w:r>
            <w:r w:rsidRPr="00AD2FDD">
              <w:rPr>
                <w:rFonts w:eastAsia="Arial" w:cs="Arial"/>
                <w:sz w:val="16"/>
                <w:szCs w:val="16"/>
              </w:rPr>
              <w:t>for</w:t>
            </w:r>
            <w:r w:rsidRPr="003E4208">
              <w:rPr>
                <w:rFonts w:eastAsia="Arial"/>
                <w:sz w:val="16"/>
              </w:rPr>
              <w:t xml:space="preserve"> </w:t>
            </w:r>
            <w:r w:rsidRPr="00AD2FDD">
              <w:rPr>
                <w:rFonts w:eastAsia="Arial" w:cs="Arial"/>
                <w:sz w:val="16"/>
                <w:szCs w:val="16"/>
              </w:rPr>
              <w:t>add</w:t>
            </w:r>
            <w:r w:rsidRPr="003E4208">
              <w:rPr>
                <w:rFonts w:eastAsia="Arial"/>
                <w:sz w:val="16"/>
              </w:rPr>
              <w:t>i</w:t>
            </w:r>
            <w:r w:rsidRPr="00AD2FDD">
              <w:rPr>
                <w:rFonts w:eastAsia="Arial" w:cs="Arial"/>
                <w:sz w:val="16"/>
                <w:szCs w:val="16"/>
              </w:rPr>
              <w:t>t</w:t>
            </w:r>
            <w:r w:rsidRPr="003E4208">
              <w:rPr>
                <w:rFonts w:eastAsia="Arial"/>
                <w:sz w:val="16"/>
              </w:rPr>
              <w:t>ion</w:t>
            </w:r>
            <w:r w:rsidRPr="00AD2FDD">
              <w:rPr>
                <w:rFonts w:eastAsia="Arial" w:cs="Arial"/>
                <w:sz w:val="16"/>
                <w:szCs w:val="16"/>
              </w:rPr>
              <w:t>al</w:t>
            </w:r>
            <w:r w:rsidRPr="003E4208">
              <w:rPr>
                <w:rFonts w:eastAsia="Arial"/>
                <w:sz w:val="16"/>
              </w:rPr>
              <w:t xml:space="preserve"> 6-AM </w:t>
            </w:r>
            <w:r w:rsidRPr="00AD2FDD">
              <w:rPr>
                <w:rFonts w:eastAsia="Arial" w:cs="Arial"/>
                <w:sz w:val="16"/>
                <w:szCs w:val="16"/>
              </w:rPr>
              <w:t>po</w:t>
            </w:r>
            <w:r w:rsidRPr="003E4208">
              <w:rPr>
                <w:rFonts w:eastAsia="Arial"/>
                <w:sz w:val="16"/>
              </w:rPr>
              <w:t>sitiv</w:t>
            </w:r>
            <w:r w:rsidRPr="00AD2FDD">
              <w:rPr>
                <w:rFonts w:eastAsia="Arial" w:cs="Arial"/>
                <w:sz w:val="16"/>
                <w:szCs w:val="16"/>
              </w:rPr>
              <w:t>e</w:t>
            </w:r>
            <w:r w:rsidRPr="003E4208">
              <w:rPr>
                <w:rFonts w:eastAsia="Arial"/>
                <w:sz w:val="16"/>
              </w:rPr>
              <w:t xml:space="preserve"> </w:t>
            </w:r>
            <w:r w:rsidRPr="00AD2FDD">
              <w:rPr>
                <w:rFonts w:eastAsia="Arial" w:cs="Arial"/>
                <w:sz w:val="16"/>
                <w:szCs w:val="16"/>
              </w:rPr>
              <w:t>test</w:t>
            </w:r>
            <w:r w:rsidRPr="003E4208">
              <w:rPr>
                <w:rFonts w:eastAsia="Arial"/>
                <w:sz w:val="16"/>
              </w:rPr>
              <w:t xml:space="preserve"> </w:t>
            </w:r>
            <w:r w:rsidRPr="00AD2FDD">
              <w:rPr>
                <w:rFonts w:eastAsia="Arial" w:cs="Arial"/>
                <w:sz w:val="16"/>
                <w:szCs w:val="16"/>
              </w:rPr>
              <w:t>re</w:t>
            </w:r>
            <w:r w:rsidRPr="003E4208">
              <w:rPr>
                <w:rFonts w:eastAsia="Arial"/>
                <w:sz w:val="16"/>
              </w:rPr>
              <w:t>sul</w:t>
            </w:r>
            <w:r w:rsidRPr="00AD2FDD">
              <w:rPr>
                <w:rFonts w:eastAsia="Arial" w:cs="Arial"/>
                <w:sz w:val="16"/>
                <w:szCs w:val="16"/>
              </w:rPr>
              <w:t>ts</w:t>
            </w:r>
            <w:r w:rsidRPr="003E4208">
              <w:rPr>
                <w:rFonts w:eastAsia="Arial"/>
                <w:sz w:val="16"/>
              </w:rPr>
              <w:t xml:space="preserve"> </w:t>
            </w:r>
            <w:r w:rsidRPr="003E4208">
              <w:rPr>
                <w:rFonts w:eastAsia="Arial"/>
                <w:sz w:val="16"/>
              </w:rPr>
              <w:br/>
              <w:t>(</w:t>
            </w:r>
            <w:r w:rsidRPr="00AD2FDD">
              <w:rPr>
                <w:rFonts w:eastAsia="Arial" w:cs="Arial"/>
                <w:sz w:val="16"/>
                <w:szCs w:val="16"/>
              </w:rPr>
              <w:t>a</w:t>
            </w:r>
            <w:r w:rsidRPr="003E4208">
              <w:rPr>
                <w:rFonts w:eastAsia="Arial"/>
                <w:sz w:val="16"/>
              </w:rPr>
              <w:t>l</w:t>
            </w:r>
            <w:r w:rsidRPr="00AD2FDD">
              <w:rPr>
                <w:rFonts w:eastAsia="Arial" w:cs="Arial"/>
                <w:sz w:val="16"/>
                <w:szCs w:val="16"/>
              </w:rPr>
              <w:t>l s</w:t>
            </w:r>
            <w:r w:rsidRPr="003E4208">
              <w:rPr>
                <w:rFonts w:eastAsia="Arial"/>
                <w:sz w:val="16"/>
              </w:rPr>
              <w:t>ite</w:t>
            </w:r>
            <w:r w:rsidRPr="00AD2FDD">
              <w:rPr>
                <w:rFonts w:eastAsia="Arial" w:cs="Arial"/>
                <w:sz w:val="16"/>
                <w:szCs w:val="16"/>
              </w:rPr>
              <w:t>s)</w:t>
            </w:r>
          </w:p>
        </w:tc>
        <w:tc>
          <w:tcPr>
            <w:tcW w:w="3690" w:type="dxa"/>
            <w:gridSpan w:val="3"/>
            <w:tcMar>
              <w:left w:w="58" w:type="dxa"/>
              <w:right w:w="58" w:type="dxa"/>
            </w:tcMar>
            <w:vAlign w:val="center"/>
          </w:tcPr>
          <w:p w:rsidRPr="00AD2FDD" w:rsidR="003B6F0D" w:rsidP="003B6F0D" w:rsidRDefault="003B6F0D" w14:paraId="3FDF0AE5" w14:textId="47BBA0C8">
            <w:pPr>
              <w:rPr>
                <w:rFonts w:cs="Arial"/>
                <w:sz w:val="16"/>
                <w:szCs w:val="16"/>
              </w:rPr>
            </w:pPr>
            <w:r w:rsidRPr="00AD2FDD">
              <w:rPr>
                <w:rFonts w:cs="Arial"/>
                <w:sz w:val="16"/>
                <w:szCs w:val="16"/>
              </w:rPr>
              <w:t>Number of drug tests conducted per site per year under 10 CFR Part 26</w:t>
            </w:r>
          </w:p>
        </w:tc>
        <w:tc>
          <w:tcPr>
            <w:tcW w:w="810" w:type="dxa"/>
            <w:gridSpan w:val="2"/>
            <w:shd w:val="clear" w:color="auto" w:fill="auto"/>
            <w:tcMar>
              <w:left w:w="58" w:type="dxa"/>
              <w:right w:w="58" w:type="dxa"/>
            </w:tcMar>
            <w:vAlign w:val="center"/>
          </w:tcPr>
          <w:p w:rsidRPr="00AD2FDD" w:rsidR="003B6F0D" w:rsidP="003B6F0D" w:rsidRDefault="003B6F0D" w14:paraId="6AB1D485" w14:textId="041405AE">
            <w:pPr>
              <w:jc w:val="right"/>
              <w:rPr>
                <w:rFonts w:cs="Arial"/>
                <w:sz w:val="16"/>
                <w:szCs w:val="16"/>
              </w:rPr>
            </w:pPr>
            <w:r w:rsidRPr="00AD2FDD">
              <w:rPr>
                <w:rFonts w:cs="Arial"/>
                <w:sz w:val="16"/>
                <w:szCs w:val="16"/>
              </w:rPr>
              <w:t>2,257</w:t>
            </w:r>
          </w:p>
        </w:tc>
        <w:tc>
          <w:tcPr>
            <w:tcW w:w="828" w:type="dxa"/>
            <w:tcBorders>
              <w:top w:val="single" w:color="auto" w:sz="4" w:space="0"/>
              <w:bottom w:val="single" w:color="auto" w:sz="4" w:space="0"/>
            </w:tcBorders>
            <w:shd w:val="clear" w:color="auto" w:fill="auto"/>
            <w:tcMar>
              <w:left w:w="58" w:type="dxa"/>
              <w:right w:w="58" w:type="dxa"/>
            </w:tcMar>
            <w:vAlign w:val="center"/>
          </w:tcPr>
          <w:p w:rsidRPr="00AD2FDD" w:rsidR="003B6F0D" w:rsidP="003B6F0D" w:rsidRDefault="003B6F0D" w14:paraId="4332F0A5" w14:textId="5C8D8BE5">
            <w:pPr>
              <w:jc w:val="right"/>
              <w:rPr>
                <w:rFonts w:cs="Arial"/>
                <w:sz w:val="16"/>
                <w:szCs w:val="16"/>
              </w:rPr>
            </w:pPr>
            <w:r w:rsidRPr="00AD2FDD">
              <w:rPr>
                <w:rFonts w:cs="Arial"/>
                <w:sz w:val="16"/>
                <w:szCs w:val="16"/>
              </w:rPr>
              <w:t>($113)</w:t>
            </w:r>
          </w:p>
        </w:tc>
        <w:tc>
          <w:tcPr>
            <w:tcW w:w="810" w:type="dxa"/>
            <w:tcBorders>
              <w:top w:val="single" w:color="auto" w:sz="4" w:space="0"/>
              <w:bottom w:val="single" w:color="auto" w:sz="4" w:space="0"/>
            </w:tcBorders>
            <w:shd w:val="clear" w:color="auto" w:fill="auto"/>
            <w:tcMar>
              <w:left w:w="58" w:type="dxa"/>
              <w:right w:w="58" w:type="dxa"/>
            </w:tcMar>
            <w:vAlign w:val="center"/>
          </w:tcPr>
          <w:p w:rsidRPr="00AD2FDD" w:rsidR="003B6F0D" w:rsidP="003B6F0D" w:rsidRDefault="003B6F0D" w14:paraId="1446CD39" w14:textId="71B09999">
            <w:pPr>
              <w:jc w:val="right"/>
              <w:rPr>
                <w:rFonts w:cs="Arial"/>
                <w:sz w:val="16"/>
                <w:szCs w:val="16"/>
              </w:rPr>
            </w:pPr>
            <w:r w:rsidRPr="00AD2FDD">
              <w:rPr>
                <w:rFonts w:cs="Arial"/>
                <w:sz w:val="16"/>
                <w:szCs w:val="16"/>
              </w:rPr>
              <w:t>59</w:t>
            </w:r>
          </w:p>
        </w:tc>
        <w:tc>
          <w:tcPr>
            <w:tcW w:w="1260" w:type="dxa"/>
            <w:gridSpan w:val="2"/>
            <w:tcBorders>
              <w:top w:val="single" w:color="auto" w:sz="4" w:space="0"/>
              <w:bottom w:val="single" w:color="auto" w:sz="4" w:space="0"/>
            </w:tcBorders>
            <w:shd w:val="clear" w:color="auto" w:fill="auto"/>
            <w:tcMar>
              <w:left w:w="58" w:type="dxa"/>
              <w:right w:w="58" w:type="dxa"/>
            </w:tcMar>
            <w:vAlign w:val="center"/>
          </w:tcPr>
          <w:p w:rsidRPr="00AD2FDD" w:rsidR="003B6F0D" w:rsidP="003B6F0D" w:rsidRDefault="003B6F0D" w14:paraId="7B3BD108" w14:textId="4AE4B6CB">
            <w:pPr>
              <w:jc w:val="right"/>
              <w:rPr>
                <w:rFonts w:cs="Arial"/>
                <w:sz w:val="16"/>
                <w:szCs w:val="16"/>
              </w:rPr>
            </w:pPr>
            <w:r w:rsidRPr="00AD2FDD">
              <w:rPr>
                <w:rFonts w:cs="Arial"/>
                <w:sz w:val="16"/>
                <w:szCs w:val="16"/>
              </w:rPr>
              <w:t>($</w:t>
            </w:r>
            <w:r w:rsidRPr="00AD2FDD" w:rsidR="00962F84">
              <w:rPr>
                <w:rFonts w:cs="Arial"/>
                <w:sz w:val="16"/>
                <w:szCs w:val="16"/>
              </w:rPr>
              <w:t>6,667</w:t>
            </w:r>
            <w:r w:rsidRPr="00AD2FDD">
              <w:rPr>
                <w:rFonts w:cs="Arial"/>
                <w:sz w:val="16"/>
                <w:szCs w:val="16"/>
              </w:rPr>
              <w:t>)</w:t>
            </w:r>
          </w:p>
        </w:tc>
      </w:tr>
      <w:tr w:rsidRPr="00AD2FDD" w:rsidR="003B6F0D" w:rsidTr="00427A8C" w14:paraId="01C61164" w14:textId="77777777">
        <w:trPr>
          <w:trHeight w:val="305"/>
        </w:trPr>
        <w:tc>
          <w:tcPr>
            <w:tcW w:w="2070" w:type="dxa"/>
            <w:gridSpan w:val="2"/>
            <w:vMerge/>
            <w:tcMar>
              <w:left w:w="58" w:type="dxa"/>
              <w:right w:w="58" w:type="dxa"/>
            </w:tcMar>
            <w:vAlign w:val="center"/>
          </w:tcPr>
          <w:p w:rsidRPr="00AD2FDD" w:rsidR="003B6F0D" w:rsidP="003B6F0D" w:rsidRDefault="003B6F0D" w14:paraId="61EAC821" w14:textId="77777777">
            <w:pPr>
              <w:ind w:left="88" w:right="-20"/>
              <w:rPr>
                <w:rFonts w:eastAsia="Arial" w:cs="Arial"/>
                <w:sz w:val="16"/>
                <w:szCs w:val="16"/>
              </w:rPr>
            </w:pPr>
          </w:p>
        </w:tc>
        <w:tc>
          <w:tcPr>
            <w:tcW w:w="3690" w:type="dxa"/>
            <w:gridSpan w:val="3"/>
            <w:tcMar>
              <w:left w:w="58" w:type="dxa"/>
              <w:right w:w="58" w:type="dxa"/>
            </w:tcMar>
            <w:vAlign w:val="center"/>
          </w:tcPr>
          <w:p w:rsidRPr="00AD2FDD" w:rsidR="003B6F0D" w:rsidP="003B6F0D" w:rsidRDefault="003B6F0D" w14:paraId="070C7D59" w14:textId="1365BFD9">
            <w:pPr>
              <w:rPr>
                <w:rFonts w:cs="Arial"/>
                <w:sz w:val="16"/>
                <w:szCs w:val="16"/>
              </w:rPr>
            </w:pPr>
            <w:r w:rsidRPr="00AD2FDD">
              <w:rPr>
                <w:rFonts w:cs="Arial"/>
                <w:sz w:val="16"/>
                <w:szCs w:val="16"/>
              </w:rPr>
              <w:t>Projected confirmed positive test rate</w:t>
            </w:r>
          </w:p>
        </w:tc>
        <w:tc>
          <w:tcPr>
            <w:tcW w:w="810" w:type="dxa"/>
            <w:gridSpan w:val="2"/>
            <w:shd w:val="clear" w:color="auto" w:fill="auto"/>
            <w:tcMar>
              <w:left w:w="58" w:type="dxa"/>
              <w:right w:w="58" w:type="dxa"/>
            </w:tcMar>
            <w:vAlign w:val="center"/>
          </w:tcPr>
          <w:p w:rsidRPr="00AD2FDD" w:rsidR="003B6F0D" w:rsidP="003B6F0D" w:rsidRDefault="003B6F0D" w14:paraId="05316D44" w14:textId="72A41F30">
            <w:pPr>
              <w:jc w:val="right"/>
              <w:rPr>
                <w:rFonts w:cs="Arial"/>
                <w:sz w:val="16"/>
                <w:szCs w:val="16"/>
              </w:rPr>
            </w:pPr>
            <w:r w:rsidRPr="00AD2FDD">
              <w:rPr>
                <w:rFonts w:cs="Arial"/>
                <w:sz w:val="16"/>
                <w:szCs w:val="16"/>
              </w:rPr>
              <w:t>0.016%</w:t>
            </w:r>
          </w:p>
        </w:tc>
        <w:tc>
          <w:tcPr>
            <w:tcW w:w="828" w:type="dxa"/>
            <w:tcBorders>
              <w:top w:val="single" w:color="auto" w:sz="4" w:space="0"/>
              <w:bottom w:val="single" w:color="auto" w:sz="4" w:space="0"/>
            </w:tcBorders>
            <w:shd w:val="clear" w:color="auto" w:fill="auto"/>
            <w:tcMar>
              <w:left w:w="58" w:type="dxa"/>
              <w:right w:w="58" w:type="dxa"/>
            </w:tcMar>
            <w:vAlign w:val="center"/>
          </w:tcPr>
          <w:p w:rsidRPr="00AD2FDD" w:rsidR="003B6F0D" w:rsidP="003B6F0D" w:rsidRDefault="003B6F0D" w14:paraId="54398A71" w14:textId="77777777">
            <w:pPr>
              <w:jc w:val="right"/>
              <w:rPr>
                <w:rFonts w:cs="Arial"/>
                <w:sz w:val="16"/>
                <w:szCs w:val="16"/>
              </w:rPr>
            </w:pPr>
          </w:p>
        </w:tc>
        <w:tc>
          <w:tcPr>
            <w:tcW w:w="810" w:type="dxa"/>
            <w:tcBorders>
              <w:top w:val="single" w:color="auto" w:sz="4" w:space="0"/>
              <w:bottom w:val="single" w:color="auto" w:sz="4" w:space="0"/>
            </w:tcBorders>
            <w:shd w:val="clear" w:color="auto" w:fill="auto"/>
            <w:tcMar>
              <w:left w:w="58" w:type="dxa"/>
              <w:right w:w="58" w:type="dxa"/>
            </w:tcMar>
            <w:vAlign w:val="center"/>
          </w:tcPr>
          <w:p w:rsidRPr="00AD2FDD" w:rsidR="003B6F0D" w:rsidP="003B6F0D" w:rsidRDefault="003B6F0D" w14:paraId="3E80E87E" w14:textId="77777777">
            <w:pPr>
              <w:jc w:val="right"/>
              <w:rPr>
                <w:rFonts w:cs="Arial"/>
                <w:sz w:val="16"/>
                <w:szCs w:val="16"/>
              </w:rPr>
            </w:pPr>
          </w:p>
        </w:tc>
        <w:tc>
          <w:tcPr>
            <w:tcW w:w="1260" w:type="dxa"/>
            <w:gridSpan w:val="2"/>
            <w:tcBorders>
              <w:top w:val="single" w:color="auto" w:sz="4" w:space="0"/>
              <w:bottom w:val="single" w:color="auto" w:sz="4" w:space="0"/>
            </w:tcBorders>
            <w:shd w:val="clear" w:color="auto" w:fill="auto"/>
            <w:tcMar>
              <w:left w:w="58" w:type="dxa"/>
              <w:right w:w="58" w:type="dxa"/>
            </w:tcMar>
            <w:vAlign w:val="center"/>
          </w:tcPr>
          <w:p w:rsidRPr="00AD2FDD" w:rsidR="003B6F0D" w:rsidP="003B6F0D" w:rsidRDefault="003B6F0D" w14:paraId="726402A3" w14:textId="77777777">
            <w:pPr>
              <w:jc w:val="right"/>
              <w:rPr>
                <w:rFonts w:cs="Arial"/>
                <w:sz w:val="16"/>
                <w:szCs w:val="16"/>
              </w:rPr>
            </w:pPr>
          </w:p>
        </w:tc>
      </w:tr>
      <w:tr w:rsidRPr="00AD2FDD" w:rsidR="003B6F0D" w:rsidTr="00427A8C" w14:paraId="37D1DD3A" w14:textId="77777777">
        <w:trPr>
          <w:trHeight w:val="305"/>
        </w:trPr>
        <w:tc>
          <w:tcPr>
            <w:tcW w:w="2070" w:type="dxa"/>
            <w:gridSpan w:val="2"/>
            <w:vMerge/>
            <w:tcMar>
              <w:left w:w="58" w:type="dxa"/>
              <w:right w:w="58" w:type="dxa"/>
            </w:tcMar>
            <w:vAlign w:val="center"/>
          </w:tcPr>
          <w:p w:rsidRPr="00AD2FDD" w:rsidR="003B6F0D" w:rsidP="003B6F0D" w:rsidRDefault="003B6F0D" w14:paraId="2695EBA4" w14:textId="77777777">
            <w:pPr>
              <w:ind w:left="88" w:right="-20"/>
              <w:rPr>
                <w:rFonts w:eastAsia="Arial" w:cs="Arial"/>
                <w:sz w:val="16"/>
                <w:szCs w:val="16"/>
              </w:rPr>
            </w:pPr>
          </w:p>
        </w:tc>
        <w:tc>
          <w:tcPr>
            <w:tcW w:w="3690" w:type="dxa"/>
            <w:gridSpan w:val="3"/>
            <w:tcMar>
              <w:left w:w="58" w:type="dxa"/>
              <w:right w:w="58" w:type="dxa"/>
            </w:tcMar>
            <w:vAlign w:val="center"/>
          </w:tcPr>
          <w:p w:rsidRPr="00AD2FDD" w:rsidR="003B6F0D" w:rsidP="003B6F0D" w:rsidRDefault="003B6F0D" w14:paraId="607DC2E7" w14:textId="2E857D6F">
            <w:pPr>
              <w:rPr>
                <w:rFonts w:cs="Arial"/>
                <w:sz w:val="16"/>
                <w:szCs w:val="16"/>
              </w:rPr>
            </w:pPr>
            <w:r w:rsidRPr="00AD2FDD">
              <w:rPr>
                <w:rFonts w:cs="Arial"/>
                <w:sz w:val="16"/>
                <w:szCs w:val="16"/>
              </w:rPr>
              <w:t>Cost of subsequent actions (per positive result)</w:t>
            </w:r>
          </w:p>
        </w:tc>
        <w:tc>
          <w:tcPr>
            <w:tcW w:w="810" w:type="dxa"/>
            <w:gridSpan w:val="2"/>
            <w:shd w:val="clear" w:color="auto" w:fill="auto"/>
            <w:tcMar>
              <w:left w:w="58" w:type="dxa"/>
              <w:right w:w="58" w:type="dxa"/>
            </w:tcMar>
            <w:vAlign w:val="center"/>
          </w:tcPr>
          <w:p w:rsidRPr="00AD2FDD" w:rsidR="003B6F0D" w:rsidP="003B6F0D" w:rsidRDefault="003B6F0D" w14:paraId="53AAFDF8" w14:textId="7E110B82">
            <w:pPr>
              <w:jc w:val="right"/>
              <w:rPr>
                <w:rFonts w:cs="Arial"/>
                <w:sz w:val="16"/>
                <w:szCs w:val="16"/>
              </w:rPr>
            </w:pPr>
            <w:r w:rsidRPr="00AD2FDD">
              <w:rPr>
                <w:rFonts w:cs="Arial"/>
                <w:sz w:val="16"/>
                <w:szCs w:val="16"/>
              </w:rPr>
              <w:t>$310.66</w:t>
            </w:r>
          </w:p>
        </w:tc>
        <w:tc>
          <w:tcPr>
            <w:tcW w:w="828" w:type="dxa"/>
            <w:tcBorders>
              <w:top w:val="single" w:color="auto" w:sz="4" w:space="0"/>
              <w:bottom w:val="single" w:color="auto" w:sz="4" w:space="0"/>
            </w:tcBorders>
            <w:shd w:val="clear" w:color="auto" w:fill="auto"/>
            <w:tcMar>
              <w:left w:w="58" w:type="dxa"/>
              <w:right w:w="58" w:type="dxa"/>
            </w:tcMar>
            <w:vAlign w:val="center"/>
          </w:tcPr>
          <w:p w:rsidRPr="00AD2FDD" w:rsidR="003B6F0D" w:rsidP="003B6F0D" w:rsidRDefault="003B6F0D" w14:paraId="61DDFC11" w14:textId="77777777">
            <w:pPr>
              <w:jc w:val="right"/>
              <w:rPr>
                <w:rFonts w:cs="Arial"/>
                <w:sz w:val="16"/>
                <w:szCs w:val="16"/>
              </w:rPr>
            </w:pPr>
          </w:p>
        </w:tc>
        <w:tc>
          <w:tcPr>
            <w:tcW w:w="810" w:type="dxa"/>
            <w:tcBorders>
              <w:top w:val="single" w:color="auto" w:sz="4" w:space="0"/>
              <w:bottom w:val="single" w:color="auto" w:sz="4" w:space="0"/>
            </w:tcBorders>
            <w:shd w:val="clear" w:color="auto" w:fill="auto"/>
            <w:tcMar>
              <w:left w:w="58" w:type="dxa"/>
              <w:right w:w="58" w:type="dxa"/>
            </w:tcMar>
            <w:vAlign w:val="center"/>
          </w:tcPr>
          <w:p w:rsidRPr="00AD2FDD" w:rsidR="003B6F0D" w:rsidP="003B6F0D" w:rsidRDefault="003B6F0D" w14:paraId="1C1C0460" w14:textId="77777777">
            <w:pPr>
              <w:jc w:val="right"/>
              <w:rPr>
                <w:rFonts w:cs="Arial"/>
                <w:sz w:val="16"/>
                <w:szCs w:val="16"/>
              </w:rPr>
            </w:pPr>
          </w:p>
        </w:tc>
        <w:tc>
          <w:tcPr>
            <w:tcW w:w="1260" w:type="dxa"/>
            <w:gridSpan w:val="2"/>
            <w:tcBorders>
              <w:top w:val="single" w:color="auto" w:sz="4" w:space="0"/>
              <w:bottom w:val="single" w:color="auto" w:sz="4" w:space="0"/>
            </w:tcBorders>
            <w:shd w:val="clear" w:color="auto" w:fill="auto"/>
            <w:tcMar>
              <w:left w:w="58" w:type="dxa"/>
              <w:right w:w="58" w:type="dxa"/>
            </w:tcMar>
            <w:vAlign w:val="center"/>
          </w:tcPr>
          <w:p w:rsidRPr="00AD2FDD" w:rsidR="003B6F0D" w:rsidP="003B6F0D" w:rsidRDefault="003B6F0D" w14:paraId="79E09570" w14:textId="77777777">
            <w:pPr>
              <w:jc w:val="right"/>
              <w:rPr>
                <w:rFonts w:cs="Arial"/>
                <w:sz w:val="16"/>
                <w:szCs w:val="16"/>
              </w:rPr>
            </w:pPr>
          </w:p>
        </w:tc>
      </w:tr>
      <w:tr w:rsidRPr="00AD2FDD" w:rsidR="003B6F0D" w:rsidTr="00427A8C" w14:paraId="6278EAD2" w14:textId="77777777">
        <w:tc>
          <w:tcPr>
            <w:tcW w:w="8208" w:type="dxa"/>
            <w:gridSpan w:val="9"/>
            <w:tcMar>
              <w:left w:w="58" w:type="dxa"/>
              <w:right w:w="58" w:type="dxa"/>
            </w:tcMar>
            <w:vAlign w:val="center"/>
          </w:tcPr>
          <w:p w:rsidRPr="00AD2FDD" w:rsidR="003B6F0D" w:rsidP="003B6F0D" w:rsidRDefault="003B6F0D" w14:paraId="3F888654" w14:textId="77777777">
            <w:pPr>
              <w:jc w:val="right"/>
              <w:rPr>
                <w:rFonts w:cs="Arial"/>
                <w:b/>
                <w:i/>
                <w:sz w:val="16"/>
                <w:szCs w:val="16"/>
              </w:rPr>
            </w:pPr>
            <w:r w:rsidRPr="003E4208">
              <w:rPr>
                <w:rFonts w:eastAsia="Arial"/>
                <w:b/>
                <w:i/>
                <w:sz w:val="16"/>
              </w:rPr>
              <w:t>To</w:t>
            </w:r>
            <w:r w:rsidRPr="00AD2FDD">
              <w:rPr>
                <w:rFonts w:eastAsia="Arial" w:cs="Arial"/>
                <w:b/>
                <w:i/>
                <w:sz w:val="16"/>
                <w:szCs w:val="16"/>
              </w:rPr>
              <w:t>tal</w:t>
            </w:r>
            <w:r w:rsidRPr="003E4208">
              <w:rPr>
                <w:rFonts w:eastAsia="Arial"/>
                <w:b/>
                <w:i/>
                <w:sz w:val="16"/>
              </w:rPr>
              <w:t xml:space="preserve"> </w:t>
            </w:r>
            <w:r w:rsidRPr="00AD2FDD">
              <w:rPr>
                <w:rFonts w:eastAsia="Arial" w:cs="Arial"/>
                <w:b/>
                <w:i/>
                <w:sz w:val="16"/>
                <w:szCs w:val="16"/>
              </w:rPr>
              <w:t>I</w:t>
            </w:r>
            <w:r w:rsidRPr="003E4208">
              <w:rPr>
                <w:rFonts w:eastAsia="Arial"/>
                <w:b/>
                <w:i/>
                <w:sz w:val="16"/>
              </w:rPr>
              <w:t>ndus</w:t>
            </w:r>
            <w:r w:rsidRPr="00AD2FDD">
              <w:rPr>
                <w:rFonts w:eastAsia="Arial" w:cs="Arial"/>
                <w:b/>
                <w:i/>
                <w:sz w:val="16"/>
                <w:szCs w:val="16"/>
              </w:rPr>
              <w:t>try</w:t>
            </w:r>
            <w:r w:rsidRPr="003E4208">
              <w:rPr>
                <w:rFonts w:eastAsia="Arial"/>
                <w:b/>
                <w:i/>
                <w:sz w:val="16"/>
              </w:rPr>
              <w:t xml:space="preserve"> </w:t>
            </w:r>
            <w:r w:rsidRPr="00AD2FDD">
              <w:rPr>
                <w:rFonts w:eastAsia="Arial" w:cs="Arial"/>
                <w:b/>
                <w:i/>
                <w:sz w:val="16"/>
                <w:szCs w:val="16"/>
              </w:rPr>
              <w:t>Oper</w:t>
            </w:r>
            <w:r w:rsidRPr="003E4208">
              <w:rPr>
                <w:rFonts w:eastAsia="Arial"/>
                <w:b/>
                <w:i/>
                <w:sz w:val="16"/>
              </w:rPr>
              <w:t>a</w:t>
            </w:r>
            <w:r w:rsidRPr="00AD2FDD">
              <w:rPr>
                <w:rFonts w:eastAsia="Arial" w:cs="Arial"/>
                <w:b/>
                <w:i/>
                <w:sz w:val="16"/>
                <w:szCs w:val="16"/>
              </w:rPr>
              <w:t>t</w:t>
            </w:r>
            <w:r w:rsidRPr="003E4208">
              <w:rPr>
                <w:rFonts w:eastAsia="Arial"/>
                <w:b/>
                <w:i/>
                <w:sz w:val="16"/>
              </w:rPr>
              <w:t>ion</w:t>
            </w:r>
            <w:r w:rsidRPr="00AD2FDD">
              <w:rPr>
                <w:rFonts w:eastAsia="Arial" w:cs="Arial"/>
                <w:b/>
                <w:i/>
                <w:sz w:val="16"/>
                <w:szCs w:val="16"/>
              </w:rPr>
              <w:t>s</w:t>
            </w:r>
            <w:r w:rsidRPr="003E4208">
              <w:rPr>
                <w:rFonts w:eastAsia="Arial"/>
                <w:b/>
                <w:i/>
                <w:sz w:val="16"/>
              </w:rPr>
              <w:t xml:space="preserve"> C</w:t>
            </w:r>
            <w:r w:rsidRPr="00AD2FDD">
              <w:rPr>
                <w:rFonts w:eastAsia="Arial" w:cs="Arial"/>
                <w:b/>
                <w:i/>
                <w:sz w:val="16"/>
                <w:szCs w:val="16"/>
              </w:rPr>
              <w:t>ost</w:t>
            </w:r>
          </w:p>
        </w:tc>
        <w:tc>
          <w:tcPr>
            <w:tcW w:w="1260" w:type="dxa"/>
            <w:gridSpan w:val="2"/>
            <w:tcMar>
              <w:left w:w="58" w:type="dxa"/>
              <w:right w:w="58" w:type="dxa"/>
            </w:tcMar>
            <w:vAlign w:val="center"/>
          </w:tcPr>
          <w:p w:rsidRPr="00AD2FDD" w:rsidR="003B6F0D" w:rsidP="003B6F0D" w:rsidRDefault="003B6F0D" w14:paraId="73962791" w14:textId="40F7E6C5">
            <w:pPr>
              <w:jc w:val="right"/>
              <w:rPr>
                <w:rFonts w:cs="Arial"/>
                <w:b/>
                <w:i/>
                <w:sz w:val="16"/>
                <w:szCs w:val="16"/>
              </w:rPr>
            </w:pPr>
            <w:r w:rsidRPr="00AD2FDD">
              <w:rPr>
                <w:rFonts w:cs="Arial"/>
                <w:b/>
                <w:i/>
                <w:sz w:val="16"/>
                <w:szCs w:val="16"/>
              </w:rPr>
              <w:t>($</w:t>
            </w:r>
            <w:r w:rsidRPr="00AD2FDD" w:rsidR="00962F84">
              <w:rPr>
                <w:rFonts w:cs="Arial"/>
                <w:b/>
                <w:i/>
                <w:sz w:val="16"/>
                <w:szCs w:val="16"/>
              </w:rPr>
              <w:t>80,265</w:t>
            </w:r>
            <w:r w:rsidRPr="00AD2FDD">
              <w:rPr>
                <w:rFonts w:cs="Arial"/>
                <w:b/>
                <w:i/>
                <w:sz w:val="16"/>
                <w:szCs w:val="16"/>
              </w:rPr>
              <w:t>)</w:t>
            </w:r>
          </w:p>
        </w:tc>
      </w:tr>
      <w:tr w:rsidRPr="00AD2FDD" w:rsidR="003B6F0D" w:rsidTr="00427A8C" w14:paraId="02879846" w14:textId="77777777">
        <w:trPr>
          <w:trHeight w:val="179"/>
        </w:trPr>
        <w:tc>
          <w:tcPr>
            <w:tcW w:w="8208" w:type="dxa"/>
            <w:gridSpan w:val="9"/>
            <w:tcMar>
              <w:left w:w="58" w:type="dxa"/>
              <w:right w:w="58" w:type="dxa"/>
            </w:tcMar>
            <w:vAlign w:val="center"/>
          </w:tcPr>
          <w:p w:rsidRPr="00AD2FDD" w:rsidR="003B6F0D" w:rsidP="003B6F0D" w:rsidRDefault="003B6F0D" w14:paraId="53D571F3" w14:textId="77777777">
            <w:pPr>
              <w:jc w:val="right"/>
              <w:rPr>
                <w:rFonts w:cs="Arial"/>
                <w:b/>
                <w:i/>
                <w:sz w:val="16"/>
                <w:szCs w:val="16"/>
              </w:rPr>
            </w:pPr>
            <w:r w:rsidRPr="00AD2FDD">
              <w:rPr>
                <w:rFonts w:eastAsia="Arial" w:cs="Arial"/>
                <w:b/>
                <w:i/>
                <w:sz w:val="16"/>
                <w:szCs w:val="16"/>
              </w:rPr>
              <w:t>A</w:t>
            </w:r>
            <w:r w:rsidRPr="003E4208">
              <w:rPr>
                <w:rFonts w:eastAsia="Arial"/>
                <w:b/>
                <w:i/>
                <w:sz w:val="16"/>
              </w:rPr>
              <w:t>v</w:t>
            </w:r>
            <w:r w:rsidRPr="00AD2FDD">
              <w:rPr>
                <w:rFonts w:eastAsia="Arial" w:cs="Arial"/>
                <w:b/>
                <w:i/>
                <w:sz w:val="16"/>
                <w:szCs w:val="16"/>
              </w:rPr>
              <w:t>erage</w:t>
            </w:r>
            <w:r w:rsidRPr="003E4208">
              <w:rPr>
                <w:rFonts w:eastAsia="Arial"/>
                <w:b/>
                <w:i/>
                <w:sz w:val="16"/>
              </w:rPr>
              <w:t xml:space="preserve"> </w:t>
            </w:r>
            <w:r w:rsidRPr="00AD2FDD">
              <w:rPr>
                <w:rFonts w:eastAsia="Arial" w:cs="Arial"/>
                <w:b/>
                <w:i/>
                <w:sz w:val="16"/>
                <w:szCs w:val="16"/>
              </w:rPr>
              <w:t>Ope</w:t>
            </w:r>
            <w:r w:rsidRPr="003E4208">
              <w:rPr>
                <w:rFonts w:eastAsia="Arial"/>
                <w:b/>
                <w:i/>
                <w:sz w:val="16"/>
              </w:rPr>
              <w:t>r</w:t>
            </w:r>
            <w:r w:rsidRPr="00AD2FDD">
              <w:rPr>
                <w:rFonts w:eastAsia="Arial" w:cs="Arial"/>
                <w:b/>
                <w:i/>
                <w:sz w:val="16"/>
                <w:szCs w:val="16"/>
              </w:rPr>
              <w:t>at</w:t>
            </w:r>
            <w:r w:rsidRPr="003E4208">
              <w:rPr>
                <w:rFonts w:eastAsia="Arial"/>
                <w:b/>
                <w:i/>
                <w:sz w:val="16"/>
              </w:rPr>
              <w:t>ion</w:t>
            </w:r>
            <w:r w:rsidRPr="00AD2FDD">
              <w:rPr>
                <w:rFonts w:eastAsia="Arial" w:cs="Arial"/>
                <w:b/>
                <w:i/>
                <w:sz w:val="16"/>
                <w:szCs w:val="16"/>
              </w:rPr>
              <w:t>s</w:t>
            </w:r>
            <w:r w:rsidRPr="003E4208">
              <w:rPr>
                <w:rFonts w:eastAsia="Arial"/>
                <w:b/>
                <w:i/>
                <w:sz w:val="16"/>
              </w:rPr>
              <w:t xml:space="preserve"> </w:t>
            </w:r>
            <w:r w:rsidRPr="00AD2FDD">
              <w:rPr>
                <w:rFonts w:eastAsia="Arial" w:cs="Arial"/>
                <w:b/>
                <w:i/>
                <w:sz w:val="16"/>
                <w:szCs w:val="16"/>
              </w:rPr>
              <w:t>Cost</w:t>
            </w:r>
            <w:r w:rsidRPr="003E4208">
              <w:rPr>
                <w:rFonts w:eastAsia="Arial"/>
                <w:b/>
                <w:i/>
                <w:sz w:val="16"/>
              </w:rPr>
              <w:t xml:space="preserve"> Per Site</w:t>
            </w:r>
          </w:p>
        </w:tc>
        <w:tc>
          <w:tcPr>
            <w:tcW w:w="1260" w:type="dxa"/>
            <w:gridSpan w:val="2"/>
            <w:tcMar>
              <w:left w:w="58" w:type="dxa"/>
              <w:right w:w="58" w:type="dxa"/>
            </w:tcMar>
            <w:vAlign w:val="center"/>
          </w:tcPr>
          <w:p w:rsidRPr="00AD2FDD" w:rsidR="003B6F0D" w:rsidP="003B6F0D" w:rsidRDefault="003B6F0D" w14:paraId="3E815430" w14:textId="6AD888DC">
            <w:pPr>
              <w:jc w:val="right"/>
              <w:rPr>
                <w:rFonts w:cs="Arial"/>
                <w:b/>
                <w:i/>
                <w:sz w:val="16"/>
                <w:szCs w:val="16"/>
              </w:rPr>
            </w:pPr>
            <w:r w:rsidRPr="00AD2FDD">
              <w:rPr>
                <w:rFonts w:cs="Arial"/>
                <w:b/>
                <w:i/>
                <w:sz w:val="16"/>
                <w:szCs w:val="16"/>
              </w:rPr>
              <w:t>($1,</w:t>
            </w:r>
            <w:r w:rsidRPr="00AD2FDD" w:rsidR="00962F84">
              <w:rPr>
                <w:rFonts w:cs="Arial"/>
                <w:b/>
                <w:i/>
                <w:sz w:val="16"/>
                <w:szCs w:val="16"/>
              </w:rPr>
              <w:t>360</w:t>
            </w:r>
            <w:r w:rsidRPr="00AD2FDD">
              <w:rPr>
                <w:rFonts w:cs="Arial"/>
                <w:b/>
                <w:i/>
                <w:sz w:val="16"/>
                <w:szCs w:val="16"/>
              </w:rPr>
              <w:t>)</w:t>
            </w:r>
          </w:p>
        </w:tc>
      </w:tr>
      <w:tr w:rsidRPr="00AD2FDD" w:rsidR="003B6F0D" w:rsidTr="00E30B3F" w14:paraId="78FE0240" w14:textId="77777777">
        <w:trPr>
          <w:trHeight w:val="3473"/>
        </w:trPr>
        <w:tc>
          <w:tcPr>
            <w:tcW w:w="9468" w:type="dxa"/>
            <w:gridSpan w:val="11"/>
            <w:vAlign w:val="center"/>
          </w:tcPr>
          <w:p w:rsidRPr="00AD2FDD" w:rsidR="003B6F0D" w:rsidP="003B6F0D" w:rsidRDefault="003B6F0D" w14:paraId="26E958F3" w14:textId="77777777">
            <w:pPr>
              <w:keepNext/>
              <w:keepLines/>
              <w:spacing w:before="36"/>
              <w:jc w:val="both"/>
              <w:rPr>
                <w:rFonts w:eastAsia="Arial" w:cs="Arial"/>
                <w:sz w:val="16"/>
                <w:szCs w:val="16"/>
              </w:rPr>
            </w:pPr>
            <w:r w:rsidRPr="00AD2FDD">
              <w:rPr>
                <w:rFonts w:eastAsia="Arial" w:cs="Arial"/>
                <w:b/>
                <w:bCs/>
                <w:sz w:val="16"/>
                <w:szCs w:val="16"/>
              </w:rPr>
              <w:t>Calcu</w:t>
            </w:r>
            <w:r w:rsidRPr="00A84A19">
              <w:rPr>
                <w:rFonts w:eastAsia="Arial"/>
                <w:b/>
                <w:sz w:val="16"/>
              </w:rPr>
              <w:t>l</w:t>
            </w:r>
            <w:r w:rsidRPr="00AD2FDD">
              <w:rPr>
                <w:rFonts w:eastAsia="Arial" w:cs="Arial"/>
                <w:b/>
                <w:bCs/>
                <w:sz w:val="16"/>
                <w:szCs w:val="16"/>
              </w:rPr>
              <w:t>at</w:t>
            </w:r>
            <w:r w:rsidRPr="00A84A19">
              <w:rPr>
                <w:rFonts w:eastAsia="Arial"/>
                <w:b/>
                <w:sz w:val="16"/>
              </w:rPr>
              <w:t>i</w:t>
            </w:r>
            <w:r w:rsidRPr="00AD2FDD">
              <w:rPr>
                <w:rFonts w:eastAsia="Arial" w:cs="Arial"/>
                <w:b/>
                <w:bCs/>
                <w:sz w:val="16"/>
                <w:szCs w:val="16"/>
              </w:rPr>
              <w:t>ons</w:t>
            </w:r>
            <w:r w:rsidRPr="00A84A19">
              <w:rPr>
                <w:rFonts w:eastAsia="Arial"/>
                <w:b/>
                <w:sz w:val="16"/>
              </w:rPr>
              <w:t xml:space="preserve"> </w:t>
            </w:r>
            <w:r w:rsidRPr="00AD2FDD">
              <w:rPr>
                <w:rFonts w:eastAsia="Arial" w:cs="Arial"/>
                <w:b/>
                <w:bCs/>
                <w:sz w:val="16"/>
                <w:szCs w:val="16"/>
              </w:rPr>
              <w:t>(t</w:t>
            </w:r>
            <w:r w:rsidRPr="00A84A19">
              <w:rPr>
                <w:rFonts w:eastAsia="Arial"/>
                <w:b/>
                <w:sz w:val="16"/>
              </w:rPr>
              <w:t>o</w:t>
            </w:r>
            <w:r w:rsidRPr="00AD2FDD">
              <w:rPr>
                <w:rFonts w:eastAsia="Arial" w:cs="Arial"/>
                <w:b/>
                <w:bCs/>
                <w:sz w:val="16"/>
                <w:szCs w:val="16"/>
              </w:rPr>
              <w:t>tals</w:t>
            </w:r>
            <w:r w:rsidRPr="00A84A19">
              <w:rPr>
                <w:rFonts w:eastAsia="Arial"/>
                <w:b/>
                <w:sz w:val="16"/>
              </w:rPr>
              <w:t xml:space="preserve"> ma</w:t>
            </w:r>
            <w:r w:rsidRPr="00AD2FDD">
              <w:rPr>
                <w:rFonts w:eastAsia="Arial" w:cs="Arial"/>
                <w:b/>
                <w:bCs/>
                <w:sz w:val="16"/>
                <w:szCs w:val="16"/>
              </w:rPr>
              <w:t>y</w:t>
            </w:r>
            <w:r w:rsidRPr="00A84A19">
              <w:rPr>
                <w:rFonts w:eastAsia="Arial"/>
                <w:b/>
                <w:sz w:val="16"/>
              </w:rPr>
              <w:t xml:space="preserve"> </w:t>
            </w:r>
            <w:r w:rsidRPr="00AD2FDD">
              <w:rPr>
                <w:rFonts w:eastAsia="Arial" w:cs="Arial"/>
                <w:b/>
                <w:bCs/>
                <w:sz w:val="16"/>
                <w:szCs w:val="16"/>
              </w:rPr>
              <w:t>not</w:t>
            </w:r>
            <w:r w:rsidRPr="00A84A19">
              <w:rPr>
                <w:rFonts w:eastAsia="Arial"/>
                <w:b/>
                <w:sz w:val="16"/>
              </w:rPr>
              <w:t xml:space="preserve"> </w:t>
            </w:r>
            <w:r w:rsidRPr="00AD2FDD">
              <w:rPr>
                <w:rFonts w:eastAsia="Arial" w:cs="Arial"/>
                <w:b/>
                <w:bCs/>
                <w:sz w:val="16"/>
                <w:szCs w:val="16"/>
              </w:rPr>
              <w:t>add</w:t>
            </w:r>
            <w:r w:rsidRPr="00A84A19">
              <w:rPr>
                <w:rFonts w:eastAsia="Arial"/>
                <w:b/>
                <w:sz w:val="16"/>
              </w:rPr>
              <w:t xml:space="preserve"> b</w:t>
            </w:r>
            <w:r w:rsidRPr="00AD2FDD">
              <w:rPr>
                <w:rFonts w:eastAsia="Arial" w:cs="Arial"/>
                <w:b/>
                <w:bCs/>
                <w:sz w:val="16"/>
                <w:szCs w:val="16"/>
              </w:rPr>
              <w:t>ec</w:t>
            </w:r>
            <w:r w:rsidRPr="00A84A19">
              <w:rPr>
                <w:rFonts w:eastAsia="Arial"/>
                <w:b/>
                <w:sz w:val="16"/>
              </w:rPr>
              <w:t>a</w:t>
            </w:r>
            <w:r w:rsidRPr="00AD2FDD">
              <w:rPr>
                <w:rFonts w:eastAsia="Arial" w:cs="Arial"/>
                <w:b/>
                <w:bCs/>
                <w:sz w:val="16"/>
                <w:szCs w:val="16"/>
              </w:rPr>
              <w:t>use</w:t>
            </w:r>
            <w:r w:rsidRPr="00A84A19">
              <w:rPr>
                <w:rFonts w:eastAsia="Arial"/>
                <w:b/>
                <w:sz w:val="16"/>
              </w:rPr>
              <w:t xml:space="preserve"> </w:t>
            </w:r>
            <w:r w:rsidRPr="00AD2FDD">
              <w:rPr>
                <w:rFonts w:eastAsia="Arial" w:cs="Arial"/>
                <w:b/>
                <w:bCs/>
                <w:sz w:val="16"/>
                <w:szCs w:val="16"/>
              </w:rPr>
              <w:t>of</w:t>
            </w:r>
            <w:r w:rsidRPr="00A84A19">
              <w:rPr>
                <w:rFonts w:eastAsia="Arial"/>
                <w:b/>
                <w:sz w:val="16"/>
              </w:rPr>
              <w:t xml:space="preserve"> rounding)</w:t>
            </w:r>
            <w:r w:rsidRPr="00AD2FDD">
              <w:rPr>
                <w:rFonts w:eastAsia="Arial" w:cs="Arial"/>
                <w:b/>
                <w:bCs/>
                <w:sz w:val="16"/>
                <w:szCs w:val="16"/>
              </w:rPr>
              <w:t>:</w:t>
            </w:r>
          </w:p>
          <w:p w:rsidRPr="00AD2FDD" w:rsidR="003B6F0D" w:rsidP="003B6F0D" w:rsidRDefault="003B6F0D" w14:paraId="61061980" w14:textId="1846CF87">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 xml:space="preserve">Benefits (Cost) </w:t>
            </w:r>
            <w:r w:rsidR="00970EA5">
              <w:rPr>
                <w:rFonts w:eastAsia="Arial" w:cs="Arial"/>
                <w:sz w:val="16"/>
                <w:szCs w:val="16"/>
              </w:rPr>
              <w:t>p</w:t>
            </w:r>
            <w:r w:rsidRPr="00AD2FDD">
              <w:rPr>
                <w:rFonts w:eastAsia="Arial" w:cs="Arial"/>
                <w:sz w:val="16"/>
                <w:szCs w:val="16"/>
              </w:rPr>
              <w:t>er Site = Product (Data Inputs)</w:t>
            </w:r>
          </w:p>
          <w:p w:rsidRPr="00AD2FDD" w:rsidR="003B6F0D" w:rsidP="003B6F0D" w:rsidRDefault="003B6F0D" w14:paraId="420D2F52" w14:textId="6F941A79">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 xml:space="preserve">Total Benefits (Cost) = Benefits (Cost) </w:t>
            </w:r>
            <w:r w:rsidR="00970EA5">
              <w:rPr>
                <w:rFonts w:eastAsia="Arial" w:cs="Arial"/>
                <w:sz w:val="16"/>
                <w:szCs w:val="16"/>
              </w:rPr>
              <w:t>p</w:t>
            </w:r>
            <w:r w:rsidRPr="00AD2FDD">
              <w:rPr>
                <w:rFonts w:eastAsia="Arial" w:cs="Arial"/>
                <w:sz w:val="16"/>
                <w:szCs w:val="16"/>
              </w:rPr>
              <w:t>er Site x Number of Sites Affected</w:t>
            </w:r>
          </w:p>
          <w:p w:rsidRPr="00AD2FDD" w:rsidR="003B6F0D" w:rsidP="003B6F0D" w:rsidRDefault="003B6F0D" w14:paraId="0EDD453E" w14:textId="77777777">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Total Industry Operations Cost = Sum (Total Benefits (Cost))</w:t>
            </w:r>
          </w:p>
          <w:p w:rsidRPr="00AD2FDD" w:rsidR="003B6F0D" w:rsidP="003B6F0D" w:rsidRDefault="003B6F0D" w14:paraId="59B616F1" w14:textId="1FC88926">
            <w:pPr>
              <w:pStyle w:val="ListParagraph"/>
              <w:numPr>
                <w:ilvl w:val="0"/>
                <w:numId w:val="20"/>
              </w:numPr>
              <w:spacing w:after="240"/>
              <w:ind w:left="374"/>
              <w:contextualSpacing w:val="0"/>
              <w:rPr>
                <w:rFonts w:cs="Arial"/>
                <w:sz w:val="16"/>
                <w:szCs w:val="16"/>
              </w:rPr>
            </w:pPr>
            <w:r w:rsidRPr="00AD2FDD">
              <w:rPr>
                <w:rFonts w:eastAsia="Arial" w:cs="Arial"/>
                <w:sz w:val="16"/>
                <w:szCs w:val="16"/>
              </w:rPr>
              <w:t xml:space="preserve">Average Operations Cost </w:t>
            </w:r>
            <w:r w:rsidR="00970EA5">
              <w:rPr>
                <w:rFonts w:eastAsia="Arial" w:cs="Arial"/>
                <w:sz w:val="16"/>
                <w:szCs w:val="16"/>
              </w:rPr>
              <w:t>p</w:t>
            </w:r>
            <w:r w:rsidRPr="00AD2FDD">
              <w:rPr>
                <w:rFonts w:eastAsia="Arial" w:cs="Arial"/>
                <w:sz w:val="16"/>
                <w:szCs w:val="16"/>
              </w:rPr>
              <w:t>er Site = Total Industry Operations Cost / Total Number of Sites</w:t>
            </w:r>
          </w:p>
          <w:p w:rsidRPr="00AD2FDD" w:rsidR="003B6F0D" w:rsidP="003B6F0D" w:rsidRDefault="003B6F0D" w14:paraId="399AF6F7" w14:textId="77777777">
            <w:pPr>
              <w:keepNext/>
              <w:keepLines/>
              <w:ind w:left="16"/>
              <w:jc w:val="both"/>
              <w:rPr>
                <w:rFonts w:eastAsia="Arial" w:cs="Arial"/>
                <w:sz w:val="16"/>
                <w:szCs w:val="16"/>
              </w:rPr>
            </w:pPr>
            <w:r w:rsidRPr="00A84A19">
              <w:rPr>
                <w:rFonts w:eastAsia="Arial"/>
                <w:b/>
                <w:sz w:val="16"/>
              </w:rPr>
              <w:t>Assu</w:t>
            </w:r>
            <w:r w:rsidRPr="00AD2FDD">
              <w:rPr>
                <w:rFonts w:eastAsia="Arial" w:cs="Arial"/>
                <w:b/>
                <w:bCs/>
                <w:sz w:val="16"/>
                <w:szCs w:val="16"/>
              </w:rPr>
              <w:t>m</w:t>
            </w:r>
            <w:r w:rsidRPr="00A84A19">
              <w:rPr>
                <w:rFonts w:eastAsia="Arial"/>
                <w:b/>
                <w:sz w:val="16"/>
              </w:rPr>
              <w:t>ptions</w:t>
            </w:r>
            <w:r w:rsidRPr="00AD2FDD">
              <w:rPr>
                <w:rFonts w:eastAsia="Arial" w:cs="Arial"/>
                <w:b/>
                <w:bCs/>
                <w:sz w:val="16"/>
                <w:szCs w:val="16"/>
              </w:rPr>
              <w:t>:</w:t>
            </w:r>
          </w:p>
          <w:p w:rsidRPr="00AD2FDD" w:rsidR="003B6F0D" w:rsidP="003B6F0D" w:rsidRDefault="003B6F0D" w14:paraId="09012C4A" w14:textId="7DEF0045">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Initial drug testing of each urine specimen for 6-AM results in an incremental cost per test performed at LTFs and HHS</w:t>
            </w:r>
            <w:r w:rsidRPr="00AD2FDD">
              <w:rPr>
                <w:rFonts w:eastAsia="Arial" w:cs="Arial"/>
                <w:sz w:val="16"/>
                <w:szCs w:val="16"/>
              </w:rPr>
              <w:noBreakHyphen/>
              <w:t>certified laboratories.</w:t>
            </w:r>
          </w:p>
          <w:p w:rsidRPr="00AD2FDD" w:rsidR="003B6F0D" w:rsidP="003B6F0D" w:rsidRDefault="003B6F0D" w14:paraId="0D0CBC19" w14:textId="1E9DE4CD">
            <w:pPr>
              <w:pStyle w:val="ListParagraph"/>
              <w:numPr>
                <w:ilvl w:val="0"/>
                <w:numId w:val="20"/>
              </w:numPr>
              <w:spacing w:after="60"/>
              <w:ind w:left="374"/>
              <w:contextualSpacing w:val="0"/>
              <w:rPr>
                <w:rFonts w:eastAsia="Arial" w:cs="Arial"/>
                <w:sz w:val="16"/>
                <w:szCs w:val="16"/>
              </w:rPr>
            </w:pPr>
            <w:r w:rsidRPr="00AD2FDD">
              <w:rPr>
                <w:rFonts w:eastAsia="Arial" w:cs="Arial"/>
                <w:sz w:val="16"/>
                <w:szCs w:val="16"/>
              </w:rPr>
              <w:t xml:space="preserve">Licensees only </w:t>
            </w:r>
            <w:r w:rsidRPr="00AD2FDD" w:rsidR="007E2F4D">
              <w:rPr>
                <w:rFonts w:eastAsia="Arial" w:cs="Arial"/>
                <w:sz w:val="16"/>
                <w:szCs w:val="16"/>
              </w:rPr>
              <w:t>using</w:t>
            </w:r>
            <w:r w:rsidRPr="00AD2FDD">
              <w:rPr>
                <w:rFonts w:eastAsia="Arial" w:cs="Arial"/>
                <w:sz w:val="16"/>
                <w:szCs w:val="16"/>
              </w:rPr>
              <w:t xml:space="preserve"> HHS-certified laboratories for drug testing pay a per</w:t>
            </w:r>
            <w:r w:rsidRPr="00AD2FDD">
              <w:rPr>
                <w:rFonts w:eastAsia="Arial" w:cs="Arial"/>
                <w:sz w:val="16"/>
                <w:szCs w:val="16"/>
              </w:rPr>
              <w:noBreakHyphen/>
              <w:t>specimen cost, which includes initial drug testing of all specimens and confirmatory drug testing when applicable.  Licensees us</w:t>
            </w:r>
            <w:r w:rsidRPr="00AD2FDD" w:rsidR="00984C76">
              <w:rPr>
                <w:rFonts w:eastAsia="Arial" w:cs="Arial"/>
                <w:sz w:val="16"/>
                <w:szCs w:val="16"/>
              </w:rPr>
              <w:t>ing</w:t>
            </w:r>
            <w:r w:rsidRPr="00AD2FDD">
              <w:rPr>
                <w:rFonts w:eastAsia="Arial" w:cs="Arial"/>
                <w:sz w:val="16"/>
                <w:szCs w:val="16"/>
              </w:rPr>
              <w:t xml:space="preserve"> LTFs for initial drug testing and HHS-certified laboratories for confirmatory drug testing will incur an incremental cost to conduct confirmatory testing at an HHS-certified laboratory for any additional specimens that screen positive at the LTF as a result of the rule changes.</w:t>
            </w:r>
          </w:p>
          <w:p w:rsidRPr="00AD2FDD" w:rsidR="003B6F0D" w:rsidP="003B6F0D" w:rsidRDefault="003B6F0D" w14:paraId="3C98BAD0" w14:textId="4FCB3E5A">
            <w:pPr>
              <w:pStyle w:val="ListParagraph"/>
              <w:numPr>
                <w:ilvl w:val="0"/>
                <w:numId w:val="20"/>
              </w:numPr>
              <w:spacing w:after="60"/>
              <w:ind w:left="374"/>
              <w:contextualSpacing w:val="0"/>
              <w:rPr>
                <w:rFonts w:eastAsia="Arial" w:cs="Arial"/>
                <w:sz w:val="16"/>
                <w:szCs w:val="16"/>
              </w:rPr>
            </w:pPr>
            <w:r>
              <w:rPr>
                <w:rFonts w:eastAsia="Arial" w:cs="Arial"/>
                <w:sz w:val="16"/>
                <w:szCs w:val="16"/>
              </w:rPr>
              <w:t>All</w:t>
            </w:r>
            <w:r w:rsidRPr="00AD2FDD">
              <w:rPr>
                <w:rFonts w:eastAsia="Arial" w:cs="Arial"/>
                <w:sz w:val="16"/>
                <w:szCs w:val="16"/>
              </w:rPr>
              <w:t xml:space="preserve"> HHS-certified laboratory positive results for 6-AM</w:t>
            </w:r>
            <w:r>
              <w:rPr>
                <w:rFonts w:eastAsia="Arial" w:cs="Arial"/>
                <w:sz w:val="16"/>
                <w:szCs w:val="16"/>
              </w:rPr>
              <w:t xml:space="preserve"> will be confirmed positive by the MRO</w:t>
            </w:r>
            <w:r w:rsidRPr="00AD2FDD">
              <w:rPr>
                <w:rFonts w:eastAsia="Arial" w:cs="Arial"/>
                <w:sz w:val="16"/>
                <w:szCs w:val="16"/>
              </w:rPr>
              <w:t xml:space="preserve"> (i.e., no medical downgrades possible for heroin, a Schedule I drug—that is, an illegal drug).</w:t>
            </w:r>
          </w:p>
          <w:p w:rsidRPr="00AD2FDD" w:rsidR="003B6F0D" w:rsidP="003B6F0D" w:rsidRDefault="003B6F0D" w14:paraId="1C620F9F" w14:textId="45A1E07D">
            <w:pPr>
              <w:pStyle w:val="ListParagraph"/>
              <w:numPr>
                <w:ilvl w:val="0"/>
                <w:numId w:val="20"/>
              </w:numPr>
              <w:spacing w:after="120"/>
              <w:ind w:left="374"/>
              <w:contextualSpacing w:val="0"/>
              <w:rPr>
                <w:rFonts w:cs="Arial"/>
                <w:sz w:val="16"/>
                <w:szCs w:val="16"/>
              </w:rPr>
            </w:pPr>
            <w:r w:rsidRPr="00AD2FDD">
              <w:rPr>
                <w:rFonts w:eastAsia="Arial" w:cs="Arial"/>
                <w:sz w:val="16"/>
                <w:szCs w:val="16"/>
              </w:rPr>
              <w:t>Appendices B and D present additional information on the parameters used in these calculations.</w:t>
            </w:r>
          </w:p>
        </w:tc>
      </w:tr>
    </w:tbl>
    <w:p w:rsidRPr="00CD53D7" w:rsidR="00D520BD" w:rsidP="00D520BD" w:rsidRDefault="00D520BD" w14:paraId="43A959FF" w14:textId="77777777">
      <w:pPr>
        <w:rPr>
          <w:sz w:val="22"/>
          <w:szCs w:val="22"/>
        </w:rPr>
      </w:pPr>
    </w:p>
    <w:p w:rsidR="00F91015" w:rsidRDefault="00F91015" w14:paraId="688566F1" w14:textId="77777777">
      <w:pPr>
        <w:autoSpaceDE/>
        <w:autoSpaceDN/>
        <w:adjustRightInd/>
        <w:rPr>
          <w:sz w:val="22"/>
          <w:szCs w:val="22"/>
        </w:rPr>
      </w:pPr>
      <w:r>
        <w:rPr>
          <w:sz w:val="22"/>
          <w:szCs w:val="22"/>
        </w:rPr>
        <w:br w:type="page"/>
      </w:r>
    </w:p>
    <w:tbl>
      <w:tblPr>
        <w:tblStyle w:val="TableGrid"/>
        <w:tblW w:w="9360" w:type="dxa"/>
        <w:jc w:val="center"/>
        <w:tblLayout w:type="fixed"/>
        <w:tblLook w:val="04A0" w:firstRow="1" w:lastRow="0" w:firstColumn="1" w:lastColumn="0" w:noHBand="0" w:noVBand="1"/>
      </w:tblPr>
      <w:tblGrid>
        <w:gridCol w:w="2155"/>
        <w:gridCol w:w="3605"/>
        <w:gridCol w:w="720"/>
        <w:gridCol w:w="900"/>
        <w:gridCol w:w="900"/>
        <w:gridCol w:w="1080"/>
      </w:tblGrid>
      <w:tr w:rsidRPr="00C87DF7" w:rsidR="00AE2C92" w:rsidTr="002A2C1C" w14:paraId="70231CA6" w14:textId="77777777">
        <w:trPr>
          <w:trHeight w:val="4400"/>
          <w:jc w:val="center"/>
        </w:trPr>
        <w:tc>
          <w:tcPr>
            <w:tcW w:w="9360" w:type="dxa"/>
            <w:gridSpan w:val="6"/>
          </w:tcPr>
          <w:p w:rsidRPr="00C87DF7" w:rsidR="00AE2C92" w:rsidP="001E0139" w:rsidRDefault="00AE2C92" w14:paraId="62E14D45" w14:textId="2E993DFF">
            <w:pPr>
              <w:spacing w:before="120"/>
              <w:rPr>
                <w:rFonts w:cs="Arial"/>
                <w:b/>
                <w:i/>
                <w:szCs w:val="16"/>
              </w:rPr>
            </w:pPr>
            <w:r w:rsidRPr="00C87DF7">
              <w:rPr>
                <w:rFonts w:cs="Arial"/>
                <w:b/>
                <w:i/>
                <w:szCs w:val="16"/>
              </w:rPr>
              <w:t xml:space="preserve">C.4 </w:t>
            </w:r>
            <w:r w:rsidRPr="00C87DF7" w:rsidR="001E0139">
              <w:rPr>
                <w:rFonts w:cs="Arial"/>
                <w:b/>
                <w:i/>
                <w:szCs w:val="16"/>
              </w:rPr>
              <w:t xml:space="preserve"> Expand the Initial and Confirmatory Drug Testing Panels to </w:t>
            </w:r>
            <w:r w:rsidRPr="00C87DF7" w:rsidR="0060054F">
              <w:rPr>
                <w:rFonts w:cs="Arial"/>
                <w:b/>
                <w:i/>
                <w:szCs w:val="16"/>
              </w:rPr>
              <w:t xml:space="preserve">Include </w:t>
            </w:r>
            <w:r w:rsidRPr="00C87DF7" w:rsidR="001E0139">
              <w:rPr>
                <w:rFonts w:cs="Arial"/>
                <w:b/>
                <w:i/>
                <w:szCs w:val="16"/>
              </w:rPr>
              <w:t xml:space="preserve">the Opioids:  </w:t>
            </w:r>
            <w:r w:rsidRPr="00C87DF7" w:rsidR="006E4E84">
              <w:rPr>
                <w:rFonts w:cs="Arial"/>
                <w:b/>
                <w:i/>
                <w:szCs w:val="16"/>
              </w:rPr>
              <w:br/>
            </w:r>
            <w:r w:rsidRPr="00C87DF7" w:rsidR="001E0139">
              <w:rPr>
                <w:rFonts w:cs="Arial"/>
                <w:b/>
                <w:i/>
                <w:szCs w:val="16"/>
              </w:rPr>
              <w:t>Hydrocodone, Hydromorphone, Oxycodone, and Oxymorphone</w:t>
            </w:r>
          </w:p>
          <w:p w:rsidRPr="00C87DF7" w:rsidR="00D56AA7" w:rsidP="00E54398" w:rsidRDefault="00D56AA7" w14:paraId="698509AC" w14:textId="40C4294F">
            <w:pPr>
              <w:spacing w:before="99" w:after="120"/>
              <w:rPr>
                <w:rFonts w:eastAsia="Arial" w:cs="Arial"/>
                <w:sz w:val="16"/>
                <w:szCs w:val="16"/>
              </w:rPr>
            </w:pPr>
            <w:r w:rsidRPr="00C87DF7">
              <w:rPr>
                <w:rFonts w:eastAsia="Arial" w:cs="Arial"/>
                <w:sz w:val="16"/>
                <w:szCs w:val="16"/>
              </w:rPr>
              <w:t>The final rule add</w:t>
            </w:r>
            <w:r w:rsidRPr="00C87DF7" w:rsidR="00A63BF8">
              <w:rPr>
                <w:rFonts w:eastAsia="Arial" w:cs="Arial"/>
                <w:sz w:val="16"/>
                <w:szCs w:val="16"/>
              </w:rPr>
              <w:t>s</w:t>
            </w:r>
            <w:r w:rsidRPr="00C87DF7">
              <w:rPr>
                <w:rFonts w:eastAsia="Arial" w:cs="Arial"/>
                <w:sz w:val="16"/>
                <w:szCs w:val="16"/>
              </w:rPr>
              <w:t xml:space="preserve"> four opioid pain</w:t>
            </w:r>
            <w:r w:rsidR="00EC436B">
              <w:rPr>
                <w:rFonts w:eastAsia="Arial" w:cs="Arial"/>
                <w:sz w:val="16"/>
                <w:szCs w:val="16"/>
              </w:rPr>
              <w:t xml:space="preserve"> relievers</w:t>
            </w:r>
            <w:r w:rsidRPr="00C87DF7">
              <w:rPr>
                <w:rFonts w:eastAsia="Arial" w:cs="Arial"/>
                <w:sz w:val="16"/>
                <w:szCs w:val="16"/>
              </w:rPr>
              <w:t xml:space="preserve"> (hydrocodone (HYC), hydromorphone (HYM), oxycodone (OXYC), and oxymorphone (OXYM)) to the testing panel (</w:t>
            </w:r>
            <w:r w:rsidRPr="00C87DF7" w:rsidR="004516F0">
              <w:rPr>
                <w:rFonts w:eastAsia="Arial" w:cs="Arial"/>
                <w:sz w:val="16"/>
                <w:szCs w:val="16"/>
              </w:rPr>
              <w:t>10 CFR </w:t>
            </w:r>
            <w:r w:rsidRPr="00C87DF7">
              <w:rPr>
                <w:rFonts w:eastAsia="Arial" w:cs="Arial"/>
                <w:sz w:val="16"/>
                <w:szCs w:val="16"/>
              </w:rPr>
              <w:t xml:space="preserve">26.31(d)(1) and </w:t>
            </w:r>
            <w:r w:rsidRPr="00C87DF7" w:rsidR="004516F0">
              <w:rPr>
                <w:rFonts w:eastAsia="Arial" w:cs="Arial"/>
                <w:sz w:val="16"/>
                <w:szCs w:val="16"/>
              </w:rPr>
              <w:t>10 CFR </w:t>
            </w:r>
            <w:r w:rsidRPr="00C87DF7">
              <w:rPr>
                <w:rFonts w:eastAsia="Arial" w:cs="Arial"/>
                <w:sz w:val="16"/>
                <w:szCs w:val="16"/>
              </w:rPr>
              <w:t>26.405(d)); make</w:t>
            </w:r>
            <w:r w:rsidRPr="00C87DF7" w:rsidR="00A63BF8">
              <w:rPr>
                <w:rFonts w:eastAsia="Arial" w:cs="Arial"/>
                <w:sz w:val="16"/>
                <w:szCs w:val="16"/>
              </w:rPr>
              <w:t>s</w:t>
            </w:r>
            <w:r w:rsidRPr="00C87DF7">
              <w:rPr>
                <w:rFonts w:eastAsia="Arial" w:cs="Arial"/>
                <w:sz w:val="16"/>
                <w:szCs w:val="16"/>
              </w:rPr>
              <w:t xml:space="preserve"> conforming changes to the substances for initial testing (</w:t>
            </w:r>
            <w:r w:rsidRPr="00C87DF7" w:rsidR="004516F0">
              <w:rPr>
                <w:rFonts w:eastAsia="Arial" w:cs="Arial"/>
                <w:sz w:val="16"/>
                <w:szCs w:val="16"/>
              </w:rPr>
              <w:t>10 CFR </w:t>
            </w:r>
            <w:r w:rsidRPr="00C87DF7">
              <w:rPr>
                <w:rFonts w:eastAsia="Arial" w:cs="Arial"/>
                <w:sz w:val="16"/>
                <w:szCs w:val="16"/>
              </w:rPr>
              <w:t xml:space="preserve">26.133 and </w:t>
            </w:r>
            <w:r w:rsidRPr="00C87DF7" w:rsidR="004516F0">
              <w:rPr>
                <w:rFonts w:eastAsia="Arial" w:cs="Arial"/>
                <w:sz w:val="16"/>
                <w:szCs w:val="16"/>
              </w:rPr>
              <w:t>10 CFR </w:t>
            </w:r>
            <w:r w:rsidRPr="00C87DF7">
              <w:rPr>
                <w:rFonts w:eastAsia="Arial" w:cs="Arial"/>
                <w:sz w:val="16"/>
                <w:szCs w:val="16"/>
              </w:rPr>
              <w:t>26.163(a)(1)) and for confirmatory testing (</w:t>
            </w:r>
            <w:r w:rsidRPr="00C87DF7" w:rsidR="004516F0">
              <w:rPr>
                <w:rFonts w:eastAsia="Arial" w:cs="Arial"/>
                <w:sz w:val="16"/>
                <w:szCs w:val="16"/>
              </w:rPr>
              <w:t>10 CFR </w:t>
            </w:r>
            <w:r w:rsidRPr="00C87DF7">
              <w:rPr>
                <w:rFonts w:eastAsia="Arial" w:cs="Arial"/>
                <w:sz w:val="16"/>
                <w:szCs w:val="16"/>
              </w:rPr>
              <w:t xml:space="preserve">26.163(b)(1)); and </w:t>
            </w:r>
            <w:r w:rsidRPr="00C87DF7" w:rsidR="007B6344">
              <w:rPr>
                <w:rFonts w:eastAsia="Arial" w:cs="Arial"/>
                <w:sz w:val="16"/>
                <w:szCs w:val="16"/>
              </w:rPr>
              <w:t xml:space="preserve">adds </w:t>
            </w:r>
            <w:r w:rsidRPr="00C87DF7" w:rsidR="003638C1">
              <w:rPr>
                <w:rFonts w:eastAsia="Arial" w:cs="Arial"/>
                <w:sz w:val="16"/>
                <w:szCs w:val="16"/>
              </w:rPr>
              <w:t>the</w:t>
            </w:r>
            <w:r w:rsidRPr="00C87DF7" w:rsidR="00F6426C">
              <w:rPr>
                <w:rFonts w:eastAsia="Arial" w:cs="Arial"/>
                <w:sz w:val="16"/>
                <w:szCs w:val="16"/>
              </w:rPr>
              <w:t>se</w:t>
            </w:r>
            <w:r w:rsidRPr="00C87DF7" w:rsidR="003638C1">
              <w:rPr>
                <w:rFonts w:eastAsia="Arial" w:cs="Arial"/>
                <w:sz w:val="16"/>
                <w:szCs w:val="16"/>
              </w:rPr>
              <w:t xml:space="preserve"> new substances </w:t>
            </w:r>
            <w:r w:rsidRPr="00C87DF7">
              <w:rPr>
                <w:rFonts w:eastAsia="Arial" w:cs="Arial"/>
                <w:sz w:val="16"/>
                <w:szCs w:val="16"/>
              </w:rPr>
              <w:t xml:space="preserve">to the annual statistical summary reporting requirements </w:t>
            </w:r>
            <w:r w:rsidRPr="00C87DF7" w:rsidR="001616F1">
              <w:rPr>
                <w:rFonts w:eastAsia="Arial" w:cs="Arial"/>
                <w:sz w:val="16"/>
                <w:szCs w:val="16"/>
              </w:rPr>
              <w:t xml:space="preserve">for </w:t>
            </w:r>
            <w:r w:rsidRPr="00C87DF7" w:rsidR="002C4F52">
              <w:rPr>
                <w:rFonts w:eastAsia="Arial" w:cs="Arial"/>
                <w:sz w:val="16"/>
                <w:szCs w:val="16"/>
              </w:rPr>
              <w:t xml:space="preserve">HHS-certified </w:t>
            </w:r>
            <w:r w:rsidRPr="00C87DF7" w:rsidR="003638C1">
              <w:rPr>
                <w:rFonts w:eastAsia="Arial" w:cs="Arial"/>
                <w:sz w:val="16"/>
                <w:szCs w:val="16"/>
              </w:rPr>
              <w:t>laboratories</w:t>
            </w:r>
            <w:r w:rsidRPr="00C87DF7">
              <w:rPr>
                <w:rFonts w:eastAsia="Arial" w:cs="Arial"/>
                <w:sz w:val="16"/>
                <w:szCs w:val="16"/>
              </w:rPr>
              <w:t xml:space="preserve"> (</w:t>
            </w:r>
            <w:r w:rsidRPr="00C87DF7" w:rsidR="004516F0">
              <w:rPr>
                <w:rFonts w:eastAsia="Arial" w:cs="Arial"/>
                <w:sz w:val="16"/>
                <w:szCs w:val="16"/>
              </w:rPr>
              <w:t>10 CFR </w:t>
            </w:r>
            <w:r w:rsidRPr="00C87DF7">
              <w:rPr>
                <w:rFonts w:eastAsia="Arial" w:cs="Arial"/>
                <w:sz w:val="16"/>
                <w:szCs w:val="16"/>
              </w:rPr>
              <w:t xml:space="preserve">26.169(h)(3)).  These changes align 10 CFR Part 26 with </w:t>
            </w:r>
            <w:r w:rsidRPr="00C87DF7" w:rsidR="004516F0">
              <w:rPr>
                <w:rFonts w:eastAsia="Arial" w:cs="Arial"/>
                <w:sz w:val="16"/>
                <w:szCs w:val="16"/>
              </w:rPr>
              <w:t>S</w:t>
            </w:r>
            <w:r w:rsidRPr="00C87DF7">
              <w:rPr>
                <w:rFonts w:eastAsia="Arial" w:cs="Arial"/>
                <w:sz w:val="16"/>
                <w:szCs w:val="16"/>
              </w:rPr>
              <w:t xml:space="preserve">ection </w:t>
            </w:r>
            <w:r w:rsidRPr="00C87DF7" w:rsidR="009C37E3">
              <w:rPr>
                <w:rFonts w:eastAsia="Arial" w:cs="Arial"/>
                <w:sz w:val="16"/>
                <w:szCs w:val="16"/>
              </w:rPr>
              <w:t>3.4</w:t>
            </w:r>
            <w:r w:rsidRPr="00C87DF7">
              <w:rPr>
                <w:rFonts w:eastAsia="Arial" w:cs="Arial"/>
                <w:sz w:val="16"/>
                <w:szCs w:val="16"/>
              </w:rPr>
              <w:t xml:space="preserve"> of the 2017 HHS Guidelines.</w:t>
            </w:r>
          </w:p>
          <w:p w:rsidRPr="00C87DF7" w:rsidR="00AE2C92" w:rsidP="00E54398" w:rsidRDefault="00AE2C92" w14:paraId="4FDF166D" w14:textId="56D38DB1">
            <w:pPr>
              <w:spacing w:before="99" w:after="120"/>
              <w:rPr>
                <w:rFonts w:eastAsia="Arial"/>
                <w:sz w:val="16"/>
                <w:szCs w:val="16"/>
              </w:rPr>
            </w:pPr>
            <w:r w:rsidRPr="00C87DF7">
              <w:rPr>
                <w:rFonts w:eastAsia="Arial" w:cs="Arial"/>
                <w:sz w:val="16"/>
                <w:szCs w:val="16"/>
              </w:rPr>
              <w:t>The rule revise</w:t>
            </w:r>
            <w:r w:rsidRPr="00C87DF7" w:rsidR="00BF4A8E">
              <w:rPr>
                <w:rFonts w:eastAsia="Arial" w:cs="Arial"/>
                <w:sz w:val="16"/>
                <w:szCs w:val="16"/>
              </w:rPr>
              <w:t>s</w:t>
            </w:r>
            <w:r w:rsidRPr="00C87DF7">
              <w:rPr>
                <w:rFonts w:eastAsia="Arial" w:cs="Arial"/>
                <w:sz w:val="16"/>
                <w:szCs w:val="16"/>
              </w:rPr>
              <w:t xml:space="preserve"> the list of substances to be tested as follows:</w:t>
            </w:r>
          </w:p>
          <w:p w:rsidRPr="00C87DF7" w:rsidR="00AE2C92" w:rsidP="00A84A19" w:rsidRDefault="00B80F1D" w14:paraId="3C6C3647" w14:textId="50337EA9">
            <w:pPr>
              <w:pStyle w:val="ListParagraph"/>
              <w:keepNext/>
              <w:keepLines/>
              <w:numPr>
                <w:ilvl w:val="0"/>
                <w:numId w:val="44"/>
              </w:numPr>
              <w:ind w:left="446" w:hanging="446"/>
              <w:contextualSpacing w:val="0"/>
              <w:rPr>
                <w:rFonts w:eastAsia="Arial" w:cs="Arial"/>
                <w:sz w:val="16"/>
                <w:szCs w:val="16"/>
              </w:rPr>
            </w:pPr>
            <w:r w:rsidRPr="00C87DF7">
              <w:rPr>
                <w:rFonts w:eastAsia="Arial" w:cs="Arial"/>
                <w:sz w:val="16"/>
                <w:szCs w:val="16"/>
              </w:rPr>
              <w:t>i</w:t>
            </w:r>
            <w:r w:rsidRPr="00C87DF7" w:rsidR="00AE2C92">
              <w:rPr>
                <w:rFonts w:eastAsia="Arial" w:cs="Arial"/>
                <w:sz w:val="16"/>
                <w:szCs w:val="16"/>
              </w:rPr>
              <w:t>nclude</w:t>
            </w:r>
            <w:r w:rsidRPr="00C87DF7" w:rsidR="00BF4A8E">
              <w:rPr>
                <w:rFonts w:eastAsia="Arial" w:cs="Arial"/>
                <w:sz w:val="16"/>
                <w:szCs w:val="16"/>
              </w:rPr>
              <w:t>s</w:t>
            </w:r>
            <w:r w:rsidRPr="00C87DF7" w:rsidR="00AE2C92">
              <w:rPr>
                <w:rFonts w:eastAsia="Arial" w:cs="Arial"/>
                <w:sz w:val="16"/>
                <w:szCs w:val="16"/>
              </w:rPr>
              <w:t xml:space="preserve"> initial testing </w:t>
            </w:r>
            <w:r w:rsidRPr="00C87DF7" w:rsidR="00D01B21">
              <w:rPr>
                <w:rFonts w:eastAsia="Arial" w:cs="Arial"/>
                <w:sz w:val="16"/>
                <w:szCs w:val="16"/>
              </w:rPr>
              <w:t xml:space="preserve">for </w:t>
            </w:r>
            <w:r w:rsidRPr="00C87DF7" w:rsidR="009C37E3">
              <w:rPr>
                <w:rFonts w:eastAsia="Arial" w:cs="Arial"/>
                <w:sz w:val="16"/>
                <w:szCs w:val="16"/>
              </w:rPr>
              <w:t>HYC</w:t>
            </w:r>
            <w:r w:rsidRPr="00C87DF7" w:rsidR="004C663D">
              <w:rPr>
                <w:rFonts w:eastAsia="Arial" w:cs="Arial"/>
                <w:sz w:val="16"/>
                <w:szCs w:val="16"/>
              </w:rPr>
              <w:t xml:space="preserve"> and HYM</w:t>
            </w:r>
            <w:r w:rsidRPr="00C87DF7" w:rsidR="00AE2C92">
              <w:rPr>
                <w:rFonts w:eastAsia="Arial" w:cs="Arial"/>
                <w:sz w:val="16"/>
                <w:szCs w:val="16"/>
              </w:rPr>
              <w:t xml:space="preserve"> (</w:t>
            </w:r>
            <w:r w:rsidRPr="00C87DF7" w:rsidR="004C663D">
              <w:rPr>
                <w:rFonts w:eastAsia="Arial" w:cs="Arial"/>
                <w:sz w:val="16"/>
                <w:szCs w:val="16"/>
              </w:rPr>
              <w:t>300</w:t>
            </w:r>
            <w:r w:rsidRPr="00C87DF7" w:rsidR="00AE2C92">
              <w:rPr>
                <w:rFonts w:eastAsia="Arial" w:cs="Arial"/>
                <w:sz w:val="16"/>
                <w:szCs w:val="16"/>
              </w:rPr>
              <w:t> ng/mL cutoff level)</w:t>
            </w:r>
          </w:p>
          <w:p w:rsidRPr="00C87DF7" w:rsidR="00123373" w:rsidP="00A84A19" w:rsidRDefault="00B80F1D" w14:paraId="091735CB" w14:textId="6137B25D">
            <w:pPr>
              <w:pStyle w:val="ListParagraph"/>
              <w:keepNext/>
              <w:keepLines/>
              <w:numPr>
                <w:ilvl w:val="0"/>
                <w:numId w:val="44"/>
              </w:numPr>
              <w:ind w:left="446" w:hanging="446"/>
              <w:contextualSpacing w:val="0"/>
              <w:rPr>
                <w:rFonts w:eastAsia="Arial" w:cs="Arial"/>
                <w:sz w:val="16"/>
                <w:szCs w:val="16"/>
              </w:rPr>
            </w:pPr>
            <w:r w:rsidRPr="00C87DF7">
              <w:rPr>
                <w:rFonts w:eastAsia="Arial" w:cs="Arial"/>
                <w:sz w:val="16"/>
                <w:szCs w:val="16"/>
              </w:rPr>
              <w:t>i</w:t>
            </w:r>
            <w:r w:rsidRPr="00C87DF7" w:rsidR="00123373">
              <w:rPr>
                <w:rFonts w:eastAsia="Arial" w:cs="Arial"/>
                <w:sz w:val="16"/>
                <w:szCs w:val="16"/>
              </w:rPr>
              <w:t>nclude</w:t>
            </w:r>
            <w:r w:rsidRPr="00C87DF7" w:rsidR="00BF4A8E">
              <w:rPr>
                <w:rFonts w:eastAsia="Arial" w:cs="Arial"/>
                <w:sz w:val="16"/>
                <w:szCs w:val="16"/>
              </w:rPr>
              <w:t>s</w:t>
            </w:r>
            <w:r w:rsidRPr="00C87DF7" w:rsidR="00123373">
              <w:rPr>
                <w:rFonts w:eastAsia="Arial" w:cs="Arial"/>
                <w:sz w:val="16"/>
                <w:szCs w:val="16"/>
              </w:rPr>
              <w:t xml:space="preserve"> initial testing for OXYC and OXYM (100 ng/mL cutoff level)</w:t>
            </w:r>
          </w:p>
          <w:p w:rsidRPr="00C87DF7" w:rsidR="00AE2C92" w:rsidP="00A84A19" w:rsidRDefault="00B80F1D" w14:paraId="1E6B241A" w14:textId="21D2ED55">
            <w:pPr>
              <w:pStyle w:val="ListParagraph"/>
              <w:keepNext/>
              <w:keepLines/>
              <w:numPr>
                <w:ilvl w:val="0"/>
                <w:numId w:val="44"/>
              </w:numPr>
              <w:spacing w:after="120"/>
              <w:ind w:hanging="448"/>
              <w:contextualSpacing w:val="0"/>
              <w:rPr>
                <w:rFonts w:eastAsia="Arial" w:cs="Arial"/>
                <w:sz w:val="16"/>
                <w:szCs w:val="16"/>
              </w:rPr>
            </w:pPr>
            <w:r w:rsidRPr="00C87DF7">
              <w:rPr>
                <w:rFonts w:eastAsia="Arial" w:cs="Arial"/>
                <w:sz w:val="16"/>
                <w:szCs w:val="16"/>
              </w:rPr>
              <w:t>i</w:t>
            </w:r>
            <w:r w:rsidRPr="00C87DF7" w:rsidR="00AE2C92">
              <w:rPr>
                <w:rFonts w:eastAsia="Arial" w:cs="Arial"/>
                <w:sz w:val="16"/>
                <w:szCs w:val="16"/>
              </w:rPr>
              <w:t>nclude</w:t>
            </w:r>
            <w:r w:rsidRPr="00C87DF7" w:rsidR="00BF4A8E">
              <w:rPr>
                <w:rFonts w:eastAsia="Arial" w:cs="Arial"/>
                <w:sz w:val="16"/>
                <w:szCs w:val="16"/>
              </w:rPr>
              <w:t>s</w:t>
            </w:r>
            <w:r w:rsidRPr="00C87DF7" w:rsidR="00AE2C92">
              <w:rPr>
                <w:rFonts w:eastAsia="Arial" w:cs="Arial"/>
                <w:sz w:val="16"/>
                <w:szCs w:val="16"/>
              </w:rPr>
              <w:t xml:space="preserve"> confirmatory testing for</w:t>
            </w:r>
            <w:r w:rsidRPr="00C87DF7" w:rsidR="004C663D">
              <w:rPr>
                <w:rFonts w:eastAsia="Arial" w:cs="Arial"/>
                <w:sz w:val="16"/>
                <w:szCs w:val="16"/>
              </w:rPr>
              <w:t xml:space="preserve"> HYC, HYM, OXYC, and OXYM</w:t>
            </w:r>
            <w:r w:rsidRPr="00C87DF7" w:rsidR="0093008A">
              <w:rPr>
                <w:rFonts w:eastAsia="Arial" w:cs="Arial"/>
                <w:sz w:val="16"/>
                <w:szCs w:val="16"/>
              </w:rPr>
              <w:t xml:space="preserve"> </w:t>
            </w:r>
            <w:r w:rsidRPr="00C87DF7" w:rsidR="00AE2C92">
              <w:rPr>
                <w:rFonts w:eastAsia="Arial" w:cs="Arial"/>
                <w:sz w:val="16"/>
                <w:szCs w:val="16"/>
              </w:rPr>
              <w:t>(</w:t>
            </w:r>
            <w:r w:rsidRPr="00C87DF7" w:rsidR="004C663D">
              <w:rPr>
                <w:rFonts w:eastAsia="Arial" w:cs="Arial"/>
                <w:sz w:val="16"/>
                <w:szCs w:val="16"/>
              </w:rPr>
              <w:t>100</w:t>
            </w:r>
            <w:r w:rsidRPr="00C87DF7" w:rsidR="0093008A">
              <w:rPr>
                <w:rFonts w:eastAsia="Arial" w:cs="Arial"/>
                <w:sz w:val="16"/>
                <w:szCs w:val="16"/>
              </w:rPr>
              <w:t> </w:t>
            </w:r>
            <w:r w:rsidRPr="00C87DF7" w:rsidR="00AE2C92">
              <w:rPr>
                <w:rFonts w:eastAsia="Arial" w:cs="Arial"/>
                <w:sz w:val="16"/>
                <w:szCs w:val="16"/>
              </w:rPr>
              <w:t>ng/mL cutoff levels)</w:t>
            </w:r>
          </w:p>
          <w:p w:rsidRPr="00C87DF7" w:rsidR="00AE2C92" w:rsidP="006E5545" w:rsidRDefault="00D17141" w14:paraId="404696B7" w14:textId="772B73D2">
            <w:pPr>
              <w:spacing w:after="120"/>
              <w:rPr>
                <w:rFonts w:eastAsia="Arial" w:cs="Arial"/>
                <w:sz w:val="16"/>
                <w:szCs w:val="16"/>
              </w:rPr>
            </w:pPr>
            <w:r w:rsidRPr="00C87DF7">
              <w:rPr>
                <w:rFonts w:eastAsia="Arial" w:cs="Arial"/>
                <w:sz w:val="16"/>
                <w:szCs w:val="16"/>
              </w:rPr>
              <w:t xml:space="preserve">Testing for the four additional opioids </w:t>
            </w:r>
            <w:r w:rsidRPr="00C87DF7" w:rsidR="00966239">
              <w:rPr>
                <w:rFonts w:eastAsia="Arial" w:cs="Arial"/>
                <w:sz w:val="16"/>
                <w:szCs w:val="16"/>
              </w:rPr>
              <w:t xml:space="preserve">(i.e., expanded </w:t>
            </w:r>
            <w:r w:rsidRPr="00C87DF7" w:rsidR="008F45F8">
              <w:rPr>
                <w:rFonts w:eastAsia="Arial" w:cs="Arial"/>
                <w:sz w:val="16"/>
                <w:szCs w:val="16"/>
              </w:rPr>
              <w:t xml:space="preserve">opioid </w:t>
            </w:r>
            <w:r w:rsidRPr="00C87DF7" w:rsidR="00966239">
              <w:rPr>
                <w:rFonts w:eastAsia="Arial" w:cs="Arial"/>
                <w:sz w:val="16"/>
                <w:szCs w:val="16"/>
              </w:rPr>
              <w:t>panel</w:t>
            </w:r>
            <w:r w:rsidRPr="00C87DF7" w:rsidR="00103304">
              <w:rPr>
                <w:rFonts w:eastAsia="Arial" w:cs="Arial"/>
                <w:sz w:val="16"/>
                <w:szCs w:val="16"/>
              </w:rPr>
              <w:t xml:space="preserve">) </w:t>
            </w:r>
            <w:r w:rsidRPr="00C87DF7">
              <w:rPr>
                <w:rFonts w:eastAsia="Arial" w:cs="Arial"/>
                <w:sz w:val="16"/>
                <w:szCs w:val="16"/>
              </w:rPr>
              <w:t>enable</w:t>
            </w:r>
            <w:r w:rsidRPr="00C87DF7" w:rsidR="00C56060">
              <w:rPr>
                <w:rFonts w:eastAsia="Arial" w:cs="Arial"/>
                <w:sz w:val="16"/>
                <w:szCs w:val="16"/>
              </w:rPr>
              <w:t>s the</w:t>
            </w:r>
            <w:r w:rsidRPr="00C87DF7">
              <w:rPr>
                <w:rFonts w:eastAsia="Arial" w:cs="Arial"/>
                <w:sz w:val="16"/>
                <w:szCs w:val="16"/>
              </w:rPr>
              <w:t xml:space="preserve"> detection of impairing drugs </w:t>
            </w:r>
            <w:r w:rsidR="007B018A">
              <w:rPr>
                <w:rFonts w:eastAsia="Arial" w:cs="Arial"/>
                <w:sz w:val="16"/>
                <w:szCs w:val="16"/>
              </w:rPr>
              <w:t xml:space="preserve">prevalently </w:t>
            </w:r>
            <w:r w:rsidRPr="00C87DF7">
              <w:rPr>
                <w:rFonts w:eastAsia="Arial" w:cs="Arial"/>
                <w:sz w:val="16"/>
                <w:szCs w:val="16"/>
              </w:rPr>
              <w:t>use</w:t>
            </w:r>
            <w:r w:rsidR="007B018A">
              <w:rPr>
                <w:rFonts w:eastAsia="Arial" w:cs="Arial"/>
                <w:sz w:val="16"/>
                <w:szCs w:val="16"/>
              </w:rPr>
              <w:t>d</w:t>
            </w:r>
            <w:r w:rsidRPr="00C87DF7">
              <w:rPr>
                <w:rFonts w:eastAsia="Arial" w:cs="Arial"/>
                <w:sz w:val="16"/>
                <w:szCs w:val="16"/>
              </w:rPr>
              <w:t xml:space="preserve"> in society.  Testing for these drugs is expected to increase the number of urine specimens identified as containing </w:t>
            </w:r>
            <w:r w:rsidRPr="00C87DF7" w:rsidR="009366B2">
              <w:rPr>
                <w:rFonts w:eastAsia="Arial" w:cs="Arial"/>
                <w:sz w:val="16"/>
                <w:szCs w:val="16"/>
              </w:rPr>
              <w:t>HYC, HYM, OXYC</w:t>
            </w:r>
            <w:r w:rsidRPr="00C87DF7">
              <w:rPr>
                <w:rFonts w:eastAsia="Arial" w:cs="Arial"/>
                <w:sz w:val="16"/>
                <w:szCs w:val="16"/>
              </w:rPr>
              <w:t xml:space="preserve">, or </w:t>
            </w:r>
            <w:r w:rsidRPr="00C87DF7" w:rsidR="00073BC5">
              <w:rPr>
                <w:rFonts w:eastAsia="Arial" w:cs="Arial"/>
                <w:sz w:val="16"/>
                <w:szCs w:val="16"/>
              </w:rPr>
              <w:t>OXYM</w:t>
            </w:r>
            <w:r w:rsidRPr="00C87DF7" w:rsidR="00B80F1D">
              <w:rPr>
                <w:rFonts w:eastAsia="Arial" w:cs="Arial"/>
                <w:sz w:val="16"/>
                <w:szCs w:val="16"/>
              </w:rPr>
              <w:t>, or a combination of these</w:t>
            </w:r>
            <w:r w:rsidRPr="00C87DF7">
              <w:rPr>
                <w:rFonts w:eastAsia="Arial" w:cs="Arial"/>
                <w:sz w:val="16"/>
                <w:szCs w:val="16"/>
              </w:rPr>
              <w:t>.  The rule change</w:t>
            </w:r>
            <w:r w:rsidRPr="00C87DF7" w:rsidR="003D2A7B">
              <w:rPr>
                <w:rFonts w:eastAsia="Arial" w:cs="Arial"/>
                <w:sz w:val="16"/>
                <w:szCs w:val="16"/>
              </w:rPr>
              <w:t>s</w:t>
            </w:r>
            <w:r w:rsidRPr="00C87DF7">
              <w:rPr>
                <w:rFonts w:eastAsia="Arial" w:cs="Arial"/>
                <w:sz w:val="16"/>
                <w:szCs w:val="16"/>
              </w:rPr>
              <w:t xml:space="preserve"> also may increase the deterrent effect of the testing program </w:t>
            </w:r>
            <w:r w:rsidRPr="00C87DF7" w:rsidR="003D2A7B">
              <w:rPr>
                <w:rFonts w:eastAsia="Arial" w:cs="Arial"/>
                <w:sz w:val="16"/>
                <w:szCs w:val="16"/>
              </w:rPr>
              <w:t xml:space="preserve">under 10 CFR Part 26 </w:t>
            </w:r>
            <w:r w:rsidRPr="00C87DF7">
              <w:rPr>
                <w:rFonts w:eastAsia="Arial" w:cs="Arial"/>
                <w:sz w:val="16"/>
                <w:szCs w:val="16"/>
              </w:rPr>
              <w:t>by including these additional substances in the testing panel.</w:t>
            </w:r>
          </w:p>
          <w:p w:rsidRPr="00C87DF7" w:rsidR="00AE2C92" w:rsidP="005C5A7C" w:rsidRDefault="0003259A" w14:paraId="6F10BCAD" w14:textId="33CCDFD5">
            <w:pPr>
              <w:spacing w:after="120"/>
              <w:rPr>
                <w:rFonts w:cs="Arial"/>
                <w:sz w:val="16"/>
                <w:szCs w:val="16"/>
              </w:rPr>
            </w:pPr>
            <w:r w:rsidRPr="00C87DF7">
              <w:rPr>
                <w:rFonts w:eastAsia="Arial" w:cs="Arial"/>
                <w:sz w:val="16"/>
                <w:szCs w:val="16"/>
              </w:rPr>
              <w:t xml:space="preserve">The addition of these four opioids to the testing panel also will result in an increase in the number of </w:t>
            </w:r>
            <w:r w:rsidRPr="00C87DF7" w:rsidR="007E1A13">
              <w:rPr>
                <w:rFonts w:eastAsia="Arial" w:cs="Arial"/>
                <w:sz w:val="16"/>
                <w:szCs w:val="16"/>
              </w:rPr>
              <w:t>BPTSs</w:t>
            </w:r>
            <w:r w:rsidRPr="00C87DF7">
              <w:rPr>
                <w:rFonts w:eastAsia="Arial" w:cs="Arial"/>
                <w:sz w:val="16"/>
                <w:szCs w:val="16"/>
              </w:rPr>
              <w:t xml:space="preserve"> that a licensee or other entity </w:t>
            </w:r>
            <w:r w:rsidRPr="00C87DF7" w:rsidR="004E71B9">
              <w:rPr>
                <w:rFonts w:eastAsia="Arial" w:cs="Arial"/>
                <w:sz w:val="16"/>
                <w:szCs w:val="16"/>
              </w:rPr>
              <w:t>must</w:t>
            </w:r>
            <w:r w:rsidRPr="00C87DF7">
              <w:rPr>
                <w:rFonts w:eastAsia="Arial" w:cs="Arial"/>
                <w:sz w:val="16"/>
                <w:szCs w:val="16"/>
              </w:rPr>
              <w:t xml:space="preserve"> submit to each HHS-certified laboratory that it maintains under contract.  One </w:t>
            </w:r>
            <w:r w:rsidRPr="00C87DF7" w:rsidR="006E5545">
              <w:rPr>
                <w:rFonts w:eastAsia="Arial" w:cs="Arial"/>
                <w:sz w:val="16"/>
                <w:szCs w:val="16"/>
              </w:rPr>
              <w:t xml:space="preserve">BPTS </w:t>
            </w:r>
            <w:r w:rsidRPr="00C87DF7" w:rsidR="000375BD">
              <w:rPr>
                <w:rFonts w:eastAsia="Arial" w:cs="Arial"/>
                <w:sz w:val="16"/>
                <w:szCs w:val="16"/>
              </w:rPr>
              <w:t>will</w:t>
            </w:r>
            <w:r w:rsidRPr="00C87DF7" w:rsidR="006E5545">
              <w:rPr>
                <w:rFonts w:eastAsia="Arial" w:cs="Arial"/>
                <w:sz w:val="16"/>
                <w:szCs w:val="16"/>
              </w:rPr>
              <w:t xml:space="preserve"> be submitted </w:t>
            </w:r>
            <w:r w:rsidRPr="00C87DF7" w:rsidR="00CC26A9">
              <w:rPr>
                <w:rFonts w:eastAsia="Arial" w:cs="Arial"/>
                <w:sz w:val="16"/>
                <w:szCs w:val="16"/>
              </w:rPr>
              <w:t>each quarter for</w:t>
            </w:r>
            <w:r w:rsidRPr="00C87DF7" w:rsidR="006E5545">
              <w:rPr>
                <w:rFonts w:eastAsia="Arial" w:cs="Arial"/>
                <w:sz w:val="16"/>
                <w:szCs w:val="16"/>
              </w:rPr>
              <w:t xml:space="preserve"> </w:t>
            </w:r>
            <w:r w:rsidRPr="00C87DF7" w:rsidR="00CC26A9">
              <w:rPr>
                <w:rFonts w:eastAsia="Arial" w:cs="Arial"/>
                <w:sz w:val="16"/>
                <w:szCs w:val="16"/>
              </w:rPr>
              <w:t xml:space="preserve">OXYC/OXYM and one for </w:t>
            </w:r>
            <w:r w:rsidRPr="00C87DF7" w:rsidR="001F73E0">
              <w:rPr>
                <w:rFonts w:eastAsia="Arial" w:cs="Arial"/>
                <w:sz w:val="16"/>
                <w:szCs w:val="16"/>
              </w:rPr>
              <w:t>HYC/HYM</w:t>
            </w:r>
            <w:r w:rsidRPr="00C87DF7" w:rsidR="00664A3B">
              <w:rPr>
                <w:rFonts w:eastAsia="Arial" w:cs="Arial"/>
                <w:sz w:val="16"/>
                <w:szCs w:val="16"/>
              </w:rPr>
              <w:t xml:space="preserve"> to meet the existing requirements in </w:t>
            </w:r>
            <w:r w:rsidRPr="00C87DF7" w:rsidR="00DF07BD">
              <w:rPr>
                <w:rFonts w:eastAsia="Arial" w:cs="Arial"/>
                <w:sz w:val="16"/>
                <w:szCs w:val="16"/>
              </w:rPr>
              <w:t>10 CFR</w:t>
            </w:r>
            <w:r w:rsidRPr="00C87DF7" w:rsidR="00664A3B">
              <w:rPr>
                <w:rFonts w:eastAsia="Arial" w:cs="Arial"/>
                <w:sz w:val="16"/>
                <w:szCs w:val="16"/>
              </w:rPr>
              <w:t> 26.168</w:t>
            </w:r>
            <w:r w:rsidRPr="00C87DF7" w:rsidR="00AB4E14">
              <w:rPr>
                <w:rFonts w:eastAsia="Arial" w:cs="Arial"/>
                <w:sz w:val="16"/>
                <w:szCs w:val="16"/>
              </w:rPr>
              <w:t>, “Blind performance testing</w:t>
            </w:r>
            <w:r w:rsidRPr="00C87DF7" w:rsidR="001F73E0">
              <w:rPr>
                <w:rFonts w:eastAsia="Arial" w:cs="Arial"/>
                <w:sz w:val="16"/>
                <w:szCs w:val="16"/>
              </w:rPr>
              <w:t>.</w:t>
            </w:r>
            <w:r w:rsidRPr="00C87DF7" w:rsidR="00AB4E14">
              <w:rPr>
                <w:rFonts w:eastAsia="Arial" w:cs="Arial"/>
                <w:sz w:val="16"/>
                <w:szCs w:val="16"/>
              </w:rPr>
              <w:t>”</w:t>
            </w:r>
          </w:p>
        </w:tc>
      </w:tr>
      <w:tr w:rsidRPr="00C87DF7" w:rsidR="00AE2C92" w:rsidTr="00BE20C7" w14:paraId="35B8C001" w14:textId="77777777">
        <w:trPr>
          <w:jc w:val="center"/>
        </w:trPr>
        <w:tc>
          <w:tcPr>
            <w:tcW w:w="2155" w:type="dxa"/>
            <w:shd w:val="clear" w:color="auto" w:fill="D9D9D9" w:themeFill="background1" w:themeFillShade="D9"/>
            <w:tcMar>
              <w:left w:w="58" w:type="dxa"/>
              <w:right w:w="58" w:type="dxa"/>
            </w:tcMar>
            <w:vAlign w:val="center"/>
          </w:tcPr>
          <w:p w:rsidRPr="00C87DF7" w:rsidR="00AE2C92" w:rsidP="00E54398" w:rsidRDefault="00AE2C92" w14:paraId="0E0F0A6A" w14:textId="77777777">
            <w:pPr>
              <w:jc w:val="center"/>
              <w:rPr>
                <w:rFonts w:cs="Arial"/>
                <w:b/>
                <w:i/>
                <w:sz w:val="16"/>
                <w:szCs w:val="16"/>
              </w:rPr>
            </w:pPr>
            <w:r w:rsidRPr="00C87DF7">
              <w:rPr>
                <w:rFonts w:cs="Arial"/>
                <w:b/>
                <w:i/>
                <w:sz w:val="16"/>
                <w:szCs w:val="16"/>
              </w:rPr>
              <w:t>Activity</w:t>
            </w:r>
          </w:p>
        </w:tc>
        <w:tc>
          <w:tcPr>
            <w:tcW w:w="3605" w:type="dxa"/>
            <w:shd w:val="clear" w:color="auto" w:fill="D9D9D9" w:themeFill="background1" w:themeFillShade="D9"/>
            <w:tcMar>
              <w:left w:w="58" w:type="dxa"/>
              <w:right w:w="58" w:type="dxa"/>
            </w:tcMar>
            <w:vAlign w:val="center"/>
          </w:tcPr>
          <w:p w:rsidRPr="00C87DF7" w:rsidR="00AE2C92" w:rsidP="00E54398" w:rsidRDefault="00AE2C92" w14:paraId="720F2C97" w14:textId="77777777">
            <w:pPr>
              <w:jc w:val="center"/>
              <w:rPr>
                <w:rFonts w:cs="Arial"/>
                <w:b/>
                <w:i/>
                <w:sz w:val="16"/>
                <w:szCs w:val="16"/>
              </w:rPr>
            </w:pPr>
            <w:r w:rsidRPr="00C87DF7">
              <w:rPr>
                <w:rFonts w:cs="Arial"/>
                <w:b/>
                <w:i/>
                <w:sz w:val="16"/>
                <w:szCs w:val="16"/>
              </w:rPr>
              <w:t>Parameter</w:t>
            </w:r>
          </w:p>
        </w:tc>
        <w:tc>
          <w:tcPr>
            <w:tcW w:w="720" w:type="dxa"/>
            <w:shd w:val="clear" w:color="auto" w:fill="D9D9D9" w:themeFill="background1" w:themeFillShade="D9"/>
            <w:tcMar>
              <w:left w:w="58" w:type="dxa"/>
              <w:right w:w="58" w:type="dxa"/>
            </w:tcMar>
            <w:vAlign w:val="center"/>
          </w:tcPr>
          <w:p w:rsidRPr="00C87DF7" w:rsidR="00AE2C92" w:rsidP="00E54398" w:rsidRDefault="00AE2C92" w14:paraId="4B2EA3E0" w14:textId="77777777">
            <w:pPr>
              <w:jc w:val="center"/>
              <w:rPr>
                <w:rFonts w:cs="Arial"/>
                <w:b/>
                <w:i/>
                <w:sz w:val="16"/>
                <w:szCs w:val="16"/>
              </w:rPr>
            </w:pPr>
            <w:r w:rsidRPr="00C87DF7">
              <w:rPr>
                <w:rFonts w:cs="Arial"/>
                <w:b/>
                <w:i/>
                <w:sz w:val="16"/>
                <w:szCs w:val="16"/>
              </w:rPr>
              <w:t>Value</w:t>
            </w:r>
          </w:p>
        </w:tc>
        <w:tc>
          <w:tcPr>
            <w:tcW w:w="900" w:type="dxa"/>
            <w:shd w:val="clear" w:color="auto" w:fill="D9D9D9" w:themeFill="background1" w:themeFillShade="D9"/>
            <w:tcMar>
              <w:left w:w="58" w:type="dxa"/>
              <w:right w:w="58" w:type="dxa"/>
            </w:tcMar>
            <w:vAlign w:val="center"/>
          </w:tcPr>
          <w:p w:rsidRPr="00C87DF7" w:rsidR="00AE2C92" w:rsidP="00E54398" w:rsidRDefault="00AE2C92" w14:paraId="5751AE80" w14:textId="77777777">
            <w:pPr>
              <w:jc w:val="center"/>
              <w:rPr>
                <w:rFonts w:cs="Arial"/>
                <w:b/>
                <w:i/>
                <w:sz w:val="16"/>
                <w:szCs w:val="16"/>
              </w:rPr>
            </w:pPr>
            <w:r w:rsidRPr="00C87DF7">
              <w:rPr>
                <w:rFonts w:cs="Arial"/>
                <w:b/>
                <w:i/>
                <w:sz w:val="16"/>
                <w:szCs w:val="16"/>
              </w:rPr>
              <w:t>Benefits (Cost)</w:t>
            </w:r>
          </w:p>
        </w:tc>
        <w:tc>
          <w:tcPr>
            <w:tcW w:w="900" w:type="dxa"/>
            <w:shd w:val="clear" w:color="auto" w:fill="D9D9D9" w:themeFill="background1" w:themeFillShade="D9"/>
            <w:tcMar>
              <w:left w:w="58" w:type="dxa"/>
              <w:right w:w="58" w:type="dxa"/>
            </w:tcMar>
            <w:vAlign w:val="center"/>
          </w:tcPr>
          <w:p w:rsidRPr="00C87DF7" w:rsidR="00AE2C92" w:rsidP="00E54398" w:rsidRDefault="00AE2C92" w14:paraId="73A05471" w14:textId="77777777">
            <w:pPr>
              <w:jc w:val="center"/>
              <w:rPr>
                <w:rFonts w:cs="Arial"/>
                <w:b/>
                <w:i/>
                <w:sz w:val="16"/>
                <w:szCs w:val="16"/>
              </w:rPr>
            </w:pPr>
            <w:r w:rsidRPr="00C87DF7">
              <w:rPr>
                <w:rFonts w:cs="Arial"/>
                <w:b/>
                <w:i/>
                <w:sz w:val="16"/>
                <w:szCs w:val="16"/>
              </w:rPr>
              <w:t>Sites Affected</w:t>
            </w:r>
          </w:p>
        </w:tc>
        <w:tc>
          <w:tcPr>
            <w:tcW w:w="1080" w:type="dxa"/>
            <w:shd w:val="clear" w:color="auto" w:fill="D9D9D9" w:themeFill="background1" w:themeFillShade="D9"/>
            <w:tcMar>
              <w:left w:w="58" w:type="dxa"/>
              <w:right w:w="58" w:type="dxa"/>
            </w:tcMar>
            <w:vAlign w:val="center"/>
          </w:tcPr>
          <w:p w:rsidRPr="00C87DF7" w:rsidR="00AE2C92" w:rsidP="00E54398" w:rsidRDefault="00AE2C92" w14:paraId="68D45B20" w14:textId="77777777">
            <w:pPr>
              <w:jc w:val="center"/>
              <w:rPr>
                <w:rFonts w:cs="Arial"/>
                <w:b/>
                <w:i/>
                <w:sz w:val="16"/>
                <w:szCs w:val="16"/>
              </w:rPr>
            </w:pPr>
            <w:r w:rsidRPr="00C87DF7">
              <w:rPr>
                <w:rFonts w:cs="Arial"/>
                <w:b/>
                <w:i/>
                <w:sz w:val="16"/>
                <w:szCs w:val="16"/>
              </w:rPr>
              <w:t>Total Benefits (Costs)</w:t>
            </w:r>
          </w:p>
        </w:tc>
      </w:tr>
      <w:tr w:rsidRPr="00C87DF7" w:rsidR="00AE2C92" w:rsidTr="00E54398" w14:paraId="2F3ACC79" w14:textId="77777777">
        <w:trPr>
          <w:jc w:val="center"/>
        </w:trPr>
        <w:tc>
          <w:tcPr>
            <w:tcW w:w="9360" w:type="dxa"/>
            <w:gridSpan w:val="6"/>
            <w:shd w:val="clear" w:color="auto" w:fill="D9D9D9" w:themeFill="background1" w:themeFillShade="D9"/>
            <w:tcMar>
              <w:left w:w="58" w:type="dxa"/>
              <w:right w:w="58" w:type="dxa"/>
            </w:tcMar>
            <w:vAlign w:val="center"/>
          </w:tcPr>
          <w:p w:rsidRPr="00C87DF7" w:rsidR="00AE2C92" w:rsidP="00E54398" w:rsidRDefault="00AE2C92" w14:paraId="0BAAB6FD" w14:textId="77777777">
            <w:pPr>
              <w:rPr>
                <w:rFonts w:cs="Arial"/>
                <w:sz w:val="16"/>
                <w:szCs w:val="16"/>
              </w:rPr>
            </w:pPr>
            <w:r w:rsidRPr="00C87DF7">
              <w:rPr>
                <w:rFonts w:eastAsia="Arial" w:cs="Arial"/>
                <w:b/>
                <w:bCs/>
                <w:sz w:val="16"/>
                <w:szCs w:val="16"/>
              </w:rPr>
              <w:t>INDU</w:t>
            </w:r>
            <w:r w:rsidRPr="003E4208">
              <w:rPr>
                <w:rFonts w:eastAsia="Arial"/>
                <w:b/>
                <w:sz w:val="16"/>
              </w:rPr>
              <w:t>STR</w:t>
            </w:r>
            <w:r w:rsidRPr="00C87DF7">
              <w:rPr>
                <w:rFonts w:eastAsia="Arial" w:cs="Arial"/>
                <w:b/>
                <w:bCs/>
                <w:sz w:val="16"/>
                <w:szCs w:val="16"/>
              </w:rPr>
              <w:t>Y</w:t>
            </w:r>
            <w:r w:rsidRPr="003E4208">
              <w:rPr>
                <w:rFonts w:eastAsia="Arial"/>
                <w:b/>
                <w:sz w:val="16"/>
              </w:rPr>
              <w:t xml:space="preserve"> </w:t>
            </w:r>
            <w:r w:rsidRPr="00C87DF7">
              <w:rPr>
                <w:rFonts w:eastAsia="Arial" w:cs="Arial"/>
                <w:b/>
                <w:bCs/>
                <w:sz w:val="16"/>
                <w:szCs w:val="16"/>
              </w:rPr>
              <w:t>OPE</w:t>
            </w:r>
            <w:r w:rsidRPr="003E4208">
              <w:rPr>
                <w:rFonts w:eastAsia="Arial"/>
                <w:b/>
                <w:sz w:val="16"/>
              </w:rPr>
              <w:t>RA</w:t>
            </w:r>
            <w:r w:rsidRPr="00C87DF7">
              <w:rPr>
                <w:rFonts w:eastAsia="Arial" w:cs="Arial"/>
                <w:b/>
                <w:bCs/>
                <w:sz w:val="16"/>
                <w:szCs w:val="16"/>
              </w:rPr>
              <w:t>T</w:t>
            </w:r>
            <w:r w:rsidRPr="003E4208">
              <w:rPr>
                <w:rFonts w:eastAsia="Arial"/>
                <w:b/>
                <w:sz w:val="16"/>
              </w:rPr>
              <w:t>I</w:t>
            </w:r>
            <w:r w:rsidRPr="00C87DF7">
              <w:rPr>
                <w:rFonts w:eastAsia="Arial" w:cs="Arial"/>
                <w:b/>
                <w:bCs/>
                <w:sz w:val="16"/>
                <w:szCs w:val="16"/>
              </w:rPr>
              <w:t>ONS</w:t>
            </w:r>
            <w:r w:rsidRPr="003E4208">
              <w:rPr>
                <w:rFonts w:eastAsia="Arial"/>
                <w:b/>
                <w:sz w:val="16"/>
              </w:rPr>
              <w:t xml:space="preserve"> (ANNUAL)</w:t>
            </w:r>
          </w:p>
        </w:tc>
      </w:tr>
      <w:tr w:rsidRPr="00C87DF7" w:rsidR="00AE2C92" w:rsidTr="00E54398" w14:paraId="3BDD13AD" w14:textId="77777777">
        <w:trPr>
          <w:jc w:val="center"/>
        </w:trPr>
        <w:tc>
          <w:tcPr>
            <w:tcW w:w="9360" w:type="dxa"/>
            <w:gridSpan w:val="6"/>
            <w:tcMar>
              <w:left w:w="58" w:type="dxa"/>
              <w:right w:w="58" w:type="dxa"/>
            </w:tcMar>
            <w:vAlign w:val="center"/>
          </w:tcPr>
          <w:p w:rsidRPr="00C87DF7" w:rsidR="00AE2C92" w:rsidP="00E54398" w:rsidRDefault="003213DA" w14:paraId="7DC2F926" w14:textId="6D5D636D">
            <w:pPr>
              <w:rPr>
                <w:rFonts w:cs="Arial"/>
                <w:sz w:val="16"/>
                <w:szCs w:val="16"/>
              </w:rPr>
            </w:pPr>
            <w:r w:rsidRPr="003E4208">
              <w:rPr>
                <w:rFonts w:eastAsia="Arial"/>
                <w:b/>
                <w:sz w:val="16"/>
              </w:rPr>
              <w:t>Hydrocodone, Hydromorphone, Oxycodone, and Oxymorphone</w:t>
            </w:r>
          </w:p>
        </w:tc>
      </w:tr>
      <w:tr w:rsidRPr="00C87DF7" w:rsidR="00AE2C92" w:rsidTr="00BC4B73" w14:paraId="2A667891" w14:textId="77777777">
        <w:trPr>
          <w:trHeight w:val="215"/>
          <w:jc w:val="center"/>
        </w:trPr>
        <w:tc>
          <w:tcPr>
            <w:tcW w:w="2155" w:type="dxa"/>
            <w:vMerge w:val="restart"/>
            <w:tcMar>
              <w:left w:w="115" w:type="dxa"/>
              <w:right w:w="115" w:type="dxa"/>
            </w:tcMar>
            <w:vAlign w:val="center"/>
          </w:tcPr>
          <w:p w:rsidRPr="00C87DF7" w:rsidR="00AE2C92" w:rsidP="00E54398" w:rsidRDefault="003213DA" w14:paraId="2B48AAD7" w14:textId="45377AD0">
            <w:pPr>
              <w:ind w:left="88" w:right="68"/>
              <w:rPr>
                <w:rFonts w:cs="Arial"/>
                <w:sz w:val="16"/>
                <w:szCs w:val="16"/>
              </w:rPr>
            </w:pPr>
            <w:r w:rsidRPr="003E4208">
              <w:rPr>
                <w:rFonts w:eastAsia="Arial"/>
                <w:sz w:val="16"/>
              </w:rPr>
              <w:t>I</w:t>
            </w:r>
            <w:r w:rsidRPr="003E4208" w:rsidR="00AE2C92">
              <w:rPr>
                <w:rFonts w:eastAsia="Arial"/>
                <w:sz w:val="16"/>
              </w:rPr>
              <w:t>ni</w:t>
            </w:r>
            <w:r w:rsidRPr="00C87DF7" w:rsidR="00AE2C92">
              <w:rPr>
                <w:rFonts w:eastAsia="Arial" w:cs="Arial"/>
                <w:sz w:val="16"/>
                <w:szCs w:val="16"/>
              </w:rPr>
              <w:t>t</w:t>
            </w:r>
            <w:r w:rsidRPr="003E4208" w:rsidR="00AE2C92">
              <w:rPr>
                <w:rFonts w:eastAsia="Arial"/>
                <w:sz w:val="16"/>
              </w:rPr>
              <w:t>ia</w:t>
            </w:r>
            <w:r w:rsidRPr="00C87DF7" w:rsidR="00AE2C92">
              <w:rPr>
                <w:rFonts w:eastAsia="Arial" w:cs="Arial"/>
                <w:sz w:val="16"/>
                <w:szCs w:val="16"/>
              </w:rPr>
              <w:t>l</w:t>
            </w:r>
            <w:r w:rsidRPr="003E4208" w:rsidR="00AE2C92">
              <w:rPr>
                <w:rFonts w:eastAsia="Arial"/>
                <w:sz w:val="16"/>
              </w:rPr>
              <w:t xml:space="preserve"> </w:t>
            </w:r>
            <w:r w:rsidRPr="00C87DF7" w:rsidR="00AE2C92">
              <w:rPr>
                <w:rFonts w:eastAsia="Arial" w:cs="Arial"/>
                <w:sz w:val="16"/>
                <w:szCs w:val="16"/>
              </w:rPr>
              <w:t>tes</w:t>
            </w:r>
            <w:r w:rsidRPr="003E4208" w:rsidR="00AE2C92">
              <w:rPr>
                <w:rFonts w:eastAsia="Arial"/>
                <w:sz w:val="16"/>
              </w:rPr>
              <w:t>tin</w:t>
            </w:r>
            <w:r w:rsidRPr="00C87DF7" w:rsidR="00AE2C92">
              <w:rPr>
                <w:rFonts w:eastAsia="Arial" w:cs="Arial"/>
                <w:sz w:val="16"/>
                <w:szCs w:val="16"/>
              </w:rPr>
              <w:t>g</w:t>
            </w:r>
            <w:r w:rsidRPr="003E4208" w:rsidR="00AE2C92">
              <w:rPr>
                <w:rFonts w:eastAsia="Arial"/>
                <w:sz w:val="16"/>
              </w:rPr>
              <w:t xml:space="preserve"> </w:t>
            </w:r>
            <w:r w:rsidRPr="003E4208">
              <w:rPr>
                <w:rFonts w:eastAsia="Arial"/>
                <w:sz w:val="16"/>
              </w:rPr>
              <w:t xml:space="preserve">for </w:t>
            </w:r>
            <w:r w:rsidRPr="003E4208" w:rsidR="00966239">
              <w:rPr>
                <w:rFonts w:eastAsia="Arial"/>
                <w:sz w:val="16"/>
              </w:rPr>
              <w:t xml:space="preserve">expanded </w:t>
            </w:r>
            <w:r w:rsidRPr="003E4208">
              <w:rPr>
                <w:rFonts w:eastAsia="Arial"/>
                <w:sz w:val="16"/>
              </w:rPr>
              <w:t>opioid</w:t>
            </w:r>
            <w:r w:rsidRPr="003E4208" w:rsidR="008F45F8">
              <w:rPr>
                <w:rFonts w:eastAsia="Arial"/>
                <w:sz w:val="16"/>
              </w:rPr>
              <w:t xml:space="preserve"> panel</w:t>
            </w:r>
            <w:r w:rsidRPr="003E4208" w:rsidR="000130E0">
              <w:rPr>
                <w:rFonts w:eastAsia="Arial"/>
                <w:sz w:val="16"/>
              </w:rPr>
              <w:t xml:space="preserve"> </w:t>
            </w:r>
            <w:r w:rsidRPr="003E4208" w:rsidR="00AE2C92">
              <w:rPr>
                <w:rFonts w:eastAsia="Arial"/>
                <w:sz w:val="16"/>
              </w:rPr>
              <w:br/>
            </w:r>
            <w:r w:rsidRPr="00C87DF7" w:rsidR="00AE2C92">
              <w:rPr>
                <w:rFonts w:eastAsia="Arial" w:cs="Arial"/>
                <w:sz w:val="16"/>
                <w:szCs w:val="16"/>
              </w:rPr>
              <w:t>(s</w:t>
            </w:r>
            <w:r w:rsidRPr="003E4208" w:rsidR="00AE2C92">
              <w:rPr>
                <w:rFonts w:eastAsia="Arial"/>
                <w:sz w:val="16"/>
              </w:rPr>
              <w:t>i</w:t>
            </w:r>
            <w:r w:rsidRPr="00C87DF7" w:rsidR="00AE2C92">
              <w:rPr>
                <w:rFonts w:eastAsia="Arial" w:cs="Arial"/>
                <w:sz w:val="16"/>
                <w:szCs w:val="16"/>
              </w:rPr>
              <w:t>tes</w:t>
            </w:r>
            <w:r w:rsidRPr="003E4208" w:rsidR="00AE2C92">
              <w:rPr>
                <w:rFonts w:eastAsia="Arial"/>
                <w:sz w:val="16"/>
              </w:rPr>
              <w:t xml:space="preserve"> u</w:t>
            </w:r>
            <w:r w:rsidRPr="00C87DF7" w:rsidR="00AE2C92">
              <w:rPr>
                <w:rFonts w:eastAsia="Arial" w:cs="Arial"/>
                <w:sz w:val="16"/>
                <w:szCs w:val="16"/>
              </w:rPr>
              <w:t>s</w:t>
            </w:r>
            <w:r w:rsidRPr="003E4208" w:rsidR="00AE2C92">
              <w:rPr>
                <w:rFonts w:eastAsia="Arial"/>
                <w:sz w:val="16"/>
              </w:rPr>
              <w:t>in</w:t>
            </w:r>
            <w:r w:rsidRPr="00C87DF7" w:rsidR="00AE2C92">
              <w:rPr>
                <w:rFonts w:eastAsia="Arial" w:cs="Arial"/>
                <w:sz w:val="16"/>
                <w:szCs w:val="16"/>
              </w:rPr>
              <w:t>g</w:t>
            </w:r>
            <w:r w:rsidRPr="003E4208" w:rsidR="00AE2C92">
              <w:rPr>
                <w:rFonts w:eastAsia="Arial"/>
                <w:sz w:val="16"/>
              </w:rPr>
              <w:t xml:space="preserve"> LTF</w:t>
            </w:r>
            <w:r w:rsidRPr="00C87DF7" w:rsidR="00AE2C92">
              <w:rPr>
                <w:rFonts w:eastAsia="Arial" w:cs="Arial"/>
                <w:sz w:val="16"/>
                <w:szCs w:val="16"/>
              </w:rPr>
              <w:t>s)</w:t>
            </w:r>
          </w:p>
        </w:tc>
        <w:tc>
          <w:tcPr>
            <w:tcW w:w="3605" w:type="dxa"/>
            <w:tcBorders>
              <w:bottom w:val="single" w:color="auto" w:sz="4" w:space="0"/>
            </w:tcBorders>
            <w:tcMar>
              <w:left w:w="58" w:type="dxa"/>
              <w:right w:w="58" w:type="dxa"/>
            </w:tcMar>
            <w:vAlign w:val="center"/>
          </w:tcPr>
          <w:p w:rsidRPr="00C87DF7" w:rsidR="00AE2C92" w:rsidP="00E54398" w:rsidRDefault="00AE2C92" w14:paraId="1DCECF87" w14:textId="77777777">
            <w:pPr>
              <w:rPr>
                <w:rFonts w:cs="Arial"/>
                <w:sz w:val="16"/>
                <w:szCs w:val="16"/>
              </w:rPr>
            </w:pPr>
            <w:r w:rsidRPr="00C87DF7">
              <w:rPr>
                <w:rFonts w:cs="Arial"/>
                <w:sz w:val="16"/>
                <w:szCs w:val="16"/>
              </w:rPr>
              <w:t>Number of drug tests conducted per site per year under 10 CFR Part 26</w:t>
            </w:r>
          </w:p>
        </w:tc>
        <w:tc>
          <w:tcPr>
            <w:tcW w:w="720" w:type="dxa"/>
            <w:tcBorders>
              <w:bottom w:val="single" w:color="auto" w:sz="4" w:space="0"/>
            </w:tcBorders>
            <w:shd w:val="clear" w:color="auto" w:fill="auto"/>
            <w:tcMar>
              <w:left w:w="58" w:type="dxa"/>
              <w:right w:w="58" w:type="dxa"/>
            </w:tcMar>
            <w:vAlign w:val="center"/>
          </w:tcPr>
          <w:p w:rsidRPr="00C87DF7" w:rsidR="00AE2C92" w:rsidP="00E54398" w:rsidRDefault="00674842" w14:paraId="21FC2438" w14:textId="388534E1">
            <w:pPr>
              <w:jc w:val="right"/>
              <w:rPr>
                <w:rFonts w:cs="Arial"/>
                <w:sz w:val="16"/>
                <w:szCs w:val="16"/>
              </w:rPr>
            </w:pPr>
            <w:r w:rsidRPr="00C87DF7">
              <w:rPr>
                <w:rFonts w:cs="Arial"/>
                <w:sz w:val="16"/>
                <w:szCs w:val="16"/>
              </w:rPr>
              <w:t>2,257</w:t>
            </w:r>
          </w:p>
        </w:tc>
        <w:tc>
          <w:tcPr>
            <w:tcW w:w="900" w:type="dxa"/>
            <w:tcBorders>
              <w:bottom w:val="single" w:color="auto" w:sz="4" w:space="0"/>
            </w:tcBorders>
            <w:shd w:val="clear" w:color="auto" w:fill="auto"/>
            <w:tcMar>
              <w:left w:w="58" w:type="dxa"/>
              <w:right w:w="58" w:type="dxa"/>
            </w:tcMar>
            <w:vAlign w:val="center"/>
          </w:tcPr>
          <w:p w:rsidRPr="00C87DF7" w:rsidR="00AE2C92" w:rsidP="00E54398" w:rsidRDefault="00AE2C92" w14:paraId="61063855" w14:textId="3B1C976C">
            <w:pPr>
              <w:jc w:val="right"/>
              <w:rPr>
                <w:rFonts w:cs="Arial"/>
                <w:sz w:val="16"/>
                <w:szCs w:val="16"/>
              </w:rPr>
            </w:pPr>
            <w:r w:rsidRPr="00C87DF7">
              <w:rPr>
                <w:rFonts w:cs="Arial"/>
                <w:sz w:val="16"/>
                <w:szCs w:val="16"/>
              </w:rPr>
              <w:t>($</w:t>
            </w:r>
            <w:r w:rsidRPr="00C87DF7" w:rsidR="00C77266">
              <w:rPr>
                <w:rFonts w:cs="Arial"/>
                <w:sz w:val="16"/>
                <w:szCs w:val="16"/>
              </w:rPr>
              <w:t>8,095</w:t>
            </w:r>
            <w:r w:rsidRPr="00C87DF7">
              <w:rPr>
                <w:rFonts w:cs="Arial"/>
                <w:sz w:val="16"/>
                <w:szCs w:val="16"/>
              </w:rPr>
              <w:t>)</w:t>
            </w:r>
          </w:p>
        </w:tc>
        <w:tc>
          <w:tcPr>
            <w:tcW w:w="900" w:type="dxa"/>
            <w:tcBorders>
              <w:bottom w:val="single" w:color="auto" w:sz="4" w:space="0"/>
            </w:tcBorders>
            <w:shd w:val="clear" w:color="auto" w:fill="auto"/>
            <w:tcMar>
              <w:left w:w="58" w:type="dxa"/>
              <w:right w:w="58" w:type="dxa"/>
            </w:tcMar>
            <w:vAlign w:val="center"/>
          </w:tcPr>
          <w:p w:rsidRPr="00C87DF7" w:rsidR="00AE2C92" w:rsidP="00E54398" w:rsidRDefault="00246BBF" w14:paraId="46ABF35D" w14:textId="78199B3C">
            <w:pPr>
              <w:jc w:val="right"/>
              <w:rPr>
                <w:rFonts w:cs="Arial"/>
                <w:sz w:val="16"/>
                <w:szCs w:val="16"/>
              </w:rPr>
            </w:pPr>
            <w:r w:rsidRPr="00C87DF7">
              <w:rPr>
                <w:rFonts w:cs="Arial"/>
                <w:sz w:val="16"/>
                <w:szCs w:val="16"/>
              </w:rPr>
              <w:t>3</w:t>
            </w:r>
          </w:p>
        </w:tc>
        <w:tc>
          <w:tcPr>
            <w:tcW w:w="1080" w:type="dxa"/>
            <w:tcBorders>
              <w:bottom w:val="single" w:color="auto" w:sz="4" w:space="0"/>
            </w:tcBorders>
            <w:shd w:val="clear" w:color="auto" w:fill="auto"/>
            <w:tcMar>
              <w:left w:w="58" w:type="dxa"/>
              <w:right w:w="58" w:type="dxa"/>
            </w:tcMar>
            <w:vAlign w:val="center"/>
          </w:tcPr>
          <w:p w:rsidRPr="00C87DF7" w:rsidR="00AE2C92" w:rsidP="00E54398" w:rsidRDefault="00AE2C92" w14:paraId="4DA4127F" w14:textId="606E7719">
            <w:pPr>
              <w:jc w:val="right"/>
              <w:rPr>
                <w:rFonts w:cs="Arial"/>
                <w:sz w:val="16"/>
                <w:szCs w:val="16"/>
              </w:rPr>
            </w:pPr>
            <w:r w:rsidRPr="00C87DF7">
              <w:rPr>
                <w:rFonts w:cs="Arial"/>
                <w:sz w:val="16"/>
                <w:szCs w:val="16"/>
              </w:rPr>
              <w:t>($</w:t>
            </w:r>
            <w:r w:rsidRPr="00C87DF7" w:rsidR="00C77266">
              <w:rPr>
                <w:rFonts w:cs="Arial"/>
                <w:sz w:val="16"/>
                <w:szCs w:val="16"/>
              </w:rPr>
              <w:t>24,285</w:t>
            </w:r>
            <w:r w:rsidRPr="00C87DF7">
              <w:rPr>
                <w:rFonts w:cs="Arial"/>
                <w:sz w:val="16"/>
                <w:szCs w:val="16"/>
              </w:rPr>
              <w:t>)</w:t>
            </w:r>
          </w:p>
        </w:tc>
      </w:tr>
      <w:tr w:rsidRPr="00C87DF7" w:rsidR="00AE2C92" w:rsidTr="00BC4B73" w14:paraId="38F2A9FF" w14:textId="77777777">
        <w:trPr>
          <w:trHeight w:val="287"/>
          <w:jc w:val="center"/>
        </w:trPr>
        <w:tc>
          <w:tcPr>
            <w:tcW w:w="2155" w:type="dxa"/>
            <w:vMerge/>
            <w:tcMar>
              <w:left w:w="115" w:type="dxa"/>
              <w:right w:w="115" w:type="dxa"/>
            </w:tcMar>
            <w:vAlign w:val="center"/>
          </w:tcPr>
          <w:p w:rsidRPr="00C87DF7" w:rsidR="00AE2C92" w:rsidP="00E54398" w:rsidRDefault="00AE2C92" w14:paraId="382C11C4" w14:textId="77777777">
            <w:pPr>
              <w:rPr>
                <w:rFonts w:cs="Arial"/>
                <w:sz w:val="16"/>
                <w:szCs w:val="16"/>
              </w:rPr>
            </w:pPr>
          </w:p>
        </w:tc>
        <w:tc>
          <w:tcPr>
            <w:tcW w:w="3605" w:type="dxa"/>
            <w:shd w:val="clear" w:color="auto" w:fill="auto"/>
            <w:tcMar>
              <w:left w:w="58" w:type="dxa"/>
              <w:right w:w="58" w:type="dxa"/>
            </w:tcMar>
            <w:vAlign w:val="center"/>
          </w:tcPr>
          <w:p w:rsidRPr="00C87DF7" w:rsidR="00AE2C92" w:rsidP="00E54398" w:rsidRDefault="00AE2C92" w14:paraId="0DB263CC" w14:textId="77777777">
            <w:pPr>
              <w:rPr>
                <w:rFonts w:cs="Arial"/>
                <w:sz w:val="16"/>
                <w:szCs w:val="16"/>
              </w:rPr>
            </w:pPr>
            <w:r w:rsidRPr="00C87DF7">
              <w:rPr>
                <w:rFonts w:cs="Arial"/>
                <w:sz w:val="16"/>
                <w:szCs w:val="16"/>
              </w:rPr>
              <w:t>Initial testing for one additional drug at an LTF</w:t>
            </w:r>
          </w:p>
        </w:tc>
        <w:tc>
          <w:tcPr>
            <w:tcW w:w="720" w:type="dxa"/>
            <w:tcBorders>
              <w:right w:val="single" w:color="auto" w:sz="4" w:space="0"/>
            </w:tcBorders>
            <w:shd w:val="clear" w:color="auto" w:fill="auto"/>
            <w:tcMar>
              <w:left w:w="58" w:type="dxa"/>
              <w:right w:w="58" w:type="dxa"/>
            </w:tcMar>
            <w:vAlign w:val="center"/>
          </w:tcPr>
          <w:p w:rsidRPr="00C87DF7" w:rsidR="00AE2C92" w:rsidP="00E54398" w:rsidRDefault="00AE2C92" w14:paraId="0FAB498D" w14:textId="25707143">
            <w:pPr>
              <w:jc w:val="right"/>
              <w:rPr>
                <w:rFonts w:cs="Arial"/>
                <w:sz w:val="16"/>
                <w:szCs w:val="16"/>
              </w:rPr>
            </w:pPr>
            <w:r w:rsidRPr="00C87DF7">
              <w:rPr>
                <w:rFonts w:cs="Arial"/>
                <w:sz w:val="16"/>
                <w:szCs w:val="16"/>
              </w:rPr>
              <w:t>$</w:t>
            </w:r>
            <w:r w:rsidRPr="00C87DF7" w:rsidR="0026020E">
              <w:rPr>
                <w:rFonts w:cs="Arial"/>
                <w:sz w:val="16"/>
                <w:szCs w:val="16"/>
              </w:rPr>
              <w:t>3.59</w:t>
            </w:r>
          </w:p>
        </w:tc>
        <w:tc>
          <w:tcPr>
            <w:tcW w:w="900" w:type="dxa"/>
            <w:tcBorders>
              <w:top w:val="single" w:color="auto" w:sz="4" w:space="0"/>
              <w:left w:val="single" w:color="auto" w:sz="4" w:space="0"/>
              <w:bottom w:val="single" w:color="auto" w:sz="4" w:space="0"/>
              <w:right w:val="nil"/>
            </w:tcBorders>
            <w:shd w:val="clear" w:color="auto" w:fill="auto"/>
            <w:tcMar>
              <w:left w:w="58" w:type="dxa"/>
              <w:right w:w="58" w:type="dxa"/>
            </w:tcMar>
            <w:vAlign w:val="center"/>
          </w:tcPr>
          <w:p w:rsidRPr="00C87DF7" w:rsidR="00AE2C92" w:rsidP="00E54398" w:rsidRDefault="00AE2C92" w14:paraId="393161CB" w14:textId="77777777">
            <w:pPr>
              <w:jc w:val="right"/>
              <w:rPr>
                <w:rFonts w:cs="Arial"/>
                <w:sz w:val="16"/>
                <w:szCs w:val="16"/>
              </w:rPr>
            </w:pPr>
          </w:p>
        </w:tc>
        <w:tc>
          <w:tcPr>
            <w:tcW w:w="900" w:type="dxa"/>
            <w:tcBorders>
              <w:top w:val="single" w:color="auto" w:sz="4" w:space="0"/>
              <w:left w:val="nil"/>
              <w:bottom w:val="single" w:color="auto" w:sz="4" w:space="0"/>
              <w:right w:val="nil"/>
            </w:tcBorders>
            <w:shd w:val="clear" w:color="auto" w:fill="auto"/>
            <w:tcMar>
              <w:left w:w="58" w:type="dxa"/>
              <w:right w:w="58" w:type="dxa"/>
            </w:tcMar>
            <w:vAlign w:val="center"/>
          </w:tcPr>
          <w:p w:rsidRPr="00C87DF7" w:rsidR="00AE2C92" w:rsidP="00E54398" w:rsidRDefault="00AE2C92" w14:paraId="36816BBC" w14:textId="77777777">
            <w:pPr>
              <w:jc w:val="right"/>
              <w:rPr>
                <w:rFonts w:cs="Arial"/>
                <w:sz w:val="16"/>
                <w:szCs w:val="16"/>
              </w:rPr>
            </w:pPr>
          </w:p>
        </w:tc>
        <w:tc>
          <w:tcPr>
            <w:tcW w:w="1080" w:type="dxa"/>
            <w:tcBorders>
              <w:top w:val="single" w:color="auto" w:sz="4" w:space="0"/>
              <w:left w:val="nil"/>
              <w:bottom w:val="single" w:color="auto" w:sz="4" w:space="0"/>
              <w:right w:val="single" w:color="auto" w:sz="4" w:space="0"/>
            </w:tcBorders>
            <w:shd w:val="clear" w:color="auto" w:fill="auto"/>
            <w:tcMar>
              <w:left w:w="58" w:type="dxa"/>
              <w:right w:w="58" w:type="dxa"/>
            </w:tcMar>
            <w:vAlign w:val="center"/>
          </w:tcPr>
          <w:p w:rsidRPr="00C87DF7" w:rsidR="00AE2C92" w:rsidP="00E54398" w:rsidRDefault="00AE2C92" w14:paraId="1E0ECD9C" w14:textId="77777777">
            <w:pPr>
              <w:jc w:val="right"/>
              <w:rPr>
                <w:rFonts w:cs="Arial"/>
                <w:sz w:val="16"/>
                <w:szCs w:val="16"/>
              </w:rPr>
            </w:pPr>
          </w:p>
        </w:tc>
      </w:tr>
      <w:tr w:rsidRPr="00C87DF7" w:rsidR="00AE2C92" w:rsidTr="00BC4B73" w14:paraId="23DF9B61" w14:textId="77777777">
        <w:trPr>
          <w:trHeight w:val="278"/>
          <w:jc w:val="center"/>
        </w:trPr>
        <w:tc>
          <w:tcPr>
            <w:tcW w:w="2155" w:type="dxa"/>
            <w:vMerge w:val="restart"/>
            <w:tcMar>
              <w:left w:w="115" w:type="dxa"/>
              <w:right w:w="115" w:type="dxa"/>
            </w:tcMar>
            <w:vAlign w:val="center"/>
          </w:tcPr>
          <w:p w:rsidRPr="003E4208" w:rsidR="00AE2C92" w:rsidP="00D13A4F" w:rsidRDefault="000268A4" w14:paraId="50706AAF" w14:textId="3F502209">
            <w:pPr>
              <w:ind w:left="88" w:right="-20"/>
              <w:rPr>
                <w:rFonts w:eastAsia="Arial"/>
                <w:sz w:val="16"/>
              </w:rPr>
            </w:pPr>
            <w:r w:rsidRPr="00C87DF7">
              <w:rPr>
                <w:rFonts w:eastAsia="Arial" w:cs="Arial"/>
                <w:sz w:val="16"/>
                <w:szCs w:val="16"/>
              </w:rPr>
              <w:t>Testing for e</w:t>
            </w:r>
            <w:r w:rsidRPr="00C87DF7" w:rsidR="00966239">
              <w:rPr>
                <w:rFonts w:eastAsia="Arial" w:cs="Arial"/>
                <w:sz w:val="16"/>
                <w:szCs w:val="16"/>
              </w:rPr>
              <w:t>xpanded</w:t>
            </w:r>
            <w:r w:rsidRPr="00C87DF7" w:rsidR="008F45F8">
              <w:rPr>
                <w:rFonts w:eastAsia="Arial" w:cs="Arial"/>
                <w:sz w:val="16"/>
                <w:szCs w:val="16"/>
              </w:rPr>
              <w:t xml:space="preserve"> opioid</w:t>
            </w:r>
            <w:r w:rsidRPr="00C87DF7" w:rsidR="00966239">
              <w:rPr>
                <w:rFonts w:eastAsia="Arial" w:cs="Arial"/>
                <w:sz w:val="16"/>
                <w:szCs w:val="16"/>
              </w:rPr>
              <w:t xml:space="preserve"> panel</w:t>
            </w:r>
          </w:p>
          <w:p w:rsidRPr="00C87DF7" w:rsidR="00AE2C92" w:rsidP="007E2603" w:rsidRDefault="00AE2C92" w14:paraId="03B9AD9E" w14:textId="55B3AC0B">
            <w:pPr>
              <w:ind w:left="88" w:right="-20"/>
              <w:rPr>
                <w:rFonts w:cs="Arial"/>
                <w:sz w:val="16"/>
                <w:szCs w:val="16"/>
              </w:rPr>
            </w:pPr>
            <w:r w:rsidRPr="00C87DF7">
              <w:rPr>
                <w:rFonts w:eastAsia="Arial" w:cs="Arial"/>
                <w:sz w:val="16"/>
                <w:szCs w:val="16"/>
              </w:rPr>
              <w:t>(s</w:t>
            </w:r>
            <w:r w:rsidRPr="003E4208">
              <w:rPr>
                <w:rFonts w:eastAsia="Arial"/>
                <w:sz w:val="16"/>
              </w:rPr>
              <w:t>i</w:t>
            </w:r>
            <w:r w:rsidRPr="00C87DF7">
              <w:rPr>
                <w:rFonts w:eastAsia="Arial" w:cs="Arial"/>
                <w:sz w:val="16"/>
                <w:szCs w:val="16"/>
              </w:rPr>
              <w:t>tes</w:t>
            </w:r>
            <w:r w:rsidRPr="003E4208">
              <w:rPr>
                <w:rFonts w:eastAsia="Arial"/>
                <w:sz w:val="16"/>
              </w:rPr>
              <w:t xml:space="preserve"> onl</w:t>
            </w:r>
            <w:r w:rsidRPr="00C87DF7">
              <w:rPr>
                <w:rFonts w:eastAsia="Arial" w:cs="Arial"/>
                <w:sz w:val="16"/>
                <w:szCs w:val="16"/>
              </w:rPr>
              <w:t>y</w:t>
            </w:r>
            <w:r w:rsidRPr="003E4208">
              <w:rPr>
                <w:rFonts w:eastAsia="Arial"/>
                <w:sz w:val="16"/>
              </w:rPr>
              <w:t xml:space="preserve"> u</w:t>
            </w:r>
            <w:r w:rsidRPr="00C87DF7">
              <w:rPr>
                <w:rFonts w:eastAsia="Arial" w:cs="Arial"/>
                <w:sz w:val="16"/>
                <w:szCs w:val="16"/>
              </w:rPr>
              <w:t>s</w:t>
            </w:r>
            <w:r w:rsidRPr="003E4208">
              <w:rPr>
                <w:rFonts w:eastAsia="Arial"/>
                <w:sz w:val="16"/>
              </w:rPr>
              <w:t>in</w:t>
            </w:r>
            <w:r w:rsidRPr="00C87DF7">
              <w:rPr>
                <w:rFonts w:eastAsia="Arial" w:cs="Arial"/>
                <w:sz w:val="16"/>
                <w:szCs w:val="16"/>
              </w:rPr>
              <w:t>g</w:t>
            </w:r>
            <w:r w:rsidRPr="003E4208">
              <w:rPr>
                <w:rFonts w:eastAsia="Arial"/>
                <w:sz w:val="16"/>
              </w:rPr>
              <w:t xml:space="preserve"> </w:t>
            </w:r>
            <w:r w:rsidRPr="00C87DF7">
              <w:rPr>
                <w:rFonts w:eastAsia="Arial" w:cs="Arial"/>
                <w:sz w:val="16"/>
                <w:szCs w:val="16"/>
              </w:rPr>
              <w:t>HHS</w:t>
            </w:r>
            <w:r w:rsidRPr="00C87DF7" w:rsidR="00AB4E14">
              <w:rPr>
                <w:rFonts w:eastAsia="Arial" w:cs="Arial"/>
                <w:sz w:val="16"/>
                <w:szCs w:val="16"/>
              </w:rPr>
              <w:noBreakHyphen/>
            </w:r>
            <w:r w:rsidRPr="00C87DF7">
              <w:rPr>
                <w:rFonts w:eastAsia="Arial" w:cs="Arial"/>
                <w:sz w:val="16"/>
                <w:szCs w:val="16"/>
              </w:rPr>
              <w:t>ce</w:t>
            </w:r>
            <w:r w:rsidRPr="003E4208">
              <w:rPr>
                <w:rFonts w:eastAsia="Arial"/>
                <w:sz w:val="16"/>
              </w:rPr>
              <w:t>r</w:t>
            </w:r>
            <w:r w:rsidRPr="00C87DF7">
              <w:rPr>
                <w:rFonts w:eastAsia="Arial" w:cs="Arial"/>
                <w:sz w:val="16"/>
                <w:szCs w:val="16"/>
              </w:rPr>
              <w:t>t</w:t>
            </w:r>
            <w:r w:rsidRPr="003E4208">
              <w:rPr>
                <w:rFonts w:eastAsia="Arial"/>
                <w:sz w:val="16"/>
              </w:rPr>
              <w:t>i</w:t>
            </w:r>
            <w:r w:rsidRPr="00C87DF7">
              <w:rPr>
                <w:rFonts w:eastAsia="Arial" w:cs="Arial"/>
                <w:sz w:val="16"/>
                <w:szCs w:val="16"/>
              </w:rPr>
              <w:t>f</w:t>
            </w:r>
            <w:r w:rsidRPr="003E4208">
              <w:rPr>
                <w:rFonts w:eastAsia="Arial"/>
                <w:sz w:val="16"/>
              </w:rPr>
              <w:t>i</w:t>
            </w:r>
            <w:r w:rsidRPr="00C87DF7">
              <w:rPr>
                <w:rFonts w:eastAsia="Arial" w:cs="Arial"/>
                <w:sz w:val="16"/>
                <w:szCs w:val="16"/>
              </w:rPr>
              <w:t>ed</w:t>
            </w:r>
            <w:r w:rsidRPr="003E4208">
              <w:rPr>
                <w:rFonts w:eastAsia="Arial"/>
                <w:sz w:val="16"/>
              </w:rPr>
              <w:t xml:space="preserve"> labor</w:t>
            </w:r>
            <w:r w:rsidRPr="00C87DF7">
              <w:rPr>
                <w:rFonts w:eastAsia="Arial" w:cs="Arial"/>
                <w:sz w:val="16"/>
                <w:szCs w:val="16"/>
              </w:rPr>
              <w:t>a</w:t>
            </w:r>
            <w:r w:rsidRPr="003E4208">
              <w:rPr>
                <w:rFonts w:eastAsia="Arial"/>
                <w:sz w:val="16"/>
              </w:rPr>
              <w:t>to</w:t>
            </w:r>
            <w:r w:rsidRPr="00C87DF7">
              <w:rPr>
                <w:rFonts w:eastAsia="Arial" w:cs="Arial"/>
                <w:sz w:val="16"/>
                <w:szCs w:val="16"/>
              </w:rPr>
              <w:t>r</w:t>
            </w:r>
            <w:r w:rsidRPr="003E4208">
              <w:rPr>
                <w:rFonts w:eastAsia="Arial"/>
                <w:sz w:val="16"/>
              </w:rPr>
              <w:t>ies)</w:t>
            </w:r>
          </w:p>
        </w:tc>
        <w:tc>
          <w:tcPr>
            <w:tcW w:w="3605" w:type="dxa"/>
            <w:tcMar>
              <w:left w:w="58" w:type="dxa"/>
              <w:right w:w="58" w:type="dxa"/>
            </w:tcMar>
            <w:vAlign w:val="center"/>
          </w:tcPr>
          <w:p w:rsidRPr="00C87DF7" w:rsidR="00AE2C92" w:rsidP="00E54398" w:rsidRDefault="00AE2C92" w14:paraId="05464B69" w14:textId="77777777">
            <w:pPr>
              <w:rPr>
                <w:rFonts w:cs="Arial"/>
                <w:sz w:val="16"/>
                <w:szCs w:val="16"/>
              </w:rPr>
            </w:pPr>
            <w:r w:rsidRPr="00C87DF7">
              <w:rPr>
                <w:rFonts w:cs="Arial"/>
                <w:sz w:val="16"/>
                <w:szCs w:val="16"/>
              </w:rPr>
              <w:t>Number of drug tests conducted per site per year under 10 CFR Part 26</w:t>
            </w:r>
          </w:p>
        </w:tc>
        <w:tc>
          <w:tcPr>
            <w:tcW w:w="720" w:type="dxa"/>
            <w:shd w:val="clear" w:color="auto" w:fill="auto"/>
            <w:tcMar>
              <w:left w:w="58" w:type="dxa"/>
              <w:right w:w="58" w:type="dxa"/>
            </w:tcMar>
            <w:vAlign w:val="center"/>
          </w:tcPr>
          <w:p w:rsidRPr="00C87DF7" w:rsidR="00AE2C92" w:rsidP="00E54398" w:rsidRDefault="00603435" w14:paraId="74C7B9C8" w14:textId="652AD810">
            <w:pPr>
              <w:jc w:val="right"/>
              <w:rPr>
                <w:rFonts w:cs="Arial"/>
                <w:sz w:val="16"/>
                <w:szCs w:val="16"/>
              </w:rPr>
            </w:pPr>
            <w:r w:rsidRPr="00C87DF7">
              <w:rPr>
                <w:rFonts w:cs="Arial"/>
                <w:sz w:val="16"/>
                <w:szCs w:val="16"/>
              </w:rPr>
              <w:t>2,257</w:t>
            </w:r>
          </w:p>
        </w:tc>
        <w:tc>
          <w:tcPr>
            <w:tcW w:w="900" w:type="dxa"/>
            <w:tcBorders>
              <w:top w:val="single" w:color="auto" w:sz="4" w:space="0"/>
              <w:bottom w:val="single" w:color="auto" w:sz="4" w:space="0"/>
            </w:tcBorders>
            <w:shd w:val="clear" w:color="auto" w:fill="auto"/>
            <w:tcMar>
              <w:left w:w="58" w:type="dxa"/>
              <w:right w:w="58" w:type="dxa"/>
            </w:tcMar>
            <w:vAlign w:val="center"/>
          </w:tcPr>
          <w:p w:rsidRPr="00C87DF7" w:rsidR="00AE2C92" w:rsidP="00E54398" w:rsidRDefault="00AE2C92" w14:paraId="2D2F282A" w14:textId="5ECAB1E0">
            <w:pPr>
              <w:jc w:val="right"/>
              <w:rPr>
                <w:rFonts w:cs="Arial"/>
                <w:sz w:val="16"/>
                <w:szCs w:val="16"/>
              </w:rPr>
            </w:pPr>
            <w:r w:rsidRPr="00C87DF7">
              <w:rPr>
                <w:rFonts w:cs="Arial"/>
                <w:sz w:val="16"/>
                <w:szCs w:val="16"/>
              </w:rPr>
              <w:t>($1,</w:t>
            </w:r>
            <w:r w:rsidRPr="00C87DF7" w:rsidR="00246BBF">
              <w:rPr>
                <w:rFonts w:cs="Arial"/>
                <w:sz w:val="16"/>
                <w:szCs w:val="16"/>
              </w:rPr>
              <w:t>2</w:t>
            </w:r>
            <w:r w:rsidRPr="00C87DF7" w:rsidR="00C77266">
              <w:rPr>
                <w:rFonts w:cs="Arial"/>
                <w:sz w:val="16"/>
                <w:szCs w:val="16"/>
              </w:rPr>
              <w:t>98</w:t>
            </w:r>
            <w:r w:rsidRPr="00C87DF7">
              <w:rPr>
                <w:rFonts w:cs="Arial"/>
                <w:sz w:val="16"/>
                <w:szCs w:val="16"/>
              </w:rPr>
              <w:t>)</w:t>
            </w:r>
          </w:p>
        </w:tc>
        <w:tc>
          <w:tcPr>
            <w:tcW w:w="900" w:type="dxa"/>
            <w:tcBorders>
              <w:top w:val="single" w:color="auto" w:sz="4" w:space="0"/>
              <w:bottom w:val="single" w:color="auto" w:sz="4" w:space="0"/>
            </w:tcBorders>
            <w:shd w:val="clear" w:color="auto" w:fill="auto"/>
            <w:tcMar>
              <w:left w:w="58" w:type="dxa"/>
              <w:right w:w="58" w:type="dxa"/>
            </w:tcMar>
            <w:vAlign w:val="center"/>
          </w:tcPr>
          <w:p w:rsidRPr="00C87DF7" w:rsidR="00AE2C92" w:rsidP="00E54398" w:rsidRDefault="00246BBF" w14:paraId="0524AC80" w14:textId="74DCF380">
            <w:pPr>
              <w:jc w:val="right"/>
              <w:rPr>
                <w:rFonts w:cs="Arial"/>
                <w:sz w:val="16"/>
                <w:szCs w:val="16"/>
              </w:rPr>
            </w:pPr>
            <w:r w:rsidRPr="00C87DF7">
              <w:rPr>
                <w:rFonts w:cs="Arial"/>
                <w:sz w:val="16"/>
                <w:szCs w:val="16"/>
              </w:rPr>
              <w:t>56</w:t>
            </w:r>
          </w:p>
        </w:tc>
        <w:tc>
          <w:tcPr>
            <w:tcW w:w="1080" w:type="dxa"/>
            <w:tcBorders>
              <w:top w:val="single" w:color="auto" w:sz="4" w:space="0"/>
              <w:bottom w:val="single" w:color="auto" w:sz="4" w:space="0"/>
            </w:tcBorders>
            <w:shd w:val="clear" w:color="auto" w:fill="auto"/>
            <w:tcMar>
              <w:left w:w="58" w:type="dxa"/>
              <w:right w:w="58" w:type="dxa"/>
            </w:tcMar>
            <w:vAlign w:val="center"/>
          </w:tcPr>
          <w:p w:rsidRPr="00C87DF7" w:rsidR="00AE2C92" w:rsidP="00E54398" w:rsidRDefault="00AE2C92" w14:paraId="6AFA6AC9" w14:textId="5333A441">
            <w:pPr>
              <w:jc w:val="right"/>
              <w:rPr>
                <w:rFonts w:cs="Arial"/>
                <w:sz w:val="16"/>
                <w:szCs w:val="16"/>
              </w:rPr>
            </w:pPr>
            <w:r w:rsidRPr="00C87DF7">
              <w:rPr>
                <w:rFonts w:cs="Arial"/>
                <w:sz w:val="16"/>
                <w:szCs w:val="16"/>
              </w:rPr>
              <w:t>($</w:t>
            </w:r>
            <w:r w:rsidRPr="00C87DF7" w:rsidR="00337BE7">
              <w:rPr>
                <w:rFonts w:cs="Arial"/>
                <w:sz w:val="16"/>
                <w:szCs w:val="16"/>
              </w:rPr>
              <w:t>72,</w:t>
            </w:r>
            <w:r w:rsidRPr="00C87DF7" w:rsidR="00C77266">
              <w:rPr>
                <w:rFonts w:cs="Arial"/>
                <w:sz w:val="16"/>
                <w:szCs w:val="16"/>
              </w:rPr>
              <w:t>688</w:t>
            </w:r>
            <w:r w:rsidRPr="00C87DF7">
              <w:rPr>
                <w:rFonts w:cs="Arial"/>
                <w:sz w:val="16"/>
                <w:szCs w:val="16"/>
              </w:rPr>
              <w:t>)</w:t>
            </w:r>
          </w:p>
        </w:tc>
      </w:tr>
      <w:tr w:rsidRPr="00C87DF7" w:rsidR="00AE2C92" w:rsidTr="00BC4B73" w14:paraId="6E9053DA" w14:textId="77777777">
        <w:trPr>
          <w:trHeight w:val="440"/>
          <w:jc w:val="center"/>
        </w:trPr>
        <w:tc>
          <w:tcPr>
            <w:tcW w:w="2155" w:type="dxa"/>
            <w:vMerge/>
            <w:tcMar>
              <w:left w:w="115" w:type="dxa"/>
              <w:right w:w="115" w:type="dxa"/>
            </w:tcMar>
            <w:vAlign w:val="center"/>
          </w:tcPr>
          <w:p w:rsidRPr="00C87DF7" w:rsidR="00AE2C92" w:rsidP="00E54398" w:rsidRDefault="00AE2C92" w14:paraId="5458A38A" w14:textId="77777777">
            <w:pPr>
              <w:rPr>
                <w:rFonts w:cs="Arial"/>
                <w:sz w:val="16"/>
                <w:szCs w:val="16"/>
              </w:rPr>
            </w:pPr>
          </w:p>
        </w:tc>
        <w:tc>
          <w:tcPr>
            <w:tcW w:w="3605" w:type="dxa"/>
            <w:tcBorders>
              <w:bottom w:val="single" w:color="auto" w:sz="4" w:space="0"/>
            </w:tcBorders>
            <w:tcMar>
              <w:left w:w="58" w:type="dxa"/>
              <w:right w:w="58" w:type="dxa"/>
            </w:tcMar>
            <w:vAlign w:val="center"/>
          </w:tcPr>
          <w:p w:rsidR="003E4208" w:rsidP="00AB4E14" w:rsidRDefault="00AE2C92" w14:paraId="20116BA9" w14:textId="77777777">
            <w:pPr>
              <w:rPr>
                <w:rFonts w:cs="Arial"/>
                <w:sz w:val="16"/>
                <w:szCs w:val="16"/>
              </w:rPr>
            </w:pPr>
            <w:r w:rsidRPr="00C87DF7">
              <w:rPr>
                <w:rFonts w:cs="Arial"/>
                <w:sz w:val="16"/>
                <w:szCs w:val="16"/>
              </w:rPr>
              <w:t xml:space="preserve">Testing for </w:t>
            </w:r>
            <w:r w:rsidRPr="00C87DF7" w:rsidR="0095226D">
              <w:rPr>
                <w:rFonts w:cs="Arial"/>
                <w:sz w:val="16"/>
                <w:szCs w:val="16"/>
              </w:rPr>
              <w:t xml:space="preserve">expanded opioid panel </w:t>
            </w:r>
          </w:p>
          <w:p w:rsidRPr="00C87DF7" w:rsidR="00AE2C92" w:rsidP="00AB4E14" w:rsidRDefault="00AE2C92" w14:paraId="3A80E3CA" w14:textId="3172E6EA">
            <w:pPr>
              <w:rPr>
                <w:rFonts w:cs="Arial"/>
                <w:sz w:val="16"/>
                <w:szCs w:val="16"/>
              </w:rPr>
            </w:pPr>
            <w:r w:rsidRPr="00C87DF7">
              <w:rPr>
                <w:rFonts w:cs="Arial"/>
                <w:sz w:val="16"/>
                <w:szCs w:val="16"/>
              </w:rPr>
              <w:t>(sites only using an HHS-certified laboratory)</w:t>
            </w:r>
          </w:p>
        </w:tc>
        <w:tc>
          <w:tcPr>
            <w:tcW w:w="720" w:type="dxa"/>
            <w:tcBorders>
              <w:bottom w:val="single" w:color="auto" w:sz="4" w:space="0"/>
              <w:right w:val="single" w:color="auto" w:sz="4" w:space="0"/>
            </w:tcBorders>
            <w:shd w:val="clear" w:color="auto" w:fill="auto"/>
            <w:tcMar>
              <w:left w:w="58" w:type="dxa"/>
              <w:right w:w="58" w:type="dxa"/>
            </w:tcMar>
            <w:vAlign w:val="center"/>
          </w:tcPr>
          <w:p w:rsidRPr="00C87DF7" w:rsidR="00AE2C92" w:rsidP="00E54398" w:rsidRDefault="00AE2C92" w14:paraId="7DAF8EA7" w14:textId="742FD879">
            <w:pPr>
              <w:jc w:val="right"/>
              <w:rPr>
                <w:rFonts w:cs="Arial"/>
                <w:sz w:val="16"/>
                <w:szCs w:val="16"/>
              </w:rPr>
            </w:pPr>
            <w:r w:rsidRPr="00C87DF7">
              <w:rPr>
                <w:rFonts w:cs="Arial"/>
                <w:sz w:val="16"/>
                <w:szCs w:val="16"/>
              </w:rPr>
              <w:t>$0.5</w:t>
            </w:r>
            <w:r w:rsidRPr="00C87DF7" w:rsidR="00C77266">
              <w:rPr>
                <w:rFonts w:cs="Arial"/>
                <w:sz w:val="16"/>
                <w:szCs w:val="16"/>
              </w:rPr>
              <w:t>8</w:t>
            </w:r>
          </w:p>
        </w:tc>
        <w:tc>
          <w:tcPr>
            <w:tcW w:w="900" w:type="dxa"/>
            <w:tcBorders>
              <w:top w:val="single" w:color="auto" w:sz="4" w:space="0"/>
              <w:left w:val="single" w:color="auto" w:sz="4" w:space="0"/>
              <w:bottom w:val="single" w:color="auto" w:sz="4" w:space="0"/>
              <w:right w:val="nil"/>
            </w:tcBorders>
            <w:shd w:val="clear" w:color="auto" w:fill="auto"/>
            <w:tcMar>
              <w:left w:w="58" w:type="dxa"/>
              <w:right w:w="58" w:type="dxa"/>
            </w:tcMar>
            <w:vAlign w:val="center"/>
          </w:tcPr>
          <w:p w:rsidRPr="00C87DF7" w:rsidR="00AE2C92" w:rsidP="00E54398" w:rsidRDefault="00AE2C92" w14:paraId="53008771" w14:textId="77777777">
            <w:pPr>
              <w:jc w:val="right"/>
              <w:rPr>
                <w:rFonts w:cs="Arial"/>
                <w:sz w:val="16"/>
                <w:szCs w:val="16"/>
              </w:rPr>
            </w:pPr>
          </w:p>
        </w:tc>
        <w:tc>
          <w:tcPr>
            <w:tcW w:w="900" w:type="dxa"/>
            <w:tcBorders>
              <w:top w:val="single" w:color="auto" w:sz="4" w:space="0"/>
              <w:left w:val="nil"/>
              <w:bottom w:val="single" w:color="auto" w:sz="4" w:space="0"/>
              <w:right w:val="nil"/>
            </w:tcBorders>
            <w:shd w:val="clear" w:color="auto" w:fill="auto"/>
            <w:tcMar>
              <w:left w:w="58" w:type="dxa"/>
              <w:right w:w="58" w:type="dxa"/>
            </w:tcMar>
            <w:vAlign w:val="center"/>
          </w:tcPr>
          <w:p w:rsidRPr="00C87DF7" w:rsidR="00AE2C92" w:rsidP="00E54398" w:rsidRDefault="00AE2C92" w14:paraId="5658CDBF" w14:textId="77777777">
            <w:pPr>
              <w:jc w:val="right"/>
              <w:rPr>
                <w:rFonts w:cs="Arial"/>
                <w:sz w:val="16"/>
                <w:szCs w:val="16"/>
              </w:rPr>
            </w:pPr>
          </w:p>
        </w:tc>
        <w:tc>
          <w:tcPr>
            <w:tcW w:w="1080" w:type="dxa"/>
            <w:tcBorders>
              <w:top w:val="single" w:color="auto" w:sz="4" w:space="0"/>
              <w:left w:val="nil"/>
              <w:bottom w:val="single" w:color="auto" w:sz="4" w:space="0"/>
              <w:right w:val="single" w:color="auto" w:sz="4" w:space="0"/>
            </w:tcBorders>
            <w:shd w:val="clear" w:color="auto" w:fill="auto"/>
            <w:tcMar>
              <w:left w:w="58" w:type="dxa"/>
              <w:right w:w="58" w:type="dxa"/>
            </w:tcMar>
            <w:vAlign w:val="center"/>
          </w:tcPr>
          <w:p w:rsidRPr="00C87DF7" w:rsidR="00AE2C92" w:rsidP="00E54398" w:rsidRDefault="00AE2C92" w14:paraId="27D9EE1B" w14:textId="77777777">
            <w:pPr>
              <w:jc w:val="right"/>
              <w:rPr>
                <w:rFonts w:cs="Arial"/>
                <w:sz w:val="16"/>
                <w:szCs w:val="16"/>
              </w:rPr>
            </w:pPr>
          </w:p>
        </w:tc>
      </w:tr>
      <w:tr w:rsidRPr="00C87DF7" w:rsidR="00AE2C92" w:rsidTr="00BC4B73" w14:paraId="4B4A9D28" w14:textId="77777777">
        <w:trPr>
          <w:trHeight w:val="287"/>
          <w:jc w:val="center"/>
        </w:trPr>
        <w:tc>
          <w:tcPr>
            <w:tcW w:w="2155" w:type="dxa"/>
            <w:vMerge w:val="restart"/>
            <w:tcMar>
              <w:left w:w="115" w:type="dxa"/>
              <w:right w:w="115" w:type="dxa"/>
            </w:tcMar>
            <w:vAlign w:val="center"/>
          </w:tcPr>
          <w:p w:rsidRPr="00C87DF7" w:rsidR="00AE2C92" w:rsidP="00D13A4F" w:rsidRDefault="00AE2C92" w14:paraId="31EDCE6D" w14:textId="317914C1">
            <w:pPr>
              <w:ind w:left="88" w:right="-20"/>
              <w:rPr>
                <w:rFonts w:eastAsia="Arial" w:cs="Arial"/>
                <w:sz w:val="16"/>
                <w:szCs w:val="16"/>
              </w:rPr>
            </w:pPr>
            <w:r w:rsidRPr="00C87DF7">
              <w:rPr>
                <w:rFonts w:eastAsia="Arial" w:cs="Arial"/>
                <w:sz w:val="16"/>
                <w:szCs w:val="16"/>
              </w:rPr>
              <w:t>Additional testing at HHS</w:t>
            </w:r>
            <w:r w:rsidRPr="00C87DF7" w:rsidR="00BC4B73">
              <w:rPr>
                <w:rFonts w:eastAsia="Arial" w:cs="Arial"/>
                <w:sz w:val="16"/>
                <w:szCs w:val="16"/>
              </w:rPr>
              <w:noBreakHyphen/>
            </w:r>
            <w:r w:rsidRPr="00C87DF7">
              <w:rPr>
                <w:rFonts w:eastAsia="Arial" w:cs="Arial"/>
                <w:sz w:val="16"/>
                <w:szCs w:val="16"/>
              </w:rPr>
              <w:t>certified laboratory for</w:t>
            </w:r>
            <w:r w:rsidRPr="00C87DF7" w:rsidR="009A713C">
              <w:rPr>
                <w:rFonts w:eastAsia="Arial" w:cs="Arial"/>
                <w:sz w:val="16"/>
                <w:szCs w:val="16"/>
              </w:rPr>
              <w:t xml:space="preserve"> expanded </w:t>
            </w:r>
            <w:r w:rsidRPr="00C87DF7" w:rsidR="00A5103C">
              <w:rPr>
                <w:rFonts w:eastAsia="Arial" w:cs="Arial"/>
                <w:sz w:val="16"/>
                <w:szCs w:val="16"/>
              </w:rPr>
              <w:t>opioid</w:t>
            </w:r>
            <w:r w:rsidRPr="00C87DF7">
              <w:rPr>
                <w:rFonts w:eastAsia="Arial" w:cs="Arial"/>
                <w:sz w:val="16"/>
                <w:szCs w:val="16"/>
              </w:rPr>
              <w:t xml:space="preserve"> </w:t>
            </w:r>
            <w:r w:rsidRPr="00C87DF7" w:rsidR="008F45F8">
              <w:rPr>
                <w:rFonts w:eastAsia="Arial" w:cs="Arial"/>
                <w:sz w:val="16"/>
                <w:szCs w:val="16"/>
              </w:rPr>
              <w:t xml:space="preserve">panel </w:t>
            </w:r>
            <w:r w:rsidRPr="00C87DF7">
              <w:rPr>
                <w:rFonts w:eastAsia="Arial" w:cs="Arial"/>
                <w:sz w:val="16"/>
                <w:szCs w:val="16"/>
              </w:rPr>
              <w:t>positive results</w:t>
            </w:r>
          </w:p>
          <w:p w:rsidRPr="00C87DF7" w:rsidR="00AE2C92" w:rsidP="00AB4E14" w:rsidRDefault="00AE2C92" w14:paraId="0B150BBC" w14:textId="77777777">
            <w:pPr>
              <w:ind w:left="88" w:right="-20"/>
              <w:rPr>
                <w:rFonts w:cs="Arial"/>
                <w:sz w:val="16"/>
                <w:szCs w:val="16"/>
              </w:rPr>
            </w:pPr>
            <w:r w:rsidRPr="00C87DF7">
              <w:rPr>
                <w:rFonts w:eastAsia="Arial" w:cs="Arial"/>
                <w:sz w:val="16"/>
                <w:szCs w:val="16"/>
              </w:rPr>
              <w:t>(sites using LTFs)</w:t>
            </w:r>
          </w:p>
        </w:tc>
        <w:tc>
          <w:tcPr>
            <w:tcW w:w="3605" w:type="dxa"/>
            <w:shd w:val="clear" w:color="auto" w:fill="FFFFFF" w:themeFill="background1"/>
            <w:tcMar>
              <w:left w:w="58" w:type="dxa"/>
              <w:right w:w="58" w:type="dxa"/>
            </w:tcMar>
            <w:vAlign w:val="center"/>
          </w:tcPr>
          <w:p w:rsidRPr="00C87DF7" w:rsidR="00AE2C92" w:rsidP="00E54398" w:rsidRDefault="00AE2C92" w14:paraId="416FE07F" w14:textId="77777777">
            <w:pPr>
              <w:rPr>
                <w:rFonts w:cs="Arial"/>
                <w:sz w:val="16"/>
                <w:szCs w:val="16"/>
              </w:rPr>
            </w:pPr>
            <w:r w:rsidRPr="00C87DF7">
              <w:rPr>
                <w:rFonts w:cs="Arial"/>
                <w:sz w:val="16"/>
                <w:szCs w:val="16"/>
              </w:rPr>
              <w:t>Number of drug tests conducted per site per year under 10 CFR Part 26</w:t>
            </w:r>
          </w:p>
        </w:tc>
        <w:tc>
          <w:tcPr>
            <w:tcW w:w="720" w:type="dxa"/>
            <w:tcBorders>
              <w:bottom w:val="single" w:color="auto" w:sz="4" w:space="0"/>
            </w:tcBorders>
            <w:shd w:val="clear" w:color="auto" w:fill="FFFFFF" w:themeFill="background1"/>
            <w:tcMar>
              <w:left w:w="58" w:type="dxa"/>
              <w:right w:w="58" w:type="dxa"/>
            </w:tcMar>
            <w:vAlign w:val="center"/>
          </w:tcPr>
          <w:p w:rsidRPr="00C87DF7" w:rsidR="00AE2C92" w:rsidP="00E54398" w:rsidRDefault="00A2132A" w14:paraId="7C0440A0" w14:textId="77E3E554">
            <w:pPr>
              <w:jc w:val="right"/>
              <w:rPr>
                <w:rFonts w:cs="Arial"/>
                <w:sz w:val="16"/>
                <w:szCs w:val="16"/>
              </w:rPr>
            </w:pPr>
            <w:r w:rsidRPr="00C87DF7">
              <w:rPr>
                <w:rFonts w:cs="Arial"/>
                <w:sz w:val="16"/>
                <w:szCs w:val="16"/>
              </w:rPr>
              <w:t>2,257</w:t>
            </w:r>
          </w:p>
        </w:tc>
        <w:tc>
          <w:tcPr>
            <w:tcW w:w="900" w:type="dxa"/>
            <w:tcBorders>
              <w:top w:val="single" w:color="auto" w:sz="4" w:space="0"/>
              <w:bottom w:val="single" w:color="auto" w:sz="4" w:space="0"/>
            </w:tcBorders>
            <w:shd w:val="clear" w:color="auto" w:fill="FFFFFF" w:themeFill="background1"/>
            <w:tcMar>
              <w:left w:w="58" w:type="dxa"/>
              <w:right w:w="58" w:type="dxa"/>
            </w:tcMar>
            <w:vAlign w:val="center"/>
          </w:tcPr>
          <w:p w:rsidRPr="00C87DF7" w:rsidR="00AE2C92" w:rsidP="00E54398" w:rsidRDefault="00AE2C92" w14:paraId="4A3027D2" w14:textId="04DE0F71">
            <w:pPr>
              <w:jc w:val="right"/>
              <w:rPr>
                <w:rFonts w:cs="Arial"/>
                <w:sz w:val="16"/>
                <w:szCs w:val="16"/>
              </w:rPr>
            </w:pPr>
            <w:r w:rsidRPr="00C87DF7">
              <w:rPr>
                <w:rFonts w:cs="Arial"/>
                <w:sz w:val="16"/>
                <w:szCs w:val="16"/>
              </w:rPr>
              <w:t>($</w:t>
            </w:r>
            <w:r w:rsidRPr="00C87DF7" w:rsidR="00E3012E">
              <w:rPr>
                <w:rFonts w:cs="Arial"/>
                <w:sz w:val="16"/>
                <w:szCs w:val="16"/>
              </w:rPr>
              <w:t>43</w:t>
            </w:r>
            <w:r w:rsidRPr="00C87DF7">
              <w:rPr>
                <w:rFonts w:cs="Arial"/>
                <w:sz w:val="16"/>
                <w:szCs w:val="16"/>
              </w:rPr>
              <w:t>)</w:t>
            </w:r>
          </w:p>
        </w:tc>
        <w:tc>
          <w:tcPr>
            <w:tcW w:w="900" w:type="dxa"/>
            <w:tcBorders>
              <w:top w:val="single" w:color="auto" w:sz="4" w:space="0"/>
              <w:bottom w:val="single" w:color="auto" w:sz="4" w:space="0"/>
            </w:tcBorders>
            <w:shd w:val="clear" w:color="auto" w:fill="FFFFFF" w:themeFill="background1"/>
            <w:tcMar>
              <w:left w:w="58" w:type="dxa"/>
              <w:right w:w="58" w:type="dxa"/>
            </w:tcMar>
            <w:vAlign w:val="center"/>
          </w:tcPr>
          <w:p w:rsidRPr="00C87DF7" w:rsidR="00AE2C92" w:rsidP="00E54398" w:rsidRDefault="00337BE7" w14:paraId="34747A22" w14:textId="69735073">
            <w:pPr>
              <w:jc w:val="right"/>
              <w:rPr>
                <w:rFonts w:cs="Arial"/>
                <w:sz w:val="16"/>
                <w:szCs w:val="16"/>
              </w:rPr>
            </w:pPr>
            <w:r w:rsidRPr="00C87DF7">
              <w:rPr>
                <w:rFonts w:cs="Arial"/>
                <w:sz w:val="16"/>
                <w:szCs w:val="16"/>
              </w:rPr>
              <w:t>3</w:t>
            </w:r>
          </w:p>
        </w:tc>
        <w:tc>
          <w:tcPr>
            <w:tcW w:w="1080" w:type="dxa"/>
            <w:tcBorders>
              <w:top w:val="single" w:color="auto" w:sz="4" w:space="0"/>
              <w:bottom w:val="single" w:color="auto" w:sz="4" w:space="0"/>
            </w:tcBorders>
            <w:shd w:val="clear" w:color="auto" w:fill="FFFFFF" w:themeFill="background1"/>
            <w:tcMar>
              <w:left w:w="58" w:type="dxa"/>
              <w:right w:w="58" w:type="dxa"/>
            </w:tcMar>
            <w:vAlign w:val="center"/>
          </w:tcPr>
          <w:p w:rsidRPr="00C87DF7" w:rsidR="00AE2C92" w:rsidP="00E54398" w:rsidRDefault="00AE2C92" w14:paraId="737E31D5" w14:textId="109A6F1D">
            <w:pPr>
              <w:jc w:val="right"/>
              <w:rPr>
                <w:rFonts w:cs="Arial"/>
                <w:sz w:val="16"/>
                <w:szCs w:val="16"/>
              </w:rPr>
            </w:pPr>
            <w:r w:rsidRPr="00C87DF7">
              <w:rPr>
                <w:rFonts w:cs="Arial"/>
                <w:sz w:val="16"/>
                <w:szCs w:val="16"/>
              </w:rPr>
              <w:t>($</w:t>
            </w:r>
            <w:r w:rsidRPr="00C87DF7" w:rsidR="00E3012E">
              <w:rPr>
                <w:rFonts w:cs="Arial"/>
                <w:sz w:val="16"/>
                <w:szCs w:val="16"/>
              </w:rPr>
              <w:t>129</w:t>
            </w:r>
            <w:r w:rsidRPr="00C87DF7">
              <w:rPr>
                <w:rFonts w:cs="Arial"/>
                <w:sz w:val="16"/>
                <w:szCs w:val="16"/>
              </w:rPr>
              <w:t>)</w:t>
            </w:r>
          </w:p>
        </w:tc>
      </w:tr>
      <w:tr w:rsidRPr="00C87DF7" w:rsidR="00AE2C92" w:rsidTr="00BC4B73" w14:paraId="6832D2ED" w14:textId="77777777">
        <w:trPr>
          <w:trHeight w:val="269"/>
          <w:jc w:val="center"/>
        </w:trPr>
        <w:tc>
          <w:tcPr>
            <w:tcW w:w="2155" w:type="dxa"/>
            <w:vMerge/>
            <w:tcMar>
              <w:left w:w="115" w:type="dxa"/>
              <w:right w:w="115" w:type="dxa"/>
            </w:tcMar>
            <w:vAlign w:val="center"/>
          </w:tcPr>
          <w:p w:rsidRPr="00C87DF7" w:rsidR="00AE2C92" w:rsidP="00E54398" w:rsidRDefault="00AE2C92" w14:paraId="087BED36" w14:textId="77777777">
            <w:pPr>
              <w:rPr>
                <w:rFonts w:cs="Arial"/>
                <w:sz w:val="16"/>
                <w:szCs w:val="16"/>
              </w:rPr>
            </w:pPr>
          </w:p>
        </w:tc>
        <w:tc>
          <w:tcPr>
            <w:tcW w:w="3605" w:type="dxa"/>
            <w:shd w:val="clear" w:color="auto" w:fill="FFFFFF" w:themeFill="background1"/>
            <w:tcMar>
              <w:left w:w="58" w:type="dxa"/>
              <w:right w:w="58" w:type="dxa"/>
            </w:tcMar>
            <w:vAlign w:val="center"/>
          </w:tcPr>
          <w:p w:rsidRPr="00C87DF7" w:rsidR="00AE2C92" w:rsidP="00E54398" w:rsidRDefault="00AE2C92" w14:paraId="1547F6C1" w14:textId="07284D7A">
            <w:pPr>
              <w:rPr>
                <w:rFonts w:cs="Arial"/>
                <w:sz w:val="16"/>
                <w:szCs w:val="16"/>
              </w:rPr>
            </w:pPr>
            <w:r w:rsidRPr="00C87DF7">
              <w:rPr>
                <w:rFonts w:cs="Arial"/>
                <w:sz w:val="16"/>
                <w:szCs w:val="16"/>
              </w:rPr>
              <w:t>Projected confirmed positive test rate</w:t>
            </w:r>
            <w:r w:rsidRPr="00C87DF7" w:rsidR="00B51983">
              <w:rPr>
                <w:rFonts w:cs="Arial"/>
                <w:sz w:val="16"/>
                <w:szCs w:val="16"/>
              </w:rPr>
              <w:t xml:space="preserve"> for expanded opiate panel</w:t>
            </w:r>
          </w:p>
        </w:tc>
        <w:tc>
          <w:tcPr>
            <w:tcW w:w="720" w:type="dxa"/>
            <w:tcBorders>
              <w:bottom w:val="single" w:color="auto" w:sz="4" w:space="0"/>
              <w:right w:val="single" w:color="auto" w:sz="4" w:space="0"/>
            </w:tcBorders>
            <w:shd w:val="clear" w:color="auto" w:fill="FFFFFF" w:themeFill="background1"/>
            <w:tcMar>
              <w:left w:w="58" w:type="dxa"/>
              <w:right w:w="58" w:type="dxa"/>
            </w:tcMar>
            <w:vAlign w:val="center"/>
          </w:tcPr>
          <w:p w:rsidRPr="00C87DF7" w:rsidR="00AE2C92" w:rsidP="00E54398" w:rsidRDefault="00AE2C92" w14:paraId="04D1FE31" w14:textId="0A48876B">
            <w:pPr>
              <w:jc w:val="right"/>
              <w:rPr>
                <w:rFonts w:cs="Arial"/>
                <w:sz w:val="16"/>
                <w:szCs w:val="16"/>
              </w:rPr>
            </w:pPr>
            <w:r w:rsidRPr="00C87DF7">
              <w:rPr>
                <w:rFonts w:cs="Arial"/>
                <w:sz w:val="16"/>
                <w:szCs w:val="16"/>
              </w:rPr>
              <w:t>0.</w:t>
            </w:r>
            <w:r w:rsidRPr="00C87DF7" w:rsidR="00E3012E">
              <w:rPr>
                <w:rFonts w:cs="Arial"/>
                <w:sz w:val="16"/>
                <w:szCs w:val="16"/>
              </w:rPr>
              <w:t>066</w:t>
            </w:r>
            <w:r w:rsidRPr="00C87DF7">
              <w:rPr>
                <w:rFonts w:cs="Arial"/>
                <w:sz w:val="16"/>
                <w:szCs w:val="16"/>
              </w:rPr>
              <w:t>%</w:t>
            </w:r>
          </w:p>
        </w:tc>
        <w:tc>
          <w:tcPr>
            <w:tcW w:w="900"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C87DF7" w:rsidR="00AE2C92" w:rsidP="00E54398" w:rsidRDefault="00AE2C92" w14:paraId="07115A7F" w14:textId="77777777">
            <w:pPr>
              <w:jc w:val="right"/>
              <w:rPr>
                <w:rFonts w:cs="Arial"/>
                <w:sz w:val="16"/>
                <w:szCs w:val="16"/>
              </w:rPr>
            </w:pPr>
          </w:p>
        </w:tc>
        <w:tc>
          <w:tcPr>
            <w:tcW w:w="900" w:type="dxa"/>
            <w:tcBorders>
              <w:top w:val="single" w:color="auto" w:sz="4" w:space="0"/>
              <w:left w:val="nil"/>
              <w:bottom w:val="nil"/>
              <w:right w:val="nil"/>
            </w:tcBorders>
            <w:shd w:val="clear" w:color="auto" w:fill="FFFFFF" w:themeFill="background1"/>
            <w:tcMar>
              <w:left w:w="58" w:type="dxa"/>
              <w:right w:w="58" w:type="dxa"/>
            </w:tcMar>
            <w:vAlign w:val="center"/>
          </w:tcPr>
          <w:p w:rsidRPr="00C87DF7" w:rsidR="00AE2C92" w:rsidP="00E54398" w:rsidRDefault="00AE2C92" w14:paraId="3FC9728F" w14:textId="77777777">
            <w:pPr>
              <w:jc w:val="right"/>
              <w:rPr>
                <w:rFonts w:cs="Arial"/>
                <w:sz w:val="16"/>
                <w:szCs w:val="16"/>
              </w:rPr>
            </w:pPr>
          </w:p>
        </w:tc>
        <w:tc>
          <w:tcPr>
            <w:tcW w:w="108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C87DF7" w:rsidR="00AE2C92" w:rsidP="00E54398" w:rsidRDefault="00AE2C92" w14:paraId="2E3CA92C" w14:textId="77777777">
            <w:pPr>
              <w:jc w:val="right"/>
              <w:rPr>
                <w:rFonts w:cs="Arial"/>
                <w:sz w:val="16"/>
                <w:szCs w:val="16"/>
              </w:rPr>
            </w:pPr>
          </w:p>
        </w:tc>
      </w:tr>
      <w:tr w:rsidRPr="00C87DF7" w:rsidR="00C54180" w:rsidTr="00BC4B73" w14:paraId="7D1D15C8" w14:textId="77777777">
        <w:trPr>
          <w:trHeight w:val="584"/>
          <w:jc w:val="center"/>
        </w:trPr>
        <w:tc>
          <w:tcPr>
            <w:tcW w:w="2155" w:type="dxa"/>
            <w:vMerge/>
            <w:tcBorders>
              <w:bottom w:val="single" w:color="auto" w:sz="4" w:space="0"/>
            </w:tcBorders>
            <w:tcMar>
              <w:left w:w="115" w:type="dxa"/>
              <w:right w:w="115" w:type="dxa"/>
            </w:tcMar>
            <w:vAlign w:val="center"/>
          </w:tcPr>
          <w:p w:rsidRPr="00C87DF7" w:rsidR="00AE2C92" w:rsidP="00E54398" w:rsidRDefault="00AE2C92" w14:paraId="00D2B50E" w14:textId="77777777">
            <w:pPr>
              <w:rPr>
                <w:rFonts w:cs="Arial"/>
                <w:sz w:val="16"/>
                <w:szCs w:val="16"/>
              </w:rPr>
            </w:pPr>
          </w:p>
        </w:tc>
        <w:tc>
          <w:tcPr>
            <w:tcW w:w="3605" w:type="dxa"/>
            <w:tcBorders>
              <w:bottom w:val="single" w:color="auto" w:sz="4" w:space="0"/>
            </w:tcBorders>
            <w:shd w:val="clear" w:color="auto" w:fill="FFFFFF" w:themeFill="background1"/>
            <w:tcMar>
              <w:left w:w="58" w:type="dxa"/>
              <w:right w:w="58" w:type="dxa"/>
            </w:tcMar>
            <w:vAlign w:val="center"/>
          </w:tcPr>
          <w:p w:rsidR="003E4208" w:rsidP="00AB4E14" w:rsidRDefault="00AE2C92" w14:paraId="0042D780" w14:textId="77777777">
            <w:pPr>
              <w:rPr>
                <w:rFonts w:cs="Arial"/>
                <w:sz w:val="16"/>
                <w:szCs w:val="16"/>
              </w:rPr>
            </w:pPr>
            <w:r w:rsidRPr="00C87DF7">
              <w:rPr>
                <w:rFonts w:cs="Arial"/>
                <w:sz w:val="16"/>
                <w:szCs w:val="16"/>
              </w:rPr>
              <w:t>Initial and confirmatory drug testing, HHS</w:t>
            </w:r>
            <w:r w:rsidRPr="00C87DF7">
              <w:rPr>
                <w:rFonts w:cs="Arial"/>
                <w:sz w:val="16"/>
                <w:szCs w:val="16"/>
              </w:rPr>
              <w:noBreakHyphen/>
              <w:t xml:space="preserve">certified laboratory </w:t>
            </w:r>
          </w:p>
          <w:p w:rsidRPr="00C87DF7" w:rsidR="00AE2C92" w:rsidP="00AB4E14" w:rsidRDefault="00AE2C92" w14:paraId="2E787D3B" w14:textId="575C0544">
            <w:pPr>
              <w:rPr>
                <w:rFonts w:cs="Arial"/>
                <w:sz w:val="16"/>
                <w:szCs w:val="16"/>
              </w:rPr>
            </w:pPr>
            <w:r w:rsidRPr="00C87DF7">
              <w:rPr>
                <w:rFonts w:cs="Arial"/>
                <w:sz w:val="16"/>
                <w:szCs w:val="16"/>
              </w:rPr>
              <w:t>(sites using an LTF for initial testing)</w:t>
            </w:r>
          </w:p>
        </w:tc>
        <w:tc>
          <w:tcPr>
            <w:tcW w:w="720" w:type="dxa"/>
            <w:tcBorders>
              <w:top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C87DF7" w:rsidR="00AE2C92" w:rsidP="00E54398" w:rsidRDefault="00AE2C92" w14:paraId="5F68FB2D" w14:textId="6C25138F">
            <w:pPr>
              <w:jc w:val="right"/>
              <w:rPr>
                <w:rFonts w:cs="Arial"/>
                <w:sz w:val="16"/>
                <w:szCs w:val="16"/>
              </w:rPr>
            </w:pPr>
            <w:r w:rsidRPr="00C87DF7">
              <w:rPr>
                <w:rFonts w:cs="Arial"/>
                <w:sz w:val="16"/>
                <w:szCs w:val="16"/>
              </w:rPr>
              <w:t>$</w:t>
            </w:r>
            <w:r w:rsidRPr="00C87DF7" w:rsidR="00E3012E">
              <w:rPr>
                <w:rFonts w:cs="Arial"/>
                <w:sz w:val="16"/>
                <w:szCs w:val="16"/>
              </w:rPr>
              <w:t>28.83</w:t>
            </w:r>
          </w:p>
        </w:tc>
        <w:tc>
          <w:tcPr>
            <w:tcW w:w="900"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C87DF7" w:rsidR="00AE2C92" w:rsidP="00E54398" w:rsidRDefault="00AE2C92" w14:paraId="5978E246" w14:textId="77777777">
            <w:pPr>
              <w:jc w:val="right"/>
              <w:rPr>
                <w:rFonts w:cs="Arial"/>
                <w:sz w:val="16"/>
                <w:szCs w:val="16"/>
              </w:rPr>
            </w:pPr>
          </w:p>
        </w:tc>
        <w:tc>
          <w:tcPr>
            <w:tcW w:w="900" w:type="dxa"/>
            <w:tcBorders>
              <w:top w:val="nil"/>
              <w:left w:val="nil"/>
              <w:bottom w:val="single" w:color="auto" w:sz="4" w:space="0"/>
              <w:right w:val="nil"/>
            </w:tcBorders>
            <w:shd w:val="clear" w:color="auto" w:fill="FFFFFF" w:themeFill="background1"/>
            <w:tcMar>
              <w:left w:w="58" w:type="dxa"/>
              <w:right w:w="58" w:type="dxa"/>
            </w:tcMar>
            <w:vAlign w:val="center"/>
          </w:tcPr>
          <w:p w:rsidRPr="00C87DF7" w:rsidR="00AE2C92" w:rsidP="00E54398" w:rsidRDefault="00AE2C92" w14:paraId="0D8D6F66" w14:textId="77777777">
            <w:pPr>
              <w:jc w:val="right"/>
              <w:rPr>
                <w:rFonts w:cs="Arial"/>
                <w:sz w:val="16"/>
                <w:szCs w:val="16"/>
              </w:rPr>
            </w:pPr>
          </w:p>
        </w:tc>
        <w:tc>
          <w:tcPr>
            <w:tcW w:w="108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C87DF7" w:rsidR="00AE2C92" w:rsidP="00E54398" w:rsidRDefault="00AE2C92" w14:paraId="05F758FA" w14:textId="77777777">
            <w:pPr>
              <w:jc w:val="right"/>
              <w:rPr>
                <w:rFonts w:cs="Arial"/>
                <w:sz w:val="16"/>
                <w:szCs w:val="16"/>
              </w:rPr>
            </w:pPr>
          </w:p>
        </w:tc>
      </w:tr>
      <w:tr w:rsidRPr="00C87DF7" w:rsidR="00EB36FB" w:rsidTr="001C0E68" w14:paraId="09D5271F" w14:textId="77777777">
        <w:trPr>
          <w:trHeight w:val="215"/>
          <w:jc w:val="center"/>
        </w:trPr>
        <w:tc>
          <w:tcPr>
            <w:tcW w:w="2155" w:type="dxa"/>
            <w:vMerge w:val="restart"/>
            <w:shd w:val="clear" w:color="auto" w:fill="FFFFFF" w:themeFill="background1"/>
            <w:tcMar>
              <w:left w:w="115" w:type="dxa"/>
              <w:right w:w="115" w:type="dxa"/>
            </w:tcMar>
            <w:vAlign w:val="center"/>
          </w:tcPr>
          <w:p w:rsidRPr="00C87DF7" w:rsidR="00EB36FB" w:rsidP="00EB36FB" w:rsidRDefault="00EB36FB" w14:paraId="0906D8D8" w14:textId="209009D1">
            <w:pPr>
              <w:widowControl w:val="0"/>
              <w:ind w:left="86" w:right="-14"/>
              <w:rPr>
                <w:rFonts w:eastAsia="Arial" w:cs="Arial"/>
                <w:sz w:val="16"/>
                <w:szCs w:val="16"/>
              </w:rPr>
            </w:pPr>
            <w:r w:rsidRPr="00C87DF7">
              <w:rPr>
                <w:sz w:val="16"/>
                <w:szCs w:val="16"/>
              </w:rPr>
              <w:t>MRO result review, donor interview, and medical downgrade for valid prescription use of any of the four additional opioids (all sites)</w:t>
            </w:r>
          </w:p>
        </w:tc>
        <w:tc>
          <w:tcPr>
            <w:tcW w:w="3605" w:type="dxa"/>
            <w:shd w:val="clear" w:color="auto" w:fill="FFFFFF" w:themeFill="background1"/>
            <w:tcMar>
              <w:left w:w="58" w:type="dxa"/>
              <w:right w:w="58" w:type="dxa"/>
            </w:tcMar>
            <w:vAlign w:val="center"/>
          </w:tcPr>
          <w:p w:rsidRPr="00C87DF7" w:rsidR="00EB36FB" w:rsidP="00EB36FB" w:rsidRDefault="00EB36FB" w14:paraId="66B98E83" w14:textId="77AD4554">
            <w:pPr>
              <w:widowControl w:val="0"/>
              <w:rPr>
                <w:rFonts w:cs="Arial"/>
                <w:sz w:val="16"/>
                <w:szCs w:val="16"/>
              </w:rPr>
            </w:pPr>
            <w:r w:rsidRPr="00C87DF7">
              <w:rPr>
                <w:sz w:val="16"/>
                <w:szCs w:val="16"/>
              </w:rPr>
              <w:t>Number of drug tests conducted per site per year under 10 CFR Part 26</w:t>
            </w:r>
          </w:p>
        </w:tc>
        <w:tc>
          <w:tcPr>
            <w:tcW w:w="720" w:type="dxa"/>
            <w:shd w:val="clear" w:color="auto" w:fill="FFFFFF" w:themeFill="background1"/>
            <w:tcMar>
              <w:left w:w="58" w:type="dxa"/>
              <w:right w:w="58" w:type="dxa"/>
            </w:tcMar>
            <w:vAlign w:val="center"/>
          </w:tcPr>
          <w:p w:rsidRPr="00C87DF7" w:rsidR="00EB36FB" w:rsidP="00EB36FB" w:rsidRDefault="00EB36FB" w14:paraId="779D32B2" w14:textId="5D5AC756">
            <w:pPr>
              <w:widowControl w:val="0"/>
              <w:jc w:val="right"/>
              <w:rPr>
                <w:rFonts w:cs="Arial"/>
                <w:sz w:val="16"/>
                <w:szCs w:val="16"/>
              </w:rPr>
            </w:pPr>
            <w:r w:rsidRPr="00C87DF7">
              <w:rPr>
                <w:rFonts w:cs="Arial"/>
                <w:sz w:val="16"/>
                <w:szCs w:val="16"/>
              </w:rPr>
              <w:t>2,257</w:t>
            </w:r>
          </w:p>
        </w:tc>
        <w:tc>
          <w:tcPr>
            <w:tcW w:w="900" w:type="dxa"/>
            <w:tcBorders>
              <w:top w:val="single" w:color="auto" w:sz="4" w:space="0"/>
              <w:bottom w:val="single" w:color="auto" w:sz="4" w:space="0"/>
            </w:tcBorders>
            <w:shd w:val="clear" w:color="auto" w:fill="auto"/>
            <w:tcMar>
              <w:left w:w="58" w:type="dxa"/>
              <w:right w:w="58" w:type="dxa"/>
            </w:tcMar>
            <w:vAlign w:val="center"/>
          </w:tcPr>
          <w:p w:rsidRPr="00C87DF7" w:rsidR="00EB36FB" w:rsidP="00EB36FB" w:rsidRDefault="00EB36FB" w14:paraId="64AEC136" w14:textId="299BF019">
            <w:pPr>
              <w:jc w:val="right"/>
              <w:rPr>
                <w:rFonts w:cs="Arial"/>
                <w:sz w:val="16"/>
                <w:szCs w:val="16"/>
              </w:rPr>
            </w:pPr>
            <w:r w:rsidRPr="00C87DF7">
              <w:rPr>
                <w:rFonts w:cs="Arial"/>
                <w:sz w:val="16"/>
                <w:szCs w:val="16"/>
              </w:rPr>
              <w:t>($</w:t>
            </w:r>
            <w:r w:rsidRPr="00C87DF7" w:rsidR="00A04A8B">
              <w:rPr>
                <w:rFonts w:cs="Arial"/>
                <w:sz w:val="16"/>
                <w:szCs w:val="16"/>
              </w:rPr>
              <w:t>96</w:t>
            </w:r>
            <w:r w:rsidRPr="00C87DF7">
              <w:rPr>
                <w:rFonts w:cs="Arial"/>
                <w:sz w:val="16"/>
                <w:szCs w:val="16"/>
              </w:rPr>
              <w:t>)</w:t>
            </w:r>
          </w:p>
        </w:tc>
        <w:tc>
          <w:tcPr>
            <w:tcW w:w="900" w:type="dxa"/>
            <w:tcBorders>
              <w:top w:val="single" w:color="auto" w:sz="4" w:space="0"/>
              <w:bottom w:val="single" w:color="auto" w:sz="4" w:space="0"/>
            </w:tcBorders>
            <w:shd w:val="clear" w:color="auto" w:fill="auto"/>
            <w:tcMar>
              <w:left w:w="58" w:type="dxa"/>
              <w:right w:w="58" w:type="dxa"/>
            </w:tcMar>
            <w:vAlign w:val="center"/>
          </w:tcPr>
          <w:p w:rsidRPr="00C87DF7" w:rsidR="00EB36FB" w:rsidP="00EB36FB" w:rsidRDefault="00EB36FB" w14:paraId="1F3719D9" w14:textId="5860E1C2">
            <w:pPr>
              <w:jc w:val="right"/>
              <w:rPr>
                <w:rFonts w:cs="Arial"/>
                <w:sz w:val="16"/>
                <w:szCs w:val="16"/>
              </w:rPr>
            </w:pPr>
            <w:r w:rsidRPr="00C87DF7">
              <w:rPr>
                <w:rFonts w:cs="Arial"/>
                <w:sz w:val="16"/>
                <w:szCs w:val="16"/>
              </w:rPr>
              <w:t>59</w:t>
            </w:r>
          </w:p>
        </w:tc>
        <w:tc>
          <w:tcPr>
            <w:tcW w:w="1080" w:type="dxa"/>
            <w:tcBorders>
              <w:top w:val="single" w:color="auto" w:sz="4" w:space="0"/>
              <w:bottom w:val="single" w:color="auto" w:sz="4" w:space="0"/>
            </w:tcBorders>
            <w:shd w:val="clear" w:color="auto" w:fill="auto"/>
            <w:tcMar>
              <w:left w:w="58" w:type="dxa"/>
              <w:right w:w="58" w:type="dxa"/>
            </w:tcMar>
            <w:vAlign w:val="center"/>
          </w:tcPr>
          <w:p w:rsidRPr="00C87DF7" w:rsidR="00EB36FB" w:rsidP="00EB36FB" w:rsidRDefault="00EB36FB" w14:paraId="1FE75C85" w14:textId="5E56B823">
            <w:pPr>
              <w:jc w:val="right"/>
              <w:rPr>
                <w:rFonts w:cs="Arial"/>
                <w:sz w:val="16"/>
                <w:szCs w:val="16"/>
              </w:rPr>
            </w:pPr>
            <w:r w:rsidRPr="00C87DF7">
              <w:rPr>
                <w:rFonts w:cs="Arial"/>
                <w:sz w:val="16"/>
                <w:szCs w:val="16"/>
              </w:rPr>
              <w:t>($</w:t>
            </w:r>
            <w:r w:rsidRPr="00C87DF7" w:rsidR="00A04A8B">
              <w:rPr>
                <w:rFonts w:cs="Arial"/>
                <w:sz w:val="16"/>
                <w:szCs w:val="16"/>
              </w:rPr>
              <w:t>5,664</w:t>
            </w:r>
            <w:r w:rsidRPr="00C87DF7">
              <w:rPr>
                <w:rFonts w:cs="Arial"/>
                <w:sz w:val="16"/>
                <w:szCs w:val="16"/>
              </w:rPr>
              <w:t>)</w:t>
            </w:r>
          </w:p>
        </w:tc>
      </w:tr>
      <w:tr w:rsidRPr="00C87DF7" w:rsidR="00DA32DE" w:rsidTr="00BC4B73" w14:paraId="53FE8595" w14:textId="77777777">
        <w:trPr>
          <w:trHeight w:val="215"/>
          <w:jc w:val="center"/>
        </w:trPr>
        <w:tc>
          <w:tcPr>
            <w:tcW w:w="2155" w:type="dxa"/>
            <w:vMerge/>
            <w:shd w:val="clear" w:color="auto" w:fill="FFFFFF" w:themeFill="background1"/>
            <w:tcMar>
              <w:left w:w="115" w:type="dxa"/>
              <w:right w:w="115" w:type="dxa"/>
            </w:tcMar>
            <w:vAlign w:val="center"/>
          </w:tcPr>
          <w:p w:rsidRPr="00C87DF7" w:rsidR="00DA32DE" w:rsidP="00B518C5" w:rsidRDefault="00DA32DE" w14:paraId="417F0DE2" w14:textId="77777777">
            <w:pPr>
              <w:widowControl w:val="0"/>
              <w:ind w:left="88" w:right="-20"/>
              <w:rPr>
                <w:rFonts w:eastAsia="Arial" w:cs="Arial"/>
                <w:sz w:val="16"/>
                <w:szCs w:val="16"/>
              </w:rPr>
            </w:pPr>
          </w:p>
        </w:tc>
        <w:tc>
          <w:tcPr>
            <w:tcW w:w="3605" w:type="dxa"/>
            <w:shd w:val="clear" w:color="auto" w:fill="FFFFFF" w:themeFill="background1"/>
            <w:tcMar>
              <w:left w:w="58" w:type="dxa"/>
              <w:right w:w="58" w:type="dxa"/>
            </w:tcMar>
            <w:vAlign w:val="center"/>
          </w:tcPr>
          <w:p w:rsidRPr="00C87DF7" w:rsidR="00DA32DE" w:rsidP="00B518C5" w:rsidRDefault="00854488" w14:paraId="42447AFB" w14:textId="6F39C27B">
            <w:pPr>
              <w:widowControl w:val="0"/>
              <w:rPr>
                <w:rFonts w:cs="Arial"/>
                <w:sz w:val="16"/>
                <w:szCs w:val="16"/>
              </w:rPr>
            </w:pPr>
            <w:r w:rsidRPr="00C87DF7">
              <w:rPr>
                <w:sz w:val="16"/>
                <w:szCs w:val="16"/>
              </w:rPr>
              <w:t xml:space="preserve">Projected confirmed positive </w:t>
            </w:r>
            <w:r w:rsidRPr="00C87DF7" w:rsidR="00DA32DE">
              <w:rPr>
                <w:sz w:val="16"/>
                <w:szCs w:val="16"/>
              </w:rPr>
              <w:t>test rate</w:t>
            </w:r>
            <w:r w:rsidRPr="00C87DF7">
              <w:rPr>
                <w:sz w:val="16"/>
                <w:szCs w:val="16"/>
              </w:rPr>
              <w:t xml:space="preserve"> for expanded </w:t>
            </w:r>
            <w:r w:rsidRPr="00C87DF7" w:rsidR="00CD4A6D">
              <w:rPr>
                <w:sz w:val="16"/>
                <w:szCs w:val="16"/>
              </w:rPr>
              <w:t xml:space="preserve">opioid </w:t>
            </w:r>
            <w:r w:rsidRPr="00C87DF7">
              <w:rPr>
                <w:sz w:val="16"/>
                <w:szCs w:val="16"/>
              </w:rPr>
              <w:t>panel</w:t>
            </w:r>
          </w:p>
        </w:tc>
        <w:tc>
          <w:tcPr>
            <w:tcW w:w="720" w:type="dxa"/>
            <w:shd w:val="clear" w:color="auto" w:fill="FFFFFF" w:themeFill="background1"/>
            <w:tcMar>
              <w:left w:w="58" w:type="dxa"/>
              <w:right w:w="58" w:type="dxa"/>
            </w:tcMar>
            <w:vAlign w:val="center"/>
          </w:tcPr>
          <w:p w:rsidRPr="00C87DF7" w:rsidR="00224740" w:rsidP="00B518C5" w:rsidRDefault="00224740" w14:paraId="582ECDE4" w14:textId="3695AAB1">
            <w:pPr>
              <w:widowControl w:val="0"/>
              <w:jc w:val="right"/>
              <w:rPr>
                <w:rFonts w:cs="Arial"/>
                <w:sz w:val="16"/>
                <w:szCs w:val="16"/>
              </w:rPr>
            </w:pPr>
            <w:r w:rsidRPr="00C87DF7">
              <w:rPr>
                <w:rFonts w:cs="Arial"/>
                <w:sz w:val="16"/>
                <w:szCs w:val="16"/>
              </w:rPr>
              <w:t>0.0</w:t>
            </w:r>
            <w:r w:rsidRPr="00C87DF7" w:rsidR="00EB36FB">
              <w:rPr>
                <w:rFonts w:cs="Arial"/>
                <w:sz w:val="16"/>
                <w:szCs w:val="16"/>
              </w:rPr>
              <w:t>66</w:t>
            </w:r>
            <w:r w:rsidRPr="00C87DF7">
              <w:rPr>
                <w:rFonts w:cs="Arial"/>
                <w:sz w:val="16"/>
                <w:szCs w:val="16"/>
              </w:rPr>
              <w:t>%</w:t>
            </w:r>
          </w:p>
        </w:tc>
        <w:tc>
          <w:tcPr>
            <w:tcW w:w="900" w:type="dxa"/>
            <w:tcBorders>
              <w:top w:val="single" w:color="auto" w:sz="4" w:space="0"/>
              <w:bottom w:val="nil"/>
              <w:right w:val="nil"/>
            </w:tcBorders>
            <w:shd w:val="clear" w:color="auto" w:fill="FFFFFF" w:themeFill="background1"/>
            <w:tcMar>
              <w:left w:w="58" w:type="dxa"/>
              <w:right w:w="58" w:type="dxa"/>
            </w:tcMar>
            <w:vAlign w:val="center"/>
          </w:tcPr>
          <w:p w:rsidRPr="00C87DF7" w:rsidR="00DA32DE" w:rsidP="00B518C5" w:rsidRDefault="00DA32DE" w14:paraId="169D9473" w14:textId="77777777">
            <w:pPr>
              <w:widowControl w:val="0"/>
              <w:jc w:val="right"/>
              <w:rPr>
                <w:rFonts w:cs="Arial"/>
                <w:sz w:val="16"/>
                <w:szCs w:val="16"/>
              </w:rPr>
            </w:pPr>
          </w:p>
        </w:tc>
        <w:tc>
          <w:tcPr>
            <w:tcW w:w="900" w:type="dxa"/>
            <w:tcBorders>
              <w:top w:val="single" w:color="auto" w:sz="4" w:space="0"/>
              <w:left w:val="nil"/>
              <w:bottom w:val="nil"/>
              <w:right w:val="nil"/>
            </w:tcBorders>
            <w:shd w:val="clear" w:color="auto" w:fill="FFFFFF" w:themeFill="background1"/>
            <w:tcMar>
              <w:left w:w="58" w:type="dxa"/>
              <w:right w:w="58" w:type="dxa"/>
            </w:tcMar>
            <w:vAlign w:val="center"/>
          </w:tcPr>
          <w:p w:rsidRPr="00C87DF7" w:rsidR="00DA32DE" w:rsidP="00B518C5" w:rsidRDefault="00DA32DE" w14:paraId="3654B37B" w14:textId="77777777">
            <w:pPr>
              <w:widowControl w:val="0"/>
              <w:jc w:val="right"/>
              <w:rPr>
                <w:rFonts w:cs="Arial"/>
                <w:sz w:val="16"/>
                <w:szCs w:val="16"/>
              </w:rPr>
            </w:pPr>
          </w:p>
        </w:tc>
        <w:tc>
          <w:tcPr>
            <w:tcW w:w="1080" w:type="dxa"/>
            <w:tcBorders>
              <w:top w:val="single" w:color="auto" w:sz="4" w:space="0"/>
              <w:left w:val="nil"/>
              <w:bottom w:val="nil"/>
            </w:tcBorders>
            <w:shd w:val="clear" w:color="auto" w:fill="FFFFFF" w:themeFill="background1"/>
            <w:tcMar>
              <w:left w:w="58" w:type="dxa"/>
              <w:right w:w="58" w:type="dxa"/>
            </w:tcMar>
            <w:vAlign w:val="center"/>
          </w:tcPr>
          <w:p w:rsidRPr="00C87DF7" w:rsidR="00DA32DE" w:rsidP="00B518C5" w:rsidRDefault="00DA32DE" w14:paraId="6A7635E5" w14:textId="77777777">
            <w:pPr>
              <w:widowControl w:val="0"/>
              <w:jc w:val="right"/>
              <w:rPr>
                <w:rFonts w:cs="Arial"/>
                <w:sz w:val="16"/>
                <w:szCs w:val="16"/>
              </w:rPr>
            </w:pPr>
          </w:p>
        </w:tc>
      </w:tr>
      <w:tr w:rsidRPr="00C87DF7" w:rsidR="0055735B" w:rsidTr="00BC4B73" w14:paraId="50F91E16" w14:textId="77777777">
        <w:trPr>
          <w:trHeight w:val="215"/>
          <w:jc w:val="center"/>
        </w:trPr>
        <w:tc>
          <w:tcPr>
            <w:tcW w:w="2155" w:type="dxa"/>
            <w:vMerge/>
            <w:shd w:val="clear" w:color="auto" w:fill="FFFFFF" w:themeFill="background1"/>
            <w:tcMar>
              <w:left w:w="115" w:type="dxa"/>
              <w:right w:w="115" w:type="dxa"/>
            </w:tcMar>
            <w:vAlign w:val="center"/>
          </w:tcPr>
          <w:p w:rsidRPr="00C87DF7" w:rsidR="00DA32DE" w:rsidP="00B518C5" w:rsidRDefault="00DA32DE" w14:paraId="3D88C550" w14:textId="77777777">
            <w:pPr>
              <w:widowControl w:val="0"/>
              <w:ind w:left="88" w:right="-20"/>
              <w:rPr>
                <w:rFonts w:eastAsia="Arial" w:cs="Arial"/>
                <w:sz w:val="16"/>
                <w:szCs w:val="16"/>
              </w:rPr>
            </w:pPr>
          </w:p>
        </w:tc>
        <w:tc>
          <w:tcPr>
            <w:tcW w:w="3605" w:type="dxa"/>
            <w:shd w:val="clear" w:color="auto" w:fill="FFFFFF" w:themeFill="background1"/>
            <w:tcMar>
              <w:left w:w="58" w:type="dxa"/>
              <w:right w:w="58" w:type="dxa"/>
            </w:tcMar>
            <w:vAlign w:val="center"/>
          </w:tcPr>
          <w:p w:rsidRPr="00C87DF7" w:rsidR="00DA32DE" w:rsidP="00B518C5" w:rsidRDefault="00DA32DE" w14:paraId="43066BB9" w14:textId="546D2A9F">
            <w:pPr>
              <w:widowControl w:val="0"/>
              <w:rPr>
                <w:rFonts w:cs="Arial"/>
                <w:sz w:val="16"/>
                <w:szCs w:val="16"/>
              </w:rPr>
            </w:pPr>
            <w:r w:rsidRPr="00C87DF7">
              <w:rPr>
                <w:rFonts w:eastAsia="Arial" w:cs="Arial"/>
                <w:sz w:val="16"/>
                <w:szCs w:val="16"/>
              </w:rPr>
              <w:t xml:space="preserve">Expected percent of additional </w:t>
            </w:r>
            <w:r w:rsidRPr="00C87DF7" w:rsidR="00F132FD">
              <w:rPr>
                <w:rFonts w:eastAsia="Arial" w:cs="Arial"/>
                <w:sz w:val="16"/>
                <w:szCs w:val="16"/>
              </w:rPr>
              <w:t xml:space="preserve">opioid </w:t>
            </w:r>
            <w:r w:rsidRPr="00C87DF7">
              <w:rPr>
                <w:rFonts w:eastAsia="Arial" w:cs="Arial"/>
                <w:sz w:val="16"/>
                <w:szCs w:val="16"/>
              </w:rPr>
              <w:t>positive results that will be negative after MRO interview with donor</w:t>
            </w:r>
          </w:p>
        </w:tc>
        <w:tc>
          <w:tcPr>
            <w:tcW w:w="720" w:type="dxa"/>
            <w:shd w:val="clear" w:color="auto" w:fill="FFFFFF" w:themeFill="background1"/>
            <w:tcMar>
              <w:left w:w="58" w:type="dxa"/>
              <w:right w:w="58" w:type="dxa"/>
            </w:tcMar>
            <w:vAlign w:val="center"/>
          </w:tcPr>
          <w:p w:rsidRPr="00C87DF7" w:rsidR="00DA32DE" w:rsidP="00B518C5" w:rsidRDefault="004C18FA" w14:paraId="685F73FE" w14:textId="40646C73">
            <w:pPr>
              <w:widowControl w:val="0"/>
              <w:jc w:val="right"/>
              <w:rPr>
                <w:rFonts w:cs="Arial"/>
                <w:sz w:val="16"/>
                <w:szCs w:val="16"/>
              </w:rPr>
            </w:pPr>
            <w:r w:rsidRPr="00C87DF7">
              <w:rPr>
                <w:rFonts w:cs="Arial"/>
                <w:sz w:val="16"/>
                <w:szCs w:val="16"/>
              </w:rPr>
              <w:t>29%</w:t>
            </w:r>
          </w:p>
        </w:tc>
        <w:tc>
          <w:tcPr>
            <w:tcW w:w="900" w:type="dxa"/>
            <w:tcBorders>
              <w:top w:val="nil"/>
              <w:bottom w:val="nil"/>
              <w:right w:val="nil"/>
            </w:tcBorders>
            <w:shd w:val="clear" w:color="auto" w:fill="FFFFFF" w:themeFill="background1"/>
            <w:tcMar>
              <w:left w:w="58" w:type="dxa"/>
              <w:right w:w="58" w:type="dxa"/>
            </w:tcMar>
            <w:vAlign w:val="center"/>
          </w:tcPr>
          <w:p w:rsidRPr="00C87DF7" w:rsidR="00DA32DE" w:rsidP="00B518C5" w:rsidRDefault="00DA32DE" w14:paraId="30F1C4AC" w14:textId="77777777">
            <w:pPr>
              <w:widowControl w:val="0"/>
              <w:jc w:val="right"/>
              <w:rPr>
                <w:rFonts w:cs="Arial"/>
                <w:sz w:val="16"/>
                <w:szCs w:val="16"/>
              </w:rPr>
            </w:pPr>
          </w:p>
        </w:tc>
        <w:tc>
          <w:tcPr>
            <w:tcW w:w="900" w:type="dxa"/>
            <w:tcBorders>
              <w:top w:val="nil"/>
              <w:left w:val="nil"/>
              <w:bottom w:val="nil"/>
              <w:right w:val="nil"/>
            </w:tcBorders>
            <w:shd w:val="clear" w:color="auto" w:fill="FFFFFF" w:themeFill="background1"/>
            <w:tcMar>
              <w:left w:w="58" w:type="dxa"/>
              <w:right w:w="58" w:type="dxa"/>
            </w:tcMar>
            <w:vAlign w:val="center"/>
          </w:tcPr>
          <w:p w:rsidRPr="00C87DF7" w:rsidR="00DA32DE" w:rsidP="00B518C5" w:rsidRDefault="00DA32DE" w14:paraId="4612B574" w14:textId="77777777">
            <w:pPr>
              <w:widowControl w:val="0"/>
              <w:jc w:val="right"/>
              <w:rPr>
                <w:rFonts w:cs="Arial"/>
                <w:sz w:val="16"/>
                <w:szCs w:val="16"/>
              </w:rPr>
            </w:pPr>
          </w:p>
        </w:tc>
        <w:tc>
          <w:tcPr>
            <w:tcW w:w="1080" w:type="dxa"/>
            <w:tcBorders>
              <w:top w:val="nil"/>
              <w:left w:val="nil"/>
              <w:bottom w:val="nil"/>
            </w:tcBorders>
            <w:shd w:val="clear" w:color="auto" w:fill="FFFFFF" w:themeFill="background1"/>
            <w:tcMar>
              <w:left w:w="58" w:type="dxa"/>
              <w:right w:w="58" w:type="dxa"/>
            </w:tcMar>
            <w:vAlign w:val="center"/>
          </w:tcPr>
          <w:p w:rsidRPr="00C87DF7" w:rsidR="00DA32DE" w:rsidP="00B518C5" w:rsidRDefault="00DA32DE" w14:paraId="56C7FB1B" w14:textId="77777777">
            <w:pPr>
              <w:widowControl w:val="0"/>
              <w:jc w:val="right"/>
              <w:rPr>
                <w:rFonts w:cs="Arial"/>
                <w:sz w:val="16"/>
                <w:szCs w:val="16"/>
              </w:rPr>
            </w:pPr>
          </w:p>
        </w:tc>
      </w:tr>
      <w:tr w:rsidRPr="00C87DF7" w:rsidR="00DA32DE" w:rsidTr="00BC4B73" w14:paraId="06664E26" w14:textId="77777777">
        <w:trPr>
          <w:trHeight w:val="215"/>
          <w:jc w:val="center"/>
        </w:trPr>
        <w:tc>
          <w:tcPr>
            <w:tcW w:w="2155" w:type="dxa"/>
            <w:vMerge/>
            <w:shd w:val="clear" w:color="auto" w:fill="FFFFFF" w:themeFill="background1"/>
            <w:tcMar>
              <w:left w:w="115" w:type="dxa"/>
              <w:right w:w="115" w:type="dxa"/>
            </w:tcMar>
            <w:vAlign w:val="center"/>
          </w:tcPr>
          <w:p w:rsidRPr="00C87DF7" w:rsidR="00DA32DE" w:rsidP="005367D5" w:rsidRDefault="00DA32DE" w14:paraId="05FE8D67" w14:textId="77777777">
            <w:pPr>
              <w:widowControl w:val="0"/>
              <w:ind w:left="88" w:right="-20"/>
              <w:rPr>
                <w:rFonts w:eastAsia="Arial" w:cs="Arial"/>
                <w:sz w:val="16"/>
                <w:szCs w:val="16"/>
              </w:rPr>
            </w:pPr>
          </w:p>
        </w:tc>
        <w:tc>
          <w:tcPr>
            <w:tcW w:w="3605" w:type="dxa"/>
            <w:shd w:val="clear" w:color="auto" w:fill="FFFFFF" w:themeFill="background1"/>
            <w:tcMar>
              <w:left w:w="58" w:type="dxa"/>
              <w:right w:w="58" w:type="dxa"/>
            </w:tcMar>
            <w:vAlign w:val="center"/>
          </w:tcPr>
          <w:p w:rsidRPr="00C87DF7" w:rsidR="00DA32DE" w:rsidP="005367D5" w:rsidRDefault="00DA32DE" w14:paraId="11834917" w14:textId="2D7A0A37">
            <w:pPr>
              <w:widowControl w:val="0"/>
              <w:rPr>
                <w:rFonts w:cs="Arial"/>
                <w:sz w:val="16"/>
                <w:szCs w:val="16"/>
              </w:rPr>
            </w:pPr>
            <w:r w:rsidRPr="00C87DF7">
              <w:rPr>
                <w:sz w:val="16"/>
                <w:szCs w:val="16"/>
              </w:rPr>
              <w:t>MRO activities (1 hour per positive):  review laboratory result, interview donor, and evaluate medical information from donor</w:t>
            </w:r>
          </w:p>
        </w:tc>
        <w:tc>
          <w:tcPr>
            <w:tcW w:w="720" w:type="dxa"/>
            <w:shd w:val="clear" w:color="auto" w:fill="FFFFFF" w:themeFill="background1"/>
            <w:tcMar>
              <w:left w:w="58" w:type="dxa"/>
              <w:right w:w="58" w:type="dxa"/>
            </w:tcMar>
            <w:vAlign w:val="center"/>
          </w:tcPr>
          <w:p w:rsidRPr="00C87DF7" w:rsidR="00DA32DE" w:rsidP="005367D5" w:rsidRDefault="00EB0CB6" w14:paraId="7497B252" w14:textId="2F7CC38D">
            <w:pPr>
              <w:widowControl w:val="0"/>
              <w:jc w:val="right"/>
              <w:rPr>
                <w:rFonts w:cs="Arial"/>
                <w:sz w:val="16"/>
                <w:szCs w:val="16"/>
              </w:rPr>
            </w:pPr>
            <w:r w:rsidRPr="00C87DF7">
              <w:rPr>
                <w:rFonts w:cs="Arial"/>
                <w:sz w:val="16"/>
                <w:szCs w:val="16"/>
              </w:rPr>
              <w:t>$151.36</w:t>
            </w:r>
          </w:p>
        </w:tc>
        <w:tc>
          <w:tcPr>
            <w:tcW w:w="900" w:type="dxa"/>
            <w:tcBorders>
              <w:top w:val="nil"/>
              <w:bottom w:val="nil"/>
              <w:right w:val="nil"/>
            </w:tcBorders>
            <w:shd w:val="clear" w:color="auto" w:fill="FFFFFF" w:themeFill="background1"/>
            <w:tcMar>
              <w:left w:w="58" w:type="dxa"/>
              <w:right w:w="58" w:type="dxa"/>
            </w:tcMar>
            <w:vAlign w:val="center"/>
          </w:tcPr>
          <w:p w:rsidRPr="00C87DF7" w:rsidR="00DA32DE" w:rsidP="005367D5" w:rsidRDefault="00DA32DE" w14:paraId="7AA0F21D" w14:textId="77777777">
            <w:pPr>
              <w:widowControl w:val="0"/>
              <w:jc w:val="right"/>
              <w:rPr>
                <w:rFonts w:cs="Arial"/>
                <w:sz w:val="16"/>
                <w:szCs w:val="16"/>
              </w:rPr>
            </w:pPr>
          </w:p>
        </w:tc>
        <w:tc>
          <w:tcPr>
            <w:tcW w:w="900" w:type="dxa"/>
            <w:tcBorders>
              <w:top w:val="nil"/>
              <w:left w:val="nil"/>
              <w:bottom w:val="nil"/>
              <w:right w:val="nil"/>
            </w:tcBorders>
            <w:shd w:val="clear" w:color="auto" w:fill="FFFFFF" w:themeFill="background1"/>
            <w:tcMar>
              <w:left w:w="58" w:type="dxa"/>
              <w:right w:w="58" w:type="dxa"/>
            </w:tcMar>
            <w:vAlign w:val="center"/>
          </w:tcPr>
          <w:p w:rsidRPr="00C87DF7" w:rsidR="00DA32DE" w:rsidP="005367D5" w:rsidRDefault="00DA32DE" w14:paraId="0B754C55" w14:textId="77777777">
            <w:pPr>
              <w:widowControl w:val="0"/>
              <w:jc w:val="right"/>
              <w:rPr>
                <w:rFonts w:cs="Arial"/>
                <w:sz w:val="16"/>
                <w:szCs w:val="16"/>
              </w:rPr>
            </w:pPr>
          </w:p>
        </w:tc>
        <w:tc>
          <w:tcPr>
            <w:tcW w:w="1080" w:type="dxa"/>
            <w:tcBorders>
              <w:top w:val="nil"/>
              <w:left w:val="nil"/>
              <w:bottom w:val="nil"/>
            </w:tcBorders>
            <w:shd w:val="clear" w:color="auto" w:fill="FFFFFF" w:themeFill="background1"/>
            <w:tcMar>
              <w:left w:w="58" w:type="dxa"/>
              <w:right w:w="58" w:type="dxa"/>
            </w:tcMar>
            <w:vAlign w:val="center"/>
          </w:tcPr>
          <w:p w:rsidRPr="00C87DF7" w:rsidR="00DA32DE" w:rsidP="005367D5" w:rsidRDefault="00DA32DE" w14:paraId="2DFE0DDB" w14:textId="77777777">
            <w:pPr>
              <w:widowControl w:val="0"/>
              <w:jc w:val="right"/>
              <w:rPr>
                <w:rFonts w:cs="Arial"/>
                <w:sz w:val="16"/>
                <w:szCs w:val="16"/>
              </w:rPr>
            </w:pPr>
          </w:p>
        </w:tc>
      </w:tr>
      <w:tr w:rsidRPr="00C87DF7" w:rsidR="00DA32DE" w:rsidTr="00BC4B73" w14:paraId="195C5C5D" w14:textId="77777777">
        <w:trPr>
          <w:trHeight w:val="215"/>
          <w:jc w:val="center"/>
        </w:trPr>
        <w:tc>
          <w:tcPr>
            <w:tcW w:w="2155" w:type="dxa"/>
            <w:vMerge/>
            <w:shd w:val="clear" w:color="auto" w:fill="FFFFFF" w:themeFill="background1"/>
            <w:tcMar>
              <w:left w:w="115" w:type="dxa"/>
              <w:right w:w="115" w:type="dxa"/>
            </w:tcMar>
            <w:vAlign w:val="center"/>
          </w:tcPr>
          <w:p w:rsidRPr="00C87DF7" w:rsidR="00DA32DE" w:rsidP="00FD7D78" w:rsidRDefault="00DA32DE" w14:paraId="06FE043E" w14:textId="77777777">
            <w:pPr>
              <w:widowControl w:val="0"/>
              <w:ind w:left="88" w:right="-20"/>
              <w:rPr>
                <w:rFonts w:eastAsia="Arial" w:cs="Arial"/>
                <w:sz w:val="16"/>
                <w:szCs w:val="16"/>
              </w:rPr>
            </w:pPr>
          </w:p>
        </w:tc>
        <w:tc>
          <w:tcPr>
            <w:tcW w:w="3605" w:type="dxa"/>
            <w:shd w:val="clear" w:color="auto" w:fill="FFFFFF" w:themeFill="background1"/>
            <w:tcMar>
              <w:left w:w="58" w:type="dxa"/>
              <w:right w:w="58" w:type="dxa"/>
            </w:tcMar>
            <w:vAlign w:val="center"/>
          </w:tcPr>
          <w:p w:rsidRPr="00C87DF7" w:rsidR="00DA32DE" w:rsidP="00FD7D78" w:rsidRDefault="00DA32DE" w14:paraId="59F56A81" w14:textId="3CC0990A">
            <w:pPr>
              <w:widowControl w:val="0"/>
              <w:rPr>
                <w:rFonts w:cs="Arial"/>
                <w:sz w:val="16"/>
                <w:szCs w:val="16"/>
              </w:rPr>
            </w:pPr>
            <w:r w:rsidRPr="00C87DF7">
              <w:rPr>
                <w:sz w:val="16"/>
                <w:szCs w:val="16"/>
              </w:rPr>
              <w:t>Facility Worker activities (1 hour per positive): participate in interview with MRO, obtain medical information on valid use, and provide to MRO</w:t>
            </w:r>
          </w:p>
        </w:tc>
        <w:tc>
          <w:tcPr>
            <w:tcW w:w="720" w:type="dxa"/>
            <w:shd w:val="clear" w:color="auto" w:fill="FFFFFF" w:themeFill="background1"/>
            <w:tcMar>
              <w:left w:w="58" w:type="dxa"/>
              <w:right w:w="58" w:type="dxa"/>
            </w:tcMar>
            <w:vAlign w:val="center"/>
          </w:tcPr>
          <w:p w:rsidRPr="00C87DF7" w:rsidR="00DA32DE" w:rsidP="00FD7D78" w:rsidRDefault="00EB0CB6" w14:paraId="3703C89B" w14:textId="0E8AC4FD">
            <w:pPr>
              <w:widowControl w:val="0"/>
              <w:jc w:val="right"/>
              <w:rPr>
                <w:rFonts w:cs="Arial"/>
                <w:sz w:val="16"/>
                <w:szCs w:val="16"/>
              </w:rPr>
            </w:pPr>
            <w:r w:rsidRPr="00C87DF7">
              <w:rPr>
                <w:rFonts w:cs="Arial"/>
                <w:sz w:val="16"/>
                <w:szCs w:val="16"/>
              </w:rPr>
              <w:t>$70.65</w:t>
            </w:r>
          </w:p>
        </w:tc>
        <w:tc>
          <w:tcPr>
            <w:tcW w:w="900" w:type="dxa"/>
            <w:tcBorders>
              <w:top w:val="nil"/>
              <w:bottom w:val="single" w:color="auto" w:sz="4" w:space="0"/>
              <w:right w:val="nil"/>
            </w:tcBorders>
            <w:shd w:val="clear" w:color="auto" w:fill="FFFFFF" w:themeFill="background1"/>
            <w:tcMar>
              <w:left w:w="58" w:type="dxa"/>
              <w:right w:w="58" w:type="dxa"/>
            </w:tcMar>
            <w:vAlign w:val="center"/>
          </w:tcPr>
          <w:p w:rsidRPr="00C87DF7" w:rsidR="00DA32DE" w:rsidP="00FD7D78" w:rsidRDefault="00DA32DE" w14:paraId="2733B1CF" w14:textId="77777777">
            <w:pPr>
              <w:widowControl w:val="0"/>
              <w:jc w:val="right"/>
              <w:rPr>
                <w:rFonts w:cs="Arial"/>
                <w:sz w:val="16"/>
                <w:szCs w:val="16"/>
              </w:rPr>
            </w:pPr>
          </w:p>
        </w:tc>
        <w:tc>
          <w:tcPr>
            <w:tcW w:w="900" w:type="dxa"/>
            <w:tcBorders>
              <w:top w:val="nil"/>
              <w:left w:val="nil"/>
              <w:bottom w:val="single" w:color="auto" w:sz="4" w:space="0"/>
              <w:right w:val="nil"/>
            </w:tcBorders>
            <w:shd w:val="clear" w:color="auto" w:fill="FFFFFF" w:themeFill="background1"/>
            <w:tcMar>
              <w:left w:w="58" w:type="dxa"/>
              <w:right w:w="58" w:type="dxa"/>
            </w:tcMar>
            <w:vAlign w:val="center"/>
          </w:tcPr>
          <w:p w:rsidRPr="00C87DF7" w:rsidR="00DA32DE" w:rsidP="00FD7D78" w:rsidRDefault="00DA32DE" w14:paraId="05392154" w14:textId="77777777">
            <w:pPr>
              <w:widowControl w:val="0"/>
              <w:jc w:val="right"/>
              <w:rPr>
                <w:rFonts w:cs="Arial"/>
                <w:sz w:val="16"/>
                <w:szCs w:val="16"/>
              </w:rPr>
            </w:pPr>
          </w:p>
        </w:tc>
        <w:tc>
          <w:tcPr>
            <w:tcW w:w="1080" w:type="dxa"/>
            <w:tcBorders>
              <w:top w:val="nil"/>
              <w:left w:val="nil"/>
              <w:bottom w:val="single" w:color="auto" w:sz="4" w:space="0"/>
            </w:tcBorders>
            <w:shd w:val="clear" w:color="auto" w:fill="FFFFFF" w:themeFill="background1"/>
            <w:tcMar>
              <w:left w:w="58" w:type="dxa"/>
              <w:right w:w="58" w:type="dxa"/>
            </w:tcMar>
            <w:vAlign w:val="center"/>
          </w:tcPr>
          <w:p w:rsidRPr="00C87DF7" w:rsidR="00DA32DE" w:rsidP="00FD7D78" w:rsidRDefault="00DA32DE" w14:paraId="7BC03FCC" w14:textId="77777777">
            <w:pPr>
              <w:widowControl w:val="0"/>
              <w:jc w:val="right"/>
              <w:rPr>
                <w:rFonts w:cs="Arial"/>
                <w:sz w:val="16"/>
                <w:szCs w:val="16"/>
              </w:rPr>
            </w:pPr>
          </w:p>
        </w:tc>
      </w:tr>
      <w:tr w:rsidRPr="00C87DF7" w:rsidR="00DA32DE" w:rsidTr="00BC4B73" w14:paraId="3E15E677" w14:textId="77777777">
        <w:trPr>
          <w:trHeight w:val="215"/>
          <w:jc w:val="center"/>
        </w:trPr>
        <w:tc>
          <w:tcPr>
            <w:tcW w:w="2155" w:type="dxa"/>
            <w:vMerge w:val="restart"/>
            <w:shd w:val="clear" w:color="auto" w:fill="FFFFFF" w:themeFill="background1"/>
            <w:tcMar>
              <w:left w:w="115" w:type="dxa"/>
              <w:right w:w="115" w:type="dxa"/>
            </w:tcMar>
            <w:vAlign w:val="center"/>
          </w:tcPr>
          <w:p w:rsidRPr="003E4208" w:rsidR="00B518C5" w:rsidP="00B518C5" w:rsidRDefault="00DA32DE" w14:paraId="6550CFD5" w14:textId="77777777">
            <w:pPr>
              <w:widowControl w:val="0"/>
              <w:ind w:left="88" w:right="-20"/>
              <w:rPr>
                <w:rFonts w:eastAsia="Arial"/>
                <w:sz w:val="16"/>
              </w:rPr>
            </w:pPr>
            <w:r w:rsidRPr="00C87DF7">
              <w:rPr>
                <w:rFonts w:eastAsia="Arial" w:cs="Arial"/>
                <w:sz w:val="16"/>
                <w:szCs w:val="16"/>
              </w:rPr>
              <w:t>S</w:t>
            </w:r>
            <w:r w:rsidRPr="003E4208">
              <w:rPr>
                <w:rFonts w:eastAsia="Arial"/>
                <w:sz w:val="16"/>
              </w:rPr>
              <w:t>u</w:t>
            </w:r>
            <w:r w:rsidRPr="00C87DF7">
              <w:rPr>
                <w:rFonts w:eastAsia="Arial" w:cs="Arial"/>
                <w:sz w:val="16"/>
                <w:szCs w:val="16"/>
              </w:rPr>
              <w:t>b</w:t>
            </w:r>
            <w:r w:rsidRPr="003E4208">
              <w:rPr>
                <w:rFonts w:eastAsia="Arial"/>
                <w:sz w:val="16"/>
              </w:rPr>
              <w:t>s</w:t>
            </w:r>
            <w:r w:rsidRPr="00C87DF7">
              <w:rPr>
                <w:rFonts w:eastAsia="Arial" w:cs="Arial"/>
                <w:sz w:val="16"/>
                <w:szCs w:val="16"/>
              </w:rPr>
              <w:t>e</w:t>
            </w:r>
            <w:r w:rsidRPr="003E4208">
              <w:rPr>
                <w:rFonts w:eastAsia="Arial"/>
                <w:sz w:val="16"/>
              </w:rPr>
              <w:t>quen</w:t>
            </w:r>
            <w:r w:rsidRPr="00C87DF7">
              <w:rPr>
                <w:rFonts w:eastAsia="Arial" w:cs="Arial"/>
                <w:sz w:val="16"/>
                <w:szCs w:val="16"/>
              </w:rPr>
              <w:t>t</w:t>
            </w:r>
            <w:r w:rsidRPr="003E4208">
              <w:rPr>
                <w:rFonts w:eastAsia="Arial"/>
                <w:sz w:val="16"/>
              </w:rPr>
              <w:t xml:space="preserve"> </w:t>
            </w:r>
            <w:r w:rsidRPr="00C87DF7">
              <w:rPr>
                <w:rFonts w:eastAsia="Arial" w:cs="Arial"/>
                <w:sz w:val="16"/>
                <w:szCs w:val="16"/>
              </w:rPr>
              <w:t>a</w:t>
            </w:r>
            <w:r w:rsidRPr="003E4208">
              <w:rPr>
                <w:rFonts w:eastAsia="Arial"/>
                <w:sz w:val="16"/>
              </w:rPr>
              <w:t>c</w:t>
            </w:r>
            <w:r w:rsidRPr="00C87DF7">
              <w:rPr>
                <w:rFonts w:eastAsia="Arial" w:cs="Arial"/>
                <w:sz w:val="16"/>
                <w:szCs w:val="16"/>
              </w:rPr>
              <w:t>t</w:t>
            </w:r>
            <w:r w:rsidRPr="003E4208">
              <w:rPr>
                <w:rFonts w:eastAsia="Arial"/>
                <w:sz w:val="16"/>
              </w:rPr>
              <w:t>ion</w:t>
            </w:r>
            <w:r w:rsidRPr="00C87DF7">
              <w:rPr>
                <w:rFonts w:eastAsia="Arial" w:cs="Arial"/>
                <w:sz w:val="16"/>
                <w:szCs w:val="16"/>
              </w:rPr>
              <w:t>s</w:t>
            </w:r>
            <w:r w:rsidRPr="003E4208">
              <w:rPr>
                <w:rFonts w:eastAsia="Arial"/>
                <w:sz w:val="16"/>
              </w:rPr>
              <w:t xml:space="preserve"> </w:t>
            </w:r>
            <w:r w:rsidRPr="00C87DF7">
              <w:rPr>
                <w:rFonts w:eastAsia="Arial" w:cs="Arial"/>
                <w:sz w:val="16"/>
                <w:szCs w:val="16"/>
              </w:rPr>
              <w:t>by</w:t>
            </w:r>
            <w:r w:rsidRPr="003E4208">
              <w:rPr>
                <w:rFonts w:eastAsia="Arial"/>
                <w:sz w:val="16"/>
              </w:rPr>
              <w:t xml:space="preserve"> </w:t>
            </w:r>
          </w:p>
          <w:p w:rsidRPr="00C87DF7" w:rsidR="00DA32DE" w:rsidP="00B518C5" w:rsidRDefault="00DA32DE" w14:paraId="5FD984E1" w14:textId="310EE324">
            <w:pPr>
              <w:widowControl w:val="0"/>
              <w:ind w:left="88" w:right="-20"/>
              <w:rPr>
                <w:rFonts w:eastAsia="Arial" w:cs="Arial"/>
                <w:sz w:val="16"/>
                <w:szCs w:val="16"/>
              </w:rPr>
            </w:pPr>
            <w:r w:rsidRPr="00C87DF7">
              <w:rPr>
                <w:rFonts w:eastAsia="Arial" w:cs="Arial"/>
                <w:sz w:val="16"/>
                <w:szCs w:val="16"/>
              </w:rPr>
              <w:t>FFD</w:t>
            </w:r>
            <w:r w:rsidRPr="003E4208">
              <w:rPr>
                <w:rFonts w:eastAsia="Arial"/>
                <w:sz w:val="16"/>
              </w:rPr>
              <w:t xml:space="preserve"> program</w:t>
            </w:r>
            <w:r w:rsidRPr="00C87DF7">
              <w:rPr>
                <w:rFonts w:eastAsia="Arial" w:cs="Arial"/>
                <w:sz w:val="16"/>
                <w:szCs w:val="16"/>
              </w:rPr>
              <w:t xml:space="preserve"> per</w:t>
            </w:r>
            <w:r w:rsidRPr="003E4208">
              <w:rPr>
                <w:rFonts w:eastAsia="Arial"/>
                <w:sz w:val="16"/>
              </w:rPr>
              <w:t>so</w:t>
            </w:r>
            <w:r w:rsidRPr="00C87DF7">
              <w:rPr>
                <w:rFonts w:eastAsia="Arial" w:cs="Arial"/>
                <w:sz w:val="16"/>
                <w:szCs w:val="16"/>
              </w:rPr>
              <w:t>n</w:t>
            </w:r>
            <w:r w:rsidRPr="003E4208">
              <w:rPr>
                <w:rFonts w:eastAsia="Arial"/>
                <w:sz w:val="16"/>
              </w:rPr>
              <w:t>n</w:t>
            </w:r>
            <w:r w:rsidRPr="00C87DF7">
              <w:rPr>
                <w:rFonts w:eastAsia="Arial" w:cs="Arial"/>
                <w:sz w:val="16"/>
                <w:szCs w:val="16"/>
              </w:rPr>
              <w:t>el</w:t>
            </w:r>
            <w:r w:rsidRPr="003E4208">
              <w:rPr>
                <w:rFonts w:eastAsia="Arial"/>
                <w:sz w:val="16"/>
              </w:rPr>
              <w:t xml:space="preserve"> </w:t>
            </w:r>
            <w:r w:rsidRPr="00C87DF7">
              <w:rPr>
                <w:rFonts w:eastAsia="Arial" w:cs="Arial"/>
                <w:sz w:val="16"/>
                <w:szCs w:val="16"/>
              </w:rPr>
              <w:t>for</w:t>
            </w:r>
            <w:r w:rsidRPr="003E4208">
              <w:rPr>
                <w:rFonts w:eastAsia="Arial"/>
                <w:sz w:val="16"/>
              </w:rPr>
              <w:t xml:space="preserve"> </w:t>
            </w:r>
            <w:r w:rsidRPr="00C87DF7">
              <w:rPr>
                <w:rFonts w:eastAsia="Arial" w:cs="Arial"/>
                <w:sz w:val="16"/>
                <w:szCs w:val="16"/>
              </w:rPr>
              <w:t>add</w:t>
            </w:r>
            <w:r w:rsidRPr="003E4208">
              <w:rPr>
                <w:rFonts w:eastAsia="Arial"/>
                <w:sz w:val="16"/>
              </w:rPr>
              <w:t>i</w:t>
            </w:r>
            <w:r w:rsidRPr="00C87DF7">
              <w:rPr>
                <w:rFonts w:eastAsia="Arial" w:cs="Arial"/>
                <w:sz w:val="16"/>
                <w:szCs w:val="16"/>
              </w:rPr>
              <w:t>t</w:t>
            </w:r>
            <w:r w:rsidRPr="003E4208">
              <w:rPr>
                <w:rFonts w:eastAsia="Arial"/>
                <w:sz w:val="16"/>
              </w:rPr>
              <w:t>ion</w:t>
            </w:r>
            <w:r w:rsidRPr="00C87DF7">
              <w:rPr>
                <w:rFonts w:eastAsia="Arial" w:cs="Arial"/>
                <w:sz w:val="16"/>
                <w:szCs w:val="16"/>
              </w:rPr>
              <w:t>al</w:t>
            </w:r>
            <w:r w:rsidRPr="003E4208">
              <w:rPr>
                <w:rFonts w:eastAsia="Arial"/>
                <w:sz w:val="16"/>
              </w:rPr>
              <w:t xml:space="preserve"> </w:t>
            </w:r>
            <w:r w:rsidRPr="003E4208" w:rsidR="00B518C5">
              <w:rPr>
                <w:rFonts w:eastAsia="Arial"/>
                <w:sz w:val="16"/>
              </w:rPr>
              <w:t>opioid</w:t>
            </w:r>
            <w:r w:rsidRPr="003E4208">
              <w:rPr>
                <w:rFonts w:eastAsia="Arial"/>
                <w:sz w:val="16"/>
              </w:rPr>
              <w:t xml:space="preserve"> </w:t>
            </w:r>
            <w:r w:rsidRPr="00C87DF7">
              <w:rPr>
                <w:rFonts w:eastAsia="Arial" w:cs="Arial"/>
                <w:sz w:val="16"/>
                <w:szCs w:val="16"/>
              </w:rPr>
              <w:t>po</w:t>
            </w:r>
            <w:r w:rsidRPr="003E4208">
              <w:rPr>
                <w:rFonts w:eastAsia="Arial"/>
                <w:sz w:val="16"/>
              </w:rPr>
              <w:t>sitiv</w:t>
            </w:r>
            <w:r w:rsidRPr="00C87DF7">
              <w:rPr>
                <w:rFonts w:eastAsia="Arial" w:cs="Arial"/>
                <w:sz w:val="16"/>
                <w:szCs w:val="16"/>
              </w:rPr>
              <w:t>e</w:t>
            </w:r>
            <w:r w:rsidRPr="003E4208">
              <w:rPr>
                <w:rFonts w:eastAsia="Arial"/>
                <w:sz w:val="16"/>
              </w:rPr>
              <w:t xml:space="preserve"> </w:t>
            </w:r>
            <w:r w:rsidRPr="00C87DF7">
              <w:rPr>
                <w:rFonts w:eastAsia="Arial" w:cs="Arial"/>
                <w:sz w:val="16"/>
                <w:szCs w:val="16"/>
              </w:rPr>
              <w:t>test</w:t>
            </w:r>
            <w:r w:rsidRPr="003E4208">
              <w:rPr>
                <w:rFonts w:eastAsia="Arial"/>
                <w:sz w:val="16"/>
              </w:rPr>
              <w:t xml:space="preserve"> </w:t>
            </w:r>
            <w:r w:rsidRPr="00C87DF7">
              <w:rPr>
                <w:rFonts w:eastAsia="Arial" w:cs="Arial"/>
                <w:sz w:val="16"/>
                <w:szCs w:val="16"/>
              </w:rPr>
              <w:t>re</w:t>
            </w:r>
            <w:r w:rsidRPr="003E4208">
              <w:rPr>
                <w:rFonts w:eastAsia="Arial"/>
                <w:sz w:val="16"/>
              </w:rPr>
              <w:t>sul</w:t>
            </w:r>
            <w:r w:rsidRPr="00C87DF7">
              <w:rPr>
                <w:rFonts w:eastAsia="Arial" w:cs="Arial"/>
                <w:sz w:val="16"/>
                <w:szCs w:val="16"/>
              </w:rPr>
              <w:t>ts</w:t>
            </w:r>
            <w:r w:rsidRPr="003E4208">
              <w:rPr>
                <w:rFonts w:eastAsia="Arial"/>
                <w:sz w:val="16"/>
              </w:rPr>
              <w:t xml:space="preserve"> </w:t>
            </w:r>
            <w:r w:rsidRPr="003E4208" w:rsidR="00BC4B73">
              <w:rPr>
                <w:rFonts w:eastAsia="Arial"/>
                <w:sz w:val="16"/>
              </w:rPr>
              <w:br/>
            </w:r>
            <w:r w:rsidRPr="003E4208">
              <w:rPr>
                <w:rFonts w:eastAsia="Arial"/>
                <w:sz w:val="16"/>
              </w:rPr>
              <w:t>(</w:t>
            </w:r>
            <w:r w:rsidRPr="00C87DF7">
              <w:rPr>
                <w:rFonts w:eastAsia="Arial" w:cs="Arial"/>
                <w:sz w:val="16"/>
                <w:szCs w:val="16"/>
              </w:rPr>
              <w:t>a</w:t>
            </w:r>
            <w:r w:rsidRPr="003E4208">
              <w:rPr>
                <w:rFonts w:eastAsia="Arial"/>
                <w:sz w:val="16"/>
              </w:rPr>
              <w:t>l</w:t>
            </w:r>
            <w:r w:rsidRPr="00C87DF7">
              <w:rPr>
                <w:rFonts w:eastAsia="Arial" w:cs="Arial"/>
                <w:sz w:val="16"/>
                <w:szCs w:val="16"/>
              </w:rPr>
              <w:t>l s</w:t>
            </w:r>
            <w:r w:rsidRPr="003E4208">
              <w:rPr>
                <w:rFonts w:eastAsia="Arial"/>
                <w:sz w:val="16"/>
              </w:rPr>
              <w:t>ite</w:t>
            </w:r>
            <w:r w:rsidRPr="00C87DF7">
              <w:rPr>
                <w:rFonts w:eastAsia="Arial" w:cs="Arial"/>
                <w:sz w:val="16"/>
                <w:szCs w:val="16"/>
              </w:rPr>
              <w:t>s)</w:t>
            </w:r>
          </w:p>
        </w:tc>
        <w:tc>
          <w:tcPr>
            <w:tcW w:w="3605" w:type="dxa"/>
            <w:shd w:val="clear" w:color="auto" w:fill="FFFFFF" w:themeFill="background1"/>
            <w:tcMar>
              <w:left w:w="58" w:type="dxa"/>
              <w:right w:w="58" w:type="dxa"/>
            </w:tcMar>
            <w:vAlign w:val="center"/>
          </w:tcPr>
          <w:p w:rsidRPr="00C87DF7" w:rsidR="00DA32DE" w:rsidP="00B518C5" w:rsidRDefault="00DA32DE" w14:paraId="36CB82E1" w14:textId="77777777">
            <w:pPr>
              <w:widowControl w:val="0"/>
              <w:rPr>
                <w:rFonts w:cs="Arial"/>
                <w:sz w:val="16"/>
                <w:szCs w:val="16"/>
              </w:rPr>
            </w:pPr>
            <w:r w:rsidRPr="00C87DF7">
              <w:rPr>
                <w:rFonts w:cs="Arial"/>
                <w:sz w:val="16"/>
                <w:szCs w:val="16"/>
              </w:rPr>
              <w:t>Number of drug tests conducted per site per year under 10 CFR Part 26</w:t>
            </w:r>
          </w:p>
        </w:tc>
        <w:tc>
          <w:tcPr>
            <w:tcW w:w="720" w:type="dxa"/>
            <w:shd w:val="clear" w:color="auto" w:fill="FFFFFF" w:themeFill="background1"/>
            <w:tcMar>
              <w:left w:w="58" w:type="dxa"/>
              <w:right w:w="58" w:type="dxa"/>
            </w:tcMar>
            <w:vAlign w:val="center"/>
          </w:tcPr>
          <w:p w:rsidRPr="00C87DF7" w:rsidR="00DA32DE" w:rsidP="00B518C5" w:rsidRDefault="00DA32DE" w14:paraId="3868D518" w14:textId="30723403">
            <w:pPr>
              <w:widowControl w:val="0"/>
              <w:jc w:val="right"/>
              <w:rPr>
                <w:rFonts w:cs="Arial"/>
                <w:sz w:val="16"/>
                <w:szCs w:val="16"/>
              </w:rPr>
            </w:pPr>
            <w:r w:rsidRPr="00C87DF7">
              <w:rPr>
                <w:rFonts w:cs="Arial"/>
                <w:sz w:val="16"/>
                <w:szCs w:val="16"/>
              </w:rPr>
              <w:t>2,</w:t>
            </w:r>
            <w:r w:rsidRPr="00C87DF7" w:rsidR="00375050">
              <w:rPr>
                <w:rFonts w:cs="Arial"/>
                <w:sz w:val="16"/>
                <w:szCs w:val="16"/>
              </w:rPr>
              <w:t>257</w:t>
            </w:r>
          </w:p>
        </w:tc>
        <w:tc>
          <w:tcPr>
            <w:tcW w:w="900" w:type="dxa"/>
            <w:tcBorders>
              <w:top w:val="single" w:color="auto" w:sz="4" w:space="0"/>
              <w:bottom w:val="single" w:color="auto" w:sz="4" w:space="0"/>
            </w:tcBorders>
            <w:shd w:val="clear" w:color="auto" w:fill="FFFFFF" w:themeFill="background1"/>
            <w:tcMar>
              <w:left w:w="58" w:type="dxa"/>
              <w:right w:w="58" w:type="dxa"/>
            </w:tcMar>
            <w:vAlign w:val="center"/>
          </w:tcPr>
          <w:p w:rsidRPr="00C87DF7" w:rsidR="00DA32DE" w:rsidP="00B518C5" w:rsidRDefault="00B518C5" w14:paraId="28C3CE04" w14:textId="33E65911">
            <w:pPr>
              <w:widowControl w:val="0"/>
              <w:jc w:val="right"/>
              <w:rPr>
                <w:rFonts w:cs="Arial"/>
                <w:sz w:val="16"/>
                <w:szCs w:val="16"/>
              </w:rPr>
            </w:pPr>
            <w:r w:rsidRPr="00C87DF7">
              <w:rPr>
                <w:rFonts w:cs="Arial"/>
                <w:sz w:val="16"/>
                <w:szCs w:val="16"/>
              </w:rPr>
              <w:t>($</w:t>
            </w:r>
            <w:r w:rsidRPr="00C87DF7" w:rsidR="005A2124">
              <w:rPr>
                <w:rFonts w:cs="Arial"/>
                <w:sz w:val="16"/>
                <w:szCs w:val="16"/>
              </w:rPr>
              <w:t>327</w:t>
            </w:r>
            <w:r w:rsidRPr="00C87DF7">
              <w:rPr>
                <w:rFonts w:cs="Arial"/>
                <w:sz w:val="16"/>
                <w:szCs w:val="16"/>
              </w:rPr>
              <w:t>)</w:t>
            </w:r>
          </w:p>
        </w:tc>
        <w:tc>
          <w:tcPr>
            <w:tcW w:w="900" w:type="dxa"/>
            <w:tcBorders>
              <w:top w:val="single" w:color="auto" w:sz="4" w:space="0"/>
              <w:bottom w:val="single" w:color="auto" w:sz="4" w:space="0"/>
            </w:tcBorders>
            <w:shd w:val="clear" w:color="auto" w:fill="FFFFFF" w:themeFill="background1"/>
            <w:tcMar>
              <w:left w:w="58" w:type="dxa"/>
              <w:right w:w="58" w:type="dxa"/>
            </w:tcMar>
            <w:vAlign w:val="center"/>
          </w:tcPr>
          <w:p w:rsidRPr="00C87DF7" w:rsidR="00DA32DE" w:rsidP="00B518C5" w:rsidRDefault="00375050" w14:paraId="7AC33030" w14:textId="68904D2D">
            <w:pPr>
              <w:widowControl w:val="0"/>
              <w:jc w:val="right"/>
              <w:rPr>
                <w:rFonts w:cs="Arial"/>
                <w:sz w:val="16"/>
                <w:szCs w:val="16"/>
              </w:rPr>
            </w:pPr>
            <w:r w:rsidRPr="00C87DF7">
              <w:rPr>
                <w:rFonts w:cs="Arial"/>
                <w:sz w:val="16"/>
                <w:szCs w:val="16"/>
              </w:rPr>
              <w:t>59</w:t>
            </w:r>
          </w:p>
        </w:tc>
        <w:tc>
          <w:tcPr>
            <w:tcW w:w="1080" w:type="dxa"/>
            <w:tcBorders>
              <w:top w:val="single" w:color="auto" w:sz="4" w:space="0"/>
              <w:bottom w:val="single" w:color="auto" w:sz="4" w:space="0"/>
            </w:tcBorders>
            <w:shd w:val="clear" w:color="auto" w:fill="FFFFFF" w:themeFill="background1"/>
            <w:tcMar>
              <w:left w:w="58" w:type="dxa"/>
              <w:right w:w="58" w:type="dxa"/>
            </w:tcMar>
            <w:vAlign w:val="center"/>
          </w:tcPr>
          <w:p w:rsidRPr="00C87DF7" w:rsidR="00DA32DE" w:rsidP="00B518C5" w:rsidRDefault="00B518C5" w14:paraId="2D1C9F3E" w14:textId="31A64182">
            <w:pPr>
              <w:widowControl w:val="0"/>
              <w:jc w:val="right"/>
              <w:rPr>
                <w:rFonts w:cs="Arial"/>
                <w:sz w:val="16"/>
                <w:szCs w:val="16"/>
              </w:rPr>
            </w:pPr>
            <w:r w:rsidRPr="00C87DF7">
              <w:rPr>
                <w:rFonts w:cs="Arial"/>
                <w:sz w:val="16"/>
                <w:szCs w:val="16"/>
              </w:rPr>
              <w:t>($</w:t>
            </w:r>
            <w:r w:rsidRPr="00C87DF7" w:rsidR="005A2124">
              <w:rPr>
                <w:rFonts w:cs="Arial"/>
                <w:sz w:val="16"/>
                <w:szCs w:val="16"/>
              </w:rPr>
              <w:t>19,293</w:t>
            </w:r>
            <w:r w:rsidRPr="00C87DF7">
              <w:rPr>
                <w:rFonts w:cs="Arial"/>
                <w:sz w:val="16"/>
                <w:szCs w:val="16"/>
              </w:rPr>
              <w:t>)</w:t>
            </w:r>
          </w:p>
        </w:tc>
      </w:tr>
      <w:tr w:rsidRPr="00C87DF7" w:rsidR="00DA32DE" w:rsidTr="00BC4B73" w14:paraId="42E5BFF5" w14:textId="77777777">
        <w:trPr>
          <w:trHeight w:val="269"/>
          <w:jc w:val="center"/>
        </w:trPr>
        <w:tc>
          <w:tcPr>
            <w:tcW w:w="2155" w:type="dxa"/>
            <w:vMerge/>
            <w:shd w:val="clear" w:color="auto" w:fill="FFFFFF" w:themeFill="background1"/>
            <w:tcMar>
              <w:left w:w="115" w:type="dxa"/>
              <w:right w:w="115" w:type="dxa"/>
            </w:tcMar>
            <w:vAlign w:val="center"/>
          </w:tcPr>
          <w:p w:rsidRPr="00C87DF7" w:rsidR="00DA32DE" w:rsidP="00216437" w:rsidRDefault="00DA32DE" w14:paraId="69372E02" w14:textId="77777777">
            <w:pPr>
              <w:widowControl w:val="0"/>
              <w:rPr>
                <w:rFonts w:cs="Arial"/>
                <w:sz w:val="16"/>
                <w:szCs w:val="16"/>
              </w:rPr>
            </w:pPr>
          </w:p>
        </w:tc>
        <w:tc>
          <w:tcPr>
            <w:tcW w:w="3605" w:type="dxa"/>
            <w:shd w:val="clear" w:color="auto" w:fill="FFFFFF" w:themeFill="background1"/>
            <w:tcMar>
              <w:left w:w="58" w:type="dxa"/>
              <w:right w:w="58" w:type="dxa"/>
            </w:tcMar>
            <w:vAlign w:val="center"/>
          </w:tcPr>
          <w:p w:rsidRPr="00C87DF7" w:rsidR="00DA32DE" w:rsidP="00216437" w:rsidRDefault="00DA32DE" w14:paraId="04ECE736" w14:textId="1EE2071B">
            <w:pPr>
              <w:widowControl w:val="0"/>
              <w:rPr>
                <w:rFonts w:cs="Arial"/>
                <w:sz w:val="16"/>
                <w:szCs w:val="16"/>
              </w:rPr>
            </w:pPr>
            <w:r w:rsidRPr="00C87DF7">
              <w:rPr>
                <w:rFonts w:cs="Arial"/>
                <w:sz w:val="16"/>
                <w:szCs w:val="16"/>
              </w:rPr>
              <w:t>Projected confirmed positive test rate</w:t>
            </w:r>
            <w:r w:rsidRPr="00C87DF7" w:rsidR="00A859D3">
              <w:rPr>
                <w:rFonts w:cs="Arial"/>
                <w:sz w:val="16"/>
                <w:szCs w:val="16"/>
              </w:rPr>
              <w:t xml:space="preserve"> for expanded opiate panel</w:t>
            </w:r>
          </w:p>
        </w:tc>
        <w:tc>
          <w:tcPr>
            <w:tcW w:w="720" w:type="dxa"/>
            <w:tcBorders>
              <w:bottom w:val="single" w:color="auto" w:sz="4" w:space="0"/>
              <w:right w:val="single" w:color="auto" w:sz="4" w:space="0"/>
            </w:tcBorders>
            <w:shd w:val="clear" w:color="auto" w:fill="FFFFFF" w:themeFill="background1"/>
            <w:tcMar>
              <w:left w:w="58" w:type="dxa"/>
              <w:right w:w="58" w:type="dxa"/>
            </w:tcMar>
            <w:vAlign w:val="center"/>
          </w:tcPr>
          <w:p w:rsidRPr="00C87DF7" w:rsidR="00DA32DE" w:rsidP="00216437" w:rsidRDefault="00375050" w14:paraId="0F6EA5FD" w14:textId="7C1B9EBA">
            <w:pPr>
              <w:widowControl w:val="0"/>
              <w:jc w:val="right"/>
              <w:rPr>
                <w:rFonts w:cs="Arial"/>
                <w:sz w:val="16"/>
                <w:szCs w:val="16"/>
              </w:rPr>
            </w:pPr>
            <w:r w:rsidRPr="00C87DF7">
              <w:rPr>
                <w:rFonts w:cs="Arial"/>
                <w:sz w:val="16"/>
                <w:szCs w:val="16"/>
              </w:rPr>
              <w:t>0.0</w:t>
            </w:r>
            <w:r w:rsidRPr="00C87DF7" w:rsidR="00AF2E80">
              <w:rPr>
                <w:rFonts w:cs="Arial"/>
                <w:sz w:val="16"/>
                <w:szCs w:val="16"/>
              </w:rPr>
              <w:t>66</w:t>
            </w:r>
            <w:r w:rsidRPr="00C87DF7">
              <w:rPr>
                <w:rFonts w:cs="Arial"/>
                <w:sz w:val="16"/>
                <w:szCs w:val="16"/>
              </w:rPr>
              <w:t>%</w:t>
            </w:r>
          </w:p>
        </w:tc>
        <w:tc>
          <w:tcPr>
            <w:tcW w:w="900"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C87DF7" w:rsidR="00DA32DE" w:rsidP="00216437" w:rsidRDefault="00DA32DE" w14:paraId="22E28433" w14:textId="77777777">
            <w:pPr>
              <w:widowControl w:val="0"/>
              <w:jc w:val="right"/>
              <w:rPr>
                <w:rFonts w:cs="Arial"/>
                <w:sz w:val="16"/>
                <w:szCs w:val="16"/>
              </w:rPr>
            </w:pPr>
          </w:p>
        </w:tc>
        <w:tc>
          <w:tcPr>
            <w:tcW w:w="900" w:type="dxa"/>
            <w:tcBorders>
              <w:top w:val="single" w:color="auto" w:sz="4" w:space="0"/>
              <w:left w:val="nil"/>
              <w:bottom w:val="nil"/>
              <w:right w:val="nil"/>
            </w:tcBorders>
            <w:shd w:val="clear" w:color="auto" w:fill="FFFFFF" w:themeFill="background1"/>
            <w:tcMar>
              <w:left w:w="58" w:type="dxa"/>
              <w:right w:w="58" w:type="dxa"/>
            </w:tcMar>
            <w:vAlign w:val="center"/>
          </w:tcPr>
          <w:p w:rsidRPr="00C87DF7" w:rsidR="00DA32DE" w:rsidP="00216437" w:rsidRDefault="00DA32DE" w14:paraId="66F64F39" w14:textId="77777777">
            <w:pPr>
              <w:widowControl w:val="0"/>
              <w:jc w:val="right"/>
              <w:rPr>
                <w:rFonts w:cs="Arial"/>
                <w:sz w:val="16"/>
                <w:szCs w:val="16"/>
              </w:rPr>
            </w:pPr>
          </w:p>
        </w:tc>
        <w:tc>
          <w:tcPr>
            <w:tcW w:w="108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C87DF7" w:rsidR="00DA32DE" w:rsidP="00B518C5" w:rsidRDefault="00DA32DE" w14:paraId="124A2E7A" w14:textId="77777777">
            <w:pPr>
              <w:widowControl w:val="0"/>
              <w:jc w:val="right"/>
              <w:rPr>
                <w:rFonts w:cs="Arial"/>
                <w:sz w:val="16"/>
                <w:szCs w:val="16"/>
              </w:rPr>
            </w:pPr>
          </w:p>
        </w:tc>
      </w:tr>
      <w:tr w:rsidRPr="00C87DF7" w:rsidR="00030847" w:rsidTr="00BC4B73" w14:paraId="74066989" w14:textId="77777777">
        <w:trPr>
          <w:trHeight w:val="269"/>
          <w:jc w:val="center"/>
        </w:trPr>
        <w:tc>
          <w:tcPr>
            <w:tcW w:w="2155" w:type="dxa"/>
            <w:vMerge/>
            <w:shd w:val="clear" w:color="auto" w:fill="FFFFFF" w:themeFill="background1"/>
            <w:tcMar>
              <w:left w:w="115" w:type="dxa"/>
              <w:right w:w="115" w:type="dxa"/>
            </w:tcMar>
            <w:vAlign w:val="center"/>
          </w:tcPr>
          <w:p w:rsidRPr="00C87DF7" w:rsidR="00A859D3" w:rsidP="00216437" w:rsidRDefault="00A859D3" w14:paraId="1E09A770" w14:textId="77777777">
            <w:pPr>
              <w:widowControl w:val="0"/>
              <w:rPr>
                <w:rFonts w:cs="Arial"/>
                <w:sz w:val="16"/>
                <w:szCs w:val="16"/>
              </w:rPr>
            </w:pPr>
          </w:p>
        </w:tc>
        <w:tc>
          <w:tcPr>
            <w:tcW w:w="3605" w:type="dxa"/>
            <w:shd w:val="clear" w:color="auto" w:fill="FFFFFF" w:themeFill="background1"/>
            <w:tcMar>
              <w:left w:w="58" w:type="dxa"/>
              <w:right w:w="58" w:type="dxa"/>
            </w:tcMar>
            <w:vAlign w:val="center"/>
          </w:tcPr>
          <w:p w:rsidRPr="00C87DF7" w:rsidR="00A859D3" w:rsidP="00216437" w:rsidRDefault="00E00AD5" w14:paraId="7369255D" w14:textId="6906A2D2">
            <w:pPr>
              <w:widowControl w:val="0"/>
              <w:rPr>
                <w:rFonts w:cs="Arial"/>
                <w:sz w:val="16"/>
                <w:szCs w:val="16"/>
              </w:rPr>
            </w:pPr>
            <w:r w:rsidRPr="00C87DF7">
              <w:rPr>
                <w:rFonts w:cs="Arial"/>
                <w:sz w:val="16"/>
                <w:szCs w:val="16"/>
              </w:rPr>
              <w:t>Projected percentage of additional opioid positive results that will confirm positive after MRO interview with donor</w:t>
            </w:r>
          </w:p>
        </w:tc>
        <w:tc>
          <w:tcPr>
            <w:tcW w:w="720" w:type="dxa"/>
            <w:tcBorders>
              <w:right w:val="single" w:color="auto" w:sz="4" w:space="0"/>
            </w:tcBorders>
            <w:shd w:val="clear" w:color="auto" w:fill="FFFFFF" w:themeFill="background1"/>
            <w:tcMar>
              <w:left w:w="58" w:type="dxa"/>
              <w:right w:w="58" w:type="dxa"/>
            </w:tcMar>
            <w:vAlign w:val="center"/>
          </w:tcPr>
          <w:p w:rsidRPr="00C87DF7" w:rsidR="00A859D3" w:rsidP="00216437" w:rsidRDefault="00E00AD5" w14:paraId="23CB4B09" w14:textId="66ED806B">
            <w:pPr>
              <w:widowControl w:val="0"/>
              <w:jc w:val="right"/>
              <w:rPr>
                <w:rFonts w:cs="Arial"/>
                <w:sz w:val="16"/>
                <w:szCs w:val="16"/>
              </w:rPr>
            </w:pPr>
            <w:r w:rsidRPr="00C87DF7">
              <w:rPr>
                <w:rFonts w:cs="Arial"/>
                <w:sz w:val="16"/>
                <w:szCs w:val="16"/>
              </w:rPr>
              <w:t>71%</w:t>
            </w:r>
          </w:p>
        </w:tc>
        <w:tc>
          <w:tcPr>
            <w:tcW w:w="900"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C87DF7" w:rsidR="00A859D3" w:rsidP="00216437" w:rsidRDefault="00A859D3" w14:paraId="490A61A0" w14:textId="77777777">
            <w:pPr>
              <w:widowControl w:val="0"/>
              <w:jc w:val="right"/>
              <w:rPr>
                <w:rFonts w:cs="Arial"/>
                <w:sz w:val="16"/>
                <w:szCs w:val="16"/>
              </w:rPr>
            </w:pPr>
          </w:p>
        </w:tc>
        <w:tc>
          <w:tcPr>
            <w:tcW w:w="900" w:type="dxa"/>
            <w:tcBorders>
              <w:top w:val="single" w:color="auto" w:sz="4" w:space="0"/>
              <w:left w:val="nil"/>
              <w:bottom w:val="nil"/>
              <w:right w:val="nil"/>
            </w:tcBorders>
            <w:shd w:val="clear" w:color="auto" w:fill="FFFFFF" w:themeFill="background1"/>
            <w:tcMar>
              <w:left w:w="58" w:type="dxa"/>
              <w:right w:w="58" w:type="dxa"/>
            </w:tcMar>
            <w:vAlign w:val="center"/>
          </w:tcPr>
          <w:p w:rsidRPr="00C87DF7" w:rsidR="00A859D3" w:rsidP="00216437" w:rsidRDefault="00A859D3" w14:paraId="2E500A4C" w14:textId="77777777">
            <w:pPr>
              <w:widowControl w:val="0"/>
              <w:jc w:val="right"/>
              <w:rPr>
                <w:rFonts w:cs="Arial"/>
                <w:sz w:val="16"/>
                <w:szCs w:val="16"/>
              </w:rPr>
            </w:pPr>
          </w:p>
        </w:tc>
        <w:tc>
          <w:tcPr>
            <w:tcW w:w="108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C87DF7" w:rsidR="00A859D3" w:rsidP="00B518C5" w:rsidRDefault="00A859D3" w14:paraId="4FA7D0E9" w14:textId="77777777">
            <w:pPr>
              <w:widowControl w:val="0"/>
              <w:jc w:val="right"/>
              <w:rPr>
                <w:rFonts w:cs="Arial"/>
                <w:sz w:val="16"/>
                <w:szCs w:val="16"/>
              </w:rPr>
            </w:pPr>
          </w:p>
        </w:tc>
      </w:tr>
      <w:tr w:rsidRPr="00C87DF7" w:rsidR="0055735B" w:rsidTr="00BC4B73" w14:paraId="29BC8FDC" w14:textId="77777777">
        <w:trPr>
          <w:jc w:val="center"/>
        </w:trPr>
        <w:tc>
          <w:tcPr>
            <w:tcW w:w="2155" w:type="dxa"/>
            <w:vMerge/>
            <w:tcBorders>
              <w:bottom w:val="single" w:color="auto" w:sz="4" w:space="0"/>
            </w:tcBorders>
            <w:shd w:val="clear" w:color="auto" w:fill="FFFFFF" w:themeFill="background1"/>
            <w:tcMar>
              <w:left w:w="115" w:type="dxa"/>
              <w:right w:w="115" w:type="dxa"/>
            </w:tcMar>
            <w:vAlign w:val="center"/>
          </w:tcPr>
          <w:p w:rsidRPr="00C87DF7" w:rsidR="00DA32DE" w:rsidP="00DA32DE" w:rsidRDefault="00DA32DE" w14:paraId="0301F858" w14:textId="77777777">
            <w:pPr>
              <w:rPr>
                <w:rFonts w:cs="Arial"/>
                <w:sz w:val="16"/>
                <w:szCs w:val="16"/>
              </w:rPr>
            </w:pPr>
          </w:p>
        </w:tc>
        <w:tc>
          <w:tcPr>
            <w:tcW w:w="3605" w:type="dxa"/>
            <w:tcBorders>
              <w:bottom w:val="single" w:color="auto" w:sz="4" w:space="0"/>
            </w:tcBorders>
            <w:shd w:val="clear" w:color="auto" w:fill="FFFFFF" w:themeFill="background1"/>
            <w:tcMar>
              <w:left w:w="58" w:type="dxa"/>
              <w:right w:w="58" w:type="dxa"/>
            </w:tcMar>
            <w:vAlign w:val="center"/>
          </w:tcPr>
          <w:p w:rsidRPr="00C87DF7" w:rsidR="00DA32DE" w:rsidP="00DA32DE" w:rsidRDefault="00DA32DE" w14:paraId="7DA0EF61" w14:textId="77777777">
            <w:pPr>
              <w:rPr>
                <w:rFonts w:cs="Arial"/>
                <w:sz w:val="16"/>
                <w:szCs w:val="16"/>
              </w:rPr>
            </w:pPr>
            <w:r w:rsidRPr="00C87DF7">
              <w:rPr>
                <w:rFonts w:cs="Arial"/>
                <w:sz w:val="16"/>
                <w:szCs w:val="16"/>
              </w:rPr>
              <w:t>Cost of subsequent actions (per positive result)</w:t>
            </w:r>
          </w:p>
        </w:tc>
        <w:tc>
          <w:tcPr>
            <w:tcW w:w="720" w:type="dxa"/>
            <w:tcBorders>
              <w:bottom w:val="single" w:color="auto" w:sz="4" w:space="0"/>
              <w:right w:val="single" w:color="auto" w:sz="4" w:space="0"/>
            </w:tcBorders>
            <w:shd w:val="clear" w:color="auto" w:fill="FFFFFF" w:themeFill="background1"/>
            <w:tcMar>
              <w:left w:w="58" w:type="dxa"/>
              <w:right w:w="58" w:type="dxa"/>
            </w:tcMar>
            <w:vAlign w:val="center"/>
          </w:tcPr>
          <w:p w:rsidRPr="00C87DF7" w:rsidR="00DA32DE" w:rsidP="00DA32DE" w:rsidRDefault="00DA32DE" w14:paraId="220C4AE9" w14:textId="0D1B70BA">
            <w:pPr>
              <w:jc w:val="right"/>
              <w:rPr>
                <w:rFonts w:cs="Arial"/>
                <w:sz w:val="16"/>
                <w:szCs w:val="16"/>
              </w:rPr>
            </w:pPr>
            <w:r w:rsidRPr="00C87DF7">
              <w:rPr>
                <w:rFonts w:cs="Arial"/>
                <w:sz w:val="16"/>
                <w:szCs w:val="16"/>
              </w:rPr>
              <w:t>$</w:t>
            </w:r>
            <w:r w:rsidRPr="00C87DF7" w:rsidR="00AF2E80">
              <w:rPr>
                <w:rFonts w:cs="Arial"/>
                <w:sz w:val="16"/>
                <w:szCs w:val="16"/>
              </w:rPr>
              <w:t>310.66</w:t>
            </w:r>
          </w:p>
        </w:tc>
        <w:tc>
          <w:tcPr>
            <w:tcW w:w="900"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C87DF7" w:rsidR="00DA32DE" w:rsidP="00DA32DE" w:rsidRDefault="00DA32DE" w14:paraId="4CA2A1FD" w14:textId="77777777">
            <w:pPr>
              <w:jc w:val="right"/>
              <w:rPr>
                <w:rFonts w:cs="Arial"/>
                <w:sz w:val="16"/>
                <w:szCs w:val="16"/>
              </w:rPr>
            </w:pPr>
          </w:p>
        </w:tc>
        <w:tc>
          <w:tcPr>
            <w:tcW w:w="900" w:type="dxa"/>
            <w:tcBorders>
              <w:top w:val="nil"/>
              <w:left w:val="nil"/>
              <w:bottom w:val="single" w:color="auto" w:sz="4" w:space="0"/>
              <w:right w:val="nil"/>
            </w:tcBorders>
            <w:shd w:val="clear" w:color="auto" w:fill="FFFFFF" w:themeFill="background1"/>
            <w:tcMar>
              <w:left w:w="58" w:type="dxa"/>
              <w:right w:w="58" w:type="dxa"/>
            </w:tcMar>
            <w:vAlign w:val="center"/>
          </w:tcPr>
          <w:p w:rsidRPr="00C87DF7" w:rsidR="00DA32DE" w:rsidP="00DA32DE" w:rsidRDefault="00DA32DE" w14:paraId="162D3C7B" w14:textId="77777777">
            <w:pPr>
              <w:jc w:val="right"/>
              <w:rPr>
                <w:rFonts w:cs="Arial"/>
                <w:sz w:val="16"/>
                <w:szCs w:val="16"/>
              </w:rPr>
            </w:pPr>
          </w:p>
        </w:tc>
        <w:tc>
          <w:tcPr>
            <w:tcW w:w="108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C87DF7" w:rsidR="00DA32DE" w:rsidP="00DA32DE" w:rsidRDefault="00DA32DE" w14:paraId="6075FECB" w14:textId="77777777">
            <w:pPr>
              <w:jc w:val="right"/>
              <w:rPr>
                <w:rFonts w:cs="Arial"/>
                <w:sz w:val="16"/>
                <w:szCs w:val="16"/>
              </w:rPr>
            </w:pPr>
          </w:p>
        </w:tc>
      </w:tr>
      <w:tr w:rsidRPr="00C87DF7" w:rsidR="009935FB" w:rsidTr="00BC4B73" w14:paraId="6C36CC28" w14:textId="77777777">
        <w:trPr>
          <w:jc w:val="center"/>
        </w:trPr>
        <w:tc>
          <w:tcPr>
            <w:tcW w:w="2155" w:type="dxa"/>
            <w:tcBorders>
              <w:top w:val="single" w:color="auto" w:sz="4" w:space="0"/>
              <w:right w:val="single" w:color="auto" w:sz="4" w:space="0"/>
            </w:tcBorders>
            <w:shd w:val="clear" w:color="auto" w:fill="D9D9D9" w:themeFill="background1" w:themeFillShade="D9"/>
            <w:tcMar>
              <w:left w:w="115" w:type="dxa"/>
              <w:right w:w="115" w:type="dxa"/>
            </w:tcMar>
            <w:vAlign w:val="center"/>
          </w:tcPr>
          <w:p w:rsidRPr="00C87DF7" w:rsidR="00B518C5" w:rsidP="002A2C1C" w:rsidRDefault="00B518C5" w14:paraId="6A0AE3B8" w14:textId="2CE2C397">
            <w:pPr>
              <w:keepNext/>
              <w:keepLines/>
              <w:ind w:left="117"/>
              <w:rPr>
                <w:rFonts w:cs="Arial"/>
                <w:sz w:val="16"/>
                <w:szCs w:val="16"/>
              </w:rPr>
            </w:pPr>
            <w:r w:rsidRPr="00C87DF7">
              <w:rPr>
                <w:rFonts w:cs="Arial"/>
                <w:b/>
                <w:i/>
                <w:sz w:val="16"/>
                <w:szCs w:val="16"/>
              </w:rPr>
              <w:t>Activity</w:t>
            </w:r>
          </w:p>
        </w:tc>
        <w:tc>
          <w:tcPr>
            <w:tcW w:w="3605" w:type="dxa"/>
            <w:tcBorders>
              <w:top w:val="single" w:color="auto" w:sz="4" w:space="0"/>
              <w:left w:val="single" w:color="auto" w:sz="4" w:space="0"/>
              <w:right w:val="single" w:color="auto" w:sz="4" w:space="0"/>
            </w:tcBorders>
            <w:shd w:val="clear" w:color="auto" w:fill="D9D9D9" w:themeFill="background1" w:themeFillShade="D9"/>
            <w:tcMar>
              <w:left w:w="58" w:type="dxa"/>
              <w:right w:w="58" w:type="dxa"/>
            </w:tcMar>
            <w:vAlign w:val="center"/>
          </w:tcPr>
          <w:p w:rsidRPr="00C87DF7" w:rsidR="00B518C5" w:rsidP="002A2C1C" w:rsidRDefault="00B518C5" w14:paraId="3ECF069A" w14:textId="1276481B">
            <w:pPr>
              <w:keepNext/>
              <w:keepLines/>
              <w:rPr>
                <w:rFonts w:cs="Arial"/>
                <w:sz w:val="16"/>
                <w:szCs w:val="16"/>
              </w:rPr>
            </w:pPr>
            <w:r w:rsidRPr="00C87DF7">
              <w:rPr>
                <w:rFonts w:cs="Arial"/>
                <w:b/>
                <w:i/>
                <w:sz w:val="16"/>
                <w:szCs w:val="16"/>
              </w:rPr>
              <w:t>Parameter</w:t>
            </w:r>
          </w:p>
        </w:tc>
        <w:tc>
          <w:tcPr>
            <w:tcW w:w="720" w:type="dxa"/>
            <w:tcBorders>
              <w:top w:val="single" w:color="auto" w:sz="4" w:space="0"/>
              <w:left w:val="single" w:color="auto" w:sz="4" w:space="0"/>
              <w:right w:val="single" w:color="auto" w:sz="4" w:space="0"/>
            </w:tcBorders>
            <w:shd w:val="clear" w:color="auto" w:fill="D9D9D9" w:themeFill="background1" w:themeFillShade="D9"/>
            <w:tcMar>
              <w:left w:w="58" w:type="dxa"/>
              <w:right w:w="58" w:type="dxa"/>
            </w:tcMar>
            <w:vAlign w:val="center"/>
          </w:tcPr>
          <w:p w:rsidRPr="00C87DF7" w:rsidR="00B518C5" w:rsidP="002A2C1C" w:rsidRDefault="00B518C5" w14:paraId="273D05FB" w14:textId="5EB8FBE3">
            <w:pPr>
              <w:keepNext/>
              <w:keepLines/>
              <w:jc w:val="right"/>
              <w:rPr>
                <w:rFonts w:cs="Arial"/>
                <w:sz w:val="16"/>
                <w:szCs w:val="16"/>
              </w:rPr>
            </w:pPr>
            <w:r w:rsidRPr="00C87DF7">
              <w:rPr>
                <w:rFonts w:cs="Arial"/>
                <w:b/>
                <w:i/>
                <w:sz w:val="16"/>
                <w:szCs w:val="16"/>
              </w:rPr>
              <w:t>Value</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left w:w="58" w:type="dxa"/>
              <w:right w:w="58" w:type="dxa"/>
            </w:tcMar>
            <w:vAlign w:val="center"/>
          </w:tcPr>
          <w:p w:rsidRPr="00C87DF7" w:rsidR="00B518C5" w:rsidP="002A2C1C" w:rsidRDefault="00B518C5" w14:paraId="6B1B4553" w14:textId="79A429A0">
            <w:pPr>
              <w:keepNext/>
              <w:keepLines/>
              <w:jc w:val="right"/>
              <w:rPr>
                <w:rFonts w:cs="Arial"/>
                <w:sz w:val="16"/>
                <w:szCs w:val="16"/>
              </w:rPr>
            </w:pPr>
            <w:r w:rsidRPr="00C87DF7">
              <w:rPr>
                <w:rFonts w:cs="Arial"/>
                <w:b/>
                <w:i/>
                <w:sz w:val="16"/>
                <w:szCs w:val="16"/>
              </w:rPr>
              <w:t>Benefits (Cost)</w:t>
            </w:r>
          </w:p>
        </w:tc>
        <w:tc>
          <w:tcPr>
            <w:tcW w:w="90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left w:w="58" w:type="dxa"/>
              <w:right w:w="58" w:type="dxa"/>
            </w:tcMar>
            <w:vAlign w:val="center"/>
          </w:tcPr>
          <w:p w:rsidRPr="00C87DF7" w:rsidR="00B518C5" w:rsidP="002A2C1C" w:rsidRDefault="00B518C5" w14:paraId="103F6483" w14:textId="29DDCA20">
            <w:pPr>
              <w:keepNext/>
              <w:keepLines/>
              <w:jc w:val="right"/>
              <w:rPr>
                <w:rFonts w:cs="Arial"/>
                <w:sz w:val="16"/>
                <w:szCs w:val="16"/>
              </w:rPr>
            </w:pPr>
            <w:r w:rsidRPr="00C87DF7">
              <w:rPr>
                <w:rFonts w:cs="Arial"/>
                <w:b/>
                <w:i/>
                <w:sz w:val="16"/>
                <w:szCs w:val="16"/>
              </w:rPr>
              <w:t>Sites Affected</w:t>
            </w:r>
          </w:p>
        </w:tc>
        <w:tc>
          <w:tcPr>
            <w:tcW w:w="108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Mar>
              <w:left w:w="58" w:type="dxa"/>
              <w:right w:w="58" w:type="dxa"/>
            </w:tcMar>
            <w:vAlign w:val="center"/>
          </w:tcPr>
          <w:p w:rsidRPr="00C87DF7" w:rsidR="00B518C5" w:rsidP="002A2C1C" w:rsidRDefault="00B518C5" w14:paraId="6AFFA3AB" w14:textId="3C9FEFCA">
            <w:pPr>
              <w:keepNext/>
              <w:keepLines/>
              <w:jc w:val="right"/>
              <w:rPr>
                <w:rFonts w:cs="Arial"/>
                <w:sz w:val="16"/>
                <w:szCs w:val="16"/>
              </w:rPr>
            </w:pPr>
            <w:r w:rsidRPr="00C87DF7">
              <w:rPr>
                <w:rFonts w:cs="Arial"/>
                <w:b/>
                <w:i/>
                <w:sz w:val="16"/>
                <w:szCs w:val="16"/>
              </w:rPr>
              <w:t>Total Benefits (Costs)</w:t>
            </w:r>
          </w:p>
        </w:tc>
      </w:tr>
      <w:tr w:rsidRPr="00C87DF7" w:rsidR="00B518C5" w:rsidTr="00BC4B73" w14:paraId="48431782" w14:textId="77777777">
        <w:trPr>
          <w:jc w:val="center"/>
        </w:trPr>
        <w:tc>
          <w:tcPr>
            <w:tcW w:w="2155" w:type="dxa"/>
            <w:vMerge w:val="restart"/>
            <w:tcMar>
              <w:left w:w="115" w:type="dxa"/>
              <w:right w:w="115" w:type="dxa"/>
            </w:tcMar>
            <w:vAlign w:val="center"/>
          </w:tcPr>
          <w:p w:rsidRPr="00C87DF7" w:rsidR="00481E33" w:rsidP="002A2C1C" w:rsidRDefault="00B518C5" w14:paraId="31199AA2" w14:textId="77777777">
            <w:pPr>
              <w:keepNext/>
              <w:keepLines/>
              <w:ind w:left="117"/>
              <w:rPr>
                <w:rFonts w:cs="Arial"/>
                <w:sz w:val="16"/>
                <w:szCs w:val="16"/>
              </w:rPr>
            </w:pPr>
            <w:r w:rsidRPr="00C87DF7">
              <w:rPr>
                <w:rFonts w:cs="Arial"/>
                <w:sz w:val="16"/>
                <w:szCs w:val="16"/>
              </w:rPr>
              <w:t xml:space="preserve">BPTSs for expanded opioid panel </w:t>
            </w:r>
          </w:p>
          <w:p w:rsidRPr="00C87DF7" w:rsidR="00B518C5" w:rsidP="002A2C1C" w:rsidRDefault="00B518C5" w14:paraId="61959CF4" w14:textId="52C0D3CC">
            <w:pPr>
              <w:keepNext/>
              <w:keepLines/>
              <w:ind w:left="117"/>
              <w:rPr>
                <w:rFonts w:cs="Arial"/>
                <w:sz w:val="16"/>
                <w:szCs w:val="16"/>
              </w:rPr>
            </w:pPr>
            <w:r w:rsidRPr="00C87DF7">
              <w:rPr>
                <w:rFonts w:eastAsia="Arial" w:cs="Arial"/>
                <w:sz w:val="16"/>
                <w:szCs w:val="16"/>
              </w:rPr>
              <w:t>(s</w:t>
            </w:r>
            <w:r w:rsidRPr="003E4208">
              <w:rPr>
                <w:rFonts w:eastAsia="Arial"/>
                <w:sz w:val="16"/>
              </w:rPr>
              <w:t>i</w:t>
            </w:r>
            <w:r w:rsidRPr="00C87DF7">
              <w:rPr>
                <w:rFonts w:eastAsia="Arial" w:cs="Arial"/>
                <w:sz w:val="16"/>
                <w:szCs w:val="16"/>
              </w:rPr>
              <w:t>tes</w:t>
            </w:r>
            <w:r w:rsidRPr="003E4208">
              <w:rPr>
                <w:rFonts w:eastAsia="Arial"/>
                <w:sz w:val="16"/>
              </w:rPr>
              <w:t xml:space="preserve"> onl</w:t>
            </w:r>
            <w:r w:rsidRPr="00C87DF7">
              <w:rPr>
                <w:rFonts w:eastAsia="Arial" w:cs="Arial"/>
                <w:sz w:val="16"/>
                <w:szCs w:val="16"/>
              </w:rPr>
              <w:t>y</w:t>
            </w:r>
            <w:r w:rsidRPr="003E4208">
              <w:rPr>
                <w:rFonts w:eastAsia="Arial"/>
                <w:sz w:val="16"/>
              </w:rPr>
              <w:t xml:space="preserve"> u</w:t>
            </w:r>
            <w:r w:rsidRPr="00C87DF7">
              <w:rPr>
                <w:rFonts w:eastAsia="Arial" w:cs="Arial"/>
                <w:sz w:val="16"/>
                <w:szCs w:val="16"/>
              </w:rPr>
              <w:t>s</w:t>
            </w:r>
            <w:r w:rsidRPr="003E4208">
              <w:rPr>
                <w:rFonts w:eastAsia="Arial"/>
                <w:sz w:val="16"/>
              </w:rPr>
              <w:t>in</w:t>
            </w:r>
            <w:r w:rsidRPr="00C87DF7">
              <w:rPr>
                <w:rFonts w:eastAsia="Arial" w:cs="Arial"/>
                <w:sz w:val="16"/>
                <w:szCs w:val="16"/>
              </w:rPr>
              <w:t>g</w:t>
            </w:r>
            <w:r w:rsidRPr="003E4208">
              <w:rPr>
                <w:rFonts w:eastAsia="Arial"/>
                <w:sz w:val="16"/>
              </w:rPr>
              <w:t xml:space="preserve"> </w:t>
            </w:r>
            <w:r w:rsidRPr="00C87DF7">
              <w:rPr>
                <w:rFonts w:eastAsia="Arial" w:cs="Arial"/>
                <w:sz w:val="16"/>
                <w:szCs w:val="16"/>
              </w:rPr>
              <w:t>HHS</w:t>
            </w:r>
            <w:r w:rsidRPr="00C87DF7" w:rsidR="007E2603">
              <w:rPr>
                <w:rFonts w:eastAsia="Arial" w:cs="Arial"/>
                <w:sz w:val="16"/>
                <w:szCs w:val="16"/>
              </w:rPr>
              <w:noBreakHyphen/>
            </w:r>
            <w:r w:rsidRPr="00C87DF7">
              <w:rPr>
                <w:rFonts w:eastAsia="Arial" w:cs="Arial"/>
                <w:sz w:val="16"/>
                <w:szCs w:val="16"/>
              </w:rPr>
              <w:t>ce</w:t>
            </w:r>
            <w:r w:rsidRPr="003E4208">
              <w:rPr>
                <w:rFonts w:eastAsia="Arial"/>
                <w:sz w:val="16"/>
              </w:rPr>
              <w:t>r</w:t>
            </w:r>
            <w:r w:rsidRPr="00C87DF7">
              <w:rPr>
                <w:rFonts w:eastAsia="Arial" w:cs="Arial"/>
                <w:sz w:val="16"/>
                <w:szCs w:val="16"/>
              </w:rPr>
              <w:t>t</w:t>
            </w:r>
            <w:r w:rsidRPr="003E4208">
              <w:rPr>
                <w:rFonts w:eastAsia="Arial"/>
                <w:sz w:val="16"/>
              </w:rPr>
              <w:t>i</w:t>
            </w:r>
            <w:r w:rsidRPr="00C87DF7">
              <w:rPr>
                <w:rFonts w:eastAsia="Arial" w:cs="Arial"/>
                <w:sz w:val="16"/>
                <w:szCs w:val="16"/>
              </w:rPr>
              <w:t>f</w:t>
            </w:r>
            <w:r w:rsidRPr="003E4208">
              <w:rPr>
                <w:rFonts w:eastAsia="Arial"/>
                <w:sz w:val="16"/>
              </w:rPr>
              <w:t>i</w:t>
            </w:r>
            <w:r w:rsidRPr="00C87DF7">
              <w:rPr>
                <w:rFonts w:eastAsia="Arial" w:cs="Arial"/>
                <w:sz w:val="16"/>
                <w:szCs w:val="16"/>
              </w:rPr>
              <w:t>ed</w:t>
            </w:r>
            <w:r w:rsidRPr="003E4208">
              <w:rPr>
                <w:rFonts w:eastAsia="Arial"/>
                <w:sz w:val="16"/>
              </w:rPr>
              <w:t xml:space="preserve"> labor</w:t>
            </w:r>
            <w:r w:rsidRPr="00C87DF7">
              <w:rPr>
                <w:rFonts w:eastAsia="Arial" w:cs="Arial"/>
                <w:sz w:val="16"/>
                <w:szCs w:val="16"/>
              </w:rPr>
              <w:t>a</w:t>
            </w:r>
            <w:r w:rsidRPr="003E4208">
              <w:rPr>
                <w:rFonts w:eastAsia="Arial"/>
                <w:sz w:val="16"/>
              </w:rPr>
              <w:t>to</w:t>
            </w:r>
            <w:r w:rsidRPr="00C87DF7">
              <w:rPr>
                <w:rFonts w:eastAsia="Arial" w:cs="Arial"/>
                <w:sz w:val="16"/>
                <w:szCs w:val="16"/>
              </w:rPr>
              <w:t>r</w:t>
            </w:r>
            <w:r w:rsidRPr="003E4208">
              <w:rPr>
                <w:rFonts w:eastAsia="Arial"/>
                <w:sz w:val="16"/>
              </w:rPr>
              <w:t>ies)</w:t>
            </w:r>
          </w:p>
        </w:tc>
        <w:tc>
          <w:tcPr>
            <w:tcW w:w="3605" w:type="dxa"/>
            <w:tcMar>
              <w:left w:w="58" w:type="dxa"/>
              <w:right w:w="58" w:type="dxa"/>
            </w:tcMar>
            <w:vAlign w:val="center"/>
          </w:tcPr>
          <w:p w:rsidRPr="00C87DF7" w:rsidR="00B518C5" w:rsidP="002A2C1C" w:rsidRDefault="00B518C5" w14:paraId="799750C9" w14:textId="77777777">
            <w:pPr>
              <w:keepNext/>
              <w:keepLines/>
              <w:rPr>
                <w:rFonts w:cs="Arial"/>
                <w:sz w:val="16"/>
                <w:szCs w:val="16"/>
              </w:rPr>
            </w:pPr>
            <w:r w:rsidRPr="00C87DF7">
              <w:rPr>
                <w:rFonts w:cs="Arial"/>
                <w:sz w:val="16"/>
                <w:szCs w:val="16"/>
              </w:rPr>
              <w:t xml:space="preserve">Number of BPTSs submitted per site per year </w:t>
            </w:r>
          </w:p>
          <w:p w:rsidRPr="00C87DF7" w:rsidR="00B518C5" w:rsidP="002A2C1C" w:rsidRDefault="00B518C5" w14:paraId="43B335CD" w14:textId="1F51FC27">
            <w:pPr>
              <w:keepNext/>
              <w:keepLines/>
              <w:rPr>
                <w:rFonts w:cs="Arial"/>
                <w:sz w:val="16"/>
                <w:szCs w:val="16"/>
              </w:rPr>
            </w:pPr>
            <w:r w:rsidRPr="00C87DF7">
              <w:rPr>
                <w:rFonts w:cs="Arial"/>
                <w:sz w:val="16"/>
                <w:szCs w:val="16"/>
              </w:rPr>
              <w:t>(2 BPTS</w:t>
            </w:r>
            <w:r w:rsidR="00DC6CC3">
              <w:rPr>
                <w:rFonts w:cs="Arial"/>
                <w:sz w:val="16"/>
                <w:szCs w:val="16"/>
              </w:rPr>
              <w:t>s</w:t>
            </w:r>
            <w:r w:rsidRPr="00C87DF7">
              <w:rPr>
                <w:rFonts w:cs="Arial"/>
                <w:sz w:val="16"/>
                <w:szCs w:val="16"/>
              </w:rPr>
              <w:t xml:space="preserve"> per quarter)</w:t>
            </w:r>
          </w:p>
        </w:tc>
        <w:tc>
          <w:tcPr>
            <w:tcW w:w="720" w:type="dxa"/>
            <w:tcBorders>
              <w:right w:val="single" w:color="auto" w:sz="4" w:space="0"/>
            </w:tcBorders>
            <w:tcMar>
              <w:left w:w="58" w:type="dxa"/>
              <w:right w:w="58" w:type="dxa"/>
            </w:tcMar>
            <w:vAlign w:val="center"/>
          </w:tcPr>
          <w:p w:rsidRPr="00C87DF7" w:rsidR="00B518C5" w:rsidP="002A2C1C" w:rsidRDefault="00B518C5" w14:paraId="4D23C84C" w14:textId="3D2D8601">
            <w:pPr>
              <w:keepNext/>
              <w:keepLines/>
              <w:jc w:val="right"/>
              <w:rPr>
                <w:rFonts w:cs="Arial"/>
                <w:sz w:val="16"/>
                <w:szCs w:val="16"/>
              </w:rPr>
            </w:pPr>
            <w:r w:rsidRPr="00C87DF7">
              <w:rPr>
                <w:rFonts w:cs="Arial"/>
                <w:sz w:val="16"/>
                <w:szCs w:val="16"/>
              </w:rPr>
              <w:t>8</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C87DF7" w:rsidR="00B518C5" w:rsidP="002A2C1C" w:rsidRDefault="00B518C5" w14:paraId="70C7E8BE" w14:textId="167AB88C">
            <w:pPr>
              <w:keepNext/>
              <w:keepLines/>
              <w:jc w:val="right"/>
              <w:rPr>
                <w:rFonts w:cs="Arial"/>
                <w:sz w:val="16"/>
                <w:szCs w:val="16"/>
              </w:rPr>
            </w:pPr>
            <w:r w:rsidRPr="00C87DF7">
              <w:rPr>
                <w:rFonts w:cs="Arial"/>
                <w:sz w:val="16"/>
                <w:szCs w:val="16"/>
              </w:rPr>
              <w:t>($580)</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C87DF7" w:rsidR="00B518C5" w:rsidP="002A2C1C" w:rsidRDefault="00B518C5" w14:paraId="4038B8C2" w14:textId="7D0680B6">
            <w:pPr>
              <w:keepNext/>
              <w:keepLines/>
              <w:jc w:val="right"/>
              <w:rPr>
                <w:rFonts w:cs="Arial"/>
                <w:sz w:val="16"/>
                <w:szCs w:val="16"/>
              </w:rPr>
            </w:pPr>
            <w:r w:rsidRPr="00C87DF7">
              <w:rPr>
                <w:rFonts w:cs="Arial"/>
                <w:sz w:val="16"/>
                <w:szCs w:val="16"/>
              </w:rPr>
              <w:t>56</w:t>
            </w:r>
          </w:p>
        </w:tc>
        <w:tc>
          <w:tcPr>
            <w:tcW w:w="1080"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C87DF7" w:rsidR="00B518C5" w:rsidP="002A2C1C" w:rsidRDefault="00B518C5" w14:paraId="5B14CE81" w14:textId="5ACF7C37">
            <w:pPr>
              <w:keepNext/>
              <w:keepLines/>
              <w:jc w:val="right"/>
              <w:rPr>
                <w:rFonts w:cs="Arial"/>
                <w:sz w:val="16"/>
                <w:szCs w:val="16"/>
              </w:rPr>
            </w:pPr>
            <w:r w:rsidRPr="00C87DF7">
              <w:rPr>
                <w:rFonts w:cs="Arial"/>
                <w:sz w:val="16"/>
                <w:szCs w:val="16"/>
              </w:rPr>
              <w:t>($32,4</w:t>
            </w:r>
            <w:r w:rsidRPr="00C87DF7" w:rsidR="0067144F">
              <w:rPr>
                <w:rFonts w:cs="Arial"/>
                <w:sz w:val="16"/>
                <w:szCs w:val="16"/>
              </w:rPr>
              <w:t>91</w:t>
            </w:r>
            <w:r w:rsidRPr="00C87DF7">
              <w:rPr>
                <w:rFonts w:cs="Arial"/>
                <w:sz w:val="16"/>
                <w:szCs w:val="16"/>
              </w:rPr>
              <w:t>)</w:t>
            </w:r>
          </w:p>
        </w:tc>
      </w:tr>
      <w:tr w:rsidRPr="00C87DF7" w:rsidR="00B518C5" w:rsidTr="00BC4B73" w14:paraId="3C41A7DF" w14:textId="77777777">
        <w:trPr>
          <w:jc w:val="center"/>
        </w:trPr>
        <w:tc>
          <w:tcPr>
            <w:tcW w:w="2155" w:type="dxa"/>
            <w:vMerge/>
            <w:tcMar>
              <w:left w:w="115" w:type="dxa"/>
              <w:right w:w="115" w:type="dxa"/>
            </w:tcMar>
            <w:vAlign w:val="center"/>
          </w:tcPr>
          <w:p w:rsidRPr="00C87DF7" w:rsidR="00B518C5" w:rsidP="00193D52" w:rsidRDefault="00B518C5" w14:paraId="50E9BE9A" w14:textId="77777777">
            <w:pPr>
              <w:keepNext/>
              <w:keepLines/>
              <w:rPr>
                <w:rFonts w:cs="Arial"/>
                <w:sz w:val="16"/>
                <w:szCs w:val="16"/>
              </w:rPr>
            </w:pPr>
          </w:p>
        </w:tc>
        <w:tc>
          <w:tcPr>
            <w:tcW w:w="3605" w:type="dxa"/>
            <w:tcMar>
              <w:left w:w="58" w:type="dxa"/>
              <w:right w:w="58" w:type="dxa"/>
            </w:tcMar>
            <w:vAlign w:val="center"/>
          </w:tcPr>
          <w:p w:rsidRPr="00C87DF7" w:rsidR="00B518C5" w:rsidP="00193D52" w:rsidRDefault="00B518C5" w14:paraId="3241F4C2" w14:textId="6AAA7EAC">
            <w:pPr>
              <w:keepNext/>
              <w:keepLines/>
              <w:rPr>
                <w:rFonts w:cs="Arial"/>
                <w:sz w:val="16"/>
                <w:szCs w:val="16"/>
              </w:rPr>
            </w:pPr>
            <w:r w:rsidRPr="00C87DF7">
              <w:rPr>
                <w:rFonts w:cs="Arial"/>
                <w:sz w:val="16"/>
                <w:szCs w:val="16"/>
              </w:rPr>
              <w:t>Cost per BPTS</w:t>
            </w:r>
          </w:p>
        </w:tc>
        <w:tc>
          <w:tcPr>
            <w:tcW w:w="720" w:type="dxa"/>
            <w:tcBorders>
              <w:right w:val="single" w:color="auto" w:sz="4" w:space="0"/>
            </w:tcBorders>
            <w:tcMar>
              <w:left w:w="58" w:type="dxa"/>
              <w:right w:w="58" w:type="dxa"/>
            </w:tcMar>
            <w:vAlign w:val="center"/>
          </w:tcPr>
          <w:p w:rsidRPr="00C87DF7" w:rsidR="00B518C5" w:rsidP="00193D52" w:rsidRDefault="00B518C5" w14:paraId="27579603" w14:textId="29CA6C05">
            <w:pPr>
              <w:keepNext/>
              <w:keepLines/>
              <w:jc w:val="right"/>
              <w:rPr>
                <w:rFonts w:cs="Arial"/>
                <w:sz w:val="16"/>
                <w:szCs w:val="16"/>
              </w:rPr>
            </w:pPr>
            <w:r w:rsidRPr="00C87DF7">
              <w:rPr>
                <w:rFonts w:cs="Arial"/>
                <w:sz w:val="16"/>
                <w:szCs w:val="16"/>
              </w:rPr>
              <w:t>$60.00</w:t>
            </w:r>
          </w:p>
        </w:tc>
        <w:tc>
          <w:tcPr>
            <w:tcW w:w="900" w:type="dxa"/>
            <w:tcBorders>
              <w:top w:val="single" w:color="auto" w:sz="4" w:space="0"/>
              <w:left w:val="single" w:color="auto" w:sz="4" w:space="0"/>
              <w:bottom w:val="nil"/>
              <w:right w:val="nil"/>
            </w:tcBorders>
            <w:shd w:val="clear" w:color="auto" w:fill="auto"/>
            <w:tcMar>
              <w:left w:w="58" w:type="dxa"/>
              <w:right w:w="58" w:type="dxa"/>
            </w:tcMar>
            <w:vAlign w:val="center"/>
          </w:tcPr>
          <w:p w:rsidRPr="00C87DF7" w:rsidR="00B518C5" w:rsidP="00193D52" w:rsidRDefault="00B518C5" w14:paraId="6622BB44" w14:textId="77777777">
            <w:pPr>
              <w:keepNext/>
              <w:keepLines/>
              <w:jc w:val="right"/>
              <w:rPr>
                <w:rFonts w:cs="Arial"/>
                <w:sz w:val="16"/>
                <w:szCs w:val="16"/>
              </w:rPr>
            </w:pPr>
          </w:p>
        </w:tc>
        <w:tc>
          <w:tcPr>
            <w:tcW w:w="900" w:type="dxa"/>
            <w:tcBorders>
              <w:top w:val="single" w:color="auto" w:sz="4" w:space="0"/>
              <w:left w:val="nil"/>
              <w:bottom w:val="nil"/>
              <w:right w:val="nil"/>
            </w:tcBorders>
            <w:shd w:val="clear" w:color="auto" w:fill="auto"/>
            <w:tcMar>
              <w:left w:w="58" w:type="dxa"/>
              <w:right w:w="58" w:type="dxa"/>
            </w:tcMar>
            <w:vAlign w:val="center"/>
          </w:tcPr>
          <w:p w:rsidRPr="00C87DF7" w:rsidR="00B518C5" w:rsidP="00193D52" w:rsidRDefault="00B518C5" w14:paraId="5D771929" w14:textId="77777777">
            <w:pPr>
              <w:keepNext/>
              <w:keepLines/>
              <w:jc w:val="right"/>
              <w:rPr>
                <w:rFonts w:cs="Arial"/>
                <w:sz w:val="16"/>
                <w:szCs w:val="16"/>
              </w:rPr>
            </w:pPr>
          </w:p>
        </w:tc>
        <w:tc>
          <w:tcPr>
            <w:tcW w:w="1080" w:type="dxa"/>
            <w:tcBorders>
              <w:top w:val="single" w:color="auto" w:sz="4" w:space="0"/>
              <w:left w:val="nil"/>
              <w:bottom w:val="nil"/>
              <w:right w:val="single" w:color="auto" w:sz="4" w:space="0"/>
            </w:tcBorders>
            <w:shd w:val="clear" w:color="auto" w:fill="auto"/>
            <w:tcMar>
              <w:left w:w="58" w:type="dxa"/>
              <w:right w:w="58" w:type="dxa"/>
            </w:tcMar>
            <w:vAlign w:val="center"/>
          </w:tcPr>
          <w:p w:rsidRPr="00C87DF7" w:rsidR="00B518C5" w:rsidP="00193D52" w:rsidRDefault="00B518C5" w14:paraId="3D0D2498" w14:textId="77777777">
            <w:pPr>
              <w:keepNext/>
              <w:keepLines/>
              <w:jc w:val="right"/>
              <w:rPr>
                <w:rFonts w:cs="Arial"/>
                <w:sz w:val="16"/>
                <w:szCs w:val="16"/>
              </w:rPr>
            </w:pPr>
          </w:p>
        </w:tc>
      </w:tr>
      <w:tr w:rsidRPr="00C87DF7" w:rsidR="00B518C5" w:rsidTr="00BC4B73" w14:paraId="65ECC62B" w14:textId="77777777">
        <w:trPr>
          <w:jc w:val="center"/>
        </w:trPr>
        <w:tc>
          <w:tcPr>
            <w:tcW w:w="2155" w:type="dxa"/>
            <w:vMerge/>
            <w:tcMar>
              <w:left w:w="115" w:type="dxa"/>
              <w:right w:w="115" w:type="dxa"/>
            </w:tcMar>
            <w:vAlign w:val="center"/>
          </w:tcPr>
          <w:p w:rsidRPr="00C87DF7" w:rsidR="00B518C5" w:rsidP="00193D52" w:rsidRDefault="00B518C5" w14:paraId="3DD1E8E2" w14:textId="77777777">
            <w:pPr>
              <w:keepNext/>
              <w:keepLines/>
              <w:rPr>
                <w:rFonts w:cs="Arial"/>
                <w:sz w:val="16"/>
                <w:szCs w:val="16"/>
              </w:rPr>
            </w:pPr>
          </w:p>
        </w:tc>
        <w:tc>
          <w:tcPr>
            <w:tcW w:w="3605" w:type="dxa"/>
            <w:tcMar>
              <w:left w:w="58" w:type="dxa"/>
              <w:right w:w="58" w:type="dxa"/>
            </w:tcMar>
            <w:vAlign w:val="center"/>
          </w:tcPr>
          <w:p w:rsidR="003E4208" w:rsidP="00193D52" w:rsidRDefault="00B518C5" w14:paraId="2CFF21CF" w14:textId="77777777">
            <w:pPr>
              <w:keepNext/>
              <w:keepLines/>
              <w:rPr>
                <w:rFonts w:cs="Arial"/>
                <w:sz w:val="16"/>
                <w:szCs w:val="16"/>
              </w:rPr>
            </w:pPr>
            <w:r w:rsidRPr="00C87DF7">
              <w:rPr>
                <w:rFonts w:cs="Arial"/>
                <w:sz w:val="16"/>
                <w:szCs w:val="16"/>
              </w:rPr>
              <w:t xml:space="preserve">Testing for expanded opioid panel </w:t>
            </w:r>
          </w:p>
          <w:p w:rsidRPr="00C87DF7" w:rsidR="00B518C5" w:rsidP="00193D52" w:rsidRDefault="00B518C5" w14:paraId="38DFFBE5" w14:textId="5ACE0769">
            <w:pPr>
              <w:keepNext/>
              <w:keepLines/>
              <w:rPr>
                <w:rFonts w:cs="Arial"/>
                <w:sz w:val="16"/>
                <w:szCs w:val="16"/>
              </w:rPr>
            </w:pPr>
            <w:r w:rsidRPr="00C87DF7">
              <w:rPr>
                <w:rFonts w:cs="Arial"/>
                <w:sz w:val="16"/>
                <w:szCs w:val="16"/>
              </w:rPr>
              <w:t>(sites only using an HHS-certified laboratory)</w:t>
            </w:r>
          </w:p>
        </w:tc>
        <w:tc>
          <w:tcPr>
            <w:tcW w:w="720" w:type="dxa"/>
            <w:tcBorders>
              <w:right w:val="single" w:color="auto" w:sz="4" w:space="0"/>
            </w:tcBorders>
            <w:tcMar>
              <w:left w:w="58" w:type="dxa"/>
              <w:right w:w="58" w:type="dxa"/>
            </w:tcMar>
            <w:vAlign w:val="center"/>
          </w:tcPr>
          <w:p w:rsidRPr="00C87DF7" w:rsidR="00B518C5" w:rsidP="00193D52" w:rsidRDefault="00B518C5" w14:paraId="03CF5936" w14:textId="3B941B40">
            <w:pPr>
              <w:keepNext/>
              <w:keepLines/>
              <w:jc w:val="right"/>
              <w:rPr>
                <w:rFonts w:cs="Arial"/>
                <w:sz w:val="16"/>
                <w:szCs w:val="16"/>
              </w:rPr>
            </w:pPr>
            <w:r w:rsidRPr="00C87DF7">
              <w:rPr>
                <w:rFonts w:cs="Arial"/>
                <w:sz w:val="16"/>
                <w:szCs w:val="16"/>
              </w:rPr>
              <w:t>$0.5</w:t>
            </w:r>
            <w:r w:rsidRPr="00C87DF7" w:rsidR="0067144F">
              <w:rPr>
                <w:rFonts w:cs="Arial"/>
                <w:sz w:val="16"/>
                <w:szCs w:val="16"/>
              </w:rPr>
              <w:t>8</w:t>
            </w:r>
          </w:p>
        </w:tc>
        <w:tc>
          <w:tcPr>
            <w:tcW w:w="900" w:type="dxa"/>
            <w:tcBorders>
              <w:top w:val="nil"/>
              <w:left w:val="single" w:color="auto" w:sz="4" w:space="0"/>
              <w:bottom w:val="nil"/>
              <w:right w:val="nil"/>
            </w:tcBorders>
            <w:shd w:val="clear" w:color="auto" w:fill="auto"/>
            <w:tcMar>
              <w:left w:w="58" w:type="dxa"/>
              <w:right w:w="58" w:type="dxa"/>
            </w:tcMar>
            <w:vAlign w:val="center"/>
          </w:tcPr>
          <w:p w:rsidRPr="00C87DF7" w:rsidR="00B518C5" w:rsidP="00193D52" w:rsidRDefault="00B518C5" w14:paraId="449E1800" w14:textId="77777777">
            <w:pPr>
              <w:keepNext/>
              <w:keepLines/>
              <w:jc w:val="right"/>
              <w:rPr>
                <w:rFonts w:cs="Arial"/>
                <w:sz w:val="16"/>
                <w:szCs w:val="16"/>
              </w:rPr>
            </w:pPr>
          </w:p>
        </w:tc>
        <w:tc>
          <w:tcPr>
            <w:tcW w:w="900" w:type="dxa"/>
            <w:tcBorders>
              <w:top w:val="nil"/>
              <w:left w:val="nil"/>
              <w:bottom w:val="nil"/>
              <w:right w:val="nil"/>
            </w:tcBorders>
            <w:shd w:val="clear" w:color="auto" w:fill="auto"/>
            <w:tcMar>
              <w:left w:w="58" w:type="dxa"/>
              <w:right w:w="58" w:type="dxa"/>
            </w:tcMar>
            <w:vAlign w:val="center"/>
          </w:tcPr>
          <w:p w:rsidRPr="00C87DF7" w:rsidR="00B518C5" w:rsidP="00193D52" w:rsidRDefault="00B518C5" w14:paraId="000B985D" w14:textId="77777777">
            <w:pPr>
              <w:keepNext/>
              <w:keepLines/>
              <w:jc w:val="right"/>
              <w:rPr>
                <w:rFonts w:cs="Arial"/>
                <w:sz w:val="16"/>
                <w:szCs w:val="16"/>
              </w:rPr>
            </w:pPr>
          </w:p>
        </w:tc>
        <w:tc>
          <w:tcPr>
            <w:tcW w:w="1080" w:type="dxa"/>
            <w:tcBorders>
              <w:top w:val="nil"/>
              <w:left w:val="nil"/>
              <w:bottom w:val="nil"/>
              <w:right w:val="single" w:color="auto" w:sz="4" w:space="0"/>
            </w:tcBorders>
            <w:shd w:val="clear" w:color="auto" w:fill="auto"/>
            <w:tcMar>
              <w:left w:w="58" w:type="dxa"/>
              <w:right w:w="58" w:type="dxa"/>
            </w:tcMar>
            <w:vAlign w:val="center"/>
          </w:tcPr>
          <w:p w:rsidRPr="00C87DF7" w:rsidR="00B518C5" w:rsidP="00193D52" w:rsidRDefault="00B518C5" w14:paraId="57E0CB86" w14:textId="77777777">
            <w:pPr>
              <w:keepNext/>
              <w:keepLines/>
              <w:jc w:val="right"/>
              <w:rPr>
                <w:rFonts w:cs="Arial"/>
                <w:sz w:val="16"/>
                <w:szCs w:val="16"/>
              </w:rPr>
            </w:pPr>
          </w:p>
        </w:tc>
      </w:tr>
      <w:tr w:rsidRPr="00C87DF7" w:rsidR="00B518C5" w:rsidTr="00BC4B73" w14:paraId="474C4C21" w14:textId="77777777">
        <w:trPr>
          <w:jc w:val="center"/>
        </w:trPr>
        <w:tc>
          <w:tcPr>
            <w:tcW w:w="2155" w:type="dxa"/>
            <w:vMerge/>
            <w:tcMar>
              <w:left w:w="115" w:type="dxa"/>
              <w:right w:w="115" w:type="dxa"/>
            </w:tcMar>
            <w:vAlign w:val="center"/>
          </w:tcPr>
          <w:p w:rsidRPr="00C87DF7" w:rsidR="00B518C5" w:rsidP="00B518C5" w:rsidRDefault="00B518C5" w14:paraId="477B5C14" w14:textId="77777777">
            <w:pPr>
              <w:rPr>
                <w:rFonts w:cs="Arial"/>
                <w:sz w:val="16"/>
                <w:szCs w:val="16"/>
              </w:rPr>
            </w:pPr>
          </w:p>
        </w:tc>
        <w:tc>
          <w:tcPr>
            <w:tcW w:w="3605" w:type="dxa"/>
            <w:tcMar>
              <w:left w:w="58" w:type="dxa"/>
              <w:right w:w="58" w:type="dxa"/>
            </w:tcMar>
            <w:vAlign w:val="center"/>
          </w:tcPr>
          <w:p w:rsidRPr="00C87DF7" w:rsidR="00B518C5" w:rsidP="00B518C5" w:rsidRDefault="00B518C5" w14:paraId="628839CA" w14:textId="273296C0">
            <w:pPr>
              <w:rPr>
                <w:rFonts w:cs="Arial"/>
                <w:sz w:val="16"/>
                <w:szCs w:val="16"/>
              </w:rPr>
            </w:pPr>
            <w:r w:rsidRPr="00C87DF7">
              <w:rPr>
                <w:rFonts w:cs="Arial"/>
                <w:sz w:val="16"/>
                <w:szCs w:val="16"/>
              </w:rPr>
              <w:t>Time to prepare and send a BPTS to the HHS</w:t>
            </w:r>
            <w:r w:rsidRPr="00C87DF7">
              <w:rPr>
                <w:rFonts w:cs="Arial"/>
                <w:sz w:val="16"/>
                <w:szCs w:val="16"/>
              </w:rPr>
              <w:noBreakHyphen/>
              <w:t>certified laboratory for testing, and review the laboratory's test results</w:t>
            </w:r>
          </w:p>
        </w:tc>
        <w:tc>
          <w:tcPr>
            <w:tcW w:w="720" w:type="dxa"/>
            <w:tcBorders>
              <w:right w:val="single" w:color="auto" w:sz="4" w:space="0"/>
            </w:tcBorders>
            <w:tcMar>
              <w:left w:w="58" w:type="dxa"/>
              <w:right w:w="58" w:type="dxa"/>
            </w:tcMar>
            <w:vAlign w:val="center"/>
          </w:tcPr>
          <w:p w:rsidRPr="00C87DF7" w:rsidR="00B518C5" w:rsidP="00B518C5" w:rsidRDefault="00B518C5" w14:paraId="1F1DE203" w14:textId="4EA780CF">
            <w:pPr>
              <w:jc w:val="right"/>
              <w:rPr>
                <w:rFonts w:cs="Arial"/>
                <w:sz w:val="16"/>
                <w:szCs w:val="16"/>
              </w:rPr>
            </w:pPr>
            <w:r w:rsidRPr="00C87DF7">
              <w:rPr>
                <w:sz w:val="16"/>
                <w:szCs w:val="16"/>
              </w:rPr>
              <w:t>0.25 hour</w:t>
            </w:r>
          </w:p>
        </w:tc>
        <w:tc>
          <w:tcPr>
            <w:tcW w:w="900" w:type="dxa"/>
            <w:tcBorders>
              <w:top w:val="nil"/>
              <w:left w:val="single" w:color="auto" w:sz="4" w:space="0"/>
              <w:bottom w:val="nil"/>
              <w:right w:val="nil"/>
            </w:tcBorders>
            <w:shd w:val="clear" w:color="auto" w:fill="auto"/>
            <w:tcMar>
              <w:left w:w="58" w:type="dxa"/>
              <w:right w:w="58" w:type="dxa"/>
            </w:tcMar>
            <w:vAlign w:val="center"/>
          </w:tcPr>
          <w:p w:rsidRPr="00C87DF7" w:rsidR="00B518C5" w:rsidP="00B518C5" w:rsidRDefault="00B518C5" w14:paraId="58744895" w14:textId="77777777">
            <w:pPr>
              <w:jc w:val="right"/>
              <w:rPr>
                <w:rFonts w:cs="Arial"/>
                <w:sz w:val="16"/>
                <w:szCs w:val="16"/>
              </w:rPr>
            </w:pPr>
          </w:p>
        </w:tc>
        <w:tc>
          <w:tcPr>
            <w:tcW w:w="900" w:type="dxa"/>
            <w:tcBorders>
              <w:top w:val="nil"/>
              <w:left w:val="nil"/>
              <w:bottom w:val="nil"/>
              <w:right w:val="nil"/>
            </w:tcBorders>
            <w:shd w:val="clear" w:color="auto" w:fill="auto"/>
            <w:tcMar>
              <w:left w:w="58" w:type="dxa"/>
              <w:right w:w="58" w:type="dxa"/>
            </w:tcMar>
            <w:vAlign w:val="center"/>
          </w:tcPr>
          <w:p w:rsidRPr="00C87DF7" w:rsidR="00B518C5" w:rsidP="00B518C5" w:rsidRDefault="00B518C5" w14:paraId="00115E84" w14:textId="77777777">
            <w:pPr>
              <w:jc w:val="right"/>
              <w:rPr>
                <w:rFonts w:cs="Arial"/>
                <w:sz w:val="16"/>
                <w:szCs w:val="16"/>
              </w:rPr>
            </w:pPr>
          </w:p>
        </w:tc>
        <w:tc>
          <w:tcPr>
            <w:tcW w:w="1080" w:type="dxa"/>
            <w:tcBorders>
              <w:top w:val="nil"/>
              <w:left w:val="nil"/>
              <w:bottom w:val="nil"/>
              <w:right w:val="single" w:color="auto" w:sz="4" w:space="0"/>
            </w:tcBorders>
            <w:shd w:val="clear" w:color="auto" w:fill="auto"/>
            <w:tcMar>
              <w:left w:w="58" w:type="dxa"/>
              <w:right w:w="58" w:type="dxa"/>
            </w:tcMar>
            <w:vAlign w:val="center"/>
          </w:tcPr>
          <w:p w:rsidRPr="00C87DF7" w:rsidR="00B518C5" w:rsidP="00B518C5" w:rsidRDefault="00B518C5" w14:paraId="35638E06" w14:textId="77777777">
            <w:pPr>
              <w:jc w:val="right"/>
              <w:rPr>
                <w:rFonts w:cs="Arial"/>
                <w:sz w:val="16"/>
                <w:szCs w:val="16"/>
              </w:rPr>
            </w:pPr>
          </w:p>
        </w:tc>
      </w:tr>
      <w:tr w:rsidRPr="00C87DF7" w:rsidR="003365DF" w:rsidTr="00BC4B73" w14:paraId="70223F22" w14:textId="77777777">
        <w:trPr>
          <w:jc w:val="center"/>
        </w:trPr>
        <w:tc>
          <w:tcPr>
            <w:tcW w:w="2155" w:type="dxa"/>
            <w:vMerge/>
            <w:tcMar>
              <w:left w:w="115" w:type="dxa"/>
              <w:right w:w="115" w:type="dxa"/>
            </w:tcMar>
            <w:vAlign w:val="center"/>
          </w:tcPr>
          <w:p w:rsidRPr="00C87DF7" w:rsidR="00B518C5" w:rsidP="00B518C5" w:rsidRDefault="00B518C5" w14:paraId="5DEA3913" w14:textId="77777777">
            <w:pPr>
              <w:rPr>
                <w:rFonts w:cs="Arial"/>
                <w:sz w:val="16"/>
                <w:szCs w:val="16"/>
              </w:rPr>
            </w:pPr>
          </w:p>
        </w:tc>
        <w:tc>
          <w:tcPr>
            <w:tcW w:w="3605" w:type="dxa"/>
            <w:tcBorders>
              <w:bottom w:val="single" w:color="auto" w:sz="4" w:space="0"/>
            </w:tcBorders>
            <w:tcMar>
              <w:left w:w="58" w:type="dxa"/>
              <w:right w:w="58" w:type="dxa"/>
            </w:tcMar>
            <w:vAlign w:val="center"/>
          </w:tcPr>
          <w:p w:rsidRPr="00C87DF7" w:rsidR="00B518C5" w:rsidP="00B518C5" w:rsidRDefault="00B518C5" w14:paraId="7D9C8842" w14:textId="0B0561F7">
            <w:pPr>
              <w:rPr>
                <w:rFonts w:cs="Arial"/>
                <w:sz w:val="16"/>
                <w:szCs w:val="16"/>
              </w:rPr>
            </w:pPr>
            <w:r w:rsidRPr="00C87DF7">
              <w:rPr>
                <w:rFonts w:cs="Arial"/>
                <w:sz w:val="16"/>
                <w:szCs w:val="16"/>
              </w:rPr>
              <w:t>FFD Manager wage rate</w:t>
            </w:r>
          </w:p>
        </w:tc>
        <w:tc>
          <w:tcPr>
            <w:tcW w:w="720" w:type="dxa"/>
            <w:tcBorders>
              <w:bottom w:val="single" w:color="auto" w:sz="4" w:space="0"/>
              <w:right w:val="single" w:color="auto" w:sz="4" w:space="0"/>
            </w:tcBorders>
            <w:tcMar>
              <w:left w:w="58" w:type="dxa"/>
              <w:right w:w="58" w:type="dxa"/>
            </w:tcMar>
            <w:vAlign w:val="center"/>
          </w:tcPr>
          <w:p w:rsidRPr="00C87DF7" w:rsidR="00B518C5" w:rsidP="00B518C5" w:rsidRDefault="00B518C5" w14:paraId="79243D91" w14:textId="688BEF42">
            <w:pPr>
              <w:jc w:val="right"/>
              <w:rPr>
                <w:rFonts w:cs="Arial"/>
                <w:sz w:val="16"/>
                <w:szCs w:val="16"/>
              </w:rPr>
            </w:pPr>
            <w:r w:rsidRPr="00C87DF7">
              <w:rPr>
                <w:sz w:val="16"/>
                <w:szCs w:val="16"/>
              </w:rPr>
              <w:t>$47.79</w:t>
            </w:r>
          </w:p>
        </w:tc>
        <w:tc>
          <w:tcPr>
            <w:tcW w:w="900" w:type="dxa"/>
            <w:tcBorders>
              <w:top w:val="nil"/>
              <w:left w:val="single" w:color="auto" w:sz="4" w:space="0"/>
              <w:bottom w:val="single" w:color="auto" w:sz="4" w:space="0"/>
              <w:right w:val="nil"/>
            </w:tcBorders>
            <w:shd w:val="clear" w:color="auto" w:fill="auto"/>
            <w:tcMar>
              <w:left w:w="58" w:type="dxa"/>
              <w:right w:w="58" w:type="dxa"/>
            </w:tcMar>
            <w:vAlign w:val="center"/>
          </w:tcPr>
          <w:p w:rsidRPr="00C87DF7" w:rsidR="00B518C5" w:rsidP="00B518C5" w:rsidRDefault="00B518C5" w14:paraId="7E5ACB99" w14:textId="77777777">
            <w:pPr>
              <w:jc w:val="right"/>
              <w:rPr>
                <w:rFonts w:cs="Arial"/>
                <w:sz w:val="16"/>
                <w:szCs w:val="16"/>
              </w:rPr>
            </w:pPr>
          </w:p>
        </w:tc>
        <w:tc>
          <w:tcPr>
            <w:tcW w:w="900" w:type="dxa"/>
            <w:tcBorders>
              <w:top w:val="nil"/>
              <w:left w:val="nil"/>
              <w:bottom w:val="single" w:color="auto" w:sz="4" w:space="0"/>
              <w:right w:val="nil"/>
            </w:tcBorders>
            <w:shd w:val="clear" w:color="auto" w:fill="auto"/>
            <w:tcMar>
              <w:left w:w="58" w:type="dxa"/>
              <w:right w:w="58" w:type="dxa"/>
            </w:tcMar>
            <w:vAlign w:val="center"/>
          </w:tcPr>
          <w:p w:rsidRPr="00C87DF7" w:rsidR="00B518C5" w:rsidP="00B518C5" w:rsidRDefault="00B518C5" w14:paraId="7C41AA62" w14:textId="77777777">
            <w:pPr>
              <w:jc w:val="right"/>
              <w:rPr>
                <w:rFonts w:cs="Arial"/>
                <w:sz w:val="16"/>
                <w:szCs w:val="16"/>
              </w:rPr>
            </w:pPr>
          </w:p>
        </w:tc>
        <w:tc>
          <w:tcPr>
            <w:tcW w:w="1080" w:type="dxa"/>
            <w:tcBorders>
              <w:top w:val="nil"/>
              <w:left w:val="nil"/>
              <w:bottom w:val="single" w:color="auto" w:sz="4" w:space="0"/>
              <w:right w:val="single" w:color="auto" w:sz="4" w:space="0"/>
            </w:tcBorders>
            <w:shd w:val="clear" w:color="auto" w:fill="auto"/>
            <w:tcMar>
              <w:left w:w="58" w:type="dxa"/>
              <w:right w:w="58" w:type="dxa"/>
            </w:tcMar>
            <w:vAlign w:val="center"/>
          </w:tcPr>
          <w:p w:rsidRPr="00C87DF7" w:rsidR="00B518C5" w:rsidP="00B518C5" w:rsidRDefault="00B518C5" w14:paraId="7E3270E7" w14:textId="77777777">
            <w:pPr>
              <w:jc w:val="right"/>
              <w:rPr>
                <w:rFonts w:cs="Arial"/>
                <w:sz w:val="16"/>
                <w:szCs w:val="16"/>
              </w:rPr>
            </w:pPr>
          </w:p>
        </w:tc>
      </w:tr>
      <w:tr w:rsidRPr="00C87DF7" w:rsidR="003365DF" w:rsidTr="00BC4B73" w14:paraId="528AF8B4" w14:textId="77777777">
        <w:trPr>
          <w:jc w:val="center"/>
        </w:trPr>
        <w:tc>
          <w:tcPr>
            <w:tcW w:w="2155" w:type="dxa"/>
            <w:vMerge w:val="restart"/>
            <w:tcMar>
              <w:left w:w="115" w:type="dxa"/>
              <w:right w:w="115" w:type="dxa"/>
            </w:tcMar>
            <w:vAlign w:val="center"/>
          </w:tcPr>
          <w:p w:rsidRPr="00C87DF7" w:rsidR="00481E33" w:rsidP="00D13A4F" w:rsidRDefault="00B518C5" w14:paraId="1286442B" w14:textId="6641E765">
            <w:pPr>
              <w:ind w:left="117"/>
              <w:rPr>
                <w:rFonts w:cs="Arial"/>
                <w:sz w:val="16"/>
                <w:szCs w:val="16"/>
              </w:rPr>
            </w:pPr>
            <w:r w:rsidRPr="00C87DF7">
              <w:rPr>
                <w:rFonts w:cs="Arial"/>
                <w:sz w:val="16"/>
                <w:szCs w:val="16"/>
              </w:rPr>
              <w:t xml:space="preserve">BPTSs for expanded opioid panel </w:t>
            </w:r>
          </w:p>
          <w:p w:rsidRPr="00C87DF7" w:rsidR="00B518C5" w:rsidP="007E2603" w:rsidRDefault="00B518C5" w14:paraId="6CDCE6DF" w14:textId="4CE1EE78">
            <w:pPr>
              <w:ind w:left="117"/>
              <w:rPr>
                <w:rFonts w:cs="Arial"/>
                <w:sz w:val="16"/>
                <w:szCs w:val="16"/>
              </w:rPr>
            </w:pPr>
            <w:r w:rsidRPr="00C87DF7">
              <w:rPr>
                <w:rFonts w:eastAsia="Arial" w:cs="Arial"/>
                <w:sz w:val="16"/>
                <w:szCs w:val="16"/>
              </w:rPr>
              <w:t>(s</w:t>
            </w:r>
            <w:r w:rsidRPr="003E4208">
              <w:rPr>
                <w:rFonts w:eastAsia="Arial"/>
                <w:sz w:val="16"/>
              </w:rPr>
              <w:t>i</w:t>
            </w:r>
            <w:r w:rsidRPr="00C87DF7">
              <w:rPr>
                <w:rFonts w:eastAsia="Arial" w:cs="Arial"/>
                <w:sz w:val="16"/>
                <w:szCs w:val="16"/>
              </w:rPr>
              <w:t>tes</w:t>
            </w:r>
            <w:r w:rsidRPr="003E4208">
              <w:rPr>
                <w:rFonts w:eastAsia="Arial"/>
                <w:sz w:val="16"/>
              </w:rPr>
              <w:t xml:space="preserve"> u</w:t>
            </w:r>
            <w:r w:rsidRPr="00C87DF7">
              <w:rPr>
                <w:rFonts w:eastAsia="Arial" w:cs="Arial"/>
                <w:sz w:val="16"/>
                <w:szCs w:val="16"/>
              </w:rPr>
              <w:t>s</w:t>
            </w:r>
            <w:r w:rsidRPr="003E4208">
              <w:rPr>
                <w:rFonts w:eastAsia="Arial"/>
                <w:sz w:val="16"/>
              </w:rPr>
              <w:t>in</w:t>
            </w:r>
            <w:r w:rsidRPr="00C87DF7">
              <w:rPr>
                <w:rFonts w:eastAsia="Arial" w:cs="Arial"/>
                <w:sz w:val="16"/>
                <w:szCs w:val="16"/>
              </w:rPr>
              <w:t>g</w:t>
            </w:r>
            <w:r w:rsidRPr="003E4208">
              <w:rPr>
                <w:rFonts w:eastAsia="Arial"/>
                <w:sz w:val="16"/>
              </w:rPr>
              <w:t xml:space="preserve"> LTFs)</w:t>
            </w:r>
          </w:p>
        </w:tc>
        <w:tc>
          <w:tcPr>
            <w:tcW w:w="3605" w:type="dxa"/>
            <w:shd w:val="clear" w:color="auto" w:fill="FFFFFF" w:themeFill="background1"/>
            <w:tcMar>
              <w:left w:w="58" w:type="dxa"/>
              <w:right w:w="58" w:type="dxa"/>
            </w:tcMar>
            <w:vAlign w:val="center"/>
          </w:tcPr>
          <w:p w:rsidRPr="00C87DF7" w:rsidR="00B518C5" w:rsidP="00B518C5" w:rsidRDefault="00B518C5" w14:paraId="7191EC06" w14:textId="75321D98">
            <w:pPr>
              <w:rPr>
                <w:rFonts w:cs="Arial"/>
                <w:sz w:val="16"/>
                <w:szCs w:val="16"/>
              </w:rPr>
            </w:pPr>
            <w:r w:rsidRPr="00C87DF7">
              <w:rPr>
                <w:rFonts w:cs="Arial"/>
                <w:sz w:val="16"/>
                <w:szCs w:val="16"/>
              </w:rPr>
              <w:t xml:space="preserve">Number of BPTSs submitted per </w:t>
            </w:r>
            <w:r w:rsidRPr="00C87DF7" w:rsidR="0070221C">
              <w:rPr>
                <w:rFonts w:cs="Arial"/>
                <w:sz w:val="16"/>
                <w:szCs w:val="16"/>
              </w:rPr>
              <w:t xml:space="preserve">site per </w:t>
            </w:r>
            <w:r w:rsidRPr="00C87DF7">
              <w:rPr>
                <w:rFonts w:cs="Arial"/>
                <w:sz w:val="16"/>
                <w:szCs w:val="16"/>
              </w:rPr>
              <w:t xml:space="preserve">year </w:t>
            </w:r>
            <w:r w:rsidRPr="00C87DF7" w:rsidR="0070221C">
              <w:rPr>
                <w:rFonts w:cs="Arial"/>
                <w:sz w:val="16"/>
                <w:szCs w:val="16"/>
              </w:rPr>
              <w:br/>
              <w:t>(</w:t>
            </w:r>
            <w:r w:rsidRPr="00C87DF7" w:rsidR="00CB2ED7">
              <w:rPr>
                <w:rFonts w:cs="Arial"/>
                <w:sz w:val="16"/>
                <w:szCs w:val="16"/>
              </w:rPr>
              <w:t>2</w:t>
            </w:r>
            <w:r w:rsidRPr="00C87DF7">
              <w:rPr>
                <w:rFonts w:cs="Arial"/>
                <w:sz w:val="16"/>
                <w:szCs w:val="16"/>
              </w:rPr>
              <w:t xml:space="preserve"> BPTSs per facility per quarter)</w:t>
            </w:r>
          </w:p>
        </w:tc>
        <w:tc>
          <w:tcPr>
            <w:tcW w:w="720" w:type="dxa"/>
            <w:tcBorders>
              <w:right w:val="single" w:color="auto" w:sz="4" w:space="0"/>
            </w:tcBorders>
            <w:shd w:val="clear" w:color="auto" w:fill="FFFFFF" w:themeFill="background1"/>
            <w:tcMar>
              <w:left w:w="58" w:type="dxa"/>
              <w:right w:w="58" w:type="dxa"/>
            </w:tcMar>
            <w:vAlign w:val="center"/>
          </w:tcPr>
          <w:p w:rsidRPr="00C87DF7" w:rsidR="00B518C5" w:rsidP="00B518C5" w:rsidRDefault="00CB2ED7" w14:paraId="06189B7E" w14:textId="5C86ACF2">
            <w:pPr>
              <w:jc w:val="right"/>
              <w:rPr>
                <w:rFonts w:cs="Arial"/>
                <w:sz w:val="16"/>
                <w:szCs w:val="16"/>
              </w:rPr>
            </w:pPr>
            <w:r w:rsidRPr="00C87DF7">
              <w:rPr>
                <w:rFonts w:cs="Arial"/>
                <w:sz w:val="16"/>
                <w:szCs w:val="16"/>
              </w:rPr>
              <w:t>8</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C87DF7" w:rsidR="00B518C5" w:rsidP="00B518C5" w:rsidRDefault="00B518C5" w14:paraId="7911E73E" w14:textId="6ECEF394">
            <w:pPr>
              <w:jc w:val="right"/>
              <w:rPr>
                <w:rFonts w:cs="Arial"/>
                <w:sz w:val="16"/>
                <w:szCs w:val="16"/>
              </w:rPr>
            </w:pPr>
            <w:r w:rsidRPr="00C87DF7">
              <w:rPr>
                <w:rFonts w:cs="Arial"/>
                <w:sz w:val="16"/>
                <w:szCs w:val="16"/>
              </w:rPr>
              <w:t>($</w:t>
            </w:r>
            <w:r w:rsidRPr="00C87DF7" w:rsidR="0018251A">
              <w:rPr>
                <w:rFonts w:cs="Arial"/>
                <w:sz w:val="16"/>
                <w:szCs w:val="16"/>
              </w:rPr>
              <w:t>806)</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C87DF7" w:rsidR="00B518C5" w:rsidP="00B518C5" w:rsidRDefault="00B518C5" w14:paraId="3EE137C0" w14:textId="705996B4">
            <w:pPr>
              <w:jc w:val="right"/>
              <w:rPr>
                <w:rFonts w:cs="Arial"/>
                <w:sz w:val="16"/>
                <w:szCs w:val="16"/>
              </w:rPr>
            </w:pPr>
            <w:r w:rsidRPr="00C87DF7">
              <w:rPr>
                <w:rFonts w:cs="Arial"/>
                <w:sz w:val="16"/>
                <w:szCs w:val="16"/>
              </w:rPr>
              <w:t>3</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C87DF7" w:rsidR="00B518C5" w:rsidP="00B518C5" w:rsidRDefault="00B518C5" w14:paraId="61248EE6" w14:textId="50C87FD1">
            <w:pPr>
              <w:jc w:val="right"/>
              <w:rPr>
                <w:rFonts w:cs="Arial"/>
                <w:sz w:val="16"/>
                <w:szCs w:val="16"/>
              </w:rPr>
            </w:pPr>
            <w:r w:rsidRPr="00C87DF7">
              <w:rPr>
                <w:rFonts w:cs="Arial"/>
                <w:sz w:val="16"/>
                <w:szCs w:val="16"/>
              </w:rPr>
              <w:t>($</w:t>
            </w:r>
            <w:r w:rsidRPr="00C87DF7" w:rsidR="0018251A">
              <w:rPr>
                <w:rFonts w:cs="Arial"/>
                <w:sz w:val="16"/>
                <w:szCs w:val="16"/>
              </w:rPr>
              <w:t>2,419</w:t>
            </w:r>
            <w:r w:rsidRPr="00C87DF7">
              <w:rPr>
                <w:rFonts w:cs="Arial"/>
                <w:sz w:val="16"/>
                <w:szCs w:val="16"/>
              </w:rPr>
              <w:t>)</w:t>
            </w:r>
          </w:p>
        </w:tc>
      </w:tr>
      <w:tr w:rsidRPr="00C87DF7" w:rsidR="00C54180" w:rsidTr="00A954AD" w14:paraId="4D247FBF" w14:textId="77777777">
        <w:trPr>
          <w:jc w:val="center"/>
        </w:trPr>
        <w:tc>
          <w:tcPr>
            <w:tcW w:w="2155" w:type="dxa"/>
            <w:vMerge/>
            <w:tcMar>
              <w:left w:w="58" w:type="dxa"/>
              <w:right w:w="58" w:type="dxa"/>
            </w:tcMar>
            <w:vAlign w:val="center"/>
          </w:tcPr>
          <w:p w:rsidRPr="00C87DF7" w:rsidR="00B518C5" w:rsidP="00B518C5" w:rsidRDefault="00B518C5" w14:paraId="2EBFA481" w14:textId="77777777">
            <w:pPr>
              <w:rPr>
                <w:rFonts w:cs="Arial"/>
                <w:sz w:val="16"/>
                <w:szCs w:val="16"/>
              </w:rPr>
            </w:pPr>
          </w:p>
        </w:tc>
        <w:tc>
          <w:tcPr>
            <w:tcW w:w="3605" w:type="dxa"/>
            <w:shd w:val="clear" w:color="auto" w:fill="FFFFFF" w:themeFill="background1"/>
            <w:tcMar>
              <w:left w:w="58" w:type="dxa"/>
              <w:right w:w="58" w:type="dxa"/>
            </w:tcMar>
            <w:vAlign w:val="center"/>
          </w:tcPr>
          <w:p w:rsidRPr="00C87DF7" w:rsidR="00B518C5" w:rsidP="00B518C5" w:rsidRDefault="00B518C5" w14:paraId="0916C507" w14:textId="27ABE252">
            <w:pPr>
              <w:rPr>
                <w:rFonts w:cs="Arial"/>
                <w:sz w:val="16"/>
                <w:szCs w:val="16"/>
              </w:rPr>
            </w:pPr>
            <w:r w:rsidRPr="00C87DF7">
              <w:rPr>
                <w:rFonts w:cs="Arial"/>
                <w:sz w:val="16"/>
                <w:szCs w:val="16"/>
              </w:rPr>
              <w:t>Cost per BPTS test</w:t>
            </w:r>
          </w:p>
        </w:tc>
        <w:tc>
          <w:tcPr>
            <w:tcW w:w="720" w:type="dxa"/>
            <w:tcBorders>
              <w:right w:val="single" w:color="auto" w:sz="4" w:space="0"/>
            </w:tcBorders>
            <w:shd w:val="clear" w:color="auto" w:fill="FFFFFF" w:themeFill="background1"/>
            <w:tcMar>
              <w:left w:w="58" w:type="dxa"/>
              <w:right w:w="58" w:type="dxa"/>
            </w:tcMar>
            <w:vAlign w:val="center"/>
          </w:tcPr>
          <w:p w:rsidRPr="00C87DF7" w:rsidR="00B518C5" w:rsidP="00B518C5" w:rsidRDefault="00B518C5" w14:paraId="4991610E" w14:textId="08162C79">
            <w:pPr>
              <w:jc w:val="right"/>
              <w:rPr>
                <w:rFonts w:cs="Arial"/>
                <w:sz w:val="16"/>
                <w:szCs w:val="16"/>
              </w:rPr>
            </w:pPr>
            <w:r w:rsidRPr="00C87DF7">
              <w:rPr>
                <w:rFonts w:cs="Arial"/>
                <w:sz w:val="16"/>
                <w:szCs w:val="16"/>
              </w:rPr>
              <w:t>$60.00</w:t>
            </w:r>
          </w:p>
        </w:tc>
        <w:tc>
          <w:tcPr>
            <w:tcW w:w="900"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C87DF7" w:rsidR="00B518C5" w:rsidP="00B518C5" w:rsidRDefault="00B518C5" w14:paraId="694522CF" w14:textId="77777777">
            <w:pPr>
              <w:jc w:val="right"/>
              <w:rPr>
                <w:rFonts w:cs="Arial"/>
                <w:sz w:val="16"/>
                <w:szCs w:val="16"/>
              </w:rPr>
            </w:pPr>
          </w:p>
        </w:tc>
        <w:tc>
          <w:tcPr>
            <w:tcW w:w="900" w:type="dxa"/>
            <w:tcBorders>
              <w:top w:val="single" w:color="auto" w:sz="4" w:space="0"/>
              <w:left w:val="nil"/>
              <w:bottom w:val="nil"/>
              <w:right w:val="nil"/>
            </w:tcBorders>
            <w:shd w:val="clear" w:color="auto" w:fill="FFFFFF" w:themeFill="background1"/>
            <w:tcMar>
              <w:left w:w="58" w:type="dxa"/>
              <w:right w:w="58" w:type="dxa"/>
            </w:tcMar>
            <w:vAlign w:val="center"/>
          </w:tcPr>
          <w:p w:rsidRPr="00C87DF7" w:rsidR="00B518C5" w:rsidP="00B518C5" w:rsidRDefault="00B518C5" w14:paraId="1C555F67" w14:textId="77777777">
            <w:pPr>
              <w:jc w:val="right"/>
              <w:rPr>
                <w:rFonts w:cs="Arial"/>
                <w:sz w:val="16"/>
                <w:szCs w:val="16"/>
              </w:rPr>
            </w:pPr>
          </w:p>
        </w:tc>
        <w:tc>
          <w:tcPr>
            <w:tcW w:w="108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C87DF7" w:rsidR="00B518C5" w:rsidP="00B518C5" w:rsidRDefault="00B518C5" w14:paraId="1239C418" w14:textId="77777777">
            <w:pPr>
              <w:jc w:val="right"/>
              <w:rPr>
                <w:rFonts w:cs="Arial"/>
                <w:sz w:val="16"/>
                <w:szCs w:val="16"/>
              </w:rPr>
            </w:pPr>
          </w:p>
        </w:tc>
      </w:tr>
      <w:tr w:rsidRPr="00C87DF7" w:rsidR="00C54180" w:rsidTr="00A954AD" w14:paraId="4A2011F8" w14:textId="77777777">
        <w:trPr>
          <w:jc w:val="center"/>
        </w:trPr>
        <w:tc>
          <w:tcPr>
            <w:tcW w:w="2155" w:type="dxa"/>
            <w:vMerge/>
            <w:tcMar>
              <w:left w:w="58" w:type="dxa"/>
              <w:right w:w="58" w:type="dxa"/>
            </w:tcMar>
            <w:vAlign w:val="center"/>
          </w:tcPr>
          <w:p w:rsidRPr="00C87DF7" w:rsidR="00B518C5" w:rsidP="00B518C5" w:rsidRDefault="00B518C5" w14:paraId="0C45909E" w14:textId="77777777">
            <w:pPr>
              <w:rPr>
                <w:rFonts w:cs="Arial"/>
                <w:sz w:val="16"/>
                <w:szCs w:val="16"/>
              </w:rPr>
            </w:pPr>
          </w:p>
        </w:tc>
        <w:tc>
          <w:tcPr>
            <w:tcW w:w="3605" w:type="dxa"/>
            <w:shd w:val="clear" w:color="auto" w:fill="FFFFFF" w:themeFill="background1"/>
            <w:tcMar>
              <w:left w:w="58" w:type="dxa"/>
              <w:right w:w="58" w:type="dxa"/>
            </w:tcMar>
            <w:vAlign w:val="center"/>
          </w:tcPr>
          <w:p w:rsidR="003E4208" w:rsidP="00DC6CC3" w:rsidRDefault="00B518C5" w14:paraId="185A428F" w14:textId="77777777">
            <w:pPr>
              <w:rPr>
                <w:rFonts w:cs="Arial"/>
                <w:sz w:val="16"/>
                <w:szCs w:val="16"/>
              </w:rPr>
            </w:pPr>
            <w:r w:rsidRPr="00C87DF7">
              <w:rPr>
                <w:rFonts w:cs="Arial"/>
                <w:sz w:val="16"/>
                <w:szCs w:val="16"/>
              </w:rPr>
              <w:t>Initial and confirmatory drug testing, HHS</w:t>
            </w:r>
            <w:r w:rsidRPr="00C87DF7">
              <w:rPr>
                <w:rFonts w:cs="Arial"/>
                <w:sz w:val="16"/>
                <w:szCs w:val="16"/>
              </w:rPr>
              <w:noBreakHyphen/>
              <w:t xml:space="preserve">certified laboratory </w:t>
            </w:r>
          </w:p>
          <w:p w:rsidRPr="00C87DF7" w:rsidR="00B518C5" w:rsidP="00DC6CC3" w:rsidRDefault="00B518C5" w14:paraId="63C9A2C9" w14:textId="65736E45">
            <w:pPr>
              <w:rPr>
                <w:rFonts w:cs="Arial"/>
                <w:sz w:val="16"/>
                <w:szCs w:val="16"/>
              </w:rPr>
            </w:pPr>
            <w:r w:rsidRPr="00C87DF7">
              <w:rPr>
                <w:rFonts w:cs="Arial"/>
                <w:sz w:val="16"/>
                <w:szCs w:val="16"/>
              </w:rPr>
              <w:t>(sites using an LTF for initial testing)</w:t>
            </w:r>
          </w:p>
        </w:tc>
        <w:tc>
          <w:tcPr>
            <w:tcW w:w="720" w:type="dxa"/>
            <w:tcBorders>
              <w:right w:val="single" w:color="auto" w:sz="4" w:space="0"/>
            </w:tcBorders>
            <w:shd w:val="clear" w:color="auto" w:fill="FFFFFF" w:themeFill="background1"/>
            <w:tcMar>
              <w:left w:w="58" w:type="dxa"/>
              <w:right w:w="58" w:type="dxa"/>
            </w:tcMar>
            <w:vAlign w:val="center"/>
          </w:tcPr>
          <w:p w:rsidRPr="00C87DF7" w:rsidR="00B518C5" w:rsidP="00B518C5" w:rsidRDefault="00B518C5" w14:paraId="4976EB5C" w14:textId="2F60C16C">
            <w:pPr>
              <w:jc w:val="right"/>
              <w:rPr>
                <w:rFonts w:cs="Arial"/>
                <w:sz w:val="16"/>
                <w:szCs w:val="16"/>
              </w:rPr>
            </w:pPr>
            <w:r w:rsidRPr="00C87DF7">
              <w:rPr>
                <w:rFonts w:cs="Arial"/>
                <w:sz w:val="16"/>
                <w:szCs w:val="16"/>
              </w:rPr>
              <w:t>$</w:t>
            </w:r>
            <w:r w:rsidRPr="00C87DF7" w:rsidR="002971D9">
              <w:rPr>
                <w:rFonts w:cs="Arial"/>
                <w:sz w:val="16"/>
                <w:szCs w:val="16"/>
              </w:rPr>
              <w:t>28.83</w:t>
            </w:r>
          </w:p>
        </w:tc>
        <w:tc>
          <w:tcPr>
            <w:tcW w:w="900" w:type="dxa"/>
            <w:tcBorders>
              <w:top w:val="nil"/>
              <w:left w:val="single" w:color="auto" w:sz="4" w:space="0"/>
              <w:bottom w:val="nil"/>
              <w:right w:val="nil"/>
            </w:tcBorders>
            <w:shd w:val="clear" w:color="auto" w:fill="FFFFFF" w:themeFill="background1"/>
            <w:tcMar>
              <w:left w:w="58" w:type="dxa"/>
              <w:right w:w="58" w:type="dxa"/>
            </w:tcMar>
            <w:vAlign w:val="center"/>
          </w:tcPr>
          <w:p w:rsidRPr="00C87DF7" w:rsidR="00B518C5" w:rsidP="00B518C5" w:rsidRDefault="00B518C5" w14:paraId="7230094D" w14:textId="77777777">
            <w:pPr>
              <w:jc w:val="right"/>
              <w:rPr>
                <w:rFonts w:cs="Arial"/>
                <w:sz w:val="16"/>
                <w:szCs w:val="16"/>
              </w:rPr>
            </w:pPr>
          </w:p>
        </w:tc>
        <w:tc>
          <w:tcPr>
            <w:tcW w:w="900" w:type="dxa"/>
            <w:tcBorders>
              <w:top w:val="nil"/>
              <w:left w:val="nil"/>
              <w:bottom w:val="nil"/>
              <w:right w:val="nil"/>
            </w:tcBorders>
            <w:shd w:val="clear" w:color="auto" w:fill="FFFFFF" w:themeFill="background1"/>
            <w:tcMar>
              <w:left w:w="58" w:type="dxa"/>
              <w:right w:w="58" w:type="dxa"/>
            </w:tcMar>
            <w:vAlign w:val="center"/>
          </w:tcPr>
          <w:p w:rsidRPr="00C87DF7" w:rsidR="00B518C5" w:rsidP="00B518C5" w:rsidRDefault="00B518C5" w14:paraId="37E1C9DB" w14:textId="77777777">
            <w:pPr>
              <w:jc w:val="right"/>
              <w:rPr>
                <w:rFonts w:cs="Arial"/>
                <w:sz w:val="16"/>
                <w:szCs w:val="16"/>
              </w:rPr>
            </w:pPr>
          </w:p>
        </w:tc>
        <w:tc>
          <w:tcPr>
            <w:tcW w:w="1080" w:type="dxa"/>
            <w:tcBorders>
              <w:top w:val="nil"/>
              <w:left w:val="nil"/>
              <w:bottom w:val="nil"/>
              <w:right w:val="single" w:color="auto" w:sz="4" w:space="0"/>
            </w:tcBorders>
            <w:shd w:val="clear" w:color="auto" w:fill="FFFFFF" w:themeFill="background1"/>
            <w:tcMar>
              <w:left w:w="58" w:type="dxa"/>
              <w:right w:w="58" w:type="dxa"/>
            </w:tcMar>
            <w:vAlign w:val="center"/>
          </w:tcPr>
          <w:p w:rsidRPr="00C87DF7" w:rsidR="00B518C5" w:rsidP="00B518C5" w:rsidRDefault="00B518C5" w14:paraId="6C09AC33" w14:textId="77777777">
            <w:pPr>
              <w:jc w:val="right"/>
              <w:rPr>
                <w:rFonts w:cs="Arial"/>
                <w:sz w:val="16"/>
                <w:szCs w:val="16"/>
              </w:rPr>
            </w:pPr>
          </w:p>
        </w:tc>
      </w:tr>
      <w:tr w:rsidRPr="00C87DF7" w:rsidR="00C54180" w:rsidTr="00A954AD" w14:paraId="4DDB9A2B" w14:textId="77777777">
        <w:trPr>
          <w:jc w:val="center"/>
        </w:trPr>
        <w:tc>
          <w:tcPr>
            <w:tcW w:w="2155" w:type="dxa"/>
            <w:vMerge/>
            <w:tcMar>
              <w:left w:w="58" w:type="dxa"/>
              <w:right w:w="58" w:type="dxa"/>
            </w:tcMar>
            <w:vAlign w:val="center"/>
          </w:tcPr>
          <w:p w:rsidRPr="00C87DF7" w:rsidR="00B518C5" w:rsidP="00B518C5" w:rsidRDefault="00B518C5" w14:paraId="4B5E313B" w14:textId="77777777">
            <w:pPr>
              <w:rPr>
                <w:rFonts w:cs="Arial"/>
                <w:sz w:val="16"/>
                <w:szCs w:val="16"/>
              </w:rPr>
            </w:pPr>
          </w:p>
        </w:tc>
        <w:tc>
          <w:tcPr>
            <w:tcW w:w="3605" w:type="dxa"/>
            <w:shd w:val="clear" w:color="auto" w:fill="FFFFFF" w:themeFill="background1"/>
            <w:tcMar>
              <w:left w:w="58" w:type="dxa"/>
              <w:right w:w="58" w:type="dxa"/>
            </w:tcMar>
            <w:vAlign w:val="center"/>
          </w:tcPr>
          <w:p w:rsidRPr="00C87DF7" w:rsidR="00B518C5" w:rsidP="00B518C5" w:rsidRDefault="00B518C5" w14:paraId="779391FA" w14:textId="59B8143B">
            <w:pPr>
              <w:rPr>
                <w:rFonts w:cs="Arial"/>
                <w:sz w:val="16"/>
                <w:szCs w:val="16"/>
              </w:rPr>
            </w:pPr>
            <w:r w:rsidRPr="00C87DF7">
              <w:rPr>
                <w:rFonts w:cs="Arial"/>
                <w:sz w:val="16"/>
                <w:szCs w:val="16"/>
              </w:rPr>
              <w:t>Time to prepare and send a BPTS to the HHS</w:t>
            </w:r>
            <w:r w:rsidRPr="00C87DF7">
              <w:rPr>
                <w:rFonts w:cs="Arial"/>
                <w:sz w:val="16"/>
                <w:szCs w:val="16"/>
              </w:rPr>
              <w:noBreakHyphen/>
              <w:t>certified laboratory for testing, and review the laboratory's test results</w:t>
            </w:r>
          </w:p>
        </w:tc>
        <w:tc>
          <w:tcPr>
            <w:tcW w:w="720" w:type="dxa"/>
            <w:tcBorders>
              <w:right w:val="single" w:color="auto" w:sz="4" w:space="0"/>
            </w:tcBorders>
            <w:shd w:val="clear" w:color="auto" w:fill="FFFFFF" w:themeFill="background1"/>
            <w:tcMar>
              <w:left w:w="58" w:type="dxa"/>
              <w:right w:w="58" w:type="dxa"/>
            </w:tcMar>
            <w:vAlign w:val="center"/>
          </w:tcPr>
          <w:p w:rsidRPr="00C87DF7" w:rsidR="00B518C5" w:rsidP="00B518C5" w:rsidRDefault="00B518C5" w14:paraId="73541316" w14:textId="3029657B">
            <w:pPr>
              <w:jc w:val="right"/>
              <w:rPr>
                <w:rFonts w:cs="Arial"/>
                <w:sz w:val="16"/>
                <w:szCs w:val="16"/>
              </w:rPr>
            </w:pPr>
            <w:r w:rsidRPr="00C87DF7">
              <w:rPr>
                <w:sz w:val="16"/>
                <w:szCs w:val="16"/>
              </w:rPr>
              <w:t>0.25 hour</w:t>
            </w:r>
          </w:p>
        </w:tc>
        <w:tc>
          <w:tcPr>
            <w:tcW w:w="900" w:type="dxa"/>
            <w:tcBorders>
              <w:top w:val="nil"/>
              <w:left w:val="single" w:color="auto" w:sz="4" w:space="0"/>
              <w:bottom w:val="nil"/>
              <w:right w:val="nil"/>
            </w:tcBorders>
            <w:shd w:val="clear" w:color="auto" w:fill="FFFFFF" w:themeFill="background1"/>
            <w:tcMar>
              <w:left w:w="58" w:type="dxa"/>
              <w:right w:w="58" w:type="dxa"/>
            </w:tcMar>
            <w:vAlign w:val="center"/>
          </w:tcPr>
          <w:p w:rsidRPr="00C87DF7" w:rsidR="00B518C5" w:rsidP="00B518C5" w:rsidRDefault="00B518C5" w14:paraId="7B6D2927" w14:textId="77777777">
            <w:pPr>
              <w:jc w:val="right"/>
              <w:rPr>
                <w:rFonts w:cs="Arial"/>
                <w:sz w:val="16"/>
                <w:szCs w:val="16"/>
              </w:rPr>
            </w:pPr>
          </w:p>
        </w:tc>
        <w:tc>
          <w:tcPr>
            <w:tcW w:w="900" w:type="dxa"/>
            <w:tcBorders>
              <w:top w:val="nil"/>
              <w:left w:val="nil"/>
              <w:bottom w:val="nil"/>
              <w:right w:val="nil"/>
            </w:tcBorders>
            <w:shd w:val="clear" w:color="auto" w:fill="FFFFFF" w:themeFill="background1"/>
            <w:tcMar>
              <w:left w:w="58" w:type="dxa"/>
              <w:right w:w="58" w:type="dxa"/>
            </w:tcMar>
            <w:vAlign w:val="center"/>
          </w:tcPr>
          <w:p w:rsidRPr="00C87DF7" w:rsidR="00B518C5" w:rsidP="00B518C5" w:rsidRDefault="00B518C5" w14:paraId="25D0A83E" w14:textId="77777777">
            <w:pPr>
              <w:jc w:val="right"/>
              <w:rPr>
                <w:rFonts w:cs="Arial"/>
                <w:sz w:val="16"/>
                <w:szCs w:val="16"/>
              </w:rPr>
            </w:pPr>
          </w:p>
        </w:tc>
        <w:tc>
          <w:tcPr>
            <w:tcW w:w="1080" w:type="dxa"/>
            <w:tcBorders>
              <w:top w:val="nil"/>
              <w:left w:val="nil"/>
              <w:bottom w:val="nil"/>
              <w:right w:val="single" w:color="auto" w:sz="4" w:space="0"/>
            </w:tcBorders>
            <w:shd w:val="clear" w:color="auto" w:fill="FFFFFF" w:themeFill="background1"/>
            <w:tcMar>
              <w:left w:w="58" w:type="dxa"/>
              <w:right w:w="58" w:type="dxa"/>
            </w:tcMar>
            <w:vAlign w:val="center"/>
          </w:tcPr>
          <w:p w:rsidRPr="00C87DF7" w:rsidR="00B518C5" w:rsidP="00B518C5" w:rsidRDefault="00B518C5" w14:paraId="50D31BBA" w14:textId="77777777">
            <w:pPr>
              <w:jc w:val="right"/>
              <w:rPr>
                <w:rFonts w:cs="Arial"/>
                <w:sz w:val="16"/>
                <w:szCs w:val="16"/>
              </w:rPr>
            </w:pPr>
          </w:p>
        </w:tc>
      </w:tr>
      <w:tr w:rsidRPr="00C87DF7" w:rsidR="00C54180" w:rsidTr="0018251A" w14:paraId="0F9BDAD0" w14:textId="77777777">
        <w:trPr>
          <w:jc w:val="center"/>
        </w:trPr>
        <w:tc>
          <w:tcPr>
            <w:tcW w:w="2155" w:type="dxa"/>
            <w:vMerge/>
            <w:tcBorders>
              <w:bottom w:val="single" w:color="auto" w:sz="4" w:space="0"/>
            </w:tcBorders>
            <w:tcMar>
              <w:left w:w="58" w:type="dxa"/>
              <w:right w:w="58" w:type="dxa"/>
            </w:tcMar>
            <w:vAlign w:val="center"/>
          </w:tcPr>
          <w:p w:rsidRPr="00C87DF7" w:rsidR="00B518C5" w:rsidP="00B518C5" w:rsidRDefault="00B518C5" w14:paraId="7CB6372A" w14:textId="77777777">
            <w:pPr>
              <w:rPr>
                <w:rFonts w:cs="Arial"/>
                <w:sz w:val="16"/>
                <w:szCs w:val="16"/>
              </w:rPr>
            </w:pPr>
          </w:p>
        </w:tc>
        <w:tc>
          <w:tcPr>
            <w:tcW w:w="3605" w:type="dxa"/>
            <w:tcBorders>
              <w:bottom w:val="single" w:color="auto" w:sz="4" w:space="0"/>
            </w:tcBorders>
            <w:shd w:val="clear" w:color="auto" w:fill="FFFFFF" w:themeFill="background1"/>
            <w:tcMar>
              <w:left w:w="58" w:type="dxa"/>
              <w:right w:w="58" w:type="dxa"/>
            </w:tcMar>
            <w:vAlign w:val="center"/>
          </w:tcPr>
          <w:p w:rsidRPr="00C87DF7" w:rsidR="00B518C5" w:rsidP="00B518C5" w:rsidRDefault="00B518C5" w14:paraId="756F3466" w14:textId="3F26F999">
            <w:pPr>
              <w:rPr>
                <w:rFonts w:cs="Arial"/>
                <w:sz w:val="16"/>
                <w:szCs w:val="16"/>
              </w:rPr>
            </w:pPr>
            <w:r w:rsidRPr="00C87DF7">
              <w:rPr>
                <w:rFonts w:cs="Arial"/>
                <w:sz w:val="16"/>
                <w:szCs w:val="16"/>
              </w:rPr>
              <w:t>FFD Manager wage rate</w:t>
            </w:r>
          </w:p>
        </w:tc>
        <w:tc>
          <w:tcPr>
            <w:tcW w:w="720" w:type="dxa"/>
            <w:tcBorders>
              <w:bottom w:val="single" w:color="auto" w:sz="4" w:space="0"/>
              <w:right w:val="single" w:color="auto" w:sz="4" w:space="0"/>
            </w:tcBorders>
            <w:shd w:val="clear" w:color="auto" w:fill="FFFFFF" w:themeFill="background1"/>
            <w:tcMar>
              <w:left w:w="58" w:type="dxa"/>
              <w:right w:w="58" w:type="dxa"/>
            </w:tcMar>
            <w:vAlign w:val="center"/>
          </w:tcPr>
          <w:p w:rsidRPr="00C87DF7" w:rsidR="00B518C5" w:rsidP="00B518C5" w:rsidRDefault="00B518C5" w14:paraId="463A2DDB" w14:textId="55423B39">
            <w:pPr>
              <w:jc w:val="right"/>
              <w:rPr>
                <w:rFonts w:cs="Arial"/>
                <w:sz w:val="16"/>
                <w:szCs w:val="16"/>
              </w:rPr>
            </w:pPr>
            <w:r w:rsidRPr="00C87DF7">
              <w:rPr>
                <w:sz w:val="16"/>
                <w:szCs w:val="16"/>
              </w:rPr>
              <w:t>$47.79</w:t>
            </w:r>
          </w:p>
        </w:tc>
        <w:tc>
          <w:tcPr>
            <w:tcW w:w="900"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C87DF7" w:rsidR="00B518C5" w:rsidP="00B518C5" w:rsidRDefault="00B518C5" w14:paraId="40FE0DB0" w14:textId="77777777">
            <w:pPr>
              <w:jc w:val="right"/>
              <w:rPr>
                <w:rFonts w:cs="Arial"/>
                <w:sz w:val="16"/>
                <w:szCs w:val="16"/>
              </w:rPr>
            </w:pPr>
          </w:p>
        </w:tc>
        <w:tc>
          <w:tcPr>
            <w:tcW w:w="900" w:type="dxa"/>
            <w:tcBorders>
              <w:top w:val="nil"/>
              <w:left w:val="nil"/>
              <w:bottom w:val="single" w:color="auto" w:sz="4" w:space="0"/>
              <w:right w:val="nil"/>
            </w:tcBorders>
            <w:shd w:val="clear" w:color="auto" w:fill="FFFFFF" w:themeFill="background1"/>
            <w:tcMar>
              <w:left w:w="58" w:type="dxa"/>
              <w:right w:w="58" w:type="dxa"/>
            </w:tcMar>
            <w:vAlign w:val="center"/>
          </w:tcPr>
          <w:p w:rsidRPr="00C87DF7" w:rsidR="00B518C5" w:rsidP="00B518C5" w:rsidRDefault="00B518C5" w14:paraId="6D5FFEB0" w14:textId="77777777">
            <w:pPr>
              <w:jc w:val="right"/>
              <w:rPr>
                <w:rFonts w:cs="Arial"/>
                <w:sz w:val="16"/>
                <w:szCs w:val="16"/>
              </w:rPr>
            </w:pPr>
          </w:p>
        </w:tc>
        <w:tc>
          <w:tcPr>
            <w:tcW w:w="108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C87DF7" w:rsidR="00B518C5" w:rsidP="00B518C5" w:rsidRDefault="00B518C5" w14:paraId="16BA9968" w14:textId="77777777">
            <w:pPr>
              <w:jc w:val="right"/>
              <w:rPr>
                <w:rFonts w:cs="Arial"/>
                <w:sz w:val="16"/>
                <w:szCs w:val="16"/>
              </w:rPr>
            </w:pPr>
          </w:p>
        </w:tc>
      </w:tr>
      <w:tr w:rsidRPr="00C87DF7" w:rsidR="00DA32DE" w:rsidTr="00250AA8" w14:paraId="44890116" w14:textId="77777777">
        <w:trPr>
          <w:jc w:val="center"/>
        </w:trPr>
        <w:tc>
          <w:tcPr>
            <w:tcW w:w="8280" w:type="dxa"/>
            <w:gridSpan w:val="5"/>
            <w:shd w:val="clear" w:color="auto" w:fill="FFFFFF" w:themeFill="background1"/>
            <w:tcMar>
              <w:left w:w="58" w:type="dxa"/>
              <w:right w:w="58" w:type="dxa"/>
            </w:tcMar>
            <w:vAlign w:val="center"/>
          </w:tcPr>
          <w:p w:rsidRPr="00C87DF7" w:rsidR="00DA32DE" w:rsidP="00DA32DE" w:rsidRDefault="00DA32DE" w14:paraId="41E7A3CB" w14:textId="77777777">
            <w:pPr>
              <w:jc w:val="right"/>
              <w:rPr>
                <w:rFonts w:cs="Arial"/>
                <w:b/>
                <w:i/>
                <w:sz w:val="16"/>
                <w:szCs w:val="16"/>
              </w:rPr>
            </w:pPr>
            <w:r w:rsidRPr="00C87DF7">
              <w:rPr>
                <w:rFonts w:cs="Arial"/>
                <w:b/>
                <w:i/>
                <w:sz w:val="16"/>
                <w:szCs w:val="16"/>
              </w:rPr>
              <w:t>Total Industry Operations Cost</w:t>
            </w:r>
          </w:p>
        </w:tc>
        <w:tc>
          <w:tcPr>
            <w:tcW w:w="1080" w:type="dxa"/>
            <w:shd w:val="clear" w:color="auto" w:fill="auto"/>
            <w:tcMar>
              <w:left w:w="58" w:type="dxa"/>
              <w:right w:w="58" w:type="dxa"/>
            </w:tcMar>
            <w:vAlign w:val="center"/>
          </w:tcPr>
          <w:p w:rsidRPr="00C87DF7" w:rsidR="00DA32DE" w:rsidP="00DA32DE" w:rsidRDefault="00DA32DE" w14:paraId="6E83776A" w14:textId="3FE2F460">
            <w:pPr>
              <w:jc w:val="right"/>
              <w:rPr>
                <w:rFonts w:cs="Arial"/>
                <w:b/>
                <w:i/>
                <w:sz w:val="16"/>
                <w:szCs w:val="16"/>
              </w:rPr>
            </w:pPr>
            <w:r w:rsidRPr="00C87DF7">
              <w:rPr>
                <w:rFonts w:cs="Arial"/>
                <w:b/>
                <w:i/>
                <w:sz w:val="16"/>
                <w:szCs w:val="16"/>
              </w:rPr>
              <w:t>($</w:t>
            </w:r>
            <w:r w:rsidRPr="00C87DF7" w:rsidR="00277D26">
              <w:rPr>
                <w:rFonts w:cs="Arial"/>
                <w:b/>
                <w:i/>
                <w:sz w:val="16"/>
                <w:szCs w:val="16"/>
              </w:rPr>
              <w:t>156,968</w:t>
            </w:r>
            <w:r w:rsidRPr="00C87DF7">
              <w:rPr>
                <w:rFonts w:cs="Arial"/>
                <w:b/>
                <w:i/>
                <w:sz w:val="16"/>
                <w:szCs w:val="16"/>
              </w:rPr>
              <w:t>)</w:t>
            </w:r>
          </w:p>
        </w:tc>
      </w:tr>
      <w:tr w:rsidRPr="00C87DF7" w:rsidR="00DA32DE" w:rsidTr="00250AA8" w14:paraId="5379BC96" w14:textId="77777777">
        <w:trPr>
          <w:jc w:val="center"/>
        </w:trPr>
        <w:tc>
          <w:tcPr>
            <w:tcW w:w="8280" w:type="dxa"/>
            <w:gridSpan w:val="5"/>
            <w:shd w:val="clear" w:color="auto" w:fill="FFFFFF" w:themeFill="background1"/>
            <w:tcMar>
              <w:left w:w="58" w:type="dxa"/>
              <w:right w:w="58" w:type="dxa"/>
            </w:tcMar>
            <w:vAlign w:val="center"/>
          </w:tcPr>
          <w:p w:rsidRPr="00C87DF7" w:rsidR="00DA32DE" w:rsidP="00DA32DE" w:rsidRDefault="00DA32DE" w14:paraId="56FB9244" w14:textId="77777777">
            <w:pPr>
              <w:jc w:val="right"/>
              <w:rPr>
                <w:rFonts w:cs="Arial"/>
                <w:b/>
                <w:i/>
                <w:sz w:val="16"/>
                <w:szCs w:val="16"/>
              </w:rPr>
            </w:pPr>
            <w:r w:rsidRPr="00C87DF7">
              <w:rPr>
                <w:rFonts w:cs="Arial"/>
                <w:b/>
                <w:i/>
                <w:sz w:val="16"/>
                <w:szCs w:val="16"/>
              </w:rPr>
              <w:t>Average Operations Cost Per Site</w:t>
            </w:r>
          </w:p>
        </w:tc>
        <w:tc>
          <w:tcPr>
            <w:tcW w:w="1080" w:type="dxa"/>
            <w:shd w:val="clear" w:color="auto" w:fill="auto"/>
            <w:tcMar>
              <w:left w:w="58" w:type="dxa"/>
              <w:right w:w="58" w:type="dxa"/>
            </w:tcMar>
            <w:vAlign w:val="center"/>
          </w:tcPr>
          <w:p w:rsidRPr="00C87DF7" w:rsidR="00DA32DE" w:rsidP="00DA32DE" w:rsidRDefault="00DA32DE" w14:paraId="0C271C6A" w14:textId="00C5E2AB">
            <w:pPr>
              <w:jc w:val="right"/>
              <w:rPr>
                <w:rFonts w:cs="Arial"/>
                <w:b/>
                <w:i/>
                <w:sz w:val="16"/>
                <w:szCs w:val="16"/>
              </w:rPr>
            </w:pPr>
            <w:r w:rsidRPr="00C87DF7">
              <w:rPr>
                <w:rFonts w:cs="Arial"/>
                <w:b/>
                <w:i/>
                <w:sz w:val="16"/>
                <w:szCs w:val="16"/>
              </w:rPr>
              <w:t>($</w:t>
            </w:r>
            <w:r w:rsidRPr="00C87DF7" w:rsidR="0018251A">
              <w:rPr>
                <w:rFonts w:cs="Arial"/>
                <w:b/>
                <w:i/>
                <w:sz w:val="16"/>
                <w:szCs w:val="16"/>
              </w:rPr>
              <w:t>2,</w:t>
            </w:r>
            <w:r w:rsidRPr="00C87DF7" w:rsidR="00277D26">
              <w:rPr>
                <w:rFonts w:cs="Arial"/>
                <w:b/>
                <w:i/>
                <w:sz w:val="16"/>
                <w:szCs w:val="16"/>
              </w:rPr>
              <w:t>660</w:t>
            </w:r>
            <w:r w:rsidRPr="00C87DF7" w:rsidR="00B70357">
              <w:rPr>
                <w:rFonts w:cs="Arial"/>
                <w:b/>
                <w:i/>
                <w:sz w:val="16"/>
                <w:szCs w:val="16"/>
              </w:rPr>
              <w:t>)</w:t>
            </w:r>
          </w:p>
        </w:tc>
      </w:tr>
      <w:tr w:rsidRPr="00C87DF7" w:rsidR="00DA32DE" w:rsidTr="00E54398" w14:paraId="2786B631" w14:textId="77777777">
        <w:trPr>
          <w:jc w:val="center"/>
        </w:trPr>
        <w:tc>
          <w:tcPr>
            <w:tcW w:w="9360" w:type="dxa"/>
            <w:gridSpan w:val="6"/>
            <w:vAlign w:val="center"/>
          </w:tcPr>
          <w:p w:rsidRPr="00C87DF7" w:rsidR="00DA32DE" w:rsidP="00F91DDF" w:rsidRDefault="00DA32DE" w14:paraId="0044BB89" w14:textId="77777777">
            <w:pPr>
              <w:keepNext/>
              <w:autoSpaceDE/>
              <w:autoSpaceDN/>
              <w:adjustRightInd/>
              <w:spacing w:before="120"/>
              <w:rPr>
                <w:rFonts w:eastAsia="Arial" w:cs="Arial"/>
                <w:b/>
                <w:bCs/>
                <w:sz w:val="16"/>
                <w:szCs w:val="16"/>
              </w:rPr>
            </w:pPr>
            <w:r w:rsidRPr="00C87DF7">
              <w:rPr>
                <w:rFonts w:eastAsia="Arial" w:cs="Arial"/>
                <w:b/>
                <w:bCs/>
                <w:sz w:val="16"/>
                <w:szCs w:val="16"/>
              </w:rPr>
              <w:t>Calculations (totals may not add because of rounding):</w:t>
            </w:r>
          </w:p>
          <w:p w:rsidRPr="00C87DF7" w:rsidR="00DA32DE" w:rsidP="00F91DDF" w:rsidRDefault="00DA32DE" w14:paraId="67DB1F9A" w14:textId="45C851B9">
            <w:pPr>
              <w:pStyle w:val="ListParagraph"/>
              <w:keepNext/>
              <w:numPr>
                <w:ilvl w:val="0"/>
                <w:numId w:val="20"/>
              </w:numPr>
              <w:spacing w:after="60"/>
              <w:ind w:left="374"/>
              <w:contextualSpacing w:val="0"/>
              <w:rPr>
                <w:rFonts w:eastAsia="Arial" w:cs="Arial"/>
                <w:sz w:val="16"/>
                <w:szCs w:val="16"/>
              </w:rPr>
            </w:pPr>
            <w:r w:rsidRPr="00C87DF7">
              <w:rPr>
                <w:rFonts w:eastAsia="Arial" w:cs="Arial"/>
                <w:sz w:val="16"/>
                <w:szCs w:val="16"/>
              </w:rPr>
              <w:t xml:space="preserve">Benefits (Cost) </w:t>
            </w:r>
            <w:r w:rsidR="00C0355B">
              <w:rPr>
                <w:rFonts w:eastAsia="Arial" w:cs="Arial"/>
                <w:sz w:val="16"/>
                <w:szCs w:val="16"/>
              </w:rPr>
              <w:t>p</w:t>
            </w:r>
            <w:r w:rsidRPr="00C87DF7">
              <w:rPr>
                <w:rFonts w:eastAsia="Arial" w:cs="Arial"/>
                <w:sz w:val="16"/>
                <w:szCs w:val="16"/>
              </w:rPr>
              <w:t>er Site = Product (Data Inputs)</w:t>
            </w:r>
          </w:p>
          <w:p w:rsidRPr="00C87DF7" w:rsidR="00DA32DE" w:rsidP="00F91DDF" w:rsidRDefault="00DA32DE" w14:paraId="5C5856EC" w14:textId="7FF842F2">
            <w:pPr>
              <w:pStyle w:val="ListParagraph"/>
              <w:keepNext/>
              <w:numPr>
                <w:ilvl w:val="0"/>
                <w:numId w:val="20"/>
              </w:numPr>
              <w:spacing w:after="60"/>
              <w:ind w:left="374"/>
              <w:contextualSpacing w:val="0"/>
              <w:rPr>
                <w:rFonts w:eastAsia="Arial" w:cs="Arial"/>
                <w:sz w:val="16"/>
                <w:szCs w:val="16"/>
              </w:rPr>
            </w:pPr>
            <w:r w:rsidRPr="00C87DF7">
              <w:rPr>
                <w:rFonts w:eastAsia="Arial" w:cs="Arial"/>
                <w:sz w:val="16"/>
                <w:szCs w:val="16"/>
              </w:rPr>
              <w:t xml:space="preserve">Total Benefits (Cost) = Benefits (Cost) </w:t>
            </w:r>
            <w:r w:rsidR="00266FE6">
              <w:rPr>
                <w:rFonts w:eastAsia="Arial" w:cs="Arial"/>
                <w:sz w:val="16"/>
                <w:szCs w:val="16"/>
              </w:rPr>
              <w:t>p</w:t>
            </w:r>
            <w:r w:rsidRPr="00C87DF7">
              <w:rPr>
                <w:rFonts w:eastAsia="Arial" w:cs="Arial"/>
                <w:sz w:val="16"/>
                <w:szCs w:val="16"/>
              </w:rPr>
              <w:t>er Site x Number of Sites Affected</w:t>
            </w:r>
          </w:p>
          <w:p w:rsidRPr="00C87DF7" w:rsidR="00DA32DE" w:rsidP="00F91DDF" w:rsidRDefault="00DA32DE" w14:paraId="440B8D40" w14:textId="77777777">
            <w:pPr>
              <w:pStyle w:val="ListParagraph"/>
              <w:keepNext/>
              <w:numPr>
                <w:ilvl w:val="0"/>
                <w:numId w:val="20"/>
              </w:numPr>
              <w:spacing w:after="60"/>
              <w:ind w:left="374"/>
              <w:contextualSpacing w:val="0"/>
              <w:rPr>
                <w:rFonts w:eastAsia="Arial" w:cs="Arial"/>
                <w:sz w:val="16"/>
                <w:szCs w:val="16"/>
              </w:rPr>
            </w:pPr>
            <w:r w:rsidRPr="00C87DF7">
              <w:rPr>
                <w:rFonts w:eastAsia="Arial" w:cs="Arial"/>
                <w:sz w:val="16"/>
                <w:szCs w:val="16"/>
              </w:rPr>
              <w:t>Total Industry Operations Cost = Sum (Total Benefits (Cost))</w:t>
            </w:r>
          </w:p>
          <w:p w:rsidRPr="00C87DF7" w:rsidR="00DA32DE" w:rsidP="00F91DDF" w:rsidRDefault="00DA32DE" w14:paraId="0A36B136" w14:textId="722D4528">
            <w:pPr>
              <w:pStyle w:val="ListParagraph"/>
              <w:keepNext/>
              <w:numPr>
                <w:ilvl w:val="0"/>
                <w:numId w:val="20"/>
              </w:numPr>
              <w:spacing w:after="240"/>
              <w:ind w:left="374"/>
              <w:contextualSpacing w:val="0"/>
              <w:rPr>
                <w:rFonts w:eastAsia="Arial" w:cs="Arial"/>
                <w:sz w:val="16"/>
                <w:szCs w:val="16"/>
              </w:rPr>
            </w:pPr>
            <w:r w:rsidRPr="00C87DF7">
              <w:rPr>
                <w:rFonts w:eastAsia="Arial" w:cs="Arial"/>
                <w:sz w:val="16"/>
                <w:szCs w:val="16"/>
              </w:rPr>
              <w:t xml:space="preserve">Average Operations Cost </w:t>
            </w:r>
            <w:r w:rsidR="00266FE6">
              <w:rPr>
                <w:rFonts w:eastAsia="Arial" w:cs="Arial"/>
                <w:sz w:val="16"/>
                <w:szCs w:val="16"/>
              </w:rPr>
              <w:t>p</w:t>
            </w:r>
            <w:r w:rsidRPr="00C87DF7">
              <w:rPr>
                <w:rFonts w:eastAsia="Arial" w:cs="Arial"/>
                <w:sz w:val="16"/>
                <w:szCs w:val="16"/>
              </w:rPr>
              <w:t>er Site = Total Industry Operations Cost / Total Number of Sites</w:t>
            </w:r>
          </w:p>
          <w:p w:rsidRPr="00C87DF7" w:rsidR="00DA32DE" w:rsidP="00F91DDF" w:rsidRDefault="00DA32DE" w14:paraId="6F3919BD" w14:textId="77777777">
            <w:pPr>
              <w:keepNext/>
              <w:autoSpaceDE/>
              <w:autoSpaceDN/>
              <w:adjustRightInd/>
              <w:rPr>
                <w:rFonts w:eastAsia="Arial" w:cs="Arial"/>
                <w:b/>
                <w:bCs/>
                <w:sz w:val="16"/>
                <w:szCs w:val="16"/>
              </w:rPr>
            </w:pPr>
            <w:r w:rsidRPr="00C87DF7">
              <w:rPr>
                <w:rFonts w:eastAsia="Arial" w:cs="Arial"/>
                <w:b/>
                <w:bCs/>
                <w:sz w:val="16"/>
                <w:szCs w:val="16"/>
              </w:rPr>
              <w:t>Assumptions:</w:t>
            </w:r>
          </w:p>
          <w:p w:rsidRPr="00C87DF7" w:rsidR="00DA32DE" w:rsidP="0005318B" w:rsidRDefault="00DA32DE" w14:paraId="7C9D5F8B" w14:textId="484F27F2">
            <w:pPr>
              <w:pStyle w:val="ListParagraph"/>
              <w:keepNext/>
              <w:numPr>
                <w:ilvl w:val="0"/>
                <w:numId w:val="20"/>
              </w:numPr>
              <w:spacing w:after="120"/>
              <w:ind w:left="374"/>
              <w:contextualSpacing w:val="0"/>
              <w:rPr>
                <w:rFonts w:eastAsia="Arial" w:cs="Arial"/>
                <w:sz w:val="16"/>
                <w:szCs w:val="16"/>
              </w:rPr>
            </w:pPr>
            <w:r w:rsidRPr="00C87DF7">
              <w:rPr>
                <w:rFonts w:eastAsia="Arial" w:cs="Arial"/>
                <w:sz w:val="16"/>
                <w:szCs w:val="16"/>
              </w:rPr>
              <w:t xml:space="preserve">Initial drug testing of each urine specimen for </w:t>
            </w:r>
            <w:r w:rsidRPr="00C87DF7" w:rsidR="00391140">
              <w:rPr>
                <w:rFonts w:eastAsia="Arial" w:cs="Arial"/>
                <w:sz w:val="16"/>
                <w:szCs w:val="16"/>
              </w:rPr>
              <w:t xml:space="preserve">the four additional </w:t>
            </w:r>
            <w:r w:rsidRPr="00C87DF7" w:rsidR="008F45F8">
              <w:rPr>
                <w:rFonts w:eastAsia="Arial" w:cs="Arial"/>
                <w:sz w:val="16"/>
                <w:szCs w:val="16"/>
              </w:rPr>
              <w:t>opioids</w:t>
            </w:r>
            <w:r w:rsidRPr="00C87DF7">
              <w:rPr>
                <w:rFonts w:eastAsia="Arial" w:cs="Arial"/>
                <w:sz w:val="16"/>
                <w:szCs w:val="16"/>
              </w:rPr>
              <w:t xml:space="preserve"> </w:t>
            </w:r>
            <w:r w:rsidRPr="00C87DF7" w:rsidR="00B518C5">
              <w:rPr>
                <w:rFonts w:eastAsia="Arial" w:cs="Arial"/>
                <w:sz w:val="16"/>
                <w:szCs w:val="16"/>
              </w:rPr>
              <w:t>will</w:t>
            </w:r>
            <w:r w:rsidRPr="00C87DF7">
              <w:rPr>
                <w:rFonts w:eastAsia="Arial" w:cs="Arial"/>
                <w:sz w:val="16"/>
                <w:szCs w:val="16"/>
              </w:rPr>
              <w:t xml:space="preserve"> result in an incremental cost per test performed at LTFs and HHS</w:t>
            </w:r>
            <w:r w:rsidRPr="00C87DF7">
              <w:rPr>
                <w:rFonts w:eastAsia="Arial" w:cs="Arial"/>
                <w:sz w:val="16"/>
                <w:szCs w:val="16"/>
              </w:rPr>
              <w:noBreakHyphen/>
              <w:t>certified laboratories.</w:t>
            </w:r>
          </w:p>
          <w:p w:rsidRPr="00C87DF7" w:rsidR="00DA32DE" w:rsidP="0005318B" w:rsidRDefault="00DA32DE" w14:paraId="3C674950" w14:textId="580B3CB1">
            <w:pPr>
              <w:pStyle w:val="ListParagraph"/>
              <w:keepNext/>
              <w:numPr>
                <w:ilvl w:val="0"/>
                <w:numId w:val="20"/>
              </w:numPr>
              <w:spacing w:after="120"/>
              <w:ind w:left="374"/>
              <w:contextualSpacing w:val="0"/>
              <w:rPr>
                <w:rFonts w:eastAsia="Arial" w:cs="Arial"/>
                <w:sz w:val="16"/>
                <w:szCs w:val="16"/>
              </w:rPr>
            </w:pPr>
            <w:r w:rsidRPr="00C87DF7">
              <w:rPr>
                <w:rFonts w:eastAsia="Arial" w:cs="Arial"/>
                <w:sz w:val="16"/>
                <w:szCs w:val="16"/>
              </w:rPr>
              <w:t>Licensees only us</w:t>
            </w:r>
            <w:r w:rsidRPr="00C87DF7" w:rsidR="00364F93">
              <w:rPr>
                <w:rFonts w:eastAsia="Arial" w:cs="Arial"/>
                <w:sz w:val="16"/>
                <w:szCs w:val="16"/>
              </w:rPr>
              <w:t>ing</w:t>
            </w:r>
            <w:r w:rsidRPr="00C87DF7">
              <w:rPr>
                <w:rFonts w:eastAsia="Arial" w:cs="Arial"/>
                <w:sz w:val="16"/>
                <w:szCs w:val="16"/>
              </w:rPr>
              <w:t xml:space="preserve"> HHS-certified laboratories for drug testing pay a per</w:t>
            </w:r>
            <w:r w:rsidRPr="00C87DF7">
              <w:rPr>
                <w:rFonts w:eastAsia="Arial" w:cs="Arial"/>
                <w:sz w:val="16"/>
                <w:szCs w:val="16"/>
              </w:rPr>
              <w:noBreakHyphen/>
              <w:t>specimen cost, which includes initial drug testing of all specimens and confirmatory drug testing when applicable.  Licensees us</w:t>
            </w:r>
            <w:r w:rsidRPr="00C87DF7" w:rsidR="00364F93">
              <w:rPr>
                <w:rFonts w:eastAsia="Arial" w:cs="Arial"/>
                <w:sz w:val="16"/>
                <w:szCs w:val="16"/>
              </w:rPr>
              <w:t>ing</w:t>
            </w:r>
            <w:r w:rsidRPr="00C87DF7">
              <w:rPr>
                <w:rFonts w:eastAsia="Arial" w:cs="Arial"/>
                <w:sz w:val="16"/>
                <w:szCs w:val="16"/>
              </w:rPr>
              <w:t xml:space="preserve"> LTFs for initial drug testing and HHS</w:t>
            </w:r>
            <w:r w:rsidR="00267037">
              <w:rPr>
                <w:rFonts w:eastAsia="Arial" w:cs="Arial"/>
                <w:sz w:val="16"/>
                <w:szCs w:val="16"/>
              </w:rPr>
              <w:noBreakHyphen/>
            </w:r>
            <w:r w:rsidRPr="00C87DF7">
              <w:rPr>
                <w:rFonts w:eastAsia="Arial" w:cs="Arial"/>
                <w:sz w:val="16"/>
                <w:szCs w:val="16"/>
              </w:rPr>
              <w:t xml:space="preserve">certified laboratories for confirmatory drug testing also </w:t>
            </w:r>
            <w:r w:rsidRPr="00C87DF7" w:rsidR="00B518C5">
              <w:rPr>
                <w:rFonts w:eastAsia="Arial" w:cs="Arial"/>
                <w:sz w:val="16"/>
                <w:szCs w:val="16"/>
              </w:rPr>
              <w:t>will</w:t>
            </w:r>
            <w:r w:rsidRPr="00C87DF7">
              <w:rPr>
                <w:rFonts w:eastAsia="Arial" w:cs="Arial"/>
                <w:sz w:val="16"/>
                <w:szCs w:val="16"/>
              </w:rPr>
              <w:t xml:space="preserve"> incur an incremental cost to conduct confirmatory testing at an HHS-certified laboratory for any additional specimens that screen positive at the LTF as a result of the rule </w:t>
            </w:r>
            <w:r w:rsidRPr="00C87DF7" w:rsidR="00B518C5">
              <w:rPr>
                <w:rFonts w:eastAsia="Arial" w:cs="Arial"/>
                <w:sz w:val="16"/>
                <w:szCs w:val="16"/>
              </w:rPr>
              <w:t>changes</w:t>
            </w:r>
            <w:r w:rsidRPr="00C87DF7">
              <w:rPr>
                <w:rFonts w:eastAsia="Arial" w:cs="Arial"/>
                <w:sz w:val="16"/>
                <w:szCs w:val="16"/>
              </w:rPr>
              <w:t>.</w:t>
            </w:r>
          </w:p>
          <w:p w:rsidRPr="00C87DF7" w:rsidR="00DA32DE" w:rsidP="0005318B" w:rsidRDefault="0005318B" w14:paraId="6174589A" w14:textId="5F9BB730">
            <w:pPr>
              <w:pStyle w:val="ListParagraph"/>
              <w:keepNext/>
              <w:numPr>
                <w:ilvl w:val="0"/>
                <w:numId w:val="20"/>
              </w:numPr>
              <w:spacing w:after="120"/>
              <w:ind w:left="374"/>
              <w:contextualSpacing w:val="0"/>
              <w:rPr>
                <w:rFonts w:eastAsia="Arial" w:cs="Arial"/>
                <w:sz w:val="16"/>
                <w:szCs w:val="16"/>
              </w:rPr>
            </w:pPr>
            <w:r w:rsidRPr="00C87DF7">
              <w:rPr>
                <w:rFonts w:eastAsia="Arial" w:cs="Arial"/>
                <w:sz w:val="16"/>
                <w:szCs w:val="16"/>
              </w:rPr>
              <w:t xml:space="preserve">For expanded panel opioid positive results, </w:t>
            </w:r>
            <w:r w:rsidRPr="00C87DF7" w:rsidR="002722DB">
              <w:rPr>
                <w:rFonts w:eastAsia="Arial" w:cs="Arial"/>
                <w:sz w:val="16"/>
                <w:szCs w:val="16"/>
              </w:rPr>
              <w:t xml:space="preserve">the NRC estimates that </w:t>
            </w:r>
            <w:r w:rsidRPr="00C87DF7">
              <w:rPr>
                <w:rFonts w:eastAsia="Arial" w:cs="Arial"/>
                <w:sz w:val="16"/>
                <w:szCs w:val="16"/>
              </w:rPr>
              <w:t>7</w:t>
            </w:r>
            <w:r w:rsidRPr="00C87DF7" w:rsidR="00864EF2">
              <w:rPr>
                <w:rFonts w:eastAsia="Arial" w:cs="Arial"/>
                <w:sz w:val="16"/>
                <w:szCs w:val="16"/>
              </w:rPr>
              <w:t>1</w:t>
            </w:r>
            <w:r w:rsidRPr="00C87DF7">
              <w:rPr>
                <w:rFonts w:eastAsia="Arial" w:cs="Arial"/>
                <w:sz w:val="16"/>
                <w:szCs w:val="16"/>
              </w:rPr>
              <w:t xml:space="preserve"> percent of the HHS</w:t>
            </w:r>
            <w:r w:rsidRPr="00C0101F">
              <w:rPr>
                <w:rFonts w:eastAsia="Arial" w:cs="Arial"/>
                <w:sz w:val="16"/>
                <w:szCs w:val="16"/>
              </w:rPr>
              <w:t>-</w:t>
            </w:r>
            <w:r w:rsidRPr="00C87DF7">
              <w:rPr>
                <w:rFonts w:eastAsia="Arial" w:cs="Arial"/>
                <w:sz w:val="16"/>
                <w:szCs w:val="16"/>
              </w:rPr>
              <w:t>certified laboratory positive tests results</w:t>
            </w:r>
            <w:r w:rsidRPr="00C0101F">
              <w:rPr>
                <w:rFonts w:eastAsia="Arial" w:cs="Arial"/>
                <w:sz w:val="16"/>
                <w:szCs w:val="16"/>
              </w:rPr>
              <w:t xml:space="preserve"> will be confirmed positive by the MRO</w:t>
            </w:r>
            <w:r w:rsidRPr="00C87DF7">
              <w:rPr>
                <w:rFonts w:eastAsia="Arial" w:cs="Arial"/>
                <w:sz w:val="16"/>
                <w:szCs w:val="16"/>
              </w:rPr>
              <w:t xml:space="preserve"> (i.e., 2</w:t>
            </w:r>
            <w:r w:rsidRPr="00C87DF7" w:rsidR="00864EF2">
              <w:rPr>
                <w:rFonts w:eastAsia="Arial" w:cs="Arial"/>
                <w:sz w:val="16"/>
                <w:szCs w:val="16"/>
              </w:rPr>
              <w:t>9</w:t>
            </w:r>
            <w:r w:rsidRPr="00C87DF7">
              <w:rPr>
                <w:rFonts w:eastAsia="Arial" w:cs="Arial"/>
                <w:sz w:val="16"/>
                <w:szCs w:val="16"/>
              </w:rPr>
              <w:t xml:space="preserve"> percent of laboratory positives will be medically downgraded by the MRO based on a valid medical condition and prescription).</w:t>
            </w:r>
          </w:p>
          <w:p w:rsidRPr="00C87DF7" w:rsidR="00DA32DE" w:rsidP="00DA32DE" w:rsidRDefault="00DA32DE" w14:paraId="62490D0E" w14:textId="092CCD47">
            <w:pPr>
              <w:pStyle w:val="ListParagraph"/>
              <w:keepNext/>
              <w:numPr>
                <w:ilvl w:val="0"/>
                <w:numId w:val="20"/>
              </w:numPr>
              <w:spacing w:after="120"/>
              <w:ind w:left="374"/>
              <w:contextualSpacing w:val="0"/>
              <w:rPr>
                <w:rFonts w:eastAsia="Arial" w:cs="Arial"/>
                <w:sz w:val="16"/>
                <w:szCs w:val="16"/>
              </w:rPr>
            </w:pPr>
            <w:r w:rsidRPr="00C87DF7">
              <w:rPr>
                <w:rFonts w:eastAsia="Arial" w:cs="Arial"/>
                <w:sz w:val="16"/>
                <w:szCs w:val="16"/>
              </w:rPr>
              <w:t xml:space="preserve">Appendices B and D </w:t>
            </w:r>
            <w:r w:rsidRPr="00C87DF7" w:rsidR="00F775BE">
              <w:rPr>
                <w:rFonts w:eastAsia="Arial" w:cs="Arial"/>
                <w:sz w:val="16"/>
                <w:szCs w:val="16"/>
              </w:rPr>
              <w:t>present</w:t>
            </w:r>
            <w:r w:rsidRPr="00C87DF7">
              <w:rPr>
                <w:rFonts w:eastAsia="Arial" w:cs="Arial"/>
                <w:sz w:val="16"/>
                <w:szCs w:val="16"/>
              </w:rPr>
              <w:t xml:space="preserve"> additional information on </w:t>
            </w:r>
            <w:r w:rsidRPr="00C87DF7" w:rsidR="00F775BE">
              <w:rPr>
                <w:rFonts w:eastAsia="Arial" w:cs="Arial"/>
                <w:sz w:val="16"/>
                <w:szCs w:val="16"/>
              </w:rPr>
              <w:t xml:space="preserve">the </w:t>
            </w:r>
            <w:r w:rsidRPr="00C87DF7">
              <w:rPr>
                <w:rFonts w:eastAsia="Arial" w:cs="Arial"/>
                <w:sz w:val="16"/>
                <w:szCs w:val="16"/>
              </w:rPr>
              <w:t>parameters used in these calculations.</w:t>
            </w:r>
          </w:p>
        </w:tc>
      </w:tr>
    </w:tbl>
    <w:p w:rsidR="00AE2C92" w:rsidP="00D520BD" w:rsidRDefault="00AE2C92" w14:paraId="0B3DF4B4" w14:textId="77777777">
      <w:pPr>
        <w:autoSpaceDE/>
        <w:autoSpaceDN/>
        <w:adjustRightInd/>
        <w:rPr>
          <w:sz w:val="22"/>
          <w:szCs w:val="22"/>
        </w:rPr>
      </w:pPr>
    </w:p>
    <w:p w:rsidR="00D520BD" w:rsidP="00D520BD" w:rsidRDefault="00D520BD" w14:paraId="52EE5225" w14:textId="1389097E">
      <w:pPr>
        <w:autoSpaceDE/>
        <w:autoSpaceDN/>
        <w:adjustRightInd/>
        <w:rPr>
          <w:sz w:val="22"/>
          <w:szCs w:val="22"/>
        </w:rPr>
      </w:pPr>
      <w:r>
        <w:rPr>
          <w:sz w:val="22"/>
          <w:szCs w:val="22"/>
        </w:rPr>
        <w:br w:type="page"/>
      </w:r>
    </w:p>
    <w:tbl>
      <w:tblPr>
        <w:tblStyle w:val="TableGrid"/>
        <w:tblW w:w="9360" w:type="dxa"/>
        <w:jc w:val="center"/>
        <w:tblLayout w:type="fixed"/>
        <w:tblLook w:val="04A0" w:firstRow="1" w:lastRow="0" w:firstColumn="1" w:lastColumn="0" w:noHBand="0" w:noVBand="1"/>
      </w:tblPr>
      <w:tblGrid>
        <w:gridCol w:w="2065"/>
        <w:gridCol w:w="3780"/>
        <w:gridCol w:w="720"/>
        <w:gridCol w:w="815"/>
        <w:gridCol w:w="900"/>
        <w:gridCol w:w="1080"/>
      </w:tblGrid>
      <w:tr w:rsidRPr="00467D22" w:rsidR="00D520BD" w:rsidTr="008C0DF3" w14:paraId="37003E97" w14:textId="77777777">
        <w:trPr>
          <w:trHeight w:val="3860"/>
          <w:jc w:val="center"/>
        </w:trPr>
        <w:tc>
          <w:tcPr>
            <w:tcW w:w="9360" w:type="dxa"/>
            <w:gridSpan w:val="6"/>
          </w:tcPr>
          <w:p w:rsidRPr="00467D22" w:rsidR="00D520BD" w:rsidP="00982BD1" w:rsidRDefault="00D520BD" w14:paraId="1BD22C5C" w14:textId="27F8B20E">
            <w:pPr>
              <w:spacing w:before="120"/>
              <w:rPr>
                <w:rFonts w:cs="Arial"/>
                <w:b/>
                <w:i/>
                <w:szCs w:val="16"/>
              </w:rPr>
            </w:pPr>
            <w:r w:rsidRPr="00467D22">
              <w:rPr>
                <w:rFonts w:cs="Arial"/>
                <w:b/>
                <w:i/>
                <w:szCs w:val="16"/>
              </w:rPr>
              <w:t>C.</w:t>
            </w:r>
            <w:r w:rsidRPr="00467D22" w:rsidR="00343B4E">
              <w:rPr>
                <w:rFonts w:cs="Arial"/>
                <w:b/>
                <w:i/>
                <w:szCs w:val="16"/>
              </w:rPr>
              <w:t>5</w:t>
            </w:r>
            <w:r w:rsidRPr="00467D22">
              <w:rPr>
                <w:rFonts w:cs="Arial"/>
                <w:b/>
                <w:i/>
                <w:szCs w:val="16"/>
              </w:rPr>
              <w:t xml:space="preserve">  Expand the Initial and Confirmatory Drug Testing Panels to </w:t>
            </w:r>
            <w:r w:rsidRPr="00467D22">
              <w:rPr>
                <w:b/>
                <w:i/>
              </w:rPr>
              <w:t>Include Ecstasy</w:t>
            </w:r>
          </w:p>
          <w:p w:rsidRPr="00467D22" w:rsidR="00D520BD" w:rsidP="00982BD1" w:rsidRDefault="00D520BD" w14:paraId="68FC93DF" w14:textId="4DC7863D">
            <w:pPr>
              <w:spacing w:before="82"/>
              <w:ind w:right="199"/>
              <w:rPr>
                <w:rFonts w:eastAsia="Arial" w:cs="Arial"/>
                <w:sz w:val="16"/>
                <w:szCs w:val="16"/>
              </w:rPr>
            </w:pPr>
            <w:r w:rsidRPr="00467D22">
              <w:rPr>
                <w:rFonts w:eastAsia="Arial" w:cs="Arial"/>
                <w:sz w:val="16"/>
                <w:szCs w:val="16"/>
              </w:rPr>
              <w:t xml:space="preserve">The </w:t>
            </w:r>
            <w:r w:rsidRPr="00467D22" w:rsidR="00343B4E">
              <w:rPr>
                <w:rFonts w:eastAsia="Arial" w:cs="Arial"/>
                <w:sz w:val="16"/>
                <w:szCs w:val="16"/>
              </w:rPr>
              <w:t xml:space="preserve">final </w:t>
            </w:r>
            <w:r w:rsidRPr="00467D22">
              <w:rPr>
                <w:rFonts w:eastAsia="Arial" w:cs="Arial"/>
                <w:sz w:val="16"/>
                <w:szCs w:val="16"/>
              </w:rPr>
              <w:t>rule add</w:t>
            </w:r>
            <w:r w:rsidRPr="00467D22" w:rsidR="006A5BEC">
              <w:rPr>
                <w:rFonts w:eastAsia="Arial" w:cs="Arial"/>
                <w:sz w:val="16"/>
                <w:szCs w:val="16"/>
              </w:rPr>
              <w:t>s</w:t>
            </w:r>
            <w:r w:rsidRPr="00467D22">
              <w:rPr>
                <w:rFonts w:eastAsia="Arial" w:cs="Arial"/>
                <w:sz w:val="16"/>
                <w:szCs w:val="16"/>
              </w:rPr>
              <w:t xml:space="preserve"> testing for </w:t>
            </w:r>
            <w:r w:rsidRPr="00467D22" w:rsidR="001B25C7">
              <w:rPr>
                <w:rFonts w:eastAsia="Arial" w:cs="Arial"/>
                <w:sz w:val="16"/>
                <w:szCs w:val="16"/>
              </w:rPr>
              <w:t xml:space="preserve">two </w:t>
            </w:r>
            <w:r w:rsidRPr="00467D22">
              <w:rPr>
                <w:rFonts w:eastAsia="Arial" w:cs="Arial"/>
                <w:sz w:val="16"/>
                <w:szCs w:val="16"/>
              </w:rPr>
              <w:t>Ecstasy-type drugs (MDMA/MDA) to the testing panel (10 CFR 26.31(d)(1) and 10 CFR 26.405(d)); make</w:t>
            </w:r>
            <w:r w:rsidRPr="00467D22" w:rsidR="006A5BEC">
              <w:rPr>
                <w:rFonts w:eastAsia="Arial" w:cs="Arial"/>
                <w:sz w:val="16"/>
                <w:szCs w:val="16"/>
              </w:rPr>
              <w:t>s</w:t>
            </w:r>
            <w:r w:rsidRPr="00467D22">
              <w:rPr>
                <w:rFonts w:eastAsia="Arial" w:cs="Arial"/>
                <w:sz w:val="16"/>
                <w:szCs w:val="16"/>
              </w:rPr>
              <w:t xml:space="preserve"> conforming changes to the substances for initial testing (10 CFR 26.133 and 10 CFR 26.163(a)(1)) and confirmatory testing (10 CFR 26.163(b)(1)); and </w:t>
            </w:r>
            <w:r w:rsidRPr="00467D22" w:rsidR="00D87D54">
              <w:rPr>
                <w:rFonts w:eastAsia="Arial" w:cs="Arial"/>
                <w:sz w:val="16"/>
                <w:szCs w:val="16"/>
              </w:rPr>
              <w:t>adds these new substances to</w:t>
            </w:r>
            <w:r w:rsidRPr="00467D22">
              <w:rPr>
                <w:rFonts w:eastAsia="Arial" w:cs="Arial"/>
                <w:sz w:val="16"/>
                <w:szCs w:val="16"/>
              </w:rPr>
              <w:t xml:space="preserve"> the annual statistical summary reporting requirements for HHS-certified laboratories (10 CFR 26.169(h)(3)).  These changes ensure that 10 CFR Part 26 is consistent with Section 3.4 of the 2008 </w:t>
            </w:r>
            <w:r w:rsidRPr="00467D22" w:rsidR="00470AC8">
              <w:rPr>
                <w:rFonts w:eastAsia="Arial" w:cs="Arial"/>
                <w:sz w:val="16"/>
                <w:szCs w:val="16"/>
              </w:rPr>
              <w:t xml:space="preserve">and 2017 </w:t>
            </w:r>
            <w:r w:rsidRPr="00467D22">
              <w:rPr>
                <w:rFonts w:eastAsia="Arial" w:cs="Arial"/>
                <w:sz w:val="16"/>
                <w:szCs w:val="16"/>
              </w:rPr>
              <w:t>HHS Guidelines.</w:t>
            </w:r>
          </w:p>
          <w:p w:rsidRPr="00467D22" w:rsidR="00D520BD" w:rsidP="002301C3" w:rsidRDefault="00D520BD" w14:paraId="3CC1B2AB" w14:textId="7D9AB57F">
            <w:pPr>
              <w:spacing w:before="99" w:after="120"/>
              <w:rPr>
                <w:rFonts w:eastAsia="Arial"/>
                <w:sz w:val="16"/>
                <w:szCs w:val="16"/>
              </w:rPr>
            </w:pPr>
            <w:r w:rsidRPr="00467D22">
              <w:rPr>
                <w:rFonts w:eastAsia="Arial" w:cs="Arial"/>
                <w:sz w:val="16"/>
                <w:szCs w:val="16"/>
              </w:rPr>
              <w:t>The rule revise</w:t>
            </w:r>
            <w:r w:rsidRPr="00467D22" w:rsidR="00000990">
              <w:rPr>
                <w:rFonts w:eastAsia="Arial" w:cs="Arial"/>
                <w:sz w:val="16"/>
                <w:szCs w:val="16"/>
              </w:rPr>
              <w:t>s</w:t>
            </w:r>
            <w:r w:rsidRPr="00467D22">
              <w:rPr>
                <w:rFonts w:eastAsia="Arial" w:cs="Arial"/>
                <w:sz w:val="16"/>
                <w:szCs w:val="16"/>
              </w:rPr>
              <w:t xml:space="preserve"> the list of substances to be tested as follows:</w:t>
            </w:r>
          </w:p>
          <w:p w:rsidRPr="00467D22" w:rsidR="00D520BD" w:rsidP="005C6BA3" w:rsidRDefault="002D18B0" w14:paraId="6DF03019" w14:textId="75601E9A">
            <w:pPr>
              <w:pStyle w:val="ListParagraph"/>
              <w:numPr>
                <w:ilvl w:val="0"/>
                <w:numId w:val="37"/>
              </w:numPr>
              <w:ind w:left="330"/>
              <w:contextualSpacing w:val="0"/>
              <w:rPr>
                <w:rFonts w:eastAsia="Arial" w:cs="Arial"/>
                <w:sz w:val="16"/>
                <w:szCs w:val="16"/>
              </w:rPr>
            </w:pPr>
            <w:r w:rsidRPr="00467D22">
              <w:rPr>
                <w:rFonts w:eastAsia="Arial" w:cs="Arial"/>
                <w:sz w:val="16"/>
                <w:szCs w:val="16"/>
              </w:rPr>
              <w:t>i</w:t>
            </w:r>
            <w:r w:rsidRPr="00467D22" w:rsidR="00D520BD">
              <w:rPr>
                <w:rFonts w:eastAsia="Arial" w:cs="Arial"/>
                <w:sz w:val="16"/>
                <w:szCs w:val="16"/>
              </w:rPr>
              <w:t>nclude</w:t>
            </w:r>
            <w:r w:rsidRPr="00467D22" w:rsidR="00000990">
              <w:rPr>
                <w:rFonts w:eastAsia="Arial" w:cs="Arial"/>
                <w:sz w:val="16"/>
                <w:szCs w:val="16"/>
              </w:rPr>
              <w:t>s</w:t>
            </w:r>
            <w:r w:rsidRPr="00467D22" w:rsidR="00D520BD">
              <w:rPr>
                <w:rFonts w:eastAsia="Arial" w:cs="Arial"/>
                <w:sz w:val="16"/>
                <w:szCs w:val="16"/>
              </w:rPr>
              <w:t xml:space="preserve"> initial testing for MDMA </w:t>
            </w:r>
            <w:r w:rsidRPr="00467D22" w:rsidR="0001334B">
              <w:rPr>
                <w:rFonts w:eastAsia="Arial" w:cs="Arial"/>
                <w:sz w:val="16"/>
                <w:szCs w:val="16"/>
              </w:rPr>
              <w:t xml:space="preserve">and MDA </w:t>
            </w:r>
            <w:r w:rsidRPr="00467D22" w:rsidR="00D520BD">
              <w:rPr>
                <w:rFonts w:eastAsia="Arial" w:cs="Arial"/>
                <w:sz w:val="16"/>
                <w:szCs w:val="16"/>
              </w:rPr>
              <w:t>(500 ng/mL testing cutoff level)</w:t>
            </w:r>
          </w:p>
          <w:p w:rsidRPr="00467D22" w:rsidR="00D520BD" w:rsidP="005C6BA3" w:rsidRDefault="002D18B0" w14:paraId="32721117" w14:textId="4728F919">
            <w:pPr>
              <w:pStyle w:val="ListParagraph"/>
              <w:numPr>
                <w:ilvl w:val="0"/>
                <w:numId w:val="37"/>
              </w:numPr>
              <w:spacing w:before="99"/>
              <w:ind w:left="330"/>
              <w:rPr>
                <w:rFonts w:eastAsia="Arial" w:cs="Arial"/>
                <w:sz w:val="16"/>
                <w:szCs w:val="16"/>
              </w:rPr>
            </w:pPr>
            <w:r w:rsidRPr="00467D22">
              <w:rPr>
                <w:rFonts w:eastAsia="Arial" w:cs="Arial"/>
                <w:sz w:val="16"/>
                <w:szCs w:val="16"/>
              </w:rPr>
              <w:t>i</w:t>
            </w:r>
            <w:r w:rsidRPr="00467D22" w:rsidR="00D520BD">
              <w:rPr>
                <w:rFonts w:eastAsia="Arial" w:cs="Arial"/>
                <w:sz w:val="16"/>
                <w:szCs w:val="16"/>
              </w:rPr>
              <w:t>nclude</w:t>
            </w:r>
            <w:r w:rsidRPr="00467D22" w:rsidR="00000990">
              <w:rPr>
                <w:rFonts w:eastAsia="Arial" w:cs="Arial"/>
                <w:sz w:val="16"/>
                <w:szCs w:val="16"/>
              </w:rPr>
              <w:t>s</w:t>
            </w:r>
            <w:r w:rsidRPr="00467D22" w:rsidR="00D520BD">
              <w:rPr>
                <w:rFonts w:eastAsia="Arial" w:cs="Arial"/>
                <w:sz w:val="16"/>
                <w:szCs w:val="16"/>
              </w:rPr>
              <w:t xml:space="preserve"> confirmatory testing for MDMA</w:t>
            </w:r>
            <w:r w:rsidRPr="00467D22" w:rsidR="001B25C7">
              <w:rPr>
                <w:rFonts w:eastAsia="Arial" w:cs="Arial"/>
                <w:sz w:val="16"/>
                <w:szCs w:val="16"/>
              </w:rPr>
              <w:t xml:space="preserve"> and</w:t>
            </w:r>
            <w:r w:rsidRPr="00467D22" w:rsidR="00D520BD">
              <w:rPr>
                <w:rFonts w:eastAsia="Arial" w:cs="Arial"/>
                <w:sz w:val="16"/>
                <w:szCs w:val="16"/>
              </w:rPr>
              <w:t xml:space="preserve"> MDA (250 ng/mL cutoff levels)</w:t>
            </w:r>
          </w:p>
          <w:p w:rsidRPr="00467D22" w:rsidR="00D520BD" w:rsidP="00982BD1" w:rsidRDefault="00D520BD" w14:paraId="5D06694F" w14:textId="77777777">
            <w:pPr>
              <w:rPr>
                <w:rFonts w:eastAsia="Arial" w:cs="Arial"/>
                <w:sz w:val="16"/>
                <w:szCs w:val="16"/>
              </w:rPr>
            </w:pPr>
          </w:p>
          <w:p w:rsidRPr="00467D22" w:rsidR="00D520BD" w:rsidP="00982BD1" w:rsidRDefault="00D520BD" w14:paraId="5A02E040" w14:textId="4F06CE8A">
            <w:pPr>
              <w:rPr>
                <w:rFonts w:eastAsia="Arial" w:cs="Arial"/>
                <w:sz w:val="16"/>
                <w:szCs w:val="16"/>
              </w:rPr>
            </w:pPr>
            <w:r w:rsidRPr="00467D22">
              <w:rPr>
                <w:rFonts w:eastAsia="Arial" w:cs="Arial"/>
                <w:sz w:val="16"/>
                <w:szCs w:val="16"/>
              </w:rPr>
              <w:t xml:space="preserve">Testing for Ecstasy </w:t>
            </w:r>
            <w:r w:rsidRPr="00467D22" w:rsidR="00F10307">
              <w:rPr>
                <w:rFonts w:eastAsia="Arial" w:cs="Arial"/>
                <w:sz w:val="16"/>
                <w:szCs w:val="16"/>
              </w:rPr>
              <w:t>drugs</w:t>
            </w:r>
            <w:r w:rsidRPr="00467D22">
              <w:rPr>
                <w:rFonts w:eastAsia="Arial" w:cs="Arial"/>
                <w:sz w:val="16"/>
                <w:szCs w:val="16"/>
              </w:rPr>
              <w:t xml:space="preserve"> enable</w:t>
            </w:r>
            <w:r w:rsidRPr="00467D22" w:rsidR="00000990">
              <w:rPr>
                <w:rFonts w:eastAsia="Arial" w:cs="Arial"/>
                <w:sz w:val="16"/>
                <w:szCs w:val="16"/>
              </w:rPr>
              <w:t>s</w:t>
            </w:r>
            <w:r w:rsidRPr="00467D22">
              <w:rPr>
                <w:rFonts w:eastAsia="Arial" w:cs="Arial"/>
                <w:sz w:val="16"/>
                <w:szCs w:val="16"/>
              </w:rPr>
              <w:t xml:space="preserve"> the detection of additional illegal drugs that could impair employee performance.  The performance of testing for Ecstasy drugs is estimated to result in an increase in the number of urine specimens identified as containing MDMA</w:t>
            </w:r>
            <w:r w:rsidRPr="00467D22" w:rsidR="001B25C7">
              <w:rPr>
                <w:rFonts w:eastAsia="Arial" w:cs="Arial"/>
                <w:sz w:val="16"/>
                <w:szCs w:val="16"/>
              </w:rPr>
              <w:t xml:space="preserve"> or</w:t>
            </w:r>
            <w:r w:rsidRPr="00467D22">
              <w:rPr>
                <w:rFonts w:eastAsia="Arial" w:cs="Arial"/>
                <w:sz w:val="16"/>
                <w:szCs w:val="16"/>
              </w:rPr>
              <w:t xml:space="preserve"> MDA</w:t>
            </w:r>
            <w:r w:rsidRPr="00467D22" w:rsidR="00646A79">
              <w:rPr>
                <w:rFonts w:eastAsia="Arial" w:cs="Arial"/>
                <w:sz w:val="16"/>
                <w:szCs w:val="16"/>
              </w:rPr>
              <w:t>,</w:t>
            </w:r>
            <w:r w:rsidRPr="00467D22">
              <w:rPr>
                <w:rFonts w:eastAsia="Arial" w:cs="Arial"/>
                <w:sz w:val="16"/>
                <w:szCs w:val="16"/>
              </w:rPr>
              <w:t xml:space="preserve"> or </w:t>
            </w:r>
            <w:r w:rsidRPr="00467D22" w:rsidR="002044C6">
              <w:rPr>
                <w:rFonts w:eastAsia="Arial" w:cs="Arial"/>
                <w:sz w:val="16"/>
                <w:szCs w:val="16"/>
              </w:rPr>
              <w:t>both</w:t>
            </w:r>
            <w:r w:rsidRPr="00467D22">
              <w:rPr>
                <w:rFonts w:eastAsia="Arial" w:cs="Arial"/>
                <w:sz w:val="16"/>
                <w:szCs w:val="16"/>
              </w:rPr>
              <w:t>.  The rule change</w:t>
            </w:r>
            <w:r w:rsidRPr="00467D22" w:rsidR="002A7362">
              <w:rPr>
                <w:rFonts w:eastAsia="Arial" w:cs="Arial"/>
                <w:sz w:val="16"/>
                <w:szCs w:val="16"/>
              </w:rPr>
              <w:t>s</w:t>
            </w:r>
            <w:r w:rsidRPr="00467D22">
              <w:rPr>
                <w:rFonts w:eastAsia="Arial" w:cs="Arial"/>
                <w:sz w:val="16"/>
                <w:szCs w:val="16"/>
              </w:rPr>
              <w:t xml:space="preserve"> also may increase the deterrent effect of the testing program </w:t>
            </w:r>
            <w:r w:rsidRPr="00467D22" w:rsidR="002A7362">
              <w:rPr>
                <w:rFonts w:eastAsia="Arial" w:cs="Arial"/>
                <w:sz w:val="16"/>
                <w:szCs w:val="16"/>
              </w:rPr>
              <w:t>under 10</w:t>
            </w:r>
            <w:r w:rsidRPr="00467D22" w:rsidR="00E151A5">
              <w:rPr>
                <w:rFonts w:eastAsia="Arial" w:cs="Arial"/>
                <w:sz w:val="16"/>
                <w:szCs w:val="16"/>
              </w:rPr>
              <w:t> </w:t>
            </w:r>
            <w:r w:rsidRPr="00467D22" w:rsidR="002A7362">
              <w:rPr>
                <w:rFonts w:eastAsia="Arial" w:cs="Arial"/>
                <w:sz w:val="16"/>
                <w:szCs w:val="16"/>
              </w:rPr>
              <w:t xml:space="preserve">CFR Part 26 </w:t>
            </w:r>
            <w:r w:rsidRPr="00467D22">
              <w:rPr>
                <w:rFonts w:eastAsia="Arial" w:cs="Arial"/>
                <w:sz w:val="16"/>
                <w:szCs w:val="16"/>
              </w:rPr>
              <w:t>by including these additional substances in the testing panel.</w:t>
            </w:r>
          </w:p>
          <w:p w:rsidRPr="00467D22" w:rsidR="0074536E" w:rsidP="00982BD1" w:rsidRDefault="0074536E" w14:paraId="4D78CBCD" w14:textId="77777777">
            <w:pPr>
              <w:rPr>
                <w:rFonts w:eastAsia="Arial" w:cs="Arial"/>
                <w:sz w:val="16"/>
                <w:szCs w:val="16"/>
              </w:rPr>
            </w:pPr>
          </w:p>
          <w:p w:rsidRPr="00467D22" w:rsidR="00D520BD" w:rsidP="002301C3" w:rsidRDefault="004F304E" w14:paraId="3B61EE50" w14:textId="37BD89C3">
            <w:pPr>
              <w:spacing w:after="160"/>
              <w:rPr>
                <w:rFonts w:cs="Arial"/>
                <w:sz w:val="16"/>
                <w:szCs w:val="16"/>
              </w:rPr>
            </w:pPr>
            <w:r w:rsidRPr="00467D22">
              <w:rPr>
                <w:rFonts w:eastAsia="Arial" w:cs="Arial"/>
                <w:sz w:val="16"/>
                <w:szCs w:val="16"/>
              </w:rPr>
              <w:t xml:space="preserve">The addition of the two Ecstasy-type drugs to the testing panel </w:t>
            </w:r>
            <w:r w:rsidRPr="00467D22" w:rsidR="009B6B80">
              <w:rPr>
                <w:rFonts w:eastAsia="Arial" w:cs="Arial"/>
                <w:sz w:val="16"/>
                <w:szCs w:val="16"/>
              </w:rPr>
              <w:t xml:space="preserve">also will </w:t>
            </w:r>
            <w:r w:rsidRPr="00467D22" w:rsidR="00A6151E">
              <w:rPr>
                <w:rFonts w:eastAsia="Arial" w:cs="Arial"/>
                <w:sz w:val="16"/>
                <w:szCs w:val="16"/>
              </w:rPr>
              <w:t>result</w:t>
            </w:r>
            <w:r w:rsidRPr="00467D22">
              <w:rPr>
                <w:rFonts w:eastAsia="Arial" w:cs="Arial"/>
                <w:sz w:val="16"/>
                <w:szCs w:val="16"/>
              </w:rPr>
              <w:t xml:space="preserve"> in an increase in the number of BPTSs that a licensee or other entity will need to submit to each HHS-certified laboratory that it maintains under contract.  One BPTS </w:t>
            </w:r>
            <w:r w:rsidRPr="00467D22" w:rsidR="00A6151E">
              <w:rPr>
                <w:rFonts w:eastAsia="Arial" w:cs="Arial"/>
                <w:sz w:val="16"/>
                <w:szCs w:val="16"/>
              </w:rPr>
              <w:t>is</w:t>
            </w:r>
            <w:r w:rsidRPr="00467D22">
              <w:rPr>
                <w:rFonts w:eastAsia="Arial" w:cs="Arial"/>
                <w:sz w:val="16"/>
                <w:szCs w:val="16"/>
              </w:rPr>
              <w:t xml:space="preserve"> submitted each quarter to meet the existing requirements in </w:t>
            </w:r>
            <w:r w:rsidRPr="00467D22" w:rsidR="00F041E4">
              <w:rPr>
                <w:rFonts w:eastAsia="Arial" w:cs="Arial"/>
                <w:sz w:val="16"/>
                <w:szCs w:val="16"/>
              </w:rPr>
              <w:t>10 CFR </w:t>
            </w:r>
            <w:r w:rsidRPr="00467D22">
              <w:rPr>
                <w:rFonts w:eastAsia="Arial" w:cs="Arial"/>
                <w:sz w:val="16"/>
                <w:szCs w:val="16"/>
              </w:rPr>
              <w:t>26.168.</w:t>
            </w:r>
          </w:p>
        </w:tc>
      </w:tr>
      <w:tr w:rsidRPr="00467D22" w:rsidR="00D520BD" w:rsidTr="00E64731" w14:paraId="6682A0E9" w14:textId="77777777">
        <w:trPr>
          <w:jc w:val="center"/>
        </w:trPr>
        <w:tc>
          <w:tcPr>
            <w:tcW w:w="2065" w:type="dxa"/>
            <w:shd w:val="clear" w:color="auto" w:fill="D9D9D9" w:themeFill="background1" w:themeFillShade="D9"/>
            <w:tcMar>
              <w:left w:w="58" w:type="dxa"/>
              <w:right w:w="58" w:type="dxa"/>
            </w:tcMar>
            <w:vAlign w:val="center"/>
          </w:tcPr>
          <w:p w:rsidRPr="00467D22" w:rsidR="00D520BD" w:rsidP="00982BD1" w:rsidRDefault="00D520BD" w14:paraId="1F6E044B" w14:textId="77777777">
            <w:pPr>
              <w:jc w:val="center"/>
              <w:rPr>
                <w:rFonts w:cs="Arial"/>
                <w:b/>
                <w:i/>
                <w:sz w:val="16"/>
                <w:szCs w:val="16"/>
              </w:rPr>
            </w:pPr>
            <w:r w:rsidRPr="00467D22">
              <w:rPr>
                <w:rFonts w:cs="Arial"/>
                <w:b/>
                <w:i/>
                <w:sz w:val="16"/>
                <w:szCs w:val="16"/>
              </w:rPr>
              <w:t>Activity</w:t>
            </w:r>
          </w:p>
        </w:tc>
        <w:tc>
          <w:tcPr>
            <w:tcW w:w="3780" w:type="dxa"/>
            <w:shd w:val="clear" w:color="auto" w:fill="D9D9D9" w:themeFill="background1" w:themeFillShade="D9"/>
            <w:tcMar>
              <w:left w:w="58" w:type="dxa"/>
              <w:right w:w="58" w:type="dxa"/>
            </w:tcMar>
            <w:vAlign w:val="center"/>
          </w:tcPr>
          <w:p w:rsidRPr="00467D22" w:rsidR="00D520BD" w:rsidP="00982BD1" w:rsidRDefault="00D520BD" w14:paraId="5AA77821" w14:textId="77777777">
            <w:pPr>
              <w:jc w:val="center"/>
              <w:rPr>
                <w:rFonts w:cs="Arial"/>
                <w:b/>
                <w:i/>
                <w:sz w:val="16"/>
                <w:szCs w:val="16"/>
              </w:rPr>
            </w:pPr>
            <w:r w:rsidRPr="00467D22">
              <w:rPr>
                <w:rFonts w:cs="Arial"/>
                <w:b/>
                <w:i/>
                <w:sz w:val="16"/>
                <w:szCs w:val="16"/>
              </w:rPr>
              <w:t>Parameter</w:t>
            </w:r>
          </w:p>
        </w:tc>
        <w:tc>
          <w:tcPr>
            <w:tcW w:w="720" w:type="dxa"/>
            <w:shd w:val="clear" w:color="auto" w:fill="D9D9D9" w:themeFill="background1" w:themeFillShade="D9"/>
            <w:tcMar>
              <w:left w:w="58" w:type="dxa"/>
              <w:right w:w="58" w:type="dxa"/>
            </w:tcMar>
            <w:vAlign w:val="center"/>
          </w:tcPr>
          <w:p w:rsidRPr="00467D22" w:rsidR="00D520BD" w:rsidP="00982BD1" w:rsidRDefault="00D520BD" w14:paraId="65B85D62" w14:textId="77777777">
            <w:pPr>
              <w:jc w:val="center"/>
              <w:rPr>
                <w:rFonts w:cs="Arial"/>
                <w:b/>
                <w:i/>
                <w:sz w:val="16"/>
                <w:szCs w:val="16"/>
              </w:rPr>
            </w:pPr>
            <w:r w:rsidRPr="00467D22">
              <w:rPr>
                <w:rFonts w:cs="Arial"/>
                <w:b/>
                <w:i/>
                <w:sz w:val="16"/>
                <w:szCs w:val="16"/>
              </w:rPr>
              <w:t>Value</w:t>
            </w:r>
          </w:p>
        </w:tc>
        <w:tc>
          <w:tcPr>
            <w:tcW w:w="815" w:type="dxa"/>
            <w:shd w:val="clear" w:color="auto" w:fill="D9D9D9" w:themeFill="background1" w:themeFillShade="D9"/>
            <w:tcMar>
              <w:left w:w="58" w:type="dxa"/>
              <w:right w:w="58" w:type="dxa"/>
            </w:tcMar>
            <w:vAlign w:val="center"/>
          </w:tcPr>
          <w:p w:rsidRPr="00467D22" w:rsidR="00D520BD" w:rsidP="00982BD1" w:rsidRDefault="00D520BD" w14:paraId="6CE358CF" w14:textId="77777777">
            <w:pPr>
              <w:jc w:val="center"/>
              <w:rPr>
                <w:rFonts w:cs="Arial"/>
                <w:b/>
                <w:i/>
                <w:sz w:val="16"/>
                <w:szCs w:val="16"/>
              </w:rPr>
            </w:pPr>
            <w:r w:rsidRPr="00467D22">
              <w:rPr>
                <w:rFonts w:cs="Arial"/>
                <w:b/>
                <w:i/>
                <w:sz w:val="16"/>
                <w:szCs w:val="16"/>
              </w:rPr>
              <w:t>Benefits (Cost)</w:t>
            </w:r>
          </w:p>
        </w:tc>
        <w:tc>
          <w:tcPr>
            <w:tcW w:w="900" w:type="dxa"/>
            <w:shd w:val="clear" w:color="auto" w:fill="D9D9D9" w:themeFill="background1" w:themeFillShade="D9"/>
            <w:tcMar>
              <w:left w:w="58" w:type="dxa"/>
              <w:right w:w="58" w:type="dxa"/>
            </w:tcMar>
            <w:vAlign w:val="center"/>
          </w:tcPr>
          <w:p w:rsidRPr="00467D22" w:rsidR="00D520BD" w:rsidP="00982BD1" w:rsidRDefault="00D520BD" w14:paraId="68D2DFBA" w14:textId="77777777">
            <w:pPr>
              <w:jc w:val="center"/>
              <w:rPr>
                <w:rFonts w:cs="Arial"/>
                <w:b/>
                <w:i/>
                <w:sz w:val="16"/>
                <w:szCs w:val="16"/>
              </w:rPr>
            </w:pPr>
            <w:r w:rsidRPr="00467D22">
              <w:rPr>
                <w:rFonts w:cs="Arial"/>
                <w:b/>
                <w:i/>
                <w:sz w:val="16"/>
                <w:szCs w:val="16"/>
              </w:rPr>
              <w:t>Sites Affected</w:t>
            </w:r>
          </w:p>
        </w:tc>
        <w:tc>
          <w:tcPr>
            <w:tcW w:w="1080" w:type="dxa"/>
            <w:shd w:val="clear" w:color="auto" w:fill="D9D9D9" w:themeFill="background1" w:themeFillShade="D9"/>
            <w:tcMar>
              <w:left w:w="58" w:type="dxa"/>
              <w:right w:w="58" w:type="dxa"/>
            </w:tcMar>
            <w:vAlign w:val="center"/>
          </w:tcPr>
          <w:p w:rsidRPr="00467D22" w:rsidR="00D520BD" w:rsidP="00982BD1" w:rsidRDefault="00D520BD" w14:paraId="7CDDDD60" w14:textId="77777777">
            <w:pPr>
              <w:jc w:val="center"/>
              <w:rPr>
                <w:rFonts w:cs="Arial"/>
                <w:b/>
                <w:i/>
                <w:sz w:val="16"/>
                <w:szCs w:val="16"/>
              </w:rPr>
            </w:pPr>
            <w:r w:rsidRPr="00467D22">
              <w:rPr>
                <w:rFonts w:cs="Arial"/>
                <w:b/>
                <w:i/>
                <w:sz w:val="16"/>
                <w:szCs w:val="16"/>
              </w:rPr>
              <w:t>Total Benefits (Costs)</w:t>
            </w:r>
          </w:p>
        </w:tc>
      </w:tr>
      <w:tr w:rsidRPr="00467D22" w:rsidR="00D520BD" w:rsidTr="00982BD1" w14:paraId="636E8A9C" w14:textId="77777777">
        <w:trPr>
          <w:jc w:val="center"/>
        </w:trPr>
        <w:tc>
          <w:tcPr>
            <w:tcW w:w="9360" w:type="dxa"/>
            <w:gridSpan w:val="6"/>
            <w:shd w:val="clear" w:color="auto" w:fill="D9D9D9" w:themeFill="background1" w:themeFillShade="D9"/>
            <w:tcMar>
              <w:left w:w="58" w:type="dxa"/>
              <w:right w:w="58" w:type="dxa"/>
            </w:tcMar>
            <w:vAlign w:val="center"/>
          </w:tcPr>
          <w:p w:rsidRPr="00467D22" w:rsidR="00D520BD" w:rsidP="00982BD1" w:rsidRDefault="00D520BD" w14:paraId="3C64005B" w14:textId="77777777">
            <w:pPr>
              <w:rPr>
                <w:rFonts w:cs="Arial"/>
                <w:sz w:val="16"/>
                <w:szCs w:val="16"/>
              </w:rPr>
            </w:pPr>
            <w:r w:rsidRPr="00467D22">
              <w:rPr>
                <w:rFonts w:eastAsia="Arial" w:cs="Arial"/>
                <w:b/>
                <w:bCs/>
                <w:sz w:val="16"/>
                <w:szCs w:val="16"/>
              </w:rPr>
              <w:t>INDU</w:t>
            </w:r>
            <w:r w:rsidRPr="002301C3">
              <w:rPr>
                <w:rFonts w:eastAsia="Arial"/>
                <w:b/>
                <w:sz w:val="16"/>
              </w:rPr>
              <w:t>STR</w:t>
            </w:r>
            <w:r w:rsidRPr="00467D22">
              <w:rPr>
                <w:rFonts w:eastAsia="Arial" w:cs="Arial"/>
                <w:b/>
                <w:bCs/>
                <w:sz w:val="16"/>
                <w:szCs w:val="16"/>
              </w:rPr>
              <w:t>Y</w:t>
            </w:r>
            <w:r w:rsidRPr="002301C3">
              <w:rPr>
                <w:rFonts w:eastAsia="Arial"/>
                <w:b/>
                <w:sz w:val="16"/>
              </w:rPr>
              <w:t xml:space="preserve"> </w:t>
            </w:r>
            <w:r w:rsidRPr="00467D22">
              <w:rPr>
                <w:rFonts w:eastAsia="Arial" w:cs="Arial"/>
                <w:b/>
                <w:bCs/>
                <w:sz w:val="16"/>
                <w:szCs w:val="16"/>
              </w:rPr>
              <w:t>OPE</w:t>
            </w:r>
            <w:r w:rsidRPr="002301C3">
              <w:rPr>
                <w:rFonts w:eastAsia="Arial"/>
                <w:b/>
                <w:sz w:val="16"/>
              </w:rPr>
              <w:t>RA</w:t>
            </w:r>
            <w:r w:rsidRPr="00467D22">
              <w:rPr>
                <w:rFonts w:eastAsia="Arial" w:cs="Arial"/>
                <w:b/>
                <w:bCs/>
                <w:sz w:val="16"/>
                <w:szCs w:val="16"/>
              </w:rPr>
              <w:t>T</w:t>
            </w:r>
            <w:r w:rsidRPr="002301C3">
              <w:rPr>
                <w:rFonts w:eastAsia="Arial"/>
                <w:b/>
                <w:sz w:val="16"/>
              </w:rPr>
              <w:t>I</w:t>
            </w:r>
            <w:r w:rsidRPr="00467D22">
              <w:rPr>
                <w:rFonts w:eastAsia="Arial" w:cs="Arial"/>
                <w:b/>
                <w:bCs/>
                <w:sz w:val="16"/>
                <w:szCs w:val="16"/>
              </w:rPr>
              <w:t>ONS</w:t>
            </w:r>
            <w:r w:rsidRPr="002301C3">
              <w:rPr>
                <w:rFonts w:eastAsia="Arial"/>
                <w:b/>
                <w:sz w:val="16"/>
              </w:rPr>
              <w:t xml:space="preserve"> (ANNUAL)</w:t>
            </w:r>
          </w:p>
        </w:tc>
      </w:tr>
      <w:tr w:rsidRPr="00467D22" w:rsidR="00D520BD" w:rsidTr="00501EBF" w14:paraId="7BBA1D73" w14:textId="77777777">
        <w:trPr>
          <w:jc w:val="center"/>
        </w:trPr>
        <w:tc>
          <w:tcPr>
            <w:tcW w:w="9360" w:type="dxa"/>
            <w:gridSpan w:val="6"/>
            <w:tcBorders>
              <w:bottom w:val="single" w:color="auto" w:sz="4" w:space="0"/>
            </w:tcBorders>
            <w:tcMar>
              <w:left w:w="58" w:type="dxa"/>
              <w:right w:w="58" w:type="dxa"/>
            </w:tcMar>
            <w:vAlign w:val="center"/>
          </w:tcPr>
          <w:p w:rsidRPr="00467D22" w:rsidR="00D520BD" w:rsidP="00982BD1" w:rsidRDefault="00D520BD" w14:paraId="22C85D90" w14:textId="77777777">
            <w:pPr>
              <w:rPr>
                <w:rFonts w:cs="Arial"/>
                <w:sz w:val="16"/>
                <w:szCs w:val="16"/>
              </w:rPr>
            </w:pPr>
            <w:r w:rsidRPr="002301C3">
              <w:rPr>
                <w:rFonts w:eastAsia="Arial"/>
                <w:b/>
                <w:sz w:val="16"/>
              </w:rPr>
              <w:t>Ecstasy</w:t>
            </w:r>
          </w:p>
        </w:tc>
      </w:tr>
      <w:tr w:rsidRPr="00467D22" w:rsidR="00D520BD" w:rsidTr="00085751" w14:paraId="00214EE4" w14:textId="77777777">
        <w:trPr>
          <w:trHeight w:val="215"/>
          <w:jc w:val="center"/>
        </w:trPr>
        <w:tc>
          <w:tcPr>
            <w:tcW w:w="2065" w:type="dxa"/>
            <w:vMerge w:val="restart"/>
            <w:shd w:val="clear" w:color="auto" w:fill="FFFFFF" w:themeFill="background1"/>
            <w:tcMar>
              <w:left w:w="58" w:type="dxa"/>
              <w:right w:w="58" w:type="dxa"/>
            </w:tcMar>
            <w:vAlign w:val="center"/>
          </w:tcPr>
          <w:p w:rsidRPr="00467D22" w:rsidR="00D520BD" w:rsidP="00982BD1" w:rsidRDefault="00D520BD" w14:paraId="2E08B133" w14:textId="77777777">
            <w:pPr>
              <w:ind w:left="88" w:right="68"/>
              <w:rPr>
                <w:rFonts w:cs="Arial"/>
                <w:sz w:val="16"/>
                <w:szCs w:val="16"/>
              </w:rPr>
            </w:pPr>
            <w:r w:rsidRPr="00467D22">
              <w:rPr>
                <w:rFonts w:eastAsia="Arial" w:cs="Arial"/>
                <w:sz w:val="16"/>
                <w:szCs w:val="16"/>
              </w:rPr>
              <w:t>Ecstasy</w:t>
            </w:r>
            <w:r w:rsidRPr="002301C3">
              <w:rPr>
                <w:rFonts w:eastAsia="Arial"/>
                <w:sz w:val="16"/>
              </w:rPr>
              <w:t xml:space="preserve"> ini</w:t>
            </w:r>
            <w:r w:rsidRPr="00467D22">
              <w:rPr>
                <w:rFonts w:eastAsia="Arial" w:cs="Arial"/>
                <w:sz w:val="16"/>
                <w:szCs w:val="16"/>
              </w:rPr>
              <w:t>t</w:t>
            </w:r>
            <w:r w:rsidRPr="002301C3">
              <w:rPr>
                <w:rFonts w:eastAsia="Arial"/>
                <w:sz w:val="16"/>
              </w:rPr>
              <w:t>ia</w:t>
            </w:r>
            <w:r w:rsidRPr="00467D22">
              <w:rPr>
                <w:rFonts w:eastAsia="Arial" w:cs="Arial"/>
                <w:sz w:val="16"/>
                <w:szCs w:val="16"/>
              </w:rPr>
              <w:t>l</w:t>
            </w:r>
            <w:r w:rsidRPr="002301C3">
              <w:rPr>
                <w:rFonts w:eastAsia="Arial"/>
                <w:sz w:val="16"/>
              </w:rPr>
              <w:t xml:space="preserve"> </w:t>
            </w:r>
            <w:r w:rsidRPr="00467D22">
              <w:rPr>
                <w:rFonts w:eastAsia="Arial" w:cs="Arial"/>
                <w:sz w:val="16"/>
                <w:szCs w:val="16"/>
              </w:rPr>
              <w:t>tes</w:t>
            </w:r>
            <w:r w:rsidRPr="002301C3">
              <w:rPr>
                <w:rFonts w:eastAsia="Arial"/>
                <w:sz w:val="16"/>
              </w:rPr>
              <w:t>tin</w:t>
            </w:r>
            <w:r w:rsidRPr="00467D22">
              <w:rPr>
                <w:rFonts w:eastAsia="Arial" w:cs="Arial"/>
                <w:sz w:val="16"/>
                <w:szCs w:val="16"/>
              </w:rPr>
              <w:t>g</w:t>
            </w:r>
            <w:r w:rsidRPr="002301C3">
              <w:rPr>
                <w:rFonts w:eastAsia="Arial"/>
                <w:sz w:val="16"/>
              </w:rPr>
              <w:t xml:space="preserve"> </w:t>
            </w:r>
            <w:r w:rsidRPr="002301C3">
              <w:rPr>
                <w:rFonts w:eastAsia="Arial"/>
                <w:sz w:val="16"/>
              </w:rPr>
              <w:br/>
            </w:r>
            <w:r w:rsidRPr="00467D22">
              <w:rPr>
                <w:rFonts w:eastAsia="Arial" w:cs="Arial"/>
                <w:sz w:val="16"/>
                <w:szCs w:val="16"/>
              </w:rPr>
              <w:t>(s</w:t>
            </w:r>
            <w:r w:rsidRPr="002301C3">
              <w:rPr>
                <w:rFonts w:eastAsia="Arial"/>
                <w:sz w:val="16"/>
              </w:rPr>
              <w:t>i</w:t>
            </w:r>
            <w:r w:rsidRPr="00467D22">
              <w:rPr>
                <w:rFonts w:eastAsia="Arial" w:cs="Arial"/>
                <w:sz w:val="16"/>
                <w:szCs w:val="16"/>
              </w:rPr>
              <w:t>tes</w:t>
            </w:r>
            <w:r w:rsidRPr="002301C3">
              <w:rPr>
                <w:rFonts w:eastAsia="Arial"/>
                <w:sz w:val="16"/>
              </w:rPr>
              <w:t xml:space="preserve"> u</w:t>
            </w:r>
            <w:r w:rsidRPr="00467D22">
              <w:rPr>
                <w:rFonts w:eastAsia="Arial" w:cs="Arial"/>
                <w:sz w:val="16"/>
                <w:szCs w:val="16"/>
              </w:rPr>
              <w:t>s</w:t>
            </w:r>
            <w:r w:rsidRPr="002301C3">
              <w:rPr>
                <w:rFonts w:eastAsia="Arial"/>
                <w:sz w:val="16"/>
              </w:rPr>
              <w:t>in</w:t>
            </w:r>
            <w:r w:rsidRPr="00467D22">
              <w:rPr>
                <w:rFonts w:eastAsia="Arial" w:cs="Arial"/>
                <w:sz w:val="16"/>
                <w:szCs w:val="16"/>
              </w:rPr>
              <w:t>g</w:t>
            </w:r>
            <w:r w:rsidRPr="002301C3">
              <w:rPr>
                <w:rFonts w:eastAsia="Arial"/>
                <w:sz w:val="16"/>
              </w:rPr>
              <w:t xml:space="preserve"> LTF</w:t>
            </w:r>
            <w:r w:rsidRPr="00467D22">
              <w:rPr>
                <w:rFonts w:eastAsia="Arial" w:cs="Arial"/>
                <w:sz w:val="16"/>
                <w:szCs w:val="16"/>
              </w:rPr>
              <w:t>s)</w:t>
            </w:r>
          </w:p>
        </w:tc>
        <w:tc>
          <w:tcPr>
            <w:tcW w:w="3780" w:type="dxa"/>
            <w:shd w:val="clear" w:color="auto" w:fill="FFFFFF" w:themeFill="background1"/>
            <w:tcMar>
              <w:left w:w="58" w:type="dxa"/>
              <w:right w:w="58" w:type="dxa"/>
            </w:tcMar>
            <w:vAlign w:val="center"/>
          </w:tcPr>
          <w:p w:rsidRPr="00467D22" w:rsidR="00D520BD" w:rsidP="00982BD1" w:rsidRDefault="00D520BD" w14:paraId="1E82C513" w14:textId="77777777">
            <w:pPr>
              <w:rPr>
                <w:rFonts w:cs="Arial"/>
                <w:sz w:val="16"/>
                <w:szCs w:val="16"/>
              </w:rPr>
            </w:pPr>
            <w:r w:rsidRPr="00467D22">
              <w:rPr>
                <w:rFonts w:cs="Arial"/>
                <w:sz w:val="16"/>
                <w:szCs w:val="16"/>
              </w:rPr>
              <w:t>Number of drug tests conducted per site per year under 10 CFR Part 26</w:t>
            </w:r>
          </w:p>
        </w:tc>
        <w:tc>
          <w:tcPr>
            <w:tcW w:w="720" w:type="dxa"/>
            <w:shd w:val="clear" w:color="auto" w:fill="FFFFFF" w:themeFill="background1"/>
            <w:tcMar>
              <w:left w:w="58" w:type="dxa"/>
              <w:right w:w="58" w:type="dxa"/>
            </w:tcMar>
            <w:vAlign w:val="center"/>
          </w:tcPr>
          <w:p w:rsidRPr="00467D22" w:rsidR="00D520BD" w:rsidP="00982BD1" w:rsidRDefault="00D520BD" w14:paraId="19CF31B0" w14:textId="01FAF8E0">
            <w:pPr>
              <w:jc w:val="right"/>
              <w:rPr>
                <w:rFonts w:cs="Arial"/>
                <w:sz w:val="16"/>
                <w:szCs w:val="16"/>
              </w:rPr>
            </w:pPr>
            <w:r w:rsidRPr="00467D22">
              <w:rPr>
                <w:rFonts w:cs="Arial"/>
                <w:sz w:val="16"/>
                <w:szCs w:val="16"/>
              </w:rPr>
              <w:t>2</w:t>
            </w:r>
            <w:r w:rsidRPr="00467D22" w:rsidR="00646A79">
              <w:rPr>
                <w:rFonts w:cs="Arial"/>
                <w:sz w:val="16"/>
                <w:szCs w:val="16"/>
              </w:rPr>
              <w:t>,</w:t>
            </w:r>
            <w:r w:rsidRPr="00467D22" w:rsidR="000963EF">
              <w:rPr>
                <w:rFonts w:cs="Arial"/>
                <w:sz w:val="16"/>
                <w:szCs w:val="16"/>
              </w:rPr>
              <w:t>257</w:t>
            </w:r>
          </w:p>
        </w:tc>
        <w:tc>
          <w:tcPr>
            <w:tcW w:w="815" w:type="dxa"/>
            <w:tcBorders>
              <w:bottom w:val="single" w:color="auto" w:sz="4" w:space="0"/>
            </w:tcBorders>
            <w:shd w:val="clear" w:color="auto" w:fill="FFFFFF" w:themeFill="background1"/>
            <w:tcMar>
              <w:left w:w="58" w:type="dxa"/>
              <w:right w:w="58" w:type="dxa"/>
            </w:tcMar>
            <w:vAlign w:val="center"/>
          </w:tcPr>
          <w:p w:rsidRPr="00467D22" w:rsidR="00D520BD" w:rsidP="00982BD1" w:rsidRDefault="00D520BD" w14:paraId="3CB1E0DD" w14:textId="49727D5A">
            <w:pPr>
              <w:jc w:val="right"/>
              <w:rPr>
                <w:rFonts w:cs="Arial"/>
                <w:sz w:val="16"/>
                <w:szCs w:val="16"/>
              </w:rPr>
            </w:pPr>
            <w:r w:rsidRPr="00467D22">
              <w:rPr>
                <w:rFonts w:cs="Arial"/>
                <w:sz w:val="16"/>
                <w:szCs w:val="16"/>
              </w:rPr>
              <w:t>($</w:t>
            </w:r>
            <w:r w:rsidRPr="00467D22" w:rsidR="00D52857">
              <w:rPr>
                <w:rFonts w:cs="Arial"/>
                <w:sz w:val="16"/>
                <w:szCs w:val="16"/>
              </w:rPr>
              <w:t>8,095</w:t>
            </w:r>
            <w:r w:rsidRPr="00467D22">
              <w:rPr>
                <w:rFonts w:cs="Arial"/>
                <w:sz w:val="16"/>
                <w:szCs w:val="16"/>
              </w:rPr>
              <w:t>)</w:t>
            </w:r>
          </w:p>
        </w:tc>
        <w:tc>
          <w:tcPr>
            <w:tcW w:w="900" w:type="dxa"/>
            <w:tcBorders>
              <w:bottom w:val="single" w:color="auto" w:sz="4" w:space="0"/>
            </w:tcBorders>
            <w:shd w:val="clear" w:color="auto" w:fill="FFFFFF" w:themeFill="background1"/>
            <w:tcMar>
              <w:left w:w="58" w:type="dxa"/>
              <w:right w:w="58" w:type="dxa"/>
            </w:tcMar>
            <w:vAlign w:val="center"/>
          </w:tcPr>
          <w:p w:rsidRPr="00467D22" w:rsidR="00D520BD" w:rsidP="00982BD1" w:rsidRDefault="00D24976" w14:paraId="0F0C5368" w14:textId="010B872D">
            <w:pPr>
              <w:jc w:val="right"/>
              <w:rPr>
                <w:rFonts w:cs="Arial"/>
                <w:sz w:val="16"/>
                <w:szCs w:val="16"/>
              </w:rPr>
            </w:pPr>
            <w:r w:rsidRPr="00467D22">
              <w:rPr>
                <w:rFonts w:cs="Arial"/>
                <w:sz w:val="16"/>
                <w:szCs w:val="16"/>
              </w:rPr>
              <w:t>3</w:t>
            </w:r>
          </w:p>
        </w:tc>
        <w:tc>
          <w:tcPr>
            <w:tcW w:w="1080" w:type="dxa"/>
            <w:tcBorders>
              <w:bottom w:val="single" w:color="auto" w:sz="4" w:space="0"/>
            </w:tcBorders>
            <w:shd w:val="clear" w:color="auto" w:fill="FFFFFF" w:themeFill="background1"/>
            <w:tcMar>
              <w:left w:w="58" w:type="dxa"/>
              <w:right w:w="58" w:type="dxa"/>
            </w:tcMar>
            <w:vAlign w:val="center"/>
          </w:tcPr>
          <w:p w:rsidRPr="00467D22" w:rsidR="00D520BD" w:rsidP="00982BD1" w:rsidRDefault="00D520BD" w14:paraId="66E87D71" w14:textId="483FC3F4">
            <w:pPr>
              <w:jc w:val="right"/>
              <w:rPr>
                <w:rFonts w:cs="Arial"/>
                <w:sz w:val="16"/>
                <w:szCs w:val="16"/>
              </w:rPr>
            </w:pPr>
            <w:r w:rsidRPr="00467D22">
              <w:rPr>
                <w:rFonts w:cs="Arial"/>
                <w:sz w:val="16"/>
                <w:szCs w:val="16"/>
              </w:rPr>
              <w:t>($</w:t>
            </w:r>
            <w:r w:rsidRPr="00467D22" w:rsidR="00D52857">
              <w:rPr>
                <w:rFonts w:cs="Arial"/>
                <w:sz w:val="16"/>
                <w:szCs w:val="16"/>
              </w:rPr>
              <w:t>24,285</w:t>
            </w:r>
            <w:r w:rsidRPr="00467D22">
              <w:rPr>
                <w:rFonts w:cs="Arial"/>
                <w:sz w:val="16"/>
                <w:szCs w:val="16"/>
              </w:rPr>
              <w:t>)</w:t>
            </w:r>
          </w:p>
        </w:tc>
      </w:tr>
      <w:tr w:rsidRPr="00467D22" w:rsidR="000D2F14" w:rsidTr="00085751" w14:paraId="618D6F67" w14:textId="77777777">
        <w:trPr>
          <w:trHeight w:val="224"/>
          <w:jc w:val="center"/>
        </w:trPr>
        <w:tc>
          <w:tcPr>
            <w:tcW w:w="2065" w:type="dxa"/>
            <w:vMerge/>
            <w:shd w:val="clear" w:color="auto" w:fill="FFFFFF" w:themeFill="background1"/>
            <w:tcMar>
              <w:left w:w="58" w:type="dxa"/>
              <w:right w:w="58" w:type="dxa"/>
            </w:tcMar>
            <w:vAlign w:val="center"/>
          </w:tcPr>
          <w:p w:rsidRPr="00467D22" w:rsidR="00D520BD" w:rsidP="00982BD1" w:rsidRDefault="00D520BD" w14:paraId="18DC3774" w14:textId="77777777">
            <w:pPr>
              <w:rPr>
                <w:rFonts w:cs="Arial"/>
                <w:sz w:val="16"/>
                <w:szCs w:val="16"/>
              </w:rPr>
            </w:pPr>
          </w:p>
        </w:tc>
        <w:tc>
          <w:tcPr>
            <w:tcW w:w="3780" w:type="dxa"/>
            <w:shd w:val="clear" w:color="auto" w:fill="FFFFFF" w:themeFill="background1"/>
            <w:tcMar>
              <w:left w:w="58" w:type="dxa"/>
              <w:right w:w="58" w:type="dxa"/>
            </w:tcMar>
            <w:vAlign w:val="center"/>
          </w:tcPr>
          <w:p w:rsidRPr="00467D22" w:rsidR="00D520BD" w:rsidP="00982BD1" w:rsidRDefault="00D520BD" w14:paraId="53482094" w14:textId="77777777">
            <w:pPr>
              <w:rPr>
                <w:rFonts w:cs="Arial"/>
                <w:sz w:val="16"/>
                <w:szCs w:val="16"/>
              </w:rPr>
            </w:pPr>
            <w:r w:rsidRPr="00467D22">
              <w:rPr>
                <w:rFonts w:cs="Arial"/>
                <w:sz w:val="16"/>
                <w:szCs w:val="16"/>
              </w:rPr>
              <w:t>Initial testing for one additional drug at an LTF</w:t>
            </w:r>
          </w:p>
        </w:tc>
        <w:tc>
          <w:tcPr>
            <w:tcW w:w="720" w:type="dxa"/>
            <w:tcBorders>
              <w:right w:val="single" w:color="auto" w:sz="4" w:space="0"/>
            </w:tcBorders>
            <w:shd w:val="clear" w:color="auto" w:fill="FFFFFF" w:themeFill="background1"/>
            <w:tcMar>
              <w:left w:w="58" w:type="dxa"/>
              <w:right w:w="58" w:type="dxa"/>
            </w:tcMar>
            <w:vAlign w:val="center"/>
          </w:tcPr>
          <w:p w:rsidRPr="00467D22" w:rsidR="00D520BD" w:rsidP="00982BD1" w:rsidRDefault="00D520BD" w14:paraId="1116A1E5" w14:textId="514D54CF">
            <w:pPr>
              <w:jc w:val="right"/>
              <w:rPr>
                <w:rFonts w:cs="Arial"/>
                <w:sz w:val="16"/>
                <w:szCs w:val="16"/>
              </w:rPr>
            </w:pPr>
            <w:r w:rsidRPr="00467D22">
              <w:rPr>
                <w:rFonts w:cs="Arial"/>
                <w:sz w:val="16"/>
                <w:szCs w:val="16"/>
              </w:rPr>
              <w:t>$</w:t>
            </w:r>
            <w:r w:rsidRPr="00467D22" w:rsidR="00252A06">
              <w:rPr>
                <w:rFonts w:cs="Arial"/>
                <w:sz w:val="16"/>
                <w:szCs w:val="16"/>
              </w:rPr>
              <w:t>3.59</w:t>
            </w:r>
          </w:p>
        </w:tc>
        <w:tc>
          <w:tcPr>
            <w:tcW w:w="815" w:type="dxa"/>
            <w:tcBorders>
              <w:top w:val="single" w:color="auto" w:sz="4" w:space="0"/>
              <w:left w:val="single" w:color="auto" w:sz="4" w:space="0"/>
              <w:bottom w:val="single" w:color="auto" w:sz="4" w:space="0"/>
              <w:right w:val="nil"/>
            </w:tcBorders>
            <w:shd w:val="clear" w:color="auto" w:fill="FFFFFF" w:themeFill="background1"/>
            <w:tcMar>
              <w:left w:w="58" w:type="dxa"/>
              <w:right w:w="58" w:type="dxa"/>
            </w:tcMar>
            <w:vAlign w:val="center"/>
          </w:tcPr>
          <w:p w:rsidRPr="00467D22" w:rsidR="00D520BD" w:rsidP="00982BD1" w:rsidRDefault="00D520BD" w14:paraId="2C4D88DD" w14:textId="77777777">
            <w:pPr>
              <w:jc w:val="right"/>
              <w:rPr>
                <w:rFonts w:cs="Arial"/>
                <w:sz w:val="16"/>
                <w:szCs w:val="16"/>
              </w:rPr>
            </w:pPr>
          </w:p>
        </w:tc>
        <w:tc>
          <w:tcPr>
            <w:tcW w:w="900" w:type="dxa"/>
            <w:tcBorders>
              <w:top w:val="single" w:color="auto" w:sz="4" w:space="0"/>
              <w:left w:val="nil"/>
              <w:bottom w:val="single" w:color="auto" w:sz="4" w:space="0"/>
              <w:right w:val="nil"/>
            </w:tcBorders>
            <w:shd w:val="clear" w:color="auto" w:fill="FFFFFF" w:themeFill="background1"/>
            <w:tcMar>
              <w:left w:w="58" w:type="dxa"/>
              <w:right w:w="58" w:type="dxa"/>
            </w:tcMar>
            <w:vAlign w:val="center"/>
          </w:tcPr>
          <w:p w:rsidRPr="00467D22" w:rsidR="00D520BD" w:rsidP="00982BD1" w:rsidRDefault="00D520BD" w14:paraId="35884261" w14:textId="77777777">
            <w:pPr>
              <w:jc w:val="right"/>
              <w:rPr>
                <w:rFonts w:cs="Arial"/>
                <w:sz w:val="16"/>
                <w:szCs w:val="16"/>
              </w:rPr>
            </w:pPr>
          </w:p>
        </w:tc>
        <w:tc>
          <w:tcPr>
            <w:tcW w:w="1080" w:type="dxa"/>
            <w:tcBorders>
              <w:top w:val="single" w:color="auto" w:sz="4" w:space="0"/>
              <w:left w:val="nil"/>
              <w:bottom w:val="single" w:color="auto" w:sz="4" w:space="0"/>
              <w:right w:val="single" w:color="auto" w:sz="4" w:space="0"/>
            </w:tcBorders>
            <w:shd w:val="clear" w:color="auto" w:fill="FFFFFF" w:themeFill="background1"/>
            <w:tcMar>
              <w:left w:w="58" w:type="dxa"/>
              <w:right w:w="58" w:type="dxa"/>
            </w:tcMar>
            <w:vAlign w:val="center"/>
          </w:tcPr>
          <w:p w:rsidRPr="00467D22" w:rsidR="00D520BD" w:rsidP="00982BD1" w:rsidRDefault="00D520BD" w14:paraId="476750A4" w14:textId="77777777">
            <w:pPr>
              <w:jc w:val="right"/>
              <w:rPr>
                <w:rFonts w:cs="Arial"/>
                <w:sz w:val="16"/>
                <w:szCs w:val="16"/>
              </w:rPr>
            </w:pPr>
          </w:p>
        </w:tc>
      </w:tr>
      <w:tr w:rsidRPr="00467D22" w:rsidR="00D520BD" w:rsidTr="00085751" w14:paraId="73D0E7E4" w14:textId="77777777">
        <w:trPr>
          <w:trHeight w:val="278"/>
          <w:jc w:val="center"/>
        </w:trPr>
        <w:tc>
          <w:tcPr>
            <w:tcW w:w="2065" w:type="dxa"/>
            <w:vMerge w:val="restart"/>
            <w:shd w:val="clear" w:color="auto" w:fill="FFFFFF" w:themeFill="background1"/>
            <w:tcMar>
              <w:left w:w="58" w:type="dxa"/>
              <w:right w:w="58" w:type="dxa"/>
            </w:tcMar>
            <w:vAlign w:val="center"/>
          </w:tcPr>
          <w:p w:rsidRPr="002301C3" w:rsidR="00D520BD" w:rsidP="00D13A4F" w:rsidRDefault="00D520BD" w14:paraId="09F7BBBB" w14:textId="3AD50989">
            <w:pPr>
              <w:ind w:left="88" w:right="-20"/>
              <w:rPr>
                <w:rFonts w:eastAsia="Arial"/>
                <w:sz w:val="16"/>
              </w:rPr>
            </w:pPr>
            <w:r w:rsidRPr="00467D22">
              <w:rPr>
                <w:rFonts w:eastAsia="Arial" w:cs="Arial"/>
                <w:sz w:val="16"/>
                <w:szCs w:val="16"/>
              </w:rPr>
              <w:t>Ecstasy</w:t>
            </w:r>
            <w:r w:rsidRPr="002301C3">
              <w:rPr>
                <w:rFonts w:eastAsia="Arial"/>
                <w:sz w:val="16"/>
              </w:rPr>
              <w:t xml:space="preserve"> testing</w:t>
            </w:r>
          </w:p>
          <w:p w:rsidRPr="00467D22" w:rsidR="00D520BD" w:rsidP="00D13A4F" w:rsidRDefault="00D520BD" w14:paraId="7FE9AB54" w14:textId="7D5AE22A">
            <w:pPr>
              <w:ind w:left="88" w:right="-20"/>
              <w:rPr>
                <w:rFonts w:cs="Arial"/>
                <w:sz w:val="16"/>
                <w:szCs w:val="16"/>
              </w:rPr>
            </w:pPr>
            <w:r w:rsidRPr="00467D22">
              <w:rPr>
                <w:rFonts w:eastAsia="Arial" w:cs="Arial"/>
                <w:sz w:val="16"/>
                <w:szCs w:val="16"/>
              </w:rPr>
              <w:t>(s</w:t>
            </w:r>
            <w:r w:rsidRPr="002301C3">
              <w:rPr>
                <w:rFonts w:eastAsia="Arial"/>
                <w:sz w:val="16"/>
              </w:rPr>
              <w:t>i</w:t>
            </w:r>
            <w:r w:rsidRPr="00467D22">
              <w:rPr>
                <w:rFonts w:eastAsia="Arial" w:cs="Arial"/>
                <w:sz w:val="16"/>
                <w:szCs w:val="16"/>
              </w:rPr>
              <w:t>tes</w:t>
            </w:r>
            <w:r w:rsidRPr="002301C3">
              <w:rPr>
                <w:rFonts w:eastAsia="Arial"/>
                <w:sz w:val="16"/>
              </w:rPr>
              <w:t xml:space="preserve"> onl</w:t>
            </w:r>
            <w:r w:rsidRPr="00467D22">
              <w:rPr>
                <w:rFonts w:eastAsia="Arial" w:cs="Arial"/>
                <w:sz w:val="16"/>
                <w:szCs w:val="16"/>
              </w:rPr>
              <w:t>y</w:t>
            </w:r>
            <w:r w:rsidRPr="002301C3">
              <w:rPr>
                <w:rFonts w:eastAsia="Arial"/>
                <w:sz w:val="16"/>
              </w:rPr>
              <w:t xml:space="preserve"> u</w:t>
            </w:r>
            <w:r w:rsidRPr="00467D22">
              <w:rPr>
                <w:rFonts w:eastAsia="Arial" w:cs="Arial"/>
                <w:sz w:val="16"/>
                <w:szCs w:val="16"/>
              </w:rPr>
              <w:t>s</w:t>
            </w:r>
            <w:r w:rsidRPr="002301C3">
              <w:rPr>
                <w:rFonts w:eastAsia="Arial"/>
                <w:sz w:val="16"/>
              </w:rPr>
              <w:t>in</w:t>
            </w:r>
            <w:r w:rsidRPr="00467D22">
              <w:rPr>
                <w:rFonts w:eastAsia="Arial" w:cs="Arial"/>
                <w:sz w:val="16"/>
                <w:szCs w:val="16"/>
              </w:rPr>
              <w:t>g</w:t>
            </w:r>
            <w:r w:rsidRPr="002301C3">
              <w:rPr>
                <w:rFonts w:eastAsia="Arial"/>
                <w:sz w:val="16"/>
              </w:rPr>
              <w:t xml:space="preserve"> </w:t>
            </w:r>
            <w:r w:rsidRPr="00467D22">
              <w:rPr>
                <w:rFonts w:eastAsia="Arial" w:cs="Arial"/>
                <w:sz w:val="16"/>
                <w:szCs w:val="16"/>
              </w:rPr>
              <w:t>HHS</w:t>
            </w:r>
            <w:r w:rsidRPr="00467D22" w:rsidR="00467D22">
              <w:rPr>
                <w:rFonts w:eastAsia="Arial" w:cs="Arial"/>
                <w:sz w:val="16"/>
                <w:szCs w:val="16"/>
              </w:rPr>
              <w:noBreakHyphen/>
            </w:r>
            <w:r w:rsidRPr="00467D22">
              <w:rPr>
                <w:rFonts w:eastAsia="Arial" w:cs="Arial"/>
                <w:sz w:val="16"/>
                <w:szCs w:val="16"/>
              </w:rPr>
              <w:t>ce</w:t>
            </w:r>
            <w:r w:rsidRPr="002301C3">
              <w:rPr>
                <w:rFonts w:eastAsia="Arial"/>
                <w:sz w:val="16"/>
              </w:rPr>
              <w:t>r</w:t>
            </w:r>
            <w:r w:rsidRPr="00467D22">
              <w:rPr>
                <w:rFonts w:eastAsia="Arial" w:cs="Arial"/>
                <w:sz w:val="16"/>
                <w:szCs w:val="16"/>
              </w:rPr>
              <w:t>t</w:t>
            </w:r>
            <w:r w:rsidRPr="002301C3">
              <w:rPr>
                <w:rFonts w:eastAsia="Arial"/>
                <w:sz w:val="16"/>
              </w:rPr>
              <w:t>i</w:t>
            </w:r>
            <w:r w:rsidRPr="00467D22">
              <w:rPr>
                <w:rFonts w:eastAsia="Arial" w:cs="Arial"/>
                <w:sz w:val="16"/>
                <w:szCs w:val="16"/>
              </w:rPr>
              <w:t>f</w:t>
            </w:r>
            <w:r w:rsidRPr="002301C3">
              <w:rPr>
                <w:rFonts w:eastAsia="Arial"/>
                <w:sz w:val="16"/>
              </w:rPr>
              <w:t>i</w:t>
            </w:r>
            <w:r w:rsidRPr="00467D22">
              <w:rPr>
                <w:rFonts w:eastAsia="Arial" w:cs="Arial"/>
                <w:sz w:val="16"/>
                <w:szCs w:val="16"/>
              </w:rPr>
              <w:t>ed</w:t>
            </w:r>
            <w:r w:rsidRPr="002301C3">
              <w:rPr>
                <w:rFonts w:eastAsia="Arial"/>
                <w:sz w:val="16"/>
              </w:rPr>
              <w:t xml:space="preserve"> labor</w:t>
            </w:r>
            <w:r w:rsidRPr="00467D22">
              <w:rPr>
                <w:rFonts w:eastAsia="Arial" w:cs="Arial"/>
                <w:sz w:val="16"/>
                <w:szCs w:val="16"/>
              </w:rPr>
              <w:t>a</w:t>
            </w:r>
            <w:r w:rsidRPr="002301C3">
              <w:rPr>
                <w:rFonts w:eastAsia="Arial"/>
                <w:sz w:val="16"/>
              </w:rPr>
              <w:t>to</w:t>
            </w:r>
            <w:r w:rsidRPr="00467D22">
              <w:rPr>
                <w:rFonts w:eastAsia="Arial" w:cs="Arial"/>
                <w:sz w:val="16"/>
                <w:szCs w:val="16"/>
              </w:rPr>
              <w:t>r</w:t>
            </w:r>
            <w:r w:rsidRPr="002301C3">
              <w:rPr>
                <w:rFonts w:eastAsia="Arial"/>
                <w:sz w:val="16"/>
              </w:rPr>
              <w:t>ies)</w:t>
            </w:r>
          </w:p>
        </w:tc>
        <w:tc>
          <w:tcPr>
            <w:tcW w:w="3780" w:type="dxa"/>
            <w:shd w:val="clear" w:color="auto" w:fill="FFFFFF" w:themeFill="background1"/>
            <w:tcMar>
              <w:left w:w="58" w:type="dxa"/>
              <w:right w:w="58" w:type="dxa"/>
            </w:tcMar>
            <w:vAlign w:val="center"/>
          </w:tcPr>
          <w:p w:rsidRPr="00467D22" w:rsidR="00D520BD" w:rsidP="00982BD1" w:rsidRDefault="00D520BD" w14:paraId="425EB0C6" w14:textId="77777777">
            <w:pPr>
              <w:rPr>
                <w:rFonts w:cs="Arial"/>
                <w:sz w:val="16"/>
                <w:szCs w:val="16"/>
              </w:rPr>
            </w:pPr>
            <w:r w:rsidRPr="00467D22">
              <w:rPr>
                <w:rFonts w:cs="Arial"/>
                <w:sz w:val="16"/>
                <w:szCs w:val="16"/>
              </w:rPr>
              <w:t>Number of drug tests conducted per site per year under 10 CFR Part 26</w:t>
            </w:r>
          </w:p>
        </w:tc>
        <w:tc>
          <w:tcPr>
            <w:tcW w:w="720" w:type="dxa"/>
            <w:shd w:val="clear" w:color="auto" w:fill="FFFFFF" w:themeFill="background1"/>
            <w:tcMar>
              <w:left w:w="58" w:type="dxa"/>
              <w:right w:w="58" w:type="dxa"/>
            </w:tcMar>
            <w:vAlign w:val="center"/>
          </w:tcPr>
          <w:p w:rsidRPr="00467D22" w:rsidR="00D520BD" w:rsidP="00982BD1" w:rsidRDefault="00D520BD" w14:paraId="45B06E20" w14:textId="58476063">
            <w:pPr>
              <w:jc w:val="right"/>
              <w:rPr>
                <w:rFonts w:cs="Arial"/>
                <w:sz w:val="16"/>
                <w:szCs w:val="16"/>
              </w:rPr>
            </w:pPr>
            <w:r w:rsidRPr="00467D22">
              <w:rPr>
                <w:rFonts w:cs="Arial"/>
                <w:sz w:val="16"/>
                <w:szCs w:val="16"/>
              </w:rPr>
              <w:t>2</w:t>
            </w:r>
            <w:r w:rsidRPr="00467D22" w:rsidR="00646A79">
              <w:rPr>
                <w:rFonts w:cs="Arial"/>
                <w:sz w:val="16"/>
                <w:szCs w:val="16"/>
              </w:rPr>
              <w:t>,</w:t>
            </w:r>
            <w:r w:rsidRPr="00467D22" w:rsidR="00D24976">
              <w:rPr>
                <w:rFonts w:cs="Arial"/>
                <w:sz w:val="16"/>
                <w:szCs w:val="16"/>
              </w:rPr>
              <w:t>257</w:t>
            </w:r>
          </w:p>
        </w:tc>
        <w:tc>
          <w:tcPr>
            <w:tcW w:w="815" w:type="dxa"/>
            <w:tcBorders>
              <w:top w:val="single" w:color="auto" w:sz="4" w:space="0"/>
              <w:bottom w:val="single" w:color="auto" w:sz="4" w:space="0"/>
            </w:tcBorders>
            <w:shd w:val="clear" w:color="auto" w:fill="FFFFFF" w:themeFill="background1"/>
            <w:tcMar>
              <w:left w:w="58" w:type="dxa"/>
              <w:right w:w="58" w:type="dxa"/>
            </w:tcMar>
            <w:vAlign w:val="center"/>
          </w:tcPr>
          <w:p w:rsidRPr="00467D22" w:rsidR="00D520BD" w:rsidP="00982BD1" w:rsidRDefault="00D520BD" w14:paraId="1C7DA56F" w14:textId="57216F51">
            <w:pPr>
              <w:jc w:val="right"/>
              <w:rPr>
                <w:rFonts w:cs="Arial"/>
                <w:sz w:val="16"/>
                <w:szCs w:val="16"/>
              </w:rPr>
            </w:pPr>
            <w:r w:rsidRPr="00467D22">
              <w:rPr>
                <w:rFonts w:cs="Arial"/>
                <w:sz w:val="16"/>
                <w:szCs w:val="16"/>
              </w:rPr>
              <w:t>($</w:t>
            </w:r>
            <w:r w:rsidRPr="00467D22" w:rsidR="004D14C9">
              <w:rPr>
                <w:rFonts w:cs="Arial"/>
                <w:sz w:val="16"/>
                <w:szCs w:val="16"/>
              </w:rPr>
              <w:t>305</w:t>
            </w:r>
            <w:r w:rsidRPr="00467D22">
              <w:rPr>
                <w:rFonts w:cs="Arial"/>
                <w:sz w:val="16"/>
                <w:szCs w:val="16"/>
              </w:rPr>
              <w:t>)</w:t>
            </w:r>
          </w:p>
        </w:tc>
        <w:tc>
          <w:tcPr>
            <w:tcW w:w="900" w:type="dxa"/>
            <w:tcBorders>
              <w:top w:val="single" w:color="auto" w:sz="4" w:space="0"/>
              <w:bottom w:val="single" w:color="auto" w:sz="4" w:space="0"/>
            </w:tcBorders>
            <w:shd w:val="clear" w:color="auto" w:fill="FFFFFF" w:themeFill="background1"/>
            <w:tcMar>
              <w:left w:w="58" w:type="dxa"/>
              <w:right w:w="58" w:type="dxa"/>
            </w:tcMar>
            <w:vAlign w:val="center"/>
          </w:tcPr>
          <w:p w:rsidRPr="00467D22" w:rsidR="00D520BD" w:rsidP="00982BD1" w:rsidRDefault="00D24976" w14:paraId="1B4044B4" w14:textId="4EBCBAED">
            <w:pPr>
              <w:jc w:val="right"/>
              <w:rPr>
                <w:rFonts w:cs="Arial"/>
                <w:sz w:val="16"/>
                <w:szCs w:val="16"/>
              </w:rPr>
            </w:pPr>
            <w:r w:rsidRPr="00467D22">
              <w:rPr>
                <w:rFonts w:cs="Arial"/>
                <w:sz w:val="16"/>
                <w:szCs w:val="16"/>
              </w:rPr>
              <w:t>56</w:t>
            </w:r>
          </w:p>
        </w:tc>
        <w:tc>
          <w:tcPr>
            <w:tcW w:w="1080" w:type="dxa"/>
            <w:tcBorders>
              <w:top w:val="single" w:color="auto" w:sz="4" w:space="0"/>
              <w:bottom w:val="single" w:color="auto" w:sz="4" w:space="0"/>
            </w:tcBorders>
            <w:shd w:val="clear" w:color="auto" w:fill="FFFFFF" w:themeFill="background1"/>
            <w:tcMar>
              <w:left w:w="58" w:type="dxa"/>
              <w:right w:w="58" w:type="dxa"/>
            </w:tcMar>
            <w:vAlign w:val="center"/>
          </w:tcPr>
          <w:p w:rsidRPr="00467D22" w:rsidR="00D520BD" w:rsidP="00982BD1" w:rsidRDefault="00D520BD" w14:paraId="0B987BC5" w14:textId="11A155BE">
            <w:pPr>
              <w:jc w:val="right"/>
              <w:rPr>
                <w:rFonts w:cs="Arial"/>
                <w:sz w:val="16"/>
                <w:szCs w:val="16"/>
              </w:rPr>
            </w:pPr>
            <w:r w:rsidRPr="00467D22">
              <w:rPr>
                <w:rFonts w:cs="Arial"/>
                <w:sz w:val="16"/>
                <w:szCs w:val="16"/>
              </w:rPr>
              <w:t>($</w:t>
            </w:r>
            <w:r w:rsidRPr="00467D22" w:rsidR="008761DD">
              <w:rPr>
                <w:rFonts w:cs="Arial"/>
                <w:sz w:val="16"/>
                <w:szCs w:val="16"/>
              </w:rPr>
              <w:t>17,080</w:t>
            </w:r>
            <w:r w:rsidRPr="00467D22">
              <w:rPr>
                <w:rFonts w:cs="Arial"/>
                <w:sz w:val="16"/>
                <w:szCs w:val="16"/>
              </w:rPr>
              <w:t>)</w:t>
            </w:r>
          </w:p>
        </w:tc>
      </w:tr>
      <w:tr w:rsidRPr="00467D22" w:rsidR="000D2F14" w:rsidTr="00085751" w14:paraId="6FFD60AB" w14:textId="77777777">
        <w:trPr>
          <w:jc w:val="center"/>
        </w:trPr>
        <w:tc>
          <w:tcPr>
            <w:tcW w:w="2065" w:type="dxa"/>
            <w:vMerge/>
            <w:shd w:val="clear" w:color="auto" w:fill="FFFFFF" w:themeFill="background1"/>
            <w:tcMar>
              <w:left w:w="58" w:type="dxa"/>
              <w:right w:w="58" w:type="dxa"/>
            </w:tcMar>
            <w:vAlign w:val="center"/>
          </w:tcPr>
          <w:p w:rsidRPr="00467D22" w:rsidR="00D520BD" w:rsidP="00982BD1" w:rsidRDefault="00D520BD" w14:paraId="305CFFEE" w14:textId="77777777">
            <w:pPr>
              <w:rPr>
                <w:rFonts w:cs="Arial"/>
                <w:sz w:val="16"/>
                <w:szCs w:val="16"/>
              </w:rPr>
            </w:pPr>
          </w:p>
        </w:tc>
        <w:tc>
          <w:tcPr>
            <w:tcW w:w="3780" w:type="dxa"/>
            <w:shd w:val="clear" w:color="auto" w:fill="FFFFFF" w:themeFill="background1"/>
            <w:tcMar>
              <w:left w:w="58" w:type="dxa"/>
              <w:right w:w="58" w:type="dxa"/>
            </w:tcMar>
            <w:vAlign w:val="center"/>
          </w:tcPr>
          <w:p w:rsidR="002301C3" w:rsidP="005B187F" w:rsidRDefault="00D520BD" w14:paraId="277FF041" w14:textId="77777777">
            <w:pPr>
              <w:rPr>
                <w:sz w:val="16"/>
              </w:rPr>
            </w:pPr>
            <w:r w:rsidRPr="00467D22">
              <w:rPr>
                <w:rFonts w:cs="Arial"/>
                <w:sz w:val="16"/>
                <w:szCs w:val="16"/>
              </w:rPr>
              <w:t xml:space="preserve">Testing for </w:t>
            </w:r>
            <w:r w:rsidRPr="00467D22">
              <w:rPr>
                <w:sz w:val="16"/>
              </w:rPr>
              <w:t>Ecstasy</w:t>
            </w:r>
            <w:r w:rsidRPr="00467D22" w:rsidR="00AD7E07">
              <w:rPr>
                <w:sz w:val="16"/>
              </w:rPr>
              <w:t xml:space="preserve"> drugs</w:t>
            </w:r>
            <w:r w:rsidR="005B187F">
              <w:rPr>
                <w:sz w:val="16"/>
              </w:rPr>
              <w:t xml:space="preserve"> </w:t>
            </w:r>
          </w:p>
          <w:p w:rsidRPr="00467D22" w:rsidR="00D520BD" w:rsidP="005B187F" w:rsidRDefault="00D520BD" w14:paraId="0D02BB6A" w14:textId="05A86038">
            <w:pPr>
              <w:rPr>
                <w:rFonts w:cs="Arial"/>
                <w:sz w:val="16"/>
                <w:szCs w:val="16"/>
              </w:rPr>
            </w:pPr>
            <w:r w:rsidRPr="00467D22">
              <w:rPr>
                <w:rFonts w:cs="Arial"/>
                <w:sz w:val="16"/>
                <w:szCs w:val="16"/>
              </w:rPr>
              <w:t>(sites only using an HHS</w:t>
            </w:r>
            <w:r w:rsidR="005B187F">
              <w:rPr>
                <w:rFonts w:cs="Arial"/>
                <w:sz w:val="16"/>
                <w:szCs w:val="16"/>
              </w:rPr>
              <w:noBreakHyphen/>
            </w:r>
            <w:r w:rsidRPr="00467D22">
              <w:rPr>
                <w:rFonts w:cs="Arial"/>
                <w:sz w:val="16"/>
                <w:szCs w:val="16"/>
              </w:rPr>
              <w:t>certified laboratory)</w:t>
            </w:r>
          </w:p>
        </w:tc>
        <w:tc>
          <w:tcPr>
            <w:tcW w:w="720" w:type="dxa"/>
            <w:tcBorders>
              <w:right w:val="single" w:color="auto" w:sz="4" w:space="0"/>
            </w:tcBorders>
            <w:shd w:val="clear" w:color="auto" w:fill="FFFFFF" w:themeFill="background1"/>
            <w:tcMar>
              <w:left w:w="58" w:type="dxa"/>
              <w:right w:w="58" w:type="dxa"/>
            </w:tcMar>
            <w:vAlign w:val="center"/>
          </w:tcPr>
          <w:p w:rsidRPr="00467D22" w:rsidR="00D520BD" w:rsidP="00267C3A" w:rsidRDefault="00D520BD" w14:paraId="71DE151D" w14:textId="7563051B">
            <w:pPr>
              <w:jc w:val="right"/>
              <w:rPr>
                <w:rFonts w:cs="Arial"/>
                <w:sz w:val="16"/>
                <w:szCs w:val="16"/>
              </w:rPr>
            </w:pPr>
            <w:r w:rsidRPr="00467D22">
              <w:rPr>
                <w:rFonts w:cs="Arial"/>
                <w:sz w:val="16"/>
                <w:szCs w:val="16"/>
              </w:rPr>
              <w:t>$0.</w:t>
            </w:r>
            <w:r w:rsidRPr="00467D22" w:rsidR="004D14C9">
              <w:rPr>
                <w:rFonts w:cs="Arial"/>
                <w:sz w:val="16"/>
                <w:szCs w:val="16"/>
              </w:rPr>
              <w:t>14</w:t>
            </w:r>
          </w:p>
        </w:tc>
        <w:tc>
          <w:tcPr>
            <w:tcW w:w="815" w:type="dxa"/>
            <w:tcBorders>
              <w:top w:val="single" w:color="auto" w:sz="4" w:space="0"/>
              <w:left w:val="single" w:color="auto" w:sz="4" w:space="0"/>
              <w:bottom w:val="single" w:color="auto" w:sz="4" w:space="0"/>
              <w:right w:val="nil"/>
            </w:tcBorders>
            <w:shd w:val="clear" w:color="auto" w:fill="FFFFFF" w:themeFill="background1"/>
            <w:tcMar>
              <w:left w:w="58" w:type="dxa"/>
              <w:right w:w="58" w:type="dxa"/>
            </w:tcMar>
            <w:vAlign w:val="center"/>
          </w:tcPr>
          <w:p w:rsidRPr="00467D22" w:rsidR="00D520BD" w:rsidP="00982BD1" w:rsidRDefault="00D520BD" w14:paraId="6FDCF4CA" w14:textId="77777777">
            <w:pPr>
              <w:jc w:val="right"/>
              <w:rPr>
                <w:rFonts w:cs="Arial"/>
                <w:sz w:val="16"/>
                <w:szCs w:val="16"/>
              </w:rPr>
            </w:pPr>
          </w:p>
        </w:tc>
        <w:tc>
          <w:tcPr>
            <w:tcW w:w="900" w:type="dxa"/>
            <w:tcBorders>
              <w:top w:val="single" w:color="auto" w:sz="4" w:space="0"/>
              <w:left w:val="nil"/>
              <w:bottom w:val="single" w:color="auto" w:sz="4" w:space="0"/>
              <w:right w:val="nil"/>
            </w:tcBorders>
            <w:shd w:val="clear" w:color="auto" w:fill="FFFFFF" w:themeFill="background1"/>
            <w:tcMar>
              <w:left w:w="58" w:type="dxa"/>
              <w:right w:w="58" w:type="dxa"/>
            </w:tcMar>
            <w:vAlign w:val="center"/>
          </w:tcPr>
          <w:p w:rsidRPr="00467D22" w:rsidR="00D520BD" w:rsidP="00982BD1" w:rsidRDefault="00D520BD" w14:paraId="0AA7E1F2" w14:textId="77777777">
            <w:pPr>
              <w:jc w:val="right"/>
              <w:rPr>
                <w:rFonts w:cs="Arial"/>
                <w:sz w:val="16"/>
                <w:szCs w:val="16"/>
              </w:rPr>
            </w:pPr>
          </w:p>
        </w:tc>
        <w:tc>
          <w:tcPr>
            <w:tcW w:w="1080" w:type="dxa"/>
            <w:tcBorders>
              <w:top w:val="single" w:color="auto" w:sz="4" w:space="0"/>
              <w:left w:val="nil"/>
              <w:bottom w:val="single" w:color="auto" w:sz="4" w:space="0"/>
              <w:right w:val="single" w:color="auto" w:sz="4" w:space="0"/>
            </w:tcBorders>
            <w:shd w:val="clear" w:color="auto" w:fill="FFFFFF" w:themeFill="background1"/>
            <w:tcMar>
              <w:left w:w="58" w:type="dxa"/>
              <w:right w:w="58" w:type="dxa"/>
            </w:tcMar>
            <w:vAlign w:val="center"/>
          </w:tcPr>
          <w:p w:rsidRPr="00467D22" w:rsidR="00D520BD" w:rsidP="00982BD1" w:rsidRDefault="00D520BD" w14:paraId="6593BE6E" w14:textId="77777777">
            <w:pPr>
              <w:jc w:val="right"/>
              <w:rPr>
                <w:rFonts w:cs="Arial"/>
                <w:sz w:val="16"/>
                <w:szCs w:val="16"/>
              </w:rPr>
            </w:pPr>
          </w:p>
        </w:tc>
      </w:tr>
      <w:tr w:rsidRPr="00467D22" w:rsidR="00D520BD" w:rsidTr="00085751" w14:paraId="09C9713D" w14:textId="77777777">
        <w:trPr>
          <w:trHeight w:val="287"/>
          <w:jc w:val="center"/>
        </w:trPr>
        <w:tc>
          <w:tcPr>
            <w:tcW w:w="2065" w:type="dxa"/>
            <w:vMerge w:val="restart"/>
            <w:shd w:val="clear" w:color="auto" w:fill="FFFFFF" w:themeFill="background1"/>
            <w:tcMar>
              <w:left w:w="58" w:type="dxa"/>
              <w:right w:w="58" w:type="dxa"/>
            </w:tcMar>
            <w:vAlign w:val="center"/>
          </w:tcPr>
          <w:p w:rsidRPr="00467D22" w:rsidR="00D520BD" w:rsidP="00982BD1" w:rsidRDefault="00D520BD" w14:paraId="667270BC" w14:textId="7230B205">
            <w:pPr>
              <w:ind w:left="88" w:right="-20"/>
              <w:rPr>
                <w:rFonts w:eastAsia="Arial" w:cs="Arial"/>
                <w:sz w:val="16"/>
                <w:szCs w:val="16"/>
              </w:rPr>
            </w:pPr>
            <w:r w:rsidRPr="00467D22">
              <w:rPr>
                <w:rFonts w:eastAsia="Arial" w:cs="Arial"/>
                <w:sz w:val="16"/>
                <w:szCs w:val="16"/>
              </w:rPr>
              <w:t>Additional testing at HHS</w:t>
            </w:r>
            <w:r w:rsidRPr="00467D22" w:rsidR="00467D22">
              <w:rPr>
                <w:rFonts w:eastAsia="Arial" w:cs="Arial"/>
                <w:sz w:val="16"/>
                <w:szCs w:val="16"/>
              </w:rPr>
              <w:noBreakHyphen/>
            </w:r>
            <w:r w:rsidRPr="00467D22">
              <w:rPr>
                <w:rFonts w:eastAsia="Arial" w:cs="Arial"/>
                <w:sz w:val="16"/>
                <w:szCs w:val="16"/>
              </w:rPr>
              <w:t>certified laboratory for Ecstasy positive results</w:t>
            </w:r>
          </w:p>
          <w:p w:rsidRPr="00467D22" w:rsidR="00D520BD" w:rsidP="00982BD1" w:rsidRDefault="00D520BD" w14:paraId="4F5BDCCC" w14:textId="77777777">
            <w:pPr>
              <w:ind w:left="88" w:right="-20"/>
              <w:rPr>
                <w:rFonts w:cs="Arial"/>
                <w:sz w:val="16"/>
                <w:szCs w:val="16"/>
              </w:rPr>
            </w:pPr>
            <w:r w:rsidRPr="00467D22">
              <w:rPr>
                <w:rFonts w:eastAsia="Arial" w:cs="Arial"/>
                <w:sz w:val="16"/>
                <w:szCs w:val="16"/>
              </w:rPr>
              <w:t>(sites using LTFs)</w:t>
            </w:r>
          </w:p>
        </w:tc>
        <w:tc>
          <w:tcPr>
            <w:tcW w:w="3780" w:type="dxa"/>
            <w:shd w:val="clear" w:color="auto" w:fill="FFFFFF" w:themeFill="background1"/>
            <w:tcMar>
              <w:left w:w="58" w:type="dxa"/>
              <w:right w:w="58" w:type="dxa"/>
            </w:tcMar>
            <w:vAlign w:val="center"/>
          </w:tcPr>
          <w:p w:rsidRPr="00467D22" w:rsidR="00D520BD" w:rsidP="00982BD1" w:rsidRDefault="00D520BD" w14:paraId="12326BA8" w14:textId="77777777">
            <w:pPr>
              <w:rPr>
                <w:rFonts w:cs="Arial"/>
                <w:sz w:val="16"/>
                <w:szCs w:val="16"/>
              </w:rPr>
            </w:pPr>
            <w:r w:rsidRPr="00467D22">
              <w:rPr>
                <w:rFonts w:cs="Arial"/>
                <w:sz w:val="16"/>
                <w:szCs w:val="16"/>
              </w:rPr>
              <w:t>Number of drug tests conducted per site per year under 10 CFR Part 26</w:t>
            </w:r>
          </w:p>
        </w:tc>
        <w:tc>
          <w:tcPr>
            <w:tcW w:w="720" w:type="dxa"/>
            <w:shd w:val="clear" w:color="auto" w:fill="FFFFFF" w:themeFill="background1"/>
            <w:tcMar>
              <w:left w:w="58" w:type="dxa"/>
              <w:right w:w="58" w:type="dxa"/>
            </w:tcMar>
            <w:vAlign w:val="center"/>
          </w:tcPr>
          <w:p w:rsidRPr="00467D22" w:rsidR="00D520BD" w:rsidP="00982BD1" w:rsidRDefault="00D520BD" w14:paraId="3358D4F0" w14:textId="74CB2DC7">
            <w:pPr>
              <w:jc w:val="right"/>
              <w:rPr>
                <w:rFonts w:cs="Arial"/>
                <w:sz w:val="16"/>
                <w:szCs w:val="16"/>
              </w:rPr>
            </w:pPr>
            <w:r w:rsidRPr="00467D22">
              <w:rPr>
                <w:rFonts w:cs="Arial"/>
                <w:sz w:val="16"/>
                <w:szCs w:val="16"/>
              </w:rPr>
              <w:t>2</w:t>
            </w:r>
            <w:r w:rsidRPr="00467D22" w:rsidR="00646A79">
              <w:rPr>
                <w:rFonts w:cs="Arial"/>
                <w:sz w:val="16"/>
                <w:szCs w:val="16"/>
              </w:rPr>
              <w:t>,</w:t>
            </w:r>
            <w:r w:rsidRPr="00467D22" w:rsidR="009A7045">
              <w:rPr>
                <w:rFonts w:cs="Arial"/>
                <w:sz w:val="16"/>
                <w:szCs w:val="16"/>
              </w:rPr>
              <w:t>257</w:t>
            </w:r>
          </w:p>
        </w:tc>
        <w:tc>
          <w:tcPr>
            <w:tcW w:w="815" w:type="dxa"/>
            <w:tcBorders>
              <w:top w:val="single" w:color="auto" w:sz="4" w:space="0"/>
              <w:bottom w:val="single" w:color="auto" w:sz="4" w:space="0"/>
            </w:tcBorders>
            <w:shd w:val="clear" w:color="auto" w:fill="FFFFFF" w:themeFill="background1"/>
            <w:tcMar>
              <w:left w:w="58" w:type="dxa"/>
              <w:right w:w="58" w:type="dxa"/>
            </w:tcMar>
            <w:vAlign w:val="center"/>
          </w:tcPr>
          <w:p w:rsidRPr="00467D22" w:rsidR="00D520BD" w:rsidP="00982BD1" w:rsidRDefault="00D520BD" w14:paraId="71EDCAE9" w14:textId="78DCB24E">
            <w:pPr>
              <w:jc w:val="right"/>
              <w:rPr>
                <w:rFonts w:cs="Arial"/>
                <w:sz w:val="16"/>
                <w:szCs w:val="16"/>
              </w:rPr>
            </w:pPr>
            <w:r w:rsidRPr="00467D22">
              <w:rPr>
                <w:rFonts w:cs="Arial"/>
                <w:sz w:val="16"/>
                <w:szCs w:val="16"/>
              </w:rPr>
              <w:t>($</w:t>
            </w:r>
            <w:r w:rsidRPr="00467D22" w:rsidR="008761DD">
              <w:rPr>
                <w:rFonts w:cs="Arial"/>
                <w:sz w:val="16"/>
                <w:szCs w:val="16"/>
              </w:rPr>
              <w:t>3</w:t>
            </w:r>
            <w:r w:rsidRPr="00467D22">
              <w:rPr>
                <w:rFonts w:cs="Arial"/>
                <w:sz w:val="16"/>
                <w:szCs w:val="16"/>
              </w:rPr>
              <w:t>)</w:t>
            </w:r>
          </w:p>
        </w:tc>
        <w:tc>
          <w:tcPr>
            <w:tcW w:w="900" w:type="dxa"/>
            <w:tcBorders>
              <w:top w:val="single" w:color="auto" w:sz="4" w:space="0"/>
              <w:bottom w:val="single" w:color="auto" w:sz="4" w:space="0"/>
            </w:tcBorders>
            <w:shd w:val="clear" w:color="auto" w:fill="FFFFFF" w:themeFill="background1"/>
            <w:tcMar>
              <w:left w:w="58" w:type="dxa"/>
              <w:right w:w="58" w:type="dxa"/>
            </w:tcMar>
            <w:vAlign w:val="center"/>
          </w:tcPr>
          <w:p w:rsidRPr="00467D22" w:rsidR="00D520BD" w:rsidP="00982BD1" w:rsidRDefault="00C6375F" w14:paraId="4A8E30AC" w14:textId="387A7A81">
            <w:pPr>
              <w:jc w:val="right"/>
              <w:rPr>
                <w:rFonts w:cs="Arial"/>
                <w:sz w:val="16"/>
                <w:szCs w:val="16"/>
              </w:rPr>
            </w:pPr>
            <w:r w:rsidRPr="00467D22">
              <w:rPr>
                <w:rFonts w:cs="Arial"/>
                <w:sz w:val="16"/>
                <w:szCs w:val="16"/>
              </w:rPr>
              <w:t>3</w:t>
            </w:r>
          </w:p>
        </w:tc>
        <w:tc>
          <w:tcPr>
            <w:tcW w:w="1080" w:type="dxa"/>
            <w:tcBorders>
              <w:top w:val="single" w:color="auto" w:sz="4" w:space="0"/>
              <w:bottom w:val="single" w:color="auto" w:sz="4" w:space="0"/>
            </w:tcBorders>
            <w:shd w:val="clear" w:color="auto" w:fill="FFFFFF" w:themeFill="background1"/>
            <w:tcMar>
              <w:left w:w="58" w:type="dxa"/>
              <w:right w:w="58" w:type="dxa"/>
            </w:tcMar>
            <w:vAlign w:val="center"/>
          </w:tcPr>
          <w:p w:rsidRPr="00467D22" w:rsidR="00D520BD" w:rsidP="00982BD1" w:rsidRDefault="00D520BD" w14:paraId="4BEE2334" w14:textId="45B14449">
            <w:pPr>
              <w:jc w:val="right"/>
              <w:rPr>
                <w:rFonts w:cs="Arial"/>
                <w:sz w:val="16"/>
                <w:szCs w:val="16"/>
              </w:rPr>
            </w:pPr>
            <w:r w:rsidRPr="00467D22">
              <w:rPr>
                <w:rFonts w:cs="Arial"/>
                <w:sz w:val="16"/>
                <w:szCs w:val="16"/>
              </w:rPr>
              <w:t>($</w:t>
            </w:r>
            <w:r w:rsidRPr="00467D22" w:rsidR="008761DD">
              <w:rPr>
                <w:rFonts w:cs="Arial"/>
                <w:sz w:val="16"/>
                <w:szCs w:val="16"/>
              </w:rPr>
              <w:t>9</w:t>
            </w:r>
            <w:r w:rsidRPr="00467D22">
              <w:rPr>
                <w:rFonts w:cs="Arial"/>
                <w:sz w:val="16"/>
                <w:szCs w:val="16"/>
              </w:rPr>
              <w:t>)</w:t>
            </w:r>
          </w:p>
        </w:tc>
      </w:tr>
      <w:tr w:rsidRPr="00467D22" w:rsidR="00D520BD" w:rsidTr="00085751" w14:paraId="41D9258C" w14:textId="77777777">
        <w:trPr>
          <w:trHeight w:val="206"/>
          <w:jc w:val="center"/>
        </w:trPr>
        <w:tc>
          <w:tcPr>
            <w:tcW w:w="2065" w:type="dxa"/>
            <w:vMerge/>
            <w:shd w:val="clear" w:color="auto" w:fill="FFFFFF" w:themeFill="background1"/>
            <w:tcMar>
              <w:left w:w="58" w:type="dxa"/>
              <w:right w:w="58" w:type="dxa"/>
            </w:tcMar>
            <w:vAlign w:val="center"/>
          </w:tcPr>
          <w:p w:rsidRPr="00467D22" w:rsidR="00D520BD" w:rsidP="00982BD1" w:rsidRDefault="00D520BD" w14:paraId="1009E17E" w14:textId="77777777">
            <w:pPr>
              <w:rPr>
                <w:rFonts w:cs="Arial"/>
                <w:sz w:val="16"/>
                <w:szCs w:val="16"/>
              </w:rPr>
            </w:pPr>
          </w:p>
        </w:tc>
        <w:tc>
          <w:tcPr>
            <w:tcW w:w="3780" w:type="dxa"/>
            <w:shd w:val="clear" w:color="auto" w:fill="FFFFFF" w:themeFill="background1"/>
            <w:tcMar>
              <w:left w:w="58" w:type="dxa"/>
              <w:right w:w="58" w:type="dxa"/>
            </w:tcMar>
            <w:vAlign w:val="center"/>
          </w:tcPr>
          <w:p w:rsidRPr="00467D22" w:rsidR="00D520BD" w:rsidP="00982BD1" w:rsidRDefault="00D520BD" w14:paraId="661C5851" w14:textId="77777777">
            <w:pPr>
              <w:rPr>
                <w:rFonts w:cs="Arial"/>
                <w:sz w:val="16"/>
                <w:szCs w:val="16"/>
              </w:rPr>
            </w:pPr>
            <w:r w:rsidRPr="00467D22">
              <w:rPr>
                <w:rFonts w:cs="Arial"/>
                <w:sz w:val="16"/>
                <w:szCs w:val="16"/>
              </w:rPr>
              <w:t>Projected confirmed positive test rate</w:t>
            </w:r>
          </w:p>
        </w:tc>
        <w:tc>
          <w:tcPr>
            <w:tcW w:w="720" w:type="dxa"/>
            <w:tcBorders>
              <w:right w:val="single" w:color="auto" w:sz="4" w:space="0"/>
            </w:tcBorders>
            <w:shd w:val="clear" w:color="auto" w:fill="FFFFFF" w:themeFill="background1"/>
            <w:tcMar>
              <w:left w:w="58" w:type="dxa"/>
              <w:right w:w="58" w:type="dxa"/>
            </w:tcMar>
            <w:vAlign w:val="center"/>
          </w:tcPr>
          <w:p w:rsidRPr="00467D22" w:rsidR="00D520BD" w:rsidP="00982BD1" w:rsidRDefault="00D520BD" w14:paraId="68750872" w14:textId="77777777">
            <w:pPr>
              <w:jc w:val="right"/>
              <w:rPr>
                <w:rFonts w:cs="Arial"/>
                <w:sz w:val="16"/>
                <w:szCs w:val="16"/>
              </w:rPr>
            </w:pPr>
            <w:r w:rsidRPr="00467D22">
              <w:rPr>
                <w:rFonts w:cs="Arial"/>
                <w:sz w:val="16"/>
                <w:szCs w:val="16"/>
              </w:rPr>
              <w:t>0.004%</w:t>
            </w:r>
          </w:p>
        </w:tc>
        <w:tc>
          <w:tcPr>
            <w:tcW w:w="815"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467D22" w:rsidR="00D520BD" w:rsidP="00982BD1" w:rsidRDefault="00D520BD" w14:paraId="6CD1E244" w14:textId="77777777">
            <w:pPr>
              <w:jc w:val="right"/>
              <w:rPr>
                <w:rFonts w:cs="Arial"/>
                <w:sz w:val="16"/>
                <w:szCs w:val="16"/>
              </w:rPr>
            </w:pPr>
          </w:p>
        </w:tc>
        <w:tc>
          <w:tcPr>
            <w:tcW w:w="900" w:type="dxa"/>
            <w:tcBorders>
              <w:top w:val="single" w:color="auto" w:sz="4" w:space="0"/>
              <w:left w:val="nil"/>
              <w:bottom w:val="nil"/>
              <w:right w:val="nil"/>
            </w:tcBorders>
            <w:shd w:val="clear" w:color="auto" w:fill="FFFFFF" w:themeFill="background1"/>
            <w:tcMar>
              <w:left w:w="58" w:type="dxa"/>
              <w:right w:w="58" w:type="dxa"/>
            </w:tcMar>
            <w:vAlign w:val="center"/>
          </w:tcPr>
          <w:p w:rsidRPr="00467D22" w:rsidR="00D520BD" w:rsidP="00982BD1" w:rsidRDefault="00D520BD" w14:paraId="4AE23746" w14:textId="77777777">
            <w:pPr>
              <w:jc w:val="right"/>
              <w:rPr>
                <w:rFonts w:cs="Arial"/>
                <w:sz w:val="16"/>
                <w:szCs w:val="16"/>
              </w:rPr>
            </w:pPr>
          </w:p>
        </w:tc>
        <w:tc>
          <w:tcPr>
            <w:tcW w:w="108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467D22" w:rsidR="00D520BD" w:rsidP="00982BD1" w:rsidRDefault="00D520BD" w14:paraId="636F59E9" w14:textId="77777777">
            <w:pPr>
              <w:jc w:val="right"/>
              <w:rPr>
                <w:rFonts w:cs="Arial"/>
                <w:sz w:val="16"/>
                <w:szCs w:val="16"/>
              </w:rPr>
            </w:pPr>
          </w:p>
        </w:tc>
      </w:tr>
      <w:tr w:rsidRPr="00467D22" w:rsidR="00D520BD" w:rsidTr="00085751" w14:paraId="0E7B2912" w14:textId="77777777">
        <w:trPr>
          <w:jc w:val="center"/>
        </w:trPr>
        <w:tc>
          <w:tcPr>
            <w:tcW w:w="2065" w:type="dxa"/>
            <w:vMerge/>
            <w:shd w:val="clear" w:color="auto" w:fill="FFFFFF" w:themeFill="background1"/>
            <w:tcMar>
              <w:left w:w="58" w:type="dxa"/>
              <w:right w:w="58" w:type="dxa"/>
            </w:tcMar>
            <w:vAlign w:val="center"/>
          </w:tcPr>
          <w:p w:rsidRPr="00467D22" w:rsidR="00D520BD" w:rsidP="00982BD1" w:rsidRDefault="00D520BD" w14:paraId="428246E6" w14:textId="77777777">
            <w:pPr>
              <w:rPr>
                <w:rFonts w:cs="Arial"/>
                <w:sz w:val="16"/>
                <w:szCs w:val="16"/>
              </w:rPr>
            </w:pPr>
          </w:p>
        </w:tc>
        <w:tc>
          <w:tcPr>
            <w:tcW w:w="3780" w:type="dxa"/>
            <w:shd w:val="clear" w:color="auto" w:fill="FFFFFF" w:themeFill="background1"/>
            <w:tcMar>
              <w:left w:w="58" w:type="dxa"/>
              <w:right w:w="58" w:type="dxa"/>
            </w:tcMar>
            <w:vAlign w:val="center"/>
          </w:tcPr>
          <w:p w:rsidRPr="00467D22" w:rsidR="00D520BD" w:rsidP="00982BD1" w:rsidRDefault="00D520BD" w14:paraId="1AE6B3A2" w14:textId="4C04F5A5">
            <w:pPr>
              <w:rPr>
                <w:rFonts w:cs="Arial"/>
                <w:sz w:val="16"/>
                <w:szCs w:val="16"/>
              </w:rPr>
            </w:pPr>
            <w:r w:rsidRPr="00467D22">
              <w:rPr>
                <w:rFonts w:cs="Arial"/>
                <w:sz w:val="16"/>
                <w:szCs w:val="16"/>
              </w:rPr>
              <w:t>Initial and confirmatory drug testing</w:t>
            </w:r>
            <w:r w:rsidRPr="00467D22" w:rsidR="00646A79">
              <w:rPr>
                <w:rFonts w:cs="Arial"/>
                <w:sz w:val="16"/>
                <w:szCs w:val="16"/>
              </w:rPr>
              <w:t>,</w:t>
            </w:r>
            <w:r w:rsidRPr="00467D22">
              <w:rPr>
                <w:rFonts w:cs="Arial"/>
                <w:sz w:val="16"/>
                <w:szCs w:val="16"/>
              </w:rPr>
              <w:t xml:space="preserve"> HHS</w:t>
            </w:r>
            <w:r w:rsidRPr="00467D22">
              <w:rPr>
                <w:rFonts w:cs="Arial"/>
                <w:sz w:val="16"/>
                <w:szCs w:val="16"/>
              </w:rPr>
              <w:noBreakHyphen/>
              <w:t>certified laboratory (sites using an LTF for initial testing)</w:t>
            </w:r>
          </w:p>
        </w:tc>
        <w:tc>
          <w:tcPr>
            <w:tcW w:w="720" w:type="dxa"/>
            <w:tcBorders>
              <w:right w:val="single" w:color="auto" w:sz="4" w:space="0"/>
            </w:tcBorders>
            <w:shd w:val="clear" w:color="auto" w:fill="FFFFFF" w:themeFill="background1"/>
            <w:tcMar>
              <w:left w:w="58" w:type="dxa"/>
              <w:right w:w="58" w:type="dxa"/>
            </w:tcMar>
            <w:vAlign w:val="center"/>
          </w:tcPr>
          <w:p w:rsidRPr="00467D22" w:rsidR="00D520BD" w:rsidP="00982BD1" w:rsidRDefault="00D520BD" w14:paraId="1F860BAB" w14:textId="754352C4">
            <w:pPr>
              <w:jc w:val="right"/>
              <w:rPr>
                <w:rFonts w:cs="Arial"/>
                <w:sz w:val="16"/>
                <w:szCs w:val="16"/>
              </w:rPr>
            </w:pPr>
            <w:r w:rsidRPr="00467D22">
              <w:rPr>
                <w:rFonts w:cs="Arial"/>
                <w:sz w:val="16"/>
                <w:szCs w:val="16"/>
              </w:rPr>
              <w:t>$</w:t>
            </w:r>
            <w:r w:rsidRPr="00467D22" w:rsidR="008761DD">
              <w:rPr>
                <w:rFonts w:cs="Arial"/>
                <w:sz w:val="16"/>
                <w:szCs w:val="16"/>
              </w:rPr>
              <w:t>28.83</w:t>
            </w:r>
          </w:p>
        </w:tc>
        <w:tc>
          <w:tcPr>
            <w:tcW w:w="815"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467D22" w:rsidR="00D520BD" w:rsidP="00982BD1" w:rsidRDefault="00D520BD" w14:paraId="747A7356" w14:textId="77777777">
            <w:pPr>
              <w:jc w:val="right"/>
              <w:rPr>
                <w:rFonts w:cs="Arial"/>
                <w:sz w:val="16"/>
                <w:szCs w:val="16"/>
              </w:rPr>
            </w:pPr>
          </w:p>
        </w:tc>
        <w:tc>
          <w:tcPr>
            <w:tcW w:w="900" w:type="dxa"/>
            <w:tcBorders>
              <w:top w:val="nil"/>
              <w:left w:val="nil"/>
              <w:bottom w:val="single" w:color="auto" w:sz="4" w:space="0"/>
              <w:right w:val="nil"/>
            </w:tcBorders>
            <w:shd w:val="clear" w:color="auto" w:fill="FFFFFF" w:themeFill="background1"/>
            <w:tcMar>
              <w:left w:w="58" w:type="dxa"/>
              <w:right w:w="58" w:type="dxa"/>
            </w:tcMar>
            <w:vAlign w:val="center"/>
          </w:tcPr>
          <w:p w:rsidRPr="00467D22" w:rsidR="00D520BD" w:rsidP="00982BD1" w:rsidRDefault="00D520BD" w14:paraId="18A7B0BE" w14:textId="77777777">
            <w:pPr>
              <w:jc w:val="right"/>
              <w:rPr>
                <w:rFonts w:cs="Arial"/>
                <w:sz w:val="16"/>
                <w:szCs w:val="16"/>
              </w:rPr>
            </w:pPr>
          </w:p>
        </w:tc>
        <w:tc>
          <w:tcPr>
            <w:tcW w:w="108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467D22" w:rsidR="00D520BD" w:rsidP="00982BD1" w:rsidRDefault="00D520BD" w14:paraId="74341E4B" w14:textId="77777777">
            <w:pPr>
              <w:jc w:val="right"/>
              <w:rPr>
                <w:rFonts w:cs="Arial"/>
                <w:sz w:val="16"/>
                <w:szCs w:val="16"/>
              </w:rPr>
            </w:pPr>
          </w:p>
        </w:tc>
      </w:tr>
      <w:tr w:rsidRPr="00467D22" w:rsidR="008C0DF3" w:rsidTr="003332BD" w14:paraId="3B08DFDD" w14:textId="77777777">
        <w:trPr>
          <w:trHeight w:val="395"/>
          <w:jc w:val="center"/>
        </w:trPr>
        <w:tc>
          <w:tcPr>
            <w:tcW w:w="2065" w:type="dxa"/>
            <w:vMerge w:val="restart"/>
            <w:shd w:val="clear" w:color="auto" w:fill="auto"/>
            <w:tcMar>
              <w:left w:w="58" w:type="dxa"/>
              <w:right w:w="58" w:type="dxa"/>
            </w:tcMar>
            <w:vAlign w:val="center"/>
          </w:tcPr>
          <w:p w:rsidRPr="00467D22" w:rsidR="008C0DF3" w:rsidP="008C0DF3" w:rsidRDefault="008C0DF3" w14:paraId="644028AA" w14:textId="77777777">
            <w:pPr>
              <w:ind w:left="122"/>
              <w:rPr>
                <w:rFonts w:eastAsia="Arial" w:cs="Arial"/>
                <w:sz w:val="16"/>
                <w:szCs w:val="16"/>
              </w:rPr>
            </w:pPr>
            <w:r w:rsidRPr="00467D22">
              <w:rPr>
                <w:rFonts w:cs="Arial"/>
                <w:sz w:val="16"/>
                <w:szCs w:val="16"/>
              </w:rPr>
              <w:t>BPTS for Ecstasy</w:t>
            </w:r>
            <w:r w:rsidRPr="00467D22">
              <w:rPr>
                <w:rFonts w:eastAsia="Arial" w:cs="Arial"/>
                <w:sz w:val="16"/>
                <w:szCs w:val="16"/>
              </w:rPr>
              <w:t xml:space="preserve"> </w:t>
            </w:r>
          </w:p>
          <w:p w:rsidRPr="00467D22" w:rsidR="008C0DF3" w:rsidP="008C0DF3" w:rsidRDefault="008C0DF3" w14:paraId="5E6D2805" w14:textId="512A63CD">
            <w:pPr>
              <w:ind w:left="122"/>
              <w:rPr>
                <w:rFonts w:cs="Arial"/>
                <w:sz w:val="16"/>
                <w:szCs w:val="16"/>
              </w:rPr>
            </w:pPr>
            <w:r w:rsidRPr="00467D22">
              <w:rPr>
                <w:rFonts w:eastAsia="Arial" w:cs="Arial"/>
                <w:sz w:val="16"/>
                <w:szCs w:val="16"/>
              </w:rPr>
              <w:t>(</w:t>
            </w:r>
            <w:r w:rsidRPr="00467D22">
              <w:rPr>
                <w:rFonts w:cs="Arial"/>
                <w:sz w:val="16"/>
                <w:szCs w:val="16"/>
              </w:rPr>
              <w:t>s</w:t>
            </w:r>
            <w:r w:rsidRPr="002301C3">
              <w:rPr>
                <w:sz w:val="16"/>
              </w:rPr>
              <w:t>i</w:t>
            </w:r>
            <w:r w:rsidRPr="00467D22">
              <w:rPr>
                <w:rFonts w:cs="Arial"/>
                <w:sz w:val="16"/>
                <w:szCs w:val="16"/>
              </w:rPr>
              <w:t>tes</w:t>
            </w:r>
            <w:r w:rsidRPr="002301C3">
              <w:rPr>
                <w:rFonts w:eastAsia="Arial"/>
                <w:sz w:val="16"/>
              </w:rPr>
              <w:t xml:space="preserve"> onl</w:t>
            </w:r>
            <w:r w:rsidRPr="00467D22">
              <w:rPr>
                <w:rFonts w:eastAsia="Arial" w:cs="Arial"/>
                <w:sz w:val="16"/>
                <w:szCs w:val="16"/>
              </w:rPr>
              <w:t>y</w:t>
            </w:r>
            <w:r w:rsidRPr="002301C3">
              <w:rPr>
                <w:rFonts w:eastAsia="Arial"/>
                <w:sz w:val="16"/>
              </w:rPr>
              <w:t xml:space="preserve"> u</w:t>
            </w:r>
            <w:r w:rsidRPr="00467D22">
              <w:rPr>
                <w:rFonts w:eastAsia="Arial" w:cs="Arial"/>
                <w:sz w:val="16"/>
                <w:szCs w:val="16"/>
              </w:rPr>
              <w:t>s</w:t>
            </w:r>
            <w:r w:rsidRPr="002301C3">
              <w:rPr>
                <w:rFonts w:eastAsia="Arial"/>
                <w:sz w:val="16"/>
              </w:rPr>
              <w:t>in</w:t>
            </w:r>
            <w:r w:rsidRPr="00467D22">
              <w:rPr>
                <w:rFonts w:eastAsia="Arial" w:cs="Arial"/>
                <w:sz w:val="16"/>
                <w:szCs w:val="16"/>
              </w:rPr>
              <w:t>g</w:t>
            </w:r>
            <w:r w:rsidRPr="002301C3">
              <w:rPr>
                <w:rFonts w:eastAsia="Arial"/>
                <w:sz w:val="16"/>
              </w:rPr>
              <w:t xml:space="preserve"> </w:t>
            </w:r>
            <w:r w:rsidRPr="00467D22">
              <w:rPr>
                <w:rFonts w:eastAsia="Arial" w:cs="Arial"/>
                <w:sz w:val="16"/>
                <w:szCs w:val="16"/>
              </w:rPr>
              <w:t>HHS</w:t>
            </w:r>
            <w:r w:rsidRPr="00467D22" w:rsidR="00467D22">
              <w:rPr>
                <w:rFonts w:eastAsia="Arial" w:cs="Arial"/>
                <w:sz w:val="16"/>
                <w:szCs w:val="16"/>
              </w:rPr>
              <w:noBreakHyphen/>
            </w:r>
            <w:r w:rsidRPr="00467D22">
              <w:rPr>
                <w:rFonts w:eastAsia="Arial" w:cs="Arial"/>
                <w:sz w:val="16"/>
                <w:szCs w:val="16"/>
              </w:rPr>
              <w:t>ce</w:t>
            </w:r>
            <w:r w:rsidRPr="002301C3">
              <w:rPr>
                <w:rFonts w:eastAsia="Arial"/>
                <w:sz w:val="16"/>
              </w:rPr>
              <w:t>r</w:t>
            </w:r>
            <w:r w:rsidRPr="00467D22">
              <w:rPr>
                <w:rFonts w:eastAsia="Arial" w:cs="Arial"/>
                <w:sz w:val="16"/>
                <w:szCs w:val="16"/>
              </w:rPr>
              <w:t>t</w:t>
            </w:r>
            <w:r w:rsidRPr="002301C3">
              <w:rPr>
                <w:rFonts w:eastAsia="Arial"/>
                <w:sz w:val="16"/>
              </w:rPr>
              <w:t>i</w:t>
            </w:r>
            <w:r w:rsidRPr="00467D22">
              <w:rPr>
                <w:rFonts w:eastAsia="Arial" w:cs="Arial"/>
                <w:sz w:val="16"/>
                <w:szCs w:val="16"/>
              </w:rPr>
              <w:t>f</w:t>
            </w:r>
            <w:r w:rsidRPr="002301C3">
              <w:rPr>
                <w:rFonts w:eastAsia="Arial"/>
                <w:sz w:val="16"/>
              </w:rPr>
              <w:t>i</w:t>
            </w:r>
            <w:r w:rsidRPr="00467D22">
              <w:rPr>
                <w:rFonts w:eastAsia="Arial" w:cs="Arial"/>
                <w:sz w:val="16"/>
                <w:szCs w:val="16"/>
              </w:rPr>
              <w:t>ed</w:t>
            </w:r>
            <w:r w:rsidRPr="002301C3">
              <w:rPr>
                <w:rFonts w:eastAsia="Arial"/>
                <w:sz w:val="16"/>
              </w:rPr>
              <w:t xml:space="preserve"> labor</w:t>
            </w:r>
            <w:r w:rsidRPr="00467D22">
              <w:rPr>
                <w:rFonts w:eastAsia="Arial" w:cs="Arial"/>
                <w:sz w:val="16"/>
                <w:szCs w:val="16"/>
              </w:rPr>
              <w:t>a</w:t>
            </w:r>
            <w:r w:rsidRPr="002301C3">
              <w:rPr>
                <w:rFonts w:eastAsia="Arial"/>
                <w:sz w:val="16"/>
              </w:rPr>
              <w:t>to</w:t>
            </w:r>
            <w:r w:rsidRPr="00467D22">
              <w:rPr>
                <w:rFonts w:eastAsia="Arial" w:cs="Arial"/>
                <w:sz w:val="16"/>
                <w:szCs w:val="16"/>
              </w:rPr>
              <w:t>r</w:t>
            </w:r>
            <w:r w:rsidRPr="002301C3">
              <w:rPr>
                <w:rFonts w:eastAsia="Arial"/>
                <w:sz w:val="16"/>
              </w:rPr>
              <w:t>ies)</w:t>
            </w:r>
          </w:p>
        </w:tc>
        <w:tc>
          <w:tcPr>
            <w:tcW w:w="3780" w:type="dxa"/>
            <w:shd w:val="clear" w:color="auto" w:fill="auto"/>
            <w:tcMar>
              <w:left w:w="58" w:type="dxa"/>
              <w:right w:w="58" w:type="dxa"/>
            </w:tcMar>
            <w:vAlign w:val="center"/>
          </w:tcPr>
          <w:p w:rsidRPr="00467D22" w:rsidR="008C0DF3" w:rsidP="008C0DF3" w:rsidRDefault="008C0DF3" w14:paraId="16C491AD" w14:textId="77777777">
            <w:pPr>
              <w:rPr>
                <w:rFonts w:cs="Arial"/>
                <w:sz w:val="16"/>
                <w:szCs w:val="16"/>
              </w:rPr>
            </w:pPr>
            <w:r w:rsidRPr="00467D22">
              <w:rPr>
                <w:rFonts w:cs="Arial"/>
                <w:sz w:val="16"/>
                <w:szCs w:val="16"/>
              </w:rPr>
              <w:t xml:space="preserve">Number of BPTSs submitted per site per year </w:t>
            </w:r>
          </w:p>
          <w:p w:rsidRPr="00467D22" w:rsidR="008C0DF3" w:rsidP="008C0DF3" w:rsidRDefault="008C0DF3" w14:paraId="07116FCF" w14:textId="63B14A66">
            <w:pPr>
              <w:rPr>
                <w:rFonts w:cs="Arial"/>
                <w:sz w:val="16"/>
                <w:szCs w:val="16"/>
              </w:rPr>
            </w:pPr>
            <w:r w:rsidRPr="00467D22">
              <w:rPr>
                <w:rFonts w:cs="Arial"/>
                <w:sz w:val="16"/>
                <w:szCs w:val="16"/>
              </w:rPr>
              <w:t>(1 BPTS per quarter)</w:t>
            </w:r>
          </w:p>
        </w:tc>
        <w:tc>
          <w:tcPr>
            <w:tcW w:w="720" w:type="dxa"/>
            <w:tcBorders>
              <w:right w:val="single" w:color="auto" w:sz="4" w:space="0"/>
            </w:tcBorders>
            <w:shd w:val="clear" w:color="auto" w:fill="auto"/>
            <w:tcMar>
              <w:left w:w="58" w:type="dxa"/>
              <w:right w:w="58" w:type="dxa"/>
            </w:tcMar>
            <w:vAlign w:val="center"/>
          </w:tcPr>
          <w:p w:rsidRPr="00467D22" w:rsidR="008C0DF3" w:rsidP="008C0DF3" w:rsidRDefault="008C0DF3" w14:paraId="42FB0FB9" w14:textId="23801228">
            <w:pPr>
              <w:jc w:val="right"/>
              <w:rPr>
                <w:rFonts w:cs="Arial"/>
                <w:sz w:val="16"/>
                <w:szCs w:val="16"/>
              </w:rPr>
            </w:pPr>
            <w:r w:rsidRPr="00467D22">
              <w:rPr>
                <w:rFonts w:cs="Arial"/>
                <w:sz w:val="16"/>
                <w:szCs w:val="16"/>
              </w:rPr>
              <w:t>4</w:t>
            </w:r>
          </w:p>
        </w:tc>
        <w:tc>
          <w:tcPr>
            <w:tcW w:w="815"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467D22" w:rsidR="008C0DF3" w:rsidP="008C0DF3" w:rsidRDefault="008C0DF3" w14:paraId="3496F689" w14:textId="29210357">
            <w:pPr>
              <w:jc w:val="right"/>
              <w:rPr>
                <w:rFonts w:cs="Arial"/>
                <w:sz w:val="16"/>
                <w:szCs w:val="16"/>
              </w:rPr>
            </w:pPr>
            <w:r w:rsidRPr="00467D22">
              <w:rPr>
                <w:rFonts w:cs="Arial"/>
                <w:sz w:val="16"/>
                <w:szCs w:val="16"/>
              </w:rPr>
              <w:t>($2</w:t>
            </w:r>
            <w:r w:rsidRPr="00467D22" w:rsidR="00A77329">
              <w:rPr>
                <w:rFonts w:cs="Arial"/>
                <w:sz w:val="16"/>
                <w:szCs w:val="16"/>
              </w:rPr>
              <w:t>88</w:t>
            </w:r>
            <w:r w:rsidRPr="00467D22">
              <w:rPr>
                <w:rFonts w:cs="Arial"/>
                <w:sz w:val="16"/>
                <w:szCs w:val="16"/>
              </w:rPr>
              <w:t>)</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467D22" w:rsidR="008C0DF3" w:rsidP="008C0DF3" w:rsidRDefault="008C0DF3" w14:paraId="1E7CC6CE" w14:textId="177FAC53">
            <w:pPr>
              <w:jc w:val="right"/>
              <w:rPr>
                <w:rFonts w:cs="Arial"/>
                <w:sz w:val="16"/>
                <w:szCs w:val="16"/>
              </w:rPr>
            </w:pPr>
            <w:r w:rsidRPr="00467D22">
              <w:rPr>
                <w:rFonts w:cs="Arial"/>
                <w:sz w:val="16"/>
                <w:szCs w:val="16"/>
              </w:rPr>
              <w:t>56</w:t>
            </w:r>
          </w:p>
        </w:tc>
        <w:tc>
          <w:tcPr>
            <w:tcW w:w="1080"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467D22" w:rsidR="008C0DF3" w:rsidP="008C0DF3" w:rsidRDefault="008C0DF3" w14:paraId="33E388EE" w14:textId="7289E8D5">
            <w:pPr>
              <w:jc w:val="right"/>
              <w:rPr>
                <w:rFonts w:cs="Arial"/>
                <w:sz w:val="16"/>
                <w:szCs w:val="16"/>
              </w:rPr>
            </w:pPr>
            <w:r w:rsidRPr="00467D22">
              <w:rPr>
                <w:rFonts w:cs="Arial"/>
                <w:sz w:val="16"/>
                <w:szCs w:val="16"/>
              </w:rPr>
              <w:t>($16,</w:t>
            </w:r>
            <w:r w:rsidRPr="00467D22" w:rsidR="00A77329">
              <w:rPr>
                <w:rFonts w:cs="Arial"/>
                <w:sz w:val="16"/>
                <w:szCs w:val="16"/>
              </w:rPr>
              <w:t>147</w:t>
            </w:r>
            <w:r w:rsidRPr="00467D22">
              <w:rPr>
                <w:rFonts w:cs="Arial"/>
                <w:sz w:val="16"/>
                <w:szCs w:val="16"/>
              </w:rPr>
              <w:t>)</w:t>
            </w:r>
          </w:p>
        </w:tc>
      </w:tr>
      <w:tr w:rsidRPr="00467D22" w:rsidR="008C0DF3" w:rsidTr="008C0DF3" w14:paraId="41ED317D" w14:textId="77777777">
        <w:trPr>
          <w:trHeight w:val="251"/>
          <w:jc w:val="center"/>
        </w:trPr>
        <w:tc>
          <w:tcPr>
            <w:tcW w:w="2065" w:type="dxa"/>
            <w:vMerge/>
            <w:shd w:val="clear" w:color="auto" w:fill="auto"/>
            <w:tcMar>
              <w:left w:w="58" w:type="dxa"/>
              <w:right w:w="58" w:type="dxa"/>
            </w:tcMar>
            <w:vAlign w:val="center"/>
          </w:tcPr>
          <w:p w:rsidRPr="00467D22" w:rsidR="008C0DF3" w:rsidP="008C0DF3" w:rsidRDefault="008C0DF3" w14:paraId="5E80ED1C" w14:textId="77777777">
            <w:pPr>
              <w:rPr>
                <w:rFonts w:cs="Arial"/>
                <w:sz w:val="16"/>
                <w:szCs w:val="16"/>
              </w:rPr>
            </w:pPr>
          </w:p>
        </w:tc>
        <w:tc>
          <w:tcPr>
            <w:tcW w:w="3780" w:type="dxa"/>
            <w:shd w:val="clear" w:color="auto" w:fill="auto"/>
            <w:tcMar>
              <w:left w:w="58" w:type="dxa"/>
              <w:right w:w="58" w:type="dxa"/>
            </w:tcMar>
            <w:vAlign w:val="center"/>
          </w:tcPr>
          <w:p w:rsidRPr="00467D22" w:rsidR="008C0DF3" w:rsidP="008C0DF3" w:rsidRDefault="008C0DF3" w14:paraId="1315447C" w14:textId="3A256FF9">
            <w:pPr>
              <w:rPr>
                <w:rFonts w:cs="Arial"/>
                <w:sz w:val="16"/>
                <w:szCs w:val="16"/>
              </w:rPr>
            </w:pPr>
            <w:r w:rsidRPr="00467D22">
              <w:rPr>
                <w:rFonts w:cs="Arial"/>
                <w:sz w:val="16"/>
                <w:szCs w:val="16"/>
              </w:rPr>
              <w:t>Cost per BPTS</w:t>
            </w:r>
          </w:p>
        </w:tc>
        <w:tc>
          <w:tcPr>
            <w:tcW w:w="720" w:type="dxa"/>
            <w:tcBorders>
              <w:right w:val="single" w:color="auto" w:sz="4" w:space="0"/>
            </w:tcBorders>
            <w:shd w:val="clear" w:color="auto" w:fill="auto"/>
            <w:tcMar>
              <w:left w:w="58" w:type="dxa"/>
              <w:right w:w="58" w:type="dxa"/>
            </w:tcMar>
            <w:vAlign w:val="center"/>
          </w:tcPr>
          <w:p w:rsidRPr="00467D22" w:rsidR="008C0DF3" w:rsidP="008C0DF3" w:rsidRDefault="008C0DF3" w14:paraId="31F0FF72" w14:textId="494563BF">
            <w:pPr>
              <w:jc w:val="right"/>
              <w:rPr>
                <w:rFonts w:cs="Arial"/>
                <w:sz w:val="16"/>
                <w:szCs w:val="16"/>
              </w:rPr>
            </w:pPr>
            <w:r w:rsidRPr="00467D22">
              <w:rPr>
                <w:rFonts w:cs="Arial"/>
                <w:sz w:val="16"/>
                <w:szCs w:val="16"/>
              </w:rPr>
              <w:t>$60.00</w:t>
            </w:r>
          </w:p>
        </w:tc>
        <w:tc>
          <w:tcPr>
            <w:tcW w:w="815" w:type="dxa"/>
            <w:tcBorders>
              <w:top w:val="single" w:color="auto" w:sz="4" w:space="0"/>
              <w:left w:val="single" w:color="auto" w:sz="4" w:space="0"/>
              <w:bottom w:val="nil"/>
              <w:right w:val="nil"/>
            </w:tcBorders>
            <w:shd w:val="clear" w:color="auto" w:fill="auto"/>
            <w:tcMar>
              <w:left w:w="58" w:type="dxa"/>
              <w:right w:w="58" w:type="dxa"/>
            </w:tcMar>
            <w:vAlign w:val="center"/>
          </w:tcPr>
          <w:p w:rsidRPr="00467D22" w:rsidR="008C0DF3" w:rsidP="008C0DF3" w:rsidRDefault="008C0DF3" w14:paraId="05848D50" w14:textId="77777777">
            <w:pPr>
              <w:jc w:val="right"/>
              <w:rPr>
                <w:rFonts w:cs="Arial"/>
                <w:sz w:val="16"/>
                <w:szCs w:val="16"/>
              </w:rPr>
            </w:pPr>
          </w:p>
        </w:tc>
        <w:tc>
          <w:tcPr>
            <w:tcW w:w="900" w:type="dxa"/>
            <w:tcBorders>
              <w:top w:val="single" w:color="auto" w:sz="4" w:space="0"/>
              <w:left w:val="nil"/>
              <w:bottom w:val="nil"/>
              <w:right w:val="nil"/>
            </w:tcBorders>
            <w:shd w:val="clear" w:color="auto" w:fill="auto"/>
            <w:tcMar>
              <w:left w:w="58" w:type="dxa"/>
              <w:right w:w="58" w:type="dxa"/>
            </w:tcMar>
            <w:vAlign w:val="center"/>
          </w:tcPr>
          <w:p w:rsidRPr="00467D22" w:rsidR="008C0DF3" w:rsidP="008C0DF3" w:rsidRDefault="008C0DF3" w14:paraId="492DE1D2" w14:textId="77777777">
            <w:pPr>
              <w:jc w:val="right"/>
              <w:rPr>
                <w:rFonts w:cs="Arial"/>
                <w:sz w:val="16"/>
                <w:szCs w:val="16"/>
              </w:rPr>
            </w:pPr>
          </w:p>
        </w:tc>
        <w:tc>
          <w:tcPr>
            <w:tcW w:w="1080" w:type="dxa"/>
            <w:tcBorders>
              <w:top w:val="single" w:color="auto" w:sz="4" w:space="0"/>
              <w:left w:val="nil"/>
              <w:bottom w:val="nil"/>
              <w:right w:val="single" w:color="auto" w:sz="4" w:space="0"/>
            </w:tcBorders>
            <w:shd w:val="clear" w:color="auto" w:fill="auto"/>
            <w:tcMar>
              <w:left w:w="58" w:type="dxa"/>
              <w:right w:w="58" w:type="dxa"/>
            </w:tcMar>
            <w:vAlign w:val="center"/>
          </w:tcPr>
          <w:p w:rsidRPr="00467D22" w:rsidR="008C0DF3" w:rsidP="008C0DF3" w:rsidRDefault="008C0DF3" w14:paraId="003D1221" w14:textId="77777777">
            <w:pPr>
              <w:jc w:val="right"/>
              <w:rPr>
                <w:rFonts w:cs="Arial"/>
                <w:sz w:val="16"/>
                <w:szCs w:val="16"/>
              </w:rPr>
            </w:pPr>
          </w:p>
        </w:tc>
      </w:tr>
      <w:tr w:rsidRPr="00467D22" w:rsidR="008C0DF3" w:rsidTr="008C0DF3" w14:paraId="559600DE" w14:textId="77777777">
        <w:trPr>
          <w:trHeight w:val="440"/>
          <w:jc w:val="center"/>
        </w:trPr>
        <w:tc>
          <w:tcPr>
            <w:tcW w:w="2065" w:type="dxa"/>
            <w:vMerge/>
            <w:shd w:val="clear" w:color="auto" w:fill="auto"/>
            <w:tcMar>
              <w:left w:w="58" w:type="dxa"/>
              <w:right w:w="58" w:type="dxa"/>
            </w:tcMar>
            <w:vAlign w:val="center"/>
          </w:tcPr>
          <w:p w:rsidRPr="00467D22" w:rsidR="008C0DF3" w:rsidP="008C0DF3" w:rsidRDefault="008C0DF3" w14:paraId="43905669" w14:textId="77777777">
            <w:pPr>
              <w:rPr>
                <w:rFonts w:cs="Arial"/>
                <w:sz w:val="16"/>
                <w:szCs w:val="16"/>
              </w:rPr>
            </w:pPr>
          </w:p>
        </w:tc>
        <w:tc>
          <w:tcPr>
            <w:tcW w:w="3780" w:type="dxa"/>
            <w:shd w:val="clear" w:color="auto" w:fill="auto"/>
            <w:tcMar>
              <w:left w:w="58" w:type="dxa"/>
              <w:right w:w="58" w:type="dxa"/>
            </w:tcMar>
            <w:vAlign w:val="center"/>
          </w:tcPr>
          <w:p w:rsidR="002301C3" w:rsidP="005B187F" w:rsidRDefault="008C0DF3" w14:paraId="37FA25EA" w14:textId="77777777">
            <w:pPr>
              <w:rPr>
                <w:rFonts w:cs="Arial"/>
                <w:sz w:val="16"/>
                <w:szCs w:val="16"/>
              </w:rPr>
            </w:pPr>
            <w:r w:rsidRPr="00467D22">
              <w:rPr>
                <w:rFonts w:cs="Arial"/>
                <w:sz w:val="16"/>
                <w:szCs w:val="16"/>
              </w:rPr>
              <w:t>Testing for Ecstasy</w:t>
            </w:r>
            <w:r w:rsidRPr="00467D22" w:rsidR="00AD7E07">
              <w:rPr>
                <w:rFonts w:cs="Arial"/>
                <w:sz w:val="16"/>
                <w:szCs w:val="16"/>
              </w:rPr>
              <w:t xml:space="preserve"> drugs</w:t>
            </w:r>
            <w:r w:rsidR="005B187F">
              <w:rPr>
                <w:rFonts w:cs="Arial"/>
                <w:sz w:val="16"/>
                <w:szCs w:val="16"/>
              </w:rPr>
              <w:t xml:space="preserve"> </w:t>
            </w:r>
          </w:p>
          <w:p w:rsidRPr="00467D22" w:rsidR="008C0DF3" w:rsidP="005B187F" w:rsidRDefault="008C0DF3" w14:paraId="7B2D7D91" w14:textId="02BA1667">
            <w:pPr>
              <w:rPr>
                <w:rFonts w:cs="Arial"/>
                <w:sz w:val="16"/>
                <w:szCs w:val="16"/>
              </w:rPr>
            </w:pPr>
            <w:r w:rsidRPr="00467D22">
              <w:rPr>
                <w:rFonts w:cs="Arial"/>
                <w:sz w:val="16"/>
                <w:szCs w:val="16"/>
              </w:rPr>
              <w:t>(sites only using an HHS</w:t>
            </w:r>
            <w:r w:rsidR="005B187F">
              <w:rPr>
                <w:rFonts w:cs="Arial"/>
                <w:sz w:val="16"/>
                <w:szCs w:val="16"/>
              </w:rPr>
              <w:noBreakHyphen/>
            </w:r>
            <w:r w:rsidRPr="00467D22">
              <w:rPr>
                <w:rFonts w:cs="Arial"/>
                <w:sz w:val="16"/>
                <w:szCs w:val="16"/>
              </w:rPr>
              <w:t>certified laboratory)</w:t>
            </w:r>
          </w:p>
        </w:tc>
        <w:tc>
          <w:tcPr>
            <w:tcW w:w="720" w:type="dxa"/>
            <w:tcBorders>
              <w:right w:val="single" w:color="auto" w:sz="4" w:space="0"/>
            </w:tcBorders>
            <w:shd w:val="clear" w:color="auto" w:fill="auto"/>
            <w:tcMar>
              <w:left w:w="58" w:type="dxa"/>
              <w:right w:w="58" w:type="dxa"/>
            </w:tcMar>
            <w:vAlign w:val="center"/>
          </w:tcPr>
          <w:p w:rsidRPr="00467D22" w:rsidR="008C0DF3" w:rsidP="008C0DF3" w:rsidRDefault="008C0DF3" w14:paraId="1B3711D3" w14:textId="2FB6377B">
            <w:pPr>
              <w:jc w:val="right"/>
              <w:rPr>
                <w:rFonts w:cs="Arial"/>
                <w:sz w:val="16"/>
                <w:szCs w:val="16"/>
              </w:rPr>
            </w:pPr>
            <w:r w:rsidRPr="00467D22">
              <w:rPr>
                <w:rFonts w:cs="Arial"/>
                <w:sz w:val="16"/>
                <w:szCs w:val="16"/>
              </w:rPr>
              <w:t>$0.</w:t>
            </w:r>
            <w:r w:rsidRPr="00467D22" w:rsidR="00A77329">
              <w:rPr>
                <w:rFonts w:cs="Arial"/>
                <w:sz w:val="16"/>
                <w:szCs w:val="16"/>
              </w:rPr>
              <w:t>14</w:t>
            </w:r>
          </w:p>
        </w:tc>
        <w:tc>
          <w:tcPr>
            <w:tcW w:w="815" w:type="dxa"/>
            <w:tcBorders>
              <w:top w:val="nil"/>
              <w:left w:val="single" w:color="auto" w:sz="4" w:space="0"/>
              <w:bottom w:val="nil"/>
              <w:right w:val="nil"/>
            </w:tcBorders>
            <w:shd w:val="clear" w:color="auto" w:fill="auto"/>
            <w:tcMar>
              <w:left w:w="58" w:type="dxa"/>
              <w:right w:w="58" w:type="dxa"/>
            </w:tcMar>
            <w:vAlign w:val="center"/>
          </w:tcPr>
          <w:p w:rsidRPr="00467D22" w:rsidR="008C0DF3" w:rsidP="008C0DF3" w:rsidRDefault="008C0DF3" w14:paraId="2AB37FBB" w14:textId="77777777">
            <w:pPr>
              <w:jc w:val="right"/>
              <w:rPr>
                <w:rFonts w:cs="Arial"/>
                <w:sz w:val="16"/>
                <w:szCs w:val="16"/>
              </w:rPr>
            </w:pPr>
          </w:p>
        </w:tc>
        <w:tc>
          <w:tcPr>
            <w:tcW w:w="900" w:type="dxa"/>
            <w:tcBorders>
              <w:top w:val="nil"/>
              <w:left w:val="nil"/>
              <w:bottom w:val="nil"/>
              <w:right w:val="nil"/>
            </w:tcBorders>
            <w:shd w:val="clear" w:color="auto" w:fill="auto"/>
            <w:tcMar>
              <w:left w:w="58" w:type="dxa"/>
              <w:right w:w="58" w:type="dxa"/>
            </w:tcMar>
            <w:vAlign w:val="center"/>
          </w:tcPr>
          <w:p w:rsidRPr="00467D22" w:rsidR="008C0DF3" w:rsidP="008C0DF3" w:rsidRDefault="008C0DF3" w14:paraId="4337E5A0" w14:textId="77777777">
            <w:pPr>
              <w:jc w:val="right"/>
              <w:rPr>
                <w:rFonts w:cs="Arial"/>
                <w:sz w:val="16"/>
                <w:szCs w:val="16"/>
              </w:rPr>
            </w:pPr>
          </w:p>
        </w:tc>
        <w:tc>
          <w:tcPr>
            <w:tcW w:w="1080" w:type="dxa"/>
            <w:tcBorders>
              <w:top w:val="nil"/>
              <w:left w:val="nil"/>
              <w:bottom w:val="nil"/>
              <w:right w:val="single" w:color="auto" w:sz="4" w:space="0"/>
            </w:tcBorders>
            <w:shd w:val="clear" w:color="auto" w:fill="auto"/>
            <w:tcMar>
              <w:left w:w="58" w:type="dxa"/>
              <w:right w:w="58" w:type="dxa"/>
            </w:tcMar>
            <w:vAlign w:val="center"/>
          </w:tcPr>
          <w:p w:rsidRPr="00467D22" w:rsidR="008C0DF3" w:rsidP="008C0DF3" w:rsidRDefault="008C0DF3" w14:paraId="527109E9" w14:textId="77777777">
            <w:pPr>
              <w:jc w:val="right"/>
              <w:rPr>
                <w:rFonts w:cs="Arial"/>
                <w:sz w:val="16"/>
                <w:szCs w:val="16"/>
              </w:rPr>
            </w:pPr>
          </w:p>
        </w:tc>
      </w:tr>
      <w:tr w:rsidRPr="00467D22" w:rsidR="008C0DF3" w:rsidTr="008C0DF3" w14:paraId="1B661908" w14:textId="77777777">
        <w:trPr>
          <w:jc w:val="center"/>
        </w:trPr>
        <w:tc>
          <w:tcPr>
            <w:tcW w:w="2065" w:type="dxa"/>
            <w:vMerge/>
            <w:shd w:val="clear" w:color="auto" w:fill="auto"/>
            <w:tcMar>
              <w:left w:w="58" w:type="dxa"/>
              <w:right w:w="58" w:type="dxa"/>
            </w:tcMar>
            <w:vAlign w:val="center"/>
          </w:tcPr>
          <w:p w:rsidRPr="00467D22" w:rsidR="008C0DF3" w:rsidP="008C0DF3" w:rsidRDefault="008C0DF3" w14:paraId="76AC1A97" w14:textId="77777777">
            <w:pPr>
              <w:rPr>
                <w:rFonts w:cs="Arial"/>
                <w:sz w:val="16"/>
                <w:szCs w:val="16"/>
              </w:rPr>
            </w:pPr>
          </w:p>
        </w:tc>
        <w:tc>
          <w:tcPr>
            <w:tcW w:w="3780" w:type="dxa"/>
            <w:shd w:val="clear" w:color="auto" w:fill="auto"/>
            <w:tcMar>
              <w:left w:w="58" w:type="dxa"/>
              <w:right w:w="58" w:type="dxa"/>
            </w:tcMar>
            <w:vAlign w:val="center"/>
          </w:tcPr>
          <w:p w:rsidRPr="00467D22" w:rsidR="008C0DF3" w:rsidP="008C0DF3" w:rsidRDefault="008C0DF3" w14:paraId="4384F9CF" w14:textId="02BA4CEC">
            <w:pPr>
              <w:rPr>
                <w:rFonts w:cs="Arial"/>
                <w:sz w:val="16"/>
                <w:szCs w:val="16"/>
              </w:rPr>
            </w:pPr>
            <w:r w:rsidRPr="00467D22">
              <w:rPr>
                <w:rFonts w:cs="Arial"/>
                <w:sz w:val="16"/>
                <w:szCs w:val="16"/>
              </w:rPr>
              <w:t>Time to prepare and send a BPTS to the HHS</w:t>
            </w:r>
            <w:r w:rsidRPr="00467D22">
              <w:rPr>
                <w:rFonts w:cs="Arial"/>
                <w:sz w:val="16"/>
                <w:szCs w:val="16"/>
              </w:rPr>
              <w:noBreakHyphen/>
              <w:t>certified laboratory for testing, and review the laboratory's test results</w:t>
            </w:r>
          </w:p>
        </w:tc>
        <w:tc>
          <w:tcPr>
            <w:tcW w:w="720" w:type="dxa"/>
            <w:tcBorders>
              <w:right w:val="single" w:color="auto" w:sz="4" w:space="0"/>
            </w:tcBorders>
            <w:shd w:val="clear" w:color="auto" w:fill="auto"/>
            <w:tcMar>
              <w:left w:w="58" w:type="dxa"/>
              <w:right w:w="58" w:type="dxa"/>
            </w:tcMar>
            <w:vAlign w:val="center"/>
          </w:tcPr>
          <w:p w:rsidRPr="00467D22" w:rsidR="008C0DF3" w:rsidP="008C0DF3" w:rsidRDefault="008C0DF3" w14:paraId="5F7043DA" w14:textId="4025A56B">
            <w:pPr>
              <w:jc w:val="right"/>
              <w:rPr>
                <w:rFonts w:cs="Arial"/>
                <w:sz w:val="16"/>
                <w:szCs w:val="16"/>
              </w:rPr>
            </w:pPr>
            <w:r w:rsidRPr="00467D22">
              <w:rPr>
                <w:rFonts w:cs="Arial"/>
                <w:sz w:val="16"/>
                <w:szCs w:val="16"/>
              </w:rPr>
              <w:t>0.25 hour</w:t>
            </w:r>
          </w:p>
        </w:tc>
        <w:tc>
          <w:tcPr>
            <w:tcW w:w="815" w:type="dxa"/>
            <w:tcBorders>
              <w:top w:val="nil"/>
              <w:left w:val="single" w:color="auto" w:sz="4" w:space="0"/>
              <w:bottom w:val="nil"/>
              <w:right w:val="nil"/>
            </w:tcBorders>
            <w:shd w:val="clear" w:color="auto" w:fill="auto"/>
            <w:tcMar>
              <w:left w:w="58" w:type="dxa"/>
              <w:right w:w="58" w:type="dxa"/>
            </w:tcMar>
            <w:vAlign w:val="center"/>
          </w:tcPr>
          <w:p w:rsidRPr="00467D22" w:rsidR="008C0DF3" w:rsidP="008C0DF3" w:rsidRDefault="008C0DF3" w14:paraId="70E7F13D" w14:textId="77777777">
            <w:pPr>
              <w:jc w:val="right"/>
              <w:rPr>
                <w:rFonts w:cs="Arial"/>
                <w:sz w:val="16"/>
                <w:szCs w:val="16"/>
              </w:rPr>
            </w:pPr>
          </w:p>
        </w:tc>
        <w:tc>
          <w:tcPr>
            <w:tcW w:w="900" w:type="dxa"/>
            <w:tcBorders>
              <w:top w:val="nil"/>
              <w:left w:val="nil"/>
              <w:bottom w:val="nil"/>
              <w:right w:val="nil"/>
            </w:tcBorders>
            <w:shd w:val="clear" w:color="auto" w:fill="auto"/>
            <w:tcMar>
              <w:left w:w="58" w:type="dxa"/>
              <w:right w:w="58" w:type="dxa"/>
            </w:tcMar>
            <w:vAlign w:val="center"/>
          </w:tcPr>
          <w:p w:rsidRPr="00467D22" w:rsidR="008C0DF3" w:rsidP="008C0DF3" w:rsidRDefault="008C0DF3" w14:paraId="0D1E9258" w14:textId="77777777">
            <w:pPr>
              <w:jc w:val="right"/>
              <w:rPr>
                <w:rFonts w:cs="Arial"/>
                <w:sz w:val="16"/>
                <w:szCs w:val="16"/>
              </w:rPr>
            </w:pPr>
          </w:p>
        </w:tc>
        <w:tc>
          <w:tcPr>
            <w:tcW w:w="1080" w:type="dxa"/>
            <w:tcBorders>
              <w:top w:val="nil"/>
              <w:left w:val="nil"/>
              <w:bottom w:val="nil"/>
              <w:right w:val="single" w:color="auto" w:sz="4" w:space="0"/>
            </w:tcBorders>
            <w:shd w:val="clear" w:color="auto" w:fill="auto"/>
            <w:tcMar>
              <w:left w:w="58" w:type="dxa"/>
              <w:right w:w="58" w:type="dxa"/>
            </w:tcMar>
            <w:vAlign w:val="center"/>
          </w:tcPr>
          <w:p w:rsidRPr="00467D22" w:rsidR="008C0DF3" w:rsidP="008C0DF3" w:rsidRDefault="008C0DF3" w14:paraId="68E10412" w14:textId="77777777">
            <w:pPr>
              <w:jc w:val="right"/>
              <w:rPr>
                <w:rFonts w:cs="Arial"/>
                <w:sz w:val="16"/>
                <w:szCs w:val="16"/>
              </w:rPr>
            </w:pPr>
          </w:p>
        </w:tc>
      </w:tr>
      <w:tr w:rsidRPr="00467D22" w:rsidR="00242B5B" w:rsidTr="00E91C08" w14:paraId="44116010" w14:textId="77777777">
        <w:trPr>
          <w:trHeight w:val="269"/>
          <w:jc w:val="center"/>
        </w:trPr>
        <w:tc>
          <w:tcPr>
            <w:tcW w:w="2065" w:type="dxa"/>
            <w:vMerge/>
            <w:tcBorders>
              <w:bottom w:val="single" w:color="auto" w:sz="4" w:space="0"/>
            </w:tcBorders>
            <w:shd w:val="clear" w:color="auto" w:fill="auto"/>
            <w:tcMar>
              <w:left w:w="58" w:type="dxa"/>
              <w:right w:w="58" w:type="dxa"/>
            </w:tcMar>
            <w:vAlign w:val="center"/>
          </w:tcPr>
          <w:p w:rsidRPr="00467D22" w:rsidR="008C0DF3" w:rsidP="008C0DF3" w:rsidRDefault="008C0DF3" w14:paraId="36DB105D" w14:textId="77777777">
            <w:pPr>
              <w:rPr>
                <w:rFonts w:cs="Arial"/>
                <w:sz w:val="16"/>
                <w:szCs w:val="16"/>
              </w:rPr>
            </w:pPr>
          </w:p>
        </w:tc>
        <w:tc>
          <w:tcPr>
            <w:tcW w:w="3780" w:type="dxa"/>
            <w:tcBorders>
              <w:bottom w:val="single" w:color="auto" w:sz="4" w:space="0"/>
            </w:tcBorders>
            <w:shd w:val="clear" w:color="auto" w:fill="auto"/>
            <w:tcMar>
              <w:left w:w="58" w:type="dxa"/>
              <w:right w:w="58" w:type="dxa"/>
            </w:tcMar>
            <w:vAlign w:val="center"/>
          </w:tcPr>
          <w:p w:rsidRPr="00467D22" w:rsidR="008C0DF3" w:rsidP="008C0DF3" w:rsidRDefault="008C0DF3" w14:paraId="0D0F8C11" w14:textId="7F47CFBD">
            <w:pPr>
              <w:rPr>
                <w:rFonts w:cs="Arial"/>
                <w:sz w:val="16"/>
                <w:szCs w:val="16"/>
              </w:rPr>
            </w:pPr>
            <w:r w:rsidRPr="00467D22">
              <w:rPr>
                <w:rFonts w:cs="Arial"/>
                <w:sz w:val="16"/>
                <w:szCs w:val="16"/>
              </w:rPr>
              <w:t>FFD Manager wage rate</w:t>
            </w:r>
          </w:p>
        </w:tc>
        <w:tc>
          <w:tcPr>
            <w:tcW w:w="720" w:type="dxa"/>
            <w:tcBorders>
              <w:bottom w:val="single" w:color="auto" w:sz="4" w:space="0"/>
              <w:right w:val="single" w:color="auto" w:sz="4" w:space="0"/>
            </w:tcBorders>
            <w:shd w:val="clear" w:color="auto" w:fill="auto"/>
            <w:tcMar>
              <w:left w:w="58" w:type="dxa"/>
              <w:right w:w="58" w:type="dxa"/>
            </w:tcMar>
            <w:vAlign w:val="center"/>
          </w:tcPr>
          <w:p w:rsidRPr="00467D22" w:rsidR="008C0DF3" w:rsidP="008C0DF3" w:rsidRDefault="008C0DF3" w14:paraId="287D1835" w14:textId="00F97CA7">
            <w:pPr>
              <w:jc w:val="right"/>
              <w:rPr>
                <w:rFonts w:cs="Arial"/>
                <w:sz w:val="16"/>
                <w:szCs w:val="16"/>
              </w:rPr>
            </w:pPr>
            <w:r w:rsidRPr="00467D22">
              <w:rPr>
                <w:rFonts w:cs="Arial"/>
                <w:sz w:val="16"/>
                <w:szCs w:val="16"/>
              </w:rPr>
              <w:t>$47.79</w:t>
            </w:r>
          </w:p>
        </w:tc>
        <w:tc>
          <w:tcPr>
            <w:tcW w:w="815" w:type="dxa"/>
            <w:tcBorders>
              <w:top w:val="nil"/>
              <w:left w:val="single" w:color="auto" w:sz="4" w:space="0"/>
              <w:bottom w:val="single" w:color="auto" w:sz="4" w:space="0"/>
              <w:right w:val="nil"/>
            </w:tcBorders>
            <w:shd w:val="clear" w:color="auto" w:fill="auto"/>
            <w:tcMar>
              <w:left w:w="58" w:type="dxa"/>
              <w:right w:w="58" w:type="dxa"/>
            </w:tcMar>
            <w:vAlign w:val="center"/>
          </w:tcPr>
          <w:p w:rsidRPr="00467D22" w:rsidR="008C0DF3" w:rsidP="008C0DF3" w:rsidRDefault="008C0DF3" w14:paraId="62166D49" w14:textId="77777777">
            <w:pPr>
              <w:jc w:val="right"/>
              <w:rPr>
                <w:rFonts w:cs="Arial"/>
                <w:sz w:val="16"/>
                <w:szCs w:val="16"/>
              </w:rPr>
            </w:pPr>
          </w:p>
        </w:tc>
        <w:tc>
          <w:tcPr>
            <w:tcW w:w="900" w:type="dxa"/>
            <w:tcBorders>
              <w:top w:val="nil"/>
              <w:left w:val="nil"/>
              <w:bottom w:val="single" w:color="auto" w:sz="4" w:space="0"/>
              <w:right w:val="nil"/>
            </w:tcBorders>
            <w:shd w:val="clear" w:color="auto" w:fill="auto"/>
            <w:tcMar>
              <w:left w:w="58" w:type="dxa"/>
              <w:right w:w="58" w:type="dxa"/>
            </w:tcMar>
            <w:vAlign w:val="center"/>
          </w:tcPr>
          <w:p w:rsidRPr="00467D22" w:rsidR="008C0DF3" w:rsidP="008C0DF3" w:rsidRDefault="008C0DF3" w14:paraId="116B8707" w14:textId="77777777">
            <w:pPr>
              <w:jc w:val="right"/>
              <w:rPr>
                <w:rFonts w:cs="Arial"/>
                <w:sz w:val="16"/>
                <w:szCs w:val="16"/>
              </w:rPr>
            </w:pPr>
          </w:p>
        </w:tc>
        <w:tc>
          <w:tcPr>
            <w:tcW w:w="1080" w:type="dxa"/>
            <w:tcBorders>
              <w:top w:val="nil"/>
              <w:left w:val="nil"/>
              <w:bottom w:val="single" w:color="auto" w:sz="4" w:space="0"/>
              <w:right w:val="single" w:color="auto" w:sz="4" w:space="0"/>
            </w:tcBorders>
            <w:shd w:val="clear" w:color="auto" w:fill="auto"/>
            <w:tcMar>
              <w:left w:w="58" w:type="dxa"/>
              <w:right w:w="58" w:type="dxa"/>
            </w:tcMar>
            <w:vAlign w:val="center"/>
          </w:tcPr>
          <w:p w:rsidRPr="00467D22" w:rsidR="008C0DF3" w:rsidP="008C0DF3" w:rsidRDefault="008C0DF3" w14:paraId="6527D488" w14:textId="77777777">
            <w:pPr>
              <w:jc w:val="right"/>
              <w:rPr>
                <w:rFonts w:cs="Arial"/>
                <w:sz w:val="16"/>
                <w:szCs w:val="16"/>
              </w:rPr>
            </w:pPr>
          </w:p>
        </w:tc>
      </w:tr>
      <w:tr w:rsidRPr="00467D22" w:rsidR="008C0DF3" w:rsidTr="00E91C08" w14:paraId="0C51E200" w14:textId="77777777">
        <w:trPr>
          <w:jc w:val="center"/>
        </w:trPr>
        <w:tc>
          <w:tcPr>
            <w:tcW w:w="2065" w:type="dxa"/>
            <w:vMerge w:val="restart"/>
            <w:shd w:val="clear" w:color="auto" w:fill="FFFFFF" w:themeFill="background1"/>
            <w:tcMar>
              <w:left w:w="58" w:type="dxa"/>
              <w:right w:w="58" w:type="dxa"/>
            </w:tcMar>
            <w:vAlign w:val="center"/>
          </w:tcPr>
          <w:p w:rsidRPr="00467D22" w:rsidR="008C0DF3" w:rsidP="008C0DF3" w:rsidRDefault="008C0DF3" w14:paraId="4DA85413" w14:textId="77777777">
            <w:pPr>
              <w:ind w:left="122"/>
              <w:rPr>
                <w:rFonts w:eastAsia="Arial" w:cs="Arial"/>
                <w:sz w:val="16"/>
                <w:szCs w:val="16"/>
              </w:rPr>
            </w:pPr>
            <w:r w:rsidRPr="00467D22">
              <w:rPr>
                <w:rFonts w:cs="Arial"/>
                <w:sz w:val="16"/>
                <w:szCs w:val="16"/>
              </w:rPr>
              <w:t>BPTS for Ecstasy</w:t>
            </w:r>
            <w:r w:rsidRPr="00467D22">
              <w:rPr>
                <w:rFonts w:eastAsia="Arial" w:cs="Arial"/>
                <w:sz w:val="16"/>
                <w:szCs w:val="16"/>
              </w:rPr>
              <w:t xml:space="preserve"> </w:t>
            </w:r>
          </w:p>
          <w:p w:rsidRPr="00467D22" w:rsidR="008C0DF3" w:rsidP="008C0DF3" w:rsidRDefault="008C0DF3" w14:paraId="1123FA82" w14:textId="4DAE3039">
            <w:pPr>
              <w:ind w:left="122"/>
              <w:rPr>
                <w:rFonts w:cs="Arial"/>
                <w:sz w:val="16"/>
                <w:szCs w:val="16"/>
              </w:rPr>
            </w:pPr>
            <w:r w:rsidRPr="00467D22">
              <w:rPr>
                <w:rFonts w:eastAsia="Arial" w:cs="Arial"/>
                <w:sz w:val="16"/>
                <w:szCs w:val="16"/>
              </w:rPr>
              <w:t>(</w:t>
            </w:r>
            <w:r w:rsidRPr="00467D22">
              <w:rPr>
                <w:rFonts w:cs="Arial"/>
                <w:sz w:val="16"/>
                <w:szCs w:val="16"/>
              </w:rPr>
              <w:t>s</w:t>
            </w:r>
            <w:r w:rsidRPr="002301C3">
              <w:rPr>
                <w:sz w:val="16"/>
              </w:rPr>
              <w:t>i</w:t>
            </w:r>
            <w:r w:rsidRPr="00467D22">
              <w:rPr>
                <w:rFonts w:cs="Arial"/>
                <w:sz w:val="16"/>
                <w:szCs w:val="16"/>
              </w:rPr>
              <w:t>tes</w:t>
            </w:r>
            <w:r w:rsidRPr="002301C3">
              <w:rPr>
                <w:rFonts w:eastAsia="Arial"/>
                <w:sz w:val="16"/>
              </w:rPr>
              <w:t xml:space="preserve"> u</w:t>
            </w:r>
            <w:r w:rsidRPr="00467D22">
              <w:rPr>
                <w:rFonts w:eastAsia="Arial" w:cs="Arial"/>
                <w:sz w:val="16"/>
                <w:szCs w:val="16"/>
              </w:rPr>
              <w:t>s</w:t>
            </w:r>
            <w:r w:rsidRPr="002301C3">
              <w:rPr>
                <w:rFonts w:eastAsia="Arial"/>
                <w:sz w:val="16"/>
              </w:rPr>
              <w:t>in</w:t>
            </w:r>
            <w:r w:rsidRPr="00467D22">
              <w:rPr>
                <w:rFonts w:eastAsia="Arial" w:cs="Arial"/>
                <w:sz w:val="16"/>
                <w:szCs w:val="16"/>
              </w:rPr>
              <w:t>g</w:t>
            </w:r>
            <w:r w:rsidRPr="002301C3">
              <w:rPr>
                <w:rFonts w:eastAsia="Arial"/>
                <w:sz w:val="16"/>
              </w:rPr>
              <w:t xml:space="preserve"> LTFs)</w:t>
            </w:r>
          </w:p>
        </w:tc>
        <w:tc>
          <w:tcPr>
            <w:tcW w:w="3780" w:type="dxa"/>
            <w:shd w:val="clear" w:color="auto" w:fill="FFFFFF" w:themeFill="background1"/>
            <w:tcMar>
              <w:left w:w="58" w:type="dxa"/>
              <w:right w:w="58" w:type="dxa"/>
            </w:tcMar>
            <w:vAlign w:val="center"/>
          </w:tcPr>
          <w:p w:rsidRPr="00467D22" w:rsidR="008C0DF3" w:rsidP="008C0DF3" w:rsidRDefault="008C0DF3" w14:paraId="05DBD192" w14:textId="4171913C">
            <w:pPr>
              <w:rPr>
                <w:rFonts w:cs="Arial"/>
                <w:sz w:val="16"/>
                <w:szCs w:val="16"/>
              </w:rPr>
            </w:pPr>
            <w:r w:rsidRPr="00467D22">
              <w:rPr>
                <w:rFonts w:cs="Arial"/>
                <w:sz w:val="16"/>
                <w:szCs w:val="16"/>
              </w:rPr>
              <w:t xml:space="preserve">Number of BPTSs submitted per site per year </w:t>
            </w:r>
          </w:p>
          <w:p w:rsidRPr="00467D22" w:rsidR="008C0DF3" w:rsidP="008C0DF3" w:rsidRDefault="008C0DF3" w14:paraId="2C4E1370" w14:textId="38B4B3E4">
            <w:pPr>
              <w:rPr>
                <w:rFonts w:cs="Arial"/>
                <w:sz w:val="16"/>
                <w:szCs w:val="16"/>
              </w:rPr>
            </w:pPr>
            <w:r w:rsidRPr="00467D22">
              <w:rPr>
                <w:rFonts w:cs="Arial"/>
                <w:sz w:val="16"/>
                <w:szCs w:val="16"/>
              </w:rPr>
              <w:t>(</w:t>
            </w:r>
            <w:r w:rsidRPr="00467D22" w:rsidR="003419A5">
              <w:rPr>
                <w:rFonts w:cs="Arial"/>
                <w:sz w:val="16"/>
                <w:szCs w:val="16"/>
              </w:rPr>
              <w:t>1</w:t>
            </w:r>
            <w:r w:rsidRPr="00467D22">
              <w:rPr>
                <w:rFonts w:cs="Arial"/>
                <w:sz w:val="16"/>
                <w:szCs w:val="16"/>
              </w:rPr>
              <w:t xml:space="preserve"> BPTS per facility per quarter)</w:t>
            </w:r>
          </w:p>
        </w:tc>
        <w:tc>
          <w:tcPr>
            <w:tcW w:w="720" w:type="dxa"/>
            <w:tcBorders>
              <w:right w:val="single" w:color="auto" w:sz="4" w:space="0"/>
            </w:tcBorders>
            <w:shd w:val="clear" w:color="auto" w:fill="FFFFFF" w:themeFill="background1"/>
            <w:tcMar>
              <w:left w:w="58" w:type="dxa"/>
              <w:right w:w="58" w:type="dxa"/>
            </w:tcMar>
            <w:vAlign w:val="center"/>
          </w:tcPr>
          <w:p w:rsidRPr="00467D22" w:rsidR="008C0DF3" w:rsidP="008C0DF3" w:rsidRDefault="003419A5" w14:paraId="4A4C6ABB" w14:textId="1A291E01">
            <w:pPr>
              <w:jc w:val="right"/>
              <w:rPr>
                <w:rFonts w:cs="Arial"/>
                <w:sz w:val="16"/>
                <w:szCs w:val="16"/>
              </w:rPr>
            </w:pPr>
            <w:r w:rsidRPr="00467D22">
              <w:rPr>
                <w:rFonts w:cs="Arial"/>
                <w:sz w:val="16"/>
                <w:szCs w:val="16"/>
              </w:rPr>
              <w:t>4</w:t>
            </w:r>
          </w:p>
        </w:tc>
        <w:tc>
          <w:tcPr>
            <w:tcW w:w="815"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467D22" w:rsidR="008C0DF3" w:rsidP="008C0DF3" w:rsidRDefault="008C0DF3" w14:paraId="70A766DD" w14:textId="6987E938">
            <w:pPr>
              <w:jc w:val="right"/>
              <w:rPr>
                <w:rFonts w:cs="Arial"/>
                <w:sz w:val="16"/>
                <w:szCs w:val="16"/>
              </w:rPr>
            </w:pPr>
            <w:r w:rsidRPr="00467D22">
              <w:rPr>
                <w:rFonts w:cs="Arial"/>
                <w:sz w:val="16"/>
                <w:szCs w:val="16"/>
              </w:rPr>
              <w:t>($</w:t>
            </w:r>
            <w:r w:rsidRPr="00467D22" w:rsidR="00AA39C6">
              <w:rPr>
                <w:rFonts w:cs="Arial"/>
                <w:sz w:val="16"/>
                <w:szCs w:val="16"/>
              </w:rPr>
              <w:t>403</w:t>
            </w:r>
            <w:r w:rsidRPr="00467D22">
              <w:rPr>
                <w:rFonts w:cs="Arial"/>
                <w:sz w:val="16"/>
                <w:szCs w:val="16"/>
              </w:rPr>
              <w:t>)</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467D22" w:rsidR="008C0DF3" w:rsidP="008C0DF3" w:rsidRDefault="008C0DF3" w14:paraId="612231CE" w14:textId="52F9735D">
            <w:pPr>
              <w:jc w:val="right"/>
              <w:rPr>
                <w:rFonts w:cs="Arial"/>
                <w:sz w:val="16"/>
                <w:szCs w:val="16"/>
              </w:rPr>
            </w:pPr>
            <w:r w:rsidRPr="00467D22">
              <w:rPr>
                <w:rFonts w:cs="Arial"/>
                <w:sz w:val="16"/>
                <w:szCs w:val="16"/>
              </w:rPr>
              <w:t>3</w:t>
            </w:r>
          </w:p>
        </w:tc>
        <w:tc>
          <w:tcPr>
            <w:tcW w:w="108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467D22" w:rsidR="008C0DF3" w:rsidP="008C0DF3" w:rsidRDefault="008C0DF3" w14:paraId="77DDA00C" w14:textId="48B2A517">
            <w:pPr>
              <w:jc w:val="right"/>
              <w:rPr>
                <w:rFonts w:cs="Arial"/>
                <w:sz w:val="16"/>
                <w:szCs w:val="16"/>
              </w:rPr>
            </w:pPr>
            <w:r w:rsidRPr="00467D22">
              <w:rPr>
                <w:rFonts w:cs="Arial"/>
                <w:sz w:val="16"/>
                <w:szCs w:val="16"/>
              </w:rPr>
              <w:t>($</w:t>
            </w:r>
            <w:r w:rsidRPr="00467D22" w:rsidR="00AA39C6">
              <w:rPr>
                <w:rFonts w:cs="Arial"/>
                <w:sz w:val="16"/>
                <w:szCs w:val="16"/>
              </w:rPr>
              <w:t>1,209)</w:t>
            </w:r>
          </w:p>
        </w:tc>
      </w:tr>
      <w:tr w:rsidRPr="00467D22" w:rsidR="008C0DF3" w:rsidTr="008C4FFB" w14:paraId="1B304786" w14:textId="77777777">
        <w:trPr>
          <w:jc w:val="center"/>
        </w:trPr>
        <w:tc>
          <w:tcPr>
            <w:tcW w:w="2065" w:type="dxa"/>
            <w:vMerge/>
            <w:shd w:val="clear" w:color="auto" w:fill="FFFFFF" w:themeFill="background1"/>
            <w:tcMar>
              <w:left w:w="58" w:type="dxa"/>
              <w:right w:w="58" w:type="dxa"/>
            </w:tcMar>
            <w:vAlign w:val="center"/>
          </w:tcPr>
          <w:p w:rsidRPr="00467D22" w:rsidR="008C0DF3" w:rsidP="008C0DF3" w:rsidRDefault="008C0DF3" w14:paraId="3C57D45F" w14:textId="77777777">
            <w:pPr>
              <w:ind w:left="122"/>
              <w:rPr>
                <w:rFonts w:cs="Arial"/>
                <w:sz w:val="16"/>
                <w:szCs w:val="16"/>
              </w:rPr>
            </w:pPr>
          </w:p>
        </w:tc>
        <w:tc>
          <w:tcPr>
            <w:tcW w:w="3780" w:type="dxa"/>
            <w:shd w:val="clear" w:color="auto" w:fill="FFFFFF" w:themeFill="background1"/>
            <w:tcMar>
              <w:left w:w="58" w:type="dxa"/>
              <w:right w:w="58" w:type="dxa"/>
            </w:tcMar>
            <w:vAlign w:val="center"/>
          </w:tcPr>
          <w:p w:rsidRPr="00467D22" w:rsidR="008C0DF3" w:rsidP="008C0DF3" w:rsidRDefault="008C0DF3" w14:paraId="107B0719" w14:textId="09476982">
            <w:pPr>
              <w:rPr>
                <w:rFonts w:cs="Arial"/>
                <w:sz w:val="16"/>
                <w:szCs w:val="16"/>
              </w:rPr>
            </w:pPr>
            <w:r w:rsidRPr="00467D22">
              <w:rPr>
                <w:rFonts w:cs="Arial"/>
                <w:sz w:val="16"/>
                <w:szCs w:val="16"/>
              </w:rPr>
              <w:t>Cost per BPTS test</w:t>
            </w:r>
          </w:p>
        </w:tc>
        <w:tc>
          <w:tcPr>
            <w:tcW w:w="720" w:type="dxa"/>
            <w:tcBorders>
              <w:right w:val="single" w:color="auto" w:sz="4" w:space="0"/>
            </w:tcBorders>
            <w:shd w:val="clear" w:color="auto" w:fill="FFFFFF" w:themeFill="background1"/>
            <w:tcMar>
              <w:left w:w="58" w:type="dxa"/>
              <w:right w:w="58" w:type="dxa"/>
            </w:tcMar>
            <w:vAlign w:val="center"/>
          </w:tcPr>
          <w:p w:rsidRPr="00467D22" w:rsidR="008C0DF3" w:rsidP="008C0DF3" w:rsidRDefault="008C0DF3" w14:paraId="5ACC019A" w14:textId="13A76217">
            <w:pPr>
              <w:jc w:val="right"/>
              <w:rPr>
                <w:rFonts w:cs="Arial"/>
                <w:sz w:val="16"/>
                <w:szCs w:val="16"/>
              </w:rPr>
            </w:pPr>
            <w:r w:rsidRPr="00467D22">
              <w:rPr>
                <w:rFonts w:cs="Arial"/>
                <w:sz w:val="16"/>
                <w:szCs w:val="16"/>
              </w:rPr>
              <w:t>$60.00</w:t>
            </w:r>
          </w:p>
        </w:tc>
        <w:tc>
          <w:tcPr>
            <w:tcW w:w="815"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467D22" w:rsidR="008C0DF3" w:rsidP="008C0DF3" w:rsidRDefault="008C0DF3" w14:paraId="5F6661A3" w14:textId="77777777">
            <w:pPr>
              <w:jc w:val="right"/>
              <w:rPr>
                <w:rFonts w:cs="Arial"/>
                <w:sz w:val="16"/>
                <w:szCs w:val="16"/>
              </w:rPr>
            </w:pPr>
          </w:p>
        </w:tc>
        <w:tc>
          <w:tcPr>
            <w:tcW w:w="900" w:type="dxa"/>
            <w:tcBorders>
              <w:top w:val="single" w:color="auto" w:sz="4" w:space="0"/>
              <w:left w:val="nil"/>
              <w:bottom w:val="nil"/>
              <w:right w:val="nil"/>
            </w:tcBorders>
            <w:shd w:val="clear" w:color="auto" w:fill="FFFFFF" w:themeFill="background1"/>
            <w:tcMar>
              <w:left w:w="58" w:type="dxa"/>
              <w:right w:w="58" w:type="dxa"/>
            </w:tcMar>
            <w:vAlign w:val="center"/>
          </w:tcPr>
          <w:p w:rsidRPr="00467D22" w:rsidR="008C0DF3" w:rsidP="008C0DF3" w:rsidRDefault="008C0DF3" w14:paraId="75BC8B3E" w14:textId="77777777">
            <w:pPr>
              <w:jc w:val="right"/>
              <w:rPr>
                <w:rFonts w:cs="Arial"/>
                <w:sz w:val="16"/>
                <w:szCs w:val="16"/>
              </w:rPr>
            </w:pPr>
          </w:p>
        </w:tc>
        <w:tc>
          <w:tcPr>
            <w:tcW w:w="108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467D22" w:rsidR="008C0DF3" w:rsidP="008C0DF3" w:rsidRDefault="008C0DF3" w14:paraId="5D36D257" w14:textId="77777777">
            <w:pPr>
              <w:jc w:val="right"/>
              <w:rPr>
                <w:rFonts w:cs="Arial"/>
                <w:sz w:val="16"/>
                <w:szCs w:val="16"/>
              </w:rPr>
            </w:pPr>
          </w:p>
        </w:tc>
      </w:tr>
      <w:tr w:rsidRPr="00467D22" w:rsidR="008C0DF3" w:rsidTr="008C4FFB" w14:paraId="773926FF" w14:textId="77777777">
        <w:trPr>
          <w:jc w:val="center"/>
        </w:trPr>
        <w:tc>
          <w:tcPr>
            <w:tcW w:w="2065" w:type="dxa"/>
            <w:vMerge/>
            <w:shd w:val="clear" w:color="auto" w:fill="FFFFFF" w:themeFill="background1"/>
            <w:tcMar>
              <w:left w:w="58" w:type="dxa"/>
              <w:right w:w="58" w:type="dxa"/>
            </w:tcMar>
            <w:vAlign w:val="center"/>
          </w:tcPr>
          <w:p w:rsidRPr="00467D22" w:rsidR="008C0DF3" w:rsidP="008C0DF3" w:rsidRDefault="008C0DF3" w14:paraId="26349315" w14:textId="77777777">
            <w:pPr>
              <w:ind w:left="122"/>
              <w:rPr>
                <w:rFonts w:cs="Arial"/>
                <w:sz w:val="16"/>
                <w:szCs w:val="16"/>
              </w:rPr>
            </w:pPr>
          </w:p>
        </w:tc>
        <w:tc>
          <w:tcPr>
            <w:tcW w:w="3780" w:type="dxa"/>
            <w:shd w:val="clear" w:color="auto" w:fill="FFFFFF" w:themeFill="background1"/>
            <w:tcMar>
              <w:left w:w="58" w:type="dxa"/>
              <w:right w:w="58" w:type="dxa"/>
            </w:tcMar>
            <w:vAlign w:val="center"/>
          </w:tcPr>
          <w:p w:rsidRPr="00467D22" w:rsidR="008C0DF3" w:rsidP="008C0DF3" w:rsidRDefault="008C0DF3" w14:paraId="49FB5755" w14:textId="3809730B">
            <w:pPr>
              <w:rPr>
                <w:rFonts w:cs="Arial"/>
                <w:sz w:val="16"/>
                <w:szCs w:val="16"/>
              </w:rPr>
            </w:pPr>
            <w:r w:rsidRPr="00467D22">
              <w:rPr>
                <w:rFonts w:cs="Arial"/>
                <w:sz w:val="16"/>
                <w:szCs w:val="16"/>
              </w:rPr>
              <w:t>Initial and confirmatory drug testing, HHS</w:t>
            </w:r>
            <w:r w:rsidRPr="00467D22">
              <w:rPr>
                <w:rFonts w:cs="Arial"/>
                <w:sz w:val="16"/>
                <w:szCs w:val="16"/>
              </w:rPr>
              <w:noBreakHyphen/>
              <w:t>certified laboratory (sites using an LTF for initial testing)</w:t>
            </w:r>
          </w:p>
        </w:tc>
        <w:tc>
          <w:tcPr>
            <w:tcW w:w="720" w:type="dxa"/>
            <w:tcBorders>
              <w:right w:val="single" w:color="auto" w:sz="4" w:space="0"/>
            </w:tcBorders>
            <w:shd w:val="clear" w:color="auto" w:fill="FFFFFF" w:themeFill="background1"/>
            <w:tcMar>
              <w:left w:w="58" w:type="dxa"/>
              <w:right w:w="58" w:type="dxa"/>
            </w:tcMar>
            <w:vAlign w:val="center"/>
          </w:tcPr>
          <w:p w:rsidRPr="00467D22" w:rsidR="008C0DF3" w:rsidP="008C0DF3" w:rsidRDefault="008C0DF3" w14:paraId="4A523564" w14:textId="757CDC7D">
            <w:pPr>
              <w:jc w:val="right"/>
              <w:rPr>
                <w:rFonts w:cs="Arial"/>
                <w:sz w:val="16"/>
                <w:szCs w:val="16"/>
              </w:rPr>
            </w:pPr>
            <w:r w:rsidRPr="00467D22">
              <w:rPr>
                <w:rFonts w:cs="Arial"/>
                <w:sz w:val="16"/>
                <w:szCs w:val="16"/>
              </w:rPr>
              <w:t>$</w:t>
            </w:r>
            <w:r w:rsidRPr="00467D22" w:rsidR="00E91C08">
              <w:rPr>
                <w:rFonts w:cs="Arial"/>
                <w:sz w:val="16"/>
                <w:szCs w:val="16"/>
              </w:rPr>
              <w:t>28.83</w:t>
            </w:r>
          </w:p>
        </w:tc>
        <w:tc>
          <w:tcPr>
            <w:tcW w:w="815" w:type="dxa"/>
            <w:tcBorders>
              <w:top w:val="nil"/>
              <w:left w:val="single" w:color="auto" w:sz="4" w:space="0"/>
              <w:bottom w:val="nil"/>
              <w:right w:val="nil"/>
            </w:tcBorders>
            <w:shd w:val="clear" w:color="auto" w:fill="FFFFFF" w:themeFill="background1"/>
            <w:tcMar>
              <w:left w:w="58" w:type="dxa"/>
              <w:right w:w="58" w:type="dxa"/>
            </w:tcMar>
            <w:vAlign w:val="center"/>
          </w:tcPr>
          <w:p w:rsidRPr="00467D22" w:rsidR="008C0DF3" w:rsidP="008C0DF3" w:rsidRDefault="008C0DF3" w14:paraId="4ED70B2E" w14:textId="77777777">
            <w:pPr>
              <w:jc w:val="right"/>
              <w:rPr>
                <w:rFonts w:cs="Arial"/>
                <w:sz w:val="16"/>
                <w:szCs w:val="16"/>
              </w:rPr>
            </w:pPr>
          </w:p>
        </w:tc>
        <w:tc>
          <w:tcPr>
            <w:tcW w:w="900" w:type="dxa"/>
            <w:tcBorders>
              <w:top w:val="nil"/>
              <w:left w:val="nil"/>
              <w:bottom w:val="nil"/>
              <w:right w:val="nil"/>
            </w:tcBorders>
            <w:shd w:val="clear" w:color="auto" w:fill="FFFFFF" w:themeFill="background1"/>
            <w:tcMar>
              <w:left w:w="58" w:type="dxa"/>
              <w:right w:w="58" w:type="dxa"/>
            </w:tcMar>
            <w:vAlign w:val="center"/>
          </w:tcPr>
          <w:p w:rsidRPr="00467D22" w:rsidR="008C0DF3" w:rsidP="008C0DF3" w:rsidRDefault="008C0DF3" w14:paraId="2AD4B2FD" w14:textId="77777777">
            <w:pPr>
              <w:jc w:val="right"/>
              <w:rPr>
                <w:rFonts w:cs="Arial"/>
                <w:sz w:val="16"/>
                <w:szCs w:val="16"/>
              </w:rPr>
            </w:pPr>
          </w:p>
        </w:tc>
        <w:tc>
          <w:tcPr>
            <w:tcW w:w="1080" w:type="dxa"/>
            <w:tcBorders>
              <w:top w:val="nil"/>
              <w:left w:val="nil"/>
              <w:bottom w:val="nil"/>
              <w:right w:val="single" w:color="auto" w:sz="4" w:space="0"/>
            </w:tcBorders>
            <w:shd w:val="clear" w:color="auto" w:fill="FFFFFF" w:themeFill="background1"/>
            <w:tcMar>
              <w:left w:w="58" w:type="dxa"/>
              <w:right w:w="58" w:type="dxa"/>
            </w:tcMar>
            <w:vAlign w:val="center"/>
          </w:tcPr>
          <w:p w:rsidRPr="00467D22" w:rsidR="008C0DF3" w:rsidP="008C0DF3" w:rsidRDefault="008C0DF3" w14:paraId="3CE34E21" w14:textId="77777777">
            <w:pPr>
              <w:jc w:val="right"/>
              <w:rPr>
                <w:rFonts w:cs="Arial"/>
                <w:sz w:val="16"/>
                <w:szCs w:val="16"/>
              </w:rPr>
            </w:pPr>
          </w:p>
        </w:tc>
      </w:tr>
      <w:tr w:rsidRPr="00467D22" w:rsidR="008C0DF3" w:rsidTr="008C4FFB" w14:paraId="47DA826B" w14:textId="77777777">
        <w:trPr>
          <w:jc w:val="center"/>
        </w:trPr>
        <w:tc>
          <w:tcPr>
            <w:tcW w:w="2065" w:type="dxa"/>
            <w:vMerge/>
            <w:shd w:val="clear" w:color="auto" w:fill="FFFFFF" w:themeFill="background1"/>
            <w:tcMar>
              <w:left w:w="58" w:type="dxa"/>
              <w:right w:w="58" w:type="dxa"/>
            </w:tcMar>
            <w:vAlign w:val="center"/>
          </w:tcPr>
          <w:p w:rsidRPr="00467D22" w:rsidR="008C0DF3" w:rsidP="008C0DF3" w:rsidRDefault="008C0DF3" w14:paraId="06F5FACD" w14:textId="37B9FAF4">
            <w:pPr>
              <w:ind w:left="122"/>
              <w:rPr>
                <w:rFonts w:cs="Arial"/>
                <w:sz w:val="16"/>
                <w:szCs w:val="16"/>
              </w:rPr>
            </w:pPr>
          </w:p>
        </w:tc>
        <w:tc>
          <w:tcPr>
            <w:tcW w:w="3780" w:type="dxa"/>
            <w:shd w:val="clear" w:color="auto" w:fill="FFFFFF" w:themeFill="background1"/>
            <w:tcMar>
              <w:left w:w="58" w:type="dxa"/>
              <w:right w:w="58" w:type="dxa"/>
            </w:tcMar>
            <w:vAlign w:val="center"/>
          </w:tcPr>
          <w:p w:rsidRPr="00467D22" w:rsidR="008C0DF3" w:rsidP="008C0DF3" w:rsidRDefault="008C0DF3" w14:paraId="25A34BF6" w14:textId="27BE9780">
            <w:pPr>
              <w:rPr>
                <w:rFonts w:cs="Arial"/>
                <w:sz w:val="16"/>
                <w:szCs w:val="16"/>
              </w:rPr>
            </w:pPr>
            <w:r w:rsidRPr="00467D22">
              <w:rPr>
                <w:rFonts w:cs="Arial"/>
                <w:sz w:val="16"/>
                <w:szCs w:val="16"/>
              </w:rPr>
              <w:t>Time to prepare and send a BPTS to the HHS</w:t>
            </w:r>
            <w:r w:rsidRPr="00467D22">
              <w:rPr>
                <w:rFonts w:cs="Arial"/>
                <w:sz w:val="16"/>
                <w:szCs w:val="16"/>
              </w:rPr>
              <w:noBreakHyphen/>
              <w:t>certified laboratory for testing, and review the laboratory's test results</w:t>
            </w:r>
          </w:p>
        </w:tc>
        <w:tc>
          <w:tcPr>
            <w:tcW w:w="720" w:type="dxa"/>
            <w:tcBorders>
              <w:right w:val="single" w:color="auto" w:sz="4" w:space="0"/>
            </w:tcBorders>
            <w:shd w:val="clear" w:color="auto" w:fill="FFFFFF" w:themeFill="background1"/>
            <w:tcMar>
              <w:left w:w="58" w:type="dxa"/>
              <w:right w:w="58" w:type="dxa"/>
            </w:tcMar>
            <w:vAlign w:val="center"/>
          </w:tcPr>
          <w:p w:rsidRPr="00467D22" w:rsidR="008C0DF3" w:rsidP="008C0DF3" w:rsidRDefault="008C0DF3" w14:paraId="04A5ECC5" w14:textId="55C6D0AE">
            <w:pPr>
              <w:jc w:val="right"/>
              <w:rPr>
                <w:rFonts w:cs="Arial"/>
                <w:sz w:val="16"/>
                <w:szCs w:val="16"/>
              </w:rPr>
            </w:pPr>
            <w:r w:rsidRPr="00467D22">
              <w:rPr>
                <w:rFonts w:cs="Arial"/>
                <w:sz w:val="16"/>
                <w:szCs w:val="16"/>
              </w:rPr>
              <w:t>0.25 hour</w:t>
            </w:r>
          </w:p>
        </w:tc>
        <w:tc>
          <w:tcPr>
            <w:tcW w:w="815" w:type="dxa"/>
            <w:tcBorders>
              <w:top w:val="nil"/>
              <w:left w:val="single" w:color="auto" w:sz="4" w:space="0"/>
              <w:bottom w:val="nil"/>
              <w:right w:val="nil"/>
            </w:tcBorders>
            <w:shd w:val="clear" w:color="auto" w:fill="FFFFFF" w:themeFill="background1"/>
            <w:tcMar>
              <w:left w:w="58" w:type="dxa"/>
              <w:right w:w="58" w:type="dxa"/>
            </w:tcMar>
            <w:vAlign w:val="center"/>
          </w:tcPr>
          <w:p w:rsidRPr="00467D22" w:rsidR="008C0DF3" w:rsidP="008C0DF3" w:rsidRDefault="008C0DF3" w14:paraId="6C78F138" w14:textId="03844BD7">
            <w:pPr>
              <w:jc w:val="right"/>
              <w:rPr>
                <w:rFonts w:cs="Arial"/>
                <w:sz w:val="16"/>
                <w:szCs w:val="16"/>
              </w:rPr>
            </w:pPr>
          </w:p>
        </w:tc>
        <w:tc>
          <w:tcPr>
            <w:tcW w:w="900" w:type="dxa"/>
            <w:tcBorders>
              <w:top w:val="nil"/>
              <w:left w:val="nil"/>
              <w:bottom w:val="nil"/>
              <w:right w:val="nil"/>
            </w:tcBorders>
            <w:shd w:val="clear" w:color="auto" w:fill="FFFFFF" w:themeFill="background1"/>
            <w:tcMar>
              <w:left w:w="58" w:type="dxa"/>
              <w:right w:w="58" w:type="dxa"/>
            </w:tcMar>
            <w:vAlign w:val="center"/>
          </w:tcPr>
          <w:p w:rsidRPr="00467D22" w:rsidR="008C0DF3" w:rsidP="008C0DF3" w:rsidRDefault="008C0DF3" w14:paraId="76CADF43" w14:textId="47EFF3A5">
            <w:pPr>
              <w:jc w:val="right"/>
              <w:rPr>
                <w:rFonts w:cs="Arial"/>
                <w:sz w:val="16"/>
                <w:szCs w:val="16"/>
              </w:rPr>
            </w:pPr>
          </w:p>
        </w:tc>
        <w:tc>
          <w:tcPr>
            <w:tcW w:w="1080" w:type="dxa"/>
            <w:tcBorders>
              <w:top w:val="nil"/>
              <w:left w:val="nil"/>
              <w:bottom w:val="nil"/>
              <w:right w:val="single" w:color="auto" w:sz="4" w:space="0"/>
            </w:tcBorders>
            <w:shd w:val="clear" w:color="auto" w:fill="FFFFFF" w:themeFill="background1"/>
            <w:tcMar>
              <w:left w:w="58" w:type="dxa"/>
              <w:right w:w="58" w:type="dxa"/>
            </w:tcMar>
            <w:vAlign w:val="center"/>
          </w:tcPr>
          <w:p w:rsidRPr="00467D22" w:rsidR="008C0DF3" w:rsidP="008C0DF3" w:rsidRDefault="008C0DF3" w14:paraId="5FE3F929" w14:textId="69C50F7C">
            <w:pPr>
              <w:jc w:val="right"/>
              <w:rPr>
                <w:rFonts w:cs="Arial"/>
                <w:sz w:val="16"/>
                <w:szCs w:val="16"/>
              </w:rPr>
            </w:pPr>
          </w:p>
        </w:tc>
      </w:tr>
      <w:tr w:rsidRPr="00467D22" w:rsidR="008C0DF3" w:rsidTr="008C4FFB" w14:paraId="1A9314C2" w14:textId="77777777">
        <w:trPr>
          <w:jc w:val="center"/>
        </w:trPr>
        <w:tc>
          <w:tcPr>
            <w:tcW w:w="2065" w:type="dxa"/>
            <w:vMerge/>
            <w:shd w:val="clear" w:color="auto" w:fill="FFFFFF" w:themeFill="background1"/>
            <w:tcMar>
              <w:left w:w="58" w:type="dxa"/>
              <w:right w:w="58" w:type="dxa"/>
            </w:tcMar>
            <w:vAlign w:val="center"/>
          </w:tcPr>
          <w:p w:rsidRPr="00467D22" w:rsidR="008C0DF3" w:rsidP="008C0DF3" w:rsidRDefault="008C0DF3" w14:paraId="24CA2B9F" w14:textId="77777777">
            <w:pPr>
              <w:rPr>
                <w:rFonts w:cs="Arial"/>
                <w:sz w:val="16"/>
                <w:szCs w:val="16"/>
              </w:rPr>
            </w:pPr>
          </w:p>
        </w:tc>
        <w:tc>
          <w:tcPr>
            <w:tcW w:w="3780" w:type="dxa"/>
            <w:shd w:val="clear" w:color="auto" w:fill="FFFFFF" w:themeFill="background1"/>
            <w:tcMar>
              <w:left w:w="58" w:type="dxa"/>
              <w:right w:w="58" w:type="dxa"/>
            </w:tcMar>
            <w:vAlign w:val="center"/>
          </w:tcPr>
          <w:p w:rsidRPr="00467D22" w:rsidR="008C0DF3" w:rsidP="008C0DF3" w:rsidRDefault="008C0DF3" w14:paraId="7AF84A0D" w14:textId="4740927B">
            <w:pPr>
              <w:rPr>
                <w:rFonts w:cs="Arial"/>
                <w:sz w:val="16"/>
                <w:szCs w:val="16"/>
              </w:rPr>
            </w:pPr>
            <w:r w:rsidRPr="00467D22">
              <w:rPr>
                <w:rFonts w:cs="Arial"/>
                <w:sz w:val="16"/>
                <w:szCs w:val="16"/>
              </w:rPr>
              <w:t>FFD Manager wage rate</w:t>
            </w:r>
          </w:p>
        </w:tc>
        <w:tc>
          <w:tcPr>
            <w:tcW w:w="720" w:type="dxa"/>
            <w:tcBorders>
              <w:right w:val="single" w:color="auto" w:sz="4" w:space="0"/>
            </w:tcBorders>
            <w:shd w:val="clear" w:color="auto" w:fill="FFFFFF" w:themeFill="background1"/>
            <w:tcMar>
              <w:left w:w="58" w:type="dxa"/>
              <w:right w:w="58" w:type="dxa"/>
            </w:tcMar>
            <w:vAlign w:val="center"/>
          </w:tcPr>
          <w:p w:rsidRPr="00467D22" w:rsidR="008C0DF3" w:rsidP="008C0DF3" w:rsidRDefault="008C0DF3" w14:paraId="223DC604" w14:textId="13404869">
            <w:pPr>
              <w:jc w:val="right"/>
              <w:rPr>
                <w:rFonts w:cs="Arial"/>
                <w:sz w:val="16"/>
                <w:szCs w:val="16"/>
              </w:rPr>
            </w:pPr>
            <w:r w:rsidRPr="00467D22">
              <w:rPr>
                <w:rFonts w:cs="Arial"/>
                <w:sz w:val="16"/>
                <w:szCs w:val="16"/>
              </w:rPr>
              <w:t>$47.79</w:t>
            </w:r>
          </w:p>
        </w:tc>
        <w:tc>
          <w:tcPr>
            <w:tcW w:w="815"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467D22" w:rsidR="008C0DF3" w:rsidP="008C0DF3" w:rsidRDefault="008C0DF3" w14:paraId="36E25382" w14:textId="77777777">
            <w:pPr>
              <w:jc w:val="right"/>
              <w:rPr>
                <w:rFonts w:cs="Arial"/>
                <w:sz w:val="16"/>
                <w:szCs w:val="16"/>
              </w:rPr>
            </w:pPr>
          </w:p>
        </w:tc>
        <w:tc>
          <w:tcPr>
            <w:tcW w:w="900" w:type="dxa"/>
            <w:tcBorders>
              <w:top w:val="nil"/>
              <w:left w:val="nil"/>
              <w:bottom w:val="single" w:color="auto" w:sz="4" w:space="0"/>
              <w:right w:val="nil"/>
            </w:tcBorders>
            <w:shd w:val="clear" w:color="auto" w:fill="FFFFFF" w:themeFill="background1"/>
            <w:tcMar>
              <w:left w:w="58" w:type="dxa"/>
              <w:right w:w="58" w:type="dxa"/>
            </w:tcMar>
            <w:vAlign w:val="center"/>
          </w:tcPr>
          <w:p w:rsidRPr="00467D22" w:rsidR="008C0DF3" w:rsidP="008C0DF3" w:rsidRDefault="008C0DF3" w14:paraId="23AA63B7" w14:textId="77777777">
            <w:pPr>
              <w:jc w:val="right"/>
              <w:rPr>
                <w:rFonts w:cs="Arial"/>
                <w:sz w:val="16"/>
                <w:szCs w:val="16"/>
              </w:rPr>
            </w:pPr>
          </w:p>
        </w:tc>
        <w:tc>
          <w:tcPr>
            <w:tcW w:w="108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467D22" w:rsidR="008C0DF3" w:rsidP="008C0DF3" w:rsidRDefault="008C0DF3" w14:paraId="5AC033E1" w14:textId="77777777">
            <w:pPr>
              <w:jc w:val="right"/>
              <w:rPr>
                <w:rFonts w:cs="Arial"/>
                <w:sz w:val="16"/>
                <w:szCs w:val="16"/>
              </w:rPr>
            </w:pPr>
          </w:p>
        </w:tc>
      </w:tr>
      <w:tr w:rsidRPr="00467D22" w:rsidR="00D04EBD" w:rsidTr="008C0DF3" w14:paraId="38B3803E" w14:textId="77777777">
        <w:trPr>
          <w:jc w:val="center"/>
        </w:trPr>
        <w:tc>
          <w:tcPr>
            <w:tcW w:w="2065" w:type="dxa"/>
            <w:vMerge w:val="restart"/>
            <w:tcMar>
              <w:left w:w="58" w:type="dxa"/>
              <w:right w:w="58" w:type="dxa"/>
            </w:tcMar>
            <w:vAlign w:val="center"/>
          </w:tcPr>
          <w:p w:rsidRPr="002301C3" w:rsidR="00D04EBD" w:rsidP="00D04EBD" w:rsidRDefault="00D04EBD" w14:paraId="7AC1375A" w14:textId="77777777">
            <w:pPr>
              <w:ind w:left="88" w:right="-20"/>
              <w:rPr>
                <w:rFonts w:eastAsia="Arial"/>
                <w:sz w:val="16"/>
              </w:rPr>
            </w:pPr>
            <w:r w:rsidRPr="00467D22">
              <w:rPr>
                <w:rFonts w:eastAsia="Arial" w:cs="Arial"/>
                <w:sz w:val="16"/>
                <w:szCs w:val="16"/>
              </w:rPr>
              <w:t>S</w:t>
            </w:r>
            <w:r w:rsidRPr="002301C3">
              <w:rPr>
                <w:rFonts w:eastAsia="Arial"/>
                <w:sz w:val="16"/>
              </w:rPr>
              <w:t>u</w:t>
            </w:r>
            <w:r w:rsidRPr="00467D22">
              <w:rPr>
                <w:rFonts w:eastAsia="Arial" w:cs="Arial"/>
                <w:sz w:val="16"/>
                <w:szCs w:val="16"/>
              </w:rPr>
              <w:t>b</w:t>
            </w:r>
            <w:r w:rsidRPr="002301C3">
              <w:rPr>
                <w:rFonts w:eastAsia="Arial"/>
                <w:sz w:val="16"/>
              </w:rPr>
              <w:t>s</w:t>
            </w:r>
            <w:r w:rsidRPr="00467D22">
              <w:rPr>
                <w:rFonts w:eastAsia="Arial" w:cs="Arial"/>
                <w:sz w:val="16"/>
                <w:szCs w:val="16"/>
              </w:rPr>
              <w:t>e</w:t>
            </w:r>
            <w:r w:rsidRPr="002301C3">
              <w:rPr>
                <w:rFonts w:eastAsia="Arial"/>
                <w:sz w:val="16"/>
              </w:rPr>
              <w:t>quen</w:t>
            </w:r>
            <w:r w:rsidRPr="00467D22">
              <w:rPr>
                <w:rFonts w:eastAsia="Arial" w:cs="Arial"/>
                <w:sz w:val="16"/>
                <w:szCs w:val="16"/>
              </w:rPr>
              <w:t>t</w:t>
            </w:r>
            <w:r w:rsidRPr="002301C3">
              <w:rPr>
                <w:rFonts w:eastAsia="Arial"/>
                <w:sz w:val="16"/>
              </w:rPr>
              <w:t xml:space="preserve"> </w:t>
            </w:r>
            <w:r w:rsidRPr="00467D22">
              <w:rPr>
                <w:rFonts w:eastAsia="Arial" w:cs="Arial"/>
                <w:sz w:val="16"/>
                <w:szCs w:val="16"/>
              </w:rPr>
              <w:t>a</w:t>
            </w:r>
            <w:r w:rsidRPr="002301C3">
              <w:rPr>
                <w:rFonts w:eastAsia="Arial"/>
                <w:sz w:val="16"/>
              </w:rPr>
              <w:t>c</w:t>
            </w:r>
            <w:r w:rsidRPr="00467D22">
              <w:rPr>
                <w:rFonts w:eastAsia="Arial" w:cs="Arial"/>
                <w:sz w:val="16"/>
                <w:szCs w:val="16"/>
              </w:rPr>
              <w:t>t</w:t>
            </w:r>
            <w:r w:rsidRPr="002301C3">
              <w:rPr>
                <w:rFonts w:eastAsia="Arial"/>
                <w:sz w:val="16"/>
              </w:rPr>
              <w:t>ion</w:t>
            </w:r>
            <w:r w:rsidRPr="00467D22">
              <w:rPr>
                <w:rFonts w:eastAsia="Arial" w:cs="Arial"/>
                <w:sz w:val="16"/>
                <w:szCs w:val="16"/>
              </w:rPr>
              <w:t>s</w:t>
            </w:r>
            <w:r w:rsidRPr="002301C3">
              <w:rPr>
                <w:rFonts w:eastAsia="Arial"/>
                <w:sz w:val="16"/>
              </w:rPr>
              <w:t xml:space="preserve"> </w:t>
            </w:r>
            <w:r w:rsidRPr="00467D22">
              <w:rPr>
                <w:rFonts w:eastAsia="Arial" w:cs="Arial"/>
                <w:sz w:val="16"/>
                <w:szCs w:val="16"/>
              </w:rPr>
              <w:t>by</w:t>
            </w:r>
            <w:r w:rsidRPr="002301C3">
              <w:rPr>
                <w:rFonts w:eastAsia="Arial"/>
                <w:sz w:val="16"/>
              </w:rPr>
              <w:t xml:space="preserve"> </w:t>
            </w:r>
            <w:r w:rsidRPr="00467D22">
              <w:rPr>
                <w:rFonts w:eastAsia="Arial" w:cs="Arial"/>
                <w:sz w:val="16"/>
                <w:szCs w:val="16"/>
              </w:rPr>
              <w:t>FFD</w:t>
            </w:r>
            <w:r w:rsidRPr="002301C3">
              <w:rPr>
                <w:rFonts w:eastAsia="Arial"/>
                <w:sz w:val="16"/>
              </w:rPr>
              <w:t xml:space="preserve"> program</w:t>
            </w:r>
            <w:r w:rsidRPr="00467D22">
              <w:rPr>
                <w:rFonts w:eastAsia="Arial" w:cs="Arial"/>
                <w:sz w:val="16"/>
                <w:szCs w:val="16"/>
              </w:rPr>
              <w:t xml:space="preserve"> per</w:t>
            </w:r>
            <w:r w:rsidRPr="002301C3">
              <w:rPr>
                <w:rFonts w:eastAsia="Arial"/>
                <w:sz w:val="16"/>
              </w:rPr>
              <w:t>so</w:t>
            </w:r>
            <w:r w:rsidRPr="00467D22">
              <w:rPr>
                <w:rFonts w:eastAsia="Arial" w:cs="Arial"/>
                <w:sz w:val="16"/>
                <w:szCs w:val="16"/>
              </w:rPr>
              <w:t>n</w:t>
            </w:r>
            <w:r w:rsidRPr="002301C3">
              <w:rPr>
                <w:rFonts w:eastAsia="Arial"/>
                <w:sz w:val="16"/>
              </w:rPr>
              <w:t>n</w:t>
            </w:r>
            <w:r w:rsidRPr="00467D22">
              <w:rPr>
                <w:rFonts w:eastAsia="Arial" w:cs="Arial"/>
                <w:sz w:val="16"/>
                <w:szCs w:val="16"/>
              </w:rPr>
              <w:t>el</w:t>
            </w:r>
            <w:r w:rsidRPr="002301C3">
              <w:rPr>
                <w:rFonts w:eastAsia="Arial"/>
                <w:sz w:val="16"/>
              </w:rPr>
              <w:t xml:space="preserve"> </w:t>
            </w:r>
            <w:r w:rsidRPr="00467D22">
              <w:rPr>
                <w:rFonts w:eastAsia="Arial" w:cs="Arial"/>
                <w:sz w:val="16"/>
                <w:szCs w:val="16"/>
              </w:rPr>
              <w:t>for</w:t>
            </w:r>
            <w:r w:rsidRPr="002301C3">
              <w:rPr>
                <w:rFonts w:eastAsia="Arial"/>
                <w:sz w:val="16"/>
              </w:rPr>
              <w:t xml:space="preserve"> </w:t>
            </w:r>
            <w:r w:rsidRPr="00467D22">
              <w:rPr>
                <w:rFonts w:eastAsia="Arial" w:cs="Arial"/>
                <w:sz w:val="16"/>
                <w:szCs w:val="16"/>
              </w:rPr>
              <w:t>add</w:t>
            </w:r>
            <w:r w:rsidRPr="002301C3">
              <w:rPr>
                <w:rFonts w:eastAsia="Arial"/>
                <w:sz w:val="16"/>
              </w:rPr>
              <w:t>i</w:t>
            </w:r>
            <w:r w:rsidRPr="00467D22">
              <w:rPr>
                <w:rFonts w:eastAsia="Arial" w:cs="Arial"/>
                <w:sz w:val="16"/>
                <w:szCs w:val="16"/>
              </w:rPr>
              <w:t>t</w:t>
            </w:r>
            <w:r w:rsidRPr="002301C3">
              <w:rPr>
                <w:rFonts w:eastAsia="Arial"/>
                <w:sz w:val="16"/>
              </w:rPr>
              <w:t>ion</w:t>
            </w:r>
            <w:r w:rsidRPr="00467D22">
              <w:rPr>
                <w:rFonts w:eastAsia="Arial" w:cs="Arial"/>
                <w:sz w:val="16"/>
                <w:szCs w:val="16"/>
              </w:rPr>
              <w:t>al</w:t>
            </w:r>
            <w:r w:rsidRPr="002301C3">
              <w:rPr>
                <w:rFonts w:eastAsia="Arial"/>
                <w:sz w:val="16"/>
              </w:rPr>
              <w:t xml:space="preserve"> Ecstasy </w:t>
            </w:r>
            <w:r w:rsidRPr="00467D22">
              <w:rPr>
                <w:rFonts w:eastAsia="Arial" w:cs="Arial"/>
                <w:sz w:val="16"/>
                <w:szCs w:val="16"/>
              </w:rPr>
              <w:t>po</w:t>
            </w:r>
            <w:r w:rsidRPr="002301C3">
              <w:rPr>
                <w:rFonts w:eastAsia="Arial"/>
                <w:sz w:val="16"/>
              </w:rPr>
              <w:t>sitiv</w:t>
            </w:r>
            <w:r w:rsidRPr="00467D22">
              <w:rPr>
                <w:rFonts w:eastAsia="Arial" w:cs="Arial"/>
                <w:sz w:val="16"/>
                <w:szCs w:val="16"/>
              </w:rPr>
              <w:t>e</w:t>
            </w:r>
            <w:r w:rsidRPr="002301C3">
              <w:rPr>
                <w:rFonts w:eastAsia="Arial"/>
                <w:sz w:val="16"/>
              </w:rPr>
              <w:t xml:space="preserve"> </w:t>
            </w:r>
            <w:r w:rsidRPr="00467D22">
              <w:rPr>
                <w:rFonts w:eastAsia="Arial" w:cs="Arial"/>
                <w:sz w:val="16"/>
                <w:szCs w:val="16"/>
              </w:rPr>
              <w:t>test</w:t>
            </w:r>
            <w:r w:rsidRPr="002301C3">
              <w:rPr>
                <w:rFonts w:eastAsia="Arial"/>
                <w:sz w:val="16"/>
              </w:rPr>
              <w:t xml:space="preserve"> </w:t>
            </w:r>
            <w:r w:rsidRPr="00467D22">
              <w:rPr>
                <w:rFonts w:eastAsia="Arial" w:cs="Arial"/>
                <w:sz w:val="16"/>
                <w:szCs w:val="16"/>
              </w:rPr>
              <w:t>re</w:t>
            </w:r>
            <w:r w:rsidRPr="002301C3">
              <w:rPr>
                <w:rFonts w:eastAsia="Arial"/>
                <w:sz w:val="16"/>
              </w:rPr>
              <w:t>sul</w:t>
            </w:r>
            <w:r w:rsidRPr="00467D22">
              <w:rPr>
                <w:rFonts w:eastAsia="Arial" w:cs="Arial"/>
                <w:sz w:val="16"/>
                <w:szCs w:val="16"/>
              </w:rPr>
              <w:t>ts</w:t>
            </w:r>
            <w:r w:rsidRPr="002301C3">
              <w:rPr>
                <w:rFonts w:eastAsia="Arial"/>
                <w:sz w:val="16"/>
              </w:rPr>
              <w:t xml:space="preserve"> </w:t>
            </w:r>
          </w:p>
          <w:p w:rsidRPr="00467D22" w:rsidR="00D04EBD" w:rsidP="003419A5" w:rsidRDefault="00D04EBD" w14:paraId="255743AB" w14:textId="61757D4A">
            <w:pPr>
              <w:ind w:left="88" w:right="-20"/>
              <w:rPr>
                <w:rFonts w:cs="Arial"/>
                <w:sz w:val="16"/>
                <w:szCs w:val="16"/>
              </w:rPr>
            </w:pPr>
            <w:r w:rsidRPr="002301C3">
              <w:rPr>
                <w:rFonts w:eastAsia="Arial"/>
                <w:sz w:val="16"/>
              </w:rPr>
              <w:t>(</w:t>
            </w:r>
            <w:r w:rsidRPr="00467D22">
              <w:rPr>
                <w:rFonts w:eastAsia="Arial" w:cs="Arial"/>
                <w:sz w:val="16"/>
                <w:szCs w:val="16"/>
              </w:rPr>
              <w:t>a</w:t>
            </w:r>
            <w:r w:rsidRPr="002301C3">
              <w:rPr>
                <w:rFonts w:eastAsia="Arial"/>
                <w:sz w:val="16"/>
              </w:rPr>
              <w:t>l</w:t>
            </w:r>
            <w:r w:rsidRPr="00467D22">
              <w:rPr>
                <w:rFonts w:eastAsia="Arial" w:cs="Arial"/>
                <w:sz w:val="16"/>
                <w:szCs w:val="16"/>
              </w:rPr>
              <w:t>l s</w:t>
            </w:r>
            <w:r w:rsidRPr="002301C3">
              <w:rPr>
                <w:rFonts w:eastAsia="Arial"/>
                <w:sz w:val="16"/>
              </w:rPr>
              <w:t>ite</w:t>
            </w:r>
            <w:r w:rsidRPr="00467D22">
              <w:rPr>
                <w:rFonts w:eastAsia="Arial" w:cs="Arial"/>
                <w:sz w:val="16"/>
                <w:szCs w:val="16"/>
              </w:rPr>
              <w:t>s)</w:t>
            </w:r>
          </w:p>
        </w:tc>
        <w:tc>
          <w:tcPr>
            <w:tcW w:w="3780" w:type="dxa"/>
            <w:tcMar>
              <w:left w:w="58" w:type="dxa"/>
              <w:right w:w="58" w:type="dxa"/>
            </w:tcMar>
            <w:vAlign w:val="center"/>
          </w:tcPr>
          <w:p w:rsidRPr="00467D22" w:rsidR="00D04EBD" w:rsidP="00D04EBD" w:rsidRDefault="00D04EBD" w14:paraId="1FCBB623" w14:textId="7D114B9B">
            <w:pPr>
              <w:rPr>
                <w:rFonts w:cs="Arial"/>
                <w:sz w:val="16"/>
                <w:szCs w:val="16"/>
              </w:rPr>
            </w:pPr>
            <w:r w:rsidRPr="00467D22">
              <w:rPr>
                <w:rFonts w:cs="Arial"/>
                <w:sz w:val="16"/>
                <w:szCs w:val="16"/>
              </w:rPr>
              <w:t>Number of drug tests conducted per site per year under 10 CFR Part 26</w:t>
            </w:r>
          </w:p>
        </w:tc>
        <w:tc>
          <w:tcPr>
            <w:tcW w:w="720" w:type="dxa"/>
            <w:tcBorders>
              <w:right w:val="single" w:color="auto" w:sz="4" w:space="0"/>
            </w:tcBorders>
            <w:tcMar>
              <w:left w:w="58" w:type="dxa"/>
              <w:right w:w="58" w:type="dxa"/>
            </w:tcMar>
            <w:vAlign w:val="center"/>
          </w:tcPr>
          <w:p w:rsidRPr="00467D22" w:rsidR="00D04EBD" w:rsidP="00D04EBD" w:rsidRDefault="00D04EBD" w14:paraId="65172D56" w14:textId="1B8E6BA7">
            <w:pPr>
              <w:jc w:val="right"/>
              <w:rPr>
                <w:rFonts w:cs="Arial"/>
                <w:sz w:val="16"/>
                <w:szCs w:val="16"/>
              </w:rPr>
            </w:pPr>
            <w:r w:rsidRPr="00467D22">
              <w:rPr>
                <w:rFonts w:cs="Arial"/>
                <w:sz w:val="16"/>
                <w:szCs w:val="16"/>
              </w:rPr>
              <w:t>2,257</w:t>
            </w:r>
          </w:p>
        </w:tc>
        <w:tc>
          <w:tcPr>
            <w:tcW w:w="815" w:type="dxa"/>
            <w:tcBorders>
              <w:top w:val="nil"/>
              <w:left w:val="single" w:color="auto" w:sz="4" w:space="0"/>
              <w:bottom w:val="single" w:color="auto" w:sz="4" w:space="0"/>
              <w:right w:val="nil"/>
            </w:tcBorders>
            <w:shd w:val="clear" w:color="auto" w:fill="auto"/>
            <w:tcMar>
              <w:left w:w="58" w:type="dxa"/>
              <w:right w:w="58" w:type="dxa"/>
            </w:tcMar>
            <w:vAlign w:val="center"/>
          </w:tcPr>
          <w:p w:rsidRPr="00467D22" w:rsidR="00D04EBD" w:rsidP="00D04EBD" w:rsidRDefault="00D04EBD" w14:paraId="4533272A" w14:textId="249A0B4D">
            <w:pPr>
              <w:jc w:val="right"/>
              <w:rPr>
                <w:rFonts w:cs="Arial"/>
                <w:sz w:val="16"/>
                <w:szCs w:val="16"/>
              </w:rPr>
            </w:pPr>
            <w:r w:rsidRPr="00467D22">
              <w:rPr>
                <w:rFonts w:cs="Arial"/>
                <w:sz w:val="16"/>
                <w:szCs w:val="16"/>
              </w:rPr>
              <w:t>($2</w:t>
            </w:r>
            <w:r w:rsidRPr="00467D22" w:rsidR="00E43B06">
              <w:rPr>
                <w:rFonts w:cs="Arial"/>
                <w:sz w:val="16"/>
                <w:szCs w:val="16"/>
              </w:rPr>
              <w:t>7</w:t>
            </w:r>
            <w:r w:rsidRPr="00467D22">
              <w:rPr>
                <w:rFonts w:cs="Arial"/>
                <w:sz w:val="16"/>
                <w:szCs w:val="16"/>
              </w:rPr>
              <w:t>)</w:t>
            </w:r>
          </w:p>
        </w:tc>
        <w:tc>
          <w:tcPr>
            <w:tcW w:w="900" w:type="dxa"/>
            <w:tcBorders>
              <w:top w:val="nil"/>
              <w:left w:val="nil"/>
              <w:bottom w:val="single" w:color="auto" w:sz="4" w:space="0"/>
              <w:right w:val="nil"/>
            </w:tcBorders>
            <w:shd w:val="clear" w:color="auto" w:fill="auto"/>
            <w:tcMar>
              <w:left w:w="58" w:type="dxa"/>
              <w:right w:w="58" w:type="dxa"/>
            </w:tcMar>
            <w:vAlign w:val="center"/>
          </w:tcPr>
          <w:p w:rsidRPr="00467D22" w:rsidR="00D04EBD" w:rsidP="00D04EBD" w:rsidRDefault="00D04EBD" w14:paraId="567257D0" w14:textId="2F47E5B3">
            <w:pPr>
              <w:jc w:val="right"/>
              <w:rPr>
                <w:rFonts w:cs="Arial"/>
                <w:sz w:val="16"/>
                <w:szCs w:val="16"/>
              </w:rPr>
            </w:pPr>
            <w:r w:rsidRPr="00467D22">
              <w:rPr>
                <w:rFonts w:cs="Arial"/>
                <w:sz w:val="16"/>
                <w:szCs w:val="16"/>
              </w:rPr>
              <w:t>59</w:t>
            </w:r>
          </w:p>
        </w:tc>
        <w:tc>
          <w:tcPr>
            <w:tcW w:w="1080" w:type="dxa"/>
            <w:tcBorders>
              <w:top w:val="nil"/>
              <w:left w:val="nil"/>
              <w:bottom w:val="single" w:color="auto" w:sz="4" w:space="0"/>
              <w:right w:val="single" w:color="auto" w:sz="4" w:space="0"/>
            </w:tcBorders>
            <w:shd w:val="clear" w:color="auto" w:fill="auto"/>
            <w:tcMar>
              <w:left w:w="58" w:type="dxa"/>
              <w:right w:w="58" w:type="dxa"/>
            </w:tcMar>
            <w:vAlign w:val="center"/>
          </w:tcPr>
          <w:p w:rsidRPr="00467D22" w:rsidR="00D04EBD" w:rsidP="00D04EBD" w:rsidRDefault="00D04EBD" w14:paraId="7B9FB36E" w14:textId="44B04F55">
            <w:pPr>
              <w:jc w:val="right"/>
              <w:rPr>
                <w:rFonts w:cs="Arial"/>
                <w:sz w:val="16"/>
                <w:szCs w:val="16"/>
              </w:rPr>
            </w:pPr>
            <w:r w:rsidRPr="00467D22">
              <w:rPr>
                <w:rFonts w:cs="Arial"/>
                <w:sz w:val="16"/>
                <w:szCs w:val="16"/>
              </w:rPr>
              <w:t>($1</w:t>
            </w:r>
            <w:r w:rsidRPr="00467D22" w:rsidR="00CA3AA8">
              <w:rPr>
                <w:rFonts w:cs="Arial"/>
                <w:sz w:val="16"/>
                <w:szCs w:val="16"/>
              </w:rPr>
              <w:t>,593</w:t>
            </w:r>
            <w:r w:rsidRPr="00467D22">
              <w:rPr>
                <w:rFonts w:cs="Arial"/>
                <w:sz w:val="16"/>
                <w:szCs w:val="16"/>
              </w:rPr>
              <w:t>)</w:t>
            </w:r>
          </w:p>
        </w:tc>
      </w:tr>
      <w:tr w:rsidRPr="00467D22" w:rsidR="007C2007" w:rsidTr="008C0DF3" w14:paraId="45C08E00" w14:textId="77777777">
        <w:trPr>
          <w:jc w:val="center"/>
        </w:trPr>
        <w:tc>
          <w:tcPr>
            <w:tcW w:w="2065" w:type="dxa"/>
            <w:vMerge/>
            <w:tcMar>
              <w:left w:w="58" w:type="dxa"/>
              <w:right w:w="58" w:type="dxa"/>
            </w:tcMar>
            <w:vAlign w:val="center"/>
          </w:tcPr>
          <w:p w:rsidRPr="00467D22" w:rsidR="007C2007" w:rsidP="007C2007" w:rsidRDefault="007C2007" w14:paraId="594B98F9" w14:textId="77777777">
            <w:pPr>
              <w:rPr>
                <w:rFonts w:cs="Arial"/>
                <w:sz w:val="16"/>
                <w:szCs w:val="16"/>
              </w:rPr>
            </w:pPr>
          </w:p>
        </w:tc>
        <w:tc>
          <w:tcPr>
            <w:tcW w:w="3780" w:type="dxa"/>
            <w:tcMar>
              <w:left w:w="58" w:type="dxa"/>
              <w:right w:w="58" w:type="dxa"/>
            </w:tcMar>
            <w:vAlign w:val="center"/>
          </w:tcPr>
          <w:p w:rsidRPr="00467D22" w:rsidR="007C2007" w:rsidP="007C2007" w:rsidRDefault="007C2007" w14:paraId="4438691D" w14:textId="7216AB3D">
            <w:pPr>
              <w:rPr>
                <w:rFonts w:cs="Arial"/>
                <w:sz w:val="16"/>
                <w:szCs w:val="16"/>
              </w:rPr>
            </w:pPr>
            <w:r w:rsidRPr="00467D22">
              <w:rPr>
                <w:rFonts w:cs="Arial"/>
                <w:sz w:val="16"/>
                <w:szCs w:val="16"/>
              </w:rPr>
              <w:t>Projected confirmed positive test rate</w:t>
            </w:r>
          </w:p>
        </w:tc>
        <w:tc>
          <w:tcPr>
            <w:tcW w:w="720" w:type="dxa"/>
            <w:tcBorders>
              <w:right w:val="single" w:color="auto" w:sz="4" w:space="0"/>
            </w:tcBorders>
            <w:tcMar>
              <w:left w:w="58" w:type="dxa"/>
              <w:right w:w="58" w:type="dxa"/>
            </w:tcMar>
            <w:vAlign w:val="center"/>
          </w:tcPr>
          <w:p w:rsidRPr="00467D22" w:rsidR="007C2007" w:rsidP="007C2007" w:rsidRDefault="007C2007" w14:paraId="43256383" w14:textId="6AB43BCB">
            <w:pPr>
              <w:jc w:val="right"/>
              <w:rPr>
                <w:rFonts w:cs="Arial"/>
                <w:sz w:val="16"/>
                <w:szCs w:val="16"/>
              </w:rPr>
            </w:pPr>
            <w:r w:rsidRPr="00467D22">
              <w:rPr>
                <w:rFonts w:cs="Arial"/>
                <w:sz w:val="16"/>
                <w:szCs w:val="16"/>
              </w:rPr>
              <w:t>0.004%</w:t>
            </w:r>
          </w:p>
        </w:tc>
        <w:tc>
          <w:tcPr>
            <w:tcW w:w="815" w:type="dxa"/>
            <w:tcBorders>
              <w:top w:val="nil"/>
              <w:left w:val="single" w:color="auto" w:sz="4" w:space="0"/>
              <w:bottom w:val="single" w:color="auto" w:sz="4" w:space="0"/>
              <w:right w:val="nil"/>
            </w:tcBorders>
            <w:shd w:val="clear" w:color="auto" w:fill="auto"/>
            <w:tcMar>
              <w:left w:w="58" w:type="dxa"/>
              <w:right w:w="58" w:type="dxa"/>
            </w:tcMar>
            <w:vAlign w:val="center"/>
          </w:tcPr>
          <w:p w:rsidRPr="00467D22" w:rsidR="007C2007" w:rsidP="007C2007" w:rsidRDefault="007C2007" w14:paraId="0C677A99" w14:textId="77777777">
            <w:pPr>
              <w:jc w:val="right"/>
              <w:rPr>
                <w:rFonts w:cs="Arial"/>
                <w:sz w:val="16"/>
                <w:szCs w:val="16"/>
              </w:rPr>
            </w:pPr>
          </w:p>
        </w:tc>
        <w:tc>
          <w:tcPr>
            <w:tcW w:w="900" w:type="dxa"/>
            <w:tcBorders>
              <w:top w:val="nil"/>
              <w:left w:val="nil"/>
              <w:bottom w:val="single" w:color="auto" w:sz="4" w:space="0"/>
              <w:right w:val="nil"/>
            </w:tcBorders>
            <w:shd w:val="clear" w:color="auto" w:fill="auto"/>
            <w:tcMar>
              <w:left w:w="58" w:type="dxa"/>
              <w:right w:w="58" w:type="dxa"/>
            </w:tcMar>
            <w:vAlign w:val="center"/>
          </w:tcPr>
          <w:p w:rsidRPr="00467D22" w:rsidR="007C2007" w:rsidP="007C2007" w:rsidRDefault="007C2007" w14:paraId="78D70988" w14:textId="77777777">
            <w:pPr>
              <w:jc w:val="right"/>
              <w:rPr>
                <w:rFonts w:cs="Arial"/>
                <w:sz w:val="16"/>
                <w:szCs w:val="16"/>
              </w:rPr>
            </w:pPr>
          </w:p>
        </w:tc>
        <w:tc>
          <w:tcPr>
            <w:tcW w:w="1080" w:type="dxa"/>
            <w:tcBorders>
              <w:top w:val="nil"/>
              <w:left w:val="nil"/>
              <w:bottom w:val="single" w:color="auto" w:sz="4" w:space="0"/>
              <w:right w:val="single" w:color="auto" w:sz="4" w:space="0"/>
            </w:tcBorders>
            <w:shd w:val="clear" w:color="auto" w:fill="auto"/>
            <w:tcMar>
              <w:left w:w="58" w:type="dxa"/>
              <w:right w:w="58" w:type="dxa"/>
            </w:tcMar>
            <w:vAlign w:val="center"/>
          </w:tcPr>
          <w:p w:rsidRPr="00467D22" w:rsidR="007C2007" w:rsidP="007C2007" w:rsidRDefault="007C2007" w14:paraId="6C95B152" w14:textId="77777777">
            <w:pPr>
              <w:jc w:val="right"/>
              <w:rPr>
                <w:rFonts w:cs="Arial"/>
                <w:sz w:val="16"/>
                <w:szCs w:val="16"/>
              </w:rPr>
            </w:pPr>
          </w:p>
        </w:tc>
      </w:tr>
      <w:tr w:rsidRPr="00467D22" w:rsidR="007C2007" w:rsidTr="00AA39C6" w14:paraId="7A10A39F" w14:textId="77777777">
        <w:trPr>
          <w:jc w:val="center"/>
        </w:trPr>
        <w:tc>
          <w:tcPr>
            <w:tcW w:w="2065" w:type="dxa"/>
            <w:vMerge/>
            <w:tcBorders>
              <w:bottom w:val="single" w:color="auto" w:sz="4" w:space="0"/>
            </w:tcBorders>
            <w:tcMar>
              <w:left w:w="58" w:type="dxa"/>
              <w:right w:w="58" w:type="dxa"/>
            </w:tcMar>
            <w:vAlign w:val="center"/>
          </w:tcPr>
          <w:p w:rsidRPr="00467D22" w:rsidR="007C2007" w:rsidP="007C2007" w:rsidRDefault="007C2007" w14:paraId="07146F8B" w14:textId="77777777">
            <w:pPr>
              <w:rPr>
                <w:rFonts w:cs="Arial"/>
                <w:sz w:val="16"/>
                <w:szCs w:val="16"/>
              </w:rPr>
            </w:pPr>
          </w:p>
        </w:tc>
        <w:tc>
          <w:tcPr>
            <w:tcW w:w="3780" w:type="dxa"/>
            <w:tcBorders>
              <w:bottom w:val="single" w:color="auto" w:sz="4" w:space="0"/>
            </w:tcBorders>
            <w:tcMar>
              <w:left w:w="58" w:type="dxa"/>
              <w:right w:w="58" w:type="dxa"/>
            </w:tcMar>
            <w:vAlign w:val="center"/>
          </w:tcPr>
          <w:p w:rsidRPr="00467D22" w:rsidR="007C2007" w:rsidP="007C2007" w:rsidRDefault="007C2007" w14:paraId="3607DD4C" w14:textId="5A55CB3A">
            <w:pPr>
              <w:rPr>
                <w:rFonts w:cs="Arial"/>
                <w:sz w:val="16"/>
                <w:szCs w:val="16"/>
              </w:rPr>
            </w:pPr>
            <w:r w:rsidRPr="00467D22">
              <w:rPr>
                <w:rFonts w:cs="Arial"/>
                <w:sz w:val="16"/>
                <w:szCs w:val="16"/>
              </w:rPr>
              <w:t>Cost of subsequent actions (per positive result)</w:t>
            </w:r>
          </w:p>
        </w:tc>
        <w:tc>
          <w:tcPr>
            <w:tcW w:w="720" w:type="dxa"/>
            <w:tcBorders>
              <w:bottom w:val="single" w:color="auto" w:sz="4" w:space="0"/>
              <w:right w:val="single" w:color="auto" w:sz="4" w:space="0"/>
            </w:tcBorders>
            <w:tcMar>
              <w:left w:w="58" w:type="dxa"/>
              <w:right w:w="58" w:type="dxa"/>
            </w:tcMar>
            <w:vAlign w:val="center"/>
          </w:tcPr>
          <w:p w:rsidRPr="00467D22" w:rsidR="007C2007" w:rsidP="007C2007" w:rsidRDefault="00E43B06" w14:paraId="66C1701E" w14:textId="0E55F9DD">
            <w:pPr>
              <w:jc w:val="right"/>
              <w:rPr>
                <w:rFonts w:cs="Arial"/>
                <w:sz w:val="16"/>
                <w:szCs w:val="16"/>
              </w:rPr>
            </w:pPr>
            <w:r w:rsidRPr="00467D22">
              <w:rPr>
                <w:rFonts w:cs="Arial"/>
                <w:sz w:val="16"/>
                <w:szCs w:val="16"/>
              </w:rPr>
              <w:t>$310.66</w:t>
            </w:r>
          </w:p>
        </w:tc>
        <w:tc>
          <w:tcPr>
            <w:tcW w:w="815" w:type="dxa"/>
            <w:tcBorders>
              <w:top w:val="nil"/>
              <w:left w:val="single" w:color="auto" w:sz="4" w:space="0"/>
              <w:bottom w:val="single" w:color="auto" w:sz="4" w:space="0"/>
              <w:right w:val="nil"/>
            </w:tcBorders>
            <w:shd w:val="clear" w:color="auto" w:fill="auto"/>
            <w:tcMar>
              <w:left w:w="58" w:type="dxa"/>
              <w:right w:w="58" w:type="dxa"/>
            </w:tcMar>
            <w:vAlign w:val="center"/>
          </w:tcPr>
          <w:p w:rsidRPr="00467D22" w:rsidR="007C2007" w:rsidP="007C2007" w:rsidRDefault="007C2007" w14:paraId="25F721FD" w14:textId="77777777">
            <w:pPr>
              <w:jc w:val="right"/>
              <w:rPr>
                <w:rFonts w:cs="Arial"/>
                <w:sz w:val="16"/>
                <w:szCs w:val="16"/>
              </w:rPr>
            </w:pPr>
          </w:p>
        </w:tc>
        <w:tc>
          <w:tcPr>
            <w:tcW w:w="900" w:type="dxa"/>
            <w:tcBorders>
              <w:top w:val="nil"/>
              <w:left w:val="nil"/>
              <w:bottom w:val="single" w:color="auto" w:sz="4" w:space="0"/>
              <w:right w:val="nil"/>
            </w:tcBorders>
            <w:shd w:val="clear" w:color="auto" w:fill="auto"/>
            <w:tcMar>
              <w:left w:w="58" w:type="dxa"/>
              <w:right w:w="58" w:type="dxa"/>
            </w:tcMar>
            <w:vAlign w:val="center"/>
          </w:tcPr>
          <w:p w:rsidRPr="00467D22" w:rsidR="007C2007" w:rsidP="007C2007" w:rsidRDefault="007C2007" w14:paraId="14DFC0C1" w14:textId="77777777">
            <w:pPr>
              <w:jc w:val="right"/>
              <w:rPr>
                <w:rFonts w:cs="Arial"/>
                <w:sz w:val="16"/>
                <w:szCs w:val="16"/>
              </w:rPr>
            </w:pPr>
          </w:p>
        </w:tc>
        <w:tc>
          <w:tcPr>
            <w:tcW w:w="1080" w:type="dxa"/>
            <w:tcBorders>
              <w:top w:val="nil"/>
              <w:left w:val="nil"/>
              <w:bottom w:val="single" w:color="auto" w:sz="4" w:space="0"/>
              <w:right w:val="single" w:color="auto" w:sz="4" w:space="0"/>
            </w:tcBorders>
            <w:shd w:val="clear" w:color="auto" w:fill="auto"/>
            <w:tcMar>
              <w:left w:w="58" w:type="dxa"/>
              <w:right w:w="58" w:type="dxa"/>
            </w:tcMar>
            <w:vAlign w:val="center"/>
          </w:tcPr>
          <w:p w:rsidRPr="00467D22" w:rsidR="007C2007" w:rsidP="007C2007" w:rsidRDefault="007C2007" w14:paraId="66F2576B" w14:textId="77777777">
            <w:pPr>
              <w:jc w:val="right"/>
              <w:rPr>
                <w:rFonts w:cs="Arial"/>
                <w:sz w:val="16"/>
                <w:szCs w:val="16"/>
              </w:rPr>
            </w:pPr>
          </w:p>
        </w:tc>
      </w:tr>
      <w:tr w:rsidRPr="00467D22" w:rsidR="007C2007" w:rsidTr="00AA39C6" w14:paraId="3AAC78CD" w14:textId="77777777">
        <w:trPr>
          <w:jc w:val="center"/>
        </w:trPr>
        <w:tc>
          <w:tcPr>
            <w:tcW w:w="8280" w:type="dxa"/>
            <w:gridSpan w:val="5"/>
            <w:shd w:val="clear" w:color="auto" w:fill="FFFFFF" w:themeFill="background1"/>
            <w:tcMar>
              <w:left w:w="58" w:type="dxa"/>
              <w:right w:w="58" w:type="dxa"/>
            </w:tcMar>
            <w:vAlign w:val="center"/>
          </w:tcPr>
          <w:p w:rsidRPr="00467D22" w:rsidR="007C2007" w:rsidP="007C2007" w:rsidRDefault="007C2007" w14:paraId="0C1F65AC" w14:textId="77777777">
            <w:pPr>
              <w:jc w:val="right"/>
              <w:rPr>
                <w:rFonts w:cs="Arial"/>
                <w:b/>
                <w:i/>
                <w:sz w:val="16"/>
                <w:szCs w:val="16"/>
              </w:rPr>
            </w:pPr>
            <w:r w:rsidRPr="00467D22">
              <w:rPr>
                <w:rFonts w:cs="Arial"/>
                <w:b/>
                <w:i/>
                <w:sz w:val="16"/>
                <w:szCs w:val="16"/>
              </w:rPr>
              <w:t>Total Industry Operations Cost</w:t>
            </w:r>
          </w:p>
        </w:tc>
        <w:tc>
          <w:tcPr>
            <w:tcW w:w="1080" w:type="dxa"/>
            <w:shd w:val="clear" w:color="auto" w:fill="FFFFFF" w:themeFill="background1"/>
            <w:tcMar>
              <w:left w:w="58" w:type="dxa"/>
              <w:right w:w="58" w:type="dxa"/>
            </w:tcMar>
            <w:vAlign w:val="center"/>
          </w:tcPr>
          <w:p w:rsidRPr="00467D22" w:rsidR="007C2007" w:rsidP="007C2007" w:rsidRDefault="007C2007" w14:paraId="2B8C2677" w14:textId="6A4E7467">
            <w:pPr>
              <w:jc w:val="right"/>
              <w:rPr>
                <w:rFonts w:cs="Arial"/>
                <w:b/>
                <w:i/>
                <w:sz w:val="16"/>
                <w:szCs w:val="16"/>
              </w:rPr>
            </w:pPr>
            <w:r w:rsidRPr="00467D22">
              <w:rPr>
                <w:rFonts w:cs="Arial"/>
                <w:b/>
                <w:i/>
                <w:sz w:val="16"/>
                <w:szCs w:val="16"/>
              </w:rPr>
              <w:t>($</w:t>
            </w:r>
            <w:r w:rsidRPr="00467D22" w:rsidR="00AA39C6">
              <w:rPr>
                <w:rFonts w:cs="Arial"/>
                <w:b/>
                <w:i/>
                <w:sz w:val="16"/>
                <w:szCs w:val="16"/>
              </w:rPr>
              <w:t>60,323</w:t>
            </w:r>
            <w:r w:rsidRPr="00467D22">
              <w:rPr>
                <w:rFonts w:cs="Arial"/>
                <w:b/>
                <w:i/>
                <w:sz w:val="16"/>
                <w:szCs w:val="16"/>
              </w:rPr>
              <w:t>)</w:t>
            </w:r>
          </w:p>
        </w:tc>
      </w:tr>
      <w:tr w:rsidRPr="00467D22" w:rsidR="007C2007" w:rsidTr="00AA39C6" w14:paraId="6F19E164" w14:textId="77777777">
        <w:trPr>
          <w:jc w:val="center"/>
        </w:trPr>
        <w:tc>
          <w:tcPr>
            <w:tcW w:w="8280" w:type="dxa"/>
            <w:gridSpan w:val="5"/>
            <w:shd w:val="clear" w:color="auto" w:fill="FFFFFF" w:themeFill="background1"/>
            <w:tcMar>
              <w:left w:w="58" w:type="dxa"/>
              <w:right w:w="58" w:type="dxa"/>
            </w:tcMar>
            <w:vAlign w:val="center"/>
          </w:tcPr>
          <w:p w:rsidRPr="00467D22" w:rsidR="007C2007" w:rsidP="007C2007" w:rsidRDefault="007C2007" w14:paraId="05A31496" w14:textId="77777777">
            <w:pPr>
              <w:jc w:val="right"/>
              <w:rPr>
                <w:rFonts w:cs="Arial"/>
                <w:b/>
                <w:i/>
                <w:sz w:val="16"/>
                <w:szCs w:val="16"/>
              </w:rPr>
            </w:pPr>
            <w:r w:rsidRPr="00467D22">
              <w:rPr>
                <w:rFonts w:cs="Arial"/>
                <w:b/>
                <w:i/>
                <w:sz w:val="16"/>
                <w:szCs w:val="16"/>
              </w:rPr>
              <w:t>Average Operations Cost Per Site</w:t>
            </w:r>
          </w:p>
        </w:tc>
        <w:tc>
          <w:tcPr>
            <w:tcW w:w="1080" w:type="dxa"/>
            <w:shd w:val="clear" w:color="auto" w:fill="FFFFFF" w:themeFill="background1"/>
            <w:tcMar>
              <w:left w:w="58" w:type="dxa"/>
              <w:right w:w="58" w:type="dxa"/>
            </w:tcMar>
            <w:vAlign w:val="center"/>
          </w:tcPr>
          <w:p w:rsidRPr="00467D22" w:rsidR="007C2007" w:rsidP="007C2007" w:rsidRDefault="007C2007" w14:paraId="5C59763D" w14:textId="0BCC49CF">
            <w:pPr>
              <w:jc w:val="right"/>
              <w:rPr>
                <w:rFonts w:cs="Arial"/>
                <w:b/>
                <w:i/>
                <w:sz w:val="16"/>
                <w:szCs w:val="16"/>
              </w:rPr>
            </w:pPr>
            <w:r w:rsidRPr="00467D22">
              <w:rPr>
                <w:rFonts w:cs="Arial"/>
                <w:b/>
                <w:i/>
                <w:sz w:val="16"/>
                <w:szCs w:val="16"/>
              </w:rPr>
              <w:t>($</w:t>
            </w:r>
            <w:r w:rsidRPr="00467D22" w:rsidR="00AA39C6">
              <w:rPr>
                <w:rFonts w:cs="Arial"/>
                <w:b/>
                <w:i/>
                <w:sz w:val="16"/>
                <w:szCs w:val="16"/>
              </w:rPr>
              <w:t>1,022</w:t>
            </w:r>
            <w:r w:rsidRPr="00467D22">
              <w:rPr>
                <w:rFonts w:cs="Arial"/>
                <w:b/>
                <w:i/>
                <w:sz w:val="16"/>
                <w:szCs w:val="16"/>
              </w:rPr>
              <w:t>)</w:t>
            </w:r>
          </w:p>
        </w:tc>
      </w:tr>
      <w:tr w:rsidRPr="00467D22" w:rsidR="007C2007" w:rsidTr="003156A1" w14:paraId="5EB01013" w14:textId="77777777">
        <w:trPr>
          <w:trHeight w:val="3770"/>
          <w:jc w:val="center"/>
        </w:trPr>
        <w:tc>
          <w:tcPr>
            <w:tcW w:w="9360" w:type="dxa"/>
            <w:gridSpan w:val="6"/>
            <w:vAlign w:val="center"/>
          </w:tcPr>
          <w:p w:rsidRPr="00467D22" w:rsidR="007C2007" w:rsidP="007C2007" w:rsidRDefault="007C2007" w14:paraId="4EE8B45C" w14:textId="77777777">
            <w:pPr>
              <w:keepNext/>
              <w:keepLines/>
              <w:autoSpaceDE/>
              <w:autoSpaceDN/>
              <w:adjustRightInd/>
              <w:spacing w:before="120"/>
              <w:rPr>
                <w:rFonts w:eastAsia="Arial" w:cs="Arial"/>
                <w:b/>
                <w:bCs/>
                <w:sz w:val="16"/>
                <w:szCs w:val="16"/>
              </w:rPr>
            </w:pPr>
            <w:r w:rsidRPr="00467D22">
              <w:rPr>
                <w:rFonts w:eastAsia="Arial" w:cs="Arial"/>
                <w:b/>
                <w:bCs/>
                <w:sz w:val="16"/>
                <w:szCs w:val="16"/>
              </w:rPr>
              <w:t>Calculations (totals may not add because of rounding):</w:t>
            </w:r>
          </w:p>
          <w:p w:rsidRPr="00467D22" w:rsidR="007C2007" w:rsidP="007C2007" w:rsidRDefault="007C2007" w14:paraId="505C1127" w14:textId="36201FA9">
            <w:pPr>
              <w:pStyle w:val="ListParagraph"/>
              <w:keepNext/>
              <w:keepLines/>
              <w:numPr>
                <w:ilvl w:val="0"/>
                <w:numId w:val="20"/>
              </w:numPr>
              <w:spacing w:after="60"/>
              <w:ind w:left="374"/>
              <w:contextualSpacing w:val="0"/>
              <w:rPr>
                <w:rFonts w:eastAsia="Arial" w:cs="Arial"/>
                <w:sz w:val="16"/>
                <w:szCs w:val="16"/>
              </w:rPr>
            </w:pPr>
            <w:r w:rsidRPr="00467D22">
              <w:rPr>
                <w:rFonts w:eastAsia="Arial" w:cs="Arial"/>
                <w:sz w:val="16"/>
                <w:szCs w:val="16"/>
              </w:rPr>
              <w:t xml:space="preserve">Benefits (Cost) </w:t>
            </w:r>
            <w:r w:rsidR="00C0355B">
              <w:rPr>
                <w:rFonts w:eastAsia="Arial" w:cs="Arial"/>
                <w:sz w:val="16"/>
                <w:szCs w:val="16"/>
              </w:rPr>
              <w:t>p</w:t>
            </w:r>
            <w:r w:rsidRPr="00467D22">
              <w:rPr>
                <w:rFonts w:eastAsia="Arial" w:cs="Arial"/>
                <w:sz w:val="16"/>
                <w:szCs w:val="16"/>
              </w:rPr>
              <w:t>er Site = Product (Data Inputs)</w:t>
            </w:r>
          </w:p>
          <w:p w:rsidRPr="00467D22" w:rsidR="007C2007" w:rsidP="007C2007" w:rsidRDefault="007C2007" w14:paraId="770AD5F0" w14:textId="291781CD">
            <w:pPr>
              <w:pStyle w:val="ListParagraph"/>
              <w:keepNext/>
              <w:keepLines/>
              <w:numPr>
                <w:ilvl w:val="0"/>
                <w:numId w:val="20"/>
              </w:numPr>
              <w:spacing w:after="60"/>
              <w:ind w:left="374"/>
              <w:contextualSpacing w:val="0"/>
              <w:rPr>
                <w:rFonts w:eastAsia="Arial" w:cs="Arial"/>
                <w:sz w:val="16"/>
                <w:szCs w:val="16"/>
              </w:rPr>
            </w:pPr>
            <w:r w:rsidRPr="00467D22">
              <w:rPr>
                <w:rFonts w:eastAsia="Arial" w:cs="Arial"/>
                <w:sz w:val="16"/>
                <w:szCs w:val="16"/>
              </w:rPr>
              <w:t>Total Benefits (Cost) = Benefits (Cost) Per Site x Number of Sites Affected</w:t>
            </w:r>
          </w:p>
          <w:p w:rsidRPr="00467D22" w:rsidR="007C2007" w:rsidP="007C2007" w:rsidRDefault="007C2007" w14:paraId="75BE510B" w14:textId="77777777">
            <w:pPr>
              <w:pStyle w:val="ListParagraph"/>
              <w:keepNext/>
              <w:keepLines/>
              <w:numPr>
                <w:ilvl w:val="0"/>
                <w:numId w:val="20"/>
              </w:numPr>
              <w:spacing w:after="60"/>
              <w:ind w:left="374"/>
              <w:contextualSpacing w:val="0"/>
              <w:rPr>
                <w:rFonts w:eastAsia="Arial" w:cs="Arial"/>
                <w:sz w:val="16"/>
                <w:szCs w:val="16"/>
              </w:rPr>
            </w:pPr>
            <w:r w:rsidRPr="00467D22">
              <w:rPr>
                <w:rFonts w:eastAsia="Arial" w:cs="Arial"/>
                <w:sz w:val="16"/>
                <w:szCs w:val="16"/>
              </w:rPr>
              <w:t>Total Industry Operations Cost = Sum (Total Benefits (Cost))</w:t>
            </w:r>
          </w:p>
          <w:p w:rsidRPr="00467D22" w:rsidR="007C2007" w:rsidP="007C2007" w:rsidRDefault="007C2007" w14:paraId="213812C0" w14:textId="77777777">
            <w:pPr>
              <w:pStyle w:val="ListParagraph"/>
              <w:keepNext/>
              <w:keepLines/>
              <w:numPr>
                <w:ilvl w:val="0"/>
                <w:numId w:val="20"/>
              </w:numPr>
              <w:spacing w:after="240"/>
              <w:ind w:left="374"/>
              <w:contextualSpacing w:val="0"/>
              <w:rPr>
                <w:rFonts w:eastAsia="Arial" w:cs="Arial"/>
                <w:sz w:val="16"/>
                <w:szCs w:val="16"/>
              </w:rPr>
            </w:pPr>
            <w:r w:rsidRPr="00467D22">
              <w:rPr>
                <w:rFonts w:eastAsia="Arial" w:cs="Arial"/>
                <w:sz w:val="16"/>
                <w:szCs w:val="16"/>
              </w:rPr>
              <w:t>Average Operations Cost Per Site = Total Industry Operations Cost / Total Number of Sites</w:t>
            </w:r>
          </w:p>
          <w:p w:rsidRPr="00467D22" w:rsidR="007C2007" w:rsidP="007C2007" w:rsidRDefault="007C2007" w14:paraId="7F341E0C" w14:textId="77777777">
            <w:pPr>
              <w:keepNext/>
              <w:keepLines/>
              <w:autoSpaceDE/>
              <w:autoSpaceDN/>
              <w:adjustRightInd/>
              <w:rPr>
                <w:rFonts w:eastAsia="Arial" w:cs="Arial"/>
                <w:b/>
                <w:bCs/>
                <w:sz w:val="16"/>
                <w:szCs w:val="16"/>
              </w:rPr>
            </w:pPr>
            <w:r w:rsidRPr="00467D22">
              <w:rPr>
                <w:rFonts w:eastAsia="Arial" w:cs="Arial"/>
                <w:b/>
                <w:bCs/>
                <w:sz w:val="16"/>
                <w:szCs w:val="16"/>
              </w:rPr>
              <w:t>Assumptions:</w:t>
            </w:r>
          </w:p>
          <w:p w:rsidRPr="00467D22" w:rsidR="007C2007" w:rsidP="007C2007" w:rsidRDefault="007C2007" w14:paraId="0D71AB72" w14:textId="67830F1B">
            <w:pPr>
              <w:pStyle w:val="ListParagraph"/>
              <w:keepNext/>
              <w:keepLines/>
              <w:numPr>
                <w:ilvl w:val="0"/>
                <w:numId w:val="20"/>
              </w:numPr>
              <w:spacing w:after="60"/>
              <w:ind w:left="374"/>
              <w:contextualSpacing w:val="0"/>
              <w:rPr>
                <w:rFonts w:eastAsia="Arial" w:cs="Arial"/>
                <w:sz w:val="16"/>
                <w:szCs w:val="16"/>
              </w:rPr>
            </w:pPr>
            <w:r w:rsidRPr="00467D22">
              <w:rPr>
                <w:rFonts w:eastAsia="Arial" w:cs="Arial"/>
                <w:sz w:val="16"/>
                <w:szCs w:val="16"/>
              </w:rPr>
              <w:t>Initial drug testing of each urine specimen for MDMA results in an incremental cost per test performed at LTFs and HHS</w:t>
            </w:r>
            <w:r w:rsidRPr="00467D22">
              <w:rPr>
                <w:rFonts w:eastAsia="Arial" w:cs="Arial"/>
                <w:sz w:val="16"/>
                <w:szCs w:val="16"/>
              </w:rPr>
              <w:noBreakHyphen/>
              <w:t>certified laboratories.</w:t>
            </w:r>
          </w:p>
          <w:p w:rsidRPr="00467D22" w:rsidR="007C2007" w:rsidP="007C2007" w:rsidRDefault="007C2007" w14:paraId="5CCAFC45" w14:textId="3C236ACC">
            <w:pPr>
              <w:pStyle w:val="ListParagraph"/>
              <w:numPr>
                <w:ilvl w:val="0"/>
                <w:numId w:val="20"/>
              </w:numPr>
              <w:spacing w:after="60"/>
              <w:ind w:left="374"/>
              <w:contextualSpacing w:val="0"/>
              <w:rPr>
                <w:rFonts w:eastAsia="Arial" w:cs="Arial"/>
                <w:sz w:val="16"/>
                <w:szCs w:val="16"/>
              </w:rPr>
            </w:pPr>
            <w:r w:rsidRPr="00467D22">
              <w:rPr>
                <w:rFonts w:eastAsia="Arial" w:cs="Arial"/>
                <w:sz w:val="16"/>
                <w:szCs w:val="16"/>
              </w:rPr>
              <w:t xml:space="preserve">Licensees only </w:t>
            </w:r>
            <w:r w:rsidRPr="00467D22" w:rsidR="00B07906">
              <w:rPr>
                <w:rFonts w:eastAsia="Arial" w:cs="Arial"/>
                <w:sz w:val="16"/>
                <w:szCs w:val="16"/>
              </w:rPr>
              <w:t>using</w:t>
            </w:r>
            <w:r w:rsidRPr="00467D22">
              <w:rPr>
                <w:rFonts w:eastAsia="Arial" w:cs="Arial"/>
                <w:sz w:val="16"/>
                <w:szCs w:val="16"/>
              </w:rPr>
              <w:t xml:space="preserve"> HHS-certified laboratories for drug testing pay a per</w:t>
            </w:r>
            <w:r w:rsidRPr="00467D22">
              <w:rPr>
                <w:rFonts w:eastAsia="Arial" w:cs="Arial"/>
                <w:sz w:val="16"/>
                <w:szCs w:val="16"/>
              </w:rPr>
              <w:noBreakHyphen/>
              <w:t>specimen cost, which includes initial drug testing of all specimens and confirmatory drug testing when applicable.  Licensees us</w:t>
            </w:r>
            <w:r w:rsidRPr="00467D22" w:rsidR="00B07906">
              <w:rPr>
                <w:rFonts w:eastAsia="Arial" w:cs="Arial"/>
                <w:sz w:val="16"/>
                <w:szCs w:val="16"/>
              </w:rPr>
              <w:t>ing</w:t>
            </w:r>
            <w:r w:rsidRPr="00467D22">
              <w:rPr>
                <w:rFonts w:eastAsia="Arial" w:cs="Arial"/>
                <w:sz w:val="16"/>
                <w:szCs w:val="16"/>
              </w:rPr>
              <w:t xml:space="preserve"> LTFs for initial drug testing and HHS</w:t>
            </w:r>
            <w:r w:rsidR="0066221C">
              <w:rPr>
                <w:rFonts w:eastAsia="Arial" w:cs="Arial"/>
                <w:sz w:val="16"/>
                <w:szCs w:val="16"/>
              </w:rPr>
              <w:noBreakHyphen/>
            </w:r>
            <w:r w:rsidRPr="00467D22">
              <w:rPr>
                <w:rFonts w:eastAsia="Arial" w:cs="Arial"/>
                <w:sz w:val="16"/>
                <w:szCs w:val="16"/>
              </w:rPr>
              <w:t>certified laboratories for confirmatory drug testing also will incur an incremental cost to conduct confirmatory testing at an HHS-certified laboratory for any additional specimens that screen positive at the LTF as a result of the rule change.</w:t>
            </w:r>
          </w:p>
          <w:p w:rsidRPr="00467D22" w:rsidR="007C2007" w:rsidP="007C2007" w:rsidRDefault="007C2007" w14:paraId="723CC452" w14:textId="48A5D156">
            <w:pPr>
              <w:pStyle w:val="ListParagraph"/>
              <w:numPr>
                <w:ilvl w:val="0"/>
                <w:numId w:val="20"/>
              </w:numPr>
              <w:spacing w:after="60"/>
              <w:ind w:left="374"/>
              <w:contextualSpacing w:val="0"/>
              <w:rPr>
                <w:rFonts w:eastAsia="Arial" w:cs="Arial"/>
                <w:sz w:val="16"/>
                <w:szCs w:val="16"/>
              </w:rPr>
            </w:pPr>
            <w:r>
              <w:rPr>
                <w:rFonts w:eastAsia="Arial" w:cs="Arial"/>
                <w:sz w:val="16"/>
                <w:szCs w:val="16"/>
              </w:rPr>
              <w:t>All</w:t>
            </w:r>
            <w:r w:rsidRPr="00467D22">
              <w:rPr>
                <w:rFonts w:eastAsia="Arial" w:cs="Arial"/>
                <w:sz w:val="16"/>
                <w:szCs w:val="16"/>
              </w:rPr>
              <w:t xml:space="preserve"> HHS-certified laboratory positive results for Ecstasy</w:t>
            </w:r>
            <w:r w:rsidR="0004035F">
              <w:rPr>
                <w:rFonts w:eastAsia="Arial" w:cs="Arial"/>
                <w:sz w:val="16"/>
                <w:szCs w:val="16"/>
              </w:rPr>
              <w:t>-type drugs</w:t>
            </w:r>
            <w:r w:rsidR="00FA0E3D">
              <w:rPr>
                <w:rFonts w:eastAsia="Arial" w:cs="Arial"/>
                <w:sz w:val="16"/>
                <w:szCs w:val="16"/>
              </w:rPr>
              <w:t xml:space="preserve"> (MDMA, MDA)</w:t>
            </w:r>
            <w:r w:rsidRPr="00467D22">
              <w:rPr>
                <w:rFonts w:eastAsia="Arial" w:cs="Arial"/>
                <w:sz w:val="16"/>
                <w:szCs w:val="16"/>
              </w:rPr>
              <w:t xml:space="preserve"> </w:t>
            </w:r>
            <w:r>
              <w:rPr>
                <w:rFonts w:eastAsia="Arial" w:cs="Arial"/>
                <w:sz w:val="16"/>
                <w:szCs w:val="16"/>
              </w:rPr>
              <w:t xml:space="preserve">will be confirmed positive by the MRO </w:t>
            </w:r>
            <w:r w:rsidRPr="00467D22">
              <w:rPr>
                <w:rFonts w:eastAsia="Arial" w:cs="Arial"/>
                <w:sz w:val="16"/>
                <w:szCs w:val="16"/>
              </w:rPr>
              <w:t>(i.e., no medical downgrades possible</w:t>
            </w:r>
            <w:r w:rsidR="0066221C">
              <w:rPr>
                <w:rFonts w:eastAsia="Arial" w:cs="Arial"/>
                <w:sz w:val="16"/>
                <w:szCs w:val="16"/>
              </w:rPr>
              <w:t>;</w:t>
            </w:r>
            <w:r w:rsidRPr="00467D22">
              <w:rPr>
                <w:rFonts w:eastAsia="Arial" w:cs="Arial"/>
                <w:sz w:val="16"/>
                <w:szCs w:val="16"/>
              </w:rPr>
              <w:t xml:space="preserve"> each is a Schedule I drug—that is, an illegal drug).</w:t>
            </w:r>
          </w:p>
          <w:p w:rsidRPr="00467D22" w:rsidR="007C2007" w:rsidP="007C2007" w:rsidRDefault="007C2007" w14:paraId="7D4F1A47" w14:textId="629A1C5C">
            <w:pPr>
              <w:pStyle w:val="ListParagraph"/>
              <w:numPr>
                <w:ilvl w:val="0"/>
                <w:numId w:val="20"/>
              </w:numPr>
              <w:spacing w:after="120"/>
              <w:ind w:left="374"/>
              <w:contextualSpacing w:val="0"/>
              <w:rPr>
                <w:rFonts w:cs="Arial"/>
                <w:sz w:val="16"/>
                <w:szCs w:val="16"/>
              </w:rPr>
            </w:pPr>
            <w:r w:rsidRPr="00467D22">
              <w:rPr>
                <w:rFonts w:eastAsia="Arial" w:cs="Arial"/>
                <w:sz w:val="16"/>
                <w:szCs w:val="16"/>
              </w:rPr>
              <w:t>Appendices B and D present additional information on the parameters used in these calculations.</w:t>
            </w:r>
          </w:p>
        </w:tc>
      </w:tr>
    </w:tbl>
    <w:p w:rsidRPr="00646A79" w:rsidR="00D520BD" w:rsidP="00D520BD" w:rsidRDefault="00D520BD" w14:paraId="23659387" w14:textId="77777777">
      <w:pPr>
        <w:rPr>
          <w:sz w:val="22"/>
          <w:szCs w:val="22"/>
        </w:rPr>
      </w:pPr>
    </w:p>
    <w:bookmarkEnd w:id="300"/>
    <w:p w:rsidR="00D520BD" w:rsidP="00D520BD" w:rsidRDefault="00D520BD" w14:paraId="0AD967BB" w14:textId="77777777">
      <w:pPr>
        <w:autoSpaceDE/>
        <w:autoSpaceDN/>
        <w:adjustRightInd/>
        <w:rPr>
          <w:rFonts w:eastAsiaTheme="minorEastAsia"/>
          <w:sz w:val="22"/>
          <w:szCs w:val="22"/>
        </w:rPr>
      </w:pPr>
      <w:r>
        <w:rPr>
          <w:rFonts w:eastAsiaTheme="minorEastAsia"/>
          <w:sz w:val="22"/>
          <w:szCs w:val="22"/>
        </w:rPr>
        <w:br w:type="page"/>
      </w:r>
    </w:p>
    <w:tbl>
      <w:tblPr>
        <w:tblStyle w:val="TableGrid"/>
        <w:tblW w:w="9360" w:type="dxa"/>
        <w:tblInd w:w="108" w:type="dxa"/>
        <w:tblLayout w:type="fixed"/>
        <w:tblLook w:val="04A0" w:firstRow="1" w:lastRow="0" w:firstColumn="1" w:lastColumn="0" w:noHBand="0" w:noVBand="1"/>
      </w:tblPr>
      <w:tblGrid>
        <w:gridCol w:w="1957"/>
        <w:gridCol w:w="3893"/>
        <w:gridCol w:w="720"/>
        <w:gridCol w:w="810"/>
        <w:gridCol w:w="810"/>
        <w:gridCol w:w="1170"/>
      </w:tblGrid>
      <w:tr w:rsidRPr="008A15E4" w:rsidR="00D520BD" w:rsidTr="00982BD1" w14:paraId="37AFAEAC" w14:textId="77777777">
        <w:tc>
          <w:tcPr>
            <w:tcW w:w="9360" w:type="dxa"/>
            <w:gridSpan w:val="6"/>
          </w:tcPr>
          <w:p w:rsidRPr="001F5099" w:rsidR="00D520BD" w:rsidP="00982BD1" w:rsidRDefault="00D520BD" w14:paraId="516D2190" w14:textId="7D5AA4C4">
            <w:pPr>
              <w:spacing w:before="120"/>
              <w:ind w:left="405" w:hanging="405"/>
              <w:rPr>
                <w:rFonts w:cs="Arial"/>
                <w:b/>
                <w:i/>
                <w:sz w:val="18"/>
                <w:szCs w:val="14"/>
              </w:rPr>
            </w:pPr>
            <w:r w:rsidRPr="001F5099">
              <w:rPr>
                <w:rFonts w:cs="Arial"/>
                <w:b/>
                <w:i/>
                <w:szCs w:val="14"/>
              </w:rPr>
              <w:t>C.</w:t>
            </w:r>
            <w:r w:rsidR="00691AD3">
              <w:rPr>
                <w:rFonts w:cs="Arial"/>
                <w:b/>
                <w:i/>
                <w:szCs w:val="14"/>
              </w:rPr>
              <w:t>6</w:t>
            </w:r>
            <w:r w:rsidRPr="001F5099">
              <w:rPr>
                <w:rFonts w:cs="Arial"/>
                <w:b/>
                <w:i/>
                <w:szCs w:val="14"/>
              </w:rPr>
              <w:t xml:space="preserve"> </w:t>
            </w:r>
            <w:r>
              <w:rPr>
                <w:rFonts w:cs="Arial"/>
                <w:b/>
                <w:i/>
                <w:szCs w:val="14"/>
              </w:rPr>
              <w:t xml:space="preserve"> </w:t>
            </w:r>
            <w:r w:rsidRPr="001F5099">
              <w:rPr>
                <w:rFonts w:cs="Arial"/>
                <w:b/>
                <w:i/>
                <w:szCs w:val="14"/>
              </w:rPr>
              <w:t>Special Analyses Testing of Dilute Specimens and Specimens Collected during Suspected Subversion Attempts</w:t>
            </w:r>
          </w:p>
          <w:p w:rsidRPr="00850248" w:rsidR="00D520BD" w:rsidP="00982BD1" w:rsidRDefault="00D520BD" w14:paraId="62AD66BB" w14:textId="77777777">
            <w:pPr>
              <w:ind w:right="75"/>
              <w:rPr>
                <w:rFonts w:cs="Arial"/>
                <w:sz w:val="16"/>
                <w:szCs w:val="14"/>
              </w:rPr>
            </w:pPr>
          </w:p>
          <w:p w:rsidRPr="00850248" w:rsidR="00D520BD" w:rsidP="00982BD1" w:rsidRDefault="00D520BD" w14:paraId="314AF079" w14:textId="31C4ADD5">
            <w:pPr>
              <w:ind w:right="75"/>
              <w:rPr>
                <w:rFonts w:eastAsia="Arial" w:cs="Arial"/>
                <w:sz w:val="16"/>
                <w:szCs w:val="14"/>
              </w:rPr>
            </w:pPr>
            <w:r>
              <w:rPr>
                <w:rFonts w:eastAsia="Arial" w:cs="Arial"/>
                <w:sz w:val="16"/>
                <w:szCs w:val="14"/>
              </w:rPr>
              <w:t>The regulations in 10 CFR </w:t>
            </w:r>
            <w:r w:rsidRPr="00850248">
              <w:rPr>
                <w:rFonts w:eastAsia="Arial" w:cs="Arial"/>
                <w:sz w:val="16"/>
                <w:szCs w:val="14"/>
              </w:rPr>
              <w:t>26.163(a)(2) provide licensees and other entities with the option to conduct special analyses testing on a donor specimen with a dilute validity test result (i.e.</w:t>
            </w:r>
            <w:r w:rsidR="00646A79">
              <w:rPr>
                <w:rFonts w:eastAsia="Arial" w:cs="Arial"/>
                <w:sz w:val="16"/>
                <w:szCs w:val="14"/>
              </w:rPr>
              <w:t>,</w:t>
            </w:r>
            <w:r w:rsidRPr="00850248">
              <w:rPr>
                <w:rFonts w:eastAsia="Arial" w:cs="Arial"/>
                <w:sz w:val="16"/>
                <w:szCs w:val="14"/>
              </w:rPr>
              <w:t xml:space="preserve"> specimens with a creatinine concentration greater than or equal to 2</w:t>
            </w:r>
            <w:r>
              <w:rPr>
                <w:rFonts w:eastAsia="Arial" w:cs="Arial"/>
                <w:sz w:val="16"/>
                <w:szCs w:val="14"/>
              </w:rPr>
              <w:t> milligrams per deciliter (</w:t>
            </w:r>
            <w:r w:rsidRPr="00850248">
              <w:rPr>
                <w:rFonts w:eastAsia="Arial" w:cs="Arial"/>
                <w:sz w:val="16"/>
                <w:szCs w:val="14"/>
              </w:rPr>
              <w:t>mg/dL</w:t>
            </w:r>
            <w:r>
              <w:rPr>
                <w:rFonts w:eastAsia="Arial" w:cs="Arial"/>
                <w:sz w:val="16"/>
                <w:szCs w:val="14"/>
              </w:rPr>
              <w:t>)</w:t>
            </w:r>
            <w:r w:rsidRPr="00850248">
              <w:rPr>
                <w:rFonts w:eastAsia="Arial" w:cs="Arial"/>
                <w:sz w:val="16"/>
                <w:szCs w:val="14"/>
              </w:rPr>
              <w:t xml:space="preserve"> but less than 20</w:t>
            </w:r>
            <w:r>
              <w:rPr>
                <w:rFonts w:eastAsia="Arial" w:cs="Arial"/>
                <w:sz w:val="16"/>
                <w:szCs w:val="14"/>
              </w:rPr>
              <w:t> </w:t>
            </w:r>
            <w:r w:rsidRPr="00850248">
              <w:rPr>
                <w:rFonts w:eastAsia="Arial" w:cs="Arial"/>
                <w:sz w:val="16"/>
                <w:szCs w:val="14"/>
              </w:rPr>
              <w:t xml:space="preserve">mg/dL).  </w:t>
            </w:r>
            <w:r w:rsidR="008836B2">
              <w:rPr>
                <w:rFonts w:eastAsia="Arial" w:cs="Arial"/>
                <w:sz w:val="16"/>
                <w:szCs w:val="14"/>
              </w:rPr>
              <w:t>S</w:t>
            </w:r>
            <w:r w:rsidRPr="00850248">
              <w:rPr>
                <w:rFonts w:eastAsia="Arial" w:cs="Arial"/>
                <w:sz w:val="16"/>
                <w:szCs w:val="14"/>
              </w:rPr>
              <w:t>pecial analyses testing consists of conducting confirmatory testing to the limit of detection (LOD) if the immunoassay response during initial drug testing is equal to or greater than 50</w:t>
            </w:r>
            <w:r>
              <w:rPr>
                <w:rFonts w:eastAsia="Arial" w:cs="Arial"/>
                <w:sz w:val="16"/>
                <w:szCs w:val="14"/>
              </w:rPr>
              <w:t> percent</w:t>
            </w:r>
            <w:r w:rsidRPr="00850248">
              <w:rPr>
                <w:rFonts w:eastAsia="Arial" w:cs="Arial"/>
                <w:sz w:val="16"/>
                <w:szCs w:val="14"/>
              </w:rPr>
              <w:t xml:space="preserve"> of the cutoff calibrator in a drug class.</w:t>
            </w:r>
          </w:p>
          <w:p w:rsidRPr="00850248" w:rsidR="00D520BD" w:rsidP="00982BD1" w:rsidRDefault="00D520BD" w14:paraId="22F811F3" w14:textId="77777777">
            <w:pPr>
              <w:ind w:right="-20"/>
              <w:rPr>
                <w:rFonts w:cs="Arial"/>
                <w:sz w:val="16"/>
                <w:szCs w:val="14"/>
              </w:rPr>
            </w:pPr>
          </w:p>
          <w:p w:rsidRPr="00850248" w:rsidR="00D520BD" w:rsidP="00982BD1" w:rsidRDefault="00D520BD" w14:paraId="21D54F67" w14:textId="614D9167">
            <w:pPr>
              <w:spacing w:after="120"/>
              <w:ind w:right="-14"/>
              <w:rPr>
                <w:rFonts w:eastAsia="Arial" w:cs="Arial"/>
                <w:sz w:val="16"/>
                <w:szCs w:val="14"/>
              </w:rPr>
            </w:pPr>
            <w:r w:rsidRPr="00850248">
              <w:rPr>
                <w:rFonts w:eastAsia="Arial" w:cs="Arial"/>
                <w:sz w:val="16"/>
                <w:szCs w:val="14"/>
              </w:rPr>
              <w:t xml:space="preserve">The </w:t>
            </w:r>
            <w:r w:rsidR="009D5926">
              <w:rPr>
                <w:rFonts w:eastAsia="Arial" w:cs="Arial"/>
                <w:sz w:val="16"/>
                <w:szCs w:val="14"/>
              </w:rPr>
              <w:t xml:space="preserve">final </w:t>
            </w:r>
            <w:r>
              <w:rPr>
                <w:rFonts w:eastAsia="Arial" w:cs="Arial"/>
                <w:sz w:val="16"/>
                <w:szCs w:val="14"/>
              </w:rPr>
              <w:t xml:space="preserve">rule </w:t>
            </w:r>
            <w:r w:rsidR="00E21926">
              <w:rPr>
                <w:rFonts w:eastAsia="Arial" w:cs="Arial"/>
                <w:sz w:val="16"/>
                <w:szCs w:val="14"/>
              </w:rPr>
              <w:t>does</w:t>
            </w:r>
            <w:r>
              <w:rPr>
                <w:rFonts w:eastAsia="Arial" w:cs="Arial"/>
                <w:sz w:val="16"/>
                <w:szCs w:val="14"/>
              </w:rPr>
              <w:t xml:space="preserve"> the following:</w:t>
            </w:r>
          </w:p>
          <w:p w:rsidRPr="00D85788" w:rsidR="00D520BD" w:rsidP="005C6BA3" w:rsidRDefault="00D520BD" w14:paraId="0F53D7C5" w14:textId="44BDC46C">
            <w:pPr>
              <w:pStyle w:val="ListParagraph"/>
              <w:numPr>
                <w:ilvl w:val="0"/>
                <w:numId w:val="19"/>
              </w:numPr>
              <w:spacing w:before="35" w:after="60"/>
              <w:ind w:left="518" w:right="259" w:hanging="518"/>
              <w:contextualSpacing w:val="0"/>
              <w:rPr>
                <w:rFonts w:eastAsia="Arial" w:cs="Arial"/>
                <w:sz w:val="16"/>
                <w:szCs w:val="14"/>
              </w:rPr>
            </w:pPr>
            <w:r w:rsidRPr="00850248">
              <w:rPr>
                <w:rFonts w:eastAsia="Arial" w:cs="Arial"/>
                <w:sz w:val="16"/>
                <w:szCs w:val="14"/>
              </w:rPr>
              <w:t xml:space="preserve">Require special analyses testing of dilute specimens if the immunoassay response for a drug is equal to or greater </w:t>
            </w:r>
            <w:r w:rsidRPr="00D85788">
              <w:rPr>
                <w:rFonts w:eastAsia="Arial" w:cs="Arial"/>
                <w:sz w:val="16"/>
                <w:szCs w:val="14"/>
              </w:rPr>
              <w:t>than 40 percent of the cutoff calibrator for initial drug testing.</w:t>
            </w:r>
          </w:p>
          <w:p w:rsidRPr="00D85788" w:rsidR="00D520BD" w:rsidP="005C6BA3" w:rsidRDefault="00D520BD" w14:paraId="1E8960A2" w14:textId="127115E8">
            <w:pPr>
              <w:pStyle w:val="ListParagraph"/>
              <w:numPr>
                <w:ilvl w:val="0"/>
                <w:numId w:val="19"/>
              </w:numPr>
              <w:spacing w:before="35" w:after="60"/>
              <w:ind w:left="518" w:right="259" w:hanging="518"/>
              <w:contextualSpacing w:val="0"/>
              <w:rPr>
                <w:rFonts w:eastAsia="Arial" w:cs="Arial"/>
                <w:sz w:val="16"/>
                <w:szCs w:val="14"/>
              </w:rPr>
            </w:pPr>
            <w:r w:rsidRPr="00D85788">
              <w:rPr>
                <w:rFonts w:eastAsia="Arial" w:cs="Arial"/>
                <w:sz w:val="16"/>
                <w:szCs w:val="14"/>
              </w:rPr>
              <w:t>Expand the use of special analyses testing to circumstances where a subversion attempt is suspected during the specimen collection process (e.g.</w:t>
            </w:r>
            <w:r w:rsidR="00646A79">
              <w:rPr>
                <w:rFonts w:eastAsia="Arial" w:cs="Arial"/>
                <w:sz w:val="16"/>
                <w:szCs w:val="14"/>
              </w:rPr>
              <w:t>,</w:t>
            </w:r>
            <w:r w:rsidRPr="00D85788">
              <w:rPr>
                <w:rFonts w:eastAsia="Arial" w:cs="Arial"/>
                <w:sz w:val="16"/>
                <w:szCs w:val="14"/>
              </w:rPr>
              <w:t> if the initial specimen provided is out of temperature range</w:t>
            </w:r>
            <w:r w:rsidR="00646A79">
              <w:rPr>
                <w:rFonts w:eastAsia="Arial" w:cs="Arial"/>
                <w:sz w:val="16"/>
                <w:szCs w:val="14"/>
              </w:rPr>
              <w:t>,</w:t>
            </w:r>
            <w:r w:rsidRPr="00D85788">
              <w:rPr>
                <w:rFonts w:eastAsia="Arial" w:cs="Arial"/>
                <w:sz w:val="16"/>
                <w:szCs w:val="14"/>
              </w:rPr>
              <w:t xml:space="preserve"> the second specimen collected under direct observation </w:t>
            </w:r>
            <w:r w:rsidR="00B55843">
              <w:rPr>
                <w:rFonts w:eastAsia="Arial" w:cs="Arial"/>
                <w:sz w:val="16"/>
                <w:szCs w:val="14"/>
              </w:rPr>
              <w:t>will</w:t>
            </w:r>
            <w:r w:rsidRPr="00D85788">
              <w:rPr>
                <w:rFonts w:eastAsia="Arial" w:cs="Arial"/>
                <w:sz w:val="16"/>
                <w:szCs w:val="14"/>
              </w:rPr>
              <w:t xml:space="preserve"> be subject to the special analyses testing provisions).</w:t>
            </w:r>
          </w:p>
          <w:p w:rsidRPr="00850248" w:rsidR="00D520BD" w:rsidP="005C6BA3" w:rsidRDefault="00D520BD" w14:paraId="174CE5F2" w14:textId="25DEAB92">
            <w:pPr>
              <w:pStyle w:val="ListParagraph"/>
              <w:numPr>
                <w:ilvl w:val="0"/>
                <w:numId w:val="19"/>
              </w:numPr>
              <w:spacing w:before="35" w:after="120"/>
              <w:ind w:left="518" w:right="259" w:hanging="518"/>
              <w:contextualSpacing w:val="0"/>
              <w:rPr>
                <w:rFonts w:eastAsia="Arial" w:cs="Arial"/>
                <w:sz w:val="16"/>
                <w:szCs w:val="14"/>
              </w:rPr>
            </w:pPr>
            <w:r w:rsidRPr="00850248">
              <w:rPr>
                <w:rFonts w:eastAsia="Arial" w:cs="Arial"/>
                <w:sz w:val="16"/>
                <w:szCs w:val="14"/>
              </w:rPr>
              <w:t>Increase the assurance of special analys</w:t>
            </w:r>
            <w:r>
              <w:rPr>
                <w:rFonts w:eastAsia="Arial" w:cs="Arial"/>
                <w:sz w:val="16"/>
                <w:szCs w:val="14"/>
              </w:rPr>
              <w:t>e</w:t>
            </w:r>
            <w:r w:rsidRPr="00850248">
              <w:rPr>
                <w:rFonts w:eastAsia="Arial" w:cs="Arial"/>
                <w:sz w:val="16"/>
                <w:szCs w:val="14"/>
              </w:rPr>
              <w:t xml:space="preserve">s testing by using the limit of quantitation (LOQ) instead of </w:t>
            </w:r>
            <w:r>
              <w:rPr>
                <w:rFonts w:eastAsia="Arial" w:cs="Arial"/>
                <w:sz w:val="16"/>
                <w:szCs w:val="14"/>
              </w:rPr>
              <w:t xml:space="preserve">the </w:t>
            </w:r>
            <w:r w:rsidRPr="00850248">
              <w:rPr>
                <w:rFonts w:eastAsia="Arial" w:cs="Arial"/>
                <w:sz w:val="16"/>
                <w:szCs w:val="14"/>
              </w:rPr>
              <w:t xml:space="preserve">LOD as the level at which confirmatory testing is to be conducted. </w:t>
            </w:r>
            <w:r>
              <w:rPr>
                <w:rFonts w:eastAsia="Arial" w:cs="Arial"/>
                <w:sz w:val="16"/>
                <w:szCs w:val="14"/>
              </w:rPr>
              <w:t xml:space="preserve"> </w:t>
            </w:r>
            <w:r w:rsidRPr="00850248">
              <w:rPr>
                <w:rFonts w:eastAsia="Arial" w:cs="Arial"/>
                <w:sz w:val="16"/>
                <w:szCs w:val="14"/>
              </w:rPr>
              <w:t xml:space="preserve">Each HHS-certified laboratory must establish both the LOD and </w:t>
            </w:r>
            <w:r>
              <w:rPr>
                <w:rFonts w:eastAsia="Arial" w:cs="Arial"/>
                <w:sz w:val="16"/>
                <w:szCs w:val="14"/>
              </w:rPr>
              <w:t xml:space="preserve">the </w:t>
            </w:r>
            <w:r w:rsidRPr="00850248">
              <w:rPr>
                <w:rFonts w:eastAsia="Arial" w:cs="Arial"/>
                <w:sz w:val="16"/>
                <w:szCs w:val="14"/>
              </w:rPr>
              <w:t>LOQ for each assay</w:t>
            </w:r>
            <w:r w:rsidR="00C77E9E">
              <w:rPr>
                <w:rFonts w:eastAsia="Arial" w:cs="Arial"/>
                <w:sz w:val="16"/>
                <w:szCs w:val="14"/>
              </w:rPr>
              <w:t>,</w:t>
            </w:r>
            <w:r w:rsidRPr="00850248">
              <w:rPr>
                <w:rFonts w:eastAsia="Arial" w:cs="Arial"/>
                <w:sz w:val="16"/>
                <w:szCs w:val="14"/>
              </w:rPr>
              <w:t xml:space="preserve"> and both measures are scientifically valid.  However</w:t>
            </w:r>
            <w:r w:rsidR="00646A79">
              <w:rPr>
                <w:rFonts w:eastAsia="Arial" w:cs="Arial"/>
                <w:sz w:val="16"/>
                <w:szCs w:val="14"/>
              </w:rPr>
              <w:t>,</w:t>
            </w:r>
            <w:r w:rsidRPr="00850248">
              <w:rPr>
                <w:rFonts w:eastAsia="Arial" w:cs="Arial"/>
                <w:sz w:val="16"/>
                <w:szCs w:val="14"/>
              </w:rPr>
              <w:t xml:space="preserve"> the LOQ requires that the analyte be reliably detected and reliably quantified.  The LOD only requires that a drug analyte be reliably identified but not quantified.</w:t>
            </w:r>
          </w:p>
          <w:p w:rsidRPr="00975E08" w:rsidR="00D520BD" w:rsidP="00982BD1" w:rsidRDefault="00D520BD" w14:paraId="7C1E2623" w14:textId="2517EAE3">
            <w:pPr>
              <w:ind w:right="75"/>
              <w:rPr>
                <w:rFonts w:eastAsia="Arial" w:cs="Arial"/>
                <w:sz w:val="16"/>
                <w:szCs w:val="14"/>
              </w:rPr>
            </w:pPr>
            <w:r w:rsidRPr="00850248">
              <w:rPr>
                <w:rFonts w:eastAsia="Arial" w:cs="Arial"/>
                <w:sz w:val="16"/>
                <w:szCs w:val="14"/>
              </w:rPr>
              <w:t>These changes further e</w:t>
            </w:r>
            <w:r>
              <w:rPr>
                <w:rFonts w:eastAsia="Arial" w:cs="Arial"/>
                <w:sz w:val="16"/>
                <w:szCs w:val="14"/>
              </w:rPr>
              <w:t xml:space="preserve">nhance the detection of </w:t>
            </w:r>
            <w:r w:rsidRPr="00850248">
              <w:rPr>
                <w:rFonts w:eastAsia="Arial" w:cs="Arial"/>
                <w:sz w:val="16"/>
                <w:szCs w:val="14"/>
              </w:rPr>
              <w:t xml:space="preserve">drugs when specimens do not present normal physiological characteristics.  The </w:t>
            </w:r>
            <w:r w:rsidRPr="00975E08">
              <w:rPr>
                <w:rFonts w:eastAsia="Arial" w:cs="Arial"/>
                <w:sz w:val="16"/>
                <w:szCs w:val="14"/>
              </w:rPr>
              <w:t xml:space="preserve">2008 </w:t>
            </w:r>
            <w:r w:rsidRPr="00975E08" w:rsidR="008947C7">
              <w:rPr>
                <w:rFonts w:eastAsia="Arial" w:cs="Arial"/>
                <w:sz w:val="16"/>
                <w:szCs w:val="14"/>
              </w:rPr>
              <w:t xml:space="preserve">and 2017 </w:t>
            </w:r>
            <w:r w:rsidRPr="00975E08">
              <w:rPr>
                <w:rFonts w:eastAsia="Arial" w:cs="Arial"/>
                <w:sz w:val="16"/>
                <w:szCs w:val="14"/>
              </w:rPr>
              <w:t>HHS Guidelines do not address special analyses testing</w:t>
            </w:r>
            <w:r w:rsidRPr="00975E08" w:rsidR="00646A79">
              <w:rPr>
                <w:rFonts w:eastAsia="Arial" w:cs="Arial"/>
                <w:sz w:val="16"/>
                <w:szCs w:val="14"/>
              </w:rPr>
              <w:t>,</w:t>
            </w:r>
            <w:r w:rsidRPr="00975E08">
              <w:rPr>
                <w:rFonts w:eastAsia="Arial" w:cs="Arial"/>
                <w:sz w:val="16"/>
                <w:szCs w:val="14"/>
              </w:rPr>
              <w:t xml:space="preserve"> but the </w:t>
            </w:r>
            <w:r w:rsidRPr="00975E08" w:rsidR="00975D42">
              <w:rPr>
                <w:rFonts w:eastAsia="Arial" w:cs="Arial"/>
                <w:sz w:val="16"/>
                <w:szCs w:val="14"/>
              </w:rPr>
              <w:t>final rule</w:t>
            </w:r>
            <w:r w:rsidRPr="00975E08">
              <w:rPr>
                <w:rFonts w:eastAsia="Arial" w:cs="Arial"/>
                <w:sz w:val="16"/>
                <w:szCs w:val="14"/>
              </w:rPr>
              <w:t xml:space="preserve"> changes are based on industry experience and feedback received from HHS-certified laboratories in implementing the 2008 FFD final rule.</w:t>
            </w:r>
          </w:p>
          <w:p w:rsidRPr="008A15E4" w:rsidR="00D520BD" w:rsidP="00982BD1" w:rsidRDefault="00D520BD" w14:paraId="2BAA19E2" w14:textId="77777777">
            <w:pPr>
              <w:rPr>
                <w:rFonts w:cs="Arial"/>
                <w:sz w:val="14"/>
                <w:szCs w:val="14"/>
              </w:rPr>
            </w:pPr>
          </w:p>
        </w:tc>
      </w:tr>
      <w:tr w:rsidRPr="000864A1" w:rsidR="00D520BD" w:rsidTr="001C37CD" w14:paraId="485D773E" w14:textId="77777777">
        <w:tc>
          <w:tcPr>
            <w:tcW w:w="1957" w:type="dxa"/>
            <w:shd w:val="clear" w:color="auto" w:fill="D9D9D9" w:themeFill="background1" w:themeFillShade="D9"/>
            <w:tcMar>
              <w:left w:w="58" w:type="dxa"/>
              <w:right w:w="58" w:type="dxa"/>
            </w:tcMar>
            <w:vAlign w:val="center"/>
          </w:tcPr>
          <w:p w:rsidRPr="00850248" w:rsidR="00D520BD" w:rsidP="00982BD1" w:rsidRDefault="00D520BD" w14:paraId="69CCBF78" w14:textId="77777777">
            <w:pPr>
              <w:jc w:val="center"/>
              <w:rPr>
                <w:rFonts w:cs="Arial"/>
                <w:b/>
                <w:i/>
                <w:sz w:val="16"/>
                <w:szCs w:val="14"/>
              </w:rPr>
            </w:pPr>
            <w:r w:rsidRPr="00850248">
              <w:rPr>
                <w:rFonts w:cs="Arial"/>
                <w:b/>
                <w:i/>
                <w:sz w:val="16"/>
                <w:szCs w:val="14"/>
              </w:rPr>
              <w:t>Activity</w:t>
            </w:r>
          </w:p>
        </w:tc>
        <w:tc>
          <w:tcPr>
            <w:tcW w:w="3893" w:type="dxa"/>
            <w:shd w:val="clear" w:color="auto" w:fill="D9D9D9" w:themeFill="background1" w:themeFillShade="D9"/>
            <w:tcMar>
              <w:left w:w="58" w:type="dxa"/>
              <w:right w:w="58" w:type="dxa"/>
            </w:tcMar>
            <w:vAlign w:val="center"/>
          </w:tcPr>
          <w:p w:rsidRPr="00850248" w:rsidR="00D520BD" w:rsidP="00982BD1" w:rsidRDefault="00D520BD" w14:paraId="6EDA4744" w14:textId="77777777">
            <w:pPr>
              <w:jc w:val="center"/>
              <w:rPr>
                <w:rFonts w:cs="Arial"/>
                <w:b/>
                <w:i/>
                <w:sz w:val="16"/>
                <w:szCs w:val="16"/>
              </w:rPr>
            </w:pPr>
            <w:r w:rsidRPr="00850248">
              <w:rPr>
                <w:rFonts w:cs="Arial"/>
                <w:b/>
                <w:i/>
                <w:sz w:val="16"/>
                <w:szCs w:val="16"/>
              </w:rPr>
              <w:t>Parameter</w:t>
            </w:r>
          </w:p>
        </w:tc>
        <w:tc>
          <w:tcPr>
            <w:tcW w:w="720" w:type="dxa"/>
            <w:shd w:val="clear" w:color="auto" w:fill="D9D9D9" w:themeFill="background1" w:themeFillShade="D9"/>
            <w:tcMar>
              <w:left w:w="58" w:type="dxa"/>
              <w:right w:w="58" w:type="dxa"/>
            </w:tcMar>
            <w:vAlign w:val="center"/>
          </w:tcPr>
          <w:p w:rsidRPr="00850248" w:rsidR="00D520BD" w:rsidP="00982BD1" w:rsidRDefault="00D520BD" w14:paraId="46ECF264" w14:textId="77777777">
            <w:pPr>
              <w:jc w:val="center"/>
              <w:rPr>
                <w:rFonts w:cs="Arial"/>
                <w:b/>
                <w:i/>
                <w:sz w:val="16"/>
                <w:szCs w:val="16"/>
              </w:rPr>
            </w:pPr>
            <w:r w:rsidRPr="00850248">
              <w:rPr>
                <w:rFonts w:cs="Arial"/>
                <w:b/>
                <w:i/>
                <w:sz w:val="16"/>
                <w:szCs w:val="16"/>
              </w:rPr>
              <w:t>Value</w:t>
            </w:r>
          </w:p>
        </w:tc>
        <w:tc>
          <w:tcPr>
            <w:tcW w:w="810" w:type="dxa"/>
            <w:shd w:val="clear" w:color="auto" w:fill="D9D9D9" w:themeFill="background1" w:themeFillShade="D9"/>
            <w:tcMar>
              <w:left w:w="58" w:type="dxa"/>
              <w:right w:w="58" w:type="dxa"/>
            </w:tcMar>
            <w:vAlign w:val="center"/>
          </w:tcPr>
          <w:p w:rsidRPr="00850248" w:rsidR="00D520BD" w:rsidP="00982BD1" w:rsidRDefault="00D520BD" w14:paraId="0B1BB562" w14:textId="77777777">
            <w:pPr>
              <w:jc w:val="center"/>
              <w:rPr>
                <w:rFonts w:cs="Arial"/>
                <w:b/>
                <w:i/>
                <w:sz w:val="16"/>
                <w:szCs w:val="16"/>
              </w:rPr>
            </w:pPr>
            <w:r w:rsidRPr="00850248">
              <w:rPr>
                <w:rFonts w:cs="Arial"/>
                <w:b/>
                <w:i/>
                <w:sz w:val="16"/>
                <w:szCs w:val="16"/>
              </w:rPr>
              <w:t>Benefits (Cost)</w:t>
            </w:r>
          </w:p>
        </w:tc>
        <w:tc>
          <w:tcPr>
            <w:tcW w:w="810" w:type="dxa"/>
            <w:shd w:val="clear" w:color="auto" w:fill="D9D9D9" w:themeFill="background1" w:themeFillShade="D9"/>
            <w:tcMar>
              <w:left w:w="58" w:type="dxa"/>
              <w:right w:w="58" w:type="dxa"/>
            </w:tcMar>
            <w:vAlign w:val="center"/>
          </w:tcPr>
          <w:p w:rsidRPr="00850248" w:rsidR="00D520BD" w:rsidP="00982BD1" w:rsidRDefault="00D520BD" w14:paraId="410A15EB" w14:textId="77777777">
            <w:pPr>
              <w:jc w:val="center"/>
              <w:rPr>
                <w:rFonts w:cs="Arial"/>
                <w:b/>
                <w:i/>
                <w:sz w:val="16"/>
                <w:szCs w:val="16"/>
              </w:rPr>
            </w:pPr>
            <w:r>
              <w:rPr>
                <w:rFonts w:cs="Arial"/>
                <w:b/>
                <w:i/>
                <w:sz w:val="16"/>
                <w:szCs w:val="16"/>
              </w:rPr>
              <w:t xml:space="preserve">Sites </w:t>
            </w:r>
            <w:r w:rsidRPr="00850248">
              <w:rPr>
                <w:rFonts w:cs="Arial"/>
                <w:b/>
                <w:i/>
                <w:sz w:val="16"/>
                <w:szCs w:val="16"/>
              </w:rPr>
              <w:t>Affected</w:t>
            </w:r>
          </w:p>
        </w:tc>
        <w:tc>
          <w:tcPr>
            <w:tcW w:w="1170" w:type="dxa"/>
            <w:shd w:val="clear" w:color="auto" w:fill="D9D9D9" w:themeFill="background1" w:themeFillShade="D9"/>
            <w:tcMar>
              <w:left w:w="58" w:type="dxa"/>
              <w:right w:w="58" w:type="dxa"/>
            </w:tcMar>
            <w:vAlign w:val="center"/>
          </w:tcPr>
          <w:p w:rsidRPr="00850248" w:rsidR="00D520BD" w:rsidP="00982BD1" w:rsidRDefault="00D520BD" w14:paraId="3AF79D61" w14:textId="77777777">
            <w:pPr>
              <w:jc w:val="center"/>
              <w:rPr>
                <w:rFonts w:cs="Arial"/>
                <w:b/>
                <w:i/>
                <w:sz w:val="16"/>
                <w:szCs w:val="16"/>
              </w:rPr>
            </w:pPr>
            <w:r w:rsidRPr="00850248">
              <w:rPr>
                <w:rFonts w:cs="Arial"/>
                <w:b/>
                <w:i/>
                <w:sz w:val="16"/>
                <w:szCs w:val="16"/>
              </w:rPr>
              <w:t>Total Benefits (Costs)</w:t>
            </w:r>
          </w:p>
        </w:tc>
      </w:tr>
      <w:tr w:rsidRPr="000864A1" w:rsidR="00D520BD" w:rsidTr="00982BD1" w14:paraId="55E0CE49" w14:textId="77777777">
        <w:trPr>
          <w:trHeight w:val="260"/>
        </w:trPr>
        <w:tc>
          <w:tcPr>
            <w:tcW w:w="9360" w:type="dxa"/>
            <w:gridSpan w:val="6"/>
            <w:shd w:val="clear" w:color="auto" w:fill="D9D9D9" w:themeFill="background1" w:themeFillShade="D9"/>
            <w:tcMar>
              <w:left w:w="58" w:type="dxa"/>
              <w:right w:w="58" w:type="dxa"/>
            </w:tcMar>
            <w:vAlign w:val="center"/>
          </w:tcPr>
          <w:p w:rsidRPr="00850248" w:rsidR="00D520BD" w:rsidP="00982BD1" w:rsidRDefault="00D520BD" w14:paraId="44B459AB" w14:textId="77777777">
            <w:pPr>
              <w:rPr>
                <w:rFonts w:cs="Arial"/>
                <w:sz w:val="16"/>
                <w:szCs w:val="16"/>
              </w:rPr>
            </w:pPr>
            <w:r w:rsidRPr="00850248">
              <w:rPr>
                <w:rFonts w:eastAsia="Arial" w:cs="Arial"/>
                <w:b/>
                <w:bCs/>
                <w:sz w:val="16"/>
                <w:szCs w:val="16"/>
              </w:rPr>
              <w:t>INDU</w:t>
            </w:r>
            <w:r w:rsidRPr="00850248">
              <w:rPr>
                <w:rFonts w:eastAsia="Arial" w:cs="Arial"/>
                <w:b/>
                <w:bCs/>
                <w:spacing w:val="2"/>
                <w:sz w:val="16"/>
                <w:szCs w:val="16"/>
              </w:rPr>
              <w:t>S</w:t>
            </w:r>
            <w:r w:rsidRPr="00850248">
              <w:rPr>
                <w:rFonts w:eastAsia="Arial" w:cs="Arial"/>
                <w:b/>
                <w:bCs/>
                <w:spacing w:val="-2"/>
                <w:sz w:val="16"/>
                <w:szCs w:val="16"/>
              </w:rPr>
              <w:t>T</w:t>
            </w:r>
            <w:r w:rsidRPr="00850248">
              <w:rPr>
                <w:rFonts w:eastAsia="Arial" w:cs="Arial"/>
                <w:b/>
                <w:bCs/>
                <w:spacing w:val="2"/>
                <w:sz w:val="16"/>
                <w:szCs w:val="16"/>
              </w:rPr>
              <w:t>R</w:t>
            </w:r>
            <w:r w:rsidRPr="00850248">
              <w:rPr>
                <w:rFonts w:eastAsia="Arial" w:cs="Arial"/>
                <w:b/>
                <w:bCs/>
                <w:sz w:val="16"/>
                <w:szCs w:val="16"/>
              </w:rPr>
              <w:t>Y</w:t>
            </w:r>
            <w:r w:rsidRPr="00850248">
              <w:rPr>
                <w:rFonts w:eastAsia="Arial" w:cs="Arial"/>
                <w:b/>
                <w:bCs/>
                <w:spacing w:val="10"/>
                <w:sz w:val="16"/>
                <w:szCs w:val="16"/>
              </w:rPr>
              <w:t xml:space="preserve"> </w:t>
            </w:r>
            <w:r w:rsidRPr="00850248">
              <w:rPr>
                <w:rFonts w:eastAsia="Arial" w:cs="Arial"/>
                <w:b/>
                <w:bCs/>
                <w:sz w:val="16"/>
                <w:szCs w:val="16"/>
              </w:rPr>
              <w:t>OPE</w:t>
            </w:r>
            <w:r w:rsidRPr="00850248">
              <w:rPr>
                <w:rFonts w:eastAsia="Arial" w:cs="Arial"/>
                <w:b/>
                <w:bCs/>
                <w:spacing w:val="5"/>
                <w:sz w:val="16"/>
                <w:szCs w:val="16"/>
              </w:rPr>
              <w:t>R</w:t>
            </w:r>
            <w:r w:rsidRPr="00850248">
              <w:rPr>
                <w:rFonts w:eastAsia="Arial" w:cs="Arial"/>
                <w:b/>
                <w:bCs/>
                <w:spacing w:val="-7"/>
                <w:sz w:val="16"/>
                <w:szCs w:val="16"/>
              </w:rPr>
              <w:t>A</w:t>
            </w:r>
            <w:r w:rsidRPr="00850248">
              <w:rPr>
                <w:rFonts w:eastAsia="Arial" w:cs="Arial"/>
                <w:b/>
                <w:bCs/>
                <w:sz w:val="16"/>
                <w:szCs w:val="16"/>
              </w:rPr>
              <w:t>T</w:t>
            </w:r>
            <w:r w:rsidRPr="00850248">
              <w:rPr>
                <w:rFonts w:eastAsia="Arial" w:cs="Arial"/>
                <w:b/>
                <w:bCs/>
                <w:spacing w:val="2"/>
                <w:sz w:val="16"/>
                <w:szCs w:val="16"/>
              </w:rPr>
              <w:t>I</w:t>
            </w:r>
            <w:r w:rsidRPr="00850248">
              <w:rPr>
                <w:rFonts w:eastAsia="Arial" w:cs="Arial"/>
                <w:b/>
                <w:bCs/>
                <w:sz w:val="16"/>
                <w:szCs w:val="16"/>
              </w:rPr>
              <w:t>ONS</w:t>
            </w:r>
            <w:r w:rsidRPr="00850248">
              <w:rPr>
                <w:rFonts w:eastAsia="Arial" w:cs="Arial"/>
                <w:b/>
                <w:bCs/>
                <w:spacing w:val="13"/>
                <w:sz w:val="16"/>
                <w:szCs w:val="16"/>
              </w:rPr>
              <w:t xml:space="preserve"> </w:t>
            </w:r>
            <w:r w:rsidRPr="00850248">
              <w:rPr>
                <w:rFonts w:eastAsia="Arial" w:cs="Arial"/>
                <w:b/>
                <w:bCs/>
                <w:spacing w:val="7"/>
                <w:sz w:val="16"/>
                <w:szCs w:val="16"/>
              </w:rPr>
              <w:t>(</w:t>
            </w:r>
            <w:r w:rsidRPr="00850248">
              <w:rPr>
                <w:rFonts w:eastAsia="Arial" w:cs="Arial"/>
                <w:b/>
                <w:bCs/>
                <w:spacing w:val="-7"/>
                <w:sz w:val="16"/>
                <w:szCs w:val="16"/>
              </w:rPr>
              <w:t>A</w:t>
            </w:r>
            <w:r w:rsidRPr="00850248">
              <w:rPr>
                <w:rFonts w:eastAsia="Arial" w:cs="Arial"/>
                <w:b/>
                <w:bCs/>
                <w:spacing w:val="2"/>
                <w:sz w:val="16"/>
                <w:szCs w:val="16"/>
              </w:rPr>
              <w:t>NN</w:t>
            </w:r>
            <w:r w:rsidRPr="00850248">
              <w:rPr>
                <w:rFonts w:eastAsia="Arial" w:cs="Arial"/>
                <w:b/>
                <w:bCs/>
                <w:spacing w:val="7"/>
                <w:sz w:val="16"/>
                <w:szCs w:val="16"/>
              </w:rPr>
              <w:t>U</w:t>
            </w:r>
            <w:r w:rsidRPr="00850248">
              <w:rPr>
                <w:rFonts w:eastAsia="Arial" w:cs="Arial"/>
                <w:b/>
                <w:bCs/>
                <w:spacing w:val="-7"/>
                <w:sz w:val="16"/>
                <w:szCs w:val="16"/>
              </w:rPr>
              <w:t>A</w:t>
            </w:r>
            <w:r w:rsidRPr="00850248">
              <w:rPr>
                <w:rFonts w:eastAsia="Arial" w:cs="Arial"/>
                <w:b/>
                <w:bCs/>
                <w:spacing w:val="2"/>
                <w:sz w:val="16"/>
                <w:szCs w:val="16"/>
              </w:rPr>
              <w:t>L)</w:t>
            </w:r>
          </w:p>
        </w:tc>
      </w:tr>
      <w:tr w:rsidRPr="00850248" w:rsidR="00D520BD" w:rsidTr="00492813" w14:paraId="1332F102" w14:textId="77777777">
        <w:tc>
          <w:tcPr>
            <w:tcW w:w="9360" w:type="dxa"/>
            <w:gridSpan w:val="6"/>
            <w:tcBorders>
              <w:bottom w:val="single" w:color="auto" w:sz="4" w:space="0"/>
            </w:tcBorders>
            <w:tcMar>
              <w:left w:w="58" w:type="dxa"/>
              <w:right w:w="58" w:type="dxa"/>
            </w:tcMar>
            <w:vAlign w:val="center"/>
          </w:tcPr>
          <w:p w:rsidRPr="00850248" w:rsidR="00D520BD" w:rsidP="00982BD1" w:rsidRDefault="00D520BD" w14:paraId="2C56A634" w14:textId="77777777">
            <w:pPr>
              <w:rPr>
                <w:rFonts w:cs="Arial"/>
                <w:sz w:val="16"/>
                <w:szCs w:val="16"/>
              </w:rPr>
            </w:pPr>
            <w:r>
              <w:rPr>
                <w:rFonts w:eastAsia="Arial" w:cs="Arial"/>
                <w:b/>
                <w:bCs/>
                <w:spacing w:val="2"/>
                <w:sz w:val="16"/>
                <w:szCs w:val="16"/>
              </w:rPr>
              <w:t xml:space="preserve">Special Analyses Testing of </w:t>
            </w:r>
            <w:r w:rsidRPr="00850248">
              <w:rPr>
                <w:rFonts w:eastAsia="Arial" w:cs="Arial"/>
                <w:b/>
                <w:bCs/>
                <w:spacing w:val="2"/>
                <w:sz w:val="16"/>
                <w:szCs w:val="16"/>
              </w:rPr>
              <w:t>Dil</w:t>
            </w:r>
            <w:r w:rsidRPr="00850248">
              <w:rPr>
                <w:rFonts w:eastAsia="Arial" w:cs="Arial"/>
                <w:b/>
                <w:bCs/>
                <w:spacing w:val="3"/>
                <w:sz w:val="16"/>
                <w:szCs w:val="16"/>
              </w:rPr>
              <w:t>u</w:t>
            </w:r>
            <w:r w:rsidRPr="00850248">
              <w:rPr>
                <w:rFonts w:eastAsia="Arial" w:cs="Arial"/>
                <w:b/>
                <w:bCs/>
                <w:spacing w:val="2"/>
                <w:sz w:val="16"/>
                <w:szCs w:val="16"/>
              </w:rPr>
              <w:t>te</w:t>
            </w:r>
            <w:r>
              <w:rPr>
                <w:rFonts w:eastAsia="Arial" w:cs="Arial"/>
                <w:b/>
                <w:bCs/>
                <w:spacing w:val="2"/>
                <w:sz w:val="16"/>
                <w:szCs w:val="16"/>
              </w:rPr>
              <w:t xml:space="preserve"> Specimen</w:t>
            </w:r>
            <w:r w:rsidRPr="00850248">
              <w:rPr>
                <w:rFonts w:eastAsia="Arial" w:cs="Arial"/>
                <w:b/>
                <w:bCs/>
                <w:spacing w:val="2"/>
                <w:sz w:val="16"/>
                <w:szCs w:val="16"/>
              </w:rPr>
              <w:t>s</w:t>
            </w:r>
          </w:p>
        </w:tc>
      </w:tr>
      <w:tr w:rsidRPr="00D16C64" w:rsidR="00D520BD" w:rsidTr="001C37CD" w14:paraId="38202263" w14:textId="77777777">
        <w:trPr>
          <w:trHeight w:val="377"/>
        </w:trPr>
        <w:tc>
          <w:tcPr>
            <w:tcW w:w="1957" w:type="dxa"/>
            <w:vMerge w:val="restart"/>
            <w:shd w:val="clear" w:color="auto" w:fill="FFFFFF" w:themeFill="background1"/>
            <w:tcMar>
              <w:left w:w="58" w:type="dxa"/>
              <w:right w:w="58" w:type="dxa"/>
            </w:tcMar>
            <w:vAlign w:val="center"/>
          </w:tcPr>
          <w:p w:rsidR="00D13A4F" w:rsidP="00982BD1" w:rsidRDefault="00D520BD" w14:paraId="23C7122A" w14:textId="77777777">
            <w:pPr>
              <w:ind w:left="88" w:right="-20"/>
              <w:rPr>
                <w:rFonts w:cs="Arial"/>
                <w:sz w:val="16"/>
                <w:szCs w:val="14"/>
              </w:rPr>
            </w:pPr>
            <w:r w:rsidRPr="00850248">
              <w:rPr>
                <w:rFonts w:cs="Arial"/>
                <w:sz w:val="16"/>
                <w:szCs w:val="14"/>
              </w:rPr>
              <w:t xml:space="preserve">LOQ </w:t>
            </w:r>
            <w:r>
              <w:rPr>
                <w:rFonts w:cs="Arial"/>
                <w:sz w:val="16"/>
                <w:szCs w:val="14"/>
              </w:rPr>
              <w:t xml:space="preserve">special analyses </w:t>
            </w:r>
            <w:r w:rsidRPr="00850248">
              <w:rPr>
                <w:rFonts w:cs="Arial"/>
                <w:sz w:val="16"/>
                <w:szCs w:val="14"/>
              </w:rPr>
              <w:t>testing at an HHS-</w:t>
            </w:r>
            <w:r w:rsidRPr="0054296B">
              <w:rPr>
                <w:rFonts w:eastAsia="Arial" w:cs="Arial"/>
                <w:spacing w:val="-2"/>
                <w:sz w:val="16"/>
                <w:szCs w:val="14"/>
              </w:rPr>
              <w:t>certified</w:t>
            </w:r>
            <w:r w:rsidRPr="00850248">
              <w:rPr>
                <w:rFonts w:cs="Arial"/>
                <w:sz w:val="16"/>
                <w:szCs w:val="14"/>
              </w:rPr>
              <w:t xml:space="preserve"> laboratory </w:t>
            </w:r>
          </w:p>
          <w:p w:rsidRPr="00850248" w:rsidR="00D520BD" w:rsidP="00982BD1" w:rsidRDefault="00D520BD" w14:paraId="2454A495" w14:textId="573EEAEB">
            <w:pPr>
              <w:ind w:left="88" w:right="-20"/>
              <w:rPr>
                <w:rFonts w:cs="Arial"/>
                <w:sz w:val="16"/>
                <w:szCs w:val="14"/>
              </w:rPr>
            </w:pPr>
            <w:r>
              <w:rPr>
                <w:rFonts w:cs="Arial"/>
                <w:sz w:val="16"/>
                <w:szCs w:val="14"/>
              </w:rPr>
              <w:t>(</w:t>
            </w:r>
            <w:r w:rsidRPr="00850248">
              <w:rPr>
                <w:rFonts w:cs="Arial"/>
                <w:sz w:val="16"/>
                <w:szCs w:val="14"/>
              </w:rPr>
              <w:t>all sites)</w:t>
            </w:r>
          </w:p>
        </w:tc>
        <w:tc>
          <w:tcPr>
            <w:tcW w:w="3893" w:type="dxa"/>
            <w:tcBorders>
              <w:bottom w:val="single" w:color="auto" w:sz="4" w:space="0"/>
              <w:right w:val="single" w:color="auto" w:sz="4" w:space="0"/>
            </w:tcBorders>
            <w:shd w:val="clear" w:color="auto" w:fill="FFFFFF" w:themeFill="background1"/>
            <w:tcMar>
              <w:left w:w="58" w:type="dxa"/>
              <w:right w:w="58" w:type="dxa"/>
            </w:tcMar>
            <w:vAlign w:val="center"/>
          </w:tcPr>
          <w:p w:rsidRPr="00850248" w:rsidR="00D520BD" w:rsidP="00982BD1" w:rsidRDefault="00D520BD" w14:paraId="5E3AAD36" w14:textId="77777777">
            <w:pPr>
              <w:rPr>
                <w:rFonts w:cs="Arial"/>
                <w:sz w:val="16"/>
                <w:szCs w:val="16"/>
              </w:rPr>
            </w:pPr>
            <w:r>
              <w:rPr>
                <w:rFonts w:cs="Arial"/>
                <w:sz w:val="16"/>
                <w:szCs w:val="16"/>
              </w:rPr>
              <w:t>N</w:t>
            </w:r>
            <w:r w:rsidRPr="00F4671B">
              <w:rPr>
                <w:rFonts w:cs="Arial"/>
                <w:sz w:val="16"/>
                <w:szCs w:val="16"/>
              </w:rPr>
              <w:t xml:space="preserve">umber of </w:t>
            </w:r>
            <w:r>
              <w:rPr>
                <w:rFonts w:cs="Arial"/>
                <w:sz w:val="16"/>
                <w:szCs w:val="16"/>
              </w:rPr>
              <w:t xml:space="preserve">drug </w:t>
            </w:r>
            <w:r w:rsidRPr="00F4671B">
              <w:rPr>
                <w:rFonts w:cs="Arial"/>
                <w:sz w:val="16"/>
                <w:szCs w:val="16"/>
              </w:rPr>
              <w:t>tests conducted per site</w:t>
            </w:r>
            <w:r>
              <w:rPr>
                <w:rFonts w:cs="Arial"/>
                <w:sz w:val="16"/>
                <w:szCs w:val="16"/>
              </w:rPr>
              <w:t xml:space="preserve"> per year under 10 CFR Part 26</w:t>
            </w:r>
          </w:p>
        </w:tc>
        <w:tc>
          <w:tcPr>
            <w:tcW w:w="720" w:type="dxa"/>
            <w:tcBorders>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D16C64" w:rsidR="00D520BD" w:rsidDel="006868F9" w:rsidP="00982BD1" w:rsidRDefault="00D520BD" w14:paraId="0C13DC98" w14:textId="7B8ACE7E">
            <w:pPr>
              <w:jc w:val="right"/>
              <w:rPr>
                <w:rFonts w:cs="Arial"/>
                <w:sz w:val="16"/>
                <w:szCs w:val="16"/>
              </w:rPr>
            </w:pPr>
            <w:r>
              <w:rPr>
                <w:rFonts w:cs="Arial"/>
                <w:sz w:val="16"/>
                <w:szCs w:val="16"/>
              </w:rPr>
              <w:t>2</w:t>
            </w:r>
            <w:r w:rsidR="00646A79">
              <w:rPr>
                <w:rFonts w:cs="Arial"/>
                <w:sz w:val="16"/>
                <w:szCs w:val="16"/>
              </w:rPr>
              <w:t>,</w:t>
            </w:r>
            <w:r w:rsidR="009D3E8C">
              <w:rPr>
                <w:rFonts w:cs="Arial"/>
                <w:sz w:val="16"/>
                <w:szCs w:val="16"/>
              </w:rPr>
              <w:t>257</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3D1037" w:rsidR="00D520BD" w:rsidP="00982BD1" w:rsidRDefault="00D520BD" w14:paraId="71025CE0" w14:textId="5E7AF557">
            <w:pPr>
              <w:jc w:val="right"/>
              <w:rPr>
                <w:rFonts w:cs="Arial"/>
                <w:sz w:val="16"/>
                <w:szCs w:val="16"/>
              </w:rPr>
            </w:pPr>
            <w:r>
              <w:rPr>
                <w:rFonts w:cs="Arial"/>
                <w:sz w:val="16"/>
                <w:szCs w:val="16"/>
              </w:rPr>
              <w:t>($</w:t>
            </w:r>
            <w:r w:rsidR="009D3E8C">
              <w:rPr>
                <w:rFonts w:cs="Arial"/>
                <w:sz w:val="16"/>
                <w:szCs w:val="16"/>
              </w:rPr>
              <w:t>6</w:t>
            </w:r>
            <w:r>
              <w:rPr>
                <w:rFonts w:cs="Arial"/>
                <w:sz w:val="16"/>
                <w:szCs w:val="16"/>
              </w:rPr>
              <w:t>5)</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00D520BD" w:rsidP="00982BD1" w:rsidRDefault="009D3E8C" w14:paraId="02B1FD48" w14:textId="74B8F297">
            <w:pPr>
              <w:jc w:val="right"/>
              <w:rPr>
                <w:rFonts w:cs="Arial"/>
                <w:sz w:val="16"/>
                <w:szCs w:val="16"/>
              </w:rPr>
            </w:pPr>
            <w:r>
              <w:rPr>
                <w:rFonts w:cs="Arial"/>
                <w:sz w:val="16"/>
                <w:szCs w:val="16"/>
              </w:rPr>
              <w:t>59</w:t>
            </w:r>
          </w:p>
        </w:tc>
        <w:tc>
          <w:tcPr>
            <w:tcW w:w="117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D16C64" w:rsidR="00D520BD" w:rsidP="00982BD1" w:rsidRDefault="00D520BD" w14:paraId="014E6909" w14:textId="4E40AAFE">
            <w:pPr>
              <w:jc w:val="right"/>
              <w:rPr>
                <w:rFonts w:cs="Arial"/>
                <w:sz w:val="16"/>
                <w:szCs w:val="16"/>
              </w:rPr>
            </w:pPr>
            <w:r>
              <w:rPr>
                <w:rFonts w:cs="Arial"/>
                <w:sz w:val="16"/>
                <w:szCs w:val="16"/>
              </w:rPr>
              <w:t>($</w:t>
            </w:r>
            <w:r w:rsidR="009D3E8C">
              <w:rPr>
                <w:rFonts w:cs="Arial"/>
                <w:sz w:val="16"/>
                <w:szCs w:val="16"/>
              </w:rPr>
              <w:t>3,835</w:t>
            </w:r>
            <w:r>
              <w:rPr>
                <w:rFonts w:cs="Arial"/>
                <w:sz w:val="16"/>
                <w:szCs w:val="16"/>
              </w:rPr>
              <w:t>)</w:t>
            </w:r>
          </w:p>
        </w:tc>
      </w:tr>
      <w:tr w:rsidRPr="00D16C64" w:rsidR="00D520BD" w:rsidTr="001C37CD" w14:paraId="6E60B403" w14:textId="77777777">
        <w:trPr>
          <w:trHeight w:val="449"/>
        </w:trPr>
        <w:tc>
          <w:tcPr>
            <w:tcW w:w="1957" w:type="dxa"/>
            <w:vMerge/>
            <w:shd w:val="clear" w:color="auto" w:fill="FFFFFF" w:themeFill="background1"/>
            <w:tcMar>
              <w:left w:w="58" w:type="dxa"/>
              <w:right w:w="58" w:type="dxa"/>
            </w:tcMar>
            <w:vAlign w:val="center"/>
          </w:tcPr>
          <w:p w:rsidRPr="00850248" w:rsidR="00D520BD" w:rsidP="00982BD1" w:rsidRDefault="00D520BD" w14:paraId="43D40F91" w14:textId="77777777">
            <w:pPr>
              <w:ind w:left="88" w:right="-20"/>
              <w:rPr>
                <w:rFonts w:cs="Arial"/>
                <w:sz w:val="16"/>
                <w:szCs w:val="14"/>
              </w:rPr>
            </w:pPr>
          </w:p>
        </w:tc>
        <w:tc>
          <w:tcPr>
            <w:tcW w:w="3893" w:type="dxa"/>
            <w:shd w:val="clear" w:color="auto" w:fill="FFFFFF" w:themeFill="background1"/>
            <w:tcMar>
              <w:left w:w="58" w:type="dxa"/>
              <w:right w:w="58" w:type="dxa"/>
            </w:tcMar>
            <w:vAlign w:val="center"/>
          </w:tcPr>
          <w:p w:rsidRPr="007A7C87" w:rsidR="00D520BD" w:rsidP="00982BD1" w:rsidRDefault="00D520BD" w14:paraId="39661215" w14:textId="77777777">
            <w:pPr>
              <w:rPr>
                <w:rFonts w:eastAsia="Arial" w:cs="Arial"/>
                <w:sz w:val="16"/>
                <w:szCs w:val="16"/>
              </w:rPr>
            </w:pPr>
            <w:r w:rsidRPr="007A7C87">
              <w:rPr>
                <w:sz w:val="16"/>
              </w:rPr>
              <w:t>Average annual percentage of specimens tested that are dilute and special analyses testing performed</w:t>
            </w:r>
          </w:p>
        </w:tc>
        <w:tc>
          <w:tcPr>
            <w:tcW w:w="720" w:type="dxa"/>
            <w:tcBorders>
              <w:right w:val="single" w:color="auto" w:sz="4" w:space="0"/>
            </w:tcBorders>
            <w:shd w:val="clear" w:color="auto" w:fill="FFFFFF" w:themeFill="background1"/>
            <w:tcMar>
              <w:left w:w="58" w:type="dxa"/>
              <w:right w:w="58" w:type="dxa"/>
            </w:tcMar>
            <w:vAlign w:val="center"/>
          </w:tcPr>
          <w:p w:rsidRPr="007A7C87" w:rsidR="00D520BD" w:rsidP="00982BD1" w:rsidRDefault="00D520BD" w14:paraId="1BD07264" w14:textId="58CFB793">
            <w:pPr>
              <w:jc w:val="right"/>
              <w:rPr>
                <w:rFonts w:eastAsia="Arial" w:cs="Arial"/>
                <w:spacing w:val="2"/>
                <w:sz w:val="16"/>
                <w:szCs w:val="16"/>
              </w:rPr>
            </w:pPr>
            <w:r>
              <w:rPr>
                <w:sz w:val="16"/>
              </w:rPr>
              <w:t>0.</w:t>
            </w:r>
            <w:r w:rsidR="0087598C">
              <w:rPr>
                <w:sz w:val="16"/>
              </w:rPr>
              <w:t>375</w:t>
            </w:r>
            <w:r w:rsidRPr="007A7C87">
              <w:rPr>
                <w:sz w:val="16"/>
              </w:rPr>
              <w:t>%</w:t>
            </w:r>
          </w:p>
        </w:tc>
        <w:tc>
          <w:tcPr>
            <w:tcW w:w="810" w:type="dxa"/>
            <w:tcBorders>
              <w:top w:val="nil"/>
              <w:left w:val="single" w:color="auto" w:sz="4" w:space="0"/>
              <w:bottom w:val="nil"/>
              <w:right w:val="nil"/>
            </w:tcBorders>
            <w:shd w:val="clear" w:color="auto" w:fill="FFFFFF" w:themeFill="background1"/>
            <w:tcMar>
              <w:left w:w="58" w:type="dxa"/>
              <w:right w:w="58" w:type="dxa"/>
            </w:tcMar>
            <w:vAlign w:val="center"/>
          </w:tcPr>
          <w:p w:rsidRPr="00D16C64" w:rsidR="00D520BD" w:rsidP="00982BD1" w:rsidRDefault="00D520BD" w14:paraId="26C13A1A" w14:textId="77777777">
            <w:pPr>
              <w:jc w:val="right"/>
              <w:rPr>
                <w:rFonts w:cs="Arial"/>
                <w:sz w:val="16"/>
                <w:szCs w:val="16"/>
              </w:rPr>
            </w:pPr>
          </w:p>
        </w:tc>
        <w:tc>
          <w:tcPr>
            <w:tcW w:w="810" w:type="dxa"/>
            <w:tcBorders>
              <w:top w:val="nil"/>
              <w:left w:val="nil"/>
              <w:bottom w:val="nil"/>
              <w:right w:val="nil"/>
            </w:tcBorders>
            <w:shd w:val="clear" w:color="auto" w:fill="FFFFFF" w:themeFill="background1"/>
            <w:tcMar>
              <w:left w:w="58" w:type="dxa"/>
              <w:right w:w="58" w:type="dxa"/>
            </w:tcMar>
            <w:vAlign w:val="center"/>
          </w:tcPr>
          <w:p w:rsidRPr="00D16C64" w:rsidR="00D520BD" w:rsidP="00982BD1" w:rsidRDefault="00D520BD" w14:paraId="5DDEADC4" w14:textId="77777777">
            <w:pPr>
              <w:jc w:val="right"/>
              <w:rPr>
                <w:rFonts w:cs="Arial"/>
                <w:sz w:val="16"/>
                <w:szCs w:val="16"/>
              </w:rPr>
            </w:pPr>
          </w:p>
        </w:tc>
        <w:tc>
          <w:tcPr>
            <w:tcW w:w="1170" w:type="dxa"/>
            <w:tcBorders>
              <w:top w:val="nil"/>
              <w:left w:val="nil"/>
              <w:bottom w:val="nil"/>
              <w:right w:val="single" w:color="auto" w:sz="4" w:space="0"/>
            </w:tcBorders>
            <w:shd w:val="clear" w:color="auto" w:fill="FFFFFF" w:themeFill="background1"/>
            <w:tcMar>
              <w:left w:w="58" w:type="dxa"/>
              <w:right w:w="58" w:type="dxa"/>
            </w:tcMar>
            <w:vAlign w:val="center"/>
          </w:tcPr>
          <w:p w:rsidRPr="00D16C64" w:rsidR="00D520BD" w:rsidP="00982BD1" w:rsidRDefault="00D520BD" w14:paraId="42BD2C7E" w14:textId="77777777">
            <w:pPr>
              <w:jc w:val="right"/>
              <w:rPr>
                <w:rFonts w:cs="Arial"/>
                <w:sz w:val="16"/>
                <w:szCs w:val="16"/>
              </w:rPr>
            </w:pPr>
          </w:p>
        </w:tc>
      </w:tr>
      <w:tr w:rsidRPr="00850248" w:rsidR="003740B4" w:rsidTr="001C37CD" w14:paraId="31E4C9CA" w14:textId="77777777">
        <w:trPr>
          <w:trHeight w:val="305"/>
        </w:trPr>
        <w:tc>
          <w:tcPr>
            <w:tcW w:w="1957" w:type="dxa"/>
            <w:vMerge/>
            <w:shd w:val="clear" w:color="auto" w:fill="FFFFFF" w:themeFill="background1"/>
            <w:tcMar>
              <w:left w:w="58" w:type="dxa"/>
              <w:right w:w="58" w:type="dxa"/>
            </w:tcMar>
            <w:vAlign w:val="center"/>
          </w:tcPr>
          <w:p w:rsidRPr="00850248" w:rsidR="00D520BD" w:rsidP="00982BD1" w:rsidRDefault="00D520BD" w14:paraId="0EE6D9EB" w14:textId="77777777">
            <w:pPr>
              <w:rPr>
                <w:rFonts w:cs="Arial"/>
                <w:sz w:val="16"/>
                <w:szCs w:val="14"/>
              </w:rPr>
            </w:pPr>
          </w:p>
        </w:tc>
        <w:tc>
          <w:tcPr>
            <w:tcW w:w="3893" w:type="dxa"/>
            <w:shd w:val="clear" w:color="auto" w:fill="FFFFFF" w:themeFill="background1"/>
            <w:tcMar>
              <w:left w:w="58" w:type="dxa"/>
              <w:right w:w="58" w:type="dxa"/>
            </w:tcMar>
            <w:vAlign w:val="center"/>
          </w:tcPr>
          <w:p w:rsidRPr="00850248" w:rsidR="00D520BD" w:rsidP="00982BD1" w:rsidRDefault="00D520BD" w14:paraId="4942C58B" w14:textId="77777777">
            <w:pPr>
              <w:rPr>
                <w:rFonts w:eastAsia="Arial" w:cs="Arial"/>
                <w:sz w:val="16"/>
                <w:szCs w:val="16"/>
              </w:rPr>
            </w:pPr>
            <w:r>
              <w:rPr>
                <w:rFonts w:cs="Arial"/>
                <w:sz w:val="16"/>
                <w:szCs w:val="16"/>
              </w:rPr>
              <w:t xml:space="preserve">Special analyses </w:t>
            </w:r>
            <w:r w:rsidRPr="00850248">
              <w:rPr>
                <w:rFonts w:cs="Arial"/>
                <w:sz w:val="16"/>
                <w:szCs w:val="16"/>
              </w:rPr>
              <w:t>testing</w:t>
            </w:r>
            <w:r>
              <w:rPr>
                <w:rFonts w:cs="Arial"/>
                <w:sz w:val="16"/>
                <w:szCs w:val="16"/>
              </w:rPr>
              <w:t xml:space="preserve"> at an</w:t>
            </w:r>
            <w:r w:rsidRPr="00850248">
              <w:rPr>
                <w:rFonts w:cs="Arial"/>
                <w:sz w:val="16"/>
                <w:szCs w:val="16"/>
              </w:rPr>
              <w:t xml:space="preserve"> HHS-certified laboratory</w:t>
            </w:r>
          </w:p>
        </w:tc>
        <w:tc>
          <w:tcPr>
            <w:tcW w:w="720" w:type="dxa"/>
            <w:tcBorders>
              <w:right w:val="single" w:color="auto" w:sz="4" w:space="0"/>
            </w:tcBorders>
            <w:shd w:val="clear" w:color="auto" w:fill="FFFFFF" w:themeFill="background1"/>
            <w:tcMar>
              <w:left w:w="58" w:type="dxa"/>
              <w:right w:w="58" w:type="dxa"/>
            </w:tcMar>
            <w:vAlign w:val="center"/>
          </w:tcPr>
          <w:p w:rsidRPr="00850248" w:rsidR="00D520BD" w:rsidP="00982BD1" w:rsidRDefault="00D520BD" w14:paraId="21A12FAD" w14:textId="7E881EDF">
            <w:pPr>
              <w:jc w:val="right"/>
              <w:rPr>
                <w:rFonts w:eastAsia="Arial" w:cs="Arial"/>
                <w:spacing w:val="2"/>
                <w:sz w:val="16"/>
                <w:szCs w:val="16"/>
              </w:rPr>
            </w:pPr>
            <w:r w:rsidRPr="00850248">
              <w:rPr>
                <w:rFonts w:cs="Arial"/>
                <w:sz w:val="16"/>
                <w:szCs w:val="16"/>
              </w:rPr>
              <w:t>$</w:t>
            </w:r>
            <w:r>
              <w:rPr>
                <w:rFonts w:cs="Arial"/>
                <w:sz w:val="16"/>
                <w:szCs w:val="16"/>
              </w:rPr>
              <w:t>7.</w:t>
            </w:r>
            <w:r w:rsidR="0087598C">
              <w:rPr>
                <w:rFonts w:cs="Arial"/>
                <w:sz w:val="16"/>
                <w:szCs w:val="16"/>
              </w:rPr>
              <w:t>67</w:t>
            </w:r>
          </w:p>
        </w:tc>
        <w:tc>
          <w:tcPr>
            <w:tcW w:w="810"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850248" w:rsidR="00D520BD" w:rsidP="00982BD1" w:rsidRDefault="00D520BD" w14:paraId="3FAED2F2" w14:textId="77777777">
            <w:pPr>
              <w:jc w:val="right"/>
              <w:rPr>
                <w:rFonts w:cs="Arial"/>
                <w:sz w:val="16"/>
                <w:szCs w:val="16"/>
              </w:rPr>
            </w:pPr>
          </w:p>
        </w:tc>
        <w:tc>
          <w:tcPr>
            <w:tcW w:w="810" w:type="dxa"/>
            <w:tcBorders>
              <w:top w:val="nil"/>
              <w:left w:val="nil"/>
              <w:bottom w:val="single" w:color="auto" w:sz="4" w:space="0"/>
              <w:right w:val="nil"/>
            </w:tcBorders>
            <w:shd w:val="clear" w:color="auto" w:fill="FFFFFF" w:themeFill="background1"/>
            <w:tcMar>
              <w:left w:w="58" w:type="dxa"/>
              <w:right w:w="58" w:type="dxa"/>
            </w:tcMar>
            <w:vAlign w:val="center"/>
          </w:tcPr>
          <w:p w:rsidRPr="00850248" w:rsidR="00D520BD" w:rsidP="00982BD1" w:rsidRDefault="00D520BD" w14:paraId="30DF5240" w14:textId="77777777">
            <w:pPr>
              <w:jc w:val="right"/>
              <w:rPr>
                <w:rFonts w:cs="Arial"/>
                <w:sz w:val="16"/>
                <w:szCs w:val="16"/>
              </w:rPr>
            </w:pPr>
          </w:p>
        </w:tc>
        <w:tc>
          <w:tcPr>
            <w:tcW w:w="117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850248" w:rsidR="00D520BD" w:rsidP="00982BD1" w:rsidRDefault="00D520BD" w14:paraId="02632DE8" w14:textId="77777777">
            <w:pPr>
              <w:jc w:val="right"/>
              <w:rPr>
                <w:rFonts w:cs="Arial"/>
                <w:sz w:val="16"/>
                <w:szCs w:val="16"/>
              </w:rPr>
            </w:pPr>
          </w:p>
        </w:tc>
      </w:tr>
      <w:tr w:rsidRPr="00850248" w:rsidR="00D520BD" w:rsidTr="001C37CD" w14:paraId="15AFF5E6" w14:textId="77777777">
        <w:trPr>
          <w:trHeight w:val="404"/>
        </w:trPr>
        <w:tc>
          <w:tcPr>
            <w:tcW w:w="1957" w:type="dxa"/>
            <w:vMerge w:val="restart"/>
            <w:shd w:val="clear" w:color="auto" w:fill="FFFFFF" w:themeFill="background1"/>
            <w:tcMar>
              <w:left w:w="58" w:type="dxa"/>
              <w:right w:w="58" w:type="dxa"/>
            </w:tcMar>
            <w:vAlign w:val="center"/>
          </w:tcPr>
          <w:p w:rsidR="00D13A4F" w:rsidP="00982BD1" w:rsidRDefault="00D520BD" w14:paraId="07EB1412" w14:textId="77777777">
            <w:pPr>
              <w:ind w:left="88" w:right="-20"/>
              <w:rPr>
                <w:rFonts w:eastAsia="Arial" w:cs="Arial"/>
                <w:sz w:val="16"/>
                <w:szCs w:val="14"/>
              </w:rPr>
            </w:pPr>
            <w:r w:rsidRPr="00850248">
              <w:rPr>
                <w:rFonts w:eastAsia="Arial" w:cs="Arial"/>
                <w:sz w:val="16"/>
                <w:szCs w:val="14"/>
              </w:rPr>
              <w:t>S</w:t>
            </w:r>
            <w:r w:rsidRPr="00850248">
              <w:rPr>
                <w:rFonts w:eastAsia="Arial" w:cs="Arial"/>
                <w:spacing w:val="-2"/>
                <w:sz w:val="16"/>
                <w:szCs w:val="14"/>
              </w:rPr>
              <w:t>u</w:t>
            </w:r>
            <w:r w:rsidRPr="00850248">
              <w:rPr>
                <w:rFonts w:eastAsia="Arial" w:cs="Arial"/>
                <w:sz w:val="16"/>
                <w:szCs w:val="14"/>
              </w:rPr>
              <w:t>b</w:t>
            </w:r>
            <w:r w:rsidRPr="00850248">
              <w:rPr>
                <w:rFonts w:eastAsia="Arial" w:cs="Arial"/>
                <w:spacing w:val="2"/>
                <w:sz w:val="16"/>
                <w:szCs w:val="14"/>
              </w:rPr>
              <w:t>s</w:t>
            </w:r>
            <w:r w:rsidRPr="00850248">
              <w:rPr>
                <w:rFonts w:eastAsia="Arial" w:cs="Arial"/>
                <w:sz w:val="16"/>
                <w:szCs w:val="14"/>
              </w:rPr>
              <w:t>e</w:t>
            </w:r>
            <w:r w:rsidRPr="00850248">
              <w:rPr>
                <w:rFonts w:eastAsia="Arial" w:cs="Arial"/>
                <w:spacing w:val="5"/>
                <w:sz w:val="16"/>
                <w:szCs w:val="14"/>
              </w:rPr>
              <w:t>q</w:t>
            </w:r>
            <w:r w:rsidRPr="00850248">
              <w:rPr>
                <w:rFonts w:eastAsia="Arial" w:cs="Arial"/>
                <w:spacing w:val="-5"/>
                <w:sz w:val="16"/>
                <w:szCs w:val="14"/>
              </w:rPr>
              <w:t>u</w:t>
            </w:r>
            <w:r w:rsidRPr="00850248">
              <w:rPr>
                <w:rFonts w:eastAsia="Arial" w:cs="Arial"/>
                <w:spacing w:val="5"/>
                <w:sz w:val="16"/>
                <w:szCs w:val="14"/>
              </w:rPr>
              <w:t>e</w:t>
            </w:r>
            <w:r w:rsidRPr="00850248">
              <w:rPr>
                <w:rFonts w:eastAsia="Arial" w:cs="Arial"/>
                <w:spacing w:val="-5"/>
                <w:sz w:val="16"/>
                <w:szCs w:val="14"/>
              </w:rPr>
              <w:t>n</w:t>
            </w:r>
            <w:r w:rsidRPr="00850248">
              <w:rPr>
                <w:rFonts w:eastAsia="Arial" w:cs="Arial"/>
                <w:sz w:val="16"/>
                <w:szCs w:val="14"/>
              </w:rPr>
              <w:t>t</w:t>
            </w:r>
            <w:r w:rsidRPr="00850248">
              <w:rPr>
                <w:rFonts w:eastAsia="Arial" w:cs="Arial"/>
                <w:spacing w:val="12"/>
                <w:sz w:val="16"/>
                <w:szCs w:val="14"/>
              </w:rPr>
              <w:t xml:space="preserve"> </w:t>
            </w:r>
            <w:r w:rsidRPr="00850248">
              <w:rPr>
                <w:rFonts w:eastAsia="Arial" w:cs="Arial"/>
                <w:sz w:val="16"/>
                <w:szCs w:val="14"/>
              </w:rPr>
              <w:t>a</w:t>
            </w:r>
            <w:r w:rsidRPr="00850248">
              <w:rPr>
                <w:rFonts w:eastAsia="Arial" w:cs="Arial"/>
                <w:spacing w:val="2"/>
                <w:sz w:val="16"/>
                <w:szCs w:val="14"/>
              </w:rPr>
              <w:t>c</w:t>
            </w:r>
            <w:r w:rsidRPr="00850248">
              <w:rPr>
                <w:rFonts w:eastAsia="Arial" w:cs="Arial"/>
                <w:sz w:val="16"/>
                <w:szCs w:val="14"/>
              </w:rPr>
              <w:t>t</w:t>
            </w:r>
            <w:r w:rsidRPr="00850248">
              <w:rPr>
                <w:rFonts w:eastAsia="Arial" w:cs="Arial"/>
                <w:spacing w:val="5"/>
                <w:sz w:val="16"/>
                <w:szCs w:val="14"/>
              </w:rPr>
              <w:t>i</w:t>
            </w:r>
            <w:r w:rsidRPr="00850248">
              <w:rPr>
                <w:rFonts w:eastAsia="Arial" w:cs="Arial"/>
                <w:spacing w:val="2"/>
                <w:sz w:val="16"/>
                <w:szCs w:val="14"/>
              </w:rPr>
              <w:t>o</w:t>
            </w:r>
            <w:r w:rsidRPr="00850248">
              <w:rPr>
                <w:rFonts w:eastAsia="Arial" w:cs="Arial"/>
                <w:spacing w:val="-5"/>
                <w:sz w:val="16"/>
                <w:szCs w:val="14"/>
              </w:rPr>
              <w:t>n</w:t>
            </w:r>
            <w:r w:rsidRPr="00850248">
              <w:rPr>
                <w:rFonts w:eastAsia="Arial" w:cs="Arial"/>
                <w:sz w:val="16"/>
                <w:szCs w:val="14"/>
              </w:rPr>
              <w:t>s</w:t>
            </w:r>
            <w:r w:rsidRPr="00850248">
              <w:rPr>
                <w:rFonts w:eastAsia="Arial" w:cs="Arial"/>
                <w:spacing w:val="5"/>
                <w:sz w:val="16"/>
                <w:szCs w:val="14"/>
              </w:rPr>
              <w:t xml:space="preserve"> </w:t>
            </w:r>
            <w:r w:rsidRPr="00850248">
              <w:rPr>
                <w:rFonts w:eastAsia="Arial" w:cs="Arial"/>
                <w:sz w:val="16"/>
                <w:szCs w:val="14"/>
              </w:rPr>
              <w:t>by</w:t>
            </w:r>
            <w:r w:rsidRPr="00850248">
              <w:rPr>
                <w:rFonts w:eastAsia="Arial" w:cs="Arial"/>
                <w:spacing w:val="4"/>
                <w:sz w:val="16"/>
                <w:szCs w:val="14"/>
              </w:rPr>
              <w:t xml:space="preserve"> </w:t>
            </w:r>
            <w:r w:rsidRPr="00850248">
              <w:rPr>
                <w:rFonts w:eastAsia="Arial" w:cs="Arial"/>
                <w:sz w:val="16"/>
                <w:szCs w:val="14"/>
              </w:rPr>
              <w:t>FFD</w:t>
            </w:r>
            <w:r w:rsidRPr="00850248">
              <w:rPr>
                <w:rFonts w:eastAsia="Arial" w:cs="Arial"/>
                <w:spacing w:val="6"/>
                <w:sz w:val="16"/>
                <w:szCs w:val="14"/>
              </w:rPr>
              <w:t xml:space="preserve"> </w:t>
            </w:r>
            <w:r w:rsidRPr="0054296B">
              <w:rPr>
                <w:rFonts w:eastAsia="Arial" w:cs="Arial"/>
                <w:spacing w:val="-2"/>
                <w:sz w:val="16"/>
                <w:szCs w:val="14"/>
              </w:rPr>
              <w:t>program</w:t>
            </w:r>
            <w:r w:rsidRPr="00850248">
              <w:rPr>
                <w:rFonts w:eastAsia="Arial" w:cs="Arial"/>
                <w:spacing w:val="2"/>
                <w:sz w:val="16"/>
                <w:szCs w:val="14"/>
              </w:rPr>
              <w:t xml:space="preserve"> </w:t>
            </w:r>
            <w:r w:rsidRPr="00850248">
              <w:rPr>
                <w:rFonts w:eastAsia="Arial" w:cs="Arial"/>
                <w:sz w:val="16"/>
                <w:szCs w:val="14"/>
              </w:rPr>
              <w:t>per</w:t>
            </w:r>
            <w:r w:rsidRPr="00850248">
              <w:rPr>
                <w:rFonts w:eastAsia="Arial" w:cs="Arial"/>
                <w:spacing w:val="1"/>
                <w:sz w:val="16"/>
                <w:szCs w:val="14"/>
              </w:rPr>
              <w:t>s</w:t>
            </w:r>
            <w:r w:rsidRPr="00850248">
              <w:rPr>
                <w:rFonts w:eastAsia="Arial" w:cs="Arial"/>
                <w:spacing w:val="2"/>
                <w:sz w:val="16"/>
                <w:szCs w:val="14"/>
              </w:rPr>
              <w:t>o</w:t>
            </w:r>
            <w:r w:rsidRPr="00850248">
              <w:rPr>
                <w:rFonts w:eastAsia="Arial" w:cs="Arial"/>
                <w:sz w:val="16"/>
                <w:szCs w:val="14"/>
              </w:rPr>
              <w:t>n</w:t>
            </w:r>
            <w:r w:rsidRPr="00850248">
              <w:rPr>
                <w:rFonts w:eastAsia="Arial" w:cs="Arial"/>
                <w:spacing w:val="-2"/>
                <w:sz w:val="16"/>
                <w:szCs w:val="14"/>
              </w:rPr>
              <w:t>n</w:t>
            </w:r>
            <w:r w:rsidRPr="00850248">
              <w:rPr>
                <w:rFonts w:eastAsia="Arial" w:cs="Arial"/>
                <w:sz w:val="16"/>
                <w:szCs w:val="14"/>
              </w:rPr>
              <w:t>el</w:t>
            </w:r>
            <w:r w:rsidRPr="00850248">
              <w:rPr>
                <w:rFonts w:eastAsia="Arial" w:cs="Arial"/>
                <w:spacing w:val="8"/>
                <w:sz w:val="16"/>
                <w:szCs w:val="14"/>
              </w:rPr>
              <w:t xml:space="preserve"> </w:t>
            </w:r>
            <w:r w:rsidRPr="00850248">
              <w:rPr>
                <w:rFonts w:eastAsia="Arial" w:cs="Arial"/>
                <w:sz w:val="16"/>
                <w:szCs w:val="14"/>
              </w:rPr>
              <w:t>for</w:t>
            </w:r>
            <w:r w:rsidRPr="00850248">
              <w:rPr>
                <w:rFonts w:eastAsia="Arial" w:cs="Arial"/>
                <w:spacing w:val="3"/>
                <w:sz w:val="16"/>
                <w:szCs w:val="14"/>
              </w:rPr>
              <w:t xml:space="preserve"> </w:t>
            </w:r>
            <w:r w:rsidRPr="00850248">
              <w:rPr>
                <w:rFonts w:eastAsia="Arial" w:cs="Arial"/>
                <w:sz w:val="16"/>
                <w:szCs w:val="14"/>
              </w:rPr>
              <w:t>add</w:t>
            </w:r>
            <w:r w:rsidRPr="00850248">
              <w:rPr>
                <w:rFonts w:eastAsia="Arial" w:cs="Arial"/>
                <w:spacing w:val="5"/>
                <w:sz w:val="16"/>
                <w:szCs w:val="14"/>
              </w:rPr>
              <w:t>i</w:t>
            </w:r>
            <w:r w:rsidRPr="00850248">
              <w:rPr>
                <w:rFonts w:eastAsia="Arial" w:cs="Arial"/>
                <w:sz w:val="16"/>
                <w:szCs w:val="14"/>
              </w:rPr>
              <w:t>t</w:t>
            </w:r>
            <w:r w:rsidRPr="00850248">
              <w:rPr>
                <w:rFonts w:eastAsia="Arial" w:cs="Arial"/>
                <w:spacing w:val="5"/>
                <w:sz w:val="16"/>
                <w:szCs w:val="14"/>
              </w:rPr>
              <w:t>i</w:t>
            </w:r>
            <w:r w:rsidRPr="00850248">
              <w:rPr>
                <w:rFonts w:eastAsia="Arial" w:cs="Arial"/>
                <w:spacing w:val="2"/>
                <w:sz w:val="16"/>
                <w:szCs w:val="14"/>
              </w:rPr>
              <w:t>o</w:t>
            </w:r>
            <w:r w:rsidRPr="00850248">
              <w:rPr>
                <w:rFonts w:eastAsia="Arial" w:cs="Arial"/>
                <w:spacing w:val="-5"/>
                <w:sz w:val="16"/>
                <w:szCs w:val="14"/>
              </w:rPr>
              <w:t>n</w:t>
            </w:r>
            <w:r w:rsidRPr="00850248">
              <w:rPr>
                <w:rFonts w:eastAsia="Arial" w:cs="Arial"/>
                <w:sz w:val="16"/>
                <w:szCs w:val="14"/>
              </w:rPr>
              <w:t>al</w:t>
            </w:r>
            <w:r w:rsidRPr="00850248">
              <w:rPr>
                <w:rFonts w:eastAsia="Arial" w:cs="Arial"/>
                <w:spacing w:val="11"/>
                <w:sz w:val="16"/>
                <w:szCs w:val="14"/>
              </w:rPr>
              <w:t xml:space="preserve"> </w:t>
            </w:r>
            <w:r>
              <w:rPr>
                <w:rFonts w:eastAsia="Arial" w:cs="Arial"/>
                <w:spacing w:val="11"/>
                <w:sz w:val="16"/>
                <w:szCs w:val="14"/>
              </w:rPr>
              <w:t xml:space="preserve">dilute </w:t>
            </w:r>
            <w:r w:rsidRPr="00850248">
              <w:rPr>
                <w:rFonts w:eastAsia="Arial" w:cs="Arial"/>
                <w:sz w:val="16"/>
                <w:szCs w:val="14"/>
              </w:rPr>
              <w:t>po</w:t>
            </w:r>
            <w:r w:rsidRPr="00850248">
              <w:rPr>
                <w:rFonts w:eastAsia="Arial" w:cs="Arial"/>
                <w:spacing w:val="-2"/>
                <w:sz w:val="16"/>
                <w:szCs w:val="14"/>
              </w:rPr>
              <w:t>s</w:t>
            </w:r>
            <w:r w:rsidRPr="00850248">
              <w:rPr>
                <w:rFonts w:eastAsia="Arial" w:cs="Arial"/>
                <w:spacing w:val="5"/>
                <w:sz w:val="16"/>
                <w:szCs w:val="14"/>
              </w:rPr>
              <w:t>i</w:t>
            </w:r>
            <w:r w:rsidRPr="00850248">
              <w:rPr>
                <w:rFonts w:eastAsia="Arial" w:cs="Arial"/>
                <w:spacing w:val="-2"/>
                <w:sz w:val="16"/>
                <w:szCs w:val="14"/>
              </w:rPr>
              <w:t>t</w:t>
            </w:r>
            <w:r w:rsidRPr="00850248">
              <w:rPr>
                <w:rFonts w:eastAsia="Arial" w:cs="Arial"/>
                <w:spacing w:val="5"/>
                <w:sz w:val="16"/>
                <w:szCs w:val="14"/>
              </w:rPr>
              <w:t>i</w:t>
            </w:r>
            <w:r w:rsidRPr="00850248">
              <w:rPr>
                <w:rFonts w:eastAsia="Arial" w:cs="Arial"/>
                <w:spacing w:val="2"/>
                <w:sz w:val="16"/>
                <w:szCs w:val="14"/>
              </w:rPr>
              <w:t>v</w:t>
            </w:r>
            <w:r w:rsidRPr="00850248">
              <w:rPr>
                <w:rFonts w:eastAsia="Arial" w:cs="Arial"/>
                <w:sz w:val="16"/>
                <w:szCs w:val="14"/>
              </w:rPr>
              <w:t>e</w:t>
            </w:r>
            <w:r w:rsidRPr="00850248">
              <w:rPr>
                <w:rFonts w:eastAsia="Arial" w:cs="Arial"/>
                <w:spacing w:val="5"/>
                <w:sz w:val="16"/>
                <w:szCs w:val="14"/>
              </w:rPr>
              <w:t xml:space="preserve"> </w:t>
            </w:r>
            <w:r w:rsidRPr="00850248">
              <w:rPr>
                <w:rFonts w:eastAsia="Arial" w:cs="Arial"/>
                <w:sz w:val="16"/>
                <w:szCs w:val="14"/>
              </w:rPr>
              <w:t>test</w:t>
            </w:r>
            <w:r w:rsidRPr="00850248">
              <w:rPr>
                <w:rFonts w:eastAsia="Arial" w:cs="Arial"/>
                <w:spacing w:val="5"/>
                <w:sz w:val="16"/>
                <w:szCs w:val="14"/>
              </w:rPr>
              <w:t xml:space="preserve"> </w:t>
            </w:r>
            <w:r w:rsidRPr="00850248">
              <w:rPr>
                <w:rFonts w:eastAsia="Arial" w:cs="Arial"/>
                <w:sz w:val="16"/>
                <w:szCs w:val="14"/>
              </w:rPr>
              <w:t>re</w:t>
            </w:r>
            <w:r w:rsidRPr="00850248">
              <w:rPr>
                <w:rFonts w:eastAsia="Arial" w:cs="Arial"/>
                <w:spacing w:val="2"/>
                <w:sz w:val="16"/>
                <w:szCs w:val="14"/>
              </w:rPr>
              <w:t>s</w:t>
            </w:r>
            <w:r w:rsidRPr="00850248">
              <w:rPr>
                <w:rFonts w:eastAsia="Arial" w:cs="Arial"/>
                <w:spacing w:val="-2"/>
                <w:sz w:val="16"/>
                <w:szCs w:val="14"/>
              </w:rPr>
              <w:t>u</w:t>
            </w:r>
            <w:r w:rsidRPr="00850248">
              <w:rPr>
                <w:rFonts w:eastAsia="Arial" w:cs="Arial"/>
                <w:spacing w:val="2"/>
                <w:sz w:val="16"/>
                <w:szCs w:val="14"/>
              </w:rPr>
              <w:t>l</w:t>
            </w:r>
            <w:r w:rsidRPr="00850248">
              <w:rPr>
                <w:rFonts w:eastAsia="Arial" w:cs="Arial"/>
                <w:sz w:val="16"/>
                <w:szCs w:val="14"/>
              </w:rPr>
              <w:t xml:space="preserve">ts </w:t>
            </w:r>
          </w:p>
          <w:p w:rsidRPr="00850248" w:rsidR="00D520BD" w:rsidP="00982BD1" w:rsidRDefault="00D520BD" w14:paraId="311E202E" w14:textId="22BEAC77">
            <w:pPr>
              <w:ind w:left="88" w:right="-20"/>
              <w:rPr>
                <w:rFonts w:cs="Arial"/>
                <w:sz w:val="16"/>
                <w:szCs w:val="14"/>
              </w:rPr>
            </w:pPr>
            <w:r w:rsidRPr="00850248">
              <w:rPr>
                <w:rFonts w:eastAsia="Arial" w:cs="Arial"/>
                <w:spacing w:val="2"/>
                <w:sz w:val="16"/>
                <w:szCs w:val="14"/>
              </w:rPr>
              <w:t>(</w:t>
            </w:r>
            <w:r w:rsidRPr="00850248">
              <w:rPr>
                <w:rFonts w:eastAsia="Arial" w:cs="Arial"/>
                <w:sz w:val="16"/>
                <w:szCs w:val="14"/>
              </w:rPr>
              <w:t xml:space="preserve">all </w:t>
            </w:r>
            <w:r w:rsidRPr="00850248">
              <w:rPr>
                <w:rFonts w:eastAsia="Arial" w:cs="Arial"/>
                <w:spacing w:val="1"/>
                <w:sz w:val="16"/>
                <w:szCs w:val="14"/>
              </w:rPr>
              <w:t>s</w:t>
            </w:r>
            <w:r w:rsidRPr="00850248">
              <w:rPr>
                <w:rFonts w:eastAsia="Arial" w:cs="Arial"/>
                <w:spacing w:val="7"/>
                <w:sz w:val="16"/>
                <w:szCs w:val="14"/>
              </w:rPr>
              <w:t>i</w:t>
            </w:r>
            <w:r w:rsidRPr="00850248">
              <w:rPr>
                <w:rFonts w:eastAsia="Arial" w:cs="Arial"/>
                <w:spacing w:val="2"/>
                <w:sz w:val="16"/>
                <w:szCs w:val="14"/>
              </w:rPr>
              <w:t>te</w:t>
            </w:r>
            <w:r w:rsidRPr="00850248">
              <w:rPr>
                <w:rFonts w:eastAsia="Arial" w:cs="Arial"/>
                <w:sz w:val="16"/>
                <w:szCs w:val="14"/>
              </w:rPr>
              <w:t>s)</w:t>
            </w:r>
          </w:p>
        </w:tc>
        <w:tc>
          <w:tcPr>
            <w:tcW w:w="3893" w:type="dxa"/>
            <w:shd w:val="clear" w:color="auto" w:fill="FFFFFF" w:themeFill="background1"/>
            <w:tcMar>
              <w:left w:w="58" w:type="dxa"/>
              <w:right w:w="58" w:type="dxa"/>
            </w:tcMar>
            <w:vAlign w:val="center"/>
          </w:tcPr>
          <w:p w:rsidRPr="00850248" w:rsidR="00D520BD" w:rsidP="00982BD1" w:rsidRDefault="00D520BD" w14:paraId="6BC54E5D" w14:textId="77777777">
            <w:pPr>
              <w:ind w:right="-20"/>
              <w:rPr>
                <w:rFonts w:eastAsia="Arial" w:cs="Arial"/>
                <w:sz w:val="16"/>
                <w:szCs w:val="16"/>
              </w:rPr>
            </w:pPr>
            <w:r>
              <w:rPr>
                <w:rFonts w:cs="Arial"/>
                <w:sz w:val="16"/>
                <w:szCs w:val="16"/>
              </w:rPr>
              <w:t>N</w:t>
            </w:r>
            <w:r w:rsidRPr="00F4671B">
              <w:rPr>
                <w:rFonts w:cs="Arial"/>
                <w:sz w:val="16"/>
                <w:szCs w:val="16"/>
              </w:rPr>
              <w:t xml:space="preserve">umber of </w:t>
            </w:r>
            <w:r>
              <w:rPr>
                <w:rFonts w:cs="Arial"/>
                <w:sz w:val="16"/>
                <w:szCs w:val="16"/>
              </w:rPr>
              <w:t xml:space="preserve">drug </w:t>
            </w:r>
            <w:r w:rsidRPr="00F4671B">
              <w:rPr>
                <w:rFonts w:cs="Arial"/>
                <w:sz w:val="16"/>
                <w:szCs w:val="16"/>
              </w:rPr>
              <w:t>tests conducted per site</w:t>
            </w:r>
            <w:r>
              <w:rPr>
                <w:rFonts w:cs="Arial"/>
                <w:sz w:val="16"/>
                <w:szCs w:val="16"/>
              </w:rPr>
              <w:t xml:space="preserve"> per year under 10 CFR Part 26</w:t>
            </w:r>
          </w:p>
        </w:tc>
        <w:tc>
          <w:tcPr>
            <w:tcW w:w="720" w:type="dxa"/>
            <w:shd w:val="clear" w:color="auto" w:fill="FFFFFF" w:themeFill="background1"/>
            <w:tcMar>
              <w:left w:w="58" w:type="dxa"/>
              <w:right w:w="58" w:type="dxa"/>
            </w:tcMar>
            <w:vAlign w:val="center"/>
          </w:tcPr>
          <w:p w:rsidRPr="00850248" w:rsidR="00D520BD" w:rsidP="00982BD1" w:rsidRDefault="00D520BD" w14:paraId="0B5C34D5" w14:textId="7E23BA63">
            <w:pPr>
              <w:jc w:val="right"/>
              <w:rPr>
                <w:rFonts w:eastAsia="Arial" w:cs="Arial"/>
                <w:spacing w:val="2"/>
                <w:sz w:val="16"/>
                <w:szCs w:val="16"/>
              </w:rPr>
            </w:pPr>
            <w:r>
              <w:rPr>
                <w:rFonts w:cs="Arial"/>
                <w:sz w:val="16"/>
                <w:szCs w:val="16"/>
              </w:rPr>
              <w:t>2</w:t>
            </w:r>
            <w:r w:rsidR="00646A79">
              <w:rPr>
                <w:rFonts w:cs="Arial"/>
                <w:sz w:val="16"/>
                <w:szCs w:val="16"/>
              </w:rPr>
              <w:t>,</w:t>
            </w:r>
            <w:r w:rsidR="0087598C">
              <w:rPr>
                <w:rFonts w:cs="Arial"/>
                <w:sz w:val="16"/>
                <w:szCs w:val="16"/>
              </w:rPr>
              <w:t>257</w:t>
            </w:r>
          </w:p>
        </w:tc>
        <w:tc>
          <w:tcPr>
            <w:tcW w:w="810" w:type="dxa"/>
            <w:tcBorders>
              <w:top w:val="single" w:color="auto" w:sz="4" w:space="0"/>
            </w:tcBorders>
            <w:shd w:val="clear" w:color="auto" w:fill="FFFFFF" w:themeFill="background1"/>
            <w:tcMar>
              <w:left w:w="58" w:type="dxa"/>
              <w:right w:w="58" w:type="dxa"/>
            </w:tcMar>
            <w:vAlign w:val="center"/>
          </w:tcPr>
          <w:p w:rsidRPr="00850248" w:rsidR="00D520BD" w:rsidP="00982BD1" w:rsidRDefault="00D520BD" w14:paraId="6B638A58" w14:textId="32717CC6">
            <w:pPr>
              <w:jc w:val="right"/>
              <w:rPr>
                <w:rFonts w:cs="Arial"/>
                <w:sz w:val="16"/>
                <w:szCs w:val="16"/>
              </w:rPr>
            </w:pPr>
            <w:r>
              <w:rPr>
                <w:rFonts w:cs="Arial"/>
                <w:sz w:val="16"/>
                <w:szCs w:val="16"/>
              </w:rPr>
              <w:t>($</w:t>
            </w:r>
            <w:r w:rsidR="0087598C">
              <w:rPr>
                <w:rFonts w:cs="Arial"/>
                <w:sz w:val="16"/>
                <w:szCs w:val="16"/>
              </w:rPr>
              <w:t>4</w:t>
            </w:r>
            <w:r w:rsidR="00933BDF">
              <w:rPr>
                <w:rFonts w:cs="Arial"/>
                <w:sz w:val="16"/>
                <w:szCs w:val="16"/>
              </w:rPr>
              <w:t>3</w:t>
            </w:r>
            <w:r>
              <w:rPr>
                <w:rFonts w:cs="Arial"/>
                <w:sz w:val="16"/>
                <w:szCs w:val="16"/>
              </w:rPr>
              <w:t>)</w:t>
            </w:r>
          </w:p>
        </w:tc>
        <w:tc>
          <w:tcPr>
            <w:tcW w:w="810" w:type="dxa"/>
            <w:tcBorders>
              <w:top w:val="single" w:color="auto" w:sz="4" w:space="0"/>
            </w:tcBorders>
            <w:shd w:val="clear" w:color="auto" w:fill="FFFFFF" w:themeFill="background1"/>
            <w:tcMar>
              <w:left w:w="58" w:type="dxa"/>
              <w:right w:w="58" w:type="dxa"/>
            </w:tcMar>
            <w:vAlign w:val="center"/>
          </w:tcPr>
          <w:p w:rsidRPr="00850248" w:rsidR="00D520BD" w:rsidP="00982BD1" w:rsidRDefault="0087598C" w14:paraId="64BF504C" w14:textId="171A7245">
            <w:pPr>
              <w:jc w:val="right"/>
              <w:rPr>
                <w:rFonts w:cs="Arial"/>
                <w:sz w:val="16"/>
                <w:szCs w:val="16"/>
              </w:rPr>
            </w:pPr>
            <w:r>
              <w:rPr>
                <w:rFonts w:cs="Arial"/>
                <w:sz w:val="16"/>
                <w:szCs w:val="16"/>
              </w:rPr>
              <w:t>59</w:t>
            </w:r>
          </w:p>
        </w:tc>
        <w:tc>
          <w:tcPr>
            <w:tcW w:w="1170" w:type="dxa"/>
            <w:tcBorders>
              <w:top w:val="single" w:color="auto" w:sz="4" w:space="0"/>
            </w:tcBorders>
            <w:shd w:val="clear" w:color="auto" w:fill="FFFFFF" w:themeFill="background1"/>
            <w:tcMar>
              <w:left w:w="58" w:type="dxa"/>
              <w:right w:w="58" w:type="dxa"/>
            </w:tcMar>
            <w:vAlign w:val="center"/>
          </w:tcPr>
          <w:p w:rsidRPr="00850248" w:rsidR="00D520BD" w:rsidP="00982BD1" w:rsidRDefault="00D520BD" w14:paraId="1A78570B" w14:textId="46CC784B">
            <w:pPr>
              <w:jc w:val="right"/>
              <w:rPr>
                <w:rFonts w:cs="Arial"/>
                <w:sz w:val="16"/>
                <w:szCs w:val="16"/>
              </w:rPr>
            </w:pPr>
            <w:r>
              <w:rPr>
                <w:rFonts w:cs="Arial"/>
                <w:sz w:val="16"/>
                <w:szCs w:val="16"/>
              </w:rPr>
              <w:t>($</w:t>
            </w:r>
            <w:r w:rsidR="003740B4">
              <w:rPr>
                <w:rFonts w:cs="Arial"/>
                <w:sz w:val="16"/>
                <w:szCs w:val="16"/>
              </w:rPr>
              <w:t>2,537</w:t>
            </w:r>
            <w:r>
              <w:rPr>
                <w:rFonts w:cs="Arial"/>
                <w:sz w:val="16"/>
                <w:szCs w:val="16"/>
              </w:rPr>
              <w:t>)</w:t>
            </w:r>
          </w:p>
        </w:tc>
      </w:tr>
      <w:tr w:rsidRPr="006126D9" w:rsidR="00D520BD" w:rsidTr="001C37CD" w14:paraId="6B9F1C3F" w14:textId="77777777">
        <w:trPr>
          <w:trHeight w:val="620"/>
        </w:trPr>
        <w:tc>
          <w:tcPr>
            <w:tcW w:w="1957" w:type="dxa"/>
            <w:vMerge/>
            <w:shd w:val="clear" w:color="auto" w:fill="FFFFFF" w:themeFill="background1"/>
            <w:tcMar>
              <w:left w:w="58" w:type="dxa"/>
              <w:right w:w="58" w:type="dxa"/>
            </w:tcMar>
            <w:vAlign w:val="center"/>
          </w:tcPr>
          <w:p w:rsidRPr="00850248" w:rsidR="00D520BD" w:rsidP="00982BD1" w:rsidRDefault="00D520BD" w14:paraId="1A79352D" w14:textId="77777777">
            <w:pPr>
              <w:rPr>
                <w:rFonts w:cs="Arial"/>
                <w:sz w:val="16"/>
                <w:szCs w:val="14"/>
              </w:rPr>
            </w:pPr>
          </w:p>
        </w:tc>
        <w:tc>
          <w:tcPr>
            <w:tcW w:w="3893" w:type="dxa"/>
            <w:shd w:val="clear" w:color="auto" w:fill="FFFFFF" w:themeFill="background1"/>
            <w:tcMar>
              <w:left w:w="58" w:type="dxa"/>
              <w:right w:w="58" w:type="dxa"/>
            </w:tcMar>
            <w:vAlign w:val="center"/>
          </w:tcPr>
          <w:p w:rsidRPr="007A7C87" w:rsidR="00D520BD" w:rsidP="00982BD1" w:rsidRDefault="00D520BD" w14:paraId="36F9B0CD" w14:textId="77777777">
            <w:pPr>
              <w:rPr>
                <w:rFonts w:cs="Arial"/>
                <w:sz w:val="16"/>
                <w:szCs w:val="16"/>
              </w:rPr>
            </w:pPr>
            <w:r w:rsidRPr="007A7C87">
              <w:rPr>
                <w:sz w:val="16"/>
              </w:rPr>
              <w:t>Average annual percentage of specimens tested that are dilute and test positive on special analyses testing</w:t>
            </w:r>
          </w:p>
        </w:tc>
        <w:tc>
          <w:tcPr>
            <w:tcW w:w="720" w:type="dxa"/>
            <w:shd w:val="clear" w:color="auto" w:fill="FFFFFF" w:themeFill="background1"/>
            <w:tcMar>
              <w:left w:w="58" w:type="dxa"/>
              <w:right w:w="58" w:type="dxa"/>
            </w:tcMar>
            <w:vAlign w:val="center"/>
          </w:tcPr>
          <w:p w:rsidRPr="007A7C87" w:rsidR="00D520BD" w:rsidP="00982BD1" w:rsidRDefault="00D520BD" w14:paraId="24007DD1" w14:textId="65E2B487">
            <w:pPr>
              <w:jc w:val="right"/>
              <w:rPr>
                <w:rFonts w:cs="Arial"/>
                <w:sz w:val="16"/>
                <w:szCs w:val="16"/>
              </w:rPr>
            </w:pPr>
            <w:r>
              <w:rPr>
                <w:sz w:val="16"/>
              </w:rPr>
              <w:t>0.00</w:t>
            </w:r>
            <w:r w:rsidR="0087598C">
              <w:rPr>
                <w:sz w:val="16"/>
              </w:rPr>
              <w:t>6</w:t>
            </w:r>
            <w:r w:rsidRPr="007A7C87">
              <w:rPr>
                <w:sz w:val="16"/>
              </w:rPr>
              <w:t>%</w:t>
            </w:r>
          </w:p>
        </w:tc>
        <w:tc>
          <w:tcPr>
            <w:tcW w:w="2790" w:type="dxa"/>
            <w:gridSpan w:val="3"/>
            <w:vMerge w:val="restart"/>
            <w:shd w:val="clear" w:color="auto" w:fill="FFFFFF" w:themeFill="background1"/>
            <w:tcMar>
              <w:left w:w="58" w:type="dxa"/>
              <w:right w:w="58" w:type="dxa"/>
            </w:tcMar>
            <w:vAlign w:val="center"/>
          </w:tcPr>
          <w:p w:rsidRPr="006126D9" w:rsidR="00D520BD" w:rsidP="00982BD1" w:rsidRDefault="00D520BD" w14:paraId="41E7907E" w14:textId="77777777">
            <w:pPr>
              <w:jc w:val="right"/>
              <w:rPr>
                <w:rFonts w:cs="Arial"/>
                <w:sz w:val="16"/>
                <w:szCs w:val="16"/>
              </w:rPr>
            </w:pPr>
          </w:p>
        </w:tc>
      </w:tr>
      <w:tr w:rsidRPr="006126D9" w:rsidR="00D520BD" w:rsidTr="001C37CD" w14:paraId="568506A8" w14:textId="77777777">
        <w:trPr>
          <w:trHeight w:val="260"/>
        </w:trPr>
        <w:tc>
          <w:tcPr>
            <w:tcW w:w="1957" w:type="dxa"/>
            <w:vMerge/>
            <w:shd w:val="clear" w:color="auto" w:fill="FFFFFF" w:themeFill="background1"/>
            <w:tcMar>
              <w:left w:w="58" w:type="dxa"/>
              <w:right w:w="58" w:type="dxa"/>
            </w:tcMar>
            <w:vAlign w:val="center"/>
          </w:tcPr>
          <w:p w:rsidRPr="00850248" w:rsidR="00D520BD" w:rsidP="00982BD1" w:rsidRDefault="00D520BD" w14:paraId="520B7AFF" w14:textId="77777777">
            <w:pPr>
              <w:rPr>
                <w:rFonts w:cs="Arial"/>
                <w:sz w:val="16"/>
                <w:szCs w:val="14"/>
              </w:rPr>
            </w:pPr>
          </w:p>
        </w:tc>
        <w:tc>
          <w:tcPr>
            <w:tcW w:w="3893" w:type="dxa"/>
            <w:shd w:val="clear" w:color="auto" w:fill="FFFFFF" w:themeFill="background1"/>
            <w:tcMar>
              <w:left w:w="58" w:type="dxa"/>
              <w:right w:w="58" w:type="dxa"/>
            </w:tcMar>
            <w:vAlign w:val="center"/>
          </w:tcPr>
          <w:p w:rsidRPr="00850248" w:rsidR="00D520BD" w:rsidP="00982BD1" w:rsidRDefault="00D520BD" w14:paraId="1D7A67DF" w14:textId="77777777">
            <w:pPr>
              <w:rPr>
                <w:rFonts w:eastAsia="Arial" w:cs="Arial"/>
                <w:sz w:val="16"/>
                <w:szCs w:val="16"/>
              </w:rPr>
            </w:pPr>
            <w:r w:rsidRPr="00850248">
              <w:rPr>
                <w:rFonts w:cs="Arial"/>
                <w:sz w:val="16"/>
                <w:szCs w:val="16"/>
              </w:rPr>
              <w:t>Cost of subsequent actions (per positive result)</w:t>
            </w:r>
          </w:p>
        </w:tc>
        <w:tc>
          <w:tcPr>
            <w:tcW w:w="720" w:type="dxa"/>
            <w:shd w:val="clear" w:color="auto" w:fill="FFFFFF" w:themeFill="background1"/>
            <w:tcMar>
              <w:left w:w="58" w:type="dxa"/>
              <w:right w:w="58" w:type="dxa"/>
            </w:tcMar>
            <w:vAlign w:val="center"/>
          </w:tcPr>
          <w:p w:rsidRPr="00850248" w:rsidR="00D520BD" w:rsidP="00982BD1" w:rsidRDefault="00D520BD" w14:paraId="7BEFAAAD" w14:textId="16363849">
            <w:pPr>
              <w:jc w:val="right"/>
              <w:rPr>
                <w:rFonts w:eastAsia="Arial" w:cs="Arial"/>
                <w:spacing w:val="2"/>
                <w:sz w:val="16"/>
                <w:szCs w:val="16"/>
              </w:rPr>
            </w:pPr>
            <w:r w:rsidRPr="00850248">
              <w:rPr>
                <w:rFonts w:cs="Arial"/>
                <w:sz w:val="16"/>
                <w:szCs w:val="16"/>
              </w:rPr>
              <w:t>$</w:t>
            </w:r>
            <w:r w:rsidR="00933BDF">
              <w:rPr>
                <w:rFonts w:cs="Arial"/>
                <w:sz w:val="16"/>
                <w:szCs w:val="16"/>
              </w:rPr>
              <w:t>310.66</w:t>
            </w:r>
          </w:p>
        </w:tc>
        <w:tc>
          <w:tcPr>
            <w:tcW w:w="2790" w:type="dxa"/>
            <w:gridSpan w:val="3"/>
            <w:vMerge/>
            <w:shd w:val="clear" w:color="auto" w:fill="FFFFFF" w:themeFill="background1"/>
            <w:tcMar>
              <w:left w:w="58" w:type="dxa"/>
              <w:right w:w="58" w:type="dxa"/>
            </w:tcMar>
            <w:vAlign w:val="center"/>
          </w:tcPr>
          <w:p w:rsidRPr="006126D9" w:rsidR="00D520BD" w:rsidP="00982BD1" w:rsidRDefault="00D520BD" w14:paraId="3473B8CB" w14:textId="77777777">
            <w:pPr>
              <w:jc w:val="right"/>
              <w:rPr>
                <w:rFonts w:cs="Arial"/>
                <w:sz w:val="16"/>
                <w:szCs w:val="16"/>
              </w:rPr>
            </w:pPr>
          </w:p>
        </w:tc>
      </w:tr>
      <w:tr w:rsidRPr="000864A1" w:rsidR="00D520BD" w:rsidTr="00447384" w14:paraId="3BEFF31B" w14:textId="77777777">
        <w:tc>
          <w:tcPr>
            <w:tcW w:w="9360" w:type="dxa"/>
            <w:gridSpan w:val="6"/>
            <w:shd w:val="clear" w:color="auto" w:fill="FFFFFF" w:themeFill="background1"/>
            <w:tcMar>
              <w:left w:w="58" w:type="dxa"/>
              <w:right w:w="58" w:type="dxa"/>
            </w:tcMar>
            <w:vAlign w:val="center"/>
          </w:tcPr>
          <w:p w:rsidRPr="00850248" w:rsidR="00D520BD" w:rsidP="00982BD1" w:rsidRDefault="00D520BD" w14:paraId="485D3CBD" w14:textId="77777777">
            <w:pPr>
              <w:rPr>
                <w:rFonts w:cs="Arial"/>
                <w:i/>
                <w:sz w:val="16"/>
                <w:szCs w:val="16"/>
              </w:rPr>
            </w:pPr>
            <w:r>
              <w:rPr>
                <w:rFonts w:eastAsia="Arial" w:cs="Arial"/>
                <w:b/>
                <w:bCs/>
                <w:sz w:val="16"/>
                <w:szCs w:val="16"/>
              </w:rPr>
              <w:t xml:space="preserve">Special Analyses Testing of Specimens Collected during Suspected </w:t>
            </w:r>
            <w:r w:rsidRPr="00850248">
              <w:rPr>
                <w:rFonts w:eastAsia="Arial" w:cs="Arial"/>
                <w:b/>
                <w:bCs/>
                <w:sz w:val="16"/>
                <w:szCs w:val="16"/>
              </w:rPr>
              <w:t>Sub</w:t>
            </w:r>
            <w:r w:rsidRPr="00850248">
              <w:rPr>
                <w:rFonts w:eastAsia="Arial" w:cs="Arial"/>
                <w:b/>
                <w:bCs/>
                <w:spacing w:val="1"/>
                <w:sz w:val="16"/>
                <w:szCs w:val="16"/>
              </w:rPr>
              <w:t>v</w:t>
            </w:r>
            <w:r w:rsidRPr="00850248">
              <w:rPr>
                <w:rFonts w:eastAsia="Arial" w:cs="Arial"/>
                <w:b/>
                <w:bCs/>
                <w:sz w:val="16"/>
                <w:szCs w:val="16"/>
              </w:rPr>
              <w:t>er</w:t>
            </w:r>
            <w:r w:rsidRPr="00850248">
              <w:rPr>
                <w:rFonts w:eastAsia="Arial" w:cs="Arial"/>
                <w:b/>
                <w:bCs/>
                <w:spacing w:val="2"/>
                <w:sz w:val="16"/>
                <w:szCs w:val="16"/>
              </w:rPr>
              <w:t>s</w:t>
            </w:r>
            <w:r w:rsidRPr="00850248">
              <w:rPr>
                <w:rFonts w:eastAsia="Arial" w:cs="Arial"/>
                <w:b/>
                <w:bCs/>
                <w:sz w:val="16"/>
                <w:szCs w:val="16"/>
              </w:rPr>
              <w:t>ion</w:t>
            </w:r>
            <w:r w:rsidRPr="00850248">
              <w:rPr>
                <w:rFonts w:eastAsia="Arial" w:cs="Arial"/>
                <w:b/>
                <w:bCs/>
                <w:spacing w:val="19"/>
                <w:sz w:val="16"/>
                <w:szCs w:val="16"/>
              </w:rPr>
              <w:t xml:space="preserve"> </w:t>
            </w:r>
            <w:r w:rsidRPr="00850248">
              <w:rPr>
                <w:rFonts w:eastAsia="Arial" w:cs="Arial"/>
                <w:b/>
                <w:bCs/>
                <w:spacing w:val="-10"/>
                <w:sz w:val="16"/>
                <w:szCs w:val="16"/>
              </w:rPr>
              <w:t>A</w:t>
            </w:r>
            <w:r w:rsidRPr="00850248">
              <w:rPr>
                <w:rFonts w:eastAsia="Arial" w:cs="Arial"/>
                <w:b/>
                <w:bCs/>
                <w:spacing w:val="2"/>
                <w:sz w:val="16"/>
                <w:szCs w:val="16"/>
              </w:rPr>
              <w:t>tt</w:t>
            </w:r>
            <w:r w:rsidRPr="00850248">
              <w:rPr>
                <w:rFonts w:eastAsia="Arial" w:cs="Arial"/>
                <w:b/>
                <w:bCs/>
                <w:spacing w:val="7"/>
                <w:sz w:val="16"/>
                <w:szCs w:val="16"/>
              </w:rPr>
              <w:t>e</w:t>
            </w:r>
            <w:r w:rsidRPr="00850248">
              <w:rPr>
                <w:rFonts w:eastAsia="Arial" w:cs="Arial"/>
                <w:b/>
                <w:bCs/>
                <w:sz w:val="16"/>
                <w:szCs w:val="16"/>
              </w:rPr>
              <w:t>m</w:t>
            </w:r>
            <w:r w:rsidRPr="00850248">
              <w:rPr>
                <w:rFonts w:eastAsia="Arial" w:cs="Arial"/>
                <w:b/>
                <w:bCs/>
                <w:spacing w:val="2"/>
                <w:sz w:val="16"/>
                <w:szCs w:val="16"/>
              </w:rPr>
              <w:t>p</w:t>
            </w:r>
            <w:r w:rsidRPr="00850248">
              <w:rPr>
                <w:rFonts w:eastAsia="Arial" w:cs="Arial"/>
                <w:b/>
                <w:bCs/>
                <w:spacing w:val="3"/>
                <w:sz w:val="16"/>
                <w:szCs w:val="16"/>
              </w:rPr>
              <w:t>t</w:t>
            </w:r>
            <w:r w:rsidRPr="00850248">
              <w:rPr>
                <w:rFonts w:eastAsia="Arial" w:cs="Arial"/>
                <w:b/>
                <w:bCs/>
                <w:sz w:val="16"/>
                <w:szCs w:val="16"/>
              </w:rPr>
              <w:t>s</w:t>
            </w:r>
          </w:p>
        </w:tc>
      </w:tr>
      <w:tr w:rsidRPr="000864A1" w:rsidR="00D520BD" w:rsidTr="001C37CD" w14:paraId="7FD39503" w14:textId="77777777">
        <w:trPr>
          <w:trHeight w:val="422"/>
        </w:trPr>
        <w:tc>
          <w:tcPr>
            <w:tcW w:w="1957" w:type="dxa"/>
            <w:vMerge w:val="restart"/>
            <w:shd w:val="clear" w:color="auto" w:fill="FFFFFF" w:themeFill="background1"/>
            <w:tcMar>
              <w:left w:w="58" w:type="dxa"/>
              <w:right w:w="58" w:type="dxa"/>
            </w:tcMar>
            <w:vAlign w:val="center"/>
          </w:tcPr>
          <w:p w:rsidR="00D13A4F" w:rsidP="00982BD1" w:rsidRDefault="00D520BD" w14:paraId="0A46A8F2" w14:textId="77777777">
            <w:pPr>
              <w:ind w:left="88" w:right="-20"/>
              <w:rPr>
                <w:rFonts w:cs="Arial"/>
                <w:sz w:val="16"/>
                <w:szCs w:val="14"/>
              </w:rPr>
            </w:pPr>
            <w:r w:rsidRPr="007D536C">
              <w:rPr>
                <w:rFonts w:cs="Arial"/>
                <w:sz w:val="16"/>
                <w:szCs w:val="14"/>
              </w:rPr>
              <w:t xml:space="preserve">LOQ special analyses testing at an HHS-certified laboratory </w:t>
            </w:r>
          </w:p>
          <w:p w:rsidRPr="00850248" w:rsidR="00D520BD" w:rsidP="00982BD1" w:rsidRDefault="00D520BD" w14:paraId="7F4E217B" w14:textId="4D9939AE">
            <w:pPr>
              <w:ind w:left="88" w:right="-20"/>
              <w:rPr>
                <w:rFonts w:cs="Arial"/>
                <w:sz w:val="16"/>
                <w:szCs w:val="14"/>
              </w:rPr>
            </w:pPr>
            <w:r w:rsidRPr="007D536C">
              <w:rPr>
                <w:rFonts w:cs="Arial"/>
                <w:sz w:val="16"/>
                <w:szCs w:val="14"/>
              </w:rPr>
              <w:t>(all sites)</w:t>
            </w:r>
          </w:p>
        </w:tc>
        <w:tc>
          <w:tcPr>
            <w:tcW w:w="3893" w:type="dxa"/>
            <w:shd w:val="clear" w:color="auto" w:fill="FFFFFF" w:themeFill="background1"/>
            <w:tcMar>
              <w:left w:w="58" w:type="dxa"/>
              <w:right w:w="58" w:type="dxa"/>
            </w:tcMar>
            <w:vAlign w:val="center"/>
          </w:tcPr>
          <w:p w:rsidRPr="00850248" w:rsidR="00D520BD" w:rsidP="00982BD1" w:rsidRDefault="00D520BD" w14:paraId="7367613E" w14:textId="77777777">
            <w:pPr>
              <w:rPr>
                <w:rFonts w:cs="Arial"/>
                <w:sz w:val="16"/>
                <w:szCs w:val="16"/>
              </w:rPr>
            </w:pPr>
            <w:r>
              <w:rPr>
                <w:rFonts w:cs="Arial"/>
                <w:sz w:val="16"/>
                <w:szCs w:val="16"/>
              </w:rPr>
              <w:t>N</w:t>
            </w:r>
            <w:r w:rsidRPr="00F4671B">
              <w:rPr>
                <w:rFonts w:cs="Arial"/>
                <w:sz w:val="16"/>
                <w:szCs w:val="16"/>
              </w:rPr>
              <w:t xml:space="preserve">umber of </w:t>
            </w:r>
            <w:r>
              <w:rPr>
                <w:rFonts w:cs="Arial"/>
                <w:sz w:val="16"/>
                <w:szCs w:val="16"/>
              </w:rPr>
              <w:t xml:space="preserve">drug </w:t>
            </w:r>
            <w:r w:rsidRPr="00F4671B">
              <w:rPr>
                <w:rFonts w:cs="Arial"/>
                <w:sz w:val="16"/>
                <w:szCs w:val="16"/>
              </w:rPr>
              <w:t>tests conducted per site</w:t>
            </w:r>
            <w:r>
              <w:rPr>
                <w:rFonts w:cs="Arial"/>
                <w:sz w:val="16"/>
                <w:szCs w:val="16"/>
              </w:rPr>
              <w:t xml:space="preserve"> per year under 10 CFR Part 26</w:t>
            </w:r>
          </w:p>
        </w:tc>
        <w:tc>
          <w:tcPr>
            <w:tcW w:w="720" w:type="dxa"/>
            <w:shd w:val="clear" w:color="auto" w:fill="FFFFFF" w:themeFill="background1"/>
            <w:tcMar>
              <w:left w:w="58" w:type="dxa"/>
              <w:right w:w="58" w:type="dxa"/>
            </w:tcMar>
            <w:vAlign w:val="center"/>
          </w:tcPr>
          <w:p w:rsidRPr="00850248" w:rsidR="00D520BD" w:rsidP="00982BD1" w:rsidRDefault="00D520BD" w14:paraId="600A8793" w14:textId="02DEC2F7">
            <w:pPr>
              <w:jc w:val="right"/>
              <w:rPr>
                <w:rFonts w:cs="Arial"/>
                <w:sz w:val="16"/>
                <w:szCs w:val="16"/>
              </w:rPr>
            </w:pPr>
            <w:r>
              <w:rPr>
                <w:rFonts w:cs="Arial"/>
                <w:sz w:val="16"/>
                <w:szCs w:val="16"/>
              </w:rPr>
              <w:t>2</w:t>
            </w:r>
            <w:r w:rsidR="00646A79">
              <w:rPr>
                <w:rFonts w:cs="Arial"/>
                <w:sz w:val="16"/>
                <w:szCs w:val="16"/>
              </w:rPr>
              <w:t>,</w:t>
            </w:r>
            <w:r w:rsidR="00C6744F">
              <w:rPr>
                <w:rFonts w:cs="Arial"/>
                <w:sz w:val="16"/>
                <w:szCs w:val="16"/>
              </w:rPr>
              <w:t>257</w:t>
            </w:r>
          </w:p>
        </w:tc>
        <w:tc>
          <w:tcPr>
            <w:tcW w:w="810" w:type="dxa"/>
            <w:tcBorders>
              <w:bottom w:val="single" w:color="auto" w:sz="4" w:space="0"/>
            </w:tcBorders>
            <w:shd w:val="clear" w:color="auto" w:fill="FFFFFF" w:themeFill="background1"/>
            <w:tcMar>
              <w:left w:w="58" w:type="dxa"/>
              <w:right w:w="58" w:type="dxa"/>
            </w:tcMar>
            <w:vAlign w:val="center"/>
          </w:tcPr>
          <w:p w:rsidRPr="00850248" w:rsidR="00D520BD" w:rsidP="00982BD1" w:rsidRDefault="00D520BD" w14:paraId="0EFFFC94" w14:textId="5246263A">
            <w:pPr>
              <w:jc w:val="right"/>
              <w:rPr>
                <w:rFonts w:cs="Arial"/>
                <w:sz w:val="16"/>
                <w:szCs w:val="16"/>
              </w:rPr>
            </w:pPr>
            <w:r w:rsidRPr="00850248">
              <w:rPr>
                <w:rFonts w:eastAsia="Arial" w:cs="Arial"/>
                <w:sz w:val="16"/>
                <w:szCs w:val="16"/>
              </w:rPr>
              <w:t>($</w:t>
            </w:r>
            <w:r w:rsidR="00C6744F">
              <w:rPr>
                <w:rFonts w:eastAsia="Arial" w:cs="Arial"/>
                <w:sz w:val="16"/>
                <w:szCs w:val="16"/>
              </w:rPr>
              <w:t>8</w:t>
            </w:r>
            <w:r w:rsidRPr="00850248">
              <w:rPr>
                <w:rFonts w:eastAsia="Arial" w:cs="Arial"/>
                <w:sz w:val="16"/>
                <w:szCs w:val="16"/>
              </w:rPr>
              <w:t>)</w:t>
            </w:r>
          </w:p>
        </w:tc>
        <w:tc>
          <w:tcPr>
            <w:tcW w:w="810" w:type="dxa"/>
            <w:tcBorders>
              <w:bottom w:val="single" w:color="auto" w:sz="4" w:space="0"/>
            </w:tcBorders>
            <w:shd w:val="clear" w:color="auto" w:fill="FFFFFF" w:themeFill="background1"/>
            <w:tcMar>
              <w:left w:w="58" w:type="dxa"/>
              <w:right w:w="58" w:type="dxa"/>
            </w:tcMar>
            <w:vAlign w:val="center"/>
          </w:tcPr>
          <w:p w:rsidRPr="00850248" w:rsidR="00D520BD" w:rsidP="00982BD1" w:rsidRDefault="00C6744F" w14:paraId="0D897C01" w14:textId="1802E314">
            <w:pPr>
              <w:jc w:val="right"/>
              <w:rPr>
                <w:rFonts w:cs="Arial"/>
                <w:sz w:val="16"/>
                <w:szCs w:val="16"/>
              </w:rPr>
            </w:pPr>
            <w:r>
              <w:rPr>
                <w:rFonts w:eastAsia="Arial" w:cs="Arial"/>
                <w:sz w:val="16"/>
                <w:szCs w:val="16"/>
              </w:rPr>
              <w:t>59</w:t>
            </w:r>
          </w:p>
        </w:tc>
        <w:tc>
          <w:tcPr>
            <w:tcW w:w="1170" w:type="dxa"/>
            <w:tcBorders>
              <w:bottom w:val="single" w:color="auto" w:sz="4" w:space="0"/>
            </w:tcBorders>
            <w:shd w:val="clear" w:color="auto" w:fill="FFFFFF" w:themeFill="background1"/>
            <w:tcMar>
              <w:left w:w="58" w:type="dxa"/>
              <w:right w:w="58" w:type="dxa"/>
            </w:tcMar>
            <w:vAlign w:val="center"/>
          </w:tcPr>
          <w:p w:rsidRPr="00850248" w:rsidR="00D520BD" w:rsidP="00982BD1" w:rsidRDefault="00D520BD" w14:paraId="6E66FBB7" w14:textId="26D96EEC">
            <w:pPr>
              <w:jc w:val="right"/>
              <w:rPr>
                <w:rFonts w:cs="Arial"/>
                <w:sz w:val="16"/>
                <w:szCs w:val="16"/>
              </w:rPr>
            </w:pPr>
            <w:r w:rsidRPr="00850248">
              <w:rPr>
                <w:rFonts w:eastAsia="Arial" w:cs="Arial"/>
                <w:spacing w:val="2"/>
                <w:sz w:val="16"/>
                <w:szCs w:val="16"/>
              </w:rPr>
              <w:t>($</w:t>
            </w:r>
            <w:r>
              <w:rPr>
                <w:rFonts w:eastAsia="Arial" w:cs="Arial"/>
                <w:spacing w:val="2"/>
                <w:sz w:val="16"/>
                <w:szCs w:val="16"/>
              </w:rPr>
              <w:t>4</w:t>
            </w:r>
            <w:r w:rsidR="00F569DB">
              <w:rPr>
                <w:rFonts w:eastAsia="Arial" w:cs="Arial"/>
                <w:spacing w:val="2"/>
                <w:sz w:val="16"/>
                <w:szCs w:val="16"/>
              </w:rPr>
              <w:t>72</w:t>
            </w:r>
            <w:r w:rsidRPr="00850248">
              <w:rPr>
                <w:rFonts w:eastAsia="Arial" w:cs="Arial"/>
                <w:sz w:val="16"/>
                <w:szCs w:val="16"/>
              </w:rPr>
              <w:t>)</w:t>
            </w:r>
          </w:p>
        </w:tc>
      </w:tr>
      <w:tr w:rsidRPr="000864A1" w:rsidR="00D520BD" w:rsidTr="001C37CD" w14:paraId="2E975010" w14:textId="77777777">
        <w:trPr>
          <w:trHeight w:val="809"/>
        </w:trPr>
        <w:tc>
          <w:tcPr>
            <w:tcW w:w="1957" w:type="dxa"/>
            <w:vMerge/>
            <w:shd w:val="clear" w:color="auto" w:fill="FFFFFF" w:themeFill="background1"/>
            <w:tcMar>
              <w:left w:w="58" w:type="dxa"/>
              <w:right w:w="58" w:type="dxa"/>
            </w:tcMar>
            <w:vAlign w:val="center"/>
          </w:tcPr>
          <w:p w:rsidRPr="00850248" w:rsidR="00D520BD" w:rsidP="00982BD1" w:rsidRDefault="00D520BD" w14:paraId="730885E7" w14:textId="77777777">
            <w:pPr>
              <w:rPr>
                <w:rFonts w:cs="Arial"/>
                <w:sz w:val="16"/>
                <w:szCs w:val="14"/>
              </w:rPr>
            </w:pPr>
          </w:p>
        </w:tc>
        <w:tc>
          <w:tcPr>
            <w:tcW w:w="3893" w:type="dxa"/>
            <w:shd w:val="clear" w:color="auto" w:fill="FFFFFF" w:themeFill="background1"/>
            <w:tcMar>
              <w:left w:w="58" w:type="dxa"/>
              <w:right w:w="58" w:type="dxa"/>
            </w:tcMar>
            <w:vAlign w:val="center"/>
          </w:tcPr>
          <w:p w:rsidRPr="00850248" w:rsidR="00D520BD" w:rsidP="00982BD1" w:rsidRDefault="00D520BD" w14:paraId="2905EBD3" w14:textId="2242C124">
            <w:pPr>
              <w:rPr>
                <w:rFonts w:eastAsia="Arial" w:cs="Arial"/>
                <w:sz w:val="16"/>
                <w:szCs w:val="16"/>
              </w:rPr>
            </w:pPr>
            <w:r w:rsidRPr="00EB31D7">
              <w:rPr>
                <w:rFonts w:cs="Arial"/>
                <w:sz w:val="16"/>
                <w:szCs w:val="16"/>
              </w:rPr>
              <w:t>Average annual percentage of specimens tested that are determined to be a subversion attempt and that test positive (</w:t>
            </w:r>
            <w:r w:rsidR="00882F46">
              <w:rPr>
                <w:rFonts w:cs="Arial"/>
                <w:sz w:val="16"/>
                <w:szCs w:val="16"/>
              </w:rPr>
              <w:t>i.e., </w:t>
            </w:r>
            <w:r w:rsidRPr="00EB31D7">
              <w:rPr>
                <w:rFonts w:cs="Arial"/>
                <w:sz w:val="16"/>
                <w:szCs w:val="16"/>
              </w:rPr>
              <w:t>suspect specimens that test positive on special analyses testing)</w:t>
            </w:r>
          </w:p>
        </w:tc>
        <w:tc>
          <w:tcPr>
            <w:tcW w:w="720" w:type="dxa"/>
            <w:tcBorders>
              <w:right w:val="single" w:color="auto" w:sz="4" w:space="0"/>
            </w:tcBorders>
            <w:shd w:val="clear" w:color="auto" w:fill="FFFFFF" w:themeFill="background1"/>
            <w:tcMar>
              <w:left w:w="58" w:type="dxa"/>
              <w:right w:w="58" w:type="dxa"/>
            </w:tcMar>
            <w:vAlign w:val="center"/>
          </w:tcPr>
          <w:p w:rsidRPr="009E03CA" w:rsidR="00D520BD" w:rsidP="00982BD1" w:rsidRDefault="00D520BD" w14:paraId="6334CFB2" w14:textId="07777AC0">
            <w:pPr>
              <w:jc w:val="right"/>
              <w:rPr>
                <w:rFonts w:eastAsia="Arial" w:cs="Arial"/>
                <w:spacing w:val="2"/>
                <w:sz w:val="16"/>
                <w:szCs w:val="16"/>
              </w:rPr>
            </w:pPr>
            <w:r w:rsidRPr="00E641E7">
              <w:rPr>
                <w:sz w:val="16"/>
              </w:rPr>
              <w:t>0</w:t>
            </w:r>
            <w:r w:rsidRPr="00E641E7">
              <w:rPr>
                <w:rFonts w:eastAsia="Arial" w:cs="Arial"/>
                <w:spacing w:val="2"/>
                <w:sz w:val="16"/>
                <w:szCs w:val="16"/>
              </w:rPr>
              <w:t>.0</w:t>
            </w:r>
            <w:r w:rsidR="00F569DB">
              <w:rPr>
                <w:rFonts w:eastAsia="Arial" w:cs="Arial"/>
                <w:spacing w:val="2"/>
                <w:sz w:val="16"/>
                <w:szCs w:val="16"/>
              </w:rPr>
              <w:t>49</w:t>
            </w:r>
            <w:r w:rsidRPr="00E641E7">
              <w:rPr>
                <w:rFonts w:eastAsia="Arial" w:cs="Arial"/>
                <w:spacing w:val="2"/>
                <w:sz w:val="16"/>
                <w:szCs w:val="16"/>
              </w:rPr>
              <w:t>%</w:t>
            </w:r>
          </w:p>
        </w:tc>
        <w:tc>
          <w:tcPr>
            <w:tcW w:w="810"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366EBE" w:rsidR="00D520BD" w:rsidP="00982BD1" w:rsidRDefault="00D520BD" w14:paraId="7C10DBE4" w14:textId="77777777">
            <w:pPr>
              <w:jc w:val="right"/>
              <w:rPr>
                <w:rFonts w:cs="Arial"/>
                <w:sz w:val="16"/>
                <w:szCs w:val="16"/>
                <w:highlight w:val="yellow"/>
              </w:rPr>
            </w:pPr>
          </w:p>
        </w:tc>
        <w:tc>
          <w:tcPr>
            <w:tcW w:w="810" w:type="dxa"/>
            <w:tcBorders>
              <w:top w:val="single" w:color="auto" w:sz="4" w:space="0"/>
              <w:left w:val="nil"/>
              <w:bottom w:val="nil"/>
              <w:right w:val="nil"/>
            </w:tcBorders>
            <w:shd w:val="clear" w:color="auto" w:fill="FFFFFF" w:themeFill="background1"/>
            <w:tcMar>
              <w:left w:w="58" w:type="dxa"/>
              <w:right w:w="58" w:type="dxa"/>
            </w:tcMar>
            <w:vAlign w:val="center"/>
          </w:tcPr>
          <w:p w:rsidRPr="00366EBE" w:rsidR="00D520BD" w:rsidP="00982BD1" w:rsidRDefault="00D520BD" w14:paraId="2DD0C02D" w14:textId="77777777">
            <w:pPr>
              <w:jc w:val="right"/>
              <w:rPr>
                <w:rFonts w:cs="Arial"/>
                <w:sz w:val="16"/>
                <w:szCs w:val="16"/>
                <w:highlight w:val="yellow"/>
              </w:rPr>
            </w:pPr>
          </w:p>
        </w:tc>
        <w:tc>
          <w:tcPr>
            <w:tcW w:w="1170"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366EBE" w:rsidR="00D520BD" w:rsidP="00982BD1" w:rsidRDefault="00D520BD" w14:paraId="3C694C0D" w14:textId="77777777">
            <w:pPr>
              <w:jc w:val="right"/>
              <w:rPr>
                <w:rFonts w:cs="Arial"/>
                <w:sz w:val="16"/>
                <w:szCs w:val="16"/>
                <w:highlight w:val="yellow"/>
              </w:rPr>
            </w:pPr>
          </w:p>
        </w:tc>
      </w:tr>
      <w:tr w:rsidRPr="000864A1" w:rsidR="00196635" w:rsidTr="001C37CD" w14:paraId="69DEDDF8" w14:textId="77777777">
        <w:trPr>
          <w:trHeight w:val="269"/>
        </w:trPr>
        <w:tc>
          <w:tcPr>
            <w:tcW w:w="1957" w:type="dxa"/>
            <w:vMerge/>
            <w:tcBorders>
              <w:bottom w:val="single" w:color="auto" w:sz="4" w:space="0"/>
            </w:tcBorders>
            <w:shd w:val="clear" w:color="auto" w:fill="FFFFFF" w:themeFill="background1"/>
            <w:tcMar>
              <w:left w:w="58" w:type="dxa"/>
              <w:right w:w="58" w:type="dxa"/>
            </w:tcMar>
            <w:vAlign w:val="center"/>
          </w:tcPr>
          <w:p w:rsidRPr="00850248" w:rsidR="00D520BD" w:rsidP="00982BD1" w:rsidRDefault="00D520BD" w14:paraId="7DE73845" w14:textId="77777777">
            <w:pPr>
              <w:rPr>
                <w:rFonts w:cs="Arial"/>
                <w:sz w:val="16"/>
                <w:szCs w:val="14"/>
              </w:rPr>
            </w:pPr>
          </w:p>
        </w:tc>
        <w:tc>
          <w:tcPr>
            <w:tcW w:w="3893" w:type="dxa"/>
            <w:tcBorders>
              <w:bottom w:val="single" w:color="auto" w:sz="4" w:space="0"/>
            </w:tcBorders>
            <w:shd w:val="clear" w:color="auto" w:fill="FFFFFF" w:themeFill="background1"/>
            <w:tcMar>
              <w:left w:w="58" w:type="dxa"/>
              <w:right w:w="58" w:type="dxa"/>
            </w:tcMar>
            <w:vAlign w:val="center"/>
          </w:tcPr>
          <w:p w:rsidRPr="00850248" w:rsidR="00D520BD" w:rsidP="00982BD1" w:rsidRDefault="00D520BD" w14:paraId="2A66B3B1" w14:textId="77777777">
            <w:pPr>
              <w:rPr>
                <w:rFonts w:cs="Arial"/>
                <w:sz w:val="16"/>
                <w:szCs w:val="16"/>
              </w:rPr>
            </w:pPr>
            <w:r>
              <w:rPr>
                <w:rFonts w:eastAsia="Arial" w:cs="Arial"/>
                <w:sz w:val="16"/>
                <w:szCs w:val="16"/>
              </w:rPr>
              <w:t>Special analyses testing at an</w:t>
            </w:r>
            <w:r w:rsidRPr="00850248">
              <w:rPr>
                <w:rFonts w:eastAsia="Arial" w:cs="Arial"/>
                <w:spacing w:val="8"/>
                <w:sz w:val="16"/>
                <w:szCs w:val="16"/>
              </w:rPr>
              <w:t xml:space="preserve"> </w:t>
            </w:r>
            <w:r w:rsidRPr="00850248">
              <w:rPr>
                <w:rFonts w:eastAsia="Arial" w:cs="Arial"/>
                <w:sz w:val="16"/>
                <w:szCs w:val="16"/>
              </w:rPr>
              <w:t>H</w:t>
            </w:r>
            <w:r w:rsidRPr="00850248">
              <w:rPr>
                <w:rFonts w:eastAsia="Arial" w:cs="Arial"/>
                <w:spacing w:val="2"/>
                <w:sz w:val="16"/>
                <w:szCs w:val="16"/>
              </w:rPr>
              <w:t>H</w:t>
            </w:r>
            <w:r w:rsidRPr="00850248">
              <w:rPr>
                <w:rFonts w:eastAsia="Arial" w:cs="Arial"/>
                <w:sz w:val="16"/>
                <w:szCs w:val="16"/>
              </w:rPr>
              <w:t>S-ce</w:t>
            </w:r>
            <w:r w:rsidRPr="00850248">
              <w:rPr>
                <w:rFonts w:eastAsia="Arial" w:cs="Arial"/>
                <w:spacing w:val="2"/>
                <w:sz w:val="16"/>
                <w:szCs w:val="16"/>
              </w:rPr>
              <w:t>r</w:t>
            </w:r>
            <w:r w:rsidRPr="00850248">
              <w:rPr>
                <w:rFonts w:eastAsia="Arial" w:cs="Arial"/>
                <w:sz w:val="16"/>
                <w:szCs w:val="16"/>
              </w:rPr>
              <w:t>t</w:t>
            </w:r>
            <w:r w:rsidRPr="00850248">
              <w:rPr>
                <w:rFonts w:eastAsia="Arial" w:cs="Arial"/>
                <w:spacing w:val="5"/>
                <w:sz w:val="16"/>
                <w:szCs w:val="16"/>
              </w:rPr>
              <w:t>i</w:t>
            </w:r>
            <w:r w:rsidRPr="00850248">
              <w:rPr>
                <w:rFonts w:eastAsia="Arial" w:cs="Arial"/>
                <w:sz w:val="16"/>
                <w:szCs w:val="16"/>
              </w:rPr>
              <w:t>f</w:t>
            </w:r>
            <w:r w:rsidRPr="00850248">
              <w:rPr>
                <w:rFonts w:eastAsia="Arial" w:cs="Arial"/>
                <w:spacing w:val="5"/>
                <w:sz w:val="16"/>
                <w:szCs w:val="16"/>
              </w:rPr>
              <w:t>i</w:t>
            </w:r>
            <w:r w:rsidRPr="00850248">
              <w:rPr>
                <w:rFonts w:eastAsia="Arial" w:cs="Arial"/>
                <w:sz w:val="16"/>
                <w:szCs w:val="16"/>
              </w:rPr>
              <w:t>ed</w:t>
            </w:r>
            <w:r w:rsidRPr="00850248">
              <w:rPr>
                <w:rFonts w:eastAsia="Arial" w:cs="Arial"/>
                <w:spacing w:val="6"/>
                <w:sz w:val="16"/>
                <w:szCs w:val="16"/>
              </w:rPr>
              <w:t xml:space="preserve"> </w:t>
            </w:r>
            <w:r w:rsidRPr="00850248">
              <w:rPr>
                <w:rFonts w:eastAsia="Arial" w:cs="Arial"/>
                <w:spacing w:val="2"/>
                <w:sz w:val="16"/>
                <w:szCs w:val="16"/>
              </w:rPr>
              <w:t>l</w:t>
            </w:r>
            <w:r w:rsidRPr="00850248">
              <w:rPr>
                <w:rFonts w:eastAsia="Arial" w:cs="Arial"/>
                <w:sz w:val="16"/>
                <w:szCs w:val="16"/>
              </w:rPr>
              <w:t>aborat</w:t>
            </w:r>
            <w:r w:rsidRPr="00850248">
              <w:rPr>
                <w:rFonts w:eastAsia="Arial" w:cs="Arial"/>
                <w:spacing w:val="2"/>
                <w:sz w:val="16"/>
                <w:szCs w:val="16"/>
              </w:rPr>
              <w:t>o</w:t>
            </w:r>
            <w:r w:rsidRPr="00850248">
              <w:rPr>
                <w:rFonts w:eastAsia="Arial" w:cs="Arial"/>
                <w:sz w:val="16"/>
                <w:szCs w:val="16"/>
              </w:rPr>
              <w:t>ry</w:t>
            </w:r>
          </w:p>
        </w:tc>
        <w:tc>
          <w:tcPr>
            <w:tcW w:w="720" w:type="dxa"/>
            <w:tcBorders>
              <w:bottom w:val="single" w:color="auto" w:sz="4" w:space="0"/>
              <w:right w:val="single" w:color="auto" w:sz="4" w:space="0"/>
            </w:tcBorders>
            <w:shd w:val="clear" w:color="auto" w:fill="FFFFFF" w:themeFill="background1"/>
            <w:tcMar>
              <w:left w:w="58" w:type="dxa"/>
              <w:right w:w="58" w:type="dxa"/>
            </w:tcMar>
            <w:vAlign w:val="center"/>
          </w:tcPr>
          <w:p w:rsidRPr="009E03CA" w:rsidR="00D520BD" w:rsidP="00982BD1" w:rsidRDefault="00D520BD" w14:paraId="41085442" w14:textId="7A706995">
            <w:pPr>
              <w:jc w:val="right"/>
              <w:rPr>
                <w:rFonts w:cs="Arial"/>
                <w:sz w:val="16"/>
                <w:szCs w:val="16"/>
              </w:rPr>
            </w:pPr>
            <w:r w:rsidRPr="009E03CA">
              <w:rPr>
                <w:rFonts w:eastAsia="Arial" w:cs="Arial"/>
                <w:spacing w:val="2"/>
                <w:sz w:val="16"/>
                <w:szCs w:val="16"/>
              </w:rPr>
              <w:t>$</w:t>
            </w:r>
            <w:r>
              <w:rPr>
                <w:rFonts w:eastAsia="Arial" w:cs="Arial"/>
                <w:spacing w:val="2"/>
                <w:sz w:val="16"/>
                <w:szCs w:val="16"/>
              </w:rPr>
              <w:t>7.</w:t>
            </w:r>
            <w:r w:rsidR="00F569DB">
              <w:rPr>
                <w:rFonts w:eastAsia="Arial" w:cs="Arial"/>
                <w:spacing w:val="2"/>
                <w:sz w:val="16"/>
                <w:szCs w:val="16"/>
              </w:rPr>
              <w:t>67</w:t>
            </w:r>
          </w:p>
        </w:tc>
        <w:tc>
          <w:tcPr>
            <w:tcW w:w="810"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366EBE" w:rsidR="00D520BD" w:rsidP="00982BD1" w:rsidRDefault="00D520BD" w14:paraId="77954256" w14:textId="77777777">
            <w:pPr>
              <w:jc w:val="right"/>
              <w:rPr>
                <w:rFonts w:cs="Arial"/>
                <w:sz w:val="16"/>
                <w:szCs w:val="16"/>
                <w:highlight w:val="yellow"/>
              </w:rPr>
            </w:pPr>
          </w:p>
        </w:tc>
        <w:tc>
          <w:tcPr>
            <w:tcW w:w="810" w:type="dxa"/>
            <w:tcBorders>
              <w:top w:val="nil"/>
              <w:left w:val="nil"/>
              <w:bottom w:val="single" w:color="auto" w:sz="4" w:space="0"/>
              <w:right w:val="nil"/>
            </w:tcBorders>
            <w:shd w:val="clear" w:color="auto" w:fill="FFFFFF" w:themeFill="background1"/>
            <w:tcMar>
              <w:left w:w="58" w:type="dxa"/>
              <w:right w:w="58" w:type="dxa"/>
            </w:tcMar>
            <w:vAlign w:val="center"/>
          </w:tcPr>
          <w:p w:rsidRPr="00366EBE" w:rsidR="00D520BD" w:rsidP="00982BD1" w:rsidRDefault="00D520BD" w14:paraId="341EDFB2" w14:textId="77777777">
            <w:pPr>
              <w:jc w:val="right"/>
              <w:rPr>
                <w:rFonts w:cs="Arial"/>
                <w:sz w:val="16"/>
                <w:szCs w:val="16"/>
                <w:highlight w:val="yellow"/>
              </w:rPr>
            </w:pPr>
          </w:p>
        </w:tc>
        <w:tc>
          <w:tcPr>
            <w:tcW w:w="117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366EBE" w:rsidR="00D520BD" w:rsidP="00982BD1" w:rsidRDefault="00D520BD" w14:paraId="1F786C49" w14:textId="77777777">
            <w:pPr>
              <w:jc w:val="right"/>
              <w:rPr>
                <w:rFonts w:cs="Arial"/>
                <w:sz w:val="16"/>
                <w:szCs w:val="16"/>
                <w:highlight w:val="yellow"/>
              </w:rPr>
            </w:pPr>
          </w:p>
        </w:tc>
      </w:tr>
      <w:tr w:rsidRPr="000864A1" w:rsidR="00D520BD" w:rsidTr="001C37CD" w14:paraId="45B0669F" w14:textId="77777777">
        <w:trPr>
          <w:trHeight w:val="287"/>
        </w:trPr>
        <w:tc>
          <w:tcPr>
            <w:tcW w:w="1957" w:type="dxa"/>
            <w:vMerge w:val="restart"/>
            <w:shd w:val="clear" w:color="auto" w:fill="FFFFFF" w:themeFill="background1"/>
            <w:tcMar>
              <w:left w:w="58" w:type="dxa"/>
              <w:right w:w="58" w:type="dxa"/>
            </w:tcMar>
            <w:vAlign w:val="center"/>
          </w:tcPr>
          <w:p w:rsidR="00D520BD" w:rsidP="00982BD1" w:rsidRDefault="00D520BD" w14:paraId="25F66ECD" w14:textId="5DC7A59F">
            <w:pPr>
              <w:ind w:left="88" w:right="-20"/>
              <w:rPr>
                <w:rFonts w:eastAsia="Arial" w:cs="Arial"/>
                <w:spacing w:val="8"/>
                <w:sz w:val="16"/>
                <w:szCs w:val="14"/>
              </w:rPr>
            </w:pPr>
            <w:r w:rsidRPr="00850248">
              <w:rPr>
                <w:rFonts w:eastAsia="Arial" w:cs="Arial"/>
                <w:sz w:val="16"/>
                <w:szCs w:val="14"/>
              </w:rPr>
              <w:t>S</w:t>
            </w:r>
            <w:r w:rsidRPr="00850248">
              <w:rPr>
                <w:rFonts w:eastAsia="Arial" w:cs="Arial"/>
                <w:spacing w:val="-2"/>
                <w:sz w:val="16"/>
                <w:szCs w:val="14"/>
              </w:rPr>
              <w:t>u</w:t>
            </w:r>
            <w:r w:rsidRPr="00850248">
              <w:rPr>
                <w:rFonts w:eastAsia="Arial" w:cs="Arial"/>
                <w:sz w:val="16"/>
                <w:szCs w:val="14"/>
              </w:rPr>
              <w:t>b</w:t>
            </w:r>
            <w:r w:rsidRPr="00850248">
              <w:rPr>
                <w:rFonts w:eastAsia="Arial" w:cs="Arial"/>
                <w:spacing w:val="2"/>
                <w:sz w:val="16"/>
                <w:szCs w:val="14"/>
              </w:rPr>
              <w:t>s</w:t>
            </w:r>
            <w:r w:rsidRPr="00850248">
              <w:rPr>
                <w:rFonts w:eastAsia="Arial" w:cs="Arial"/>
                <w:sz w:val="16"/>
                <w:szCs w:val="14"/>
              </w:rPr>
              <w:t>e</w:t>
            </w:r>
            <w:r w:rsidRPr="00850248">
              <w:rPr>
                <w:rFonts w:eastAsia="Arial" w:cs="Arial"/>
                <w:spacing w:val="5"/>
                <w:sz w:val="16"/>
                <w:szCs w:val="14"/>
              </w:rPr>
              <w:t>q</w:t>
            </w:r>
            <w:r w:rsidRPr="00850248">
              <w:rPr>
                <w:rFonts w:eastAsia="Arial" w:cs="Arial"/>
                <w:spacing w:val="-5"/>
                <w:sz w:val="16"/>
                <w:szCs w:val="14"/>
              </w:rPr>
              <w:t>u</w:t>
            </w:r>
            <w:r w:rsidRPr="00850248">
              <w:rPr>
                <w:rFonts w:eastAsia="Arial" w:cs="Arial"/>
                <w:spacing w:val="5"/>
                <w:sz w:val="16"/>
                <w:szCs w:val="14"/>
              </w:rPr>
              <w:t>e</w:t>
            </w:r>
            <w:r w:rsidRPr="00850248">
              <w:rPr>
                <w:rFonts w:eastAsia="Arial" w:cs="Arial"/>
                <w:spacing w:val="-5"/>
                <w:sz w:val="16"/>
                <w:szCs w:val="14"/>
              </w:rPr>
              <w:t>n</w:t>
            </w:r>
            <w:r w:rsidRPr="00850248">
              <w:rPr>
                <w:rFonts w:eastAsia="Arial" w:cs="Arial"/>
                <w:sz w:val="16"/>
                <w:szCs w:val="14"/>
              </w:rPr>
              <w:t>t</w:t>
            </w:r>
            <w:r w:rsidRPr="00850248">
              <w:rPr>
                <w:rFonts w:eastAsia="Arial" w:cs="Arial"/>
                <w:spacing w:val="12"/>
                <w:sz w:val="16"/>
                <w:szCs w:val="14"/>
              </w:rPr>
              <w:t xml:space="preserve"> </w:t>
            </w:r>
            <w:r w:rsidRPr="00850248">
              <w:rPr>
                <w:rFonts w:eastAsia="Arial" w:cs="Arial"/>
                <w:sz w:val="16"/>
                <w:szCs w:val="14"/>
              </w:rPr>
              <w:t>a</w:t>
            </w:r>
            <w:r w:rsidRPr="00850248">
              <w:rPr>
                <w:rFonts w:eastAsia="Arial" w:cs="Arial"/>
                <w:spacing w:val="2"/>
                <w:sz w:val="16"/>
                <w:szCs w:val="14"/>
              </w:rPr>
              <w:t>c</w:t>
            </w:r>
            <w:r w:rsidRPr="00850248">
              <w:rPr>
                <w:rFonts w:eastAsia="Arial" w:cs="Arial"/>
                <w:sz w:val="16"/>
                <w:szCs w:val="14"/>
              </w:rPr>
              <w:t>t</w:t>
            </w:r>
            <w:r w:rsidRPr="00850248">
              <w:rPr>
                <w:rFonts w:eastAsia="Arial" w:cs="Arial"/>
                <w:spacing w:val="5"/>
                <w:sz w:val="16"/>
                <w:szCs w:val="14"/>
              </w:rPr>
              <w:t>i</w:t>
            </w:r>
            <w:r w:rsidRPr="00850248">
              <w:rPr>
                <w:rFonts w:eastAsia="Arial" w:cs="Arial"/>
                <w:spacing w:val="2"/>
                <w:sz w:val="16"/>
                <w:szCs w:val="14"/>
              </w:rPr>
              <w:t>o</w:t>
            </w:r>
            <w:r w:rsidRPr="00850248">
              <w:rPr>
                <w:rFonts w:eastAsia="Arial" w:cs="Arial"/>
                <w:spacing w:val="-5"/>
                <w:sz w:val="16"/>
                <w:szCs w:val="14"/>
              </w:rPr>
              <w:t>n</w:t>
            </w:r>
            <w:r w:rsidRPr="00850248">
              <w:rPr>
                <w:rFonts w:eastAsia="Arial" w:cs="Arial"/>
                <w:sz w:val="16"/>
                <w:szCs w:val="14"/>
              </w:rPr>
              <w:t>s</w:t>
            </w:r>
            <w:r w:rsidRPr="00850248">
              <w:rPr>
                <w:rFonts w:eastAsia="Arial" w:cs="Arial"/>
                <w:spacing w:val="5"/>
                <w:sz w:val="16"/>
                <w:szCs w:val="14"/>
              </w:rPr>
              <w:t xml:space="preserve"> </w:t>
            </w:r>
            <w:r w:rsidRPr="00850248">
              <w:rPr>
                <w:rFonts w:eastAsia="Arial" w:cs="Arial"/>
                <w:sz w:val="16"/>
                <w:szCs w:val="14"/>
              </w:rPr>
              <w:t>by</w:t>
            </w:r>
            <w:r w:rsidRPr="00850248">
              <w:rPr>
                <w:rFonts w:eastAsia="Arial" w:cs="Arial"/>
                <w:spacing w:val="4"/>
                <w:sz w:val="16"/>
                <w:szCs w:val="14"/>
              </w:rPr>
              <w:t xml:space="preserve"> </w:t>
            </w:r>
            <w:r w:rsidRPr="00850248">
              <w:rPr>
                <w:rFonts w:eastAsia="Arial" w:cs="Arial"/>
                <w:sz w:val="16"/>
                <w:szCs w:val="14"/>
              </w:rPr>
              <w:t>FFD</w:t>
            </w:r>
            <w:r w:rsidRPr="00850248">
              <w:rPr>
                <w:rFonts w:eastAsia="Arial" w:cs="Arial"/>
                <w:spacing w:val="6"/>
                <w:sz w:val="16"/>
                <w:szCs w:val="14"/>
              </w:rPr>
              <w:t xml:space="preserve"> </w:t>
            </w:r>
            <w:r w:rsidRPr="00850248">
              <w:rPr>
                <w:rFonts w:eastAsia="Arial" w:cs="Arial"/>
                <w:spacing w:val="2"/>
                <w:sz w:val="16"/>
                <w:szCs w:val="14"/>
              </w:rPr>
              <w:t xml:space="preserve">program </w:t>
            </w:r>
            <w:r w:rsidRPr="00850248">
              <w:rPr>
                <w:rFonts w:eastAsia="Arial" w:cs="Arial"/>
                <w:sz w:val="16"/>
                <w:szCs w:val="14"/>
              </w:rPr>
              <w:t>per</w:t>
            </w:r>
            <w:r w:rsidRPr="00850248">
              <w:rPr>
                <w:rFonts w:eastAsia="Arial" w:cs="Arial"/>
                <w:spacing w:val="1"/>
                <w:sz w:val="16"/>
                <w:szCs w:val="14"/>
              </w:rPr>
              <w:t>s</w:t>
            </w:r>
            <w:r w:rsidRPr="00850248">
              <w:rPr>
                <w:rFonts w:eastAsia="Arial" w:cs="Arial"/>
                <w:spacing w:val="2"/>
                <w:sz w:val="16"/>
                <w:szCs w:val="14"/>
              </w:rPr>
              <w:t>o</w:t>
            </w:r>
            <w:r w:rsidRPr="00850248">
              <w:rPr>
                <w:rFonts w:eastAsia="Arial" w:cs="Arial"/>
                <w:sz w:val="16"/>
                <w:szCs w:val="14"/>
              </w:rPr>
              <w:t>n</w:t>
            </w:r>
            <w:r w:rsidRPr="00850248">
              <w:rPr>
                <w:rFonts w:eastAsia="Arial" w:cs="Arial"/>
                <w:spacing w:val="-2"/>
                <w:sz w:val="16"/>
                <w:szCs w:val="14"/>
              </w:rPr>
              <w:t>n</w:t>
            </w:r>
            <w:r w:rsidRPr="00850248">
              <w:rPr>
                <w:rFonts w:eastAsia="Arial" w:cs="Arial"/>
                <w:sz w:val="16"/>
                <w:szCs w:val="14"/>
              </w:rPr>
              <w:t>el</w:t>
            </w:r>
          </w:p>
          <w:p w:rsidR="00D13A4F" w:rsidP="00982BD1" w:rsidRDefault="00D520BD" w14:paraId="5A425A7F" w14:textId="77777777">
            <w:pPr>
              <w:ind w:left="88" w:right="-20"/>
              <w:rPr>
                <w:rFonts w:eastAsia="Arial" w:cs="Arial"/>
                <w:sz w:val="16"/>
                <w:szCs w:val="14"/>
              </w:rPr>
            </w:pPr>
            <w:r w:rsidRPr="00850248">
              <w:rPr>
                <w:rFonts w:eastAsia="Arial" w:cs="Arial"/>
                <w:sz w:val="16"/>
                <w:szCs w:val="14"/>
              </w:rPr>
              <w:t>for</w:t>
            </w:r>
            <w:r w:rsidRPr="00850248">
              <w:rPr>
                <w:rFonts w:eastAsia="Arial" w:cs="Arial"/>
                <w:spacing w:val="3"/>
                <w:sz w:val="16"/>
                <w:szCs w:val="14"/>
              </w:rPr>
              <w:t xml:space="preserve"> </w:t>
            </w:r>
            <w:r w:rsidRPr="00850248">
              <w:rPr>
                <w:rFonts w:eastAsia="Arial" w:cs="Arial"/>
                <w:sz w:val="16"/>
                <w:szCs w:val="14"/>
              </w:rPr>
              <w:t>add</w:t>
            </w:r>
            <w:r w:rsidRPr="00850248">
              <w:rPr>
                <w:rFonts w:eastAsia="Arial" w:cs="Arial"/>
                <w:spacing w:val="5"/>
                <w:sz w:val="16"/>
                <w:szCs w:val="14"/>
              </w:rPr>
              <w:t>i</w:t>
            </w:r>
            <w:r w:rsidRPr="00850248">
              <w:rPr>
                <w:rFonts w:eastAsia="Arial" w:cs="Arial"/>
                <w:sz w:val="16"/>
                <w:szCs w:val="14"/>
              </w:rPr>
              <w:t>t</w:t>
            </w:r>
            <w:r w:rsidRPr="00850248">
              <w:rPr>
                <w:rFonts w:eastAsia="Arial" w:cs="Arial"/>
                <w:spacing w:val="5"/>
                <w:sz w:val="16"/>
                <w:szCs w:val="14"/>
              </w:rPr>
              <w:t>i</w:t>
            </w:r>
            <w:r w:rsidRPr="00850248">
              <w:rPr>
                <w:rFonts w:eastAsia="Arial" w:cs="Arial"/>
                <w:spacing w:val="2"/>
                <w:sz w:val="16"/>
                <w:szCs w:val="14"/>
              </w:rPr>
              <w:t>o</w:t>
            </w:r>
            <w:r w:rsidRPr="00850248">
              <w:rPr>
                <w:rFonts w:eastAsia="Arial" w:cs="Arial"/>
                <w:spacing w:val="-5"/>
                <w:sz w:val="16"/>
                <w:szCs w:val="14"/>
              </w:rPr>
              <w:t>n</w:t>
            </w:r>
            <w:r w:rsidRPr="00850248">
              <w:rPr>
                <w:rFonts w:eastAsia="Arial" w:cs="Arial"/>
                <w:sz w:val="16"/>
                <w:szCs w:val="14"/>
              </w:rPr>
              <w:t>al</w:t>
            </w:r>
            <w:r w:rsidRPr="00850248">
              <w:rPr>
                <w:rFonts w:eastAsia="Arial" w:cs="Arial"/>
                <w:spacing w:val="11"/>
                <w:sz w:val="16"/>
                <w:szCs w:val="14"/>
              </w:rPr>
              <w:t xml:space="preserve"> </w:t>
            </w:r>
            <w:r w:rsidRPr="00850248">
              <w:rPr>
                <w:rFonts w:eastAsia="Arial" w:cs="Arial"/>
                <w:sz w:val="16"/>
                <w:szCs w:val="14"/>
              </w:rPr>
              <w:t>po</w:t>
            </w:r>
            <w:r w:rsidRPr="00850248">
              <w:rPr>
                <w:rFonts w:eastAsia="Arial" w:cs="Arial"/>
                <w:spacing w:val="-2"/>
                <w:sz w:val="16"/>
                <w:szCs w:val="14"/>
              </w:rPr>
              <w:t>s</w:t>
            </w:r>
            <w:r w:rsidRPr="00850248">
              <w:rPr>
                <w:rFonts w:eastAsia="Arial" w:cs="Arial"/>
                <w:spacing w:val="5"/>
                <w:sz w:val="16"/>
                <w:szCs w:val="14"/>
              </w:rPr>
              <w:t>i</w:t>
            </w:r>
            <w:r w:rsidRPr="00850248">
              <w:rPr>
                <w:rFonts w:eastAsia="Arial" w:cs="Arial"/>
                <w:spacing w:val="-2"/>
                <w:sz w:val="16"/>
                <w:szCs w:val="14"/>
              </w:rPr>
              <w:t>t</w:t>
            </w:r>
            <w:r w:rsidRPr="00850248">
              <w:rPr>
                <w:rFonts w:eastAsia="Arial" w:cs="Arial"/>
                <w:spacing w:val="5"/>
                <w:sz w:val="16"/>
                <w:szCs w:val="14"/>
              </w:rPr>
              <w:t>i</w:t>
            </w:r>
            <w:r w:rsidRPr="00850248">
              <w:rPr>
                <w:rFonts w:eastAsia="Arial" w:cs="Arial"/>
                <w:spacing w:val="2"/>
                <w:sz w:val="16"/>
                <w:szCs w:val="14"/>
              </w:rPr>
              <w:t>v</w:t>
            </w:r>
            <w:r w:rsidRPr="00850248">
              <w:rPr>
                <w:rFonts w:eastAsia="Arial" w:cs="Arial"/>
                <w:sz w:val="16"/>
                <w:szCs w:val="14"/>
              </w:rPr>
              <w:t>e</w:t>
            </w:r>
            <w:r>
              <w:rPr>
                <w:rFonts w:eastAsia="Arial" w:cs="Arial"/>
                <w:spacing w:val="5"/>
                <w:sz w:val="16"/>
                <w:szCs w:val="14"/>
              </w:rPr>
              <w:t xml:space="preserve"> drug </w:t>
            </w:r>
            <w:r w:rsidRPr="00850248">
              <w:rPr>
                <w:rFonts w:eastAsia="Arial" w:cs="Arial"/>
                <w:sz w:val="16"/>
                <w:szCs w:val="14"/>
              </w:rPr>
              <w:t>test</w:t>
            </w:r>
            <w:r w:rsidRPr="00850248">
              <w:rPr>
                <w:rFonts w:eastAsia="Arial" w:cs="Arial"/>
                <w:spacing w:val="5"/>
                <w:sz w:val="16"/>
                <w:szCs w:val="14"/>
              </w:rPr>
              <w:t xml:space="preserve"> </w:t>
            </w:r>
            <w:r w:rsidRPr="00850248">
              <w:rPr>
                <w:rFonts w:eastAsia="Arial" w:cs="Arial"/>
                <w:sz w:val="16"/>
                <w:szCs w:val="14"/>
              </w:rPr>
              <w:t>re</w:t>
            </w:r>
            <w:r w:rsidRPr="00850248">
              <w:rPr>
                <w:rFonts w:eastAsia="Arial" w:cs="Arial"/>
                <w:spacing w:val="2"/>
                <w:sz w:val="16"/>
                <w:szCs w:val="14"/>
              </w:rPr>
              <w:t>s</w:t>
            </w:r>
            <w:r w:rsidRPr="00850248">
              <w:rPr>
                <w:rFonts w:eastAsia="Arial" w:cs="Arial"/>
                <w:spacing w:val="-2"/>
                <w:sz w:val="16"/>
                <w:szCs w:val="14"/>
              </w:rPr>
              <w:t>u</w:t>
            </w:r>
            <w:r w:rsidRPr="00850248">
              <w:rPr>
                <w:rFonts w:eastAsia="Arial" w:cs="Arial"/>
                <w:spacing w:val="2"/>
                <w:sz w:val="16"/>
                <w:szCs w:val="14"/>
              </w:rPr>
              <w:t>l</w:t>
            </w:r>
            <w:r w:rsidRPr="00850248">
              <w:rPr>
                <w:rFonts w:eastAsia="Arial" w:cs="Arial"/>
                <w:sz w:val="16"/>
                <w:szCs w:val="14"/>
              </w:rPr>
              <w:t xml:space="preserve">ts </w:t>
            </w:r>
          </w:p>
          <w:p w:rsidRPr="00850248" w:rsidR="00D520BD" w:rsidP="00982BD1" w:rsidRDefault="00D520BD" w14:paraId="7A05840A" w14:textId="167D26B3">
            <w:pPr>
              <w:ind w:left="88" w:right="-20"/>
              <w:rPr>
                <w:rFonts w:cs="Arial"/>
                <w:sz w:val="16"/>
                <w:szCs w:val="14"/>
              </w:rPr>
            </w:pPr>
            <w:r w:rsidRPr="00850248">
              <w:rPr>
                <w:rFonts w:eastAsia="Arial" w:cs="Arial"/>
                <w:spacing w:val="2"/>
                <w:sz w:val="16"/>
                <w:szCs w:val="14"/>
              </w:rPr>
              <w:t>(</w:t>
            </w:r>
            <w:r w:rsidRPr="00850248">
              <w:rPr>
                <w:rFonts w:eastAsia="Arial" w:cs="Arial"/>
                <w:sz w:val="16"/>
                <w:szCs w:val="14"/>
              </w:rPr>
              <w:t xml:space="preserve">all </w:t>
            </w:r>
            <w:r w:rsidRPr="00850248">
              <w:rPr>
                <w:rFonts w:eastAsia="Arial" w:cs="Arial"/>
                <w:spacing w:val="1"/>
                <w:sz w:val="16"/>
                <w:szCs w:val="14"/>
              </w:rPr>
              <w:t>s</w:t>
            </w:r>
            <w:r w:rsidRPr="00850248">
              <w:rPr>
                <w:rFonts w:eastAsia="Arial" w:cs="Arial"/>
                <w:spacing w:val="7"/>
                <w:sz w:val="16"/>
                <w:szCs w:val="14"/>
              </w:rPr>
              <w:t>i</w:t>
            </w:r>
            <w:r w:rsidRPr="00850248">
              <w:rPr>
                <w:rFonts w:eastAsia="Arial" w:cs="Arial"/>
                <w:spacing w:val="2"/>
                <w:sz w:val="16"/>
                <w:szCs w:val="14"/>
              </w:rPr>
              <w:t>te</w:t>
            </w:r>
            <w:r w:rsidRPr="00850248">
              <w:rPr>
                <w:rFonts w:eastAsia="Arial" w:cs="Arial"/>
                <w:sz w:val="16"/>
                <w:szCs w:val="14"/>
              </w:rPr>
              <w:t>s)</w:t>
            </w:r>
          </w:p>
        </w:tc>
        <w:tc>
          <w:tcPr>
            <w:tcW w:w="3893" w:type="dxa"/>
            <w:shd w:val="clear" w:color="auto" w:fill="FFFFFF" w:themeFill="background1"/>
            <w:tcMar>
              <w:left w:w="58" w:type="dxa"/>
              <w:right w:w="58" w:type="dxa"/>
            </w:tcMar>
            <w:vAlign w:val="center"/>
          </w:tcPr>
          <w:p w:rsidRPr="00366EBE" w:rsidR="00D520BD" w:rsidP="00982BD1" w:rsidRDefault="00D520BD" w14:paraId="40A75E1B" w14:textId="77777777">
            <w:pPr>
              <w:rPr>
                <w:rFonts w:eastAsia="Arial" w:cs="Arial"/>
                <w:sz w:val="16"/>
                <w:szCs w:val="16"/>
              </w:rPr>
            </w:pPr>
            <w:r w:rsidRPr="00366EBE">
              <w:rPr>
                <w:sz w:val="16"/>
              </w:rPr>
              <w:t xml:space="preserve">Number of drug tests conducted per site per year under </w:t>
            </w:r>
            <w:r>
              <w:rPr>
                <w:sz w:val="16"/>
              </w:rPr>
              <w:t>10 CFR Part 26</w:t>
            </w:r>
          </w:p>
        </w:tc>
        <w:tc>
          <w:tcPr>
            <w:tcW w:w="720" w:type="dxa"/>
            <w:shd w:val="clear" w:color="auto" w:fill="FFFFFF" w:themeFill="background1"/>
            <w:tcMar>
              <w:left w:w="58" w:type="dxa"/>
              <w:right w:w="58" w:type="dxa"/>
            </w:tcMar>
            <w:vAlign w:val="center"/>
          </w:tcPr>
          <w:p w:rsidRPr="00366EBE" w:rsidR="00D520BD" w:rsidP="00982BD1" w:rsidRDefault="00D520BD" w14:paraId="6FD20FFE" w14:textId="7610B034">
            <w:pPr>
              <w:jc w:val="right"/>
              <w:rPr>
                <w:rFonts w:eastAsia="Arial" w:cs="Arial"/>
                <w:spacing w:val="2"/>
                <w:sz w:val="16"/>
                <w:szCs w:val="16"/>
              </w:rPr>
            </w:pPr>
            <w:r w:rsidRPr="00366EBE">
              <w:rPr>
                <w:sz w:val="16"/>
              </w:rPr>
              <w:t>2</w:t>
            </w:r>
            <w:r w:rsidR="00646A79">
              <w:rPr>
                <w:sz w:val="16"/>
              </w:rPr>
              <w:t>,</w:t>
            </w:r>
            <w:r w:rsidR="00F569DB">
              <w:rPr>
                <w:sz w:val="16"/>
              </w:rPr>
              <w:t>257</w:t>
            </w:r>
          </w:p>
        </w:tc>
        <w:tc>
          <w:tcPr>
            <w:tcW w:w="810" w:type="dxa"/>
            <w:tcBorders>
              <w:top w:val="single" w:color="auto" w:sz="4" w:space="0"/>
              <w:bottom w:val="single" w:color="auto" w:sz="4" w:space="0"/>
            </w:tcBorders>
            <w:shd w:val="clear" w:color="auto" w:fill="FFFFFF" w:themeFill="background1"/>
            <w:tcMar>
              <w:left w:w="58" w:type="dxa"/>
              <w:right w:w="58" w:type="dxa"/>
            </w:tcMar>
            <w:vAlign w:val="center"/>
          </w:tcPr>
          <w:p w:rsidRPr="00850248" w:rsidR="00D520BD" w:rsidP="00982BD1" w:rsidRDefault="00D520BD" w14:paraId="68BC6979" w14:textId="391A17CB">
            <w:pPr>
              <w:jc w:val="right"/>
              <w:rPr>
                <w:rFonts w:cs="Arial"/>
                <w:sz w:val="16"/>
                <w:szCs w:val="16"/>
              </w:rPr>
            </w:pPr>
            <w:r w:rsidRPr="00850248">
              <w:rPr>
                <w:rFonts w:cs="Arial"/>
                <w:sz w:val="16"/>
                <w:szCs w:val="16"/>
              </w:rPr>
              <w:t>($</w:t>
            </w:r>
            <w:r w:rsidR="004E2F9E">
              <w:rPr>
                <w:rFonts w:cs="Arial"/>
                <w:sz w:val="16"/>
                <w:szCs w:val="16"/>
              </w:rPr>
              <w:t>43</w:t>
            </w:r>
            <w:r w:rsidRPr="00850248">
              <w:rPr>
                <w:rFonts w:cs="Arial"/>
                <w:sz w:val="16"/>
                <w:szCs w:val="16"/>
              </w:rPr>
              <w:t>)</w:t>
            </w:r>
          </w:p>
        </w:tc>
        <w:tc>
          <w:tcPr>
            <w:tcW w:w="810" w:type="dxa"/>
            <w:tcBorders>
              <w:top w:val="single" w:color="auto" w:sz="4" w:space="0"/>
              <w:bottom w:val="single" w:color="auto" w:sz="4" w:space="0"/>
            </w:tcBorders>
            <w:shd w:val="clear" w:color="auto" w:fill="FFFFFF" w:themeFill="background1"/>
            <w:tcMar>
              <w:left w:w="58" w:type="dxa"/>
              <w:right w:w="58" w:type="dxa"/>
            </w:tcMar>
            <w:vAlign w:val="center"/>
          </w:tcPr>
          <w:p w:rsidRPr="00850248" w:rsidR="00D520BD" w:rsidP="00982BD1" w:rsidRDefault="00F569DB" w14:paraId="1F273DDF" w14:textId="55CAD5A7">
            <w:pPr>
              <w:jc w:val="right"/>
              <w:rPr>
                <w:rFonts w:cs="Arial"/>
                <w:sz w:val="16"/>
                <w:szCs w:val="16"/>
              </w:rPr>
            </w:pPr>
            <w:r>
              <w:rPr>
                <w:rFonts w:cs="Arial"/>
                <w:sz w:val="16"/>
                <w:szCs w:val="16"/>
              </w:rPr>
              <w:t>59</w:t>
            </w:r>
          </w:p>
        </w:tc>
        <w:tc>
          <w:tcPr>
            <w:tcW w:w="1170" w:type="dxa"/>
            <w:tcBorders>
              <w:top w:val="single" w:color="auto" w:sz="4" w:space="0"/>
              <w:bottom w:val="single" w:color="auto" w:sz="4" w:space="0"/>
            </w:tcBorders>
            <w:shd w:val="clear" w:color="auto" w:fill="FFFFFF" w:themeFill="background1"/>
            <w:tcMar>
              <w:left w:w="58" w:type="dxa"/>
              <w:right w:w="58" w:type="dxa"/>
            </w:tcMar>
            <w:vAlign w:val="center"/>
          </w:tcPr>
          <w:p w:rsidRPr="00850248" w:rsidR="00D520BD" w:rsidP="00982BD1" w:rsidRDefault="00D520BD" w14:paraId="3F7D519A" w14:textId="390FA754">
            <w:pPr>
              <w:jc w:val="right"/>
              <w:rPr>
                <w:rFonts w:cs="Arial"/>
                <w:sz w:val="16"/>
                <w:szCs w:val="16"/>
              </w:rPr>
            </w:pPr>
            <w:r w:rsidRPr="00850248">
              <w:rPr>
                <w:rFonts w:cs="Arial"/>
                <w:sz w:val="16"/>
                <w:szCs w:val="16"/>
              </w:rPr>
              <w:t>($</w:t>
            </w:r>
            <w:r w:rsidR="008841D9">
              <w:rPr>
                <w:rFonts w:cs="Arial"/>
                <w:sz w:val="16"/>
                <w:szCs w:val="16"/>
              </w:rPr>
              <w:t>2,537</w:t>
            </w:r>
            <w:r w:rsidRPr="00850248">
              <w:rPr>
                <w:rFonts w:cs="Arial"/>
                <w:sz w:val="16"/>
                <w:szCs w:val="16"/>
              </w:rPr>
              <w:t>)</w:t>
            </w:r>
          </w:p>
        </w:tc>
      </w:tr>
      <w:tr w:rsidRPr="000864A1" w:rsidR="00D520BD" w:rsidTr="001C37CD" w14:paraId="6D310126" w14:textId="77777777">
        <w:trPr>
          <w:trHeight w:val="863"/>
        </w:trPr>
        <w:tc>
          <w:tcPr>
            <w:tcW w:w="1957" w:type="dxa"/>
            <w:vMerge/>
            <w:shd w:val="clear" w:color="auto" w:fill="FFFFFF" w:themeFill="background1"/>
            <w:tcMar>
              <w:left w:w="58" w:type="dxa"/>
              <w:right w:w="58" w:type="dxa"/>
            </w:tcMar>
            <w:vAlign w:val="center"/>
          </w:tcPr>
          <w:p w:rsidRPr="00850248" w:rsidR="00D520BD" w:rsidP="00982BD1" w:rsidRDefault="00D520BD" w14:paraId="1B5DCE43" w14:textId="77777777">
            <w:pPr>
              <w:rPr>
                <w:rFonts w:cs="Arial"/>
                <w:sz w:val="16"/>
                <w:szCs w:val="14"/>
              </w:rPr>
            </w:pPr>
          </w:p>
        </w:tc>
        <w:tc>
          <w:tcPr>
            <w:tcW w:w="3893" w:type="dxa"/>
            <w:shd w:val="clear" w:color="auto" w:fill="FFFFFF" w:themeFill="background1"/>
            <w:tcMar>
              <w:left w:w="58" w:type="dxa"/>
              <w:right w:w="58" w:type="dxa"/>
            </w:tcMar>
            <w:vAlign w:val="center"/>
          </w:tcPr>
          <w:p w:rsidRPr="00366EBE" w:rsidR="00D520BD" w:rsidP="00982BD1" w:rsidRDefault="00D520BD" w14:paraId="78BE9469" w14:textId="70662118">
            <w:pPr>
              <w:rPr>
                <w:rFonts w:cs="Arial"/>
                <w:sz w:val="16"/>
                <w:szCs w:val="16"/>
              </w:rPr>
            </w:pPr>
            <w:r w:rsidRPr="00366EBE">
              <w:rPr>
                <w:sz w:val="16"/>
              </w:rPr>
              <w:t>Average annual percentage of specimens tested that are determined to be a subversion attempt and that test positive (</w:t>
            </w:r>
            <w:r w:rsidR="00882F46">
              <w:rPr>
                <w:sz w:val="16"/>
              </w:rPr>
              <w:t>i.e., </w:t>
            </w:r>
            <w:r w:rsidRPr="00366EBE">
              <w:rPr>
                <w:sz w:val="16"/>
              </w:rPr>
              <w:t>suspect specimens that test positive on special analyses testing)</w:t>
            </w:r>
          </w:p>
        </w:tc>
        <w:tc>
          <w:tcPr>
            <w:tcW w:w="720" w:type="dxa"/>
            <w:tcBorders>
              <w:right w:val="single" w:color="auto" w:sz="4" w:space="0"/>
            </w:tcBorders>
            <w:shd w:val="clear" w:color="auto" w:fill="FFFFFF" w:themeFill="background1"/>
            <w:tcMar>
              <w:left w:w="58" w:type="dxa"/>
              <w:right w:w="58" w:type="dxa"/>
            </w:tcMar>
            <w:vAlign w:val="center"/>
          </w:tcPr>
          <w:p w:rsidRPr="00366EBE" w:rsidR="00D520BD" w:rsidP="00982BD1" w:rsidRDefault="00D520BD" w14:paraId="42508990" w14:textId="308C800A">
            <w:pPr>
              <w:jc w:val="right"/>
              <w:rPr>
                <w:rFonts w:eastAsia="Arial" w:cs="Arial"/>
                <w:spacing w:val="2"/>
                <w:sz w:val="16"/>
                <w:szCs w:val="16"/>
              </w:rPr>
            </w:pPr>
            <w:r w:rsidRPr="00366EBE">
              <w:rPr>
                <w:sz w:val="16"/>
              </w:rPr>
              <w:t>0.0</w:t>
            </w:r>
            <w:r w:rsidR="00F569DB">
              <w:rPr>
                <w:sz w:val="16"/>
              </w:rPr>
              <w:t>49</w:t>
            </w:r>
            <w:r w:rsidRPr="00366EBE">
              <w:rPr>
                <w:sz w:val="16"/>
              </w:rPr>
              <w:t>%</w:t>
            </w:r>
          </w:p>
        </w:tc>
        <w:tc>
          <w:tcPr>
            <w:tcW w:w="810" w:type="dxa"/>
            <w:vMerge w:val="restart"/>
            <w:tcBorders>
              <w:top w:val="single" w:color="auto" w:sz="4" w:space="0"/>
              <w:left w:val="single" w:color="auto" w:sz="4" w:space="0"/>
              <w:right w:val="nil"/>
            </w:tcBorders>
            <w:shd w:val="clear" w:color="auto" w:fill="FFFFFF" w:themeFill="background1"/>
            <w:tcMar>
              <w:left w:w="58" w:type="dxa"/>
              <w:right w:w="58" w:type="dxa"/>
            </w:tcMar>
            <w:vAlign w:val="center"/>
          </w:tcPr>
          <w:p w:rsidRPr="00850248" w:rsidR="00D520BD" w:rsidP="00982BD1" w:rsidRDefault="00D520BD" w14:paraId="26BA3840" w14:textId="77777777">
            <w:pPr>
              <w:jc w:val="right"/>
              <w:rPr>
                <w:rFonts w:cs="Arial"/>
                <w:sz w:val="16"/>
                <w:szCs w:val="16"/>
              </w:rPr>
            </w:pPr>
          </w:p>
        </w:tc>
        <w:tc>
          <w:tcPr>
            <w:tcW w:w="810" w:type="dxa"/>
            <w:vMerge w:val="restart"/>
            <w:tcBorders>
              <w:top w:val="single" w:color="auto" w:sz="4" w:space="0"/>
              <w:left w:val="nil"/>
              <w:right w:val="nil"/>
            </w:tcBorders>
            <w:shd w:val="clear" w:color="auto" w:fill="FFFFFF" w:themeFill="background1"/>
            <w:tcMar>
              <w:left w:w="58" w:type="dxa"/>
              <w:right w:w="58" w:type="dxa"/>
            </w:tcMar>
            <w:vAlign w:val="center"/>
          </w:tcPr>
          <w:p w:rsidRPr="00850248" w:rsidR="00D520BD" w:rsidP="00982BD1" w:rsidRDefault="00D520BD" w14:paraId="510CA80C" w14:textId="77777777">
            <w:pPr>
              <w:jc w:val="right"/>
              <w:rPr>
                <w:rFonts w:cs="Arial"/>
                <w:sz w:val="16"/>
                <w:szCs w:val="16"/>
              </w:rPr>
            </w:pPr>
          </w:p>
        </w:tc>
        <w:tc>
          <w:tcPr>
            <w:tcW w:w="1170" w:type="dxa"/>
            <w:vMerge w:val="restart"/>
            <w:tcBorders>
              <w:top w:val="single" w:color="auto" w:sz="4" w:space="0"/>
              <w:left w:val="nil"/>
              <w:right w:val="single" w:color="auto" w:sz="4" w:space="0"/>
            </w:tcBorders>
            <w:shd w:val="clear" w:color="auto" w:fill="FFFFFF" w:themeFill="background1"/>
            <w:tcMar>
              <w:left w:w="58" w:type="dxa"/>
              <w:right w:w="58" w:type="dxa"/>
            </w:tcMar>
            <w:vAlign w:val="center"/>
          </w:tcPr>
          <w:p w:rsidRPr="00850248" w:rsidR="00D520BD" w:rsidP="00982BD1" w:rsidRDefault="00D520BD" w14:paraId="6D97A20F" w14:textId="77777777">
            <w:pPr>
              <w:jc w:val="right"/>
              <w:rPr>
                <w:rFonts w:cs="Arial"/>
                <w:sz w:val="16"/>
                <w:szCs w:val="16"/>
              </w:rPr>
            </w:pPr>
          </w:p>
        </w:tc>
      </w:tr>
      <w:tr w:rsidRPr="000864A1" w:rsidR="00D520BD" w:rsidTr="001C37CD" w14:paraId="6FC23227" w14:textId="77777777">
        <w:trPr>
          <w:trHeight w:val="269"/>
        </w:trPr>
        <w:tc>
          <w:tcPr>
            <w:tcW w:w="1957" w:type="dxa"/>
            <w:vMerge/>
            <w:shd w:val="clear" w:color="auto" w:fill="FFFFFF" w:themeFill="background1"/>
            <w:tcMar>
              <w:left w:w="58" w:type="dxa"/>
              <w:right w:w="58" w:type="dxa"/>
            </w:tcMar>
            <w:vAlign w:val="center"/>
          </w:tcPr>
          <w:p w:rsidRPr="00850248" w:rsidR="00D520BD" w:rsidP="00982BD1" w:rsidRDefault="00D520BD" w14:paraId="0C05F7A2" w14:textId="77777777">
            <w:pPr>
              <w:rPr>
                <w:rFonts w:cs="Arial"/>
                <w:sz w:val="16"/>
                <w:szCs w:val="14"/>
              </w:rPr>
            </w:pPr>
          </w:p>
        </w:tc>
        <w:tc>
          <w:tcPr>
            <w:tcW w:w="3893" w:type="dxa"/>
            <w:shd w:val="clear" w:color="auto" w:fill="FFFFFF" w:themeFill="background1"/>
            <w:tcMar>
              <w:left w:w="58" w:type="dxa"/>
              <w:right w:w="58" w:type="dxa"/>
            </w:tcMar>
            <w:vAlign w:val="center"/>
          </w:tcPr>
          <w:p w:rsidRPr="00850248" w:rsidR="00D520BD" w:rsidP="00982BD1" w:rsidRDefault="00D520BD" w14:paraId="5BF9B9D2" w14:textId="77777777">
            <w:pPr>
              <w:rPr>
                <w:rFonts w:eastAsia="Arial" w:cs="Arial"/>
                <w:sz w:val="16"/>
                <w:szCs w:val="16"/>
              </w:rPr>
            </w:pPr>
            <w:r>
              <w:rPr>
                <w:rFonts w:cs="Arial"/>
                <w:sz w:val="16"/>
                <w:szCs w:val="16"/>
              </w:rPr>
              <w:t xml:space="preserve">Projected </w:t>
            </w:r>
            <w:r w:rsidRPr="00850248">
              <w:rPr>
                <w:rFonts w:cs="Arial"/>
                <w:sz w:val="16"/>
                <w:szCs w:val="16"/>
              </w:rPr>
              <w:t xml:space="preserve">percent increase in </w:t>
            </w:r>
            <w:r>
              <w:rPr>
                <w:rFonts w:cs="Arial"/>
                <w:sz w:val="16"/>
                <w:szCs w:val="16"/>
              </w:rPr>
              <w:t xml:space="preserve">confirmed </w:t>
            </w:r>
            <w:r w:rsidRPr="00850248">
              <w:rPr>
                <w:rFonts w:cs="Arial"/>
                <w:sz w:val="16"/>
                <w:szCs w:val="16"/>
              </w:rPr>
              <w:t>positive test rate</w:t>
            </w:r>
          </w:p>
        </w:tc>
        <w:tc>
          <w:tcPr>
            <w:tcW w:w="720" w:type="dxa"/>
            <w:tcBorders>
              <w:right w:val="single" w:color="auto" w:sz="4" w:space="0"/>
            </w:tcBorders>
            <w:shd w:val="clear" w:color="auto" w:fill="FFFFFF" w:themeFill="background1"/>
            <w:tcMar>
              <w:left w:w="58" w:type="dxa"/>
              <w:right w:w="58" w:type="dxa"/>
            </w:tcMar>
            <w:vAlign w:val="center"/>
          </w:tcPr>
          <w:p w:rsidRPr="00850248" w:rsidR="00D520BD" w:rsidP="00982BD1" w:rsidRDefault="00F569DB" w14:paraId="165AA16E" w14:textId="7B1A9E5D">
            <w:pPr>
              <w:jc w:val="right"/>
              <w:rPr>
                <w:rFonts w:eastAsia="Arial" w:cs="Arial"/>
                <w:spacing w:val="2"/>
                <w:sz w:val="16"/>
                <w:szCs w:val="16"/>
              </w:rPr>
            </w:pPr>
            <w:r>
              <w:rPr>
                <w:rFonts w:eastAsia="Arial" w:cs="Arial"/>
                <w:spacing w:val="2"/>
                <w:sz w:val="16"/>
                <w:szCs w:val="16"/>
              </w:rPr>
              <w:t>13</w:t>
            </w:r>
            <w:r w:rsidRPr="00850248" w:rsidR="00D520BD">
              <w:rPr>
                <w:rFonts w:eastAsia="Arial" w:cs="Arial"/>
                <w:spacing w:val="2"/>
                <w:sz w:val="16"/>
                <w:szCs w:val="16"/>
              </w:rPr>
              <w:t>%</w:t>
            </w:r>
          </w:p>
        </w:tc>
        <w:tc>
          <w:tcPr>
            <w:tcW w:w="810" w:type="dxa"/>
            <w:vMerge/>
            <w:tcBorders>
              <w:left w:val="single" w:color="auto" w:sz="4" w:space="0"/>
              <w:bottom w:val="nil"/>
              <w:right w:val="nil"/>
            </w:tcBorders>
            <w:shd w:val="clear" w:color="auto" w:fill="FFFFFF" w:themeFill="background1"/>
            <w:tcMar>
              <w:left w:w="58" w:type="dxa"/>
              <w:right w:w="58" w:type="dxa"/>
            </w:tcMar>
            <w:vAlign w:val="center"/>
          </w:tcPr>
          <w:p w:rsidRPr="00850248" w:rsidR="00D520BD" w:rsidP="00982BD1" w:rsidRDefault="00D520BD" w14:paraId="2DEFC145" w14:textId="77777777">
            <w:pPr>
              <w:jc w:val="right"/>
              <w:rPr>
                <w:rFonts w:cs="Arial"/>
                <w:sz w:val="16"/>
                <w:szCs w:val="16"/>
              </w:rPr>
            </w:pPr>
          </w:p>
        </w:tc>
        <w:tc>
          <w:tcPr>
            <w:tcW w:w="810" w:type="dxa"/>
            <w:vMerge/>
            <w:tcBorders>
              <w:left w:val="nil"/>
              <w:bottom w:val="nil"/>
              <w:right w:val="nil"/>
            </w:tcBorders>
            <w:shd w:val="clear" w:color="auto" w:fill="FFFFFF" w:themeFill="background1"/>
            <w:tcMar>
              <w:left w:w="58" w:type="dxa"/>
              <w:right w:w="58" w:type="dxa"/>
            </w:tcMar>
            <w:vAlign w:val="center"/>
          </w:tcPr>
          <w:p w:rsidRPr="00850248" w:rsidR="00D520BD" w:rsidP="00982BD1" w:rsidRDefault="00D520BD" w14:paraId="61D63268" w14:textId="77777777">
            <w:pPr>
              <w:jc w:val="right"/>
              <w:rPr>
                <w:rFonts w:cs="Arial"/>
                <w:sz w:val="16"/>
                <w:szCs w:val="16"/>
              </w:rPr>
            </w:pPr>
          </w:p>
        </w:tc>
        <w:tc>
          <w:tcPr>
            <w:tcW w:w="1170" w:type="dxa"/>
            <w:vMerge/>
            <w:tcBorders>
              <w:left w:val="nil"/>
              <w:bottom w:val="nil"/>
              <w:right w:val="single" w:color="auto" w:sz="4" w:space="0"/>
            </w:tcBorders>
            <w:shd w:val="clear" w:color="auto" w:fill="FFFFFF" w:themeFill="background1"/>
            <w:tcMar>
              <w:left w:w="58" w:type="dxa"/>
              <w:right w:w="58" w:type="dxa"/>
            </w:tcMar>
            <w:vAlign w:val="center"/>
          </w:tcPr>
          <w:p w:rsidRPr="00850248" w:rsidR="00D520BD" w:rsidP="00982BD1" w:rsidRDefault="00D520BD" w14:paraId="71589E6A" w14:textId="77777777">
            <w:pPr>
              <w:jc w:val="right"/>
              <w:rPr>
                <w:rFonts w:cs="Arial"/>
                <w:sz w:val="16"/>
                <w:szCs w:val="16"/>
              </w:rPr>
            </w:pPr>
          </w:p>
        </w:tc>
      </w:tr>
      <w:tr w:rsidRPr="000864A1" w:rsidR="00D520BD" w:rsidTr="001C37CD" w14:paraId="7771BFB2" w14:textId="77777777">
        <w:trPr>
          <w:trHeight w:val="269"/>
        </w:trPr>
        <w:tc>
          <w:tcPr>
            <w:tcW w:w="1957" w:type="dxa"/>
            <w:vMerge/>
            <w:shd w:val="clear" w:color="auto" w:fill="FFFFFF" w:themeFill="background1"/>
            <w:tcMar>
              <w:left w:w="58" w:type="dxa"/>
              <w:right w:w="58" w:type="dxa"/>
            </w:tcMar>
            <w:vAlign w:val="center"/>
          </w:tcPr>
          <w:p w:rsidRPr="00850248" w:rsidR="00D520BD" w:rsidP="00982BD1" w:rsidRDefault="00D520BD" w14:paraId="080B06DF" w14:textId="77777777">
            <w:pPr>
              <w:rPr>
                <w:rFonts w:cs="Arial"/>
                <w:sz w:val="16"/>
                <w:szCs w:val="14"/>
              </w:rPr>
            </w:pPr>
          </w:p>
        </w:tc>
        <w:tc>
          <w:tcPr>
            <w:tcW w:w="3893" w:type="dxa"/>
            <w:shd w:val="clear" w:color="auto" w:fill="FFFFFF" w:themeFill="background1"/>
            <w:tcMar>
              <w:left w:w="58" w:type="dxa"/>
              <w:right w:w="58" w:type="dxa"/>
            </w:tcMar>
            <w:vAlign w:val="center"/>
          </w:tcPr>
          <w:p w:rsidRPr="00850248" w:rsidR="00D520BD" w:rsidP="00982BD1" w:rsidRDefault="00D520BD" w14:paraId="2A134080" w14:textId="77777777">
            <w:pPr>
              <w:rPr>
                <w:rFonts w:eastAsia="Arial" w:cs="Arial"/>
                <w:sz w:val="16"/>
                <w:szCs w:val="16"/>
              </w:rPr>
            </w:pPr>
            <w:r w:rsidRPr="00850248">
              <w:rPr>
                <w:rFonts w:cs="Arial"/>
                <w:sz w:val="16"/>
                <w:szCs w:val="16"/>
              </w:rPr>
              <w:t>Cost of subsequent actions (per positive result)</w:t>
            </w:r>
          </w:p>
        </w:tc>
        <w:tc>
          <w:tcPr>
            <w:tcW w:w="720" w:type="dxa"/>
            <w:tcBorders>
              <w:right w:val="single" w:color="auto" w:sz="4" w:space="0"/>
            </w:tcBorders>
            <w:shd w:val="clear" w:color="auto" w:fill="FFFFFF" w:themeFill="background1"/>
            <w:tcMar>
              <w:left w:w="58" w:type="dxa"/>
              <w:right w:w="58" w:type="dxa"/>
            </w:tcMar>
            <w:vAlign w:val="center"/>
          </w:tcPr>
          <w:p w:rsidRPr="00850248" w:rsidR="00D520BD" w:rsidP="00982BD1" w:rsidRDefault="00D520BD" w14:paraId="3F9E3DC6" w14:textId="28932087">
            <w:pPr>
              <w:jc w:val="right"/>
              <w:rPr>
                <w:rFonts w:eastAsia="Arial" w:cs="Arial"/>
                <w:spacing w:val="2"/>
                <w:sz w:val="16"/>
                <w:szCs w:val="16"/>
              </w:rPr>
            </w:pPr>
            <w:r w:rsidRPr="00850248">
              <w:rPr>
                <w:rFonts w:cs="Arial"/>
                <w:sz w:val="16"/>
                <w:szCs w:val="16"/>
              </w:rPr>
              <w:t>$</w:t>
            </w:r>
            <w:r w:rsidR="008841D9">
              <w:rPr>
                <w:rFonts w:cs="Arial"/>
                <w:sz w:val="16"/>
                <w:szCs w:val="16"/>
              </w:rPr>
              <w:t>310.66</w:t>
            </w:r>
          </w:p>
        </w:tc>
        <w:tc>
          <w:tcPr>
            <w:tcW w:w="810"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850248" w:rsidR="00D520BD" w:rsidP="00982BD1" w:rsidRDefault="00D520BD" w14:paraId="34B4B583" w14:textId="77777777">
            <w:pPr>
              <w:jc w:val="right"/>
              <w:rPr>
                <w:rFonts w:cs="Arial"/>
                <w:sz w:val="16"/>
                <w:szCs w:val="16"/>
              </w:rPr>
            </w:pPr>
          </w:p>
        </w:tc>
        <w:tc>
          <w:tcPr>
            <w:tcW w:w="810" w:type="dxa"/>
            <w:tcBorders>
              <w:top w:val="nil"/>
              <w:left w:val="nil"/>
              <w:bottom w:val="single" w:color="auto" w:sz="4" w:space="0"/>
              <w:right w:val="nil"/>
            </w:tcBorders>
            <w:shd w:val="clear" w:color="auto" w:fill="FFFFFF" w:themeFill="background1"/>
            <w:tcMar>
              <w:left w:w="58" w:type="dxa"/>
              <w:right w:w="58" w:type="dxa"/>
            </w:tcMar>
            <w:vAlign w:val="center"/>
          </w:tcPr>
          <w:p w:rsidRPr="00850248" w:rsidR="00D520BD" w:rsidP="00982BD1" w:rsidRDefault="00D520BD" w14:paraId="13A4419A" w14:textId="77777777">
            <w:pPr>
              <w:jc w:val="right"/>
              <w:rPr>
                <w:rFonts w:cs="Arial"/>
                <w:sz w:val="16"/>
                <w:szCs w:val="16"/>
              </w:rPr>
            </w:pPr>
          </w:p>
        </w:tc>
        <w:tc>
          <w:tcPr>
            <w:tcW w:w="1170"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850248" w:rsidR="00D520BD" w:rsidP="00982BD1" w:rsidRDefault="00D520BD" w14:paraId="1F7570B6" w14:textId="77777777">
            <w:pPr>
              <w:jc w:val="right"/>
              <w:rPr>
                <w:rFonts w:cs="Arial"/>
                <w:sz w:val="16"/>
                <w:szCs w:val="16"/>
              </w:rPr>
            </w:pPr>
          </w:p>
        </w:tc>
      </w:tr>
      <w:tr w:rsidRPr="000864A1" w:rsidR="00D520BD" w:rsidTr="00982BD1" w14:paraId="2D1F9742" w14:textId="77777777">
        <w:trPr>
          <w:trHeight w:val="170"/>
        </w:trPr>
        <w:tc>
          <w:tcPr>
            <w:tcW w:w="8190" w:type="dxa"/>
            <w:gridSpan w:val="5"/>
            <w:tcMar>
              <w:left w:w="58" w:type="dxa"/>
              <w:right w:w="58" w:type="dxa"/>
            </w:tcMar>
            <w:vAlign w:val="center"/>
          </w:tcPr>
          <w:p w:rsidRPr="00850248" w:rsidR="00D520BD" w:rsidP="00982BD1" w:rsidRDefault="00D520BD" w14:paraId="61D3F7BD" w14:textId="77777777">
            <w:pPr>
              <w:jc w:val="right"/>
              <w:rPr>
                <w:rFonts w:cs="Arial"/>
                <w:b/>
                <w:i/>
                <w:sz w:val="16"/>
                <w:szCs w:val="16"/>
              </w:rPr>
            </w:pPr>
            <w:r w:rsidRPr="00850248">
              <w:rPr>
                <w:rFonts w:cs="Arial"/>
                <w:b/>
                <w:i/>
                <w:sz w:val="16"/>
                <w:szCs w:val="16"/>
              </w:rPr>
              <w:t>Total Industry Operations Cost</w:t>
            </w:r>
          </w:p>
        </w:tc>
        <w:tc>
          <w:tcPr>
            <w:tcW w:w="1170" w:type="dxa"/>
            <w:tcMar>
              <w:left w:w="58" w:type="dxa"/>
              <w:right w:w="58" w:type="dxa"/>
            </w:tcMar>
            <w:vAlign w:val="center"/>
          </w:tcPr>
          <w:p w:rsidRPr="00850248" w:rsidR="00D520BD" w:rsidP="00982BD1" w:rsidRDefault="00D520BD" w14:paraId="1BD3F30A" w14:textId="2F539ACF">
            <w:pPr>
              <w:jc w:val="right"/>
              <w:rPr>
                <w:rFonts w:cs="Arial"/>
                <w:b/>
                <w:i/>
                <w:sz w:val="16"/>
                <w:szCs w:val="16"/>
              </w:rPr>
            </w:pPr>
            <w:r w:rsidRPr="00850248">
              <w:rPr>
                <w:rFonts w:cs="Arial"/>
                <w:b/>
                <w:i/>
                <w:sz w:val="16"/>
                <w:szCs w:val="16"/>
              </w:rPr>
              <w:t>($</w:t>
            </w:r>
            <w:r w:rsidR="008841D9">
              <w:rPr>
                <w:rFonts w:cs="Arial"/>
                <w:b/>
                <w:i/>
                <w:sz w:val="16"/>
                <w:szCs w:val="16"/>
              </w:rPr>
              <w:t>9,381</w:t>
            </w:r>
            <w:r w:rsidRPr="00850248">
              <w:rPr>
                <w:rFonts w:cs="Arial"/>
                <w:b/>
                <w:i/>
                <w:sz w:val="16"/>
                <w:szCs w:val="16"/>
              </w:rPr>
              <w:t>)</w:t>
            </w:r>
          </w:p>
        </w:tc>
      </w:tr>
      <w:tr w:rsidRPr="000864A1" w:rsidR="00D520BD" w:rsidTr="00982BD1" w14:paraId="473A5D06" w14:textId="77777777">
        <w:tc>
          <w:tcPr>
            <w:tcW w:w="8190" w:type="dxa"/>
            <w:gridSpan w:val="5"/>
            <w:tcMar>
              <w:left w:w="58" w:type="dxa"/>
              <w:right w:w="58" w:type="dxa"/>
            </w:tcMar>
            <w:vAlign w:val="center"/>
          </w:tcPr>
          <w:p w:rsidRPr="00850248" w:rsidR="00D520BD" w:rsidP="00982BD1" w:rsidRDefault="00D520BD" w14:paraId="2FFA838A" w14:textId="77777777">
            <w:pPr>
              <w:jc w:val="right"/>
              <w:rPr>
                <w:rFonts w:cs="Arial"/>
                <w:b/>
                <w:i/>
                <w:sz w:val="16"/>
                <w:szCs w:val="16"/>
              </w:rPr>
            </w:pPr>
            <w:r w:rsidRPr="00850248">
              <w:rPr>
                <w:rFonts w:cs="Arial"/>
                <w:b/>
                <w:i/>
                <w:sz w:val="16"/>
                <w:szCs w:val="16"/>
              </w:rPr>
              <w:t>Average Operations Cost Per Site</w:t>
            </w:r>
          </w:p>
        </w:tc>
        <w:tc>
          <w:tcPr>
            <w:tcW w:w="1170" w:type="dxa"/>
            <w:tcMar>
              <w:left w:w="58" w:type="dxa"/>
              <w:right w:w="58" w:type="dxa"/>
            </w:tcMar>
            <w:vAlign w:val="center"/>
          </w:tcPr>
          <w:p w:rsidRPr="00850248" w:rsidR="00D520BD" w:rsidP="00982BD1" w:rsidRDefault="00D520BD" w14:paraId="38950054" w14:textId="41FE7A5E">
            <w:pPr>
              <w:jc w:val="right"/>
              <w:rPr>
                <w:rFonts w:cs="Arial"/>
                <w:b/>
                <w:i/>
                <w:sz w:val="16"/>
                <w:szCs w:val="16"/>
              </w:rPr>
            </w:pPr>
            <w:r w:rsidRPr="00850248">
              <w:rPr>
                <w:rFonts w:cs="Arial"/>
                <w:b/>
                <w:i/>
                <w:sz w:val="16"/>
                <w:szCs w:val="16"/>
              </w:rPr>
              <w:t>($</w:t>
            </w:r>
            <w:r>
              <w:rPr>
                <w:rFonts w:cs="Arial"/>
                <w:b/>
                <w:i/>
                <w:sz w:val="16"/>
                <w:szCs w:val="16"/>
              </w:rPr>
              <w:t>1</w:t>
            </w:r>
            <w:r w:rsidR="00975E08">
              <w:rPr>
                <w:rFonts w:cs="Arial"/>
                <w:b/>
                <w:i/>
                <w:sz w:val="16"/>
                <w:szCs w:val="16"/>
              </w:rPr>
              <w:t>59</w:t>
            </w:r>
            <w:r w:rsidRPr="00850248">
              <w:rPr>
                <w:rFonts w:cs="Arial"/>
                <w:b/>
                <w:i/>
                <w:sz w:val="16"/>
                <w:szCs w:val="16"/>
              </w:rPr>
              <w:t>)</w:t>
            </w:r>
          </w:p>
        </w:tc>
      </w:tr>
      <w:tr w:rsidRPr="000864A1" w:rsidR="00D520BD" w:rsidTr="00972BEA" w14:paraId="0436BA61" w14:textId="77777777">
        <w:trPr>
          <w:trHeight w:val="1970"/>
        </w:trPr>
        <w:tc>
          <w:tcPr>
            <w:tcW w:w="9360" w:type="dxa"/>
            <w:gridSpan w:val="6"/>
            <w:vAlign w:val="center"/>
          </w:tcPr>
          <w:p w:rsidRPr="00850248" w:rsidR="00D520BD" w:rsidP="00982BD1" w:rsidRDefault="00D520BD" w14:paraId="250F8619" w14:textId="77777777">
            <w:pPr>
              <w:keepNext/>
              <w:keepLines/>
              <w:spacing w:before="32"/>
              <w:ind w:right="-20"/>
              <w:rPr>
                <w:rFonts w:eastAsia="Arial" w:cs="Arial"/>
                <w:sz w:val="16"/>
                <w:szCs w:val="14"/>
              </w:rPr>
            </w:pPr>
            <w:r w:rsidRPr="00850248">
              <w:rPr>
                <w:rFonts w:eastAsia="Arial" w:cs="Arial"/>
                <w:b/>
                <w:bCs/>
                <w:sz w:val="16"/>
                <w:szCs w:val="14"/>
              </w:rPr>
              <w:t>Calcu</w:t>
            </w:r>
            <w:r w:rsidRPr="00850248">
              <w:rPr>
                <w:rFonts w:eastAsia="Arial" w:cs="Arial"/>
                <w:b/>
                <w:bCs/>
                <w:spacing w:val="2"/>
                <w:sz w:val="16"/>
                <w:szCs w:val="14"/>
              </w:rPr>
              <w:t>l</w:t>
            </w:r>
            <w:r w:rsidRPr="00850248">
              <w:rPr>
                <w:rFonts w:eastAsia="Arial" w:cs="Arial"/>
                <w:b/>
                <w:bCs/>
                <w:sz w:val="16"/>
                <w:szCs w:val="14"/>
              </w:rPr>
              <w:t>at</w:t>
            </w:r>
            <w:r w:rsidRPr="00850248">
              <w:rPr>
                <w:rFonts w:eastAsia="Arial" w:cs="Arial"/>
                <w:b/>
                <w:bCs/>
                <w:spacing w:val="2"/>
                <w:sz w:val="16"/>
                <w:szCs w:val="14"/>
              </w:rPr>
              <w:t>i</w:t>
            </w:r>
            <w:r w:rsidRPr="00850248">
              <w:rPr>
                <w:rFonts w:eastAsia="Arial" w:cs="Arial"/>
                <w:b/>
                <w:bCs/>
                <w:sz w:val="16"/>
                <w:szCs w:val="14"/>
              </w:rPr>
              <w:t>ons</w:t>
            </w:r>
            <w:r w:rsidRPr="00850248">
              <w:rPr>
                <w:rFonts w:eastAsia="Arial" w:cs="Arial"/>
                <w:b/>
                <w:bCs/>
                <w:spacing w:val="11"/>
                <w:sz w:val="16"/>
                <w:szCs w:val="14"/>
              </w:rPr>
              <w:t xml:space="preserve"> </w:t>
            </w:r>
            <w:r w:rsidRPr="00850248">
              <w:rPr>
                <w:rFonts w:eastAsia="Arial" w:cs="Arial"/>
                <w:b/>
                <w:bCs/>
                <w:sz w:val="16"/>
                <w:szCs w:val="14"/>
              </w:rPr>
              <w:t>(t</w:t>
            </w:r>
            <w:r w:rsidRPr="00850248">
              <w:rPr>
                <w:rFonts w:eastAsia="Arial" w:cs="Arial"/>
                <w:b/>
                <w:bCs/>
                <w:spacing w:val="2"/>
                <w:sz w:val="16"/>
                <w:szCs w:val="14"/>
              </w:rPr>
              <w:t>o</w:t>
            </w:r>
            <w:r w:rsidRPr="00850248">
              <w:rPr>
                <w:rFonts w:eastAsia="Arial" w:cs="Arial"/>
                <w:b/>
                <w:bCs/>
                <w:sz w:val="16"/>
                <w:szCs w:val="14"/>
              </w:rPr>
              <w:t>tals</w:t>
            </w:r>
            <w:r w:rsidRPr="00850248">
              <w:rPr>
                <w:rFonts w:eastAsia="Arial" w:cs="Arial"/>
                <w:b/>
                <w:bCs/>
                <w:spacing w:val="10"/>
                <w:sz w:val="16"/>
                <w:szCs w:val="14"/>
              </w:rPr>
              <w:t xml:space="preserve"> </w:t>
            </w:r>
            <w:r w:rsidRPr="00850248">
              <w:rPr>
                <w:rFonts w:eastAsia="Arial" w:cs="Arial"/>
                <w:b/>
                <w:bCs/>
                <w:spacing w:val="-2"/>
                <w:sz w:val="16"/>
                <w:szCs w:val="14"/>
              </w:rPr>
              <w:t>m</w:t>
            </w:r>
            <w:r w:rsidRPr="00850248">
              <w:rPr>
                <w:rFonts w:eastAsia="Arial" w:cs="Arial"/>
                <w:b/>
                <w:bCs/>
                <w:spacing w:val="5"/>
                <w:sz w:val="16"/>
                <w:szCs w:val="14"/>
              </w:rPr>
              <w:t>a</w:t>
            </w:r>
            <w:r w:rsidRPr="00850248">
              <w:rPr>
                <w:rFonts w:eastAsia="Arial" w:cs="Arial"/>
                <w:b/>
                <w:bCs/>
                <w:sz w:val="16"/>
                <w:szCs w:val="14"/>
              </w:rPr>
              <w:t>y</w:t>
            </w:r>
            <w:r w:rsidRPr="00850248">
              <w:rPr>
                <w:rFonts w:eastAsia="Arial" w:cs="Arial"/>
                <w:b/>
                <w:bCs/>
                <w:spacing w:val="-1"/>
                <w:sz w:val="16"/>
                <w:szCs w:val="14"/>
              </w:rPr>
              <w:t xml:space="preserve"> </w:t>
            </w:r>
            <w:r w:rsidRPr="00850248">
              <w:rPr>
                <w:rFonts w:eastAsia="Arial" w:cs="Arial"/>
                <w:b/>
                <w:bCs/>
                <w:sz w:val="16"/>
                <w:szCs w:val="14"/>
              </w:rPr>
              <w:t>not</w:t>
            </w:r>
            <w:r w:rsidRPr="00850248">
              <w:rPr>
                <w:rFonts w:eastAsia="Arial" w:cs="Arial"/>
                <w:b/>
                <w:bCs/>
                <w:spacing w:val="8"/>
                <w:sz w:val="16"/>
                <w:szCs w:val="14"/>
              </w:rPr>
              <w:t xml:space="preserve"> </w:t>
            </w:r>
            <w:r w:rsidRPr="00850248">
              <w:rPr>
                <w:rFonts w:eastAsia="Arial" w:cs="Arial"/>
                <w:b/>
                <w:bCs/>
                <w:sz w:val="16"/>
                <w:szCs w:val="14"/>
              </w:rPr>
              <w:t>add</w:t>
            </w:r>
            <w:r w:rsidRPr="00850248">
              <w:rPr>
                <w:rFonts w:eastAsia="Arial" w:cs="Arial"/>
                <w:b/>
                <w:bCs/>
                <w:spacing w:val="5"/>
                <w:sz w:val="16"/>
                <w:szCs w:val="14"/>
              </w:rPr>
              <w:t xml:space="preserve"> </w:t>
            </w:r>
            <w:r w:rsidRPr="00850248">
              <w:rPr>
                <w:rFonts w:eastAsia="Arial" w:cs="Arial"/>
                <w:b/>
                <w:bCs/>
                <w:spacing w:val="2"/>
                <w:sz w:val="16"/>
                <w:szCs w:val="14"/>
              </w:rPr>
              <w:t>b</w:t>
            </w:r>
            <w:r w:rsidRPr="00850248">
              <w:rPr>
                <w:rFonts w:eastAsia="Arial" w:cs="Arial"/>
                <w:b/>
                <w:bCs/>
                <w:sz w:val="16"/>
                <w:szCs w:val="14"/>
              </w:rPr>
              <w:t>ec</w:t>
            </w:r>
            <w:r w:rsidRPr="00850248">
              <w:rPr>
                <w:rFonts w:eastAsia="Arial" w:cs="Arial"/>
                <w:b/>
                <w:bCs/>
                <w:spacing w:val="5"/>
                <w:sz w:val="16"/>
                <w:szCs w:val="14"/>
              </w:rPr>
              <w:t>a</w:t>
            </w:r>
            <w:r w:rsidRPr="00850248">
              <w:rPr>
                <w:rFonts w:eastAsia="Arial" w:cs="Arial"/>
                <w:b/>
                <w:bCs/>
                <w:sz w:val="16"/>
                <w:szCs w:val="14"/>
              </w:rPr>
              <w:t>use</w:t>
            </w:r>
            <w:r w:rsidRPr="00850248">
              <w:rPr>
                <w:rFonts w:eastAsia="Arial" w:cs="Arial"/>
                <w:b/>
                <w:bCs/>
                <w:spacing w:val="9"/>
                <w:sz w:val="16"/>
                <w:szCs w:val="14"/>
              </w:rPr>
              <w:t xml:space="preserve"> </w:t>
            </w:r>
            <w:r w:rsidRPr="00850248">
              <w:rPr>
                <w:rFonts w:eastAsia="Arial" w:cs="Arial"/>
                <w:b/>
                <w:bCs/>
                <w:sz w:val="16"/>
                <w:szCs w:val="14"/>
              </w:rPr>
              <w:t>of</w:t>
            </w:r>
            <w:r w:rsidRPr="00850248">
              <w:rPr>
                <w:rFonts w:eastAsia="Arial" w:cs="Arial"/>
                <w:b/>
                <w:bCs/>
                <w:spacing w:val="7"/>
                <w:sz w:val="16"/>
                <w:szCs w:val="14"/>
              </w:rPr>
              <w:t xml:space="preserve"> </w:t>
            </w:r>
            <w:r w:rsidRPr="00850248">
              <w:rPr>
                <w:rFonts w:eastAsia="Arial" w:cs="Arial"/>
                <w:b/>
                <w:bCs/>
                <w:spacing w:val="2"/>
                <w:sz w:val="16"/>
                <w:szCs w:val="14"/>
              </w:rPr>
              <w:t>rounding</w:t>
            </w:r>
            <w:r w:rsidRPr="00850248">
              <w:rPr>
                <w:rFonts w:eastAsia="Arial" w:cs="Arial"/>
                <w:b/>
                <w:bCs/>
                <w:spacing w:val="3"/>
                <w:sz w:val="16"/>
                <w:szCs w:val="14"/>
              </w:rPr>
              <w:t>)</w:t>
            </w:r>
            <w:r w:rsidRPr="00850248">
              <w:rPr>
                <w:rFonts w:eastAsia="Arial" w:cs="Arial"/>
                <w:b/>
                <w:bCs/>
                <w:sz w:val="16"/>
                <w:szCs w:val="14"/>
              </w:rPr>
              <w:t>:</w:t>
            </w:r>
          </w:p>
          <w:p w:rsidRPr="00CB58EA" w:rsidR="00D520BD" w:rsidP="005C6BA3" w:rsidRDefault="00D520BD" w14:paraId="5F983B88" w14:textId="76AFA2A4">
            <w:pPr>
              <w:pStyle w:val="ListParagraph"/>
              <w:keepNext/>
              <w:keepLines/>
              <w:numPr>
                <w:ilvl w:val="0"/>
                <w:numId w:val="20"/>
              </w:numPr>
              <w:spacing w:after="60"/>
              <w:ind w:left="374"/>
              <w:contextualSpacing w:val="0"/>
              <w:rPr>
                <w:rFonts w:eastAsia="Arial" w:cs="Arial"/>
                <w:sz w:val="16"/>
                <w:szCs w:val="16"/>
              </w:rPr>
            </w:pPr>
            <w:r w:rsidRPr="00CB58EA">
              <w:rPr>
                <w:rFonts w:eastAsia="Arial" w:cs="Arial"/>
                <w:sz w:val="16"/>
                <w:szCs w:val="16"/>
              </w:rPr>
              <w:t xml:space="preserve">Benefits (Cost) </w:t>
            </w:r>
            <w:r w:rsidR="00C0355B">
              <w:rPr>
                <w:rFonts w:eastAsia="Arial" w:cs="Arial"/>
                <w:sz w:val="16"/>
                <w:szCs w:val="16"/>
              </w:rPr>
              <w:t>p</w:t>
            </w:r>
            <w:r w:rsidRPr="00CB58EA">
              <w:rPr>
                <w:rFonts w:eastAsia="Arial" w:cs="Arial"/>
                <w:sz w:val="16"/>
                <w:szCs w:val="16"/>
              </w:rPr>
              <w:t>er Site = Product (Data Inputs)</w:t>
            </w:r>
          </w:p>
          <w:p w:rsidRPr="00CB58EA" w:rsidR="00D520BD" w:rsidP="005C6BA3" w:rsidRDefault="00D520BD" w14:paraId="6E30B110" w14:textId="77777777">
            <w:pPr>
              <w:pStyle w:val="ListParagraph"/>
              <w:keepNext/>
              <w:keepLines/>
              <w:numPr>
                <w:ilvl w:val="0"/>
                <w:numId w:val="20"/>
              </w:numPr>
              <w:spacing w:after="60"/>
              <w:ind w:left="374"/>
              <w:contextualSpacing w:val="0"/>
              <w:rPr>
                <w:rFonts w:eastAsia="Arial" w:cs="Arial"/>
                <w:sz w:val="16"/>
                <w:szCs w:val="16"/>
              </w:rPr>
            </w:pPr>
            <w:r w:rsidRPr="00CB58EA">
              <w:rPr>
                <w:rFonts w:eastAsia="Arial" w:cs="Arial"/>
                <w:sz w:val="16"/>
                <w:szCs w:val="16"/>
              </w:rPr>
              <w:t>Total Benefits (Cost) = Benefits (Cost) Per Site x Sites Affected</w:t>
            </w:r>
          </w:p>
          <w:p w:rsidRPr="00CB58EA" w:rsidR="00D520BD" w:rsidP="005C6BA3" w:rsidRDefault="00D520BD" w14:paraId="5D0598CA" w14:textId="77777777">
            <w:pPr>
              <w:pStyle w:val="ListParagraph"/>
              <w:keepNext/>
              <w:keepLines/>
              <w:numPr>
                <w:ilvl w:val="0"/>
                <w:numId w:val="20"/>
              </w:numPr>
              <w:spacing w:after="60"/>
              <w:ind w:left="374"/>
              <w:contextualSpacing w:val="0"/>
              <w:rPr>
                <w:rFonts w:eastAsia="Arial" w:cs="Arial"/>
                <w:sz w:val="16"/>
                <w:szCs w:val="16"/>
              </w:rPr>
            </w:pPr>
            <w:r w:rsidRPr="00CB58EA">
              <w:rPr>
                <w:rFonts w:eastAsia="Arial" w:cs="Arial"/>
                <w:sz w:val="16"/>
                <w:szCs w:val="16"/>
              </w:rPr>
              <w:t>Total Industry Operations Cost = Sum (Total Benefits (Cost))</w:t>
            </w:r>
          </w:p>
          <w:p w:rsidRPr="00CB58EA" w:rsidR="00D520BD" w:rsidP="005C6BA3" w:rsidRDefault="00D520BD" w14:paraId="3AC35F77" w14:textId="77777777">
            <w:pPr>
              <w:pStyle w:val="ListParagraph"/>
              <w:keepNext/>
              <w:keepLines/>
              <w:numPr>
                <w:ilvl w:val="0"/>
                <w:numId w:val="20"/>
              </w:numPr>
              <w:spacing w:after="60"/>
              <w:ind w:left="374"/>
              <w:contextualSpacing w:val="0"/>
              <w:rPr>
                <w:rFonts w:eastAsia="Arial" w:cs="Arial"/>
                <w:sz w:val="16"/>
                <w:szCs w:val="16"/>
              </w:rPr>
            </w:pPr>
            <w:r w:rsidRPr="00CB58EA">
              <w:rPr>
                <w:rFonts w:eastAsia="Arial" w:cs="Arial"/>
                <w:sz w:val="16"/>
                <w:szCs w:val="16"/>
              </w:rPr>
              <w:t>Average Operations Cost Per Site = Total Industry Operations Cost / Total Number of Sites</w:t>
            </w:r>
          </w:p>
          <w:p w:rsidRPr="00850248" w:rsidR="00D520BD" w:rsidP="00982BD1" w:rsidRDefault="00D520BD" w14:paraId="74322926" w14:textId="77777777">
            <w:pPr>
              <w:keepNext/>
              <w:keepLines/>
              <w:ind w:right="-20"/>
              <w:rPr>
                <w:rFonts w:eastAsia="Arial" w:cs="Arial"/>
                <w:sz w:val="16"/>
                <w:szCs w:val="14"/>
              </w:rPr>
            </w:pPr>
          </w:p>
          <w:p w:rsidRPr="00850248" w:rsidR="00D520BD" w:rsidP="00982BD1" w:rsidRDefault="00D520BD" w14:paraId="43619D9A" w14:textId="77777777">
            <w:pPr>
              <w:keepNext/>
              <w:keepLines/>
              <w:ind w:left="16" w:right="-20"/>
              <w:rPr>
                <w:rFonts w:eastAsia="Arial" w:cs="Arial"/>
                <w:sz w:val="16"/>
                <w:szCs w:val="14"/>
              </w:rPr>
            </w:pPr>
            <w:r w:rsidRPr="00850248">
              <w:rPr>
                <w:rFonts w:eastAsia="Arial" w:cs="Arial"/>
                <w:b/>
                <w:bCs/>
                <w:spacing w:val="-5"/>
                <w:sz w:val="16"/>
                <w:szCs w:val="14"/>
              </w:rPr>
              <w:t>A</w:t>
            </w:r>
            <w:r w:rsidRPr="00850248">
              <w:rPr>
                <w:rFonts w:eastAsia="Arial" w:cs="Arial"/>
                <w:b/>
                <w:bCs/>
                <w:spacing w:val="2"/>
                <w:sz w:val="16"/>
                <w:szCs w:val="14"/>
              </w:rPr>
              <w:t>s</w:t>
            </w:r>
            <w:r w:rsidRPr="00850248">
              <w:rPr>
                <w:rFonts w:eastAsia="Arial" w:cs="Arial"/>
                <w:b/>
                <w:bCs/>
                <w:spacing w:val="3"/>
                <w:sz w:val="16"/>
                <w:szCs w:val="14"/>
              </w:rPr>
              <w:t>s</w:t>
            </w:r>
            <w:r w:rsidRPr="00850248">
              <w:rPr>
                <w:rFonts w:eastAsia="Arial" w:cs="Arial"/>
                <w:b/>
                <w:bCs/>
                <w:spacing w:val="7"/>
                <w:sz w:val="16"/>
                <w:szCs w:val="14"/>
              </w:rPr>
              <w:t>u</w:t>
            </w:r>
            <w:r w:rsidRPr="00850248">
              <w:rPr>
                <w:rFonts w:eastAsia="Arial" w:cs="Arial"/>
                <w:b/>
                <w:bCs/>
                <w:sz w:val="16"/>
                <w:szCs w:val="14"/>
              </w:rPr>
              <w:t>m</w:t>
            </w:r>
            <w:r w:rsidRPr="00850248">
              <w:rPr>
                <w:rFonts w:eastAsia="Arial" w:cs="Arial"/>
                <w:b/>
                <w:bCs/>
                <w:spacing w:val="2"/>
                <w:sz w:val="16"/>
                <w:szCs w:val="14"/>
              </w:rPr>
              <w:t>ptio</w:t>
            </w:r>
            <w:r w:rsidRPr="00850248">
              <w:rPr>
                <w:rFonts w:eastAsia="Arial" w:cs="Arial"/>
                <w:b/>
                <w:bCs/>
                <w:spacing w:val="3"/>
                <w:sz w:val="16"/>
                <w:szCs w:val="14"/>
              </w:rPr>
              <w:t>n</w:t>
            </w:r>
            <w:r w:rsidRPr="00850248">
              <w:rPr>
                <w:rFonts w:eastAsia="Arial" w:cs="Arial"/>
                <w:b/>
                <w:bCs/>
                <w:spacing w:val="7"/>
                <w:sz w:val="16"/>
                <w:szCs w:val="14"/>
              </w:rPr>
              <w:t>s</w:t>
            </w:r>
            <w:r w:rsidRPr="00850248">
              <w:rPr>
                <w:rFonts w:eastAsia="Arial" w:cs="Arial"/>
                <w:b/>
                <w:bCs/>
                <w:sz w:val="16"/>
                <w:szCs w:val="14"/>
              </w:rPr>
              <w:t>:</w:t>
            </w:r>
          </w:p>
          <w:p w:rsidRPr="00850248" w:rsidR="00D520BD" w:rsidP="00972BEA" w:rsidRDefault="00D520BD" w14:paraId="66A5DDB1" w14:textId="259C82E9">
            <w:pPr>
              <w:pStyle w:val="ListParagraph"/>
              <w:keepNext/>
              <w:keepLines/>
              <w:numPr>
                <w:ilvl w:val="0"/>
                <w:numId w:val="20"/>
              </w:numPr>
              <w:spacing w:after="120"/>
              <w:ind w:left="374"/>
              <w:contextualSpacing w:val="0"/>
              <w:rPr>
                <w:rFonts w:cs="Arial"/>
                <w:sz w:val="16"/>
                <w:szCs w:val="14"/>
              </w:rPr>
            </w:pPr>
            <w:r w:rsidRPr="00D64B5D">
              <w:rPr>
                <w:rFonts w:eastAsia="Arial" w:cs="Arial"/>
                <w:sz w:val="16"/>
                <w:szCs w:val="16"/>
              </w:rPr>
              <w:t>Appendices</w:t>
            </w:r>
            <w:r>
              <w:rPr>
                <w:rFonts w:eastAsia="Arial" w:cs="Arial"/>
                <w:sz w:val="16"/>
                <w:szCs w:val="16"/>
              </w:rPr>
              <w:t> </w:t>
            </w:r>
            <w:r w:rsidRPr="00D64B5D">
              <w:rPr>
                <w:rFonts w:eastAsia="Arial" w:cs="Arial"/>
                <w:sz w:val="16"/>
                <w:szCs w:val="16"/>
              </w:rPr>
              <w:t xml:space="preserve">B and D </w:t>
            </w:r>
            <w:r w:rsidR="003156A1">
              <w:rPr>
                <w:rFonts w:eastAsia="Arial" w:cs="Arial"/>
                <w:sz w:val="16"/>
                <w:szCs w:val="16"/>
              </w:rPr>
              <w:t>present</w:t>
            </w:r>
            <w:r w:rsidRPr="00D64B5D">
              <w:rPr>
                <w:rFonts w:eastAsia="Arial" w:cs="Arial"/>
                <w:sz w:val="16"/>
                <w:szCs w:val="16"/>
              </w:rPr>
              <w:t xml:space="preserve"> additional information on </w:t>
            </w:r>
            <w:r w:rsidR="003156A1">
              <w:rPr>
                <w:rFonts w:eastAsia="Arial" w:cs="Arial"/>
                <w:sz w:val="16"/>
                <w:szCs w:val="16"/>
              </w:rPr>
              <w:t xml:space="preserve">the </w:t>
            </w:r>
            <w:r>
              <w:rPr>
                <w:rFonts w:eastAsia="Arial" w:cs="Arial"/>
                <w:sz w:val="16"/>
                <w:szCs w:val="16"/>
              </w:rPr>
              <w:t>parameters used in these calculations</w:t>
            </w:r>
            <w:r w:rsidRPr="00D64B5D">
              <w:rPr>
                <w:rFonts w:eastAsia="Arial" w:cs="Arial"/>
                <w:sz w:val="16"/>
                <w:szCs w:val="16"/>
              </w:rPr>
              <w:t>.</w:t>
            </w:r>
            <w:r w:rsidRPr="00850248" w:rsidDel="00972BEA" w:rsidR="00972BEA">
              <w:rPr>
                <w:rFonts w:cs="Arial"/>
                <w:sz w:val="16"/>
                <w:szCs w:val="14"/>
              </w:rPr>
              <w:t xml:space="preserve"> </w:t>
            </w:r>
          </w:p>
        </w:tc>
      </w:tr>
    </w:tbl>
    <w:p w:rsidRPr="00CD53D7" w:rsidR="00D520BD" w:rsidP="00D520BD" w:rsidRDefault="00D520BD" w14:paraId="4298BE0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eastAsiaTheme="minorEastAsia"/>
          <w:sz w:val="22"/>
          <w:szCs w:val="22"/>
        </w:rPr>
      </w:pPr>
    </w:p>
    <w:p w:rsidRPr="00CD53D7" w:rsidR="00D520BD" w:rsidP="00D520BD" w:rsidRDefault="00D520BD" w14:paraId="78BE10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2"/>
          <w:szCs w:val="22"/>
        </w:rPr>
        <w:sectPr w:rsidRPr="00CD53D7" w:rsidR="00D520BD" w:rsidSect="0098556A">
          <w:footerReference w:type="default" r:id="rId38"/>
          <w:pgSz w:w="12240" w:h="15840" w:code="1"/>
          <w:pgMar w:top="1440" w:right="1440" w:bottom="1440" w:left="1440" w:header="720" w:footer="720" w:gutter="0"/>
          <w:pgNumType w:start="1"/>
          <w:cols w:space="720"/>
          <w:noEndnote/>
          <w:docGrid w:linePitch="272"/>
        </w:sectPr>
      </w:pPr>
    </w:p>
    <w:p w:rsidRPr="00834DCE" w:rsidR="00D520BD" w:rsidP="00D520BD" w:rsidRDefault="00D520BD" w14:paraId="2E9EB7F1" w14:textId="77777777">
      <w:pPr>
        <w:rPr>
          <w:rFonts w:eastAsiaTheme="minorEastAsia"/>
          <w:b/>
          <w:i/>
          <w:sz w:val="28"/>
          <w:szCs w:val="28"/>
        </w:rPr>
      </w:pPr>
      <w:bookmarkStart w:name="_Toc370806861" w:id="301"/>
      <w:bookmarkStart w:name="_Toc369786582" w:id="302"/>
      <w:r w:rsidRPr="00834DCE">
        <w:rPr>
          <w:rFonts w:eastAsiaTheme="minorEastAsia"/>
          <w:b/>
          <w:i/>
          <w:sz w:val="28"/>
          <w:szCs w:val="28"/>
        </w:rPr>
        <w:t xml:space="preserve">Appendix D:  </w:t>
      </w:r>
      <w:r>
        <w:rPr>
          <w:rFonts w:eastAsiaTheme="minorEastAsia"/>
          <w:b/>
          <w:i/>
          <w:sz w:val="28"/>
          <w:szCs w:val="28"/>
        </w:rPr>
        <w:t xml:space="preserve">Costs of </w:t>
      </w:r>
      <w:r w:rsidRPr="00834DCE">
        <w:rPr>
          <w:rFonts w:eastAsiaTheme="minorEastAsia"/>
          <w:b/>
          <w:i/>
          <w:sz w:val="28"/>
          <w:szCs w:val="28"/>
        </w:rPr>
        <w:t>Subsequent Actions</w:t>
      </w:r>
      <w:bookmarkEnd w:id="301"/>
    </w:p>
    <w:p w:rsidRPr="00BC54FB" w:rsidR="00D520BD" w:rsidP="00D520BD" w:rsidRDefault="00D520BD" w14:paraId="1A03601C" w14:textId="77777777">
      <w:pPr>
        <w:rPr>
          <w:rFonts w:eastAsiaTheme="minorEastAsia"/>
          <w:sz w:val="28"/>
          <w:szCs w:val="28"/>
        </w:rPr>
      </w:pPr>
    </w:p>
    <w:tbl>
      <w:tblPr>
        <w:tblStyle w:val="TableGrid"/>
        <w:tblW w:w="5000" w:type="pct"/>
        <w:tblLook w:val="04A0" w:firstRow="1" w:lastRow="0" w:firstColumn="1" w:lastColumn="0" w:noHBand="0" w:noVBand="1"/>
      </w:tblPr>
      <w:tblGrid>
        <w:gridCol w:w="2565"/>
        <w:gridCol w:w="2109"/>
        <w:gridCol w:w="2338"/>
        <w:gridCol w:w="2338"/>
      </w:tblGrid>
      <w:tr w:rsidRPr="003A11D3" w:rsidR="00D520BD" w:rsidTr="00982BD1" w14:paraId="5AF30EA5" w14:textId="77777777">
        <w:tc>
          <w:tcPr>
            <w:tcW w:w="5000" w:type="pct"/>
            <w:gridSpan w:val="4"/>
          </w:tcPr>
          <w:p w:rsidRPr="001F5099" w:rsidR="00D520BD" w:rsidP="00982BD1" w:rsidRDefault="00D520BD" w14:paraId="0E8AD78F" w14:textId="77777777">
            <w:pPr>
              <w:spacing w:before="120" w:line="215" w:lineRule="exact"/>
              <w:jc w:val="center"/>
              <w:rPr>
                <w:rFonts w:eastAsia="Arial" w:cs="Arial"/>
                <w:b/>
                <w:bCs/>
                <w:szCs w:val="16"/>
              </w:rPr>
            </w:pPr>
            <w:r w:rsidRPr="001F5099">
              <w:rPr>
                <w:rFonts w:eastAsia="Arial" w:cs="Arial"/>
                <w:b/>
                <w:bCs/>
                <w:szCs w:val="16"/>
              </w:rPr>
              <w:t>Subsequent Action Labor Hours and Costs per</w:t>
            </w:r>
          </w:p>
          <w:p w:rsidRPr="001F5099" w:rsidR="00D520BD" w:rsidP="00982BD1" w:rsidRDefault="00D520BD" w14:paraId="7F7C4410" w14:textId="6E56063A">
            <w:pPr>
              <w:spacing w:before="17"/>
              <w:jc w:val="center"/>
              <w:rPr>
                <w:rFonts w:eastAsia="Arial" w:cs="Arial"/>
                <w:b/>
                <w:bCs/>
                <w:szCs w:val="16"/>
              </w:rPr>
            </w:pPr>
            <w:r w:rsidRPr="001F5099">
              <w:rPr>
                <w:rFonts w:eastAsia="Arial" w:cs="Arial"/>
                <w:b/>
                <w:bCs/>
                <w:szCs w:val="16"/>
              </w:rPr>
              <w:t>Positive</w:t>
            </w:r>
            <w:r w:rsidR="00646A79">
              <w:rPr>
                <w:rFonts w:eastAsia="Arial" w:cs="Arial"/>
                <w:b/>
                <w:bCs/>
                <w:szCs w:val="16"/>
              </w:rPr>
              <w:t>,</w:t>
            </w:r>
            <w:r w:rsidRPr="001F5099">
              <w:rPr>
                <w:rFonts w:eastAsia="Arial" w:cs="Arial"/>
                <w:b/>
                <w:bCs/>
                <w:szCs w:val="16"/>
              </w:rPr>
              <w:t xml:space="preserve"> Adulterated</w:t>
            </w:r>
            <w:r w:rsidR="00646A79">
              <w:rPr>
                <w:rFonts w:eastAsia="Arial" w:cs="Arial"/>
                <w:b/>
                <w:bCs/>
                <w:szCs w:val="16"/>
              </w:rPr>
              <w:t>,</w:t>
            </w:r>
            <w:r w:rsidRPr="001F5099">
              <w:rPr>
                <w:rFonts w:eastAsia="Arial" w:cs="Arial"/>
                <w:b/>
                <w:bCs/>
                <w:szCs w:val="16"/>
              </w:rPr>
              <w:t xml:space="preserve"> Substituted</w:t>
            </w:r>
            <w:r w:rsidR="00646A79">
              <w:rPr>
                <w:rFonts w:eastAsia="Arial" w:cs="Arial"/>
                <w:b/>
                <w:bCs/>
                <w:szCs w:val="16"/>
              </w:rPr>
              <w:t>,</w:t>
            </w:r>
            <w:r w:rsidRPr="001F5099">
              <w:rPr>
                <w:rFonts w:eastAsia="Arial" w:cs="Arial"/>
                <w:b/>
                <w:bCs/>
                <w:szCs w:val="16"/>
              </w:rPr>
              <w:t xml:space="preserve"> or Refusal to Test Result</w:t>
            </w:r>
          </w:p>
          <w:p w:rsidRPr="00850248" w:rsidR="00D520BD" w:rsidP="00982BD1" w:rsidRDefault="00D520BD" w14:paraId="5D4C2614" w14:textId="77777777">
            <w:pPr>
              <w:rPr>
                <w:rFonts w:cs="Arial"/>
                <w:sz w:val="16"/>
                <w:szCs w:val="16"/>
              </w:rPr>
            </w:pPr>
          </w:p>
          <w:p w:rsidR="00D520BD" w:rsidP="00982BD1" w:rsidRDefault="00646A79" w14:paraId="4D5DA84E" w14:textId="3D2D7007">
            <w:pPr>
              <w:rPr>
                <w:rFonts w:eastAsia="Arial" w:cs="Arial"/>
                <w:sz w:val="16"/>
                <w:szCs w:val="16"/>
              </w:rPr>
            </w:pPr>
            <w:r>
              <w:rPr>
                <w:rFonts w:eastAsia="Arial" w:cs="Arial"/>
                <w:sz w:val="16"/>
                <w:szCs w:val="16"/>
              </w:rPr>
              <w:t>“</w:t>
            </w:r>
            <w:r w:rsidRPr="00326383" w:rsidR="00D520BD">
              <w:rPr>
                <w:rFonts w:eastAsia="Arial" w:cs="Arial"/>
                <w:sz w:val="16"/>
                <w:szCs w:val="16"/>
              </w:rPr>
              <w:t>Subsequent actions</w:t>
            </w:r>
            <w:r>
              <w:rPr>
                <w:rFonts w:eastAsia="Arial" w:cs="Arial"/>
                <w:sz w:val="16"/>
                <w:szCs w:val="16"/>
              </w:rPr>
              <w:t>”</w:t>
            </w:r>
            <w:r w:rsidRPr="00326383" w:rsidR="00D520BD">
              <w:rPr>
                <w:rFonts w:eastAsia="Arial" w:cs="Arial"/>
                <w:sz w:val="16"/>
                <w:szCs w:val="16"/>
              </w:rPr>
              <w:t xml:space="preserve"> refers to the activities completed by</w:t>
            </w:r>
            <w:r w:rsidR="00D520BD">
              <w:rPr>
                <w:rFonts w:eastAsia="Arial" w:cs="Arial"/>
                <w:sz w:val="16"/>
                <w:szCs w:val="16"/>
              </w:rPr>
              <w:t xml:space="preserve"> staff of the licensee or other entity and the Medical Review Officer (MRO) </w:t>
            </w:r>
            <w:r w:rsidRPr="00326383" w:rsidR="00D520BD">
              <w:rPr>
                <w:rFonts w:eastAsia="Arial" w:cs="Arial"/>
                <w:sz w:val="16"/>
                <w:szCs w:val="16"/>
              </w:rPr>
              <w:t>following a drug or alcohol positive</w:t>
            </w:r>
            <w:r w:rsidR="00D520BD">
              <w:rPr>
                <w:rFonts w:eastAsia="Arial" w:cs="Arial"/>
                <w:sz w:val="16"/>
                <w:szCs w:val="16"/>
              </w:rPr>
              <w:t xml:space="preserve"> result</w:t>
            </w:r>
            <w:r>
              <w:rPr>
                <w:rFonts w:eastAsia="Arial" w:cs="Arial"/>
                <w:sz w:val="16"/>
                <w:szCs w:val="16"/>
              </w:rPr>
              <w:t>,</w:t>
            </w:r>
            <w:r w:rsidRPr="00326383" w:rsidR="00D520BD">
              <w:rPr>
                <w:rFonts w:eastAsia="Arial" w:cs="Arial"/>
                <w:sz w:val="16"/>
                <w:szCs w:val="16"/>
              </w:rPr>
              <w:t xml:space="preserve"> an adulterated or substi</w:t>
            </w:r>
            <w:r w:rsidR="00D520BD">
              <w:rPr>
                <w:rFonts w:eastAsia="Arial" w:cs="Arial"/>
                <w:sz w:val="16"/>
                <w:szCs w:val="16"/>
              </w:rPr>
              <w:t>tuted validity test result</w:t>
            </w:r>
            <w:r>
              <w:rPr>
                <w:rFonts w:eastAsia="Arial" w:cs="Arial"/>
                <w:sz w:val="16"/>
                <w:szCs w:val="16"/>
              </w:rPr>
              <w:t>,</w:t>
            </w:r>
            <w:r w:rsidR="00D520BD">
              <w:rPr>
                <w:rFonts w:eastAsia="Arial" w:cs="Arial"/>
                <w:sz w:val="16"/>
                <w:szCs w:val="16"/>
              </w:rPr>
              <w:t xml:space="preserve"> or refusal to test</w:t>
            </w:r>
            <w:r w:rsidRPr="00326383" w:rsidR="00D520BD">
              <w:rPr>
                <w:rFonts w:eastAsia="Arial" w:cs="Arial"/>
                <w:sz w:val="16"/>
                <w:szCs w:val="16"/>
              </w:rPr>
              <w:t xml:space="preserve"> (as required by </w:t>
            </w:r>
            <w:r w:rsidR="002E7EC6">
              <w:rPr>
                <w:rFonts w:eastAsia="Arial" w:cs="Arial"/>
                <w:sz w:val="16"/>
                <w:szCs w:val="16"/>
              </w:rPr>
              <w:t xml:space="preserve">Title 10 of the </w:t>
            </w:r>
            <w:r w:rsidRPr="000D3B34" w:rsidR="002E7EC6">
              <w:rPr>
                <w:rFonts w:eastAsia="Arial" w:cs="Arial"/>
                <w:i/>
                <w:iCs/>
                <w:sz w:val="16"/>
                <w:szCs w:val="16"/>
              </w:rPr>
              <w:t>Code of Federal Regulations</w:t>
            </w:r>
            <w:r w:rsidR="002E7EC6">
              <w:rPr>
                <w:rFonts w:eastAsia="Arial" w:cs="Arial"/>
                <w:sz w:val="16"/>
                <w:szCs w:val="16"/>
              </w:rPr>
              <w:t xml:space="preserve"> (</w:t>
            </w:r>
            <w:r w:rsidR="00D520BD">
              <w:rPr>
                <w:rFonts w:eastAsia="Arial" w:cs="Arial"/>
                <w:sz w:val="16"/>
                <w:szCs w:val="16"/>
              </w:rPr>
              <w:t>10 CFR</w:t>
            </w:r>
            <w:r w:rsidR="002E7EC6">
              <w:rPr>
                <w:rFonts w:eastAsia="Arial" w:cs="Arial"/>
                <w:sz w:val="16"/>
                <w:szCs w:val="16"/>
              </w:rPr>
              <w:t>)</w:t>
            </w:r>
            <w:r w:rsidR="00D520BD">
              <w:rPr>
                <w:rFonts w:eastAsia="Arial" w:cs="Arial"/>
                <w:sz w:val="16"/>
                <w:szCs w:val="16"/>
              </w:rPr>
              <w:t> Part 26</w:t>
            </w:r>
            <w:r>
              <w:rPr>
                <w:rFonts w:eastAsia="Arial" w:cs="Arial"/>
                <w:sz w:val="16"/>
                <w:szCs w:val="16"/>
              </w:rPr>
              <w:t>,</w:t>
            </w:r>
            <w:r w:rsidR="00D520BD">
              <w:rPr>
                <w:rFonts w:eastAsia="Arial" w:cs="Arial"/>
                <w:sz w:val="16"/>
                <w:szCs w:val="16"/>
              </w:rPr>
              <w:t xml:space="preserve"> </w:t>
            </w:r>
            <w:r>
              <w:rPr>
                <w:rFonts w:eastAsia="Arial" w:cs="Arial"/>
                <w:sz w:val="16"/>
                <w:szCs w:val="16"/>
              </w:rPr>
              <w:t>“</w:t>
            </w:r>
            <w:r w:rsidR="00D520BD">
              <w:rPr>
                <w:rFonts w:eastAsia="Arial" w:cs="Arial"/>
                <w:sz w:val="16"/>
                <w:szCs w:val="16"/>
              </w:rPr>
              <w:t xml:space="preserve">Fitness for </w:t>
            </w:r>
            <w:r w:rsidR="002E7EC6">
              <w:rPr>
                <w:rFonts w:eastAsia="Arial" w:cs="Arial"/>
                <w:sz w:val="16"/>
                <w:szCs w:val="16"/>
              </w:rPr>
              <w:t>d</w:t>
            </w:r>
            <w:r w:rsidR="00D520BD">
              <w:rPr>
                <w:rFonts w:eastAsia="Arial" w:cs="Arial"/>
                <w:sz w:val="16"/>
                <w:szCs w:val="16"/>
              </w:rPr>
              <w:t xml:space="preserve">uty </w:t>
            </w:r>
            <w:r w:rsidR="00B75638">
              <w:rPr>
                <w:rFonts w:eastAsia="Arial" w:cs="Arial"/>
                <w:sz w:val="16"/>
                <w:szCs w:val="16"/>
              </w:rPr>
              <w:t xml:space="preserve">[FFD] </w:t>
            </w:r>
            <w:r w:rsidR="002E7EC6">
              <w:rPr>
                <w:rFonts w:eastAsia="Arial" w:cs="Arial"/>
                <w:sz w:val="16"/>
                <w:szCs w:val="16"/>
              </w:rPr>
              <w:t>p</w:t>
            </w:r>
            <w:r w:rsidR="00D520BD">
              <w:rPr>
                <w:rFonts w:eastAsia="Arial" w:cs="Arial"/>
                <w:sz w:val="16"/>
                <w:szCs w:val="16"/>
              </w:rPr>
              <w:t>rograms</w:t>
            </w:r>
            <w:r>
              <w:rPr>
                <w:rFonts w:eastAsia="Arial" w:cs="Arial"/>
                <w:sz w:val="16"/>
                <w:szCs w:val="16"/>
              </w:rPr>
              <w:t>”</w:t>
            </w:r>
            <w:r w:rsidRPr="00326383" w:rsidR="00D520BD">
              <w:rPr>
                <w:rFonts w:eastAsia="Arial" w:cs="Arial"/>
                <w:sz w:val="16"/>
                <w:szCs w:val="16"/>
              </w:rPr>
              <w:t>).</w:t>
            </w:r>
          </w:p>
          <w:p w:rsidR="00D520BD" w:rsidP="00982BD1" w:rsidRDefault="00D520BD" w14:paraId="1D0E866A" w14:textId="77777777">
            <w:pPr>
              <w:rPr>
                <w:rFonts w:eastAsia="Arial" w:cs="Arial"/>
                <w:sz w:val="16"/>
                <w:szCs w:val="16"/>
              </w:rPr>
            </w:pPr>
          </w:p>
          <w:p w:rsidRPr="00850248" w:rsidR="00D520BD" w:rsidP="00982BD1" w:rsidRDefault="00D520BD" w14:paraId="51474E53" w14:textId="3393E481">
            <w:pPr>
              <w:rPr>
                <w:rFonts w:eastAsia="Arial" w:cs="Arial"/>
                <w:sz w:val="16"/>
                <w:szCs w:val="16"/>
              </w:rPr>
            </w:pPr>
            <w:r w:rsidRPr="00E85AC8">
              <w:rPr>
                <w:rFonts w:eastAsia="Arial" w:cs="Arial"/>
                <w:sz w:val="16"/>
                <w:szCs w:val="16"/>
              </w:rPr>
              <w:t>Subsequent actions</w:t>
            </w:r>
            <w:r>
              <w:rPr>
                <w:rFonts w:eastAsia="Arial" w:cs="Arial"/>
                <w:sz w:val="16"/>
                <w:szCs w:val="16"/>
              </w:rPr>
              <w:t xml:space="preserve"> consist of </w:t>
            </w:r>
            <w:r w:rsidRPr="00E85AC8">
              <w:rPr>
                <w:rFonts w:eastAsia="Arial" w:cs="Arial"/>
                <w:sz w:val="16"/>
                <w:szCs w:val="16"/>
              </w:rPr>
              <w:t xml:space="preserve">activities </w:t>
            </w:r>
            <w:r>
              <w:rPr>
                <w:rFonts w:eastAsia="Arial" w:cs="Arial"/>
                <w:sz w:val="16"/>
                <w:szCs w:val="16"/>
              </w:rPr>
              <w:t xml:space="preserve">performed by the </w:t>
            </w:r>
            <w:r w:rsidRPr="00E85AC8">
              <w:rPr>
                <w:rFonts w:eastAsia="Arial" w:cs="Arial"/>
                <w:sz w:val="16"/>
                <w:szCs w:val="16"/>
              </w:rPr>
              <w:t>licensee or other entity staff</w:t>
            </w:r>
            <w:r>
              <w:rPr>
                <w:rFonts w:eastAsia="Arial" w:cs="Arial"/>
                <w:sz w:val="16"/>
                <w:szCs w:val="16"/>
              </w:rPr>
              <w:t xml:space="preserve"> and the MRO </w:t>
            </w:r>
            <w:r w:rsidR="002E7EC6">
              <w:rPr>
                <w:rFonts w:eastAsia="Arial" w:cs="Arial"/>
                <w:sz w:val="16"/>
                <w:szCs w:val="16"/>
              </w:rPr>
              <w:t>related to</w:t>
            </w:r>
            <w:r>
              <w:rPr>
                <w:rFonts w:eastAsia="Arial" w:cs="Arial"/>
                <w:sz w:val="16"/>
                <w:szCs w:val="16"/>
              </w:rPr>
              <w:t xml:space="preserve"> the review and confirmation of a </w:t>
            </w:r>
            <w:r w:rsidRPr="00E85AC8">
              <w:rPr>
                <w:rFonts w:eastAsia="Arial" w:cs="Arial"/>
                <w:sz w:val="16"/>
                <w:szCs w:val="16"/>
              </w:rPr>
              <w:t>test result</w:t>
            </w:r>
            <w:r w:rsidR="00646A79">
              <w:rPr>
                <w:rFonts w:eastAsia="Arial" w:cs="Arial"/>
                <w:sz w:val="16"/>
                <w:szCs w:val="16"/>
              </w:rPr>
              <w:t>,</w:t>
            </w:r>
            <w:r w:rsidRPr="00E85AC8">
              <w:rPr>
                <w:rFonts w:eastAsia="Arial" w:cs="Arial"/>
                <w:sz w:val="16"/>
                <w:szCs w:val="16"/>
              </w:rPr>
              <w:t xml:space="preserve"> communications with the donor throughout the verification and sanctioning process</w:t>
            </w:r>
            <w:r w:rsidR="00646A79">
              <w:rPr>
                <w:rFonts w:eastAsia="Arial" w:cs="Arial"/>
                <w:sz w:val="16"/>
                <w:szCs w:val="16"/>
              </w:rPr>
              <w:t>,</w:t>
            </w:r>
            <w:r w:rsidRPr="00E85AC8">
              <w:rPr>
                <w:rFonts w:eastAsia="Arial" w:cs="Arial"/>
                <w:sz w:val="16"/>
                <w:szCs w:val="16"/>
              </w:rPr>
              <w:t xml:space="preserve"> and recordkeeping and reporting.  For example</w:t>
            </w:r>
            <w:r w:rsidR="00646A79">
              <w:rPr>
                <w:rFonts w:eastAsia="Arial" w:cs="Arial"/>
                <w:sz w:val="16"/>
                <w:szCs w:val="16"/>
              </w:rPr>
              <w:t>,</w:t>
            </w:r>
            <w:r w:rsidRPr="00E85AC8">
              <w:rPr>
                <w:rFonts w:eastAsia="Arial" w:cs="Arial"/>
                <w:sz w:val="16"/>
                <w:szCs w:val="16"/>
              </w:rPr>
              <w:t xml:space="preserve"> subsequent actions include MRO communications with the donor about the result</w:t>
            </w:r>
            <w:r w:rsidR="00646A79">
              <w:rPr>
                <w:rFonts w:eastAsia="Arial" w:cs="Arial"/>
                <w:sz w:val="16"/>
                <w:szCs w:val="16"/>
              </w:rPr>
              <w:t>,</w:t>
            </w:r>
            <w:r w:rsidRPr="00E85AC8">
              <w:rPr>
                <w:rFonts w:eastAsia="Arial" w:cs="Arial"/>
                <w:sz w:val="16"/>
                <w:szCs w:val="16"/>
              </w:rPr>
              <w:t xml:space="preserve"> the communications between the MRO and the licensee about a confirmed test result (recording and reporting the result)</w:t>
            </w:r>
            <w:r w:rsidR="00646A79">
              <w:rPr>
                <w:rFonts w:eastAsia="Arial" w:cs="Arial"/>
                <w:sz w:val="16"/>
                <w:szCs w:val="16"/>
              </w:rPr>
              <w:t>,</w:t>
            </w:r>
            <w:r w:rsidRPr="00E85AC8">
              <w:rPr>
                <w:rFonts w:eastAsia="Arial" w:cs="Arial"/>
                <w:sz w:val="16"/>
                <w:szCs w:val="16"/>
              </w:rPr>
              <w:t xml:space="preserve"> licensee or other entity admini</w:t>
            </w:r>
            <w:r>
              <w:rPr>
                <w:rFonts w:eastAsia="Arial" w:cs="Arial"/>
                <w:sz w:val="16"/>
                <w:szCs w:val="16"/>
              </w:rPr>
              <w:t xml:space="preserve">strative actions implemented </w:t>
            </w:r>
            <w:r w:rsidR="00DF3302">
              <w:rPr>
                <w:rFonts w:eastAsia="Arial" w:cs="Arial"/>
                <w:sz w:val="16"/>
                <w:szCs w:val="16"/>
              </w:rPr>
              <w:t>under</w:t>
            </w:r>
            <w:r w:rsidRPr="00E85AC8">
              <w:rPr>
                <w:rFonts w:eastAsia="Arial" w:cs="Arial"/>
                <w:sz w:val="16"/>
                <w:szCs w:val="16"/>
              </w:rPr>
              <w:t xml:space="preserve"> 10</w:t>
            </w:r>
            <w:r>
              <w:rPr>
                <w:rFonts w:eastAsia="Arial" w:cs="Arial"/>
                <w:sz w:val="16"/>
                <w:szCs w:val="16"/>
              </w:rPr>
              <w:t> </w:t>
            </w:r>
            <w:r w:rsidRPr="00E85AC8">
              <w:rPr>
                <w:rFonts w:eastAsia="Arial" w:cs="Arial"/>
                <w:sz w:val="16"/>
                <w:szCs w:val="16"/>
              </w:rPr>
              <w:t>CFR</w:t>
            </w:r>
            <w:r>
              <w:rPr>
                <w:rFonts w:eastAsia="Arial" w:cs="Arial"/>
                <w:sz w:val="16"/>
                <w:szCs w:val="16"/>
              </w:rPr>
              <w:t> </w:t>
            </w:r>
            <w:r w:rsidRPr="00E85AC8">
              <w:rPr>
                <w:rFonts w:eastAsia="Arial" w:cs="Arial"/>
                <w:sz w:val="16"/>
                <w:szCs w:val="16"/>
              </w:rPr>
              <w:t>26.75</w:t>
            </w:r>
            <w:r w:rsidR="00646A79">
              <w:rPr>
                <w:rFonts w:eastAsia="Arial" w:cs="Arial"/>
                <w:sz w:val="16"/>
                <w:szCs w:val="16"/>
              </w:rPr>
              <w:t>,</w:t>
            </w:r>
            <w:r w:rsidRPr="00E85AC8">
              <w:rPr>
                <w:rFonts w:eastAsia="Arial" w:cs="Arial"/>
                <w:sz w:val="16"/>
                <w:szCs w:val="16"/>
              </w:rPr>
              <w:t xml:space="preserve"> </w:t>
            </w:r>
            <w:r w:rsidR="00646A79">
              <w:rPr>
                <w:rFonts w:eastAsia="Arial" w:cs="Arial"/>
                <w:sz w:val="16"/>
                <w:szCs w:val="16"/>
              </w:rPr>
              <w:t>“</w:t>
            </w:r>
            <w:r>
              <w:rPr>
                <w:rFonts w:eastAsia="Arial" w:cs="Arial"/>
                <w:sz w:val="16"/>
                <w:szCs w:val="16"/>
              </w:rPr>
              <w:t>S</w:t>
            </w:r>
            <w:r w:rsidRPr="00E85AC8">
              <w:rPr>
                <w:rFonts w:eastAsia="Arial" w:cs="Arial"/>
                <w:sz w:val="16"/>
                <w:szCs w:val="16"/>
              </w:rPr>
              <w:t>anction</w:t>
            </w:r>
            <w:r>
              <w:rPr>
                <w:rFonts w:eastAsia="Arial" w:cs="Arial"/>
                <w:sz w:val="16"/>
                <w:szCs w:val="16"/>
              </w:rPr>
              <w:t>s</w:t>
            </w:r>
            <w:r w:rsidR="00646A79">
              <w:rPr>
                <w:rFonts w:eastAsia="Arial" w:cs="Arial"/>
                <w:sz w:val="16"/>
                <w:szCs w:val="16"/>
              </w:rPr>
              <w:t>,”</w:t>
            </w:r>
            <w:r w:rsidRPr="00E85AC8">
              <w:rPr>
                <w:rFonts w:eastAsia="Arial" w:cs="Arial"/>
                <w:sz w:val="16"/>
                <w:szCs w:val="16"/>
              </w:rPr>
              <w:t xml:space="preserve"> and any request by the donor to request the retesting of an aliquot of a single specimen or the testing of Bottle</w:t>
            </w:r>
            <w:r>
              <w:rPr>
                <w:rFonts w:eastAsia="Arial" w:cs="Arial"/>
                <w:sz w:val="16"/>
                <w:szCs w:val="16"/>
              </w:rPr>
              <w:t> </w:t>
            </w:r>
            <w:r w:rsidRPr="00E85AC8">
              <w:rPr>
                <w:rFonts w:eastAsia="Arial" w:cs="Arial"/>
                <w:sz w:val="16"/>
                <w:szCs w:val="16"/>
              </w:rPr>
              <w:t>B of the split specimen</w:t>
            </w:r>
            <w:r w:rsidR="00646A79">
              <w:rPr>
                <w:rFonts w:eastAsia="Arial" w:cs="Arial"/>
                <w:sz w:val="16"/>
                <w:szCs w:val="16"/>
              </w:rPr>
              <w:t>,</w:t>
            </w:r>
            <w:r w:rsidRPr="00E85AC8">
              <w:rPr>
                <w:rFonts w:eastAsia="Arial" w:cs="Arial"/>
                <w:sz w:val="16"/>
                <w:szCs w:val="16"/>
              </w:rPr>
              <w:t xml:space="preserve"> or </w:t>
            </w:r>
            <w:r w:rsidR="00873AE9">
              <w:rPr>
                <w:rFonts w:eastAsia="Arial" w:cs="Arial"/>
                <w:sz w:val="16"/>
                <w:szCs w:val="16"/>
              </w:rPr>
              <w:t xml:space="preserve">to </w:t>
            </w:r>
            <w:r w:rsidRPr="00E85AC8">
              <w:rPr>
                <w:rFonts w:eastAsia="Arial" w:cs="Arial"/>
                <w:sz w:val="16"/>
                <w:szCs w:val="16"/>
              </w:rPr>
              <w:t>appeal of the result.</w:t>
            </w:r>
          </w:p>
          <w:p w:rsidRPr="00850248" w:rsidR="00D520BD" w:rsidP="00982BD1" w:rsidRDefault="00D520BD" w14:paraId="37949A5F" w14:textId="77777777">
            <w:pPr>
              <w:rPr>
                <w:rFonts w:cs="Arial" w:eastAsiaTheme="minorEastAsia"/>
                <w:i/>
                <w:sz w:val="16"/>
                <w:szCs w:val="16"/>
              </w:rPr>
            </w:pPr>
          </w:p>
        </w:tc>
      </w:tr>
      <w:tr w:rsidRPr="00BC54FB" w:rsidR="00D520BD" w:rsidTr="007E08FF" w14:paraId="75E90628" w14:textId="77777777">
        <w:trPr>
          <w:trHeight w:val="288"/>
        </w:trPr>
        <w:tc>
          <w:tcPr>
            <w:tcW w:w="1372" w:type="pct"/>
            <w:shd w:val="clear" w:color="auto" w:fill="D9D9D9" w:themeFill="background1" w:themeFillShade="D9"/>
            <w:vAlign w:val="center"/>
          </w:tcPr>
          <w:p w:rsidRPr="00850248" w:rsidR="00D520BD" w:rsidP="00982BD1" w:rsidRDefault="00D520BD" w14:paraId="3985AB81" w14:textId="77777777">
            <w:pPr>
              <w:jc w:val="center"/>
              <w:rPr>
                <w:rFonts w:eastAsiaTheme="minorEastAsia"/>
                <w:b/>
                <w:sz w:val="16"/>
                <w:szCs w:val="16"/>
              </w:rPr>
            </w:pPr>
            <w:r w:rsidRPr="00850248">
              <w:rPr>
                <w:rFonts w:eastAsiaTheme="minorEastAsia"/>
                <w:b/>
                <w:sz w:val="16"/>
                <w:szCs w:val="16"/>
              </w:rPr>
              <w:t>Labor Category</w:t>
            </w:r>
          </w:p>
        </w:tc>
        <w:tc>
          <w:tcPr>
            <w:tcW w:w="1128" w:type="pct"/>
            <w:shd w:val="clear" w:color="auto" w:fill="D9D9D9" w:themeFill="background1" w:themeFillShade="D9"/>
            <w:vAlign w:val="center"/>
          </w:tcPr>
          <w:p w:rsidRPr="00850248" w:rsidR="00D520BD" w:rsidDel="009A7568" w:rsidP="00982BD1" w:rsidRDefault="00D520BD" w14:paraId="58114C5A" w14:textId="77777777">
            <w:pPr>
              <w:jc w:val="center"/>
              <w:rPr>
                <w:rFonts w:eastAsiaTheme="minorEastAsia"/>
                <w:b/>
                <w:sz w:val="16"/>
                <w:szCs w:val="16"/>
              </w:rPr>
            </w:pPr>
            <w:r>
              <w:rPr>
                <w:rFonts w:eastAsiaTheme="minorEastAsia"/>
                <w:b/>
                <w:sz w:val="16"/>
                <w:szCs w:val="16"/>
              </w:rPr>
              <w:t>Wage Rate</w:t>
            </w:r>
          </w:p>
        </w:tc>
        <w:tc>
          <w:tcPr>
            <w:tcW w:w="1250" w:type="pct"/>
            <w:tcBorders>
              <w:bottom w:val="single" w:color="auto" w:sz="4" w:space="0"/>
            </w:tcBorders>
            <w:shd w:val="clear" w:color="auto" w:fill="D9D9D9" w:themeFill="background1" w:themeFillShade="D9"/>
            <w:vAlign w:val="center"/>
          </w:tcPr>
          <w:p w:rsidRPr="00850248" w:rsidR="00D520BD" w:rsidP="00982BD1" w:rsidRDefault="00D520BD" w14:paraId="2AAB0664" w14:textId="77777777">
            <w:pPr>
              <w:jc w:val="center"/>
              <w:rPr>
                <w:rFonts w:eastAsiaTheme="minorEastAsia"/>
                <w:b/>
                <w:sz w:val="16"/>
                <w:szCs w:val="16"/>
              </w:rPr>
            </w:pPr>
            <w:r>
              <w:rPr>
                <w:rFonts w:eastAsiaTheme="minorEastAsia"/>
                <w:b/>
                <w:sz w:val="16"/>
                <w:szCs w:val="16"/>
              </w:rPr>
              <w:t>Labor Per Result</w:t>
            </w:r>
          </w:p>
        </w:tc>
        <w:tc>
          <w:tcPr>
            <w:tcW w:w="1250" w:type="pct"/>
            <w:tcBorders>
              <w:bottom w:val="single" w:color="auto" w:sz="4" w:space="0"/>
            </w:tcBorders>
            <w:shd w:val="clear" w:color="auto" w:fill="D9D9D9" w:themeFill="background1" w:themeFillShade="D9"/>
            <w:vAlign w:val="center"/>
          </w:tcPr>
          <w:p w:rsidR="00C0355B" w:rsidP="00982BD1" w:rsidRDefault="00D520BD" w14:paraId="27CEF080" w14:textId="77777777">
            <w:pPr>
              <w:jc w:val="center"/>
              <w:rPr>
                <w:rFonts w:eastAsiaTheme="minorEastAsia"/>
                <w:b/>
                <w:sz w:val="16"/>
                <w:szCs w:val="16"/>
              </w:rPr>
            </w:pPr>
            <w:r>
              <w:rPr>
                <w:rFonts w:eastAsiaTheme="minorEastAsia"/>
                <w:b/>
                <w:sz w:val="16"/>
                <w:szCs w:val="16"/>
              </w:rPr>
              <w:t>Total Cost</w:t>
            </w:r>
            <w:r w:rsidR="00C0355B">
              <w:rPr>
                <w:rFonts w:eastAsiaTheme="minorEastAsia"/>
                <w:b/>
                <w:sz w:val="16"/>
                <w:szCs w:val="16"/>
              </w:rPr>
              <w:t xml:space="preserve"> </w:t>
            </w:r>
          </w:p>
          <w:p w:rsidRPr="00850248" w:rsidR="00D520BD" w:rsidP="00982BD1" w:rsidRDefault="00D520BD" w14:paraId="5336BC77" w14:textId="5893591F">
            <w:pPr>
              <w:jc w:val="center"/>
              <w:rPr>
                <w:rFonts w:eastAsiaTheme="minorEastAsia"/>
                <w:b/>
                <w:sz w:val="16"/>
                <w:szCs w:val="16"/>
              </w:rPr>
            </w:pPr>
            <w:r>
              <w:rPr>
                <w:rFonts w:eastAsiaTheme="minorEastAsia"/>
                <w:b/>
                <w:sz w:val="16"/>
                <w:szCs w:val="16"/>
              </w:rPr>
              <w:t>P</w:t>
            </w:r>
            <w:r w:rsidRPr="00850248">
              <w:rPr>
                <w:rFonts w:eastAsiaTheme="minorEastAsia"/>
                <w:b/>
                <w:sz w:val="16"/>
                <w:szCs w:val="16"/>
              </w:rPr>
              <w:t>er Result</w:t>
            </w:r>
          </w:p>
        </w:tc>
      </w:tr>
      <w:tr w:rsidRPr="00BC54FB" w:rsidR="00073EF8" w:rsidTr="007E08FF" w14:paraId="3860EB3A" w14:textId="77777777">
        <w:trPr>
          <w:trHeight w:val="288"/>
        </w:trPr>
        <w:tc>
          <w:tcPr>
            <w:tcW w:w="1372" w:type="pct"/>
            <w:tcMar>
              <w:left w:w="288" w:type="dxa"/>
              <w:right w:w="115" w:type="dxa"/>
            </w:tcMar>
            <w:vAlign w:val="center"/>
          </w:tcPr>
          <w:p w:rsidRPr="003622EA" w:rsidR="00073EF8" w:rsidP="00073EF8" w:rsidRDefault="00073EF8" w14:paraId="079E2013" w14:textId="77777777">
            <w:pPr>
              <w:rPr>
                <w:rFonts w:eastAsiaTheme="minorEastAsia"/>
                <w:sz w:val="16"/>
                <w:szCs w:val="16"/>
              </w:rPr>
            </w:pPr>
            <w:r w:rsidRPr="003622EA">
              <w:rPr>
                <w:rFonts w:eastAsiaTheme="minorEastAsia"/>
                <w:sz w:val="16"/>
                <w:szCs w:val="16"/>
              </w:rPr>
              <w:t>MRO</w:t>
            </w:r>
          </w:p>
        </w:tc>
        <w:tc>
          <w:tcPr>
            <w:tcW w:w="1128" w:type="pct"/>
            <w:vAlign w:val="center"/>
          </w:tcPr>
          <w:p w:rsidRPr="003622EA" w:rsidR="00073EF8" w:rsidDel="00326383" w:rsidP="00073EF8" w:rsidRDefault="00073EF8" w14:paraId="58412FF9" w14:textId="4BB1F105">
            <w:pPr>
              <w:jc w:val="center"/>
              <w:rPr>
                <w:rFonts w:eastAsiaTheme="minorEastAsia"/>
                <w:sz w:val="16"/>
                <w:szCs w:val="16"/>
              </w:rPr>
            </w:pPr>
            <w:r w:rsidRPr="003622EA">
              <w:rPr>
                <w:rFonts w:cs="Arial"/>
                <w:sz w:val="16"/>
                <w:szCs w:val="16"/>
              </w:rPr>
              <w:t xml:space="preserve">$151.36/hour </w:t>
            </w:r>
          </w:p>
        </w:tc>
        <w:tc>
          <w:tcPr>
            <w:tcW w:w="1250" w:type="pct"/>
            <w:shd w:val="clear" w:color="auto" w:fill="FFFFFF" w:themeFill="background1"/>
            <w:vAlign w:val="center"/>
          </w:tcPr>
          <w:p w:rsidRPr="003622EA" w:rsidR="00073EF8" w:rsidP="00073EF8" w:rsidRDefault="00852B62" w14:paraId="57DA50B4" w14:textId="5DE14E72">
            <w:pPr>
              <w:jc w:val="center"/>
              <w:rPr>
                <w:rFonts w:eastAsiaTheme="minorEastAsia"/>
                <w:sz w:val="16"/>
                <w:szCs w:val="16"/>
              </w:rPr>
            </w:pPr>
            <w:r>
              <w:rPr>
                <w:rFonts w:cs="Arial"/>
                <w:sz w:val="16"/>
                <w:szCs w:val="16"/>
              </w:rPr>
              <w:t>0.75</w:t>
            </w:r>
            <w:r w:rsidR="00227811">
              <w:rPr>
                <w:rFonts w:cs="Arial"/>
                <w:sz w:val="16"/>
                <w:szCs w:val="16"/>
              </w:rPr>
              <w:t xml:space="preserve"> hour</w:t>
            </w:r>
          </w:p>
        </w:tc>
        <w:tc>
          <w:tcPr>
            <w:tcW w:w="1250" w:type="pct"/>
            <w:shd w:val="clear" w:color="auto" w:fill="FFFFFF" w:themeFill="background1"/>
            <w:vAlign w:val="center"/>
          </w:tcPr>
          <w:p w:rsidRPr="003622EA" w:rsidR="00073EF8" w:rsidP="00073EF8" w:rsidRDefault="00073EF8" w14:paraId="6D56DCC9" w14:textId="04782396">
            <w:pPr>
              <w:jc w:val="center"/>
              <w:rPr>
                <w:rFonts w:eastAsiaTheme="minorEastAsia"/>
                <w:sz w:val="16"/>
                <w:szCs w:val="16"/>
              </w:rPr>
            </w:pPr>
            <w:r w:rsidRPr="003622EA">
              <w:rPr>
                <w:rFonts w:cs="Arial"/>
                <w:sz w:val="16"/>
                <w:szCs w:val="16"/>
              </w:rPr>
              <w:t>$</w:t>
            </w:r>
            <w:r w:rsidR="00852B62">
              <w:rPr>
                <w:rFonts w:cs="Arial"/>
                <w:sz w:val="16"/>
                <w:szCs w:val="16"/>
              </w:rPr>
              <w:t>113.52</w:t>
            </w:r>
            <w:r w:rsidRPr="003622EA">
              <w:rPr>
                <w:rFonts w:cs="Arial"/>
                <w:sz w:val="16"/>
                <w:szCs w:val="16"/>
              </w:rPr>
              <w:t>/result</w:t>
            </w:r>
          </w:p>
        </w:tc>
      </w:tr>
      <w:tr w:rsidRPr="00BC54FB" w:rsidR="00073EF8" w:rsidTr="007E08FF" w14:paraId="072A6F82" w14:textId="77777777">
        <w:trPr>
          <w:trHeight w:val="288"/>
        </w:trPr>
        <w:tc>
          <w:tcPr>
            <w:tcW w:w="1372" w:type="pct"/>
            <w:tcMar>
              <w:left w:w="288" w:type="dxa"/>
              <w:right w:w="115" w:type="dxa"/>
            </w:tcMar>
            <w:vAlign w:val="center"/>
          </w:tcPr>
          <w:p w:rsidRPr="003622EA" w:rsidR="00073EF8" w:rsidP="00073EF8" w:rsidRDefault="00073EF8" w14:paraId="792CF299" w14:textId="77777777">
            <w:pPr>
              <w:rPr>
                <w:rFonts w:eastAsiaTheme="minorEastAsia"/>
                <w:sz w:val="16"/>
                <w:szCs w:val="16"/>
              </w:rPr>
            </w:pPr>
            <w:r w:rsidRPr="003622EA">
              <w:rPr>
                <w:rFonts w:eastAsiaTheme="minorEastAsia"/>
                <w:sz w:val="16"/>
                <w:szCs w:val="16"/>
              </w:rPr>
              <w:t>FFD Manager</w:t>
            </w:r>
          </w:p>
        </w:tc>
        <w:tc>
          <w:tcPr>
            <w:tcW w:w="1128" w:type="pct"/>
            <w:vAlign w:val="center"/>
          </w:tcPr>
          <w:p w:rsidRPr="003622EA" w:rsidR="00073EF8" w:rsidDel="00326383" w:rsidP="00073EF8" w:rsidRDefault="00073EF8" w14:paraId="4C63D250" w14:textId="0FF9F202">
            <w:pPr>
              <w:jc w:val="center"/>
              <w:rPr>
                <w:rFonts w:eastAsiaTheme="minorEastAsia"/>
                <w:sz w:val="16"/>
                <w:szCs w:val="16"/>
              </w:rPr>
            </w:pPr>
            <w:r w:rsidRPr="003622EA">
              <w:rPr>
                <w:rFonts w:cs="Arial"/>
                <w:sz w:val="16"/>
                <w:szCs w:val="16"/>
              </w:rPr>
              <w:t xml:space="preserve">$47.79/hour </w:t>
            </w:r>
          </w:p>
        </w:tc>
        <w:tc>
          <w:tcPr>
            <w:tcW w:w="1250" w:type="pct"/>
            <w:shd w:val="clear" w:color="auto" w:fill="FFFFFF" w:themeFill="background1"/>
            <w:vAlign w:val="center"/>
          </w:tcPr>
          <w:p w:rsidRPr="003622EA" w:rsidR="00073EF8" w:rsidP="00073EF8" w:rsidRDefault="00F579C0" w14:paraId="2C883549" w14:textId="0F428DA8">
            <w:pPr>
              <w:jc w:val="center"/>
              <w:rPr>
                <w:rFonts w:eastAsiaTheme="minorEastAsia"/>
                <w:sz w:val="16"/>
                <w:szCs w:val="16"/>
              </w:rPr>
            </w:pPr>
            <w:r>
              <w:rPr>
                <w:rFonts w:cs="Arial"/>
                <w:sz w:val="16"/>
                <w:szCs w:val="16"/>
              </w:rPr>
              <w:t xml:space="preserve">  </w:t>
            </w:r>
            <w:r w:rsidR="00852B62">
              <w:rPr>
                <w:rFonts w:cs="Arial"/>
                <w:sz w:val="16"/>
                <w:szCs w:val="16"/>
              </w:rPr>
              <w:t>2.00</w:t>
            </w:r>
            <w:r w:rsidR="00227811">
              <w:rPr>
                <w:rFonts w:cs="Arial"/>
                <w:sz w:val="16"/>
                <w:szCs w:val="16"/>
              </w:rPr>
              <w:t xml:space="preserve"> hours</w:t>
            </w:r>
          </w:p>
        </w:tc>
        <w:tc>
          <w:tcPr>
            <w:tcW w:w="1250" w:type="pct"/>
            <w:shd w:val="clear" w:color="auto" w:fill="FFFFFF" w:themeFill="background1"/>
            <w:vAlign w:val="center"/>
          </w:tcPr>
          <w:p w:rsidRPr="003622EA" w:rsidR="00073EF8" w:rsidP="00073EF8" w:rsidRDefault="00073EF8" w14:paraId="0070EC6B" w14:textId="02C5F944">
            <w:pPr>
              <w:jc w:val="center"/>
              <w:rPr>
                <w:rFonts w:eastAsiaTheme="minorEastAsia"/>
                <w:sz w:val="16"/>
                <w:szCs w:val="16"/>
              </w:rPr>
            </w:pPr>
            <w:r w:rsidRPr="003622EA">
              <w:rPr>
                <w:rFonts w:cs="Arial"/>
                <w:sz w:val="16"/>
                <w:szCs w:val="16"/>
              </w:rPr>
              <w:t>$</w:t>
            </w:r>
            <w:r w:rsidR="00852B62">
              <w:rPr>
                <w:rFonts w:cs="Arial"/>
                <w:sz w:val="16"/>
                <w:szCs w:val="16"/>
              </w:rPr>
              <w:t>95.59</w:t>
            </w:r>
            <w:r w:rsidRPr="003622EA">
              <w:rPr>
                <w:rFonts w:cs="Arial"/>
                <w:sz w:val="16"/>
                <w:szCs w:val="16"/>
              </w:rPr>
              <w:t>/result</w:t>
            </w:r>
          </w:p>
        </w:tc>
      </w:tr>
      <w:tr w:rsidRPr="00BC54FB" w:rsidR="00073EF8" w:rsidTr="007E08FF" w14:paraId="741E17E0" w14:textId="77777777">
        <w:trPr>
          <w:trHeight w:val="288"/>
        </w:trPr>
        <w:tc>
          <w:tcPr>
            <w:tcW w:w="1372" w:type="pct"/>
            <w:tcBorders>
              <w:bottom w:val="single" w:color="auto" w:sz="4" w:space="0"/>
            </w:tcBorders>
            <w:tcMar>
              <w:left w:w="288" w:type="dxa"/>
              <w:right w:w="115" w:type="dxa"/>
            </w:tcMar>
            <w:vAlign w:val="center"/>
          </w:tcPr>
          <w:p w:rsidRPr="003622EA" w:rsidR="00073EF8" w:rsidP="00073EF8" w:rsidRDefault="00073EF8" w14:paraId="02048F45" w14:textId="77777777">
            <w:pPr>
              <w:rPr>
                <w:rFonts w:eastAsiaTheme="minorEastAsia"/>
                <w:sz w:val="16"/>
                <w:szCs w:val="16"/>
              </w:rPr>
            </w:pPr>
            <w:r w:rsidRPr="003622EA">
              <w:rPr>
                <w:rFonts w:eastAsiaTheme="minorEastAsia"/>
                <w:sz w:val="16"/>
                <w:szCs w:val="16"/>
              </w:rPr>
              <w:t>FFD Staff</w:t>
            </w:r>
          </w:p>
        </w:tc>
        <w:tc>
          <w:tcPr>
            <w:tcW w:w="1128" w:type="pct"/>
            <w:tcBorders>
              <w:bottom w:val="single" w:color="auto" w:sz="4" w:space="0"/>
            </w:tcBorders>
            <w:vAlign w:val="center"/>
          </w:tcPr>
          <w:p w:rsidRPr="003622EA" w:rsidR="00073EF8" w:rsidDel="00326383" w:rsidP="00073EF8" w:rsidRDefault="00073EF8" w14:paraId="03F8FC29" w14:textId="7FF86490">
            <w:pPr>
              <w:jc w:val="center"/>
              <w:rPr>
                <w:rFonts w:eastAsiaTheme="minorEastAsia"/>
                <w:sz w:val="16"/>
                <w:szCs w:val="16"/>
              </w:rPr>
            </w:pPr>
            <w:r w:rsidRPr="003622EA">
              <w:rPr>
                <w:rFonts w:cs="Arial"/>
                <w:sz w:val="16"/>
                <w:szCs w:val="16"/>
              </w:rPr>
              <w:t xml:space="preserve">$41.20/hour </w:t>
            </w:r>
          </w:p>
        </w:tc>
        <w:tc>
          <w:tcPr>
            <w:tcW w:w="1250" w:type="pct"/>
            <w:tcBorders>
              <w:bottom w:val="single" w:color="auto" w:sz="4" w:space="0"/>
            </w:tcBorders>
            <w:shd w:val="clear" w:color="auto" w:fill="FFFFFF" w:themeFill="background1"/>
            <w:vAlign w:val="center"/>
          </w:tcPr>
          <w:p w:rsidRPr="003622EA" w:rsidR="00073EF8" w:rsidP="00073EF8" w:rsidRDefault="00852B62" w14:paraId="01EE6191" w14:textId="256B1A99">
            <w:pPr>
              <w:jc w:val="center"/>
              <w:rPr>
                <w:rFonts w:eastAsiaTheme="minorEastAsia"/>
                <w:sz w:val="16"/>
                <w:szCs w:val="16"/>
              </w:rPr>
            </w:pPr>
            <w:r>
              <w:rPr>
                <w:rFonts w:cs="Arial"/>
                <w:sz w:val="16"/>
                <w:szCs w:val="16"/>
              </w:rPr>
              <w:t>0.75</w:t>
            </w:r>
            <w:r w:rsidR="00227811">
              <w:rPr>
                <w:rFonts w:cs="Arial"/>
                <w:sz w:val="16"/>
                <w:szCs w:val="16"/>
              </w:rPr>
              <w:t xml:space="preserve"> hour</w:t>
            </w:r>
          </w:p>
        </w:tc>
        <w:tc>
          <w:tcPr>
            <w:tcW w:w="1250" w:type="pct"/>
            <w:tcBorders>
              <w:bottom w:val="single" w:color="auto" w:sz="4" w:space="0"/>
            </w:tcBorders>
            <w:shd w:val="clear" w:color="auto" w:fill="FFFFFF" w:themeFill="background1"/>
            <w:vAlign w:val="center"/>
          </w:tcPr>
          <w:p w:rsidRPr="003622EA" w:rsidR="00073EF8" w:rsidP="00073EF8" w:rsidRDefault="00073EF8" w14:paraId="3121AE07" w14:textId="7736F7B9">
            <w:pPr>
              <w:jc w:val="center"/>
              <w:rPr>
                <w:rFonts w:eastAsiaTheme="minorEastAsia"/>
                <w:sz w:val="16"/>
                <w:szCs w:val="16"/>
              </w:rPr>
            </w:pPr>
            <w:r w:rsidRPr="003622EA">
              <w:rPr>
                <w:rFonts w:cs="Arial"/>
                <w:sz w:val="16"/>
                <w:szCs w:val="16"/>
              </w:rPr>
              <w:t>$</w:t>
            </w:r>
            <w:r w:rsidR="00852B62">
              <w:rPr>
                <w:rFonts w:cs="Arial"/>
                <w:sz w:val="16"/>
                <w:szCs w:val="16"/>
              </w:rPr>
              <w:t>30.90</w:t>
            </w:r>
            <w:r w:rsidRPr="003622EA">
              <w:rPr>
                <w:rFonts w:cs="Arial"/>
                <w:sz w:val="16"/>
                <w:szCs w:val="16"/>
              </w:rPr>
              <w:t>/result</w:t>
            </w:r>
          </w:p>
        </w:tc>
      </w:tr>
      <w:tr w:rsidRPr="00BC54FB" w:rsidR="00073EF8" w:rsidTr="007E08FF" w14:paraId="1B0E0608" w14:textId="77777777">
        <w:trPr>
          <w:trHeight w:val="288"/>
        </w:trPr>
        <w:tc>
          <w:tcPr>
            <w:tcW w:w="1372" w:type="pct"/>
            <w:tcBorders>
              <w:bottom w:val="double" w:color="auto" w:sz="4" w:space="0"/>
            </w:tcBorders>
            <w:tcMar>
              <w:left w:w="288" w:type="dxa"/>
              <w:right w:w="115" w:type="dxa"/>
            </w:tcMar>
            <w:vAlign w:val="center"/>
          </w:tcPr>
          <w:p w:rsidRPr="003622EA" w:rsidR="00073EF8" w:rsidP="00073EF8" w:rsidRDefault="00073EF8" w14:paraId="4186F010" w14:textId="77777777">
            <w:pPr>
              <w:rPr>
                <w:rFonts w:eastAsiaTheme="minorEastAsia"/>
                <w:sz w:val="16"/>
                <w:szCs w:val="16"/>
              </w:rPr>
            </w:pPr>
            <w:r w:rsidRPr="003622EA">
              <w:rPr>
                <w:rFonts w:eastAsiaTheme="minorEastAsia"/>
                <w:sz w:val="16"/>
                <w:szCs w:val="16"/>
              </w:rPr>
              <w:t>Facility Worker</w:t>
            </w:r>
          </w:p>
        </w:tc>
        <w:tc>
          <w:tcPr>
            <w:tcW w:w="1128" w:type="pct"/>
            <w:tcBorders>
              <w:bottom w:val="double" w:color="auto" w:sz="4" w:space="0"/>
            </w:tcBorders>
            <w:vAlign w:val="center"/>
          </w:tcPr>
          <w:p w:rsidRPr="003622EA" w:rsidR="00073EF8" w:rsidDel="00326383" w:rsidP="00073EF8" w:rsidRDefault="00073EF8" w14:paraId="70B46575" w14:textId="12CA7E74">
            <w:pPr>
              <w:jc w:val="center"/>
              <w:rPr>
                <w:rFonts w:eastAsiaTheme="minorEastAsia"/>
                <w:sz w:val="16"/>
                <w:szCs w:val="16"/>
              </w:rPr>
            </w:pPr>
            <w:r w:rsidRPr="003622EA">
              <w:rPr>
                <w:rFonts w:cs="Arial"/>
                <w:sz w:val="16"/>
                <w:szCs w:val="16"/>
              </w:rPr>
              <w:t xml:space="preserve">$70.65/hour </w:t>
            </w:r>
          </w:p>
        </w:tc>
        <w:tc>
          <w:tcPr>
            <w:tcW w:w="1250" w:type="pct"/>
            <w:tcBorders>
              <w:bottom w:val="double" w:color="auto" w:sz="4" w:space="0"/>
            </w:tcBorders>
            <w:shd w:val="clear" w:color="auto" w:fill="FFFFFF" w:themeFill="background1"/>
            <w:vAlign w:val="center"/>
          </w:tcPr>
          <w:p w:rsidRPr="003622EA" w:rsidR="00073EF8" w:rsidP="00073EF8" w:rsidRDefault="00852B62" w14:paraId="53A53CED" w14:textId="18E81D1A">
            <w:pPr>
              <w:jc w:val="center"/>
              <w:rPr>
                <w:rFonts w:eastAsiaTheme="minorEastAsia"/>
                <w:sz w:val="16"/>
                <w:szCs w:val="16"/>
              </w:rPr>
            </w:pPr>
            <w:r>
              <w:rPr>
                <w:rFonts w:cs="Arial"/>
                <w:sz w:val="16"/>
                <w:szCs w:val="16"/>
              </w:rPr>
              <w:t>1.00</w:t>
            </w:r>
            <w:r w:rsidR="00227811">
              <w:rPr>
                <w:rFonts w:cs="Arial"/>
                <w:sz w:val="16"/>
                <w:szCs w:val="16"/>
              </w:rPr>
              <w:t xml:space="preserve"> hour</w:t>
            </w:r>
          </w:p>
        </w:tc>
        <w:tc>
          <w:tcPr>
            <w:tcW w:w="1250" w:type="pct"/>
            <w:tcBorders>
              <w:bottom w:val="double" w:color="auto" w:sz="4" w:space="0"/>
            </w:tcBorders>
            <w:shd w:val="clear" w:color="auto" w:fill="FFFFFF" w:themeFill="background1"/>
            <w:vAlign w:val="center"/>
          </w:tcPr>
          <w:p w:rsidRPr="003622EA" w:rsidR="00073EF8" w:rsidP="00073EF8" w:rsidRDefault="00073EF8" w14:paraId="051F4105" w14:textId="7D61E08F">
            <w:pPr>
              <w:jc w:val="center"/>
              <w:rPr>
                <w:rFonts w:eastAsiaTheme="minorEastAsia"/>
                <w:sz w:val="16"/>
                <w:szCs w:val="16"/>
              </w:rPr>
            </w:pPr>
            <w:r w:rsidRPr="003622EA">
              <w:rPr>
                <w:rFonts w:cs="Arial"/>
                <w:sz w:val="16"/>
                <w:szCs w:val="16"/>
              </w:rPr>
              <w:t>$</w:t>
            </w:r>
            <w:r w:rsidR="00852B62">
              <w:rPr>
                <w:rFonts w:cs="Arial"/>
                <w:sz w:val="16"/>
                <w:szCs w:val="16"/>
              </w:rPr>
              <w:t>70.65</w:t>
            </w:r>
            <w:r w:rsidRPr="003622EA">
              <w:rPr>
                <w:rFonts w:cs="Arial"/>
                <w:sz w:val="16"/>
                <w:szCs w:val="16"/>
              </w:rPr>
              <w:t>/result</w:t>
            </w:r>
          </w:p>
        </w:tc>
      </w:tr>
      <w:tr w:rsidRPr="00BC54FB" w:rsidR="00D520BD" w:rsidTr="007E08FF" w14:paraId="1C985042" w14:textId="77777777">
        <w:trPr>
          <w:trHeight w:val="231"/>
        </w:trPr>
        <w:tc>
          <w:tcPr>
            <w:tcW w:w="1372" w:type="pct"/>
            <w:tcBorders>
              <w:top w:val="double" w:color="auto" w:sz="4" w:space="0"/>
            </w:tcBorders>
            <w:vAlign w:val="center"/>
          </w:tcPr>
          <w:p w:rsidRPr="003622EA" w:rsidR="00D520BD" w:rsidP="00982BD1" w:rsidRDefault="00D520BD" w14:paraId="040A10A4" w14:textId="77777777">
            <w:pPr>
              <w:jc w:val="right"/>
              <w:rPr>
                <w:rFonts w:eastAsiaTheme="minorEastAsia"/>
                <w:b/>
                <w:sz w:val="16"/>
                <w:szCs w:val="16"/>
              </w:rPr>
            </w:pPr>
            <w:r w:rsidRPr="003622EA">
              <w:rPr>
                <w:rFonts w:eastAsiaTheme="minorEastAsia"/>
                <w:b/>
                <w:sz w:val="16"/>
                <w:szCs w:val="16"/>
              </w:rPr>
              <w:t>Total</w:t>
            </w:r>
          </w:p>
        </w:tc>
        <w:tc>
          <w:tcPr>
            <w:tcW w:w="1128" w:type="pct"/>
            <w:tcBorders>
              <w:top w:val="double" w:color="auto" w:sz="4" w:space="0"/>
            </w:tcBorders>
            <w:vAlign w:val="center"/>
          </w:tcPr>
          <w:p w:rsidRPr="003622EA" w:rsidR="00D520BD" w:rsidDel="00326383" w:rsidP="00982BD1" w:rsidRDefault="00D520BD" w14:paraId="112D0BBE" w14:textId="77777777">
            <w:pPr>
              <w:jc w:val="center"/>
              <w:rPr>
                <w:rFonts w:eastAsiaTheme="minorEastAsia"/>
                <w:b/>
                <w:sz w:val="16"/>
                <w:szCs w:val="16"/>
              </w:rPr>
            </w:pPr>
          </w:p>
        </w:tc>
        <w:tc>
          <w:tcPr>
            <w:tcW w:w="1250" w:type="pct"/>
            <w:tcBorders>
              <w:top w:val="double" w:color="auto" w:sz="4" w:space="0"/>
            </w:tcBorders>
            <w:shd w:val="clear" w:color="auto" w:fill="FFFFFF" w:themeFill="background1"/>
            <w:vAlign w:val="center"/>
          </w:tcPr>
          <w:p w:rsidRPr="003622EA" w:rsidR="00D520BD" w:rsidP="00982BD1" w:rsidRDefault="00F579C0" w14:paraId="0828394A" w14:textId="6AD71D15">
            <w:pPr>
              <w:jc w:val="center"/>
              <w:rPr>
                <w:rFonts w:eastAsiaTheme="minorEastAsia"/>
                <w:b/>
                <w:sz w:val="16"/>
                <w:szCs w:val="16"/>
              </w:rPr>
            </w:pPr>
            <w:r>
              <w:rPr>
                <w:rFonts w:eastAsiaTheme="minorEastAsia"/>
                <w:b/>
                <w:sz w:val="16"/>
                <w:szCs w:val="16"/>
              </w:rPr>
              <w:t xml:space="preserve">   </w:t>
            </w:r>
            <w:r w:rsidRPr="003622EA" w:rsidR="00D520BD">
              <w:rPr>
                <w:rFonts w:eastAsiaTheme="minorEastAsia"/>
                <w:b/>
                <w:sz w:val="16"/>
                <w:szCs w:val="16"/>
              </w:rPr>
              <w:t>4.50 hours</w:t>
            </w:r>
          </w:p>
        </w:tc>
        <w:tc>
          <w:tcPr>
            <w:tcW w:w="1250" w:type="pct"/>
            <w:tcBorders>
              <w:top w:val="double" w:color="auto" w:sz="4" w:space="0"/>
            </w:tcBorders>
            <w:shd w:val="clear" w:color="auto" w:fill="FFFFFF" w:themeFill="background1"/>
            <w:vAlign w:val="center"/>
          </w:tcPr>
          <w:p w:rsidRPr="003622EA" w:rsidR="00D520BD" w:rsidP="00982BD1" w:rsidRDefault="00D520BD" w14:paraId="0A2A8761" w14:textId="2EF0C589">
            <w:pPr>
              <w:jc w:val="center"/>
              <w:rPr>
                <w:rFonts w:eastAsiaTheme="minorEastAsia"/>
                <w:b/>
                <w:sz w:val="16"/>
                <w:szCs w:val="16"/>
              </w:rPr>
            </w:pPr>
            <w:r w:rsidRPr="003622EA">
              <w:rPr>
                <w:rFonts w:eastAsiaTheme="minorEastAsia"/>
                <w:b/>
                <w:sz w:val="16"/>
                <w:szCs w:val="16"/>
              </w:rPr>
              <w:t>$</w:t>
            </w:r>
            <w:r w:rsidR="00852B62">
              <w:rPr>
                <w:rFonts w:eastAsiaTheme="minorEastAsia"/>
                <w:b/>
                <w:sz w:val="16"/>
                <w:szCs w:val="16"/>
              </w:rPr>
              <w:t>310.66</w:t>
            </w:r>
            <w:r w:rsidR="005731B4">
              <w:rPr>
                <w:rFonts w:eastAsiaTheme="minorEastAsia"/>
                <w:b/>
                <w:sz w:val="16"/>
                <w:szCs w:val="16"/>
              </w:rPr>
              <w:t>/result</w:t>
            </w:r>
          </w:p>
        </w:tc>
      </w:tr>
      <w:tr w:rsidRPr="003A11D3" w:rsidR="00D520BD" w:rsidTr="00982BD1" w14:paraId="16474ABA" w14:textId="77777777">
        <w:tc>
          <w:tcPr>
            <w:tcW w:w="5000" w:type="pct"/>
            <w:gridSpan w:val="4"/>
          </w:tcPr>
          <w:p w:rsidRPr="00850248" w:rsidR="00D520BD" w:rsidP="00982BD1" w:rsidRDefault="00D520BD" w14:paraId="1A4BBA69" w14:textId="77777777">
            <w:pPr>
              <w:spacing w:before="68"/>
              <w:ind w:left="28" w:right="-20"/>
              <w:rPr>
                <w:rFonts w:eastAsia="Arial" w:cs="Arial"/>
                <w:sz w:val="16"/>
                <w:szCs w:val="16"/>
              </w:rPr>
            </w:pPr>
            <w:r w:rsidRPr="00850248">
              <w:rPr>
                <w:rFonts w:eastAsia="Arial" w:cs="Arial"/>
                <w:b/>
                <w:bCs/>
                <w:sz w:val="16"/>
                <w:szCs w:val="16"/>
              </w:rPr>
              <w:t>Calculations:</w:t>
            </w:r>
          </w:p>
          <w:p w:rsidRPr="00850248" w:rsidR="00D520BD" w:rsidP="005C6BA3" w:rsidRDefault="00D520BD" w14:paraId="663B1E17" w14:textId="07491A90">
            <w:pPr>
              <w:pStyle w:val="ListParagraph"/>
              <w:numPr>
                <w:ilvl w:val="0"/>
                <w:numId w:val="20"/>
              </w:numPr>
              <w:spacing w:after="60"/>
              <w:ind w:left="374"/>
              <w:contextualSpacing w:val="0"/>
              <w:rPr>
                <w:rFonts w:eastAsia="Arial" w:cs="Arial"/>
                <w:sz w:val="16"/>
                <w:szCs w:val="16"/>
              </w:rPr>
            </w:pPr>
            <w:r w:rsidRPr="00850248">
              <w:rPr>
                <w:rFonts w:eastAsia="Arial" w:cs="Arial"/>
                <w:sz w:val="16"/>
                <w:szCs w:val="16"/>
              </w:rPr>
              <w:t xml:space="preserve">Benefits (Cost) </w:t>
            </w:r>
            <w:r w:rsidR="00BB1379">
              <w:rPr>
                <w:rFonts w:eastAsia="Arial" w:cs="Arial"/>
                <w:sz w:val="16"/>
                <w:szCs w:val="16"/>
              </w:rPr>
              <w:t>p</w:t>
            </w:r>
            <w:r w:rsidRPr="00850248">
              <w:rPr>
                <w:rFonts w:eastAsia="Arial" w:cs="Arial"/>
                <w:sz w:val="16"/>
                <w:szCs w:val="16"/>
              </w:rPr>
              <w:t xml:space="preserve">er Entity = Unit Cost x </w:t>
            </w:r>
            <w:r w:rsidR="00267C3A">
              <w:rPr>
                <w:rFonts w:eastAsia="Arial" w:cs="Arial"/>
                <w:sz w:val="16"/>
                <w:szCs w:val="16"/>
              </w:rPr>
              <w:t xml:space="preserve">Number of </w:t>
            </w:r>
            <w:r w:rsidRPr="00850248">
              <w:rPr>
                <w:rFonts w:eastAsia="Arial" w:cs="Arial"/>
                <w:sz w:val="16"/>
                <w:szCs w:val="16"/>
              </w:rPr>
              <w:t>Unit(s)</w:t>
            </w:r>
          </w:p>
          <w:p w:rsidRPr="00850248" w:rsidR="00D520BD" w:rsidP="00982BD1" w:rsidRDefault="00D520BD" w14:paraId="04FE514B" w14:textId="77777777">
            <w:pPr>
              <w:pStyle w:val="ListParagraph"/>
              <w:ind w:left="376"/>
              <w:rPr>
                <w:rFonts w:eastAsia="Arial" w:cs="Arial"/>
                <w:sz w:val="16"/>
                <w:szCs w:val="16"/>
              </w:rPr>
            </w:pPr>
          </w:p>
          <w:p w:rsidRPr="00850248" w:rsidR="00D520BD" w:rsidP="00982BD1" w:rsidRDefault="00D520BD" w14:paraId="2B81642B" w14:textId="77777777">
            <w:pPr>
              <w:ind w:left="28" w:right="-20"/>
              <w:rPr>
                <w:rFonts w:eastAsia="Arial" w:cs="Arial"/>
                <w:sz w:val="16"/>
                <w:szCs w:val="16"/>
              </w:rPr>
            </w:pPr>
            <w:r w:rsidRPr="00850248">
              <w:rPr>
                <w:rFonts w:eastAsia="Arial" w:cs="Arial"/>
                <w:b/>
                <w:bCs/>
                <w:sz w:val="16"/>
                <w:szCs w:val="16"/>
              </w:rPr>
              <w:t>Assumptions:</w:t>
            </w:r>
          </w:p>
          <w:p w:rsidRPr="00850248" w:rsidR="00D520BD" w:rsidP="005C6BA3" w:rsidRDefault="00D520BD" w14:paraId="1DEC88C2" w14:textId="1DD09646">
            <w:pPr>
              <w:pStyle w:val="ListParagraph"/>
              <w:numPr>
                <w:ilvl w:val="0"/>
                <w:numId w:val="20"/>
              </w:numPr>
              <w:spacing w:after="60"/>
              <w:ind w:left="374"/>
              <w:contextualSpacing w:val="0"/>
              <w:rPr>
                <w:rFonts w:eastAsiaTheme="minorEastAsia"/>
                <w:b/>
                <w:i/>
                <w:sz w:val="16"/>
                <w:szCs w:val="16"/>
              </w:rPr>
            </w:pPr>
            <w:r w:rsidRPr="00850248">
              <w:rPr>
                <w:rFonts w:eastAsia="Arial" w:cs="Arial"/>
                <w:sz w:val="16"/>
                <w:szCs w:val="16"/>
              </w:rPr>
              <w:t xml:space="preserve">Hour estimates based on </w:t>
            </w:r>
            <w:r w:rsidR="004434C6">
              <w:rPr>
                <w:rFonts w:eastAsia="Arial" w:cs="Arial"/>
                <w:sz w:val="16"/>
                <w:szCs w:val="16"/>
              </w:rPr>
              <w:t>the U.S. Nuclear Regulatory Commission</w:t>
            </w:r>
            <w:r w:rsidR="007E6960">
              <w:rPr>
                <w:rFonts w:eastAsia="Arial" w:cs="Arial"/>
                <w:sz w:val="16"/>
                <w:szCs w:val="16"/>
              </w:rPr>
              <w:t xml:space="preserve"> staff’s </w:t>
            </w:r>
            <w:r w:rsidRPr="00850248">
              <w:rPr>
                <w:rFonts w:eastAsia="Arial" w:cs="Arial"/>
                <w:sz w:val="16"/>
                <w:szCs w:val="16"/>
              </w:rPr>
              <w:t>best professional judgment.</w:t>
            </w:r>
          </w:p>
        </w:tc>
      </w:tr>
      <w:bookmarkEnd w:id="302"/>
    </w:tbl>
    <w:p w:rsidRPr="00C751F1" w:rsidR="00D520BD" w:rsidP="00D520BD" w:rsidRDefault="00D520BD" w14:paraId="1D01008A" w14:textId="77777777">
      <w:pPr>
        <w:rPr>
          <w:sz w:val="22"/>
          <w:szCs w:val="22"/>
        </w:rPr>
      </w:pPr>
    </w:p>
    <w:p w:rsidRPr="00C751F1" w:rsidR="00D520BD" w:rsidP="00D520BD" w:rsidRDefault="00D520BD" w14:paraId="09739EAC" w14:textId="77777777">
      <w:pPr>
        <w:rPr>
          <w:sz w:val="22"/>
          <w:szCs w:val="22"/>
        </w:rPr>
      </w:pPr>
    </w:p>
    <w:p w:rsidRPr="00C751F1" w:rsidR="00D520BD" w:rsidP="00D520BD" w:rsidRDefault="00D520BD" w14:paraId="339AE355" w14:textId="77777777">
      <w:pPr>
        <w:rPr>
          <w:sz w:val="22"/>
          <w:szCs w:val="22"/>
        </w:rPr>
        <w:sectPr w:rsidRPr="00C751F1" w:rsidR="00D520BD" w:rsidSect="0098556A">
          <w:footerReference w:type="default" r:id="rId39"/>
          <w:pgSz w:w="12240" w:h="15840" w:code="1"/>
          <w:pgMar w:top="1440" w:right="1440" w:bottom="1440" w:left="1440" w:header="720" w:footer="720" w:gutter="0"/>
          <w:pgNumType w:start="1"/>
          <w:cols w:space="720"/>
          <w:noEndnote/>
          <w:docGrid w:linePitch="272"/>
        </w:sectPr>
      </w:pPr>
    </w:p>
    <w:p w:rsidRPr="00834DCE" w:rsidR="00D520BD" w:rsidP="00D520BD" w:rsidRDefault="00D520BD" w14:paraId="58100C38" w14:textId="77777777">
      <w:pPr>
        <w:autoSpaceDE/>
        <w:autoSpaceDN/>
        <w:adjustRightInd/>
        <w:rPr>
          <w:b/>
          <w:i/>
          <w:sz w:val="28"/>
          <w:szCs w:val="28"/>
        </w:rPr>
      </w:pPr>
      <w:bookmarkStart w:name="_Toc369786583" w:id="303"/>
      <w:bookmarkStart w:name="_Toc370806862" w:id="304"/>
      <w:r w:rsidRPr="00834DCE">
        <w:rPr>
          <w:b/>
          <w:i/>
          <w:sz w:val="28"/>
          <w:szCs w:val="28"/>
        </w:rPr>
        <w:t>Appendix E:  Averted Costs</w:t>
      </w:r>
    </w:p>
    <w:p w:rsidR="00D520BD" w:rsidP="00D520BD" w:rsidRDefault="00D520BD" w14:paraId="7AB1A019" w14:textId="77777777">
      <w:pPr>
        <w:autoSpaceDE/>
        <w:autoSpaceDN/>
        <w:adjustRightInd/>
        <w:rPr>
          <w:sz w:val="28"/>
          <w:szCs w:val="28"/>
        </w:rPr>
      </w:pPr>
    </w:p>
    <w:tbl>
      <w:tblPr>
        <w:tblStyle w:val="TableGrid"/>
        <w:tblW w:w="9709" w:type="dxa"/>
        <w:tblInd w:w="-5" w:type="dxa"/>
        <w:tblLayout w:type="fixed"/>
        <w:tblLook w:val="04A0" w:firstRow="1" w:lastRow="0" w:firstColumn="1" w:lastColumn="0" w:noHBand="0" w:noVBand="1"/>
      </w:tblPr>
      <w:tblGrid>
        <w:gridCol w:w="1440"/>
        <w:gridCol w:w="4770"/>
        <w:gridCol w:w="810"/>
        <w:gridCol w:w="900"/>
        <w:gridCol w:w="810"/>
        <w:gridCol w:w="979"/>
      </w:tblGrid>
      <w:tr w:rsidRPr="008A15E4" w:rsidR="00D520BD" w:rsidTr="00982BD1" w14:paraId="76CF2C53" w14:textId="77777777">
        <w:tc>
          <w:tcPr>
            <w:tcW w:w="9709" w:type="dxa"/>
            <w:gridSpan w:val="6"/>
          </w:tcPr>
          <w:p w:rsidRPr="006735B4" w:rsidR="00D520BD" w:rsidP="00982BD1" w:rsidRDefault="00D520BD" w14:paraId="0B57E488" w14:textId="4BABA6BC">
            <w:pPr>
              <w:spacing w:before="120"/>
              <w:rPr>
                <w:rFonts w:cs="Arial"/>
                <w:b/>
                <w:i/>
                <w:szCs w:val="16"/>
              </w:rPr>
            </w:pPr>
            <w:r w:rsidRPr="006735B4">
              <w:rPr>
                <w:rFonts w:cs="Arial"/>
                <w:b/>
                <w:i/>
                <w:szCs w:val="16"/>
              </w:rPr>
              <w:t>Averted Training Costs—</w:t>
            </w:r>
            <w:r w:rsidRPr="001F5099">
              <w:rPr>
                <w:rFonts w:cs="Arial"/>
                <w:b/>
                <w:i/>
                <w:szCs w:val="16"/>
              </w:rPr>
              <w:t>P</w:t>
            </w:r>
            <w:r>
              <w:rPr>
                <w:rFonts w:cs="Arial"/>
                <w:b/>
                <w:i/>
                <w:szCs w:val="16"/>
              </w:rPr>
              <w:t>re-A</w:t>
            </w:r>
            <w:r w:rsidRPr="001F5099">
              <w:rPr>
                <w:rFonts w:cs="Arial"/>
                <w:b/>
                <w:i/>
                <w:szCs w:val="16"/>
              </w:rPr>
              <w:t>ccess</w:t>
            </w:r>
            <w:r w:rsidRPr="006735B4">
              <w:rPr>
                <w:rFonts w:cs="Arial"/>
                <w:b/>
                <w:i/>
                <w:szCs w:val="16"/>
              </w:rPr>
              <w:t xml:space="preserve"> Testing</w:t>
            </w:r>
          </w:p>
          <w:p w:rsidRPr="006735B4" w:rsidR="00D520BD" w:rsidP="00982BD1" w:rsidRDefault="00D520BD" w14:paraId="45E6FC37" w14:textId="26141F71">
            <w:pPr>
              <w:spacing w:before="120"/>
              <w:ind w:right="72"/>
              <w:rPr>
                <w:rFonts w:cs="Arial"/>
                <w:sz w:val="16"/>
                <w:szCs w:val="16"/>
              </w:rPr>
            </w:pPr>
            <w:r w:rsidRPr="006735B4">
              <w:rPr>
                <w:rFonts w:cs="Arial"/>
                <w:sz w:val="16"/>
                <w:szCs w:val="16"/>
              </w:rPr>
              <w:t xml:space="preserve">The rule is estimated to result in savings </w:t>
            </w:r>
            <w:r w:rsidRPr="006735B4" w:rsidR="000A4745">
              <w:rPr>
                <w:rFonts w:cs="Arial"/>
                <w:sz w:val="16"/>
                <w:szCs w:val="16"/>
              </w:rPr>
              <w:t xml:space="preserve">(i.e., averted costs) </w:t>
            </w:r>
            <w:r w:rsidRPr="006735B4">
              <w:rPr>
                <w:rFonts w:cs="Arial"/>
                <w:sz w:val="16"/>
                <w:szCs w:val="16"/>
              </w:rPr>
              <w:t>to licensees and other entities associated with training during the in</w:t>
            </w:r>
            <w:r w:rsidRPr="006735B4" w:rsidR="000A4745">
              <w:rPr>
                <w:rFonts w:cs="Arial"/>
                <w:sz w:val="16"/>
                <w:szCs w:val="16"/>
              </w:rPr>
              <w:noBreakHyphen/>
            </w:r>
            <w:r w:rsidRPr="006735B4">
              <w:rPr>
                <w:rFonts w:cs="Arial"/>
                <w:sz w:val="16"/>
                <w:szCs w:val="16"/>
              </w:rPr>
              <w:t>processing of licensee employees and contractor</w:t>
            </w:r>
            <w:r w:rsidRPr="006735B4" w:rsidR="000A4745">
              <w:rPr>
                <w:rFonts w:cs="Arial"/>
                <w:sz w:val="16"/>
                <w:szCs w:val="16"/>
              </w:rPr>
              <w:t>s</w:t>
            </w:r>
            <w:r w:rsidRPr="006735B4">
              <w:rPr>
                <w:rFonts w:cs="Arial"/>
                <w:sz w:val="16"/>
                <w:szCs w:val="16"/>
              </w:rPr>
              <w:t xml:space="preserve">/vendors (C/Vs).  </w:t>
            </w:r>
            <w:r w:rsidR="00E934A0">
              <w:rPr>
                <w:rFonts w:cs="Arial"/>
                <w:sz w:val="16"/>
                <w:szCs w:val="16"/>
              </w:rPr>
              <w:t>Pre-access</w:t>
            </w:r>
            <w:r w:rsidRPr="006735B4" w:rsidR="00E934A0">
              <w:rPr>
                <w:rFonts w:cs="Arial"/>
                <w:sz w:val="16"/>
                <w:szCs w:val="16"/>
              </w:rPr>
              <w:t xml:space="preserve"> testing </w:t>
            </w:r>
            <w:r w:rsidR="00825414">
              <w:rPr>
                <w:rFonts w:cs="Arial"/>
                <w:sz w:val="16"/>
                <w:szCs w:val="16"/>
              </w:rPr>
              <w:t xml:space="preserve">accounts for </w:t>
            </w:r>
            <w:r w:rsidRPr="006735B4" w:rsidR="00E934A0">
              <w:rPr>
                <w:rFonts w:cs="Arial"/>
                <w:sz w:val="16"/>
                <w:szCs w:val="16"/>
              </w:rPr>
              <w:t xml:space="preserve"> a</w:t>
            </w:r>
            <w:r w:rsidRPr="006735B4">
              <w:rPr>
                <w:rFonts w:cs="Arial"/>
                <w:sz w:val="16"/>
                <w:szCs w:val="16"/>
              </w:rPr>
              <w:t xml:space="preserve">pproximately </w:t>
            </w:r>
            <w:r w:rsidRPr="006735B4" w:rsidR="00997503">
              <w:rPr>
                <w:rFonts w:cs="Arial"/>
                <w:sz w:val="16"/>
                <w:szCs w:val="16"/>
              </w:rPr>
              <w:t>67</w:t>
            </w:r>
            <w:r w:rsidRPr="006735B4">
              <w:rPr>
                <w:rFonts w:cs="Arial"/>
                <w:sz w:val="16"/>
                <w:szCs w:val="16"/>
              </w:rPr>
              <w:t xml:space="preserve"> percent of positive test results each year.  As a result</w:t>
            </w:r>
            <w:r w:rsidRPr="006735B4" w:rsidR="00646A79">
              <w:rPr>
                <w:rFonts w:cs="Arial"/>
                <w:sz w:val="16"/>
                <w:szCs w:val="16"/>
              </w:rPr>
              <w:t>,</w:t>
            </w:r>
            <w:r w:rsidRPr="006735B4">
              <w:rPr>
                <w:rFonts w:cs="Arial"/>
                <w:sz w:val="16"/>
                <w:szCs w:val="16"/>
              </w:rPr>
              <w:t xml:space="preserve"> if an individual tests positive for a drug during </w:t>
            </w:r>
            <w:r>
              <w:rPr>
                <w:rFonts w:cs="Arial"/>
                <w:sz w:val="16"/>
                <w:szCs w:val="16"/>
              </w:rPr>
              <w:t>p</w:t>
            </w:r>
            <w:r w:rsidRPr="009B1556">
              <w:rPr>
                <w:rFonts w:cs="Arial"/>
                <w:sz w:val="16"/>
                <w:szCs w:val="16"/>
              </w:rPr>
              <w:t>re</w:t>
            </w:r>
            <w:r>
              <w:rPr>
                <w:rFonts w:cs="Arial"/>
                <w:sz w:val="16"/>
                <w:szCs w:val="16"/>
              </w:rPr>
              <w:t>-</w:t>
            </w:r>
            <w:r w:rsidRPr="009B1556">
              <w:rPr>
                <w:rFonts w:cs="Arial"/>
                <w:sz w:val="16"/>
                <w:szCs w:val="16"/>
              </w:rPr>
              <w:t>access</w:t>
            </w:r>
            <w:r w:rsidRPr="006735B4">
              <w:rPr>
                <w:rFonts w:cs="Arial"/>
                <w:sz w:val="16"/>
                <w:szCs w:val="16"/>
              </w:rPr>
              <w:t xml:space="preserve"> testing</w:t>
            </w:r>
            <w:r w:rsidRPr="006735B4" w:rsidR="00646A79">
              <w:rPr>
                <w:rFonts w:cs="Arial"/>
                <w:sz w:val="16"/>
                <w:szCs w:val="16"/>
              </w:rPr>
              <w:t>,</w:t>
            </w:r>
            <w:r w:rsidRPr="006735B4">
              <w:rPr>
                <w:rFonts w:cs="Arial"/>
                <w:sz w:val="16"/>
                <w:szCs w:val="16"/>
              </w:rPr>
              <w:t xml:space="preserve"> any remaining training not completed by that individual at the time of the confirmed positive test result is received result</w:t>
            </w:r>
            <w:r w:rsidRPr="006735B4" w:rsidR="008F5892">
              <w:rPr>
                <w:rFonts w:cs="Arial"/>
                <w:sz w:val="16"/>
                <w:szCs w:val="16"/>
              </w:rPr>
              <w:t>s</w:t>
            </w:r>
            <w:r w:rsidRPr="006735B4">
              <w:rPr>
                <w:rFonts w:cs="Arial"/>
                <w:sz w:val="16"/>
                <w:szCs w:val="16"/>
              </w:rPr>
              <w:t xml:space="preserve"> in savings because </w:t>
            </w:r>
            <w:r w:rsidR="00857988">
              <w:rPr>
                <w:rFonts w:cs="Arial"/>
                <w:sz w:val="16"/>
                <w:szCs w:val="16"/>
              </w:rPr>
              <w:t xml:space="preserve">of the immediate denial of </w:t>
            </w:r>
            <w:r w:rsidRPr="006735B4">
              <w:rPr>
                <w:rFonts w:cs="Arial"/>
                <w:sz w:val="16"/>
                <w:szCs w:val="16"/>
              </w:rPr>
              <w:t>access authorization to the individual for failing the required fitness</w:t>
            </w:r>
            <w:r w:rsidRPr="006735B4" w:rsidR="00971104">
              <w:rPr>
                <w:rFonts w:cs="Arial"/>
                <w:sz w:val="16"/>
                <w:szCs w:val="16"/>
              </w:rPr>
              <w:t xml:space="preserve"> </w:t>
            </w:r>
            <w:r w:rsidRPr="006735B4">
              <w:rPr>
                <w:rFonts w:cs="Arial"/>
                <w:sz w:val="16"/>
                <w:szCs w:val="16"/>
              </w:rPr>
              <w:t>for</w:t>
            </w:r>
            <w:r w:rsidRPr="006735B4" w:rsidR="00971104">
              <w:rPr>
                <w:rFonts w:cs="Arial"/>
                <w:sz w:val="16"/>
                <w:szCs w:val="16"/>
              </w:rPr>
              <w:t xml:space="preserve"> </w:t>
            </w:r>
            <w:r w:rsidRPr="006735B4">
              <w:rPr>
                <w:rFonts w:cs="Arial"/>
                <w:sz w:val="16"/>
                <w:szCs w:val="16"/>
              </w:rPr>
              <w:t>duty drug test.</w:t>
            </w:r>
          </w:p>
          <w:p w:rsidRPr="006735B4" w:rsidR="00D520BD" w:rsidP="00982BD1" w:rsidRDefault="00D520BD" w14:paraId="49669668" w14:textId="77777777">
            <w:pPr>
              <w:ind w:right="75"/>
              <w:rPr>
                <w:rFonts w:cs="Arial"/>
                <w:sz w:val="16"/>
                <w:szCs w:val="16"/>
              </w:rPr>
            </w:pPr>
          </w:p>
          <w:p w:rsidRPr="006735B4" w:rsidR="00D520BD" w:rsidP="00982BD1" w:rsidRDefault="00D520BD" w14:paraId="7FA4F81B" w14:textId="0D439BF2">
            <w:pPr>
              <w:spacing w:after="120"/>
              <w:ind w:right="72"/>
              <w:rPr>
                <w:rFonts w:cs="Arial"/>
                <w:sz w:val="16"/>
                <w:szCs w:val="16"/>
              </w:rPr>
            </w:pPr>
            <w:r w:rsidRPr="006735B4">
              <w:rPr>
                <w:rFonts w:cs="Arial"/>
                <w:sz w:val="16"/>
                <w:szCs w:val="16"/>
              </w:rPr>
              <w:t>The</w:t>
            </w:r>
            <w:r w:rsidR="000D1674">
              <w:rPr>
                <w:rFonts w:cs="Arial"/>
                <w:sz w:val="16"/>
                <w:szCs w:val="16"/>
              </w:rPr>
              <w:t xml:space="preserve"> U.S. Nuclear Regulatory Commission (NRC)</w:t>
            </w:r>
            <w:r w:rsidRPr="006735B4">
              <w:rPr>
                <w:rFonts w:cs="Arial"/>
                <w:sz w:val="16"/>
                <w:szCs w:val="16"/>
              </w:rPr>
              <w:t xml:space="preserve"> staff estimated averted training costs by calculating the </w:t>
            </w:r>
            <w:r w:rsidRPr="006735B4" w:rsidR="00646A79">
              <w:rPr>
                <w:rFonts w:cs="Arial"/>
                <w:sz w:val="16"/>
                <w:szCs w:val="16"/>
              </w:rPr>
              <w:t>“</w:t>
            </w:r>
            <w:r w:rsidRPr="006735B4">
              <w:rPr>
                <w:rFonts w:cs="Arial"/>
                <w:sz w:val="16"/>
                <w:szCs w:val="16"/>
              </w:rPr>
              <w:t>Total Additional Positive Test Results Expected from the Rule Changes</w:t>
            </w:r>
            <w:r w:rsidRPr="006735B4" w:rsidR="00646A79">
              <w:rPr>
                <w:rFonts w:cs="Arial"/>
                <w:sz w:val="16"/>
                <w:szCs w:val="16"/>
              </w:rPr>
              <w:t>”</w:t>
            </w:r>
            <w:r w:rsidRPr="006735B4">
              <w:rPr>
                <w:rFonts w:cs="Arial"/>
                <w:sz w:val="16"/>
                <w:szCs w:val="16"/>
              </w:rPr>
              <w:t xml:space="preserve"> and multiplying that value by the cost of labor that </w:t>
            </w:r>
            <w:r w:rsidRPr="006735B4" w:rsidR="00396598">
              <w:rPr>
                <w:rFonts w:cs="Arial"/>
                <w:sz w:val="16"/>
                <w:szCs w:val="16"/>
              </w:rPr>
              <w:t>is</w:t>
            </w:r>
            <w:r w:rsidRPr="006735B4">
              <w:rPr>
                <w:rFonts w:cs="Arial"/>
                <w:sz w:val="16"/>
                <w:szCs w:val="16"/>
              </w:rPr>
              <w:t xml:space="preserve"> averted for each positive result.</w:t>
            </w:r>
          </w:p>
        </w:tc>
      </w:tr>
      <w:tr w:rsidRPr="000864A1" w:rsidR="00F43531" w:rsidTr="006D78A0" w14:paraId="4BE6CC55" w14:textId="77777777">
        <w:tc>
          <w:tcPr>
            <w:tcW w:w="1440" w:type="dxa"/>
            <w:shd w:val="clear" w:color="auto" w:fill="D9D9D9" w:themeFill="background1" w:themeFillShade="D9"/>
            <w:tcMar>
              <w:left w:w="58" w:type="dxa"/>
              <w:right w:w="58" w:type="dxa"/>
            </w:tcMar>
            <w:vAlign w:val="center"/>
          </w:tcPr>
          <w:p w:rsidRPr="006735B4" w:rsidR="00D520BD" w:rsidP="00982BD1" w:rsidRDefault="00D520BD" w14:paraId="04E46A8F" w14:textId="77777777">
            <w:pPr>
              <w:jc w:val="center"/>
              <w:rPr>
                <w:rFonts w:cs="Arial"/>
                <w:b/>
                <w:i/>
                <w:sz w:val="16"/>
                <w:szCs w:val="16"/>
              </w:rPr>
            </w:pPr>
            <w:r w:rsidRPr="006735B4">
              <w:rPr>
                <w:rFonts w:cs="Arial"/>
                <w:b/>
                <w:i/>
                <w:sz w:val="16"/>
                <w:szCs w:val="16"/>
              </w:rPr>
              <w:t>Activity</w:t>
            </w:r>
          </w:p>
        </w:tc>
        <w:tc>
          <w:tcPr>
            <w:tcW w:w="4770" w:type="dxa"/>
            <w:shd w:val="clear" w:color="auto" w:fill="D9D9D9" w:themeFill="background1" w:themeFillShade="D9"/>
            <w:tcMar>
              <w:left w:w="58" w:type="dxa"/>
              <w:right w:w="58" w:type="dxa"/>
            </w:tcMar>
            <w:vAlign w:val="center"/>
          </w:tcPr>
          <w:p w:rsidRPr="006735B4" w:rsidR="00D520BD" w:rsidP="00982BD1" w:rsidRDefault="00D520BD" w14:paraId="49D8B3E9" w14:textId="77777777">
            <w:pPr>
              <w:jc w:val="center"/>
              <w:rPr>
                <w:rFonts w:cs="Arial"/>
                <w:b/>
                <w:i/>
                <w:sz w:val="16"/>
                <w:szCs w:val="16"/>
              </w:rPr>
            </w:pPr>
            <w:r w:rsidRPr="006735B4">
              <w:rPr>
                <w:rFonts w:cs="Arial"/>
                <w:b/>
                <w:i/>
                <w:sz w:val="16"/>
                <w:szCs w:val="16"/>
              </w:rPr>
              <w:t>Parameter</w:t>
            </w:r>
          </w:p>
        </w:tc>
        <w:tc>
          <w:tcPr>
            <w:tcW w:w="810" w:type="dxa"/>
            <w:shd w:val="clear" w:color="auto" w:fill="D9D9D9" w:themeFill="background1" w:themeFillShade="D9"/>
            <w:tcMar>
              <w:left w:w="58" w:type="dxa"/>
              <w:right w:w="58" w:type="dxa"/>
            </w:tcMar>
            <w:vAlign w:val="center"/>
          </w:tcPr>
          <w:p w:rsidRPr="006735B4" w:rsidR="00D520BD" w:rsidP="00982BD1" w:rsidRDefault="00D520BD" w14:paraId="197AC1D2" w14:textId="77777777">
            <w:pPr>
              <w:jc w:val="center"/>
              <w:rPr>
                <w:rFonts w:cs="Arial"/>
                <w:b/>
                <w:i/>
                <w:sz w:val="16"/>
                <w:szCs w:val="16"/>
              </w:rPr>
            </w:pPr>
            <w:r w:rsidRPr="006735B4">
              <w:rPr>
                <w:rFonts w:cs="Arial"/>
                <w:b/>
                <w:i/>
                <w:sz w:val="16"/>
                <w:szCs w:val="16"/>
              </w:rPr>
              <w:t>Value</w:t>
            </w:r>
          </w:p>
        </w:tc>
        <w:tc>
          <w:tcPr>
            <w:tcW w:w="900" w:type="dxa"/>
            <w:shd w:val="clear" w:color="auto" w:fill="D9D9D9" w:themeFill="background1" w:themeFillShade="D9"/>
            <w:tcMar>
              <w:left w:w="58" w:type="dxa"/>
              <w:right w:w="58" w:type="dxa"/>
            </w:tcMar>
            <w:vAlign w:val="center"/>
          </w:tcPr>
          <w:p w:rsidRPr="006735B4" w:rsidR="00D520BD" w:rsidP="00982BD1" w:rsidRDefault="00D520BD" w14:paraId="156A5668" w14:textId="77777777">
            <w:pPr>
              <w:jc w:val="center"/>
              <w:rPr>
                <w:rFonts w:cs="Arial"/>
                <w:b/>
                <w:i/>
                <w:sz w:val="16"/>
                <w:szCs w:val="16"/>
              </w:rPr>
            </w:pPr>
            <w:r w:rsidRPr="006735B4">
              <w:rPr>
                <w:rFonts w:cs="Arial"/>
                <w:b/>
                <w:i/>
                <w:sz w:val="16"/>
                <w:szCs w:val="16"/>
              </w:rPr>
              <w:t>Positives Per Site</w:t>
            </w:r>
          </w:p>
        </w:tc>
        <w:tc>
          <w:tcPr>
            <w:tcW w:w="810" w:type="dxa"/>
            <w:shd w:val="clear" w:color="auto" w:fill="D9D9D9" w:themeFill="background1" w:themeFillShade="D9"/>
            <w:tcMar>
              <w:left w:w="58" w:type="dxa"/>
              <w:right w:w="58" w:type="dxa"/>
            </w:tcMar>
            <w:vAlign w:val="center"/>
          </w:tcPr>
          <w:p w:rsidRPr="006735B4" w:rsidR="00D520BD" w:rsidP="00982BD1" w:rsidRDefault="00D520BD" w14:paraId="2B818157" w14:textId="77777777">
            <w:pPr>
              <w:jc w:val="center"/>
              <w:rPr>
                <w:rFonts w:cs="Arial"/>
                <w:b/>
                <w:i/>
                <w:sz w:val="16"/>
                <w:szCs w:val="16"/>
              </w:rPr>
            </w:pPr>
            <w:r w:rsidRPr="006735B4">
              <w:rPr>
                <w:rFonts w:cs="Arial"/>
                <w:b/>
                <w:i/>
                <w:sz w:val="16"/>
                <w:szCs w:val="16"/>
              </w:rPr>
              <w:t>Sites Affected</w:t>
            </w:r>
          </w:p>
        </w:tc>
        <w:tc>
          <w:tcPr>
            <w:tcW w:w="979" w:type="dxa"/>
            <w:shd w:val="clear" w:color="auto" w:fill="D9D9D9" w:themeFill="background1" w:themeFillShade="D9"/>
            <w:tcMar>
              <w:left w:w="58" w:type="dxa"/>
              <w:right w:w="58" w:type="dxa"/>
            </w:tcMar>
            <w:vAlign w:val="center"/>
          </w:tcPr>
          <w:p w:rsidRPr="006735B4" w:rsidR="00D520BD" w:rsidP="00982BD1" w:rsidRDefault="00D520BD" w14:paraId="224BAADE" w14:textId="77777777">
            <w:pPr>
              <w:jc w:val="center"/>
              <w:rPr>
                <w:rFonts w:cs="Arial"/>
                <w:b/>
                <w:i/>
                <w:sz w:val="16"/>
                <w:szCs w:val="16"/>
              </w:rPr>
            </w:pPr>
            <w:r w:rsidRPr="006735B4">
              <w:rPr>
                <w:rFonts w:cs="Arial"/>
                <w:b/>
                <w:i/>
                <w:sz w:val="16"/>
                <w:szCs w:val="16"/>
              </w:rPr>
              <w:t>Total Positives</w:t>
            </w:r>
          </w:p>
        </w:tc>
      </w:tr>
      <w:tr w:rsidRPr="000864A1" w:rsidR="00D520BD" w:rsidTr="00982BD1" w14:paraId="701CD36D" w14:textId="77777777">
        <w:trPr>
          <w:trHeight w:val="260"/>
        </w:trPr>
        <w:tc>
          <w:tcPr>
            <w:tcW w:w="9709" w:type="dxa"/>
            <w:gridSpan w:val="6"/>
            <w:shd w:val="clear" w:color="auto" w:fill="D9D9D9" w:themeFill="background1" w:themeFillShade="D9"/>
            <w:tcMar>
              <w:left w:w="58" w:type="dxa"/>
              <w:right w:w="58" w:type="dxa"/>
            </w:tcMar>
            <w:vAlign w:val="center"/>
          </w:tcPr>
          <w:p w:rsidRPr="006735B4" w:rsidR="00D520BD" w:rsidP="00982BD1" w:rsidRDefault="00D520BD" w14:paraId="7039AFDE" w14:textId="77777777">
            <w:pPr>
              <w:rPr>
                <w:rFonts w:cs="Arial"/>
                <w:sz w:val="16"/>
                <w:szCs w:val="16"/>
              </w:rPr>
            </w:pPr>
            <w:r w:rsidRPr="006735B4">
              <w:rPr>
                <w:rFonts w:eastAsia="Arial" w:cs="Arial"/>
                <w:b/>
                <w:bCs/>
                <w:sz w:val="16"/>
                <w:szCs w:val="16"/>
              </w:rPr>
              <w:t>INDU</w:t>
            </w:r>
            <w:r w:rsidRPr="009A45BC">
              <w:rPr>
                <w:rFonts w:eastAsia="Arial"/>
                <w:b/>
                <w:sz w:val="16"/>
              </w:rPr>
              <w:t>STR</w:t>
            </w:r>
            <w:r w:rsidRPr="006735B4">
              <w:rPr>
                <w:rFonts w:eastAsia="Arial" w:cs="Arial"/>
                <w:b/>
                <w:bCs/>
                <w:sz w:val="16"/>
                <w:szCs w:val="16"/>
              </w:rPr>
              <w:t>Y</w:t>
            </w:r>
            <w:r w:rsidRPr="009A45BC">
              <w:rPr>
                <w:rFonts w:eastAsia="Arial"/>
                <w:b/>
                <w:sz w:val="16"/>
              </w:rPr>
              <w:t xml:space="preserve"> </w:t>
            </w:r>
            <w:r w:rsidRPr="006735B4">
              <w:rPr>
                <w:rFonts w:eastAsia="Arial" w:cs="Arial"/>
                <w:b/>
                <w:bCs/>
                <w:sz w:val="16"/>
                <w:szCs w:val="16"/>
              </w:rPr>
              <w:t>OPE</w:t>
            </w:r>
            <w:r w:rsidRPr="009A45BC">
              <w:rPr>
                <w:rFonts w:eastAsia="Arial"/>
                <w:b/>
                <w:sz w:val="16"/>
              </w:rPr>
              <w:t>RA</w:t>
            </w:r>
            <w:r w:rsidRPr="006735B4">
              <w:rPr>
                <w:rFonts w:eastAsia="Arial" w:cs="Arial"/>
                <w:b/>
                <w:bCs/>
                <w:sz w:val="16"/>
                <w:szCs w:val="16"/>
              </w:rPr>
              <w:t>T</w:t>
            </w:r>
            <w:r w:rsidRPr="009A45BC">
              <w:rPr>
                <w:rFonts w:eastAsia="Arial"/>
                <w:b/>
                <w:sz w:val="16"/>
              </w:rPr>
              <w:t>I</w:t>
            </w:r>
            <w:r w:rsidRPr="006735B4">
              <w:rPr>
                <w:rFonts w:eastAsia="Arial" w:cs="Arial"/>
                <w:b/>
                <w:bCs/>
                <w:sz w:val="16"/>
                <w:szCs w:val="16"/>
              </w:rPr>
              <w:t>ONS</w:t>
            </w:r>
            <w:r w:rsidRPr="009A45BC">
              <w:rPr>
                <w:rFonts w:eastAsia="Arial"/>
                <w:b/>
                <w:sz w:val="16"/>
              </w:rPr>
              <w:t xml:space="preserve"> (ANNUAL)</w:t>
            </w:r>
          </w:p>
        </w:tc>
      </w:tr>
      <w:tr w:rsidRPr="000864A1" w:rsidR="00D520BD" w:rsidTr="00982BD1" w14:paraId="0B419191" w14:textId="77777777">
        <w:tc>
          <w:tcPr>
            <w:tcW w:w="9709" w:type="dxa"/>
            <w:gridSpan w:val="6"/>
            <w:tcBorders>
              <w:bottom w:val="single" w:color="auto" w:sz="4" w:space="0"/>
            </w:tcBorders>
            <w:tcMar>
              <w:left w:w="58" w:type="dxa"/>
              <w:right w:w="58" w:type="dxa"/>
            </w:tcMar>
            <w:vAlign w:val="center"/>
          </w:tcPr>
          <w:p w:rsidRPr="006735B4" w:rsidR="00D520BD" w:rsidP="00982BD1" w:rsidRDefault="00D520BD" w14:paraId="1CE7FF80" w14:textId="292C920E">
            <w:pPr>
              <w:rPr>
                <w:rFonts w:cs="Arial"/>
                <w:b/>
                <w:i/>
                <w:sz w:val="16"/>
                <w:szCs w:val="16"/>
              </w:rPr>
            </w:pPr>
            <w:r w:rsidRPr="006735B4">
              <w:rPr>
                <w:rFonts w:cs="Arial"/>
                <w:b/>
                <w:i/>
                <w:sz w:val="16"/>
                <w:szCs w:val="16"/>
              </w:rPr>
              <w:t>Total Additional Positive Test Results Projected from Rule Changes</w:t>
            </w:r>
          </w:p>
        </w:tc>
      </w:tr>
      <w:tr w:rsidRPr="000864A1" w:rsidR="00D520BD" w:rsidTr="006D78A0" w14:paraId="0CB48ACD" w14:textId="77777777">
        <w:trPr>
          <w:trHeight w:val="251"/>
        </w:trPr>
        <w:tc>
          <w:tcPr>
            <w:tcW w:w="1440" w:type="dxa"/>
            <w:vMerge w:val="restart"/>
            <w:tcMar>
              <w:left w:w="58" w:type="dxa"/>
              <w:right w:w="58" w:type="dxa"/>
            </w:tcMar>
            <w:vAlign w:val="center"/>
          </w:tcPr>
          <w:p w:rsidRPr="006735B4" w:rsidR="00D520BD" w:rsidP="00982BD1" w:rsidRDefault="00D520BD" w14:paraId="6D7A26C3" w14:textId="63F7D1F2">
            <w:pPr>
              <w:ind w:left="88" w:right="-20"/>
              <w:rPr>
                <w:rFonts w:cs="Arial"/>
                <w:sz w:val="16"/>
                <w:szCs w:val="16"/>
              </w:rPr>
            </w:pPr>
            <w:r w:rsidRPr="006735B4">
              <w:rPr>
                <w:sz w:val="16"/>
                <w:szCs w:val="16"/>
              </w:rPr>
              <w:t>Additional 6</w:t>
            </w:r>
            <w:r w:rsidRPr="006735B4">
              <w:rPr>
                <w:sz w:val="16"/>
                <w:szCs w:val="16"/>
              </w:rPr>
              <w:noBreakHyphen/>
              <w:t xml:space="preserve">AM </w:t>
            </w:r>
            <w:r w:rsidRPr="006735B4" w:rsidR="000A4745">
              <w:rPr>
                <w:sz w:val="16"/>
                <w:szCs w:val="16"/>
              </w:rPr>
              <w:t>p</w:t>
            </w:r>
            <w:r w:rsidRPr="006735B4">
              <w:rPr>
                <w:sz w:val="16"/>
                <w:szCs w:val="16"/>
              </w:rPr>
              <w:t>ositive results</w:t>
            </w:r>
          </w:p>
        </w:tc>
        <w:tc>
          <w:tcPr>
            <w:tcW w:w="4770" w:type="dxa"/>
            <w:shd w:val="clear" w:color="auto" w:fill="auto"/>
            <w:tcMar>
              <w:left w:w="58" w:type="dxa"/>
              <w:right w:w="58" w:type="dxa"/>
            </w:tcMar>
            <w:vAlign w:val="center"/>
          </w:tcPr>
          <w:p w:rsidRPr="006735B4" w:rsidR="00D520BD" w:rsidP="00982BD1" w:rsidRDefault="00D520BD" w14:paraId="022E04CC" w14:textId="1C6B22CD">
            <w:pPr>
              <w:rPr>
                <w:rFonts w:cs="Arial"/>
                <w:sz w:val="16"/>
                <w:szCs w:val="16"/>
              </w:rPr>
            </w:pPr>
            <w:r w:rsidRPr="006735B4">
              <w:rPr>
                <w:sz w:val="16"/>
                <w:szCs w:val="16"/>
              </w:rPr>
              <w:t>Number of drug tests conducted per site per year under 10 CFR Part 26</w:t>
            </w:r>
            <w:r w:rsidRPr="006735B4" w:rsidR="00646A79">
              <w:rPr>
                <w:sz w:val="16"/>
                <w:szCs w:val="16"/>
              </w:rPr>
              <w:t>,</w:t>
            </w:r>
            <w:r w:rsidRPr="006735B4">
              <w:rPr>
                <w:sz w:val="16"/>
                <w:szCs w:val="16"/>
              </w:rPr>
              <w:t xml:space="preserve"> </w:t>
            </w:r>
            <w:r w:rsidRPr="006735B4" w:rsidR="00646A79">
              <w:rPr>
                <w:sz w:val="16"/>
                <w:szCs w:val="16"/>
              </w:rPr>
              <w:t>“</w:t>
            </w:r>
            <w:r w:rsidRPr="006735B4">
              <w:rPr>
                <w:sz w:val="16"/>
                <w:szCs w:val="16"/>
              </w:rPr>
              <w:t xml:space="preserve">Fitness for </w:t>
            </w:r>
            <w:r w:rsidRPr="006735B4" w:rsidR="00387CB8">
              <w:rPr>
                <w:sz w:val="16"/>
                <w:szCs w:val="16"/>
              </w:rPr>
              <w:t>d</w:t>
            </w:r>
            <w:r w:rsidRPr="006735B4">
              <w:rPr>
                <w:sz w:val="16"/>
                <w:szCs w:val="16"/>
              </w:rPr>
              <w:t xml:space="preserve">uty </w:t>
            </w:r>
            <w:r w:rsidRPr="006735B4" w:rsidR="00387CB8">
              <w:rPr>
                <w:sz w:val="16"/>
                <w:szCs w:val="16"/>
              </w:rPr>
              <w:t>p</w:t>
            </w:r>
            <w:r w:rsidRPr="006735B4">
              <w:rPr>
                <w:sz w:val="16"/>
                <w:szCs w:val="16"/>
              </w:rPr>
              <w:t>rograms</w:t>
            </w:r>
            <w:r w:rsidRPr="006735B4" w:rsidR="00646A79">
              <w:rPr>
                <w:sz w:val="16"/>
                <w:szCs w:val="16"/>
              </w:rPr>
              <w:t>”</w:t>
            </w:r>
          </w:p>
        </w:tc>
        <w:tc>
          <w:tcPr>
            <w:tcW w:w="810" w:type="dxa"/>
            <w:shd w:val="clear" w:color="auto" w:fill="auto"/>
            <w:tcMar>
              <w:left w:w="58" w:type="dxa"/>
              <w:right w:w="58" w:type="dxa"/>
            </w:tcMar>
            <w:vAlign w:val="center"/>
          </w:tcPr>
          <w:p w:rsidRPr="006735B4" w:rsidR="00D520BD" w:rsidP="00982BD1" w:rsidRDefault="00D520BD" w14:paraId="3A7AC6A0" w14:textId="65CEC000">
            <w:pPr>
              <w:jc w:val="right"/>
              <w:rPr>
                <w:rFonts w:cs="Arial"/>
                <w:sz w:val="16"/>
                <w:szCs w:val="16"/>
              </w:rPr>
            </w:pPr>
            <w:r w:rsidRPr="006735B4">
              <w:rPr>
                <w:sz w:val="16"/>
                <w:szCs w:val="16"/>
              </w:rPr>
              <w:t>2</w:t>
            </w:r>
            <w:r w:rsidRPr="006735B4" w:rsidR="00646A79">
              <w:rPr>
                <w:sz w:val="16"/>
                <w:szCs w:val="16"/>
              </w:rPr>
              <w:t>,</w:t>
            </w:r>
            <w:r w:rsidRPr="006735B4" w:rsidR="00BD5FE0">
              <w:rPr>
                <w:sz w:val="16"/>
                <w:szCs w:val="16"/>
              </w:rPr>
              <w:t>257</w:t>
            </w:r>
          </w:p>
        </w:tc>
        <w:tc>
          <w:tcPr>
            <w:tcW w:w="900" w:type="dxa"/>
            <w:tcBorders>
              <w:bottom w:val="single" w:color="auto" w:sz="4" w:space="0"/>
            </w:tcBorders>
            <w:shd w:val="clear" w:color="auto" w:fill="auto"/>
            <w:tcMar>
              <w:left w:w="58" w:type="dxa"/>
              <w:right w:w="58" w:type="dxa"/>
            </w:tcMar>
            <w:vAlign w:val="center"/>
          </w:tcPr>
          <w:p w:rsidRPr="006735B4" w:rsidR="00D520BD" w:rsidP="00982BD1" w:rsidRDefault="00D520BD" w14:paraId="1322AAAB" w14:textId="6A38FEE1">
            <w:pPr>
              <w:jc w:val="right"/>
              <w:rPr>
                <w:rFonts w:cs="Arial"/>
                <w:sz w:val="16"/>
                <w:szCs w:val="16"/>
              </w:rPr>
            </w:pPr>
            <w:r w:rsidRPr="006735B4">
              <w:rPr>
                <w:sz w:val="16"/>
                <w:szCs w:val="16"/>
              </w:rPr>
              <w:t>0.</w:t>
            </w:r>
            <w:r w:rsidRPr="006735B4" w:rsidR="00935645">
              <w:rPr>
                <w:sz w:val="16"/>
                <w:szCs w:val="16"/>
              </w:rPr>
              <w:t>3</w:t>
            </w:r>
            <w:r w:rsidRPr="006735B4" w:rsidR="00F95F1C">
              <w:rPr>
                <w:sz w:val="16"/>
                <w:szCs w:val="16"/>
              </w:rPr>
              <w:t>7</w:t>
            </w:r>
          </w:p>
        </w:tc>
        <w:tc>
          <w:tcPr>
            <w:tcW w:w="810" w:type="dxa"/>
            <w:tcBorders>
              <w:bottom w:val="single" w:color="auto" w:sz="4" w:space="0"/>
            </w:tcBorders>
            <w:shd w:val="clear" w:color="auto" w:fill="auto"/>
            <w:tcMar>
              <w:left w:w="58" w:type="dxa"/>
              <w:right w:w="58" w:type="dxa"/>
            </w:tcMar>
            <w:vAlign w:val="center"/>
          </w:tcPr>
          <w:p w:rsidRPr="006735B4" w:rsidR="00D520BD" w:rsidP="00982BD1" w:rsidRDefault="00935645" w14:paraId="33FA11A0" w14:textId="68A39EAD">
            <w:pPr>
              <w:jc w:val="right"/>
              <w:rPr>
                <w:rFonts w:cs="Arial"/>
                <w:sz w:val="16"/>
                <w:szCs w:val="16"/>
              </w:rPr>
            </w:pPr>
            <w:r w:rsidRPr="006735B4">
              <w:rPr>
                <w:sz w:val="16"/>
                <w:szCs w:val="16"/>
              </w:rPr>
              <w:t>59</w:t>
            </w:r>
          </w:p>
        </w:tc>
        <w:tc>
          <w:tcPr>
            <w:tcW w:w="979" w:type="dxa"/>
            <w:tcBorders>
              <w:bottom w:val="single" w:color="auto" w:sz="4" w:space="0"/>
            </w:tcBorders>
            <w:shd w:val="clear" w:color="auto" w:fill="auto"/>
            <w:tcMar>
              <w:left w:w="58" w:type="dxa"/>
              <w:right w:w="58" w:type="dxa"/>
            </w:tcMar>
            <w:vAlign w:val="center"/>
          </w:tcPr>
          <w:p w:rsidRPr="006735B4" w:rsidR="00D520BD" w:rsidP="00982BD1" w:rsidRDefault="00935645" w14:paraId="1B83071C" w14:textId="6556E6B5">
            <w:pPr>
              <w:jc w:val="right"/>
              <w:rPr>
                <w:rFonts w:cs="Arial"/>
                <w:sz w:val="16"/>
                <w:szCs w:val="16"/>
              </w:rPr>
            </w:pPr>
            <w:r w:rsidRPr="006735B4">
              <w:rPr>
                <w:sz w:val="16"/>
                <w:szCs w:val="16"/>
              </w:rPr>
              <w:t>2</w:t>
            </w:r>
            <w:r w:rsidRPr="006735B4" w:rsidR="00F95F1C">
              <w:rPr>
                <w:sz w:val="16"/>
                <w:szCs w:val="16"/>
              </w:rPr>
              <w:t>2</w:t>
            </w:r>
          </w:p>
        </w:tc>
      </w:tr>
      <w:tr w:rsidRPr="000864A1" w:rsidR="00796344" w:rsidTr="006D78A0" w14:paraId="50DF632F" w14:textId="77777777">
        <w:trPr>
          <w:trHeight w:val="251"/>
        </w:trPr>
        <w:tc>
          <w:tcPr>
            <w:tcW w:w="1440" w:type="dxa"/>
            <w:vMerge/>
            <w:shd w:val="clear" w:color="auto" w:fill="auto"/>
            <w:tcMar>
              <w:left w:w="58" w:type="dxa"/>
              <w:right w:w="58" w:type="dxa"/>
            </w:tcMar>
            <w:vAlign w:val="center"/>
          </w:tcPr>
          <w:p w:rsidRPr="006735B4" w:rsidR="00D520BD" w:rsidP="00982BD1" w:rsidRDefault="00D520BD" w14:paraId="053D94D9" w14:textId="77777777">
            <w:pPr>
              <w:ind w:left="88" w:right="-20"/>
              <w:rPr>
                <w:rFonts w:cs="Arial"/>
                <w:sz w:val="16"/>
                <w:szCs w:val="16"/>
              </w:rPr>
            </w:pPr>
          </w:p>
        </w:tc>
        <w:tc>
          <w:tcPr>
            <w:tcW w:w="4770" w:type="dxa"/>
            <w:shd w:val="clear" w:color="auto" w:fill="auto"/>
            <w:tcMar>
              <w:left w:w="58" w:type="dxa"/>
              <w:right w:w="58" w:type="dxa"/>
            </w:tcMar>
            <w:vAlign w:val="center"/>
          </w:tcPr>
          <w:p w:rsidRPr="006735B4" w:rsidR="00D520BD" w:rsidP="00982BD1" w:rsidRDefault="00D520BD" w14:paraId="2683E90E" w14:textId="77777777">
            <w:pPr>
              <w:rPr>
                <w:rFonts w:cs="Arial"/>
                <w:sz w:val="16"/>
                <w:szCs w:val="16"/>
              </w:rPr>
            </w:pPr>
            <w:r w:rsidRPr="006735B4">
              <w:rPr>
                <w:sz w:val="16"/>
                <w:szCs w:val="16"/>
              </w:rPr>
              <w:t>Projected confirmed positive test rate</w:t>
            </w:r>
          </w:p>
        </w:tc>
        <w:tc>
          <w:tcPr>
            <w:tcW w:w="810" w:type="dxa"/>
            <w:tcBorders>
              <w:right w:val="single" w:color="auto" w:sz="4" w:space="0"/>
            </w:tcBorders>
            <w:shd w:val="clear" w:color="auto" w:fill="auto"/>
            <w:tcMar>
              <w:left w:w="58" w:type="dxa"/>
              <w:right w:w="58" w:type="dxa"/>
            </w:tcMar>
            <w:vAlign w:val="center"/>
          </w:tcPr>
          <w:p w:rsidRPr="006735B4" w:rsidR="00D520BD" w:rsidP="00982BD1" w:rsidRDefault="00D520BD" w14:paraId="2D90759C" w14:textId="629F7302">
            <w:pPr>
              <w:jc w:val="right"/>
              <w:rPr>
                <w:rFonts w:cs="Arial"/>
                <w:sz w:val="16"/>
                <w:szCs w:val="16"/>
              </w:rPr>
            </w:pPr>
            <w:r w:rsidRPr="006735B4">
              <w:rPr>
                <w:sz w:val="16"/>
                <w:szCs w:val="16"/>
              </w:rPr>
              <w:t>0.01</w:t>
            </w:r>
            <w:r w:rsidRPr="006735B4" w:rsidR="000C6F3A">
              <w:rPr>
                <w:sz w:val="16"/>
                <w:szCs w:val="16"/>
              </w:rPr>
              <w:t>6</w:t>
            </w:r>
            <w:r w:rsidRPr="006735B4">
              <w:rPr>
                <w:sz w:val="16"/>
                <w:szCs w:val="16"/>
              </w:rPr>
              <w:t>%</w:t>
            </w:r>
          </w:p>
        </w:tc>
        <w:tc>
          <w:tcPr>
            <w:tcW w:w="900" w:type="dxa"/>
            <w:tcBorders>
              <w:top w:val="single" w:color="auto" w:sz="4" w:space="0"/>
              <w:left w:val="single" w:color="auto" w:sz="4" w:space="0"/>
              <w:bottom w:val="single" w:color="auto" w:sz="4" w:space="0"/>
              <w:right w:val="nil"/>
            </w:tcBorders>
            <w:shd w:val="clear" w:color="auto" w:fill="auto"/>
            <w:tcMar>
              <w:left w:w="58" w:type="dxa"/>
              <w:right w:w="58" w:type="dxa"/>
            </w:tcMar>
            <w:vAlign w:val="center"/>
          </w:tcPr>
          <w:p w:rsidRPr="006735B4" w:rsidR="00D520BD" w:rsidP="00982BD1" w:rsidRDefault="00D520BD" w14:paraId="19FCAC01" w14:textId="77777777">
            <w:pPr>
              <w:jc w:val="right"/>
              <w:rPr>
                <w:rFonts w:cs="Arial"/>
                <w:sz w:val="16"/>
                <w:szCs w:val="16"/>
              </w:rPr>
            </w:pPr>
          </w:p>
        </w:tc>
        <w:tc>
          <w:tcPr>
            <w:tcW w:w="810" w:type="dxa"/>
            <w:tcBorders>
              <w:top w:val="single" w:color="auto" w:sz="4" w:space="0"/>
              <w:left w:val="nil"/>
              <w:bottom w:val="single" w:color="auto" w:sz="4" w:space="0"/>
              <w:right w:val="nil"/>
            </w:tcBorders>
            <w:shd w:val="clear" w:color="auto" w:fill="auto"/>
            <w:tcMar>
              <w:left w:w="58" w:type="dxa"/>
              <w:right w:w="58" w:type="dxa"/>
            </w:tcMar>
            <w:vAlign w:val="center"/>
          </w:tcPr>
          <w:p w:rsidRPr="006735B4" w:rsidR="00D520BD" w:rsidP="00982BD1" w:rsidRDefault="00D520BD" w14:paraId="0D5F5D09" w14:textId="77777777">
            <w:pPr>
              <w:jc w:val="right"/>
              <w:rPr>
                <w:rFonts w:cs="Arial"/>
                <w:sz w:val="16"/>
                <w:szCs w:val="16"/>
              </w:rPr>
            </w:pPr>
          </w:p>
        </w:tc>
        <w:tc>
          <w:tcPr>
            <w:tcW w:w="979" w:type="dxa"/>
            <w:tcBorders>
              <w:top w:val="single" w:color="auto" w:sz="4" w:space="0"/>
              <w:left w:val="nil"/>
              <w:bottom w:val="single" w:color="auto" w:sz="4" w:space="0"/>
              <w:right w:val="single" w:color="auto" w:sz="4" w:space="0"/>
            </w:tcBorders>
            <w:shd w:val="clear" w:color="auto" w:fill="auto"/>
            <w:tcMar>
              <w:left w:w="58" w:type="dxa"/>
              <w:right w:w="58" w:type="dxa"/>
            </w:tcMar>
            <w:vAlign w:val="center"/>
          </w:tcPr>
          <w:p w:rsidRPr="006735B4" w:rsidR="00D520BD" w:rsidP="00982BD1" w:rsidRDefault="00D520BD" w14:paraId="1E80DE5D" w14:textId="77777777">
            <w:pPr>
              <w:jc w:val="right"/>
              <w:rPr>
                <w:rFonts w:cs="Arial"/>
                <w:sz w:val="16"/>
                <w:szCs w:val="16"/>
              </w:rPr>
            </w:pPr>
          </w:p>
        </w:tc>
      </w:tr>
      <w:tr w:rsidRPr="000864A1" w:rsidR="00D520BD" w:rsidTr="006D78A0" w14:paraId="338C944C" w14:textId="77777777">
        <w:trPr>
          <w:trHeight w:val="251"/>
        </w:trPr>
        <w:tc>
          <w:tcPr>
            <w:tcW w:w="1440" w:type="dxa"/>
            <w:vMerge w:val="restart"/>
            <w:tcMar>
              <w:left w:w="58" w:type="dxa"/>
              <w:right w:w="58" w:type="dxa"/>
            </w:tcMar>
            <w:vAlign w:val="center"/>
          </w:tcPr>
          <w:p w:rsidRPr="00BC0B47" w:rsidR="00D520BD" w:rsidP="00982BD1" w:rsidRDefault="00D520BD" w14:paraId="24ECF444" w14:textId="0E831160">
            <w:pPr>
              <w:ind w:left="88" w:right="-20"/>
              <w:rPr>
                <w:sz w:val="16"/>
              </w:rPr>
            </w:pPr>
            <w:r w:rsidRPr="00BC0B47">
              <w:rPr>
                <w:sz w:val="16"/>
              </w:rPr>
              <w:t xml:space="preserve">Additional </w:t>
            </w:r>
            <w:r w:rsidRPr="006735B4" w:rsidR="000A4745">
              <w:rPr>
                <w:sz w:val="16"/>
                <w:szCs w:val="16"/>
              </w:rPr>
              <w:t>a</w:t>
            </w:r>
            <w:r w:rsidRPr="006735B4">
              <w:rPr>
                <w:sz w:val="16"/>
                <w:szCs w:val="16"/>
              </w:rPr>
              <w:t xml:space="preserve">mphetamine </w:t>
            </w:r>
            <w:r w:rsidRPr="006735B4" w:rsidR="000A4745">
              <w:rPr>
                <w:sz w:val="16"/>
                <w:szCs w:val="16"/>
              </w:rPr>
              <w:t>p</w:t>
            </w:r>
            <w:r w:rsidRPr="006735B4">
              <w:rPr>
                <w:sz w:val="16"/>
                <w:szCs w:val="16"/>
              </w:rPr>
              <w:t xml:space="preserve">ositive </w:t>
            </w:r>
            <w:r w:rsidRPr="006735B4" w:rsidR="000A4745">
              <w:rPr>
                <w:sz w:val="16"/>
                <w:szCs w:val="16"/>
              </w:rPr>
              <w:t>r</w:t>
            </w:r>
            <w:r w:rsidRPr="006735B4">
              <w:rPr>
                <w:sz w:val="16"/>
                <w:szCs w:val="16"/>
              </w:rPr>
              <w:t>esults</w:t>
            </w:r>
          </w:p>
        </w:tc>
        <w:tc>
          <w:tcPr>
            <w:tcW w:w="4770" w:type="dxa"/>
            <w:shd w:val="clear" w:color="auto" w:fill="auto"/>
            <w:tcMar>
              <w:left w:w="58" w:type="dxa"/>
              <w:right w:w="58" w:type="dxa"/>
            </w:tcMar>
            <w:vAlign w:val="center"/>
          </w:tcPr>
          <w:p w:rsidRPr="006735B4" w:rsidR="00D520BD" w:rsidP="00982BD1" w:rsidRDefault="00D520BD" w14:paraId="3163A7A6" w14:textId="77777777">
            <w:pPr>
              <w:rPr>
                <w:rFonts w:cs="Arial"/>
                <w:sz w:val="16"/>
                <w:szCs w:val="16"/>
              </w:rPr>
            </w:pPr>
            <w:r w:rsidRPr="006735B4">
              <w:rPr>
                <w:sz w:val="16"/>
                <w:szCs w:val="16"/>
              </w:rPr>
              <w:t>Number of drug tests conducted per site per year under 10 CFR Part 26</w:t>
            </w:r>
          </w:p>
        </w:tc>
        <w:tc>
          <w:tcPr>
            <w:tcW w:w="810" w:type="dxa"/>
            <w:shd w:val="clear" w:color="auto" w:fill="auto"/>
            <w:tcMar>
              <w:left w:w="58" w:type="dxa"/>
              <w:right w:w="58" w:type="dxa"/>
            </w:tcMar>
            <w:vAlign w:val="center"/>
          </w:tcPr>
          <w:p w:rsidRPr="006735B4" w:rsidR="00D520BD" w:rsidP="00982BD1" w:rsidRDefault="00D520BD" w14:paraId="57236811" w14:textId="494AB03A">
            <w:pPr>
              <w:jc w:val="right"/>
              <w:rPr>
                <w:rFonts w:cs="Arial"/>
                <w:sz w:val="16"/>
                <w:szCs w:val="16"/>
              </w:rPr>
            </w:pPr>
            <w:r w:rsidRPr="006735B4">
              <w:rPr>
                <w:sz w:val="16"/>
                <w:szCs w:val="16"/>
              </w:rPr>
              <w:t>2</w:t>
            </w:r>
            <w:r w:rsidRPr="006735B4" w:rsidR="00646A79">
              <w:rPr>
                <w:sz w:val="16"/>
                <w:szCs w:val="16"/>
              </w:rPr>
              <w:t>,</w:t>
            </w:r>
            <w:r w:rsidRPr="006735B4" w:rsidR="006737EF">
              <w:rPr>
                <w:sz w:val="16"/>
                <w:szCs w:val="16"/>
              </w:rPr>
              <w:t>257</w:t>
            </w:r>
          </w:p>
        </w:tc>
        <w:tc>
          <w:tcPr>
            <w:tcW w:w="900" w:type="dxa"/>
            <w:tcBorders>
              <w:top w:val="single" w:color="auto" w:sz="4" w:space="0"/>
              <w:bottom w:val="single" w:color="auto" w:sz="4" w:space="0"/>
            </w:tcBorders>
            <w:shd w:val="clear" w:color="auto" w:fill="auto"/>
            <w:tcMar>
              <w:left w:w="58" w:type="dxa"/>
              <w:right w:w="58" w:type="dxa"/>
            </w:tcMar>
            <w:vAlign w:val="center"/>
          </w:tcPr>
          <w:p w:rsidRPr="006735B4" w:rsidR="00D520BD" w:rsidP="00982BD1" w:rsidRDefault="006737EF" w14:paraId="045C2913" w14:textId="3C50B7EC">
            <w:pPr>
              <w:jc w:val="right"/>
              <w:rPr>
                <w:rFonts w:cs="Arial"/>
                <w:sz w:val="16"/>
                <w:szCs w:val="16"/>
              </w:rPr>
            </w:pPr>
            <w:r w:rsidRPr="006735B4">
              <w:rPr>
                <w:rFonts w:cs="Arial"/>
                <w:sz w:val="16"/>
                <w:szCs w:val="16"/>
              </w:rPr>
              <w:t>0.39</w:t>
            </w:r>
          </w:p>
        </w:tc>
        <w:tc>
          <w:tcPr>
            <w:tcW w:w="810" w:type="dxa"/>
            <w:tcBorders>
              <w:top w:val="single" w:color="auto" w:sz="4" w:space="0"/>
              <w:bottom w:val="single" w:color="auto" w:sz="4" w:space="0"/>
            </w:tcBorders>
            <w:shd w:val="clear" w:color="auto" w:fill="auto"/>
            <w:tcMar>
              <w:left w:w="58" w:type="dxa"/>
              <w:right w:w="58" w:type="dxa"/>
            </w:tcMar>
            <w:vAlign w:val="center"/>
          </w:tcPr>
          <w:p w:rsidRPr="006735B4" w:rsidR="00D520BD" w:rsidP="00982BD1" w:rsidRDefault="006737EF" w14:paraId="5EA069A9" w14:textId="1EFE7A24">
            <w:pPr>
              <w:jc w:val="right"/>
              <w:rPr>
                <w:rFonts w:cs="Arial"/>
                <w:sz w:val="16"/>
                <w:szCs w:val="16"/>
              </w:rPr>
            </w:pPr>
            <w:r w:rsidRPr="006735B4">
              <w:rPr>
                <w:sz w:val="16"/>
                <w:szCs w:val="16"/>
              </w:rPr>
              <w:t>59</w:t>
            </w:r>
          </w:p>
        </w:tc>
        <w:tc>
          <w:tcPr>
            <w:tcW w:w="979" w:type="dxa"/>
            <w:tcBorders>
              <w:top w:val="single" w:color="auto" w:sz="4" w:space="0"/>
              <w:bottom w:val="single" w:color="auto" w:sz="4" w:space="0"/>
            </w:tcBorders>
            <w:shd w:val="clear" w:color="auto" w:fill="auto"/>
            <w:tcMar>
              <w:left w:w="58" w:type="dxa"/>
              <w:right w:w="58" w:type="dxa"/>
            </w:tcMar>
            <w:vAlign w:val="center"/>
          </w:tcPr>
          <w:p w:rsidRPr="006735B4" w:rsidR="00D520BD" w:rsidP="00982BD1" w:rsidRDefault="006737EF" w14:paraId="4B02553B" w14:textId="6F09E38D">
            <w:pPr>
              <w:jc w:val="right"/>
              <w:rPr>
                <w:rFonts w:cs="Arial"/>
                <w:sz w:val="16"/>
                <w:szCs w:val="16"/>
              </w:rPr>
            </w:pPr>
            <w:r w:rsidRPr="006735B4">
              <w:rPr>
                <w:rFonts w:cs="Arial"/>
                <w:sz w:val="16"/>
                <w:szCs w:val="16"/>
              </w:rPr>
              <w:t>23</w:t>
            </w:r>
          </w:p>
        </w:tc>
      </w:tr>
      <w:tr w:rsidRPr="000864A1" w:rsidR="00796344" w:rsidTr="006D78A0" w14:paraId="3945E3F1" w14:textId="77777777">
        <w:trPr>
          <w:trHeight w:val="251"/>
        </w:trPr>
        <w:tc>
          <w:tcPr>
            <w:tcW w:w="1440" w:type="dxa"/>
            <w:vMerge/>
            <w:tcMar>
              <w:left w:w="58" w:type="dxa"/>
              <w:right w:w="58" w:type="dxa"/>
            </w:tcMar>
            <w:vAlign w:val="center"/>
          </w:tcPr>
          <w:p w:rsidRPr="006735B4" w:rsidR="00D520BD" w:rsidP="00982BD1" w:rsidRDefault="00D520BD" w14:paraId="3321F59C" w14:textId="77777777">
            <w:pPr>
              <w:ind w:left="88" w:right="-20"/>
              <w:rPr>
                <w:rFonts w:cs="Arial"/>
                <w:sz w:val="16"/>
                <w:szCs w:val="16"/>
              </w:rPr>
            </w:pPr>
          </w:p>
        </w:tc>
        <w:tc>
          <w:tcPr>
            <w:tcW w:w="4770" w:type="dxa"/>
            <w:shd w:val="clear" w:color="auto" w:fill="auto"/>
            <w:tcMar>
              <w:left w:w="58" w:type="dxa"/>
              <w:right w:w="58" w:type="dxa"/>
            </w:tcMar>
            <w:vAlign w:val="center"/>
          </w:tcPr>
          <w:p w:rsidRPr="006735B4" w:rsidR="00D520BD" w:rsidP="00982BD1" w:rsidRDefault="001B3CFE" w14:paraId="38D83EE2" w14:textId="7BB4E300">
            <w:pPr>
              <w:rPr>
                <w:rFonts w:cs="Arial"/>
                <w:sz w:val="16"/>
                <w:szCs w:val="16"/>
              </w:rPr>
            </w:pPr>
            <w:r>
              <w:rPr>
                <w:sz w:val="16"/>
                <w:szCs w:val="16"/>
              </w:rPr>
              <w:t>Fitness for duty (</w:t>
            </w:r>
            <w:r w:rsidRPr="006735B4" w:rsidR="00D520BD">
              <w:rPr>
                <w:sz w:val="16"/>
                <w:szCs w:val="16"/>
              </w:rPr>
              <w:t>FFD</w:t>
            </w:r>
            <w:r>
              <w:rPr>
                <w:sz w:val="16"/>
                <w:szCs w:val="16"/>
              </w:rPr>
              <w:t>)</w:t>
            </w:r>
            <w:r w:rsidRPr="006735B4" w:rsidR="00D520BD">
              <w:rPr>
                <w:sz w:val="16"/>
                <w:szCs w:val="16"/>
              </w:rPr>
              <w:t xml:space="preserve"> current confirmed positive test rate</w:t>
            </w:r>
          </w:p>
        </w:tc>
        <w:tc>
          <w:tcPr>
            <w:tcW w:w="810" w:type="dxa"/>
            <w:tcBorders>
              <w:right w:val="single" w:color="auto" w:sz="4" w:space="0"/>
            </w:tcBorders>
            <w:shd w:val="clear" w:color="auto" w:fill="auto"/>
            <w:tcMar>
              <w:left w:w="58" w:type="dxa"/>
              <w:right w:w="58" w:type="dxa"/>
            </w:tcMar>
            <w:vAlign w:val="center"/>
          </w:tcPr>
          <w:p w:rsidRPr="006735B4" w:rsidR="00D520BD" w:rsidP="00982BD1" w:rsidRDefault="00D520BD" w14:paraId="5AF13C71" w14:textId="5C2CF669">
            <w:pPr>
              <w:jc w:val="right"/>
              <w:rPr>
                <w:rFonts w:cs="Arial"/>
                <w:sz w:val="16"/>
                <w:szCs w:val="16"/>
              </w:rPr>
            </w:pPr>
            <w:r w:rsidRPr="006735B4">
              <w:rPr>
                <w:sz w:val="16"/>
                <w:szCs w:val="16"/>
              </w:rPr>
              <w:t>0.0</w:t>
            </w:r>
            <w:r w:rsidRPr="006735B4" w:rsidR="006737EF">
              <w:rPr>
                <w:sz w:val="16"/>
                <w:szCs w:val="16"/>
              </w:rPr>
              <w:t>66</w:t>
            </w:r>
            <w:r w:rsidRPr="006735B4">
              <w:rPr>
                <w:sz w:val="16"/>
                <w:szCs w:val="16"/>
              </w:rPr>
              <w:t>%</w:t>
            </w:r>
          </w:p>
        </w:tc>
        <w:tc>
          <w:tcPr>
            <w:tcW w:w="900" w:type="dxa"/>
            <w:tcBorders>
              <w:top w:val="single" w:color="auto" w:sz="4" w:space="0"/>
              <w:left w:val="single" w:color="auto" w:sz="4" w:space="0"/>
              <w:bottom w:val="nil"/>
              <w:right w:val="nil"/>
            </w:tcBorders>
            <w:shd w:val="clear" w:color="auto" w:fill="auto"/>
            <w:tcMar>
              <w:left w:w="58" w:type="dxa"/>
              <w:right w:w="58" w:type="dxa"/>
            </w:tcMar>
            <w:vAlign w:val="center"/>
          </w:tcPr>
          <w:p w:rsidRPr="006735B4" w:rsidR="00D520BD" w:rsidP="00982BD1" w:rsidRDefault="00D520BD" w14:paraId="73A89ACE" w14:textId="77777777">
            <w:pPr>
              <w:jc w:val="right"/>
              <w:rPr>
                <w:rFonts w:cs="Arial"/>
                <w:sz w:val="16"/>
                <w:szCs w:val="16"/>
              </w:rPr>
            </w:pPr>
          </w:p>
        </w:tc>
        <w:tc>
          <w:tcPr>
            <w:tcW w:w="810" w:type="dxa"/>
            <w:tcBorders>
              <w:top w:val="single" w:color="auto" w:sz="4" w:space="0"/>
              <w:left w:val="nil"/>
              <w:bottom w:val="nil"/>
              <w:right w:val="nil"/>
            </w:tcBorders>
            <w:shd w:val="clear" w:color="auto" w:fill="auto"/>
            <w:tcMar>
              <w:left w:w="58" w:type="dxa"/>
              <w:right w:w="58" w:type="dxa"/>
            </w:tcMar>
            <w:vAlign w:val="center"/>
          </w:tcPr>
          <w:p w:rsidRPr="006735B4" w:rsidR="00D520BD" w:rsidP="00982BD1" w:rsidRDefault="00D520BD" w14:paraId="2647D649" w14:textId="77777777">
            <w:pPr>
              <w:jc w:val="right"/>
              <w:rPr>
                <w:rFonts w:cs="Arial"/>
                <w:sz w:val="16"/>
                <w:szCs w:val="16"/>
              </w:rPr>
            </w:pPr>
          </w:p>
        </w:tc>
        <w:tc>
          <w:tcPr>
            <w:tcW w:w="979" w:type="dxa"/>
            <w:tcBorders>
              <w:top w:val="single" w:color="auto" w:sz="4" w:space="0"/>
              <w:left w:val="nil"/>
              <w:bottom w:val="nil"/>
              <w:right w:val="single" w:color="auto" w:sz="4" w:space="0"/>
            </w:tcBorders>
            <w:shd w:val="clear" w:color="auto" w:fill="auto"/>
            <w:tcMar>
              <w:left w:w="58" w:type="dxa"/>
              <w:right w:w="58" w:type="dxa"/>
            </w:tcMar>
            <w:vAlign w:val="center"/>
          </w:tcPr>
          <w:p w:rsidRPr="006735B4" w:rsidR="00D520BD" w:rsidP="00982BD1" w:rsidRDefault="00D520BD" w14:paraId="2CF47554" w14:textId="77777777">
            <w:pPr>
              <w:jc w:val="right"/>
              <w:rPr>
                <w:rFonts w:cs="Arial"/>
                <w:sz w:val="16"/>
                <w:szCs w:val="16"/>
              </w:rPr>
            </w:pPr>
          </w:p>
        </w:tc>
      </w:tr>
      <w:tr w:rsidRPr="000864A1" w:rsidR="00796344" w:rsidTr="006D78A0" w14:paraId="66B225A2" w14:textId="77777777">
        <w:trPr>
          <w:trHeight w:val="251"/>
        </w:trPr>
        <w:tc>
          <w:tcPr>
            <w:tcW w:w="1440" w:type="dxa"/>
            <w:vMerge/>
            <w:tcMar>
              <w:left w:w="58" w:type="dxa"/>
              <w:right w:w="58" w:type="dxa"/>
            </w:tcMar>
            <w:vAlign w:val="center"/>
          </w:tcPr>
          <w:p w:rsidRPr="006735B4" w:rsidR="00D520BD" w:rsidP="00982BD1" w:rsidRDefault="00D520BD" w14:paraId="494678E1" w14:textId="77777777">
            <w:pPr>
              <w:ind w:left="88" w:right="-20"/>
              <w:rPr>
                <w:rFonts w:cs="Arial"/>
                <w:sz w:val="16"/>
                <w:szCs w:val="16"/>
              </w:rPr>
            </w:pPr>
          </w:p>
        </w:tc>
        <w:tc>
          <w:tcPr>
            <w:tcW w:w="4770" w:type="dxa"/>
            <w:shd w:val="clear" w:color="auto" w:fill="auto"/>
            <w:tcMar>
              <w:left w:w="58" w:type="dxa"/>
              <w:right w:w="58" w:type="dxa"/>
            </w:tcMar>
            <w:vAlign w:val="center"/>
          </w:tcPr>
          <w:p w:rsidRPr="006735B4" w:rsidR="00D520BD" w:rsidP="00982BD1" w:rsidRDefault="00D520BD" w14:paraId="2F9831E5" w14:textId="77777777">
            <w:pPr>
              <w:rPr>
                <w:rFonts w:cs="Arial"/>
                <w:sz w:val="16"/>
                <w:szCs w:val="16"/>
              </w:rPr>
            </w:pPr>
            <w:r w:rsidRPr="006735B4">
              <w:rPr>
                <w:sz w:val="16"/>
                <w:szCs w:val="16"/>
              </w:rPr>
              <w:t>Projected percent increase in positive test rate</w:t>
            </w:r>
          </w:p>
        </w:tc>
        <w:tc>
          <w:tcPr>
            <w:tcW w:w="810" w:type="dxa"/>
            <w:tcBorders>
              <w:right w:val="single" w:color="auto" w:sz="4" w:space="0"/>
            </w:tcBorders>
            <w:shd w:val="clear" w:color="auto" w:fill="auto"/>
            <w:tcMar>
              <w:left w:w="58" w:type="dxa"/>
              <w:right w:w="58" w:type="dxa"/>
            </w:tcMar>
            <w:vAlign w:val="center"/>
          </w:tcPr>
          <w:p w:rsidRPr="006735B4" w:rsidR="00D520BD" w:rsidP="00982BD1" w:rsidRDefault="00D520BD" w14:paraId="7CBEF614" w14:textId="67CC1020">
            <w:pPr>
              <w:jc w:val="right"/>
              <w:rPr>
                <w:rFonts w:cs="Arial"/>
                <w:sz w:val="16"/>
                <w:szCs w:val="16"/>
              </w:rPr>
            </w:pPr>
            <w:r w:rsidRPr="006735B4">
              <w:rPr>
                <w:sz w:val="16"/>
                <w:szCs w:val="16"/>
              </w:rPr>
              <w:t>3</w:t>
            </w:r>
            <w:r w:rsidRPr="006735B4" w:rsidR="00451580">
              <w:rPr>
                <w:sz w:val="16"/>
                <w:szCs w:val="16"/>
              </w:rPr>
              <w:t>6.65</w:t>
            </w:r>
            <w:r w:rsidRPr="006735B4">
              <w:rPr>
                <w:sz w:val="16"/>
                <w:szCs w:val="16"/>
              </w:rPr>
              <w:t>%</w:t>
            </w:r>
          </w:p>
        </w:tc>
        <w:tc>
          <w:tcPr>
            <w:tcW w:w="900" w:type="dxa"/>
            <w:tcBorders>
              <w:top w:val="nil"/>
              <w:left w:val="single" w:color="auto" w:sz="4" w:space="0"/>
              <w:bottom w:val="nil"/>
              <w:right w:val="nil"/>
            </w:tcBorders>
            <w:shd w:val="clear" w:color="auto" w:fill="auto"/>
            <w:tcMar>
              <w:left w:w="58" w:type="dxa"/>
              <w:right w:w="58" w:type="dxa"/>
            </w:tcMar>
            <w:vAlign w:val="center"/>
          </w:tcPr>
          <w:p w:rsidRPr="006735B4" w:rsidR="00D520BD" w:rsidP="00982BD1" w:rsidRDefault="00D520BD" w14:paraId="44F35FF1" w14:textId="77777777">
            <w:pPr>
              <w:jc w:val="right"/>
              <w:rPr>
                <w:rFonts w:cs="Arial"/>
                <w:sz w:val="16"/>
                <w:szCs w:val="16"/>
              </w:rPr>
            </w:pPr>
          </w:p>
        </w:tc>
        <w:tc>
          <w:tcPr>
            <w:tcW w:w="810" w:type="dxa"/>
            <w:tcBorders>
              <w:top w:val="nil"/>
              <w:left w:val="nil"/>
              <w:bottom w:val="nil"/>
              <w:right w:val="nil"/>
            </w:tcBorders>
            <w:shd w:val="clear" w:color="auto" w:fill="auto"/>
            <w:tcMar>
              <w:left w:w="58" w:type="dxa"/>
              <w:right w:w="58" w:type="dxa"/>
            </w:tcMar>
            <w:vAlign w:val="center"/>
          </w:tcPr>
          <w:p w:rsidRPr="006735B4" w:rsidR="00D520BD" w:rsidP="00982BD1" w:rsidRDefault="00D520BD" w14:paraId="47B471FF" w14:textId="77777777">
            <w:pPr>
              <w:jc w:val="right"/>
              <w:rPr>
                <w:rFonts w:cs="Arial"/>
                <w:sz w:val="16"/>
                <w:szCs w:val="16"/>
              </w:rPr>
            </w:pPr>
          </w:p>
        </w:tc>
        <w:tc>
          <w:tcPr>
            <w:tcW w:w="979" w:type="dxa"/>
            <w:tcBorders>
              <w:top w:val="nil"/>
              <w:left w:val="nil"/>
              <w:bottom w:val="nil"/>
              <w:right w:val="single" w:color="auto" w:sz="4" w:space="0"/>
            </w:tcBorders>
            <w:shd w:val="clear" w:color="auto" w:fill="auto"/>
            <w:tcMar>
              <w:left w:w="58" w:type="dxa"/>
              <w:right w:w="58" w:type="dxa"/>
            </w:tcMar>
            <w:vAlign w:val="center"/>
          </w:tcPr>
          <w:p w:rsidRPr="006735B4" w:rsidR="00D520BD" w:rsidP="00982BD1" w:rsidRDefault="00D520BD" w14:paraId="70862E7B" w14:textId="77777777">
            <w:pPr>
              <w:jc w:val="right"/>
              <w:rPr>
                <w:rFonts w:cs="Arial"/>
                <w:sz w:val="16"/>
                <w:szCs w:val="16"/>
              </w:rPr>
            </w:pPr>
          </w:p>
        </w:tc>
      </w:tr>
      <w:tr w:rsidRPr="000864A1" w:rsidR="00796344" w:rsidTr="006D78A0" w14:paraId="7620C269" w14:textId="77777777">
        <w:trPr>
          <w:trHeight w:val="251"/>
        </w:trPr>
        <w:tc>
          <w:tcPr>
            <w:tcW w:w="1440" w:type="dxa"/>
            <w:vMerge/>
            <w:tcMar>
              <w:left w:w="58" w:type="dxa"/>
              <w:right w:w="58" w:type="dxa"/>
            </w:tcMar>
            <w:vAlign w:val="center"/>
          </w:tcPr>
          <w:p w:rsidRPr="006735B4" w:rsidR="00D520BD" w:rsidP="00982BD1" w:rsidRDefault="00D520BD" w14:paraId="5B5AA8EB" w14:textId="77777777">
            <w:pPr>
              <w:ind w:left="88" w:right="-20"/>
              <w:rPr>
                <w:rFonts w:cs="Arial"/>
                <w:sz w:val="16"/>
                <w:szCs w:val="16"/>
              </w:rPr>
            </w:pPr>
          </w:p>
        </w:tc>
        <w:tc>
          <w:tcPr>
            <w:tcW w:w="4770" w:type="dxa"/>
            <w:shd w:val="clear" w:color="auto" w:fill="auto"/>
            <w:tcMar>
              <w:left w:w="58" w:type="dxa"/>
              <w:right w:w="58" w:type="dxa"/>
            </w:tcMar>
            <w:vAlign w:val="center"/>
          </w:tcPr>
          <w:p w:rsidRPr="006735B4" w:rsidR="00D520BD" w:rsidP="00982BD1" w:rsidRDefault="00D520BD" w14:paraId="400F1CE2" w14:textId="46E7482C">
            <w:pPr>
              <w:rPr>
                <w:rFonts w:cs="Arial"/>
                <w:sz w:val="16"/>
                <w:szCs w:val="16"/>
              </w:rPr>
            </w:pPr>
            <w:r w:rsidRPr="006735B4">
              <w:rPr>
                <w:sz w:val="16"/>
                <w:szCs w:val="16"/>
              </w:rPr>
              <w:t>Projected percentage of additional positive results that will confirm positive after Medical Review Officer (MRO) interview with donor</w:t>
            </w:r>
          </w:p>
        </w:tc>
        <w:tc>
          <w:tcPr>
            <w:tcW w:w="810" w:type="dxa"/>
            <w:tcBorders>
              <w:right w:val="single" w:color="auto" w:sz="4" w:space="0"/>
            </w:tcBorders>
            <w:shd w:val="clear" w:color="auto" w:fill="auto"/>
            <w:tcMar>
              <w:left w:w="58" w:type="dxa"/>
              <w:right w:w="58" w:type="dxa"/>
            </w:tcMar>
            <w:vAlign w:val="center"/>
          </w:tcPr>
          <w:p w:rsidRPr="006735B4" w:rsidR="00D520BD" w:rsidP="00982BD1" w:rsidRDefault="00D520BD" w14:paraId="1ED3D7F4" w14:textId="786F3492">
            <w:pPr>
              <w:jc w:val="right"/>
              <w:rPr>
                <w:rFonts w:cs="Arial"/>
                <w:sz w:val="16"/>
                <w:szCs w:val="16"/>
              </w:rPr>
            </w:pPr>
            <w:r w:rsidRPr="006735B4">
              <w:rPr>
                <w:sz w:val="16"/>
                <w:szCs w:val="16"/>
              </w:rPr>
              <w:t>7</w:t>
            </w:r>
            <w:r w:rsidRPr="006735B4" w:rsidR="00451580">
              <w:rPr>
                <w:sz w:val="16"/>
                <w:szCs w:val="16"/>
              </w:rPr>
              <w:t>0.83</w:t>
            </w:r>
            <w:r w:rsidRPr="006735B4">
              <w:rPr>
                <w:sz w:val="16"/>
                <w:szCs w:val="16"/>
              </w:rPr>
              <w:t>%</w:t>
            </w:r>
          </w:p>
        </w:tc>
        <w:tc>
          <w:tcPr>
            <w:tcW w:w="900" w:type="dxa"/>
            <w:tcBorders>
              <w:top w:val="nil"/>
              <w:left w:val="single" w:color="auto" w:sz="4" w:space="0"/>
              <w:bottom w:val="single" w:color="auto" w:sz="4" w:space="0"/>
              <w:right w:val="nil"/>
            </w:tcBorders>
            <w:shd w:val="clear" w:color="auto" w:fill="auto"/>
            <w:tcMar>
              <w:left w:w="58" w:type="dxa"/>
              <w:right w:w="58" w:type="dxa"/>
            </w:tcMar>
            <w:vAlign w:val="center"/>
          </w:tcPr>
          <w:p w:rsidRPr="006735B4" w:rsidR="00D520BD" w:rsidP="00982BD1" w:rsidRDefault="00D520BD" w14:paraId="40107AEA" w14:textId="77777777">
            <w:pPr>
              <w:jc w:val="right"/>
              <w:rPr>
                <w:rFonts w:cs="Arial"/>
                <w:sz w:val="16"/>
                <w:szCs w:val="16"/>
              </w:rPr>
            </w:pPr>
          </w:p>
        </w:tc>
        <w:tc>
          <w:tcPr>
            <w:tcW w:w="810" w:type="dxa"/>
            <w:tcBorders>
              <w:top w:val="nil"/>
              <w:left w:val="nil"/>
              <w:bottom w:val="single" w:color="auto" w:sz="4" w:space="0"/>
              <w:right w:val="nil"/>
            </w:tcBorders>
            <w:shd w:val="clear" w:color="auto" w:fill="auto"/>
            <w:tcMar>
              <w:left w:w="58" w:type="dxa"/>
              <w:right w:w="58" w:type="dxa"/>
            </w:tcMar>
            <w:vAlign w:val="center"/>
          </w:tcPr>
          <w:p w:rsidRPr="006735B4" w:rsidR="00D520BD" w:rsidP="00982BD1" w:rsidRDefault="00D520BD" w14:paraId="53484397" w14:textId="77777777">
            <w:pPr>
              <w:jc w:val="right"/>
              <w:rPr>
                <w:rFonts w:cs="Arial"/>
                <w:sz w:val="16"/>
                <w:szCs w:val="16"/>
              </w:rPr>
            </w:pPr>
          </w:p>
        </w:tc>
        <w:tc>
          <w:tcPr>
            <w:tcW w:w="979" w:type="dxa"/>
            <w:tcBorders>
              <w:top w:val="nil"/>
              <w:left w:val="nil"/>
              <w:bottom w:val="single" w:color="auto" w:sz="4" w:space="0"/>
              <w:right w:val="single" w:color="auto" w:sz="4" w:space="0"/>
            </w:tcBorders>
            <w:shd w:val="clear" w:color="auto" w:fill="auto"/>
            <w:tcMar>
              <w:left w:w="58" w:type="dxa"/>
              <w:right w:w="58" w:type="dxa"/>
            </w:tcMar>
            <w:vAlign w:val="center"/>
          </w:tcPr>
          <w:p w:rsidRPr="006735B4" w:rsidR="00D520BD" w:rsidP="00982BD1" w:rsidRDefault="00D520BD" w14:paraId="1655D6DE" w14:textId="77777777">
            <w:pPr>
              <w:jc w:val="right"/>
              <w:rPr>
                <w:rFonts w:cs="Arial"/>
                <w:sz w:val="16"/>
                <w:szCs w:val="16"/>
              </w:rPr>
            </w:pPr>
          </w:p>
        </w:tc>
      </w:tr>
      <w:tr w:rsidRPr="000864A1" w:rsidR="00D520BD" w:rsidTr="006D78A0" w14:paraId="67F0B51F" w14:textId="77777777">
        <w:trPr>
          <w:trHeight w:val="251"/>
        </w:trPr>
        <w:tc>
          <w:tcPr>
            <w:tcW w:w="1440" w:type="dxa"/>
            <w:vMerge w:val="restart"/>
            <w:tcMar>
              <w:left w:w="58" w:type="dxa"/>
              <w:right w:w="58" w:type="dxa"/>
            </w:tcMar>
            <w:vAlign w:val="center"/>
          </w:tcPr>
          <w:p w:rsidRPr="006735B4" w:rsidR="005076E1" w:rsidP="00982BD1" w:rsidRDefault="00D520BD" w14:paraId="6A80A3A8" w14:textId="553E4E5D">
            <w:pPr>
              <w:ind w:left="88" w:right="-20"/>
              <w:rPr>
                <w:sz w:val="16"/>
                <w:szCs w:val="16"/>
              </w:rPr>
            </w:pPr>
            <w:r w:rsidRPr="006735B4">
              <w:rPr>
                <w:sz w:val="16"/>
                <w:szCs w:val="16"/>
              </w:rPr>
              <w:t xml:space="preserve">Additional </w:t>
            </w:r>
            <w:r w:rsidRPr="006735B4" w:rsidR="000A4745">
              <w:rPr>
                <w:sz w:val="16"/>
                <w:szCs w:val="16"/>
              </w:rPr>
              <w:t>c</w:t>
            </w:r>
            <w:r w:rsidRPr="006735B4">
              <w:rPr>
                <w:sz w:val="16"/>
                <w:szCs w:val="16"/>
              </w:rPr>
              <w:t xml:space="preserve">ocaine </w:t>
            </w:r>
          </w:p>
          <w:p w:rsidRPr="006735B4" w:rsidR="00D520BD" w:rsidP="00982BD1" w:rsidRDefault="000A4745" w14:paraId="61CF2616" w14:textId="1BDE2C6B">
            <w:pPr>
              <w:ind w:left="88" w:right="-20"/>
              <w:rPr>
                <w:rFonts w:cs="Arial"/>
                <w:sz w:val="16"/>
                <w:szCs w:val="16"/>
              </w:rPr>
            </w:pPr>
            <w:r w:rsidRPr="006735B4">
              <w:rPr>
                <w:sz w:val="16"/>
                <w:szCs w:val="16"/>
              </w:rPr>
              <w:t>p</w:t>
            </w:r>
            <w:r w:rsidRPr="006735B4" w:rsidR="00D520BD">
              <w:rPr>
                <w:sz w:val="16"/>
                <w:szCs w:val="16"/>
              </w:rPr>
              <w:t xml:space="preserve">ositive </w:t>
            </w:r>
            <w:r w:rsidRPr="006735B4">
              <w:rPr>
                <w:sz w:val="16"/>
                <w:szCs w:val="16"/>
              </w:rPr>
              <w:t>r</w:t>
            </w:r>
            <w:r w:rsidRPr="006735B4" w:rsidR="00D520BD">
              <w:rPr>
                <w:sz w:val="16"/>
                <w:szCs w:val="16"/>
              </w:rPr>
              <w:t>esults</w:t>
            </w:r>
          </w:p>
        </w:tc>
        <w:tc>
          <w:tcPr>
            <w:tcW w:w="4770" w:type="dxa"/>
            <w:shd w:val="clear" w:color="auto" w:fill="auto"/>
            <w:tcMar>
              <w:left w:w="58" w:type="dxa"/>
              <w:right w:w="58" w:type="dxa"/>
            </w:tcMar>
            <w:vAlign w:val="center"/>
          </w:tcPr>
          <w:p w:rsidRPr="006735B4" w:rsidR="00D520BD" w:rsidP="00982BD1" w:rsidRDefault="00D520BD" w14:paraId="62F50237" w14:textId="77777777">
            <w:pPr>
              <w:rPr>
                <w:rFonts w:cs="Arial"/>
                <w:sz w:val="16"/>
                <w:szCs w:val="16"/>
              </w:rPr>
            </w:pPr>
            <w:r w:rsidRPr="006735B4">
              <w:rPr>
                <w:sz w:val="16"/>
                <w:szCs w:val="16"/>
              </w:rPr>
              <w:t>Number of drug tests conducted per site per year under 10 CFR Part 26</w:t>
            </w:r>
          </w:p>
        </w:tc>
        <w:tc>
          <w:tcPr>
            <w:tcW w:w="810" w:type="dxa"/>
            <w:shd w:val="clear" w:color="auto" w:fill="auto"/>
            <w:tcMar>
              <w:left w:w="58" w:type="dxa"/>
              <w:right w:w="58" w:type="dxa"/>
            </w:tcMar>
            <w:vAlign w:val="center"/>
          </w:tcPr>
          <w:p w:rsidRPr="006735B4" w:rsidR="00D520BD" w:rsidP="00982BD1" w:rsidRDefault="00D520BD" w14:paraId="6C62EB38" w14:textId="3816C5CB">
            <w:pPr>
              <w:jc w:val="right"/>
              <w:rPr>
                <w:rFonts w:cs="Arial"/>
                <w:sz w:val="16"/>
                <w:szCs w:val="16"/>
              </w:rPr>
            </w:pPr>
            <w:r w:rsidRPr="006735B4">
              <w:rPr>
                <w:sz w:val="16"/>
                <w:szCs w:val="16"/>
              </w:rPr>
              <w:t>2</w:t>
            </w:r>
            <w:r w:rsidRPr="006735B4" w:rsidR="00646A79">
              <w:rPr>
                <w:sz w:val="16"/>
                <w:szCs w:val="16"/>
              </w:rPr>
              <w:t>,</w:t>
            </w:r>
            <w:r w:rsidRPr="006735B4" w:rsidR="00451580">
              <w:rPr>
                <w:sz w:val="16"/>
                <w:szCs w:val="16"/>
              </w:rPr>
              <w:t>257</w:t>
            </w:r>
          </w:p>
        </w:tc>
        <w:tc>
          <w:tcPr>
            <w:tcW w:w="900" w:type="dxa"/>
            <w:tcBorders>
              <w:top w:val="single" w:color="auto" w:sz="4" w:space="0"/>
              <w:bottom w:val="single" w:color="auto" w:sz="4" w:space="0"/>
            </w:tcBorders>
            <w:shd w:val="clear" w:color="auto" w:fill="auto"/>
            <w:tcMar>
              <w:left w:w="58" w:type="dxa"/>
              <w:right w:w="58" w:type="dxa"/>
            </w:tcMar>
            <w:vAlign w:val="center"/>
          </w:tcPr>
          <w:p w:rsidRPr="006735B4" w:rsidR="00D520BD" w:rsidP="00982BD1" w:rsidRDefault="00D520BD" w14:paraId="29E6AB1F" w14:textId="16D883C6">
            <w:pPr>
              <w:jc w:val="right"/>
              <w:rPr>
                <w:rFonts w:cs="Arial"/>
                <w:sz w:val="16"/>
                <w:szCs w:val="16"/>
              </w:rPr>
            </w:pPr>
            <w:r w:rsidRPr="006735B4">
              <w:rPr>
                <w:rFonts w:cs="Arial"/>
                <w:sz w:val="16"/>
                <w:szCs w:val="16"/>
              </w:rPr>
              <w:t>0.3</w:t>
            </w:r>
            <w:r w:rsidRPr="006735B4" w:rsidR="003E3210">
              <w:rPr>
                <w:rFonts w:cs="Arial"/>
                <w:sz w:val="16"/>
                <w:szCs w:val="16"/>
              </w:rPr>
              <w:t>7</w:t>
            </w:r>
          </w:p>
        </w:tc>
        <w:tc>
          <w:tcPr>
            <w:tcW w:w="810" w:type="dxa"/>
            <w:tcBorders>
              <w:top w:val="single" w:color="auto" w:sz="4" w:space="0"/>
              <w:bottom w:val="single" w:color="auto" w:sz="4" w:space="0"/>
            </w:tcBorders>
            <w:shd w:val="clear" w:color="auto" w:fill="auto"/>
            <w:tcMar>
              <w:left w:w="58" w:type="dxa"/>
              <w:right w:w="58" w:type="dxa"/>
            </w:tcMar>
            <w:vAlign w:val="center"/>
          </w:tcPr>
          <w:p w:rsidRPr="006735B4" w:rsidR="00D520BD" w:rsidP="00982BD1" w:rsidRDefault="003E3210" w14:paraId="113F8DC5" w14:textId="5BE2BD5D">
            <w:pPr>
              <w:jc w:val="right"/>
              <w:rPr>
                <w:rFonts w:cs="Arial"/>
                <w:sz w:val="16"/>
                <w:szCs w:val="16"/>
              </w:rPr>
            </w:pPr>
            <w:r w:rsidRPr="006735B4">
              <w:rPr>
                <w:sz w:val="16"/>
                <w:szCs w:val="16"/>
              </w:rPr>
              <w:t>59</w:t>
            </w:r>
          </w:p>
        </w:tc>
        <w:tc>
          <w:tcPr>
            <w:tcW w:w="979" w:type="dxa"/>
            <w:tcBorders>
              <w:top w:val="single" w:color="auto" w:sz="4" w:space="0"/>
              <w:bottom w:val="single" w:color="auto" w:sz="4" w:space="0"/>
            </w:tcBorders>
            <w:shd w:val="clear" w:color="auto" w:fill="auto"/>
            <w:tcMar>
              <w:left w:w="58" w:type="dxa"/>
              <w:right w:w="58" w:type="dxa"/>
            </w:tcMar>
            <w:vAlign w:val="center"/>
          </w:tcPr>
          <w:p w:rsidRPr="006735B4" w:rsidR="00D520BD" w:rsidP="00982BD1" w:rsidRDefault="003E3210" w14:paraId="4E2E794F" w14:textId="7DA27B98">
            <w:pPr>
              <w:jc w:val="right"/>
              <w:rPr>
                <w:rFonts w:cs="Arial"/>
                <w:sz w:val="16"/>
                <w:szCs w:val="16"/>
              </w:rPr>
            </w:pPr>
            <w:r w:rsidRPr="006735B4">
              <w:rPr>
                <w:rFonts w:cs="Arial"/>
                <w:sz w:val="16"/>
                <w:szCs w:val="16"/>
              </w:rPr>
              <w:t>22</w:t>
            </w:r>
          </w:p>
        </w:tc>
      </w:tr>
      <w:tr w:rsidRPr="000864A1" w:rsidR="00796344" w:rsidTr="006D78A0" w14:paraId="6DC6419F" w14:textId="77777777">
        <w:trPr>
          <w:trHeight w:val="251"/>
        </w:trPr>
        <w:tc>
          <w:tcPr>
            <w:tcW w:w="1440" w:type="dxa"/>
            <w:vMerge/>
            <w:tcMar>
              <w:left w:w="58" w:type="dxa"/>
              <w:right w:w="58" w:type="dxa"/>
            </w:tcMar>
            <w:vAlign w:val="center"/>
          </w:tcPr>
          <w:p w:rsidRPr="006735B4" w:rsidR="00D520BD" w:rsidP="00982BD1" w:rsidRDefault="00D520BD" w14:paraId="186155E8" w14:textId="77777777">
            <w:pPr>
              <w:ind w:left="88" w:right="-20"/>
              <w:rPr>
                <w:rFonts w:cs="Arial"/>
                <w:sz w:val="16"/>
                <w:szCs w:val="16"/>
              </w:rPr>
            </w:pPr>
          </w:p>
        </w:tc>
        <w:tc>
          <w:tcPr>
            <w:tcW w:w="4770" w:type="dxa"/>
            <w:shd w:val="clear" w:color="auto" w:fill="auto"/>
            <w:tcMar>
              <w:left w:w="58" w:type="dxa"/>
              <w:right w:w="58" w:type="dxa"/>
            </w:tcMar>
            <w:vAlign w:val="center"/>
          </w:tcPr>
          <w:p w:rsidRPr="006735B4" w:rsidR="00D520BD" w:rsidP="00982BD1" w:rsidRDefault="00D520BD" w14:paraId="6929717B" w14:textId="77777777">
            <w:pPr>
              <w:rPr>
                <w:rFonts w:cs="Arial"/>
                <w:sz w:val="16"/>
                <w:szCs w:val="16"/>
              </w:rPr>
            </w:pPr>
            <w:r w:rsidRPr="006735B4">
              <w:rPr>
                <w:sz w:val="16"/>
                <w:szCs w:val="16"/>
              </w:rPr>
              <w:t>FFD current confirmed positive test rate</w:t>
            </w:r>
          </w:p>
        </w:tc>
        <w:tc>
          <w:tcPr>
            <w:tcW w:w="810" w:type="dxa"/>
            <w:tcBorders>
              <w:right w:val="single" w:color="auto" w:sz="4" w:space="0"/>
            </w:tcBorders>
            <w:shd w:val="clear" w:color="auto" w:fill="auto"/>
            <w:tcMar>
              <w:left w:w="58" w:type="dxa"/>
              <w:right w:w="58" w:type="dxa"/>
            </w:tcMar>
            <w:vAlign w:val="center"/>
          </w:tcPr>
          <w:p w:rsidRPr="006735B4" w:rsidR="00D520BD" w:rsidP="00982BD1" w:rsidRDefault="00D520BD" w14:paraId="75F37178" w14:textId="04728632">
            <w:pPr>
              <w:jc w:val="right"/>
              <w:rPr>
                <w:rFonts w:cs="Arial"/>
                <w:sz w:val="16"/>
                <w:szCs w:val="16"/>
              </w:rPr>
            </w:pPr>
            <w:r w:rsidRPr="006735B4">
              <w:rPr>
                <w:sz w:val="16"/>
                <w:szCs w:val="16"/>
              </w:rPr>
              <w:t>0.0</w:t>
            </w:r>
            <w:r w:rsidRPr="006735B4" w:rsidR="003E3210">
              <w:rPr>
                <w:sz w:val="16"/>
                <w:szCs w:val="16"/>
              </w:rPr>
              <w:t>83</w:t>
            </w:r>
            <w:r w:rsidRPr="006735B4">
              <w:rPr>
                <w:sz w:val="16"/>
                <w:szCs w:val="16"/>
              </w:rPr>
              <w:t>%</w:t>
            </w:r>
          </w:p>
        </w:tc>
        <w:tc>
          <w:tcPr>
            <w:tcW w:w="900" w:type="dxa"/>
            <w:tcBorders>
              <w:top w:val="single" w:color="auto" w:sz="4" w:space="0"/>
              <w:left w:val="single" w:color="auto" w:sz="4" w:space="0"/>
              <w:bottom w:val="nil"/>
              <w:right w:val="nil"/>
            </w:tcBorders>
            <w:shd w:val="clear" w:color="auto" w:fill="auto"/>
            <w:tcMar>
              <w:left w:w="58" w:type="dxa"/>
              <w:right w:w="58" w:type="dxa"/>
            </w:tcMar>
            <w:vAlign w:val="center"/>
          </w:tcPr>
          <w:p w:rsidRPr="006735B4" w:rsidR="00D520BD" w:rsidP="00982BD1" w:rsidRDefault="00D520BD" w14:paraId="1754F71E" w14:textId="77777777">
            <w:pPr>
              <w:jc w:val="right"/>
              <w:rPr>
                <w:rFonts w:cs="Arial"/>
                <w:sz w:val="16"/>
                <w:szCs w:val="16"/>
              </w:rPr>
            </w:pPr>
          </w:p>
        </w:tc>
        <w:tc>
          <w:tcPr>
            <w:tcW w:w="810" w:type="dxa"/>
            <w:tcBorders>
              <w:top w:val="single" w:color="auto" w:sz="4" w:space="0"/>
              <w:left w:val="nil"/>
              <w:bottom w:val="nil"/>
              <w:right w:val="nil"/>
            </w:tcBorders>
            <w:shd w:val="clear" w:color="auto" w:fill="auto"/>
            <w:tcMar>
              <w:left w:w="58" w:type="dxa"/>
              <w:right w:w="58" w:type="dxa"/>
            </w:tcMar>
            <w:vAlign w:val="center"/>
          </w:tcPr>
          <w:p w:rsidRPr="006735B4" w:rsidR="00D520BD" w:rsidP="00982BD1" w:rsidRDefault="00D520BD" w14:paraId="3198EA61" w14:textId="77777777">
            <w:pPr>
              <w:jc w:val="right"/>
              <w:rPr>
                <w:rFonts w:cs="Arial"/>
                <w:sz w:val="16"/>
                <w:szCs w:val="16"/>
              </w:rPr>
            </w:pPr>
          </w:p>
        </w:tc>
        <w:tc>
          <w:tcPr>
            <w:tcW w:w="979" w:type="dxa"/>
            <w:tcBorders>
              <w:top w:val="single" w:color="auto" w:sz="4" w:space="0"/>
              <w:left w:val="nil"/>
              <w:bottom w:val="nil"/>
              <w:right w:val="single" w:color="auto" w:sz="4" w:space="0"/>
            </w:tcBorders>
            <w:shd w:val="clear" w:color="auto" w:fill="auto"/>
            <w:tcMar>
              <w:left w:w="58" w:type="dxa"/>
              <w:right w:w="58" w:type="dxa"/>
            </w:tcMar>
            <w:vAlign w:val="center"/>
          </w:tcPr>
          <w:p w:rsidRPr="006735B4" w:rsidR="00D520BD" w:rsidP="00982BD1" w:rsidRDefault="00D520BD" w14:paraId="526452B8" w14:textId="77777777">
            <w:pPr>
              <w:jc w:val="right"/>
              <w:rPr>
                <w:rFonts w:cs="Arial"/>
                <w:sz w:val="16"/>
                <w:szCs w:val="16"/>
              </w:rPr>
            </w:pPr>
          </w:p>
        </w:tc>
      </w:tr>
      <w:tr w:rsidRPr="000864A1" w:rsidR="00796344" w:rsidTr="006D78A0" w14:paraId="286253FB" w14:textId="77777777">
        <w:trPr>
          <w:trHeight w:val="251"/>
        </w:trPr>
        <w:tc>
          <w:tcPr>
            <w:tcW w:w="1440" w:type="dxa"/>
            <w:vMerge/>
            <w:tcMar>
              <w:left w:w="58" w:type="dxa"/>
              <w:right w:w="58" w:type="dxa"/>
            </w:tcMar>
            <w:vAlign w:val="center"/>
          </w:tcPr>
          <w:p w:rsidRPr="006735B4" w:rsidR="00D520BD" w:rsidP="00982BD1" w:rsidRDefault="00D520BD" w14:paraId="69D0565D" w14:textId="77777777">
            <w:pPr>
              <w:ind w:left="88" w:right="-20"/>
              <w:rPr>
                <w:rFonts w:cs="Arial"/>
                <w:sz w:val="16"/>
                <w:szCs w:val="16"/>
              </w:rPr>
            </w:pPr>
          </w:p>
        </w:tc>
        <w:tc>
          <w:tcPr>
            <w:tcW w:w="4770" w:type="dxa"/>
            <w:shd w:val="clear" w:color="auto" w:fill="auto"/>
            <w:tcMar>
              <w:left w:w="58" w:type="dxa"/>
              <w:right w:w="58" w:type="dxa"/>
            </w:tcMar>
            <w:vAlign w:val="center"/>
          </w:tcPr>
          <w:p w:rsidRPr="006735B4" w:rsidR="00D520BD" w:rsidP="00982BD1" w:rsidRDefault="00D520BD" w14:paraId="788E134F" w14:textId="77777777">
            <w:pPr>
              <w:rPr>
                <w:rFonts w:cs="Arial"/>
                <w:sz w:val="16"/>
                <w:szCs w:val="16"/>
              </w:rPr>
            </w:pPr>
            <w:r w:rsidRPr="006735B4">
              <w:rPr>
                <w:sz w:val="16"/>
                <w:szCs w:val="16"/>
              </w:rPr>
              <w:t>Projected percent increase in positive test rate</w:t>
            </w:r>
          </w:p>
        </w:tc>
        <w:tc>
          <w:tcPr>
            <w:tcW w:w="810" w:type="dxa"/>
            <w:tcBorders>
              <w:right w:val="single" w:color="auto" w:sz="4" w:space="0"/>
            </w:tcBorders>
            <w:shd w:val="clear" w:color="auto" w:fill="auto"/>
            <w:tcMar>
              <w:left w:w="58" w:type="dxa"/>
              <w:right w:w="58" w:type="dxa"/>
            </w:tcMar>
            <w:vAlign w:val="center"/>
          </w:tcPr>
          <w:p w:rsidRPr="006735B4" w:rsidR="00D520BD" w:rsidP="00982BD1" w:rsidRDefault="009622E0" w14:paraId="7D87C29E" w14:textId="4ACEC04F">
            <w:pPr>
              <w:jc w:val="right"/>
              <w:rPr>
                <w:rFonts w:cs="Arial"/>
                <w:sz w:val="16"/>
                <w:szCs w:val="16"/>
              </w:rPr>
            </w:pPr>
            <w:r w:rsidRPr="006735B4">
              <w:rPr>
                <w:sz w:val="16"/>
                <w:szCs w:val="16"/>
              </w:rPr>
              <w:t>19.66</w:t>
            </w:r>
            <w:r w:rsidRPr="006735B4" w:rsidR="00D520BD">
              <w:rPr>
                <w:sz w:val="16"/>
                <w:szCs w:val="16"/>
              </w:rPr>
              <w:t>%</w:t>
            </w:r>
          </w:p>
        </w:tc>
        <w:tc>
          <w:tcPr>
            <w:tcW w:w="900" w:type="dxa"/>
            <w:tcBorders>
              <w:top w:val="nil"/>
              <w:left w:val="single" w:color="auto" w:sz="4" w:space="0"/>
              <w:bottom w:val="single" w:color="auto" w:sz="4" w:space="0"/>
              <w:right w:val="nil"/>
            </w:tcBorders>
            <w:shd w:val="clear" w:color="auto" w:fill="auto"/>
            <w:tcMar>
              <w:left w:w="58" w:type="dxa"/>
              <w:right w:w="58" w:type="dxa"/>
            </w:tcMar>
            <w:vAlign w:val="center"/>
          </w:tcPr>
          <w:p w:rsidRPr="006735B4" w:rsidR="00D520BD" w:rsidP="00982BD1" w:rsidRDefault="00D520BD" w14:paraId="5C423097" w14:textId="77777777">
            <w:pPr>
              <w:jc w:val="right"/>
              <w:rPr>
                <w:rFonts w:cs="Arial"/>
                <w:sz w:val="16"/>
                <w:szCs w:val="16"/>
              </w:rPr>
            </w:pPr>
          </w:p>
        </w:tc>
        <w:tc>
          <w:tcPr>
            <w:tcW w:w="810" w:type="dxa"/>
            <w:tcBorders>
              <w:top w:val="nil"/>
              <w:left w:val="nil"/>
              <w:bottom w:val="single" w:color="auto" w:sz="4" w:space="0"/>
              <w:right w:val="nil"/>
            </w:tcBorders>
            <w:shd w:val="clear" w:color="auto" w:fill="auto"/>
            <w:tcMar>
              <w:left w:w="58" w:type="dxa"/>
              <w:right w:w="58" w:type="dxa"/>
            </w:tcMar>
            <w:vAlign w:val="center"/>
          </w:tcPr>
          <w:p w:rsidRPr="006735B4" w:rsidR="00D520BD" w:rsidP="00982BD1" w:rsidRDefault="00D520BD" w14:paraId="724F012C" w14:textId="77777777">
            <w:pPr>
              <w:jc w:val="right"/>
              <w:rPr>
                <w:rFonts w:cs="Arial"/>
                <w:sz w:val="16"/>
                <w:szCs w:val="16"/>
              </w:rPr>
            </w:pPr>
          </w:p>
        </w:tc>
        <w:tc>
          <w:tcPr>
            <w:tcW w:w="979" w:type="dxa"/>
            <w:tcBorders>
              <w:top w:val="nil"/>
              <w:left w:val="nil"/>
              <w:bottom w:val="single" w:color="auto" w:sz="4" w:space="0"/>
              <w:right w:val="single" w:color="auto" w:sz="4" w:space="0"/>
            </w:tcBorders>
            <w:shd w:val="clear" w:color="auto" w:fill="auto"/>
            <w:tcMar>
              <w:left w:w="58" w:type="dxa"/>
              <w:right w:w="58" w:type="dxa"/>
            </w:tcMar>
            <w:vAlign w:val="center"/>
          </w:tcPr>
          <w:p w:rsidRPr="006735B4" w:rsidR="00D520BD" w:rsidP="00982BD1" w:rsidRDefault="00D520BD" w14:paraId="5BECD989" w14:textId="77777777">
            <w:pPr>
              <w:jc w:val="right"/>
              <w:rPr>
                <w:rFonts w:cs="Arial"/>
                <w:sz w:val="16"/>
                <w:szCs w:val="16"/>
              </w:rPr>
            </w:pPr>
          </w:p>
        </w:tc>
      </w:tr>
      <w:tr w:rsidRPr="000864A1" w:rsidR="00D520BD" w:rsidTr="006D78A0" w14:paraId="32D99623" w14:textId="77777777">
        <w:trPr>
          <w:trHeight w:val="251"/>
        </w:trPr>
        <w:tc>
          <w:tcPr>
            <w:tcW w:w="1440" w:type="dxa"/>
            <w:vMerge w:val="restart"/>
            <w:tcMar>
              <w:left w:w="58" w:type="dxa"/>
              <w:right w:w="58" w:type="dxa"/>
            </w:tcMar>
            <w:vAlign w:val="center"/>
          </w:tcPr>
          <w:p w:rsidRPr="006735B4" w:rsidR="005076E1" w:rsidP="00982BD1" w:rsidRDefault="00D520BD" w14:paraId="53306F0D" w14:textId="45E77EB1">
            <w:pPr>
              <w:ind w:left="88" w:right="-20"/>
              <w:rPr>
                <w:sz w:val="16"/>
                <w:szCs w:val="16"/>
              </w:rPr>
            </w:pPr>
            <w:r w:rsidRPr="006735B4">
              <w:rPr>
                <w:sz w:val="16"/>
                <w:szCs w:val="16"/>
              </w:rPr>
              <w:t>Ecstasy</w:t>
            </w:r>
            <w:r w:rsidRPr="006735B4" w:rsidR="00FF380E">
              <w:rPr>
                <w:sz w:val="16"/>
                <w:szCs w:val="16"/>
              </w:rPr>
              <w:t xml:space="preserve"> </w:t>
            </w:r>
          </w:p>
          <w:p w:rsidRPr="006735B4" w:rsidR="00D520BD" w:rsidP="00982BD1" w:rsidRDefault="000A4745" w14:paraId="5F3C9DA5" w14:textId="60A90461">
            <w:pPr>
              <w:ind w:left="88" w:right="-20"/>
              <w:rPr>
                <w:rFonts w:cs="Arial"/>
                <w:sz w:val="16"/>
                <w:szCs w:val="16"/>
              </w:rPr>
            </w:pPr>
            <w:r w:rsidRPr="006735B4">
              <w:rPr>
                <w:sz w:val="16"/>
                <w:szCs w:val="16"/>
              </w:rPr>
              <w:t>p</w:t>
            </w:r>
            <w:r w:rsidRPr="006735B4" w:rsidR="00D520BD">
              <w:rPr>
                <w:sz w:val="16"/>
                <w:szCs w:val="16"/>
              </w:rPr>
              <w:t xml:space="preserve">ositive </w:t>
            </w:r>
            <w:r w:rsidRPr="006735B4">
              <w:rPr>
                <w:sz w:val="16"/>
                <w:szCs w:val="16"/>
              </w:rPr>
              <w:t>r</w:t>
            </w:r>
            <w:r w:rsidRPr="006735B4" w:rsidR="00D520BD">
              <w:rPr>
                <w:sz w:val="16"/>
                <w:szCs w:val="16"/>
              </w:rPr>
              <w:t>esults</w:t>
            </w:r>
          </w:p>
        </w:tc>
        <w:tc>
          <w:tcPr>
            <w:tcW w:w="4770" w:type="dxa"/>
            <w:shd w:val="clear" w:color="auto" w:fill="auto"/>
            <w:tcMar>
              <w:left w:w="58" w:type="dxa"/>
              <w:right w:w="58" w:type="dxa"/>
            </w:tcMar>
            <w:vAlign w:val="center"/>
          </w:tcPr>
          <w:p w:rsidRPr="006735B4" w:rsidR="00D520BD" w:rsidP="00982BD1" w:rsidRDefault="00D520BD" w14:paraId="3378BE80" w14:textId="77777777">
            <w:pPr>
              <w:rPr>
                <w:rFonts w:cs="Arial"/>
                <w:sz w:val="16"/>
                <w:szCs w:val="16"/>
              </w:rPr>
            </w:pPr>
            <w:r w:rsidRPr="006735B4">
              <w:rPr>
                <w:sz w:val="16"/>
                <w:szCs w:val="16"/>
              </w:rPr>
              <w:t>Number of drug tests conducted per site per year under 10 CFR Part 26</w:t>
            </w:r>
          </w:p>
        </w:tc>
        <w:tc>
          <w:tcPr>
            <w:tcW w:w="810" w:type="dxa"/>
            <w:shd w:val="clear" w:color="auto" w:fill="auto"/>
            <w:tcMar>
              <w:left w:w="58" w:type="dxa"/>
              <w:right w:w="58" w:type="dxa"/>
            </w:tcMar>
            <w:vAlign w:val="center"/>
          </w:tcPr>
          <w:p w:rsidRPr="006735B4" w:rsidR="00D520BD" w:rsidP="00982BD1" w:rsidRDefault="00D520BD" w14:paraId="3A30FC22" w14:textId="76808475">
            <w:pPr>
              <w:jc w:val="right"/>
              <w:rPr>
                <w:rFonts w:cs="Arial"/>
                <w:sz w:val="16"/>
                <w:szCs w:val="16"/>
              </w:rPr>
            </w:pPr>
            <w:r w:rsidRPr="006735B4">
              <w:rPr>
                <w:sz w:val="16"/>
                <w:szCs w:val="16"/>
              </w:rPr>
              <w:t>2</w:t>
            </w:r>
            <w:r w:rsidRPr="006735B4" w:rsidR="00646A79">
              <w:rPr>
                <w:sz w:val="16"/>
                <w:szCs w:val="16"/>
              </w:rPr>
              <w:t>,</w:t>
            </w:r>
            <w:r w:rsidRPr="006735B4" w:rsidR="009622E0">
              <w:rPr>
                <w:sz w:val="16"/>
                <w:szCs w:val="16"/>
              </w:rPr>
              <w:t>257</w:t>
            </w:r>
          </w:p>
        </w:tc>
        <w:tc>
          <w:tcPr>
            <w:tcW w:w="900" w:type="dxa"/>
            <w:tcBorders>
              <w:top w:val="single" w:color="auto" w:sz="4" w:space="0"/>
              <w:bottom w:val="single" w:color="auto" w:sz="4" w:space="0"/>
            </w:tcBorders>
            <w:shd w:val="clear" w:color="auto" w:fill="auto"/>
            <w:tcMar>
              <w:left w:w="58" w:type="dxa"/>
              <w:right w:w="58" w:type="dxa"/>
            </w:tcMar>
            <w:vAlign w:val="center"/>
          </w:tcPr>
          <w:p w:rsidRPr="006735B4" w:rsidR="00D520BD" w:rsidP="00982BD1" w:rsidRDefault="00D520BD" w14:paraId="044570B5" w14:textId="1B075E20">
            <w:pPr>
              <w:jc w:val="right"/>
              <w:rPr>
                <w:rFonts w:cs="Arial"/>
                <w:sz w:val="16"/>
                <w:szCs w:val="16"/>
              </w:rPr>
            </w:pPr>
            <w:r w:rsidRPr="006735B4">
              <w:rPr>
                <w:sz w:val="16"/>
                <w:szCs w:val="16"/>
              </w:rPr>
              <w:t>0.</w:t>
            </w:r>
            <w:r w:rsidRPr="006735B4" w:rsidR="00F95F1C">
              <w:rPr>
                <w:sz w:val="16"/>
                <w:szCs w:val="16"/>
              </w:rPr>
              <w:t>09</w:t>
            </w:r>
          </w:p>
        </w:tc>
        <w:tc>
          <w:tcPr>
            <w:tcW w:w="810" w:type="dxa"/>
            <w:tcBorders>
              <w:top w:val="single" w:color="auto" w:sz="4" w:space="0"/>
              <w:bottom w:val="single" w:color="auto" w:sz="4" w:space="0"/>
            </w:tcBorders>
            <w:shd w:val="clear" w:color="auto" w:fill="auto"/>
            <w:tcMar>
              <w:left w:w="58" w:type="dxa"/>
              <w:right w:w="58" w:type="dxa"/>
            </w:tcMar>
            <w:vAlign w:val="center"/>
          </w:tcPr>
          <w:p w:rsidRPr="006735B4" w:rsidR="00D520BD" w:rsidP="00982BD1" w:rsidRDefault="00FB5A15" w14:paraId="770186C0" w14:textId="120F0579">
            <w:pPr>
              <w:jc w:val="right"/>
              <w:rPr>
                <w:rFonts w:cs="Arial"/>
                <w:sz w:val="16"/>
                <w:szCs w:val="16"/>
              </w:rPr>
            </w:pPr>
            <w:r w:rsidRPr="006735B4">
              <w:rPr>
                <w:sz w:val="16"/>
                <w:szCs w:val="16"/>
              </w:rPr>
              <w:t>59</w:t>
            </w:r>
          </w:p>
        </w:tc>
        <w:tc>
          <w:tcPr>
            <w:tcW w:w="979" w:type="dxa"/>
            <w:tcBorders>
              <w:top w:val="single" w:color="auto" w:sz="4" w:space="0"/>
              <w:bottom w:val="single" w:color="auto" w:sz="4" w:space="0"/>
            </w:tcBorders>
            <w:shd w:val="clear" w:color="auto" w:fill="auto"/>
            <w:tcMar>
              <w:left w:w="58" w:type="dxa"/>
              <w:right w:w="58" w:type="dxa"/>
            </w:tcMar>
            <w:vAlign w:val="center"/>
          </w:tcPr>
          <w:p w:rsidRPr="006735B4" w:rsidR="00D520BD" w:rsidP="00982BD1" w:rsidRDefault="00F95F1C" w14:paraId="109B5A08" w14:textId="5906937B">
            <w:pPr>
              <w:jc w:val="right"/>
              <w:rPr>
                <w:rFonts w:cs="Arial"/>
                <w:sz w:val="16"/>
                <w:szCs w:val="16"/>
              </w:rPr>
            </w:pPr>
            <w:r w:rsidRPr="006735B4">
              <w:rPr>
                <w:rFonts w:cs="Arial"/>
                <w:sz w:val="16"/>
                <w:szCs w:val="16"/>
              </w:rPr>
              <w:t>5</w:t>
            </w:r>
          </w:p>
        </w:tc>
      </w:tr>
      <w:tr w:rsidRPr="000864A1" w:rsidR="00796344" w:rsidTr="006D78A0" w14:paraId="42F9A7C0" w14:textId="77777777">
        <w:trPr>
          <w:trHeight w:val="251"/>
        </w:trPr>
        <w:tc>
          <w:tcPr>
            <w:tcW w:w="1440" w:type="dxa"/>
            <w:vMerge/>
            <w:tcBorders>
              <w:bottom w:val="single" w:color="auto" w:sz="4" w:space="0"/>
            </w:tcBorders>
            <w:tcMar>
              <w:left w:w="58" w:type="dxa"/>
              <w:right w:w="58" w:type="dxa"/>
            </w:tcMar>
            <w:vAlign w:val="center"/>
          </w:tcPr>
          <w:p w:rsidRPr="006735B4" w:rsidR="00D520BD" w:rsidP="00982BD1" w:rsidRDefault="00D520BD" w14:paraId="60617D27" w14:textId="77777777">
            <w:pPr>
              <w:ind w:left="88" w:right="-20"/>
              <w:rPr>
                <w:rFonts w:cs="Arial"/>
                <w:sz w:val="16"/>
                <w:szCs w:val="16"/>
              </w:rPr>
            </w:pPr>
          </w:p>
        </w:tc>
        <w:tc>
          <w:tcPr>
            <w:tcW w:w="4770" w:type="dxa"/>
            <w:tcBorders>
              <w:bottom w:val="single" w:color="auto" w:sz="4" w:space="0"/>
            </w:tcBorders>
            <w:shd w:val="clear" w:color="auto" w:fill="auto"/>
            <w:tcMar>
              <w:left w:w="58" w:type="dxa"/>
              <w:right w:w="58" w:type="dxa"/>
            </w:tcMar>
            <w:vAlign w:val="center"/>
          </w:tcPr>
          <w:p w:rsidRPr="006735B4" w:rsidR="00D520BD" w:rsidP="00982BD1" w:rsidRDefault="00D520BD" w14:paraId="170B231A" w14:textId="77777777">
            <w:pPr>
              <w:rPr>
                <w:rFonts w:cs="Arial"/>
                <w:sz w:val="16"/>
                <w:szCs w:val="16"/>
              </w:rPr>
            </w:pPr>
            <w:r w:rsidRPr="006735B4">
              <w:rPr>
                <w:sz w:val="16"/>
                <w:szCs w:val="16"/>
              </w:rPr>
              <w:t>Projected confirmed positive test rate</w:t>
            </w:r>
          </w:p>
        </w:tc>
        <w:tc>
          <w:tcPr>
            <w:tcW w:w="810" w:type="dxa"/>
            <w:tcBorders>
              <w:bottom w:val="single" w:color="auto" w:sz="4" w:space="0"/>
              <w:right w:val="single" w:color="auto" w:sz="4" w:space="0"/>
            </w:tcBorders>
            <w:shd w:val="clear" w:color="auto" w:fill="auto"/>
            <w:tcMar>
              <w:left w:w="58" w:type="dxa"/>
              <w:right w:w="58" w:type="dxa"/>
            </w:tcMar>
            <w:vAlign w:val="center"/>
          </w:tcPr>
          <w:p w:rsidRPr="006735B4" w:rsidR="00D520BD" w:rsidP="00982BD1" w:rsidRDefault="00D520BD" w14:paraId="214E5F6F" w14:textId="77777777">
            <w:pPr>
              <w:jc w:val="right"/>
              <w:rPr>
                <w:rFonts w:cs="Arial"/>
                <w:sz w:val="16"/>
                <w:szCs w:val="16"/>
              </w:rPr>
            </w:pPr>
            <w:r w:rsidRPr="006735B4">
              <w:rPr>
                <w:sz w:val="16"/>
                <w:szCs w:val="16"/>
              </w:rPr>
              <w:t>0.004%</w:t>
            </w:r>
          </w:p>
        </w:tc>
        <w:tc>
          <w:tcPr>
            <w:tcW w:w="900" w:type="dxa"/>
            <w:tcBorders>
              <w:top w:val="single" w:color="auto" w:sz="4" w:space="0"/>
              <w:left w:val="single" w:color="auto" w:sz="4" w:space="0"/>
              <w:bottom w:val="single" w:color="auto" w:sz="4" w:space="0"/>
              <w:right w:val="nil"/>
            </w:tcBorders>
            <w:shd w:val="clear" w:color="auto" w:fill="auto"/>
            <w:tcMar>
              <w:left w:w="58" w:type="dxa"/>
              <w:right w:w="58" w:type="dxa"/>
            </w:tcMar>
            <w:vAlign w:val="center"/>
          </w:tcPr>
          <w:p w:rsidRPr="006735B4" w:rsidR="00D520BD" w:rsidP="00982BD1" w:rsidRDefault="00D520BD" w14:paraId="56AFE7A2" w14:textId="77777777">
            <w:pPr>
              <w:jc w:val="right"/>
              <w:rPr>
                <w:rFonts w:cs="Arial"/>
                <w:sz w:val="16"/>
                <w:szCs w:val="16"/>
              </w:rPr>
            </w:pPr>
          </w:p>
        </w:tc>
        <w:tc>
          <w:tcPr>
            <w:tcW w:w="810" w:type="dxa"/>
            <w:tcBorders>
              <w:top w:val="single" w:color="auto" w:sz="4" w:space="0"/>
              <w:left w:val="nil"/>
              <w:bottom w:val="single" w:color="auto" w:sz="4" w:space="0"/>
              <w:right w:val="nil"/>
            </w:tcBorders>
            <w:shd w:val="clear" w:color="auto" w:fill="auto"/>
            <w:tcMar>
              <w:left w:w="58" w:type="dxa"/>
              <w:right w:w="58" w:type="dxa"/>
            </w:tcMar>
            <w:vAlign w:val="center"/>
          </w:tcPr>
          <w:p w:rsidRPr="006735B4" w:rsidR="00D520BD" w:rsidP="00982BD1" w:rsidRDefault="00D520BD" w14:paraId="3556288A" w14:textId="77777777">
            <w:pPr>
              <w:jc w:val="right"/>
              <w:rPr>
                <w:rFonts w:cs="Arial"/>
                <w:sz w:val="16"/>
                <w:szCs w:val="16"/>
              </w:rPr>
            </w:pPr>
          </w:p>
        </w:tc>
        <w:tc>
          <w:tcPr>
            <w:tcW w:w="979" w:type="dxa"/>
            <w:tcBorders>
              <w:top w:val="single" w:color="auto" w:sz="4" w:space="0"/>
              <w:left w:val="nil"/>
              <w:bottom w:val="single" w:color="auto" w:sz="4" w:space="0"/>
              <w:right w:val="single" w:color="auto" w:sz="4" w:space="0"/>
            </w:tcBorders>
            <w:shd w:val="clear" w:color="auto" w:fill="auto"/>
            <w:tcMar>
              <w:left w:w="58" w:type="dxa"/>
              <w:right w:w="58" w:type="dxa"/>
            </w:tcMar>
            <w:vAlign w:val="center"/>
          </w:tcPr>
          <w:p w:rsidRPr="006735B4" w:rsidR="00D520BD" w:rsidP="00982BD1" w:rsidRDefault="00D520BD" w14:paraId="455E052F" w14:textId="77777777">
            <w:pPr>
              <w:jc w:val="right"/>
              <w:rPr>
                <w:rFonts w:cs="Arial"/>
                <w:sz w:val="16"/>
                <w:szCs w:val="16"/>
              </w:rPr>
            </w:pPr>
          </w:p>
        </w:tc>
      </w:tr>
      <w:tr w:rsidRPr="000864A1" w:rsidR="004E168F" w:rsidTr="00112ECC" w14:paraId="25727151" w14:textId="77777777">
        <w:trPr>
          <w:trHeight w:val="440"/>
        </w:trPr>
        <w:tc>
          <w:tcPr>
            <w:tcW w:w="1440" w:type="dxa"/>
            <w:vMerge w:val="restart"/>
            <w:tcBorders>
              <w:left w:val="single" w:color="auto" w:sz="4" w:space="0"/>
            </w:tcBorders>
            <w:shd w:val="clear" w:color="auto" w:fill="auto"/>
            <w:tcMar>
              <w:left w:w="58" w:type="dxa"/>
              <w:right w:w="58" w:type="dxa"/>
            </w:tcMar>
            <w:vAlign w:val="center"/>
          </w:tcPr>
          <w:p w:rsidRPr="006735B4" w:rsidR="00B8518A" w:rsidP="00982BD1" w:rsidRDefault="00E934A0" w14:paraId="0C26A8F2" w14:textId="3D23CC67">
            <w:pPr>
              <w:ind w:left="88" w:right="-20"/>
              <w:rPr>
                <w:sz w:val="16"/>
                <w:szCs w:val="16"/>
              </w:rPr>
            </w:pPr>
            <w:r w:rsidRPr="006735B4">
              <w:rPr>
                <w:sz w:val="16"/>
                <w:szCs w:val="16"/>
              </w:rPr>
              <w:t xml:space="preserve">Expanded </w:t>
            </w:r>
            <w:r w:rsidRPr="006735B4" w:rsidR="000A4745">
              <w:rPr>
                <w:sz w:val="16"/>
                <w:szCs w:val="16"/>
              </w:rPr>
              <w:t>p</w:t>
            </w:r>
            <w:r w:rsidRPr="006735B4">
              <w:rPr>
                <w:sz w:val="16"/>
                <w:szCs w:val="16"/>
              </w:rPr>
              <w:t xml:space="preserve">anel </w:t>
            </w:r>
            <w:r w:rsidRPr="006735B4" w:rsidR="000A4745">
              <w:rPr>
                <w:sz w:val="16"/>
                <w:szCs w:val="16"/>
              </w:rPr>
              <w:t>o</w:t>
            </w:r>
            <w:r w:rsidRPr="006735B4">
              <w:rPr>
                <w:sz w:val="16"/>
                <w:szCs w:val="16"/>
              </w:rPr>
              <w:t xml:space="preserve">pioid </w:t>
            </w:r>
            <w:r w:rsidRPr="006735B4" w:rsidR="000A4745">
              <w:rPr>
                <w:sz w:val="16"/>
                <w:szCs w:val="16"/>
              </w:rPr>
              <w:t>p</w:t>
            </w:r>
            <w:r w:rsidRPr="006735B4">
              <w:rPr>
                <w:sz w:val="16"/>
                <w:szCs w:val="16"/>
              </w:rPr>
              <w:t>ositive</w:t>
            </w:r>
            <w:r w:rsidRPr="006735B4" w:rsidR="002F5DA7">
              <w:rPr>
                <w:sz w:val="16"/>
                <w:szCs w:val="16"/>
              </w:rPr>
              <w:t xml:space="preserve"> </w:t>
            </w:r>
            <w:r w:rsidRPr="006735B4" w:rsidR="000A4745">
              <w:rPr>
                <w:sz w:val="16"/>
                <w:szCs w:val="16"/>
              </w:rPr>
              <w:t>r</w:t>
            </w:r>
            <w:r w:rsidRPr="006735B4" w:rsidR="002F5DA7">
              <w:rPr>
                <w:sz w:val="16"/>
                <w:szCs w:val="16"/>
              </w:rPr>
              <w:t>esults</w:t>
            </w:r>
            <w:r w:rsidRPr="006735B4" w:rsidDel="002F5DA7">
              <w:rPr>
                <w:sz w:val="16"/>
                <w:szCs w:val="16"/>
              </w:rPr>
              <w:t xml:space="preserve"> </w:t>
            </w:r>
            <w:r w:rsidRPr="006735B4">
              <w:rPr>
                <w:sz w:val="16"/>
                <w:szCs w:val="16"/>
              </w:rPr>
              <w:t>(</w:t>
            </w:r>
            <w:r w:rsidR="00F75EEE">
              <w:rPr>
                <w:sz w:val="16"/>
                <w:szCs w:val="16"/>
              </w:rPr>
              <w:t>hydrocodone</w:t>
            </w:r>
            <w:r w:rsidRPr="006735B4" w:rsidR="00DD463B">
              <w:rPr>
                <w:sz w:val="16"/>
                <w:szCs w:val="16"/>
              </w:rPr>
              <w:t xml:space="preserve">, </w:t>
            </w:r>
            <w:r w:rsidR="00C33B4D">
              <w:rPr>
                <w:sz w:val="16"/>
                <w:szCs w:val="16"/>
              </w:rPr>
              <w:t>hydromorphone</w:t>
            </w:r>
            <w:r w:rsidRPr="006735B4" w:rsidR="00DD463B">
              <w:rPr>
                <w:sz w:val="16"/>
                <w:szCs w:val="16"/>
              </w:rPr>
              <w:t xml:space="preserve">, </w:t>
            </w:r>
            <w:r w:rsidR="00C33B4D">
              <w:rPr>
                <w:sz w:val="16"/>
                <w:szCs w:val="16"/>
              </w:rPr>
              <w:t>oxycodone</w:t>
            </w:r>
            <w:r w:rsidRPr="006735B4" w:rsidR="00DD463B">
              <w:rPr>
                <w:sz w:val="16"/>
                <w:szCs w:val="16"/>
              </w:rPr>
              <w:t xml:space="preserve">, </w:t>
            </w:r>
            <w:r w:rsidR="00C33B4D">
              <w:rPr>
                <w:sz w:val="16"/>
                <w:szCs w:val="16"/>
              </w:rPr>
              <w:t>oxymorphone</w:t>
            </w:r>
            <w:r w:rsidRPr="006735B4" w:rsidR="000C1BD0">
              <w:rPr>
                <w:sz w:val="16"/>
                <w:szCs w:val="16"/>
              </w:rPr>
              <w:t>)</w:t>
            </w:r>
          </w:p>
        </w:tc>
        <w:tc>
          <w:tcPr>
            <w:tcW w:w="4770" w:type="dxa"/>
            <w:tcBorders>
              <w:right w:val="single" w:color="auto" w:sz="4" w:space="0"/>
            </w:tcBorders>
            <w:shd w:val="clear" w:color="auto" w:fill="auto"/>
            <w:tcMar>
              <w:left w:w="58" w:type="dxa"/>
              <w:right w:w="58" w:type="dxa"/>
            </w:tcMar>
            <w:vAlign w:val="center"/>
          </w:tcPr>
          <w:p w:rsidRPr="006735B4" w:rsidR="00B8518A" w:rsidP="00982BD1" w:rsidRDefault="00C46535" w14:paraId="422BF5E0" w14:textId="1DB97941">
            <w:pPr>
              <w:rPr>
                <w:sz w:val="16"/>
              </w:rPr>
            </w:pPr>
            <w:r w:rsidRPr="006735B4">
              <w:rPr>
                <w:sz w:val="16"/>
              </w:rPr>
              <w:t xml:space="preserve">Number of drug tests conducted per site per year under </w:t>
            </w:r>
            <w:r w:rsidRPr="006735B4" w:rsidR="00213677">
              <w:rPr>
                <w:sz w:val="16"/>
              </w:rPr>
              <w:t>10 CFR </w:t>
            </w:r>
            <w:r w:rsidRPr="006735B4">
              <w:rPr>
                <w:sz w:val="16"/>
              </w:rPr>
              <w:t>Part 26</w:t>
            </w:r>
          </w:p>
        </w:tc>
        <w:tc>
          <w:tcPr>
            <w:tcW w:w="810" w:type="dxa"/>
            <w:tcBorders>
              <w:left w:val="single" w:color="auto" w:sz="4" w:space="0"/>
              <w:right w:val="single" w:color="auto" w:sz="4" w:space="0"/>
            </w:tcBorders>
            <w:shd w:val="clear" w:color="auto" w:fill="auto"/>
            <w:tcMar>
              <w:left w:w="58" w:type="dxa"/>
              <w:right w:w="58" w:type="dxa"/>
            </w:tcMar>
            <w:vAlign w:val="center"/>
          </w:tcPr>
          <w:p w:rsidRPr="006735B4" w:rsidR="00B8518A" w:rsidP="00982BD1" w:rsidRDefault="002B12AD" w14:paraId="2B846FCE" w14:textId="798E01FB">
            <w:pPr>
              <w:jc w:val="right"/>
              <w:rPr>
                <w:sz w:val="16"/>
              </w:rPr>
            </w:pPr>
            <w:r w:rsidRPr="006735B4">
              <w:rPr>
                <w:sz w:val="16"/>
              </w:rPr>
              <w:t>2,257</w:t>
            </w:r>
          </w:p>
        </w:tc>
        <w:tc>
          <w:tcPr>
            <w:tcW w:w="900"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6735B4" w:rsidR="00B8518A" w:rsidP="00982BD1" w:rsidRDefault="00F45878" w14:paraId="12C1E970" w14:textId="6D2A5E73">
            <w:pPr>
              <w:jc w:val="right"/>
              <w:rPr>
                <w:sz w:val="16"/>
              </w:rPr>
            </w:pPr>
            <w:r w:rsidRPr="006735B4">
              <w:rPr>
                <w:sz w:val="16"/>
              </w:rPr>
              <w:t>1.49</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6735B4" w:rsidR="00B8518A" w:rsidP="00982BD1" w:rsidRDefault="002B12AD" w14:paraId="3425189F" w14:textId="0B7039EB">
            <w:pPr>
              <w:jc w:val="right"/>
              <w:rPr>
                <w:sz w:val="16"/>
              </w:rPr>
            </w:pPr>
            <w:r w:rsidRPr="006735B4">
              <w:rPr>
                <w:sz w:val="16"/>
              </w:rPr>
              <w:t>59</w:t>
            </w:r>
          </w:p>
        </w:tc>
        <w:tc>
          <w:tcPr>
            <w:tcW w:w="979"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6735B4" w:rsidR="00B8518A" w:rsidP="00982BD1" w:rsidRDefault="00851960" w14:paraId="0E2E68AD" w14:textId="0D764403">
            <w:pPr>
              <w:jc w:val="right"/>
              <w:rPr>
                <w:sz w:val="16"/>
              </w:rPr>
            </w:pPr>
            <w:r w:rsidRPr="006735B4">
              <w:rPr>
                <w:sz w:val="16"/>
              </w:rPr>
              <w:t>88</w:t>
            </w:r>
          </w:p>
        </w:tc>
      </w:tr>
      <w:tr w:rsidRPr="000864A1" w:rsidR="0023237F" w:rsidTr="00D917CD" w14:paraId="385D933A" w14:textId="77777777">
        <w:trPr>
          <w:trHeight w:val="530"/>
        </w:trPr>
        <w:tc>
          <w:tcPr>
            <w:tcW w:w="1440" w:type="dxa"/>
            <w:vMerge/>
            <w:tcBorders>
              <w:left w:val="single" w:color="auto" w:sz="4" w:space="0"/>
            </w:tcBorders>
            <w:shd w:val="clear" w:color="auto" w:fill="FFFFFF" w:themeFill="background1"/>
            <w:tcMar>
              <w:left w:w="58" w:type="dxa"/>
              <w:right w:w="58" w:type="dxa"/>
            </w:tcMar>
            <w:vAlign w:val="center"/>
          </w:tcPr>
          <w:p w:rsidRPr="006735B4" w:rsidR="00B8518A" w:rsidP="00982BD1" w:rsidRDefault="00B8518A" w14:paraId="62E56B14" w14:textId="77777777">
            <w:pPr>
              <w:ind w:left="88" w:right="-20"/>
              <w:rPr>
                <w:sz w:val="16"/>
                <w:szCs w:val="16"/>
              </w:rPr>
            </w:pPr>
          </w:p>
        </w:tc>
        <w:tc>
          <w:tcPr>
            <w:tcW w:w="4770" w:type="dxa"/>
            <w:tcBorders>
              <w:right w:val="single" w:color="auto" w:sz="4" w:space="0"/>
            </w:tcBorders>
            <w:shd w:val="clear" w:color="auto" w:fill="auto"/>
            <w:tcMar>
              <w:left w:w="58" w:type="dxa"/>
              <w:right w:w="58" w:type="dxa"/>
            </w:tcMar>
            <w:vAlign w:val="center"/>
          </w:tcPr>
          <w:p w:rsidRPr="006735B4" w:rsidR="00B8518A" w:rsidP="00982BD1" w:rsidRDefault="00F10307" w14:paraId="1649D328" w14:textId="3A4721E5">
            <w:pPr>
              <w:rPr>
                <w:sz w:val="16"/>
              </w:rPr>
            </w:pPr>
            <w:r w:rsidRPr="006735B4">
              <w:rPr>
                <w:sz w:val="16"/>
              </w:rPr>
              <w:t>FFD current</w:t>
            </w:r>
            <w:r w:rsidRPr="006735B4" w:rsidR="00A40180">
              <w:rPr>
                <w:sz w:val="16"/>
              </w:rPr>
              <w:t xml:space="preserve"> confirmed positive rate</w:t>
            </w:r>
            <w:r w:rsidRPr="006735B4">
              <w:rPr>
                <w:sz w:val="16"/>
              </w:rPr>
              <w:t xml:space="preserve"> for opioids</w:t>
            </w:r>
          </w:p>
        </w:tc>
        <w:tc>
          <w:tcPr>
            <w:tcW w:w="810" w:type="dxa"/>
            <w:tcBorders>
              <w:left w:val="single" w:color="auto" w:sz="4" w:space="0"/>
              <w:right w:val="single" w:color="auto" w:sz="4" w:space="0"/>
            </w:tcBorders>
            <w:shd w:val="clear" w:color="auto" w:fill="auto"/>
            <w:tcMar>
              <w:left w:w="58" w:type="dxa"/>
              <w:right w:w="58" w:type="dxa"/>
            </w:tcMar>
            <w:vAlign w:val="center"/>
          </w:tcPr>
          <w:p w:rsidRPr="006735B4" w:rsidR="00B8518A" w:rsidP="00982BD1" w:rsidRDefault="00F10307" w14:paraId="293666CC" w14:textId="5E869B10">
            <w:pPr>
              <w:jc w:val="right"/>
              <w:rPr>
                <w:sz w:val="16"/>
              </w:rPr>
            </w:pPr>
            <w:r w:rsidRPr="006735B4">
              <w:rPr>
                <w:sz w:val="16"/>
              </w:rPr>
              <w:t>0.066%</w:t>
            </w:r>
          </w:p>
        </w:tc>
        <w:tc>
          <w:tcPr>
            <w:tcW w:w="900"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6735B4" w:rsidR="00B8518A" w:rsidP="00982BD1" w:rsidRDefault="00B8518A" w14:paraId="27125B9B" w14:textId="77777777">
            <w:pPr>
              <w:jc w:val="right"/>
              <w:rPr>
                <w:sz w:val="16"/>
              </w:rPr>
            </w:pPr>
          </w:p>
        </w:tc>
        <w:tc>
          <w:tcPr>
            <w:tcW w:w="810" w:type="dxa"/>
            <w:tcBorders>
              <w:top w:val="nil"/>
              <w:left w:val="nil"/>
              <w:bottom w:val="single" w:color="auto" w:sz="4" w:space="0"/>
              <w:right w:val="nil"/>
            </w:tcBorders>
            <w:shd w:val="clear" w:color="auto" w:fill="FFFFFF" w:themeFill="background1"/>
            <w:tcMar>
              <w:left w:w="58" w:type="dxa"/>
              <w:right w:w="58" w:type="dxa"/>
            </w:tcMar>
            <w:vAlign w:val="center"/>
          </w:tcPr>
          <w:p w:rsidRPr="006735B4" w:rsidR="00B8518A" w:rsidP="00982BD1" w:rsidRDefault="00B8518A" w14:paraId="06510554" w14:textId="77777777">
            <w:pPr>
              <w:jc w:val="right"/>
              <w:rPr>
                <w:sz w:val="16"/>
              </w:rPr>
            </w:pPr>
          </w:p>
        </w:tc>
        <w:tc>
          <w:tcPr>
            <w:tcW w:w="979"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6735B4" w:rsidR="00B8518A" w:rsidP="00982BD1" w:rsidRDefault="00B8518A" w14:paraId="6D462DF2" w14:textId="77777777">
            <w:pPr>
              <w:jc w:val="right"/>
              <w:rPr>
                <w:sz w:val="16"/>
              </w:rPr>
            </w:pPr>
          </w:p>
        </w:tc>
      </w:tr>
      <w:tr w:rsidRPr="000864A1" w:rsidR="00F43531" w:rsidTr="006D78A0" w14:paraId="299C83B4" w14:textId="77777777">
        <w:trPr>
          <w:trHeight w:val="233"/>
        </w:trPr>
        <w:tc>
          <w:tcPr>
            <w:tcW w:w="1440" w:type="dxa"/>
            <w:vMerge w:val="restart"/>
            <w:tcBorders>
              <w:left w:val="single" w:color="auto" w:sz="4" w:space="0"/>
            </w:tcBorders>
            <w:shd w:val="clear" w:color="auto" w:fill="FFFFFF" w:themeFill="background1"/>
            <w:tcMar>
              <w:left w:w="58" w:type="dxa"/>
              <w:right w:w="58" w:type="dxa"/>
            </w:tcMar>
            <w:vAlign w:val="center"/>
          </w:tcPr>
          <w:p w:rsidRPr="006735B4" w:rsidR="00F65444" w:rsidP="00F65444" w:rsidRDefault="00F65444" w14:paraId="3AB1DEAF" w14:textId="77777777">
            <w:pPr>
              <w:ind w:left="88" w:right="-20"/>
              <w:rPr>
                <w:sz w:val="16"/>
                <w:szCs w:val="16"/>
              </w:rPr>
            </w:pPr>
            <w:r w:rsidRPr="006735B4">
              <w:rPr>
                <w:sz w:val="16"/>
                <w:szCs w:val="16"/>
              </w:rPr>
              <w:t xml:space="preserve">Additional </w:t>
            </w:r>
          </w:p>
          <w:p w:rsidRPr="006735B4" w:rsidR="00F65444" w:rsidP="00F65444" w:rsidRDefault="000A4745" w14:paraId="4D75D646" w14:textId="3A45B4EA">
            <w:pPr>
              <w:ind w:left="88" w:right="-20"/>
              <w:rPr>
                <w:sz w:val="16"/>
                <w:szCs w:val="16"/>
              </w:rPr>
            </w:pPr>
            <w:r w:rsidRPr="006735B4">
              <w:rPr>
                <w:sz w:val="16"/>
                <w:szCs w:val="16"/>
              </w:rPr>
              <w:t>d</w:t>
            </w:r>
            <w:r w:rsidRPr="006735B4" w:rsidR="00F65444">
              <w:rPr>
                <w:sz w:val="16"/>
                <w:szCs w:val="16"/>
              </w:rPr>
              <w:t xml:space="preserve">ilute </w:t>
            </w:r>
            <w:r w:rsidRPr="006735B4">
              <w:rPr>
                <w:sz w:val="16"/>
                <w:szCs w:val="16"/>
              </w:rPr>
              <w:t>s</w:t>
            </w:r>
            <w:r w:rsidRPr="006735B4" w:rsidR="00F65444">
              <w:rPr>
                <w:sz w:val="16"/>
                <w:szCs w:val="16"/>
              </w:rPr>
              <w:t xml:space="preserve">pecimen </w:t>
            </w:r>
            <w:r w:rsidRPr="006735B4">
              <w:rPr>
                <w:sz w:val="16"/>
                <w:szCs w:val="16"/>
              </w:rPr>
              <w:t>p</w:t>
            </w:r>
            <w:r w:rsidRPr="006735B4" w:rsidR="00F65444">
              <w:rPr>
                <w:sz w:val="16"/>
                <w:szCs w:val="16"/>
              </w:rPr>
              <w:t>ositives</w:t>
            </w:r>
          </w:p>
        </w:tc>
        <w:tc>
          <w:tcPr>
            <w:tcW w:w="4770" w:type="dxa"/>
            <w:tcBorders>
              <w:right w:val="single" w:color="auto" w:sz="4" w:space="0"/>
            </w:tcBorders>
            <w:shd w:val="clear" w:color="auto" w:fill="FFFFFF" w:themeFill="background1"/>
            <w:tcMar>
              <w:left w:w="58" w:type="dxa"/>
              <w:right w:w="58" w:type="dxa"/>
            </w:tcMar>
            <w:vAlign w:val="center"/>
          </w:tcPr>
          <w:p w:rsidRPr="006735B4" w:rsidR="00F65444" w:rsidP="00F65444" w:rsidRDefault="00F65444" w14:paraId="3CAA0B01" w14:textId="4F23985E">
            <w:pPr>
              <w:rPr>
                <w:sz w:val="16"/>
              </w:rPr>
            </w:pPr>
            <w:r w:rsidRPr="006735B4">
              <w:rPr>
                <w:sz w:val="16"/>
              </w:rPr>
              <w:t>Number of drug tests conducted per site per year under 10 CFR Part 26</w:t>
            </w:r>
          </w:p>
        </w:tc>
        <w:tc>
          <w:tcPr>
            <w:tcW w:w="810" w:type="dxa"/>
            <w:tcBorders>
              <w:left w:val="single" w:color="auto" w:sz="4" w:space="0"/>
              <w:right w:val="single" w:color="auto" w:sz="4" w:space="0"/>
            </w:tcBorders>
            <w:shd w:val="clear" w:color="auto" w:fill="FFFFFF" w:themeFill="background1"/>
            <w:tcMar>
              <w:left w:w="58" w:type="dxa"/>
              <w:right w:w="58" w:type="dxa"/>
            </w:tcMar>
            <w:vAlign w:val="center"/>
          </w:tcPr>
          <w:p w:rsidRPr="006735B4" w:rsidR="00F65444" w:rsidP="00F65444" w:rsidRDefault="00F65444" w14:paraId="6274FB74" w14:textId="239928E3">
            <w:pPr>
              <w:jc w:val="right"/>
              <w:rPr>
                <w:sz w:val="16"/>
              </w:rPr>
            </w:pPr>
            <w:r w:rsidRPr="006735B4">
              <w:rPr>
                <w:sz w:val="16"/>
              </w:rPr>
              <w:t>2,257</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6735B4" w:rsidR="00F65444" w:rsidP="00F65444" w:rsidRDefault="00F65444" w14:paraId="3CDF8607" w14:textId="45C26508">
            <w:pPr>
              <w:jc w:val="right"/>
              <w:rPr>
                <w:sz w:val="16"/>
              </w:rPr>
            </w:pPr>
            <w:r w:rsidRPr="006735B4">
              <w:rPr>
                <w:sz w:val="16"/>
              </w:rPr>
              <w:t>0.14</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6735B4" w:rsidR="00F65444" w:rsidP="00F65444" w:rsidRDefault="00F65444" w14:paraId="6625A22B" w14:textId="4DAAB235">
            <w:pPr>
              <w:jc w:val="right"/>
              <w:rPr>
                <w:sz w:val="16"/>
              </w:rPr>
            </w:pPr>
            <w:r w:rsidRPr="006735B4">
              <w:rPr>
                <w:sz w:val="16"/>
              </w:rPr>
              <w:t>59</w:t>
            </w:r>
          </w:p>
        </w:tc>
        <w:tc>
          <w:tcPr>
            <w:tcW w:w="979"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6735B4" w:rsidR="00F65444" w:rsidP="00F65444" w:rsidRDefault="00F65444" w14:paraId="4CCB2D7A" w14:textId="28836DFA">
            <w:pPr>
              <w:jc w:val="right"/>
              <w:rPr>
                <w:sz w:val="16"/>
              </w:rPr>
            </w:pPr>
            <w:r w:rsidRPr="006735B4">
              <w:rPr>
                <w:sz w:val="16"/>
              </w:rPr>
              <w:t>8</w:t>
            </w:r>
          </w:p>
        </w:tc>
      </w:tr>
      <w:tr w:rsidRPr="000864A1" w:rsidR="0023237F" w:rsidTr="006D78A0" w14:paraId="26E3C760" w14:textId="77777777">
        <w:trPr>
          <w:trHeight w:val="233"/>
        </w:trPr>
        <w:tc>
          <w:tcPr>
            <w:tcW w:w="1440" w:type="dxa"/>
            <w:vMerge/>
            <w:tcBorders>
              <w:left w:val="single" w:color="auto" w:sz="4" w:space="0"/>
            </w:tcBorders>
            <w:shd w:val="clear" w:color="auto" w:fill="FFFFFF" w:themeFill="background1"/>
            <w:tcMar>
              <w:left w:w="58" w:type="dxa"/>
              <w:right w:w="58" w:type="dxa"/>
            </w:tcMar>
            <w:vAlign w:val="center"/>
          </w:tcPr>
          <w:p w:rsidRPr="006735B4" w:rsidR="00F65444" w:rsidP="00F65444" w:rsidRDefault="00F65444" w14:paraId="747556D2" w14:textId="77777777">
            <w:pPr>
              <w:ind w:left="88" w:right="-20"/>
              <w:rPr>
                <w:sz w:val="16"/>
                <w:szCs w:val="16"/>
              </w:rPr>
            </w:pPr>
          </w:p>
        </w:tc>
        <w:tc>
          <w:tcPr>
            <w:tcW w:w="4770" w:type="dxa"/>
            <w:tcBorders>
              <w:right w:val="single" w:color="auto" w:sz="4" w:space="0"/>
            </w:tcBorders>
            <w:shd w:val="clear" w:color="auto" w:fill="FFFFFF" w:themeFill="background1"/>
            <w:tcMar>
              <w:left w:w="58" w:type="dxa"/>
              <w:right w:w="58" w:type="dxa"/>
            </w:tcMar>
            <w:vAlign w:val="center"/>
          </w:tcPr>
          <w:p w:rsidRPr="006735B4" w:rsidR="00F65444" w:rsidP="00F65444" w:rsidRDefault="00F65444" w14:paraId="5490AC9A" w14:textId="551ED7AD">
            <w:pPr>
              <w:rPr>
                <w:sz w:val="16"/>
              </w:rPr>
            </w:pPr>
            <w:r w:rsidRPr="006735B4">
              <w:rPr>
                <w:sz w:val="16"/>
              </w:rPr>
              <w:t>Average annual percentage of specimens tested that are dilute and test positive on special analyses testing</w:t>
            </w:r>
          </w:p>
        </w:tc>
        <w:tc>
          <w:tcPr>
            <w:tcW w:w="810" w:type="dxa"/>
            <w:tcBorders>
              <w:left w:val="single" w:color="auto" w:sz="4" w:space="0"/>
              <w:right w:val="single" w:color="auto" w:sz="4" w:space="0"/>
            </w:tcBorders>
            <w:shd w:val="clear" w:color="auto" w:fill="FFFFFF" w:themeFill="background1"/>
            <w:tcMar>
              <w:left w:w="58" w:type="dxa"/>
              <w:right w:w="58" w:type="dxa"/>
            </w:tcMar>
            <w:vAlign w:val="center"/>
          </w:tcPr>
          <w:p w:rsidRPr="006735B4" w:rsidR="00F65444" w:rsidP="00F65444" w:rsidRDefault="00F65444" w14:paraId="4D3A6297" w14:textId="1B44E91B">
            <w:pPr>
              <w:jc w:val="right"/>
              <w:rPr>
                <w:sz w:val="16"/>
              </w:rPr>
            </w:pPr>
            <w:r w:rsidRPr="006735B4">
              <w:rPr>
                <w:sz w:val="16"/>
              </w:rPr>
              <w:t>0.006%</w:t>
            </w:r>
          </w:p>
        </w:tc>
        <w:tc>
          <w:tcPr>
            <w:tcW w:w="900"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6735B4" w:rsidR="00F65444" w:rsidP="00F65444" w:rsidRDefault="00F65444" w14:paraId="53E5221B" w14:textId="77777777">
            <w:pPr>
              <w:jc w:val="right"/>
              <w:rPr>
                <w:sz w:val="16"/>
              </w:rPr>
            </w:pPr>
          </w:p>
        </w:tc>
        <w:tc>
          <w:tcPr>
            <w:tcW w:w="810" w:type="dxa"/>
            <w:tcBorders>
              <w:top w:val="nil"/>
              <w:left w:val="nil"/>
              <w:bottom w:val="single" w:color="auto" w:sz="4" w:space="0"/>
              <w:right w:val="nil"/>
            </w:tcBorders>
            <w:shd w:val="clear" w:color="auto" w:fill="FFFFFF" w:themeFill="background1"/>
            <w:tcMar>
              <w:left w:w="58" w:type="dxa"/>
              <w:right w:w="58" w:type="dxa"/>
            </w:tcMar>
            <w:vAlign w:val="center"/>
          </w:tcPr>
          <w:p w:rsidRPr="006735B4" w:rsidR="00F65444" w:rsidP="00F65444" w:rsidRDefault="00F65444" w14:paraId="185A4B30" w14:textId="77777777">
            <w:pPr>
              <w:jc w:val="right"/>
              <w:rPr>
                <w:sz w:val="16"/>
              </w:rPr>
            </w:pPr>
          </w:p>
        </w:tc>
        <w:tc>
          <w:tcPr>
            <w:tcW w:w="979"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6735B4" w:rsidR="00F65444" w:rsidP="00F65444" w:rsidRDefault="00F65444" w14:paraId="5B03410F" w14:textId="77777777">
            <w:pPr>
              <w:jc w:val="right"/>
              <w:rPr>
                <w:sz w:val="16"/>
              </w:rPr>
            </w:pPr>
          </w:p>
        </w:tc>
      </w:tr>
      <w:tr w:rsidRPr="000864A1" w:rsidR="00F43531" w:rsidTr="006D78A0" w14:paraId="5831B87E" w14:textId="77777777">
        <w:trPr>
          <w:trHeight w:val="233"/>
        </w:trPr>
        <w:tc>
          <w:tcPr>
            <w:tcW w:w="1440" w:type="dxa"/>
            <w:vMerge w:val="restart"/>
            <w:tcBorders>
              <w:left w:val="single" w:color="auto" w:sz="4" w:space="0"/>
            </w:tcBorders>
            <w:shd w:val="clear" w:color="auto" w:fill="FFFFFF" w:themeFill="background1"/>
            <w:tcMar>
              <w:left w:w="58" w:type="dxa"/>
              <w:right w:w="58" w:type="dxa"/>
            </w:tcMar>
            <w:vAlign w:val="center"/>
          </w:tcPr>
          <w:p w:rsidRPr="006735B4" w:rsidR="00D520BD" w:rsidP="00672E72" w:rsidRDefault="00D520BD" w14:paraId="3246DAEB" w14:textId="189127CB">
            <w:pPr>
              <w:ind w:left="88" w:right="-20"/>
              <w:rPr>
                <w:sz w:val="16"/>
                <w:szCs w:val="16"/>
              </w:rPr>
            </w:pPr>
            <w:r w:rsidRPr="006735B4">
              <w:rPr>
                <w:sz w:val="16"/>
                <w:szCs w:val="16"/>
              </w:rPr>
              <w:t>Additional</w:t>
            </w:r>
            <w:r w:rsidRPr="006735B4" w:rsidR="00672E72">
              <w:rPr>
                <w:sz w:val="16"/>
                <w:szCs w:val="16"/>
              </w:rPr>
              <w:t xml:space="preserve"> </w:t>
            </w:r>
            <w:r w:rsidRPr="006735B4" w:rsidR="000A4745">
              <w:rPr>
                <w:sz w:val="16"/>
                <w:szCs w:val="16"/>
              </w:rPr>
              <w:t>s</w:t>
            </w:r>
            <w:r w:rsidRPr="006735B4">
              <w:rPr>
                <w:sz w:val="16"/>
                <w:szCs w:val="16"/>
              </w:rPr>
              <w:t xml:space="preserve">uspect </w:t>
            </w:r>
            <w:r w:rsidRPr="006735B4" w:rsidR="000A4745">
              <w:rPr>
                <w:sz w:val="16"/>
                <w:szCs w:val="16"/>
              </w:rPr>
              <w:t>s</w:t>
            </w:r>
            <w:r w:rsidRPr="006735B4">
              <w:rPr>
                <w:sz w:val="16"/>
                <w:szCs w:val="16"/>
              </w:rPr>
              <w:t xml:space="preserve">pecimen </w:t>
            </w:r>
            <w:r w:rsidRPr="006735B4" w:rsidR="000A4745">
              <w:rPr>
                <w:sz w:val="16"/>
                <w:szCs w:val="16"/>
              </w:rPr>
              <w:t>p</w:t>
            </w:r>
            <w:r w:rsidRPr="006735B4">
              <w:rPr>
                <w:sz w:val="16"/>
                <w:szCs w:val="16"/>
              </w:rPr>
              <w:t>ositives</w:t>
            </w:r>
          </w:p>
        </w:tc>
        <w:tc>
          <w:tcPr>
            <w:tcW w:w="4770" w:type="dxa"/>
            <w:tcBorders>
              <w:right w:val="single" w:color="auto" w:sz="4" w:space="0"/>
            </w:tcBorders>
            <w:shd w:val="clear" w:color="auto" w:fill="FFFFFF" w:themeFill="background1"/>
            <w:tcMar>
              <w:left w:w="58" w:type="dxa"/>
              <w:right w:w="58" w:type="dxa"/>
            </w:tcMar>
            <w:vAlign w:val="center"/>
          </w:tcPr>
          <w:p w:rsidRPr="006735B4" w:rsidR="00D520BD" w:rsidP="00982BD1" w:rsidRDefault="00D520BD" w14:paraId="63494A54" w14:textId="77777777">
            <w:pPr>
              <w:rPr>
                <w:sz w:val="16"/>
              </w:rPr>
            </w:pPr>
            <w:r w:rsidRPr="006735B4">
              <w:rPr>
                <w:sz w:val="16"/>
              </w:rPr>
              <w:t>Number of drug tests conducted per site per year under 10 CFR Part 26</w:t>
            </w:r>
          </w:p>
        </w:tc>
        <w:tc>
          <w:tcPr>
            <w:tcW w:w="810" w:type="dxa"/>
            <w:tcBorders>
              <w:left w:val="single" w:color="auto" w:sz="4" w:space="0"/>
              <w:right w:val="single" w:color="auto" w:sz="4" w:space="0"/>
            </w:tcBorders>
            <w:shd w:val="clear" w:color="auto" w:fill="FFFFFF" w:themeFill="background1"/>
            <w:tcMar>
              <w:left w:w="58" w:type="dxa"/>
              <w:right w:w="58" w:type="dxa"/>
            </w:tcMar>
            <w:vAlign w:val="center"/>
          </w:tcPr>
          <w:p w:rsidRPr="006735B4" w:rsidR="00D520BD" w:rsidP="00982BD1" w:rsidRDefault="00D520BD" w14:paraId="0DB55402" w14:textId="300BBFE4">
            <w:pPr>
              <w:jc w:val="right"/>
              <w:rPr>
                <w:sz w:val="16"/>
              </w:rPr>
            </w:pPr>
            <w:r w:rsidRPr="006735B4">
              <w:rPr>
                <w:sz w:val="16"/>
              </w:rPr>
              <w:t>2</w:t>
            </w:r>
            <w:r w:rsidRPr="006735B4" w:rsidR="00646A79">
              <w:rPr>
                <w:sz w:val="16"/>
              </w:rPr>
              <w:t>,</w:t>
            </w:r>
            <w:r w:rsidRPr="006735B4" w:rsidR="00D60B8A">
              <w:rPr>
                <w:sz w:val="16"/>
              </w:rPr>
              <w:t>257</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6735B4" w:rsidR="00D520BD" w:rsidP="00982BD1" w:rsidRDefault="00D520BD" w14:paraId="00647BE4" w14:textId="5A349221">
            <w:pPr>
              <w:jc w:val="right"/>
              <w:rPr>
                <w:sz w:val="16"/>
              </w:rPr>
            </w:pPr>
            <w:r w:rsidRPr="006735B4">
              <w:rPr>
                <w:sz w:val="16"/>
              </w:rPr>
              <w:t>0.1</w:t>
            </w:r>
            <w:r w:rsidRPr="006735B4" w:rsidR="00D60B8A">
              <w:rPr>
                <w:sz w:val="16"/>
              </w:rPr>
              <w:t>4</w:t>
            </w:r>
          </w:p>
        </w:tc>
        <w:tc>
          <w:tcPr>
            <w:tcW w:w="810"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6735B4" w:rsidR="00D520BD" w:rsidP="00982BD1" w:rsidRDefault="00D60B8A" w14:paraId="29F17EEB" w14:textId="56F0EE6B">
            <w:pPr>
              <w:jc w:val="right"/>
              <w:rPr>
                <w:sz w:val="16"/>
              </w:rPr>
            </w:pPr>
            <w:r w:rsidRPr="006735B4">
              <w:rPr>
                <w:sz w:val="16"/>
              </w:rPr>
              <w:t>59</w:t>
            </w:r>
          </w:p>
        </w:tc>
        <w:tc>
          <w:tcPr>
            <w:tcW w:w="979" w:type="dxa"/>
            <w:tcBorders>
              <w:top w:val="single" w:color="auto" w:sz="4" w:space="0"/>
              <w:left w:val="single" w:color="auto" w:sz="4" w:space="0"/>
              <w:bottom w:val="single" w:color="auto" w:sz="4" w:space="0"/>
              <w:right w:val="single" w:color="auto" w:sz="4" w:space="0"/>
            </w:tcBorders>
            <w:shd w:val="clear" w:color="auto" w:fill="FFFFFF" w:themeFill="background1"/>
            <w:tcMar>
              <w:left w:w="58" w:type="dxa"/>
              <w:right w:w="58" w:type="dxa"/>
            </w:tcMar>
            <w:vAlign w:val="center"/>
          </w:tcPr>
          <w:p w:rsidRPr="006735B4" w:rsidR="00D520BD" w:rsidP="00982BD1" w:rsidRDefault="00D60B8A" w14:paraId="309ED3D7" w14:textId="74943E75">
            <w:pPr>
              <w:jc w:val="right"/>
              <w:rPr>
                <w:sz w:val="16"/>
              </w:rPr>
            </w:pPr>
            <w:r w:rsidRPr="006735B4">
              <w:rPr>
                <w:sz w:val="16"/>
              </w:rPr>
              <w:t>8</w:t>
            </w:r>
          </w:p>
        </w:tc>
      </w:tr>
      <w:tr w:rsidRPr="000864A1" w:rsidR="0023237F" w:rsidTr="006D78A0" w14:paraId="6D519A32" w14:textId="77777777">
        <w:trPr>
          <w:trHeight w:val="629"/>
        </w:trPr>
        <w:tc>
          <w:tcPr>
            <w:tcW w:w="1440" w:type="dxa"/>
            <w:vMerge/>
            <w:tcBorders>
              <w:left w:val="single" w:color="auto" w:sz="4" w:space="0"/>
            </w:tcBorders>
            <w:shd w:val="clear" w:color="auto" w:fill="FFFFFF" w:themeFill="background1"/>
            <w:tcMar>
              <w:left w:w="58" w:type="dxa"/>
              <w:right w:w="58" w:type="dxa"/>
            </w:tcMar>
            <w:vAlign w:val="center"/>
          </w:tcPr>
          <w:p w:rsidRPr="006735B4" w:rsidR="00D520BD" w:rsidP="00982BD1" w:rsidRDefault="00D520BD" w14:paraId="067FAE5E" w14:textId="77777777">
            <w:pPr>
              <w:ind w:left="88" w:right="-20"/>
              <w:rPr>
                <w:rFonts w:cs="Arial"/>
                <w:sz w:val="16"/>
                <w:szCs w:val="16"/>
              </w:rPr>
            </w:pPr>
          </w:p>
        </w:tc>
        <w:tc>
          <w:tcPr>
            <w:tcW w:w="4770" w:type="dxa"/>
            <w:tcBorders>
              <w:right w:val="single" w:color="auto" w:sz="4" w:space="0"/>
            </w:tcBorders>
            <w:shd w:val="clear" w:color="auto" w:fill="FFFFFF" w:themeFill="background1"/>
            <w:tcMar>
              <w:left w:w="58" w:type="dxa"/>
              <w:right w:w="58" w:type="dxa"/>
            </w:tcMar>
            <w:vAlign w:val="center"/>
          </w:tcPr>
          <w:p w:rsidRPr="006735B4" w:rsidR="00D520BD" w:rsidP="00982BD1" w:rsidRDefault="00D520BD" w14:paraId="6B50F189" w14:textId="77777777">
            <w:pPr>
              <w:rPr>
                <w:sz w:val="16"/>
              </w:rPr>
            </w:pPr>
            <w:r w:rsidRPr="006735B4">
              <w:rPr>
                <w:sz w:val="16"/>
              </w:rPr>
              <w:t>Average annual percentage of specimens that are determined to be a subversion attempt and that test positive (suspect specimens that test positive on special analyses testing)</w:t>
            </w:r>
          </w:p>
        </w:tc>
        <w:tc>
          <w:tcPr>
            <w:tcW w:w="810" w:type="dxa"/>
            <w:tcBorders>
              <w:left w:val="single" w:color="auto" w:sz="4" w:space="0"/>
              <w:right w:val="single" w:color="auto" w:sz="4" w:space="0"/>
            </w:tcBorders>
            <w:shd w:val="clear" w:color="auto" w:fill="FFFFFF" w:themeFill="background1"/>
            <w:tcMar>
              <w:left w:w="58" w:type="dxa"/>
              <w:right w:w="58" w:type="dxa"/>
            </w:tcMar>
            <w:vAlign w:val="center"/>
          </w:tcPr>
          <w:p w:rsidRPr="006735B4" w:rsidR="00D520BD" w:rsidP="00982BD1" w:rsidRDefault="00D520BD" w14:paraId="1B4F071D" w14:textId="34030CB9">
            <w:pPr>
              <w:jc w:val="right"/>
              <w:rPr>
                <w:sz w:val="16"/>
              </w:rPr>
            </w:pPr>
            <w:r w:rsidRPr="006735B4">
              <w:rPr>
                <w:sz w:val="16"/>
              </w:rPr>
              <w:t>0.0</w:t>
            </w:r>
            <w:r w:rsidRPr="006735B4" w:rsidR="00D60B8A">
              <w:rPr>
                <w:sz w:val="16"/>
              </w:rPr>
              <w:t>49</w:t>
            </w:r>
            <w:r w:rsidRPr="006735B4">
              <w:rPr>
                <w:sz w:val="16"/>
              </w:rPr>
              <w:t>%</w:t>
            </w:r>
          </w:p>
        </w:tc>
        <w:tc>
          <w:tcPr>
            <w:tcW w:w="900" w:type="dxa"/>
            <w:tcBorders>
              <w:top w:val="single" w:color="auto" w:sz="4" w:space="0"/>
              <w:left w:val="single" w:color="auto" w:sz="4" w:space="0"/>
              <w:bottom w:val="nil"/>
              <w:right w:val="nil"/>
            </w:tcBorders>
            <w:shd w:val="clear" w:color="auto" w:fill="FFFFFF" w:themeFill="background1"/>
            <w:tcMar>
              <w:left w:w="58" w:type="dxa"/>
              <w:right w:w="58" w:type="dxa"/>
            </w:tcMar>
            <w:vAlign w:val="center"/>
          </w:tcPr>
          <w:p w:rsidRPr="006735B4" w:rsidR="00D520BD" w:rsidP="00982BD1" w:rsidRDefault="00D520BD" w14:paraId="41D09E34" w14:textId="77777777">
            <w:pPr>
              <w:jc w:val="right"/>
              <w:rPr>
                <w:sz w:val="16"/>
              </w:rPr>
            </w:pPr>
          </w:p>
        </w:tc>
        <w:tc>
          <w:tcPr>
            <w:tcW w:w="810" w:type="dxa"/>
            <w:tcBorders>
              <w:top w:val="single" w:color="auto" w:sz="4" w:space="0"/>
              <w:left w:val="nil"/>
              <w:bottom w:val="nil"/>
              <w:right w:val="nil"/>
            </w:tcBorders>
            <w:shd w:val="clear" w:color="auto" w:fill="FFFFFF" w:themeFill="background1"/>
            <w:tcMar>
              <w:left w:w="58" w:type="dxa"/>
              <w:right w:w="58" w:type="dxa"/>
            </w:tcMar>
            <w:vAlign w:val="center"/>
          </w:tcPr>
          <w:p w:rsidRPr="006735B4" w:rsidR="00D520BD" w:rsidP="00982BD1" w:rsidRDefault="00D520BD" w14:paraId="7B521358" w14:textId="77777777">
            <w:pPr>
              <w:jc w:val="right"/>
              <w:rPr>
                <w:sz w:val="16"/>
              </w:rPr>
            </w:pPr>
          </w:p>
        </w:tc>
        <w:tc>
          <w:tcPr>
            <w:tcW w:w="979" w:type="dxa"/>
            <w:tcBorders>
              <w:top w:val="single" w:color="auto" w:sz="4" w:space="0"/>
              <w:left w:val="nil"/>
              <w:bottom w:val="nil"/>
              <w:right w:val="single" w:color="auto" w:sz="4" w:space="0"/>
            </w:tcBorders>
            <w:shd w:val="clear" w:color="auto" w:fill="FFFFFF" w:themeFill="background1"/>
            <w:tcMar>
              <w:left w:w="58" w:type="dxa"/>
              <w:right w:w="58" w:type="dxa"/>
            </w:tcMar>
            <w:vAlign w:val="center"/>
          </w:tcPr>
          <w:p w:rsidRPr="006735B4" w:rsidR="00D520BD" w:rsidP="00982BD1" w:rsidRDefault="00D520BD" w14:paraId="16BD0ABC" w14:textId="77777777">
            <w:pPr>
              <w:jc w:val="right"/>
              <w:rPr>
                <w:sz w:val="16"/>
              </w:rPr>
            </w:pPr>
          </w:p>
        </w:tc>
      </w:tr>
      <w:tr w:rsidRPr="000864A1" w:rsidR="0023237F" w:rsidTr="006D78A0" w14:paraId="318F4927" w14:textId="77777777">
        <w:trPr>
          <w:trHeight w:val="251"/>
        </w:trPr>
        <w:tc>
          <w:tcPr>
            <w:tcW w:w="1440" w:type="dxa"/>
            <w:vMerge/>
            <w:tcBorders>
              <w:left w:val="single" w:color="auto" w:sz="4" w:space="0"/>
              <w:bottom w:val="nil"/>
            </w:tcBorders>
            <w:shd w:val="clear" w:color="auto" w:fill="FFFFFF" w:themeFill="background1"/>
            <w:tcMar>
              <w:left w:w="58" w:type="dxa"/>
              <w:right w:w="58" w:type="dxa"/>
            </w:tcMar>
            <w:vAlign w:val="center"/>
          </w:tcPr>
          <w:p w:rsidRPr="006735B4" w:rsidR="00D520BD" w:rsidP="00982BD1" w:rsidRDefault="00D520BD" w14:paraId="6E957070" w14:textId="77777777">
            <w:pPr>
              <w:ind w:left="88" w:right="-20"/>
              <w:rPr>
                <w:rFonts w:cs="Arial"/>
                <w:sz w:val="16"/>
                <w:szCs w:val="16"/>
              </w:rPr>
            </w:pPr>
          </w:p>
        </w:tc>
        <w:tc>
          <w:tcPr>
            <w:tcW w:w="4770" w:type="dxa"/>
            <w:tcBorders>
              <w:bottom w:val="nil"/>
            </w:tcBorders>
            <w:shd w:val="clear" w:color="auto" w:fill="FFFFFF" w:themeFill="background1"/>
            <w:tcMar>
              <w:left w:w="58" w:type="dxa"/>
              <w:right w:w="58" w:type="dxa"/>
            </w:tcMar>
            <w:vAlign w:val="center"/>
          </w:tcPr>
          <w:p w:rsidRPr="006735B4" w:rsidR="00D520BD" w:rsidP="00982BD1" w:rsidRDefault="00D520BD" w14:paraId="760777B0" w14:textId="3D5B1A58">
            <w:pPr>
              <w:rPr>
                <w:sz w:val="16"/>
              </w:rPr>
            </w:pPr>
            <w:r w:rsidRPr="006735B4">
              <w:rPr>
                <w:sz w:val="16"/>
              </w:rPr>
              <w:t>Projected percent increase in confirmed positive test rate</w:t>
            </w:r>
            <w:r w:rsidRPr="006735B4" w:rsidR="00672E72">
              <w:rPr>
                <w:sz w:val="16"/>
              </w:rPr>
              <w:t xml:space="preserve"> for specimens collected under direct observation</w:t>
            </w:r>
          </w:p>
        </w:tc>
        <w:tc>
          <w:tcPr>
            <w:tcW w:w="810" w:type="dxa"/>
            <w:tcBorders>
              <w:bottom w:val="nil"/>
              <w:right w:val="single" w:color="auto" w:sz="4" w:space="0"/>
            </w:tcBorders>
            <w:shd w:val="clear" w:color="auto" w:fill="FFFFFF" w:themeFill="background1"/>
            <w:tcMar>
              <w:left w:w="58" w:type="dxa"/>
              <w:right w:w="58" w:type="dxa"/>
            </w:tcMar>
            <w:vAlign w:val="center"/>
          </w:tcPr>
          <w:p w:rsidRPr="006735B4" w:rsidR="00D520BD" w:rsidP="00982BD1" w:rsidRDefault="00672E72" w14:paraId="178796A6" w14:textId="48E381E2">
            <w:pPr>
              <w:jc w:val="right"/>
              <w:rPr>
                <w:sz w:val="16"/>
              </w:rPr>
            </w:pPr>
            <w:r w:rsidRPr="006735B4">
              <w:rPr>
                <w:sz w:val="16"/>
              </w:rPr>
              <w:t>13</w:t>
            </w:r>
            <w:r w:rsidRPr="006735B4" w:rsidR="00D520BD">
              <w:rPr>
                <w:sz w:val="16"/>
              </w:rPr>
              <w:t>%</w:t>
            </w:r>
          </w:p>
        </w:tc>
        <w:tc>
          <w:tcPr>
            <w:tcW w:w="900" w:type="dxa"/>
            <w:tcBorders>
              <w:top w:val="nil"/>
              <w:left w:val="single" w:color="auto" w:sz="4" w:space="0"/>
              <w:bottom w:val="single" w:color="auto" w:sz="4" w:space="0"/>
              <w:right w:val="nil"/>
            </w:tcBorders>
            <w:shd w:val="clear" w:color="auto" w:fill="FFFFFF" w:themeFill="background1"/>
            <w:tcMar>
              <w:left w:w="58" w:type="dxa"/>
              <w:right w:w="58" w:type="dxa"/>
            </w:tcMar>
            <w:vAlign w:val="center"/>
          </w:tcPr>
          <w:p w:rsidRPr="006735B4" w:rsidR="00D520BD" w:rsidP="00982BD1" w:rsidRDefault="00D520BD" w14:paraId="47AB0D96" w14:textId="77777777">
            <w:pPr>
              <w:jc w:val="right"/>
              <w:rPr>
                <w:sz w:val="16"/>
              </w:rPr>
            </w:pPr>
          </w:p>
        </w:tc>
        <w:tc>
          <w:tcPr>
            <w:tcW w:w="810" w:type="dxa"/>
            <w:tcBorders>
              <w:top w:val="nil"/>
              <w:left w:val="nil"/>
              <w:bottom w:val="single" w:color="auto" w:sz="4" w:space="0"/>
              <w:right w:val="nil"/>
            </w:tcBorders>
            <w:shd w:val="clear" w:color="auto" w:fill="FFFFFF" w:themeFill="background1"/>
            <w:tcMar>
              <w:left w:w="58" w:type="dxa"/>
              <w:right w:w="58" w:type="dxa"/>
            </w:tcMar>
            <w:vAlign w:val="center"/>
          </w:tcPr>
          <w:p w:rsidRPr="006735B4" w:rsidR="00D520BD" w:rsidP="00982BD1" w:rsidRDefault="00D520BD" w14:paraId="0834FE93" w14:textId="77777777">
            <w:pPr>
              <w:jc w:val="right"/>
              <w:rPr>
                <w:sz w:val="16"/>
              </w:rPr>
            </w:pPr>
          </w:p>
        </w:tc>
        <w:tc>
          <w:tcPr>
            <w:tcW w:w="979" w:type="dxa"/>
            <w:tcBorders>
              <w:top w:val="nil"/>
              <w:left w:val="nil"/>
              <w:bottom w:val="single" w:color="auto" w:sz="4" w:space="0"/>
              <w:right w:val="single" w:color="auto" w:sz="4" w:space="0"/>
            </w:tcBorders>
            <w:shd w:val="clear" w:color="auto" w:fill="FFFFFF" w:themeFill="background1"/>
            <w:tcMar>
              <w:left w:w="58" w:type="dxa"/>
              <w:right w:w="58" w:type="dxa"/>
            </w:tcMar>
            <w:vAlign w:val="center"/>
          </w:tcPr>
          <w:p w:rsidRPr="006735B4" w:rsidR="00D520BD" w:rsidP="00982BD1" w:rsidRDefault="00D520BD" w14:paraId="74170106" w14:textId="77777777">
            <w:pPr>
              <w:jc w:val="right"/>
              <w:rPr>
                <w:sz w:val="16"/>
              </w:rPr>
            </w:pPr>
          </w:p>
        </w:tc>
      </w:tr>
      <w:tr w:rsidRPr="000864A1" w:rsidR="004E168F" w:rsidTr="00FD187C" w14:paraId="5A583C20" w14:textId="77777777">
        <w:trPr>
          <w:trHeight w:val="269"/>
        </w:trPr>
        <w:tc>
          <w:tcPr>
            <w:tcW w:w="8730" w:type="dxa"/>
            <w:gridSpan w:val="5"/>
            <w:tcBorders>
              <w:right w:val="single" w:color="auto" w:sz="4" w:space="0"/>
            </w:tcBorders>
            <w:shd w:val="clear" w:color="auto" w:fill="FFFFFF" w:themeFill="background1"/>
            <w:tcMar>
              <w:left w:w="58" w:type="dxa"/>
              <w:right w:w="58" w:type="dxa"/>
            </w:tcMar>
            <w:vAlign w:val="center"/>
          </w:tcPr>
          <w:p w:rsidRPr="006735B4" w:rsidR="00D520BD" w:rsidP="00982BD1" w:rsidRDefault="00D520BD" w14:paraId="60F62E50" w14:textId="2DEBDA03">
            <w:pPr>
              <w:jc w:val="right"/>
              <w:rPr>
                <w:rFonts w:cs="Arial"/>
                <w:i/>
                <w:sz w:val="16"/>
                <w:szCs w:val="16"/>
              </w:rPr>
            </w:pPr>
            <w:r w:rsidRPr="006735B4">
              <w:rPr>
                <w:rFonts w:cs="Arial"/>
                <w:i/>
                <w:sz w:val="16"/>
                <w:szCs w:val="16"/>
              </w:rPr>
              <w:t>Total Additional Positive Test Results Projected from Rule Changes</w:t>
            </w:r>
          </w:p>
        </w:tc>
        <w:tc>
          <w:tcPr>
            <w:tcW w:w="979"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6735B4" w:rsidR="00D520BD" w:rsidP="00982BD1" w:rsidRDefault="00F10307" w14:paraId="5F5BA866" w14:textId="658E9A5A">
            <w:pPr>
              <w:jc w:val="right"/>
              <w:rPr>
                <w:rFonts w:cs="Arial"/>
                <w:i/>
                <w:sz w:val="16"/>
                <w:szCs w:val="16"/>
              </w:rPr>
            </w:pPr>
            <w:r w:rsidRPr="006735B4">
              <w:rPr>
                <w:rFonts w:cs="Arial"/>
                <w:i/>
                <w:sz w:val="16"/>
                <w:szCs w:val="16"/>
              </w:rPr>
              <w:t>17</w:t>
            </w:r>
            <w:r w:rsidRPr="006735B4" w:rsidR="00FD187C">
              <w:rPr>
                <w:rFonts w:cs="Arial"/>
                <w:i/>
                <w:sz w:val="16"/>
                <w:szCs w:val="16"/>
              </w:rPr>
              <w:t>6</w:t>
            </w:r>
          </w:p>
        </w:tc>
      </w:tr>
      <w:tr w:rsidRPr="000864A1" w:rsidR="00F43531" w:rsidTr="006D78A0" w14:paraId="2324FABF" w14:textId="77777777">
        <w:trPr>
          <w:trHeight w:val="350"/>
        </w:trPr>
        <w:tc>
          <w:tcPr>
            <w:tcW w:w="1440" w:type="dxa"/>
            <w:shd w:val="clear" w:color="auto" w:fill="D9D9D9" w:themeFill="background1" w:themeFillShade="D9"/>
            <w:tcMar>
              <w:left w:w="58" w:type="dxa"/>
              <w:right w:w="58" w:type="dxa"/>
            </w:tcMar>
            <w:vAlign w:val="center"/>
          </w:tcPr>
          <w:p w:rsidRPr="006735B4" w:rsidR="00F63E95" w:rsidP="0075673F" w:rsidRDefault="00F63E95" w14:paraId="0A3BFDE3" w14:textId="5556D470">
            <w:pPr>
              <w:keepNext/>
              <w:keepLines/>
              <w:jc w:val="center"/>
              <w:rPr>
                <w:rFonts w:cs="Arial"/>
                <w:b/>
                <w:i/>
                <w:sz w:val="16"/>
                <w:szCs w:val="16"/>
              </w:rPr>
            </w:pPr>
            <w:r w:rsidRPr="006735B4">
              <w:rPr>
                <w:rFonts w:cs="Arial"/>
                <w:b/>
                <w:i/>
                <w:sz w:val="16"/>
                <w:szCs w:val="16"/>
              </w:rPr>
              <w:t>Activity</w:t>
            </w:r>
          </w:p>
        </w:tc>
        <w:tc>
          <w:tcPr>
            <w:tcW w:w="4770" w:type="dxa"/>
            <w:shd w:val="clear" w:color="auto" w:fill="D9D9D9" w:themeFill="background1" w:themeFillShade="D9"/>
            <w:tcMar>
              <w:left w:w="58" w:type="dxa"/>
              <w:right w:w="58" w:type="dxa"/>
            </w:tcMar>
            <w:vAlign w:val="center"/>
          </w:tcPr>
          <w:p w:rsidRPr="006735B4" w:rsidR="00F63E95" w:rsidP="0075673F" w:rsidRDefault="00F63E95" w14:paraId="7EAC4F50" w14:textId="59DD2266">
            <w:pPr>
              <w:keepNext/>
              <w:keepLines/>
              <w:jc w:val="center"/>
              <w:rPr>
                <w:rFonts w:cs="Arial"/>
                <w:b/>
                <w:i/>
                <w:sz w:val="16"/>
                <w:szCs w:val="16"/>
              </w:rPr>
            </w:pPr>
            <w:r w:rsidRPr="006735B4">
              <w:rPr>
                <w:rFonts w:cs="Arial"/>
                <w:b/>
                <w:i/>
                <w:sz w:val="16"/>
                <w:szCs w:val="16"/>
              </w:rPr>
              <w:t>Parameter</w:t>
            </w:r>
          </w:p>
        </w:tc>
        <w:tc>
          <w:tcPr>
            <w:tcW w:w="810" w:type="dxa"/>
            <w:shd w:val="clear" w:color="auto" w:fill="D9D9D9" w:themeFill="background1" w:themeFillShade="D9"/>
            <w:tcMar>
              <w:left w:w="58" w:type="dxa"/>
              <w:right w:w="58" w:type="dxa"/>
            </w:tcMar>
            <w:vAlign w:val="center"/>
          </w:tcPr>
          <w:p w:rsidRPr="006735B4" w:rsidR="00F63E95" w:rsidP="0075673F" w:rsidRDefault="00F63E95" w14:paraId="336BB73C" w14:textId="4C4EBE4C">
            <w:pPr>
              <w:keepNext/>
              <w:keepLines/>
              <w:jc w:val="center"/>
              <w:rPr>
                <w:rFonts w:cs="Arial"/>
                <w:b/>
                <w:i/>
                <w:sz w:val="16"/>
                <w:szCs w:val="16"/>
              </w:rPr>
            </w:pPr>
            <w:r w:rsidRPr="006735B4">
              <w:rPr>
                <w:rFonts w:cs="Arial"/>
                <w:b/>
                <w:i/>
                <w:sz w:val="16"/>
                <w:szCs w:val="16"/>
              </w:rPr>
              <w:t>Value</w:t>
            </w:r>
          </w:p>
        </w:tc>
        <w:tc>
          <w:tcPr>
            <w:tcW w:w="900" w:type="dxa"/>
            <w:shd w:val="clear" w:color="auto" w:fill="D9D9D9" w:themeFill="background1" w:themeFillShade="D9"/>
            <w:tcMar>
              <w:left w:w="58" w:type="dxa"/>
              <w:right w:w="58" w:type="dxa"/>
            </w:tcMar>
            <w:vAlign w:val="center"/>
          </w:tcPr>
          <w:p w:rsidRPr="006735B4" w:rsidR="00F63E95" w:rsidP="0075673F" w:rsidRDefault="00F63E95" w14:paraId="46614659" w14:textId="06A659F2">
            <w:pPr>
              <w:keepNext/>
              <w:keepLines/>
              <w:jc w:val="center"/>
              <w:rPr>
                <w:rFonts w:cs="Arial"/>
                <w:b/>
                <w:i/>
                <w:sz w:val="16"/>
                <w:szCs w:val="16"/>
              </w:rPr>
            </w:pPr>
            <w:r w:rsidRPr="006735B4">
              <w:rPr>
                <w:rFonts w:cs="Arial"/>
                <w:b/>
                <w:i/>
                <w:sz w:val="16"/>
                <w:szCs w:val="16"/>
              </w:rPr>
              <w:t>Positives Per Site</w:t>
            </w:r>
          </w:p>
        </w:tc>
        <w:tc>
          <w:tcPr>
            <w:tcW w:w="810" w:type="dxa"/>
            <w:shd w:val="clear" w:color="auto" w:fill="D9D9D9" w:themeFill="background1" w:themeFillShade="D9"/>
            <w:tcMar>
              <w:left w:w="58" w:type="dxa"/>
              <w:right w:w="58" w:type="dxa"/>
            </w:tcMar>
            <w:vAlign w:val="center"/>
          </w:tcPr>
          <w:p w:rsidRPr="006735B4" w:rsidR="00F63E95" w:rsidP="0075673F" w:rsidRDefault="00F63E95" w14:paraId="31FC67D3" w14:textId="7999BF39">
            <w:pPr>
              <w:keepNext/>
              <w:keepLines/>
              <w:jc w:val="center"/>
              <w:rPr>
                <w:rFonts w:cs="Arial"/>
                <w:b/>
                <w:i/>
                <w:sz w:val="16"/>
                <w:szCs w:val="16"/>
              </w:rPr>
            </w:pPr>
            <w:r w:rsidRPr="006735B4">
              <w:rPr>
                <w:rFonts w:cs="Arial"/>
                <w:b/>
                <w:i/>
                <w:sz w:val="16"/>
                <w:szCs w:val="16"/>
              </w:rPr>
              <w:t>Sites Affected</w:t>
            </w:r>
          </w:p>
        </w:tc>
        <w:tc>
          <w:tcPr>
            <w:tcW w:w="979" w:type="dxa"/>
            <w:shd w:val="clear" w:color="auto" w:fill="D9D9D9" w:themeFill="background1" w:themeFillShade="D9"/>
            <w:tcMar>
              <w:left w:w="58" w:type="dxa"/>
              <w:right w:w="58" w:type="dxa"/>
            </w:tcMar>
            <w:vAlign w:val="center"/>
          </w:tcPr>
          <w:p w:rsidRPr="006735B4" w:rsidR="00F63E95" w:rsidP="0075673F" w:rsidRDefault="00F63E95" w14:paraId="5AC06D11" w14:textId="7D3C36DC">
            <w:pPr>
              <w:keepNext/>
              <w:keepLines/>
              <w:jc w:val="center"/>
              <w:rPr>
                <w:rFonts w:cs="Arial"/>
                <w:b/>
                <w:i/>
                <w:sz w:val="16"/>
                <w:szCs w:val="16"/>
              </w:rPr>
            </w:pPr>
            <w:r w:rsidRPr="006735B4">
              <w:rPr>
                <w:rFonts w:cs="Arial"/>
                <w:b/>
                <w:i/>
                <w:sz w:val="16"/>
                <w:szCs w:val="16"/>
              </w:rPr>
              <w:t>Total Positives</w:t>
            </w:r>
          </w:p>
        </w:tc>
      </w:tr>
      <w:tr w:rsidRPr="000864A1" w:rsidR="00181F8C" w:rsidTr="00982BD1" w14:paraId="69D76E86" w14:textId="77777777">
        <w:tc>
          <w:tcPr>
            <w:tcW w:w="9709" w:type="dxa"/>
            <w:gridSpan w:val="6"/>
            <w:tcMar>
              <w:left w:w="58" w:type="dxa"/>
              <w:right w:w="58" w:type="dxa"/>
            </w:tcMar>
            <w:vAlign w:val="center"/>
          </w:tcPr>
          <w:p w:rsidRPr="006735B4" w:rsidR="00181F8C" w:rsidP="00181F8C" w:rsidRDefault="00181F8C" w14:paraId="0607871F" w14:textId="3DB67A00">
            <w:pPr>
              <w:keepNext/>
              <w:keepLines/>
              <w:rPr>
                <w:rFonts w:cs="Arial"/>
                <w:b/>
                <w:i/>
                <w:sz w:val="16"/>
                <w:szCs w:val="16"/>
              </w:rPr>
            </w:pPr>
            <w:r w:rsidRPr="006735B4">
              <w:rPr>
                <w:rFonts w:cs="Arial"/>
                <w:b/>
                <w:i/>
                <w:sz w:val="16"/>
                <w:szCs w:val="16"/>
              </w:rPr>
              <w:t>Averted Training Costs—</w:t>
            </w:r>
            <w:r>
              <w:rPr>
                <w:rFonts w:cs="Arial"/>
                <w:b/>
                <w:i/>
                <w:sz w:val="16"/>
                <w:szCs w:val="16"/>
              </w:rPr>
              <w:t>Pre-A</w:t>
            </w:r>
            <w:r w:rsidRPr="006D292B">
              <w:rPr>
                <w:rFonts w:cs="Arial"/>
                <w:b/>
                <w:i/>
                <w:sz w:val="16"/>
                <w:szCs w:val="16"/>
              </w:rPr>
              <w:t>ccess</w:t>
            </w:r>
            <w:r w:rsidRPr="006735B4">
              <w:rPr>
                <w:rFonts w:cs="Arial"/>
                <w:b/>
                <w:i/>
                <w:sz w:val="16"/>
                <w:szCs w:val="16"/>
              </w:rPr>
              <w:t xml:space="preserve"> Testing</w:t>
            </w:r>
          </w:p>
        </w:tc>
      </w:tr>
      <w:tr w:rsidRPr="000864A1" w:rsidR="00181F8C" w:rsidTr="001F21AC" w14:paraId="5CB9B394" w14:textId="77777777">
        <w:tc>
          <w:tcPr>
            <w:tcW w:w="1440" w:type="dxa"/>
            <w:vMerge w:val="restart"/>
            <w:tcMar>
              <w:left w:w="58" w:type="dxa"/>
              <w:right w:w="58" w:type="dxa"/>
            </w:tcMar>
            <w:vAlign w:val="center"/>
          </w:tcPr>
          <w:p w:rsidRPr="006735B4" w:rsidR="00181F8C" w:rsidP="00181F8C" w:rsidRDefault="00181F8C" w14:paraId="08B808B6" w14:textId="1C732AA5">
            <w:pPr>
              <w:keepNext/>
              <w:keepLines/>
              <w:ind w:left="88" w:right="-20"/>
              <w:rPr>
                <w:rFonts w:eastAsia="Arial" w:cs="Arial"/>
                <w:sz w:val="16"/>
                <w:szCs w:val="16"/>
              </w:rPr>
            </w:pPr>
            <w:r w:rsidRPr="006735B4">
              <w:rPr>
                <w:rFonts w:eastAsia="Arial" w:cs="Arial"/>
                <w:sz w:val="16"/>
                <w:szCs w:val="16"/>
              </w:rPr>
              <w:t xml:space="preserve">Averted training costs for new licensee employees and C/Vs with positive </w:t>
            </w:r>
            <w:r>
              <w:rPr>
                <w:rFonts w:eastAsia="Arial" w:cs="Arial"/>
                <w:sz w:val="16"/>
                <w:szCs w:val="16"/>
              </w:rPr>
              <w:t>pre-a</w:t>
            </w:r>
            <w:r w:rsidRPr="006D292B">
              <w:rPr>
                <w:rFonts w:eastAsia="Arial" w:cs="Arial"/>
                <w:sz w:val="16"/>
                <w:szCs w:val="16"/>
              </w:rPr>
              <w:t>ccess</w:t>
            </w:r>
            <w:r w:rsidRPr="006735B4">
              <w:rPr>
                <w:rFonts w:eastAsia="Arial" w:cs="Arial"/>
                <w:sz w:val="16"/>
                <w:szCs w:val="16"/>
              </w:rPr>
              <w:t xml:space="preserve"> drug test results</w:t>
            </w:r>
          </w:p>
        </w:tc>
        <w:tc>
          <w:tcPr>
            <w:tcW w:w="4770" w:type="dxa"/>
            <w:shd w:val="clear" w:color="auto" w:fill="auto"/>
            <w:tcMar>
              <w:left w:w="58" w:type="dxa"/>
              <w:right w:w="58" w:type="dxa"/>
            </w:tcMar>
            <w:vAlign w:val="center"/>
          </w:tcPr>
          <w:p w:rsidRPr="006735B4" w:rsidR="00181F8C" w:rsidP="00181F8C" w:rsidRDefault="00181F8C" w14:paraId="1732F587" w14:textId="7F2B0774">
            <w:pPr>
              <w:keepNext/>
              <w:keepLines/>
              <w:rPr>
                <w:rFonts w:eastAsia="Arial" w:cs="Arial"/>
                <w:sz w:val="16"/>
                <w:szCs w:val="16"/>
              </w:rPr>
            </w:pPr>
            <w:r w:rsidRPr="006735B4">
              <w:rPr>
                <w:sz w:val="16"/>
              </w:rPr>
              <w:t>Change in number of positive results per site based on rule changes (division of “Total Additional Positive Test Results Projected from Rule Changes” by the number of sites)</w:t>
            </w:r>
          </w:p>
        </w:tc>
        <w:tc>
          <w:tcPr>
            <w:tcW w:w="810" w:type="dxa"/>
            <w:shd w:val="clear" w:color="auto" w:fill="auto"/>
            <w:tcMar>
              <w:left w:w="58" w:type="dxa"/>
              <w:right w:w="58" w:type="dxa"/>
            </w:tcMar>
            <w:vAlign w:val="center"/>
          </w:tcPr>
          <w:p w:rsidRPr="00654BA1" w:rsidR="00181F8C" w:rsidP="00181F8C" w:rsidRDefault="00F10307" w14:paraId="1901F37E" w14:textId="0D1BDFAA">
            <w:pPr>
              <w:keepNext/>
              <w:keepLines/>
              <w:jc w:val="right"/>
              <w:rPr>
                <w:rFonts w:eastAsia="Arial"/>
                <w:sz w:val="16"/>
              </w:rPr>
            </w:pPr>
            <w:r w:rsidRPr="006735B4">
              <w:rPr>
                <w:sz w:val="16"/>
              </w:rPr>
              <w:t>2.97</w:t>
            </w:r>
            <w:r w:rsidRPr="006735B4" w:rsidR="00181F8C">
              <w:rPr>
                <w:sz w:val="16"/>
              </w:rPr>
              <w:t>/site</w:t>
            </w:r>
          </w:p>
        </w:tc>
        <w:tc>
          <w:tcPr>
            <w:tcW w:w="900" w:type="dxa"/>
            <w:tcBorders>
              <w:bottom w:val="single" w:color="auto" w:sz="4" w:space="0"/>
            </w:tcBorders>
            <w:shd w:val="clear" w:color="auto" w:fill="auto"/>
            <w:tcMar>
              <w:left w:w="58" w:type="dxa"/>
              <w:right w:w="58" w:type="dxa"/>
            </w:tcMar>
            <w:vAlign w:val="center"/>
          </w:tcPr>
          <w:p w:rsidRPr="006735B4" w:rsidR="00181F8C" w:rsidP="00181F8C" w:rsidRDefault="00F10307" w14:paraId="7AE6EC21" w14:textId="0160358F">
            <w:pPr>
              <w:keepNext/>
              <w:keepLines/>
              <w:jc w:val="right"/>
              <w:rPr>
                <w:rFonts w:cs="Arial"/>
                <w:sz w:val="16"/>
                <w:szCs w:val="16"/>
              </w:rPr>
            </w:pPr>
            <w:r w:rsidRPr="006735B4">
              <w:rPr>
                <w:sz w:val="16"/>
              </w:rPr>
              <w:t>$2,114</w:t>
            </w:r>
          </w:p>
        </w:tc>
        <w:tc>
          <w:tcPr>
            <w:tcW w:w="810" w:type="dxa"/>
            <w:tcBorders>
              <w:bottom w:val="single" w:color="auto" w:sz="4" w:space="0"/>
            </w:tcBorders>
            <w:shd w:val="clear" w:color="auto" w:fill="auto"/>
            <w:tcMar>
              <w:left w:w="58" w:type="dxa"/>
              <w:right w:w="58" w:type="dxa"/>
            </w:tcMar>
            <w:vAlign w:val="center"/>
          </w:tcPr>
          <w:p w:rsidRPr="006735B4" w:rsidR="00181F8C" w:rsidP="00181F8C" w:rsidRDefault="00181F8C" w14:paraId="07FDB982" w14:textId="3C94F775">
            <w:pPr>
              <w:keepNext/>
              <w:keepLines/>
              <w:jc w:val="right"/>
              <w:rPr>
                <w:rFonts w:cs="Arial"/>
                <w:sz w:val="16"/>
                <w:szCs w:val="16"/>
              </w:rPr>
            </w:pPr>
            <w:r w:rsidRPr="006735B4">
              <w:rPr>
                <w:sz w:val="16"/>
              </w:rPr>
              <w:t>59</w:t>
            </w:r>
          </w:p>
        </w:tc>
        <w:tc>
          <w:tcPr>
            <w:tcW w:w="979" w:type="dxa"/>
            <w:tcBorders>
              <w:bottom w:val="single" w:color="auto" w:sz="4" w:space="0"/>
            </w:tcBorders>
            <w:shd w:val="clear" w:color="auto" w:fill="auto"/>
            <w:tcMar>
              <w:left w:w="58" w:type="dxa"/>
              <w:right w:w="58" w:type="dxa"/>
            </w:tcMar>
            <w:vAlign w:val="center"/>
          </w:tcPr>
          <w:p w:rsidRPr="006735B4" w:rsidR="00181F8C" w:rsidP="00181F8C" w:rsidRDefault="00F10307" w14:paraId="2BC26C19" w14:textId="62F35649">
            <w:pPr>
              <w:keepNext/>
              <w:keepLines/>
              <w:jc w:val="right"/>
              <w:rPr>
                <w:rFonts w:cs="Arial"/>
                <w:sz w:val="16"/>
                <w:szCs w:val="16"/>
              </w:rPr>
            </w:pPr>
            <w:r w:rsidRPr="006735B4">
              <w:rPr>
                <w:sz w:val="16"/>
              </w:rPr>
              <w:t xml:space="preserve">$370,539 </w:t>
            </w:r>
          </w:p>
        </w:tc>
      </w:tr>
      <w:tr w:rsidRPr="000864A1" w:rsidR="00F43531" w:rsidTr="006D78A0" w14:paraId="15A3E1FD" w14:textId="77777777">
        <w:trPr>
          <w:trHeight w:val="395"/>
        </w:trPr>
        <w:tc>
          <w:tcPr>
            <w:tcW w:w="1440" w:type="dxa"/>
            <w:vMerge/>
            <w:tcMar>
              <w:left w:w="58" w:type="dxa"/>
              <w:right w:w="58" w:type="dxa"/>
            </w:tcMar>
            <w:vAlign w:val="center"/>
          </w:tcPr>
          <w:p w:rsidRPr="006735B4" w:rsidR="00181F8C" w:rsidP="000A23BD" w:rsidRDefault="00181F8C" w14:paraId="5B2B0CF4" w14:textId="77777777">
            <w:pPr>
              <w:keepNext/>
              <w:keepLines/>
              <w:rPr>
                <w:rFonts w:eastAsia="Arial" w:cs="Arial"/>
                <w:sz w:val="16"/>
                <w:szCs w:val="16"/>
              </w:rPr>
            </w:pPr>
          </w:p>
        </w:tc>
        <w:tc>
          <w:tcPr>
            <w:tcW w:w="4770" w:type="dxa"/>
            <w:tcBorders>
              <w:bottom w:val="single" w:color="auto" w:sz="4" w:space="0"/>
              <w:right w:val="single" w:color="auto" w:sz="4" w:space="0"/>
            </w:tcBorders>
            <w:shd w:val="clear" w:color="auto" w:fill="auto"/>
            <w:tcMar>
              <w:left w:w="58" w:type="dxa"/>
              <w:right w:w="58" w:type="dxa"/>
            </w:tcMar>
            <w:vAlign w:val="center"/>
          </w:tcPr>
          <w:p w:rsidRPr="006735B4" w:rsidR="00181F8C" w:rsidP="000A23BD" w:rsidRDefault="00181F8C" w14:paraId="1D9CE4D4" w14:textId="0937AADA">
            <w:pPr>
              <w:keepNext/>
              <w:keepLines/>
              <w:rPr>
                <w:rFonts w:eastAsia="Arial" w:cs="Arial"/>
                <w:sz w:val="16"/>
                <w:szCs w:val="16"/>
              </w:rPr>
            </w:pPr>
            <w:r w:rsidRPr="006735B4">
              <w:rPr>
                <w:sz w:val="16"/>
              </w:rPr>
              <w:t xml:space="preserve">Percentage of total positive test results occurring at </w:t>
            </w:r>
            <w:r>
              <w:rPr>
                <w:sz w:val="16"/>
              </w:rPr>
              <w:t>pre-</w:t>
            </w:r>
            <w:r w:rsidRPr="006D292B">
              <w:rPr>
                <w:sz w:val="16"/>
              </w:rPr>
              <w:t>access</w:t>
            </w:r>
            <w:r w:rsidRPr="006735B4">
              <w:rPr>
                <w:sz w:val="16"/>
              </w:rPr>
              <w:t xml:space="preserve"> testing</w:t>
            </w:r>
          </w:p>
        </w:tc>
        <w:tc>
          <w:tcPr>
            <w:tcW w:w="810" w:type="dxa"/>
            <w:tcBorders>
              <w:left w:val="single" w:color="auto" w:sz="4" w:space="0"/>
              <w:bottom w:val="single" w:color="auto" w:sz="4" w:space="0"/>
              <w:right w:val="single" w:color="auto" w:sz="4" w:space="0"/>
            </w:tcBorders>
            <w:shd w:val="clear" w:color="auto" w:fill="auto"/>
            <w:tcMar>
              <w:left w:w="58" w:type="dxa"/>
              <w:right w:w="58" w:type="dxa"/>
            </w:tcMar>
            <w:vAlign w:val="center"/>
          </w:tcPr>
          <w:p w:rsidRPr="00654BA1" w:rsidR="00181F8C" w:rsidP="000A23BD" w:rsidRDefault="00181F8C" w14:paraId="270359FB" w14:textId="05F0AB78">
            <w:pPr>
              <w:keepNext/>
              <w:keepLines/>
              <w:jc w:val="right"/>
              <w:rPr>
                <w:rFonts w:eastAsia="Arial"/>
                <w:sz w:val="16"/>
              </w:rPr>
            </w:pPr>
            <w:r w:rsidRPr="006735B4">
              <w:rPr>
                <w:sz w:val="16"/>
              </w:rPr>
              <w:t>67.1%</w:t>
            </w:r>
          </w:p>
        </w:tc>
        <w:tc>
          <w:tcPr>
            <w:tcW w:w="900" w:type="dxa"/>
            <w:tcBorders>
              <w:top w:val="single" w:color="auto" w:sz="4" w:space="0"/>
              <w:left w:val="single" w:color="auto" w:sz="4" w:space="0"/>
              <w:bottom w:val="nil"/>
              <w:right w:val="nil"/>
            </w:tcBorders>
            <w:shd w:val="clear" w:color="auto" w:fill="auto"/>
            <w:tcMar>
              <w:left w:w="58" w:type="dxa"/>
              <w:right w:w="58" w:type="dxa"/>
            </w:tcMar>
            <w:vAlign w:val="center"/>
          </w:tcPr>
          <w:p w:rsidRPr="006735B4" w:rsidR="00181F8C" w:rsidP="000A23BD" w:rsidRDefault="00181F8C" w14:paraId="469FB82B" w14:textId="77777777">
            <w:pPr>
              <w:keepNext/>
              <w:keepLines/>
              <w:jc w:val="right"/>
              <w:rPr>
                <w:rFonts w:cs="Arial"/>
                <w:sz w:val="16"/>
                <w:szCs w:val="16"/>
              </w:rPr>
            </w:pPr>
          </w:p>
        </w:tc>
        <w:tc>
          <w:tcPr>
            <w:tcW w:w="810" w:type="dxa"/>
            <w:tcBorders>
              <w:top w:val="single" w:color="auto" w:sz="4" w:space="0"/>
              <w:left w:val="nil"/>
              <w:bottom w:val="nil"/>
              <w:right w:val="nil"/>
            </w:tcBorders>
            <w:shd w:val="clear" w:color="auto" w:fill="auto"/>
            <w:tcMar>
              <w:left w:w="58" w:type="dxa"/>
              <w:right w:w="58" w:type="dxa"/>
            </w:tcMar>
            <w:vAlign w:val="center"/>
          </w:tcPr>
          <w:p w:rsidRPr="006735B4" w:rsidR="00181F8C" w:rsidP="000A23BD" w:rsidRDefault="00181F8C" w14:paraId="7869161F" w14:textId="77777777">
            <w:pPr>
              <w:keepNext/>
              <w:keepLines/>
              <w:jc w:val="right"/>
              <w:rPr>
                <w:rFonts w:cs="Arial"/>
                <w:sz w:val="16"/>
                <w:szCs w:val="16"/>
              </w:rPr>
            </w:pPr>
          </w:p>
        </w:tc>
        <w:tc>
          <w:tcPr>
            <w:tcW w:w="979" w:type="dxa"/>
            <w:tcBorders>
              <w:top w:val="single" w:color="auto" w:sz="4" w:space="0"/>
              <w:left w:val="nil"/>
              <w:bottom w:val="nil"/>
              <w:right w:val="single" w:color="auto" w:sz="4" w:space="0"/>
            </w:tcBorders>
            <w:shd w:val="clear" w:color="auto" w:fill="auto"/>
            <w:tcMar>
              <w:left w:w="58" w:type="dxa"/>
              <w:right w:w="58" w:type="dxa"/>
            </w:tcMar>
            <w:vAlign w:val="center"/>
          </w:tcPr>
          <w:p w:rsidRPr="006735B4" w:rsidR="00181F8C" w:rsidP="000A23BD" w:rsidRDefault="00181F8C" w14:paraId="72828E8E" w14:textId="77777777">
            <w:pPr>
              <w:keepNext/>
              <w:keepLines/>
              <w:jc w:val="right"/>
              <w:rPr>
                <w:rFonts w:cs="Arial"/>
                <w:sz w:val="16"/>
                <w:szCs w:val="16"/>
              </w:rPr>
            </w:pPr>
          </w:p>
        </w:tc>
      </w:tr>
      <w:tr w:rsidRPr="000864A1" w:rsidR="00F43531" w:rsidTr="006D78A0" w14:paraId="575548D3" w14:textId="77777777">
        <w:trPr>
          <w:trHeight w:val="476"/>
        </w:trPr>
        <w:tc>
          <w:tcPr>
            <w:tcW w:w="1440" w:type="dxa"/>
            <w:vMerge/>
            <w:tcMar>
              <w:left w:w="58" w:type="dxa"/>
              <w:right w:w="58" w:type="dxa"/>
            </w:tcMar>
            <w:vAlign w:val="center"/>
          </w:tcPr>
          <w:p w:rsidRPr="006735B4" w:rsidR="00181F8C" w:rsidP="000A23BD" w:rsidRDefault="00181F8C" w14:paraId="4B2158E3" w14:textId="77777777">
            <w:pPr>
              <w:keepNext/>
              <w:keepLines/>
              <w:rPr>
                <w:rFonts w:eastAsia="Arial" w:cs="Arial"/>
                <w:sz w:val="16"/>
                <w:szCs w:val="16"/>
              </w:rPr>
            </w:pPr>
          </w:p>
        </w:tc>
        <w:tc>
          <w:tcPr>
            <w:tcW w:w="4770" w:type="dxa"/>
            <w:tcBorders>
              <w:bottom w:val="single" w:color="auto" w:sz="4" w:space="0"/>
              <w:right w:val="single" w:color="auto" w:sz="4" w:space="0"/>
            </w:tcBorders>
            <w:shd w:val="clear" w:color="auto" w:fill="auto"/>
            <w:tcMar>
              <w:left w:w="58" w:type="dxa"/>
              <w:right w:w="58" w:type="dxa"/>
            </w:tcMar>
            <w:vAlign w:val="center"/>
          </w:tcPr>
          <w:p w:rsidRPr="006735B4" w:rsidR="00181F8C" w:rsidP="000A23BD" w:rsidRDefault="00181F8C" w14:paraId="595BDC39" w14:textId="77777777">
            <w:pPr>
              <w:keepNext/>
              <w:keepLines/>
              <w:rPr>
                <w:rFonts w:eastAsia="Arial" w:cs="Arial"/>
                <w:sz w:val="16"/>
                <w:szCs w:val="16"/>
              </w:rPr>
            </w:pPr>
            <w:r w:rsidRPr="006735B4">
              <w:rPr>
                <w:sz w:val="16"/>
              </w:rPr>
              <w:t>Weighted average of total in-processing training time for a new licensee employee or C/V</w:t>
            </w:r>
          </w:p>
        </w:tc>
        <w:tc>
          <w:tcPr>
            <w:tcW w:w="810" w:type="dxa"/>
            <w:tcBorders>
              <w:left w:val="single" w:color="auto" w:sz="4" w:space="0"/>
              <w:bottom w:val="single" w:color="auto" w:sz="4" w:space="0"/>
              <w:right w:val="single" w:color="auto" w:sz="4" w:space="0"/>
            </w:tcBorders>
            <w:shd w:val="clear" w:color="auto" w:fill="auto"/>
            <w:tcMar>
              <w:left w:w="58" w:type="dxa"/>
              <w:right w:w="58" w:type="dxa"/>
            </w:tcMar>
            <w:vAlign w:val="center"/>
          </w:tcPr>
          <w:p w:rsidRPr="00654BA1" w:rsidR="00181F8C" w:rsidP="000A23BD" w:rsidRDefault="00181F8C" w14:paraId="341C55CB" w14:textId="77777777">
            <w:pPr>
              <w:keepNext/>
              <w:keepLines/>
              <w:jc w:val="right"/>
              <w:rPr>
                <w:rFonts w:eastAsia="Arial"/>
                <w:sz w:val="16"/>
              </w:rPr>
            </w:pPr>
            <w:r w:rsidRPr="006735B4">
              <w:rPr>
                <w:sz w:val="16"/>
              </w:rPr>
              <w:t>43 hours</w:t>
            </w:r>
          </w:p>
        </w:tc>
        <w:tc>
          <w:tcPr>
            <w:tcW w:w="900" w:type="dxa"/>
            <w:tcBorders>
              <w:top w:val="nil"/>
              <w:left w:val="single" w:color="auto" w:sz="4" w:space="0"/>
              <w:bottom w:val="nil"/>
              <w:right w:val="nil"/>
            </w:tcBorders>
            <w:shd w:val="clear" w:color="auto" w:fill="auto"/>
            <w:tcMar>
              <w:left w:w="58" w:type="dxa"/>
              <w:right w:w="58" w:type="dxa"/>
            </w:tcMar>
            <w:vAlign w:val="center"/>
          </w:tcPr>
          <w:p w:rsidRPr="006735B4" w:rsidR="00181F8C" w:rsidP="000A23BD" w:rsidRDefault="00181F8C" w14:paraId="3E14137B" w14:textId="77777777">
            <w:pPr>
              <w:keepNext/>
              <w:keepLines/>
              <w:jc w:val="right"/>
              <w:rPr>
                <w:rFonts w:cs="Arial"/>
                <w:sz w:val="16"/>
                <w:szCs w:val="16"/>
              </w:rPr>
            </w:pPr>
          </w:p>
        </w:tc>
        <w:tc>
          <w:tcPr>
            <w:tcW w:w="810" w:type="dxa"/>
            <w:tcBorders>
              <w:top w:val="nil"/>
              <w:left w:val="nil"/>
              <w:bottom w:val="nil"/>
              <w:right w:val="nil"/>
            </w:tcBorders>
            <w:shd w:val="clear" w:color="auto" w:fill="auto"/>
            <w:tcMar>
              <w:left w:w="58" w:type="dxa"/>
              <w:right w:w="58" w:type="dxa"/>
            </w:tcMar>
            <w:vAlign w:val="center"/>
          </w:tcPr>
          <w:p w:rsidRPr="006735B4" w:rsidR="00181F8C" w:rsidP="000A23BD" w:rsidRDefault="00181F8C" w14:paraId="233C1B25" w14:textId="77777777">
            <w:pPr>
              <w:keepNext/>
              <w:keepLines/>
              <w:jc w:val="right"/>
              <w:rPr>
                <w:rFonts w:cs="Arial"/>
                <w:sz w:val="16"/>
                <w:szCs w:val="16"/>
              </w:rPr>
            </w:pPr>
          </w:p>
        </w:tc>
        <w:tc>
          <w:tcPr>
            <w:tcW w:w="979" w:type="dxa"/>
            <w:tcBorders>
              <w:top w:val="nil"/>
              <w:left w:val="nil"/>
              <w:bottom w:val="nil"/>
              <w:right w:val="single" w:color="auto" w:sz="4" w:space="0"/>
            </w:tcBorders>
            <w:shd w:val="clear" w:color="auto" w:fill="auto"/>
            <w:tcMar>
              <w:left w:w="58" w:type="dxa"/>
              <w:right w:w="58" w:type="dxa"/>
            </w:tcMar>
            <w:vAlign w:val="center"/>
          </w:tcPr>
          <w:p w:rsidRPr="006735B4" w:rsidR="00181F8C" w:rsidP="000A23BD" w:rsidRDefault="00181F8C" w14:paraId="53EA1C87" w14:textId="77777777">
            <w:pPr>
              <w:keepNext/>
              <w:keepLines/>
              <w:jc w:val="right"/>
              <w:rPr>
                <w:rFonts w:cs="Arial"/>
                <w:sz w:val="16"/>
                <w:szCs w:val="16"/>
              </w:rPr>
            </w:pPr>
          </w:p>
        </w:tc>
      </w:tr>
      <w:tr w:rsidRPr="000864A1" w:rsidR="00F43531" w:rsidTr="006D78A0" w14:paraId="1112AF2B" w14:textId="77777777">
        <w:trPr>
          <w:trHeight w:val="449"/>
        </w:trPr>
        <w:tc>
          <w:tcPr>
            <w:tcW w:w="1440" w:type="dxa"/>
            <w:vMerge/>
            <w:tcMar>
              <w:left w:w="58" w:type="dxa"/>
              <w:right w:w="58" w:type="dxa"/>
            </w:tcMar>
            <w:vAlign w:val="center"/>
          </w:tcPr>
          <w:p w:rsidRPr="006735B4" w:rsidR="00181F8C" w:rsidP="000A23BD" w:rsidRDefault="00181F8C" w14:paraId="7DD7A210" w14:textId="77777777">
            <w:pPr>
              <w:keepNext/>
              <w:keepLines/>
              <w:rPr>
                <w:rFonts w:eastAsia="Arial" w:cs="Arial"/>
                <w:sz w:val="16"/>
                <w:szCs w:val="16"/>
              </w:rPr>
            </w:pPr>
          </w:p>
        </w:tc>
        <w:tc>
          <w:tcPr>
            <w:tcW w:w="4770" w:type="dxa"/>
            <w:tcBorders>
              <w:bottom w:val="single" w:color="auto" w:sz="4" w:space="0"/>
              <w:right w:val="single" w:color="auto" w:sz="4" w:space="0"/>
            </w:tcBorders>
            <w:shd w:val="clear" w:color="auto" w:fill="auto"/>
            <w:tcMar>
              <w:left w:w="58" w:type="dxa"/>
              <w:right w:w="58" w:type="dxa"/>
            </w:tcMar>
            <w:vAlign w:val="center"/>
          </w:tcPr>
          <w:p w:rsidRPr="006735B4" w:rsidR="00181F8C" w:rsidP="000A23BD" w:rsidRDefault="00181F8C" w14:paraId="547130BB" w14:textId="77777777">
            <w:pPr>
              <w:keepNext/>
              <w:keepLines/>
              <w:rPr>
                <w:rFonts w:eastAsia="Arial" w:cs="Arial"/>
                <w:sz w:val="16"/>
                <w:szCs w:val="16"/>
              </w:rPr>
            </w:pPr>
            <w:r w:rsidRPr="006735B4">
              <w:rPr>
                <w:sz w:val="16"/>
              </w:rPr>
              <w:t>Average number of training hours until receipt of MRO-verified positive drug test result after collection</w:t>
            </w:r>
          </w:p>
        </w:tc>
        <w:tc>
          <w:tcPr>
            <w:tcW w:w="810" w:type="dxa"/>
            <w:tcBorders>
              <w:left w:val="single" w:color="auto" w:sz="4" w:space="0"/>
              <w:bottom w:val="single" w:color="auto" w:sz="4" w:space="0"/>
              <w:right w:val="single" w:color="auto" w:sz="4" w:space="0"/>
            </w:tcBorders>
            <w:shd w:val="clear" w:color="auto" w:fill="auto"/>
            <w:tcMar>
              <w:left w:w="58" w:type="dxa"/>
              <w:right w:w="58" w:type="dxa"/>
            </w:tcMar>
            <w:vAlign w:val="center"/>
          </w:tcPr>
          <w:p w:rsidRPr="00654BA1" w:rsidR="00181F8C" w:rsidP="000A23BD" w:rsidRDefault="00181F8C" w14:paraId="15674596" w14:textId="77777777">
            <w:pPr>
              <w:keepNext/>
              <w:keepLines/>
              <w:jc w:val="right"/>
              <w:rPr>
                <w:rFonts w:eastAsia="Arial"/>
                <w:sz w:val="16"/>
              </w:rPr>
            </w:pPr>
            <w:r w:rsidRPr="006735B4">
              <w:rPr>
                <w:sz w:val="16"/>
              </w:rPr>
              <w:t>28 hours</w:t>
            </w:r>
          </w:p>
        </w:tc>
        <w:tc>
          <w:tcPr>
            <w:tcW w:w="900" w:type="dxa"/>
            <w:tcBorders>
              <w:top w:val="nil"/>
              <w:left w:val="single" w:color="auto" w:sz="4" w:space="0"/>
              <w:bottom w:val="single" w:color="auto" w:sz="4" w:space="0"/>
              <w:right w:val="nil"/>
            </w:tcBorders>
            <w:shd w:val="clear" w:color="auto" w:fill="auto"/>
            <w:tcMar>
              <w:left w:w="58" w:type="dxa"/>
              <w:right w:w="58" w:type="dxa"/>
            </w:tcMar>
            <w:vAlign w:val="center"/>
          </w:tcPr>
          <w:p w:rsidRPr="006735B4" w:rsidR="00181F8C" w:rsidP="000A23BD" w:rsidRDefault="00181F8C" w14:paraId="35E54231" w14:textId="77777777">
            <w:pPr>
              <w:keepNext/>
              <w:keepLines/>
              <w:jc w:val="right"/>
              <w:rPr>
                <w:rFonts w:cs="Arial"/>
                <w:sz w:val="16"/>
                <w:szCs w:val="16"/>
              </w:rPr>
            </w:pPr>
          </w:p>
        </w:tc>
        <w:tc>
          <w:tcPr>
            <w:tcW w:w="810" w:type="dxa"/>
            <w:tcBorders>
              <w:top w:val="nil"/>
              <w:left w:val="nil"/>
              <w:bottom w:val="single" w:color="auto" w:sz="4" w:space="0"/>
              <w:right w:val="nil"/>
            </w:tcBorders>
            <w:shd w:val="clear" w:color="auto" w:fill="auto"/>
            <w:tcMar>
              <w:left w:w="58" w:type="dxa"/>
              <w:right w:w="58" w:type="dxa"/>
            </w:tcMar>
            <w:vAlign w:val="center"/>
          </w:tcPr>
          <w:p w:rsidRPr="006735B4" w:rsidR="00181F8C" w:rsidP="000A23BD" w:rsidRDefault="00181F8C" w14:paraId="37291C35" w14:textId="77777777">
            <w:pPr>
              <w:keepNext/>
              <w:keepLines/>
              <w:jc w:val="right"/>
              <w:rPr>
                <w:rFonts w:cs="Arial"/>
                <w:sz w:val="16"/>
                <w:szCs w:val="16"/>
              </w:rPr>
            </w:pPr>
          </w:p>
        </w:tc>
        <w:tc>
          <w:tcPr>
            <w:tcW w:w="979" w:type="dxa"/>
            <w:tcBorders>
              <w:top w:val="nil"/>
              <w:left w:val="nil"/>
              <w:bottom w:val="single" w:color="auto" w:sz="4" w:space="0"/>
              <w:right w:val="single" w:color="auto" w:sz="4" w:space="0"/>
            </w:tcBorders>
            <w:shd w:val="clear" w:color="auto" w:fill="auto"/>
            <w:tcMar>
              <w:left w:w="58" w:type="dxa"/>
              <w:right w:w="58" w:type="dxa"/>
            </w:tcMar>
            <w:vAlign w:val="center"/>
          </w:tcPr>
          <w:p w:rsidRPr="006735B4" w:rsidR="00181F8C" w:rsidP="000A23BD" w:rsidRDefault="00181F8C" w14:paraId="3F2BDEE4" w14:textId="77777777">
            <w:pPr>
              <w:keepNext/>
              <w:keepLines/>
              <w:jc w:val="right"/>
              <w:rPr>
                <w:rFonts w:cs="Arial"/>
                <w:sz w:val="16"/>
                <w:szCs w:val="16"/>
              </w:rPr>
            </w:pPr>
          </w:p>
        </w:tc>
      </w:tr>
      <w:tr w:rsidRPr="000864A1" w:rsidR="00F43531" w:rsidTr="006D78A0" w14:paraId="534F79D2" w14:textId="77777777">
        <w:trPr>
          <w:trHeight w:val="1079"/>
        </w:trPr>
        <w:tc>
          <w:tcPr>
            <w:tcW w:w="1440" w:type="dxa"/>
            <w:vMerge/>
            <w:tcMar>
              <w:left w:w="58" w:type="dxa"/>
              <w:right w:w="58" w:type="dxa"/>
            </w:tcMar>
            <w:vAlign w:val="center"/>
          </w:tcPr>
          <w:p w:rsidRPr="006735B4" w:rsidR="00181F8C" w:rsidP="000A23BD" w:rsidRDefault="00181F8C" w14:paraId="14D6AC09" w14:textId="77777777">
            <w:pPr>
              <w:keepNext/>
              <w:keepLines/>
              <w:rPr>
                <w:rFonts w:eastAsia="Arial" w:cs="Arial"/>
                <w:sz w:val="16"/>
                <w:szCs w:val="16"/>
              </w:rPr>
            </w:pPr>
          </w:p>
        </w:tc>
        <w:tc>
          <w:tcPr>
            <w:tcW w:w="4770" w:type="dxa"/>
            <w:tcBorders>
              <w:bottom w:val="single" w:color="auto" w:sz="4" w:space="0"/>
              <w:right w:val="single" w:color="auto" w:sz="4" w:space="0"/>
            </w:tcBorders>
            <w:shd w:val="clear" w:color="auto" w:fill="auto"/>
            <w:tcMar>
              <w:left w:w="58" w:type="dxa"/>
              <w:right w:w="58" w:type="dxa"/>
            </w:tcMar>
            <w:vAlign w:val="center"/>
          </w:tcPr>
          <w:p w:rsidRPr="006735B4" w:rsidR="00181F8C" w:rsidP="000A23BD" w:rsidRDefault="00181F8C" w14:paraId="0A929D94" w14:textId="0792BAD8">
            <w:pPr>
              <w:keepNext/>
              <w:keepLines/>
              <w:rPr>
                <w:rFonts w:eastAsia="Arial" w:cs="Arial"/>
                <w:sz w:val="16"/>
                <w:szCs w:val="16"/>
              </w:rPr>
            </w:pPr>
            <w:r w:rsidRPr="006735B4">
              <w:rPr>
                <w:sz w:val="16"/>
              </w:rPr>
              <w:t>Training time (in hours) averted for an individual with a positive drug test during in-processing.  (Difference between “Weighted average of total in-processing training time for a new licensee employee or C/V” and the “Average number of training hours until receipt of MRO-verified positive drug test result after collection)</w:t>
            </w:r>
          </w:p>
        </w:tc>
        <w:tc>
          <w:tcPr>
            <w:tcW w:w="810" w:type="dxa"/>
            <w:tcBorders>
              <w:top w:val="single" w:color="auto" w:sz="4" w:space="0"/>
              <w:left w:val="single" w:color="auto" w:sz="4" w:space="0"/>
              <w:bottom w:val="single" w:color="auto" w:sz="4" w:space="0"/>
              <w:right w:val="single" w:color="auto" w:sz="4" w:space="0"/>
            </w:tcBorders>
            <w:shd w:val="clear" w:color="auto" w:fill="auto"/>
            <w:tcMar>
              <w:left w:w="58" w:type="dxa"/>
              <w:right w:w="58" w:type="dxa"/>
            </w:tcMar>
            <w:vAlign w:val="center"/>
          </w:tcPr>
          <w:p w:rsidRPr="00654BA1" w:rsidR="00181F8C" w:rsidP="000A23BD" w:rsidRDefault="00181F8C" w14:paraId="35B3F51B" w14:textId="77777777">
            <w:pPr>
              <w:keepNext/>
              <w:keepLines/>
              <w:jc w:val="right"/>
              <w:rPr>
                <w:rFonts w:eastAsia="Arial"/>
                <w:sz w:val="16"/>
              </w:rPr>
            </w:pPr>
            <w:r w:rsidRPr="006735B4">
              <w:rPr>
                <w:sz w:val="16"/>
              </w:rPr>
              <w:t>15 hours</w:t>
            </w:r>
          </w:p>
        </w:tc>
        <w:tc>
          <w:tcPr>
            <w:tcW w:w="900" w:type="dxa"/>
            <w:tcBorders>
              <w:top w:val="single" w:color="auto" w:sz="4" w:space="0"/>
              <w:left w:val="single" w:color="auto" w:sz="4" w:space="0"/>
              <w:bottom w:val="nil"/>
              <w:right w:val="nil"/>
            </w:tcBorders>
            <w:shd w:val="clear" w:color="auto" w:fill="auto"/>
            <w:tcMar>
              <w:left w:w="58" w:type="dxa"/>
              <w:right w:w="58" w:type="dxa"/>
            </w:tcMar>
            <w:vAlign w:val="center"/>
          </w:tcPr>
          <w:p w:rsidRPr="006735B4" w:rsidR="00181F8C" w:rsidP="000A23BD" w:rsidRDefault="00181F8C" w14:paraId="53CEEB71" w14:textId="77777777">
            <w:pPr>
              <w:keepNext/>
              <w:keepLines/>
              <w:jc w:val="right"/>
              <w:rPr>
                <w:rFonts w:cs="Arial"/>
                <w:sz w:val="16"/>
                <w:szCs w:val="16"/>
              </w:rPr>
            </w:pPr>
          </w:p>
        </w:tc>
        <w:tc>
          <w:tcPr>
            <w:tcW w:w="810" w:type="dxa"/>
            <w:tcBorders>
              <w:top w:val="single" w:color="auto" w:sz="4" w:space="0"/>
              <w:left w:val="nil"/>
              <w:bottom w:val="nil"/>
              <w:right w:val="nil"/>
            </w:tcBorders>
            <w:shd w:val="clear" w:color="auto" w:fill="auto"/>
            <w:tcMar>
              <w:left w:w="58" w:type="dxa"/>
              <w:right w:w="58" w:type="dxa"/>
            </w:tcMar>
            <w:vAlign w:val="center"/>
          </w:tcPr>
          <w:p w:rsidRPr="006735B4" w:rsidR="00181F8C" w:rsidP="000A23BD" w:rsidRDefault="00181F8C" w14:paraId="442B37B3" w14:textId="77777777">
            <w:pPr>
              <w:keepNext/>
              <w:keepLines/>
              <w:jc w:val="right"/>
              <w:rPr>
                <w:rFonts w:cs="Arial"/>
                <w:sz w:val="16"/>
                <w:szCs w:val="16"/>
              </w:rPr>
            </w:pPr>
          </w:p>
        </w:tc>
        <w:tc>
          <w:tcPr>
            <w:tcW w:w="979" w:type="dxa"/>
            <w:tcBorders>
              <w:top w:val="single" w:color="auto" w:sz="4" w:space="0"/>
              <w:left w:val="nil"/>
              <w:bottom w:val="nil"/>
              <w:right w:val="single" w:color="auto" w:sz="4" w:space="0"/>
            </w:tcBorders>
            <w:shd w:val="clear" w:color="auto" w:fill="auto"/>
            <w:tcMar>
              <w:left w:w="58" w:type="dxa"/>
              <w:right w:w="58" w:type="dxa"/>
            </w:tcMar>
            <w:vAlign w:val="center"/>
          </w:tcPr>
          <w:p w:rsidRPr="006735B4" w:rsidR="00181F8C" w:rsidP="000A23BD" w:rsidRDefault="00181F8C" w14:paraId="4904AC36" w14:textId="77777777">
            <w:pPr>
              <w:keepNext/>
              <w:keepLines/>
              <w:jc w:val="right"/>
              <w:rPr>
                <w:rFonts w:cs="Arial"/>
                <w:sz w:val="16"/>
                <w:szCs w:val="16"/>
              </w:rPr>
            </w:pPr>
          </w:p>
        </w:tc>
      </w:tr>
      <w:tr w:rsidRPr="000864A1" w:rsidR="00F43531" w:rsidTr="006D78A0" w14:paraId="0AD5B752" w14:textId="77777777">
        <w:trPr>
          <w:trHeight w:val="62"/>
        </w:trPr>
        <w:tc>
          <w:tcPr>
            <w:tcW w:w="1440" w:type="dxa"/>
            <w:vMerge/>
            <w:tcBorders>
              <w:bottom w:val="single" w:color="auto" w:sz="4" w:space="0"/>
            </w:tcBorders>
            <w:tcMar>
              <w:left w:w="58" w:type="dxa"/>
              <w:right w:w="58" w:type="dxa"/>
            </w:tcMar>
            <w:vAlign w:val="center"/>
          </w:tcPr>
          <w:p w:rsidRPr="006735B4" w:rsidR="00181F8C" w:rsidP="000A23BD" w:rsidRDefault="00181F8C" w14:paraId="2B013DD7" w14:textId="77777777">
            <w:pPr>
              <w:keepNext/>
              <w:keepLines/>
              <w:rPr>
                <w:rFonts w:eastAsia="Arial" w:cs="Arial"/>
                <w:sz w:val="16"/>
                <w:szCs w:val="16"/>
              </w:rPr>
            </w:pPr>
          </w:p>
        </w:tc>
        <w:tc>
          <w:tcPr>
            <w:tcW w:w="4770" w:type="dxa"/>
            <w:tcBorders>
              <w:bottom w:val="single" w:color="auto" w:sz="4" w:space="0"/>
              <w:right w:val="single" w:color="auto" w:sz="4" w:space="0"/>
            </w:tcBorders>
            <w:shd w:val="clear" w:color="auto" w:fill="auto"/>
            <w:tcMar>
              <w:left w:w="58" w:type="dxa"/>
              <w:right w:w="58" w:type="dxa"/>
            </w:tcMar>
            <w:vAlign w:val="center"/>
          </w:tcPr>
          <w:p w:rsidRPr="006735B4" w:rsidR="00181F8C" w:rsidP="000A23BD" w:rsidRDefault="00181F8C" w14:paraId="69AE1EB2" w14:textId="77777777">
            <w:pPr>
              <w:keepNext/>
              <w:keepLines/>
              <w:rPr>
                <w:rFonts w:eastAsia="Arial" w:cs="Arial"/>
                <w:sz w:val="16"/>
                <w:szCs w:val="16"/>
              </w:rPr>
            </w:pPr>
            <w:r w:rsidRPr="006735B4">
              <w:rPr>
                <w:sz w:val="16"/>
              </w:rPr>
              <w:t>Facility Worker hourly wage rate</w:t>
            </w:r>
          </w:p>
        </w:tc>
        <w:tc>
          <w:tcPr>
            <w:tcW w:w="810" w:type="dxa"/>
            <w:tcBorders>
              <w:left w:val="single" w:color="auto" w:sz="4" w:space="0"/>
              <w:bottom w:val="single" w:color="auto" w:sz="4" w:space="0"/>
              <w:right w:val="single" w:color="auto" w:sz="4" w:space="0"/>
            </w:tcBorders>
            <w:shd w:val="clear" w:color="auto" w:fill="auto"/>
            <w:tcMar>
              <w:left w:w="58" w:type="dxa"/>
              <w:right w:w="58" w:type="dxa"/>
            </w:tcMar>
            <w:vAlign w:val="center"/>
          </w:tcPr>
          <w:p w:rsidRPr="00654BA1" w:rsidR="00181F8C" w:rsidP="000A23BD" w:rsidRDefault="00181F8C" w14:paraId="57DC7857" w14:textId="77044024">
            <w:pPr>
              <w:keepNext/>
              <w:keepLines/>
              <w:jc w:val="right"/>
              <w:rPr>
                <w:rFonts w:eastAsia="Arial"/>
                <w:sz w:val="16"/>
              </w:rPr>
            </w:pPr>
            <w:r w:rsidRPr="006735B4">
              <w:rPr>
                <w:sz w:val="16"/>
              </w:rPr>
              <w:t>$70.65</w:t>
            </w:r>
          </w:p>
        </w:tc>
        <w:tc>
          <w:tcPr>
            <w:tcW w:w="900" w:type="dxa"/>
            <w:tcBorders>
              <w:top w:val="nil"/>
              <w:left w:val="single" w:color="auto" w:sz="4" w:space="0"/>
              <w:bottom w:val="single" w:color="auto" w:sz="4" w:space="0"/>
              <w:right w:val="nil"/>
            </w:tcBorders>
            <w:shd w:val="clear" w:color="auto" w:fill="auto"/>
            <w:tcMar>
              <w:left w:w="58" w:type="dxa"/>
              <w:right w:w="58" w:type="dxa"/>
            </w:tcMar>
            <w:vAlign w:val="center"/>
          </w:tcPr>
          <w:p w:rsidRPr="006735B4" w:rsidR="00181F8C" w:rsidP="000A23BD" w:rsidRDefault="00181F8C" w14:paraId="40018E1A" w14:textId="77777777">
            <w:pPr>
              <w:keepNext/>
              <w:keepLines/>
              <w:jc w:val="right"/>
              <w:rPr>
                <w:rFonts w:cs="Arial"/>
                <w:sz w:val="16"/>
                <w:szCs w:val="16"/>
              </w:rPr>
            </w:pPr>
          </w:p>
        </w:tc>
        <w:tc>
          <w:tcPr>
            <w:tcW w:w="810" w:type="dxa"/>
            <w:tcBorders>
              <w:top w:val="nil"/>
              <w:left w:val="nil"/>
              <w:bottom w:val="single" w:color="auto" w:sz="4" w:space="0"/>
              <w:right w:val="nil"/>
            </w:tcBorders>
            <w:shd w:val="clear" w:color="auto" w:fill="auto"/>
            <w:tcMar>
              <w:left w:w="58" w:type="dxa"/>
              <w:right w:w="58" w:type="dxa"/>
            </w:tcMar>
            <w:vAlign w:val="center"/>
          </w:tcPr>
          <w:p w:rsidRPr="006735B4" w:rsidR="00181F8C" w:rsidP="000A23BD" w:rsidRDefault="00181F8C" w14:paraId="16B555E3" w14:textId="77777777">
            <w:pPr>
              <w:keepNext/>
              <w:keepLines/>
              <w:jc w:val="right"/>
              <w:rPr>
                <w:rFonts w:cs="Arial"/>
                <w:sz w:val="16"/>
                <w:szCs w:val="16"/>
              </w:rPr>
            </w:pPr>
          </w:p>
        </w:tc>
        <w:tc>
          <w:tcPr>
            <w:tcW w:w="979" w:type="dxa"/>
            <w:tcBorders>
              <w:top w:val="nil"/>
              <w:left w:val="nil"/>
              <w:bottom w:val="single" w:color="auto" w:sz="4" w:space="0"/>
              <w:right w:val="single" w:color="auto" w:sz="4" w:space="0"/>
            </w:tcBorders>
            <w:shd w:val="clear" w:color="auto" w:fill="auto"/>
            <w:tcMar>
              <w:left w:w="58" w:type="dxa"/>
              <w:right w:w="58" w:type="dxa"/>
            </w:tcMar>
            <w:vAlign w:val="center"/>
          </w:tcPr>
          <w:p w:rsidRPr="006735B4" w:rsidR="00181F8C" w:rsidP="000A23BD" w:rsidRDefault="00181F8C" w14:paraId="45ACA228" w14:textId="77777777">
            <w:pPr>
              <w:keepNext/>
              <w:keepLines/>
              <w:jc w:val="right"/>
              <w:rPr>
                <w:rFonts w:cs="Arial"/>
                <w:sz w:val="16"/>
                <w:szCs w:val="16"/>
              </w:rPr>
            </w:pPr>
          </w:p>
        </w:tc>
      </w:tr>
      <w:tr w:rsidRPr="000864A1" w:rsidR="00181F8C" w:rsidTr="001F21AC" w14:paraId="51AD9CD6" w14:textId="77777777">
        <w:trPr>
          <w:trHeight w:val="170"/>
        </w:trPr>
        <w:tc>
          <w:tcPr>
            <w:tcW w:w="8730" w:type="dxa"/>
            <w:gridSpan w:val="5"/>
            <w:shd w:val="clear" w:color="auto" w:fill="auto"/>
            <w:tcMar>
              <w:left w:w="58" w:type="dxa"/>
              <w:right w:w="58" w:type="dxa"/>
            </w:tcMar>
            <w:vAlign w:val="center"/>
          </w:tcPr>
          <w:p w:rsidRPr="006735B4" w:rsidR="00181F8C" w:rsidP="00181F8C" w:rsidRDefault="00181F8C" w14:paraId="43E66FA6" w14:textId="77777777">
            <w:pPr>
              <w:keepNext/>
              <w:keepLines/>
              <w:jc w:val="right"/>
              <w:rPr>
                <w:rFonts w:cs="Arial"/>
                <w:b/>
                <w:i/>
                <w:sz w:val="16"/>
                <w:szCs w:val="16"/>
              </w:rPr>
            </w:pPr>
            <w:r w:rsidRPr="006735B4">
              <w:rPr>
                <w:rFonts w:cs="Arial"/>
                <w:b/>
                <w:i/>
                <w:sz w:val="16"/>
                <w:szCs w:val="16"/>
              </w:rPr>
              <w:t>Total Industry Operations Benefit</w:t>
            </w:r>
          </w:p>
        </w:tc>
        <w:tc>
          <w:tcPr>
            <w:tcW w:w="979" w:type="dxa"/>
            <w:shd w:val="clear" w:color="auto" w:fill="auto"/>
            <w:tcMar>
              <w:left w:w="58" w:type="dxa"/>
              <w:right w:w="58" w:type="dxa"/>
            </w:tcMar>
            <w:vAlign w:val="center"/>
          </w:tcPr>
          <w:p w:rsidRPr="006735B4" w:rsidR="00181F8C" w:rsidP="00181F8C" w:rsidRDefault="00F10307" w14:paraId="7A56093F" w14:textId="47147E8A">
            <w:pPr>
              <w:keepNext/>
              <w:keepLines/>
              <w:jc w:val="right"/>
              <w:rPr>
                <w:rFonts w:cs="Arial"/>
                <w:b/>
                <w:i/>
                <w:sz w:val="16"/>
                <w:szCs w:val="16"/>
              </w:rPr>
            </w:pPr>
            <w:r w:rsidRPr="006735B4">
              <w:rPr>
                <w:rFonts w:cs="Arial"/>
                <w:b/>
                <w:i/>
                <w:sz w:val="16"/>
                <w:szCs w:val="16"/>
              </w:rPr>
              <w:t>$370,539</w:t>
            </w:r>
          </w:p>
        </w:tc>
      </w:tr>
      <w:tr w:rsidRPr="000864A1" w:rsidR="00181F8C" w:rsidTr="001F21AC" w14:paraId="52E0017F" w14:textId="77777777">
        <w:tc>
          <w:tcPr>
            <w:tcW w:w="8730" w:type="dxa"/>
            <w:gridSpan w:val="5"/>
            <w:shd w:val="clear" w:color="auto" w:fill="auto"/>
            <w:tcMar>
              <w:left w:w="58" w:type="dxa"/>
              <w:right w:w="58" w:type="dxa"/>
            </w:tcMar>
            <w:vAlign w:val="center"/>
          </w:tcPr>
          <w:p w:rsidRPr="006735B4" w:rsidR="00181F8C" w:rsidP="00181F8C" w:rsidRDefault="00181F8C" w14:paraId="0C66ADC3" w14:textId="77777777">
            <w:pPr>
              <w:jc w:val="right"/>
              <w:rPr>
                <w:rFonts w:cs="Arial"/>
                <w:b/>
                <w:i/>
                <w:sz w:val="16"/>
                <w:szCs w:val="16"/>
              </w:rPr>
            </w:pPr>
            <w:r w:rsidRPr="006735B4">
              <w:rPr>
                <w:rFonts w:cs="Arial"/>
                <w:b/>
                <w:i/>
                <w:sz w:val="16"/>
                <w:szCs w:val="16"/>
              </w:rPr>
              <w:t>Average Operations Benefit Per Site</w:t>
            </w:r>
          </w:p>
        </w:tc>
        <w:tc>
          <w:tcPr>
            <w:tcW w:w="979" w:type="dxa"/>
            <w:shd w:val="clear" w:color="auto" w:fill="auto"/>
            <w:tcMar>
              <w:left w:w="58" w:type="dxa"/>
              <w:right w:w="58" w:type="dxa"/>
            </w:tcMar>
            <w:vAlign w:val="center"/>
          </w:tcPr>
          <w:p w:rsidRPr="006735B4" w:rsidR="00181F8C" w:rsidP="00181F8C" w:rsidRDefault="00F10307" w14:paraId="5A24DA85" w14:textId="7E5B56A1">
            <w:pPr>
              <w:jc w:val="right"/>
              <w:rPr>
                <w:rFonts w:cs="Arial"/>
                <w:b/>
                <w:i/>
                <w:sz w:val="16"/>
                <w:szCs w:val="16"/>
              </w:rPr>
            </w:pPr>
            <w:r w:rsidRPr="006735B4">
              <w:rPr>
                <w:rFonts w:cs="Arial"/>
                <w:b/>
                <w:i/>
                <w:sz w:val="16"/>
                <w:szCs w:val="16"/>
              </w:rPr>
              <w:t>$6,280</w:t>
            </w:r>
          </w:p>
        </w:tc>
      </w:tr>
      <w:tr w:rsidRPr="000864A1" w:rsidR="00181F8C" w:rsidTr="0077635C" w14:paraId="09C98940" w14:textId="77777777">
        <w:trPr>
          <w:trHeight w:val="5912"/>
        </w:trPr>
        <w:tc>
          <w:tcPr>
            <w:tcW w:w="9709" w:type="dxa"/>
            <w:gridSpan w:val="6"/>
            <w:vAlign w:val="center"/>
          </w:tcPr>
          <w:p w:rsidRPr="006735B4" w:rsidR="00181F8C" w:rsidP="00181F8C" w:rsidRDefault="00181F8C" w14:paraId="76A65587" w14:textId="77777777">
            <w:pPr>
              <w:keepNext/>
              <w:spacing w:before="32"/>
              <w:ind w:right="-20"/>
              <w:rPr>
                <w:rFonts w:eastAsia="Arial" w:cs="Arial"/>
                <w:sz w:val="16"/>
                <w:szCs w:val="16"/>
              </w:rPr>
            </w:pPr>
            <w:r w:rsidRPr="006735B4">
              <w:rPr>
                <w:rFonts w:eastAsia="Arial" w:cs="Arial"/>
                <w:b/>
                <w:bCs/>
                <w:sz w:val="16"/>
                <w:szCs w:val="16"/>
              </w:rPr>
              <w:t>Calcu</w:t>
            </w:r>
            <w:r w:rsidRPr="00654BA1">
              <w:rPr>
                <w:rFonts w:eastAsia="Arial"/>
                <w:b/>
                <w:sz w:val="16"/>
              </w:rPr>
              <w:t>l</w:t>
            </w:r>
            <w:r w:rsidRPr="006735B4">
              <w:rPr>
                <w:rFonts w:eastAsia="Arial" w:cs="Arial"/>
                <w:b/>
                <w:bCs/>
                <w:sz w:val="16"/>
                <w:szCs w:val="16"/>
              </w:rPr>
              <w:t>at</w:t>
            </w:r>
            <w:r w:rsidRPr="00654BA1">
              <w:rPr>
                <w:rFonts w:eastAsia="Arial"/>
                <w:b/>
                <w:sz w:val="16"/>
              </w:rPr>
              <w:t>i</w:t>
            </w:r>
            <w:r w:rsidRPr="006735B4">
              <w:rPr>
                <w:rFonts w:eastAsia="Arial" w:cs="Arial"/>
                <w:b/>
                <w:bCs/>
                <w:sz w:val="16"/>
                <w:szCs w:val="16"/>
              </w:rPr>
              <w:t>ons</w:t>
            </w:r>
            <w:r w:rsidRPr="00654BA1">
              <w:rPr>
                <w:rFonts w:eastAsia="Arial"/>
                <w:b/>
                <w:sz w:val="16"/>
              </w:rPr>
              <w:t xml:space="preserve"> </w:t>
            </w:r>
            <w:r w:rsidRPr="006735B4">
              <w:rPr>
                <w:rFonts w:eastAsia="Arial" w:cs="Arial"/>
                <w:b/>
                <w:bCs/>
                <w:sz w:val="16"/>
                <w:szCs w:val="16"/>
              </w:rPr>
              <w:t>(t</w:t>
            </w:r>
            <w:r w:rsidRPr="00654BA1">
              <w:rPr>
                <w:rFonts w:eastAsia="Arial"/>
                <w:b/>
                <w:sz w:val="16"/>
              </w:rPr>
              <w:t>o</w:t>
            </w:r>
            <w:r w:rsidRPr="006735B4">
              <w:rPr>
                <w:rFonts w:eastAsia="Arial" w:cs="Arial"/>
                <w:b/>
                <w:bCs/>
                <w:sz w:val="16"/>
                <w:szCs w:val="16"/>
              </w:rPr>
              <w:t>tals</w:t>
            </w:r>
            <w:r w:rsidRPr="00654BA1">
              <w:rPr>
                <w:rFonts w:eastAsia="Arial"/>
                <w:b/>
                <w:sz w:val="16"/>
              </w:rPr>
              <w:t xml:space="preserve"> ma</w:t>
            </w:r>
            <w:r w:rsidRPr="006735B4">
              <w:rPr>
                <w:rFonts w:eastAsia="Arial" w:cs="Arial"/>
                <w:b/>
                <w:bCs/>
                <w:sz w:val="16"/>
                <w:szCs w:val="16"/>
              </w:rPr>
              <w:t>y</w:t>
            </w:r>
            <w:r w:rsidRPr="00654BA1">
              <w:rPr>
                <w:rFonts w:eastAsia="Arial"/>
                <w:b/>
                <w:sz w:val="16"/>
              </w:rPr>
              <w:t xml:space="preserve"> </w:t>
            </w:r>
            <w:r w:rsidRPr="006735B4">
              <w:rPr>
                <w:rFonts w:eastAsia="Arial" w:cs="Arial"/>
                <w:b/>
                <w:bCs/>
                <w:sz w:val="16"/>
                <w:szCs w:val="16"/>
              </w:rPr>
              <w:t>not</w:t>
            </w:r>
            <w:r w:rsidRPr="00654BA1">
              <w:rPr>
                <w:rFonts w:eastAsia="Arial"/>
                <w:b/>
                <w:sz w:val="16"/>
              </w:rPr>
              <w:t xml:space="preserve"> </w:t>
            </w:r>
            <w:r w:rsidRPr="006735B4">
              <w:rPr>
                <w:rFonts w:eastAsia="Arial" w:cs="Arial"/>
                <w:b/>
                <w:bCs/>
                <w:sz w:val="16"/>
                <w:szCs w:val="16"/>
              </w:rPr>
              <w:t>add</w:t>
            </w:r>
            <w:r w:rsidRPr="00654BA1">
              <w:rPr>
                <w:rFonts w:eastAsia="Arial"/>
                <w:b/>
                <w:sz w:val="16"/>
              </w:rPr>
              <w:t xml:space="preserve"> b</w:t>
            </w:r>
            <w:r w:rsidRPr="006735B4">
              <w:rPr>
                <w:rFonts w:eastAsia="Arial" w:cs="Arial"/>
                <w:b/>
                <w:bCs/>
                <w:sz w:val="16"/>
                <w:szCs w:val="16"/>
              </w:rPr>
              <w:t>ec</w:t>
            </w:r>
            <w:r w:rsidRPr="00654BA1">
              <w:rPr>
                <w:rFonts w:eastAsia="Arial"/>
                <w:b/>
                <w:sz w:val="16"/>
              </w:rPr>
              <w:t>a</w:t>
            </w:r>
            <w:r w:rsidRPr="006735B4">
              <w:rPr>
                <w:rFonts w:eastAsia="Arial" w:cs="Arial"/>
                <w:b/>
                <w:bCs/>
                <w:sz w:val="16"/>
                <w:szCs w:val="16"/>
              </w:rPr>
              <w:t>use</w:t>
            </w:r>
            <w:r w:rsidRPr="00654BA1">
              <w:rPr>
                <w:rFonts w:eastAsia="Arial"/>
                <w:b/>
                <w:sz w:val="16"/>
              </w:rPr>
              <w:t xml:space="preserve"> </w:t>
            </w:r>
            <w:r w:rsidRPr="006735B4">
              <w:rPr>
                <w:rFonts w:eastAsia="Arial" w:cs="Arial"/>
                <w:b/>
                <w:bCs/>
                <w:sz w:val="16"/>
                <w:szCs w:val="16"/>
              </w:rPr>
              <w:t>of</w:t>
            </w:r>
            <w:r w:rsidRPr="00654BA1">
              <w:rPr>
                <w:rFonts w:eastAsia="Arial"/>
                <w:b/>
                <w:sz w:val="16"/>
              </w:rPr>
              <w:t xml:space="preserve"> rounding)</w:t>
            </w:r>
            <w:r w:rsidRPr="006735B4">
              <w:rPr>
                <w:rFonts w:eastAsia="Arial" w:cs="Arial"/>
                <w:b/>
                <w:bCs/>
                <w:sz w:val="16"/>
                <w:szCs w:val="16"/>
              </w:rPr>
              <w:t>:</w:t>
            </w:r>
          </w:p>
          <w:p w:rsidRPr="006735B4" w:rsidR="00181F8C" w:rsidP="00181F8C" w:rsidRDefault="00181F8C" w14:paraId="662C0790" w14:textId="5A6551F9">
            <w:pPr>
              <w:pStyle w:val="ListParagraph"/>
              <w:keepNext/>
              <w:numPr>
                <w:ilvl w:val="0"/>
                <w:numId w:val="20"/>
              </w:numPr>
              <w:spacing w:after="60"/>
              <w:ind w:left="374"/>
              <w:contextualSpacing w:val="0"/>
              <w:rPr>
                <w:rFonts w:eastAsia="Arial" w:cs="Arial"/>
                <w:sz w:val="16"/>
                <w:szCs w:val="16"/>
              </w:rPr>
            </w:pPr>
            <w:r w:rsidRPr="006735B4">
              <w:rPr>
                <w:rFonts w:eastAsia="Arial" w:cs="Arial"/>
                <w:sz w:val="16"/>
                <w:szCs w:val="16"/>
              </w:rPr>
              <w:t xml:space="preserve">Benefits (Cost) </w:t>
            </w:r>
            <w:r w:rsidR="00BB1379">
              <w:rPr>
                <w:rFonts w:eastAsia="Arial" w:cs="Arial"/>
                <w:sz w:val="16"/>
                <w:szCs w:val="16"/>
              </w:rPr>
              <w:t>p</w:t>
            </w:r>
            <w:r w:rsidRPr="006735B4">
              <w:rPr>
                <w:rFonts w:eastAsia="Arial" w:cs="Arial"/>
                <w:sz w:val="16"/>
                <w:szCs w:val="16"/>
              </w:rPr>
              <w:t>er Site = Product (Data Inputs)</w:t>
            </w:r>
          </w:p>
          <w:p w:rsidRPr="006735B4" w:rsidR="00181F8C" w:rsidP="00181F8C" w:rsidRDefault="00181F8C" w14:paraId="422B1254" w14:textId="7ADA50CA">
            <w:pPr>
              <w:pStyle w:val="ListParagraph"/>
              <w:keepNext/>
              <w:numPr>
                <w:ilvl w:val="0"/>
                <w:numId w:val="20"/>
              </w:numPr>
              <w:spacing w:after="60"/>
              <w:ind w:left="374"/>
              <w:contextualSpacing w:val="0"/>
              <w:rPr>
                <w:rFonts w:eastAsia="Arial" w:cs="Arial"/>
                <w:sz w:val="16"/>
                <w:szCs w:val="16"/>
              </w:rPr>
            </w:pPr>
            <w:r w:rsidRPr="006735B4">
              <w:rPr>
                <w:rFonts w:eastAsia="Arial" w:cs="Arial"/>
                <w:sz w:val="16"/>
                <w:szCs w:val="16"/>
              </w:rPr>
              <w:t>Total Benefits (Cost) = Benefits (Cost) Per Site x Number of Sites Affected</w:t>
            </w:r>
          </w:p>
          <w:p w:rsidRPr="006735B4" w:rsidR="00181F8C" w:rsidP="00181F8C" w:rsidRDefault="00181F8C" w14:paraId="096AF364" w14:textId="77777777">
            <w:pPr>
              <w:pStyle w:val="ListParagraph"/>
              <w:keepNext/>
              <w:numPr>
                <w:ilvl w:val="0"/>
                <w:numId w:val="20"/>
              </w:numPr>
              <w:spacing w:after="60"/>
              <w:ind w:left="374"/>
              <w:contextualSpacing w:val="0"/>
              <w:rPr>
                <w:rFonts w:eastAsia="Arial" w:cs="Arial"/>
                <w:sz w:val="16"/>
                <w:szCs w:val="16"/>
              </w:rPr>
            </w:pPr>
            <w:r w:rsidRPr="006735B4">
              <w:rPr>
                <w:rFonts w:eastAsia="Arial" w:cs="Arial"/>
                <w:sz w:val="16"/>
                <w:szCs w:val="16"/>
              </w:rPr>
              <w:t>Total Industry Operations Cost = Sum (Total Benefits (Cost))</w:t>
            </w:r>
          </w:p>
          <w:p w:rsidRPr="006735B4" w:rsidR="00181F8C" w:rsidP="00181F8C" w:rsidRDefault="00181F8C" w14:paraId="6707F2C1" w14:textId="77777777">
            <w:pPr>
              <w:pStyle w:val="ListParagraph"/>
              <w:keepNext/>
              <w:numPr>
                <w:ilvl w:val="0"/>
                <w:numId w:val="20"/>
              </w:numPr>
              <w:spacing w:after="60"/>
              <w:ind w:left="374"/>
              <w:contextualSpacing w:val="0"/>
              <w:rPr>
                <w:rFonts w:eastAsia="Arial" w:cs="Arial"/>
                <w:sz w:val="16"/>
                <w:szCs w:val="16"/>
              </w:rPr>
            </w:pPr>
            <w:r w:rsidRPr="006735B4">
              <w:rPr>
                <w:rFonts w:eastAsia="Arial" w:cs="Arial"/>
                <w:sz w:val="16"/>
                <w:szCs w:val="16"/>
              </w:rPr>
              <w:t>Average Operations Cost Per Site = Total Industry Operations Cost / Total Number of Sites</w:t>
            </w:r>
          </w:p>
          <w:p w:rsidRPr="006735B4" w:rsidR="00181F8C" w:rsidP="00181F8C" w:rsidRDefault="00181F8C" w14:paraId="36F8D57E" w14:textId="77777777">
            <w:pPr>
              <w:ind w:right="-20"/>
              <w:rPr>
                <w:rFonts w:eastAsia="Arial" w:cs="Arial"/>
                <w:sz w:val="16"/>
                <w:szCs w:val="16"/>
              </w:rPr>
            </w:pPr>
          </w:p>
          <w:p w:rsidRPr="006735B4" w:rsidR="00181F8C" w:rsidP="00181F8C" w:rsidRDefault="00181F8C" w14:paraId="03231486" w14:textId="78C50042">
            <w:pPr>
              <w:ind w:left="16" w:right="-20"/>
              <w:rPr>
                <w:rFonts w:eastAsia="Arial" w:cs="Arial"/>
                <w:b/>
                <w:bCs/>
                <w:sz w:val="16"/>
                <w:szCs w:val="16"/>
              </w:rPr>
            </w:pPr>
            <w:r w:rsidRPr="00654BA1">
              <w:rPr>
                <w:rFonts w:eastAsia="Arial"/>
                <w:b/>
                <w:sz w:val="16"/>
              </w:rPr>
              <w:t>Assu</w:t>
            </w:r>
            <w:r w:rsidRPr="006735B4">
              <w:rPr>
                <w:rFonts w:eastAsia="Arial" w:cs="Arial"/>
                <w:b/>
                <w:bCs/>
                <w:sz w:val="16"/>
                <w:szCs w:val="16"/>
              </w:rPr>
              <w:t>m</w:t>
            </w:r>
            <w:r w:rsidRPr="00654BA1">
              <w:rPr>
                <w:rFonts w:eastAsia="Arial"/>
                <w:b/>
                <w:sz w:val="16"/>
              </w:rPr>
              <w:t>ptions (all values based on NRC professional judgment)</w:t>
            </w:r>
            <w:r w:rsidRPr="006735B4">
              <w:rPr>
                <w:rFonts w:eastAsia="Arial" w:cs="Arial"/>
                <w:b/>
                <w:bCs/>
                <w:sz w:val="16"/>
                <w:szCs w:val="16"/>
              </w:rPr>
              <w:t>:</w:t>
            </w:r>
          </w:p>
          <w:p w:rsidRPr="006735B4" w:rsidR="00181F8C" w:rsidP="00181F8C" w:rsidRDefault="00181F8C" w14:paraId="73D712AC" w14:textId="77777777">
            <w:pPr>
              <w:pStyle w:val="ListParagraph"/>
              <w:numPr>
                <w:ilvl w:val="0"/>
                <w:numId w:val="20"/>
              </w:numPr>
              <w:spacing w:after="60"/>
              <w:ind w:left="374"/>
              <w:contextualSpacing w:val="0"/>
              <w:rPr>
                <w:rFonts w:eastAsia="Arial" w:cs="Arial"/>
                <w:sz w:val="16"/>
                <w:szCs w:val="16"/>
              </w:rPr>
            </w:pPr>
            <w:r w:rsidRPr="006735B4">
              <w:rPr>
                <w:rFonts w:eastAsia="Arial" w:cs="Arial"/>
                <w:sz w:val="16"/>
                <w:szCs w:val="16"/>
              </w:rPr>
              <w:t>In-processing personnel work 8 hours per day to complete training activities.</w:t>
            </w:r>
          </w:p>
          <w:p w:rsidRPr="006735B4" w:rsidR="00181F8C" w:rsidP="00181F8C" w:rsidRDefault="00181F8C" w14:paraId="1CF440F5" w14:textId="77777777">
            <w:pPr>
              <w:pStyle w:val="ListParagraph"/>
              <w:numPr>
                <w:ilvl w:val="0"/>
                <w:numId w:val="20"/>
              </w:numPr>
              <w:spacing w:after="60"/>
              <w:ind w:left="374"/>
              <w:contextualSpacing w:val="0"/>
              <w:rPr>
                <w:rFonts w:eastAsia="Arial" w:cs="Arial"/>
                <w:sz w:val="16"/>
                <w:szCs w:val="16"/>
              </w:rPr>
            </w:pPr>
            <w:r w:rsidRPr="006735B4">
              <w:rPr>
                <w:rFonts w:eastAsia="Arial" w:cs="Arial"/>
                <w:sz w:val="16"/>
                <w:szCs w:val="16"/>
              </w:rPr>
              <w:t>FFD drug and alcohol testing is performed on the first day of in-processing.</w:t>
            </w:r>
          </w:p>
          <w:p w:rsidRPr="006735B4" w:rsidR="00181F8C" w:rsidP="00181F8C" w:rsidRDefault="00181F8C" w14:paraId="616CB3C5" w14:textId="37A2156F">
            <w:pPr>
              <w:pStyle w:val="ListParagraph"/>
              <w:numPr>
                <w:ilvl w:val="0"/>
                <w:numId w:val="20"/>
              </w:numPr>
              <w:spacing w:after="60"/>
              <w:ind w:left="374"/>
              <w:contextualSpacing w:val="0"/>
              <w:rPr>
                <w:rFonts w:eastAsia="Arial" w:cs="Arial"/>
                <w:sz w:val="16"/>
                <w:szCs w:val="16"/>
              </w:rPr>
            </w:pPr>
            <w:r w:rsidRPr="006D361F">
              <w:rPr>
                <w:rFonts w:eastAsia="Arial" w:cs="Arial"/>
                <w:sz w:val="16"/>
                <w:szCs w:val="16"/>
              </w:rPr>
              <w:t>A</w:t>
            </w:r>
            <w:r w:rsidRPr="006735B4">
              <w:rPr>
                <w:rFonts w:eastAsia="Arial" w:cs="Arial"/>
                <w:sz w:val="16"/>
                <w:szCs w:val="16"/>
              </w:rPr>
              <w:t xml:space="preserve"> positive drug test result</w:t>
            </w:r>
            <w:r w:rsidRPr="006D361F">
              <w:rPr>
                <w:rFonts w:eastAsia="Arial" w:cs="Arial"/>
                <w:sz w:val="16"/>
                <w:szCs w:val="16"/>
              </w:rPr>
              <w:t xml:space="preserve"> is confirmed by the MRO</w:t>
            </w:r>
            <w:r w:rsidRPr="006735B4">
              <w:rPr>
                <w:rFonts w:eastAsia="Arial" w:cs="Arial"/>
                <w:sz w:val="16"/>
                <w:szCs w:val="16"/>
              </w:rPr>
              <w:t xml:space="preserve"> within 3.5 days of specimen collection, on average.  This means that, on average, in</w:t>
            </w:r>
            <w:r w:rsidRPr="006735B4">
              <w:rPr>
                <w:rFonts w:eastAsia="Arial" w:cs="Arial"/>
                <w:sz w:val="16"/>
                <w:szCs w:val="16"/>
              </w:rPr>
              <w:noBreakHyphen/>
              <w:t xml:space="preserve">processing personnel would have completed 28 hours of training by the time the positive result </w:t>
            </w:r>
            <w:r w:rsidRPr="006735B4" w:rsidR="002D2D1B">
              <w:rPr>
                <w:rFonts w:eastAsia="Arial" w:cs="Arial"/>
                <w:sz w:val="16"/>
                <w:szCs w:val="16"/>
              </w:rPr>
              <w:t>is</w:t>
            </w:r>
            <w:r w:rsidRPr="006735B4">
              <w:rPr>
                <w:rFonts w:eastAsia="Arial" w:cs="Arial"/>
                <w:sz w:val="16"/>
                <w:szCs w:val="16"/>
              </w:rPr>
              <w:t xml:space="preserve"> reported to the licensee or other entity.</w:t>
            </w:r>
          </w:p>
          <w:p w:rsidRPr="006735B4" w:rsidR="00181F8C" w:rsidP="00181F8C" w:rsidRDefault="00181F8C" w14:paraId="22397252" w14:textId="77777777">
            <w:pPr>
              <w:pStyle w:val="ListParagraph"/>
              <w:numPr>
                <w:ilvl w:val="0"/>
                <w:numId w:val="20"/>
              </w:numPr>
              <w:spacing w:after="60"/>
              <w:ind w:left="374"/>
              <w:contextualSpacing w:val="0"/>
              <w:rPr>
                <w:rFonts w:eastAsia="Arial" w:cs="Arial"/>
                <w:sz w:val="16"/>
                <w:szCs w:val="16"/>
              </w:rPr>
            </w:pPr>
            <w:r w:rsidRPr="006735B4">
              <w:rPr>
                <w:rFonts w:eastAsia="Arial" w:cs="Arial"/>
                <w:sz w:val="16"/>
                <w:szCs w:val="16"/>
              </w:rPr>
              <w:t>The weighted average of training time (in hours) per person during in-processing is based on the following assumptions:</w:t>
            </w:r>
          </w:p>
          <w:p w:rsidRPr="006735B4" w:rsidR="00181F8C" w:rsidP="00181F8C" w:rsidRDefault="00181F8C" w14:paraId="10E380E5" w14:textId="1D35BD62">
            <w:pPr>
              <w:pStyle w:val="ListParagraph"/>
              <w:numPr>
                <w:ilvl w:val="0"/>
                <w:numId w:val="23"/>
              </w:numPr>
              <w:spacing w:after="60"/>
              <w:rPr>
                <w:rFonts w:eastAsia="Arial" w:cs="Arial"/>
                <w:sz w:val="16"/>
                <w:szCs w:val="16"/>
              </w:rPr>
            </w:pPr>
            <w:r w:rsidRPr="006735B4">
              <w:rPr>
                <w:rFonts w:eastAsia="Arial" w:cs="Arial"/>
                <w:sz w:val="16"/>
                <w:szCs w:val="16"/>
              </w:rPr>
              <w:t>All personnel require 5 days (40 hours) to complete in-process training (i.e., arrival, electronic personal history questionnaire review and follow up if needed), general employee training (access authorization, FFD drug and alcohol testing, emergency evacuation, site awareness, and site access badging), and site access (consent, fingerprints, personally disqualifying information review) = 40 hours total training days</w:t>
            </w:r>
            <w:r w:rsidR="00381223">
              <w:rPr>
                <w:rFonts w:eastAsia="Arial" w:cs="Arial"/>
                <w:sz w:val="16"/>
                <w:szCs w:val="16"/>
              </w:rPr>
              <w:t>.</w:t>
            </w:r>
          </w:p>
          <w:p w:rsidRPr="006735B4" w:rsidR="00181F8C" w:rsidP="00181F8C" w:rsidRDefault="00181F8C" w14:paraId="02D48126" w14:textId="77777777">
            <w:pPr>
              <w:pStyle w:val="ListParagraph"/>
              <w:spacing w:after="60"/>
              <w:ind w:left="734"/>
              <w:rPr>
                <w:rFonts w:eastAsia="Arial" w:cs="Arial"/>
                <w:sz w:val="16"/>
                <w:szCs w:val="16"/>
              </w:rPr>
            </w:pPr>
          </w:p>
          <w:p w:rsidRPr="006735B4" w:rsidR="00181F8C" w:rsidP="00181F8C" w:rsidRDefault="00181F8C" w14:paraId="2D6B4BDF" w14:textId="601D0B8E">
            <w:pPr>
              <w:pStyle w:val="ListParagraph"/>
              <w:numPr>
                <w:ilvl w:val="0"/>
                <w:numId w:val="23"/>
              </w:numPr>
              <w:spacing w:after="60"/>
              <w:rPr>
                <w:rFonts w:eastAsia="Arial" w:cs="Arial"/>
                <w:sz w:val="16"/>
                <w:szCs w:val="16"/>
              </w:rPr>
            </w:pPr>
            <w:r w:rsidRPr="006735B4">
              <w:rPr>
                <w:rFonts w:eastAsia="Arial" w:cs="Arial"/>
                <w:sz w:val="16"/>
                <w:szCs w:val="16"/>
              </w:rPr>
              <w:t>25 percent of in-processing personnel require 4 additional hours of confined space, Occupational Safety and Health Administration (OSHA), and radiological training = 44 hours in total training time (total of 1 + 2)</w:t>
            </w:r>
            <w:r w:rsidR="00A9611C">
              <w:rPr>
                <w:rFonts w:eastAsia="Arial" w:cs="Arial"/>
                <w:sz w:val="16"/>
                <w:szCs w:val="16"/>
              </w:rPr>
              <w:t>.</w:t>
            </w:r>
          </w:p>
          <w:p w:rsidRPr="006735B4" w:rsidR="00181F8C" w:rsidP="00181F8C" w:rsidRDefault="00181F8C" w14:paraId="084A8548" w14:textId="77777777">
            <w:pPr>
              <w:pStyle w:val="ListParagraph"/>
              <w:rPr>
                <w:rFonts w:eastAsia="Arial" w:cs="Arial"/>
                <w:sz w:val="16"/>
                <w:szCs w:val="16"/>
              </w:rPr>
            </w:pPr>
          </w:p>
          <w:p w:rsidRPr="006735B4" w:rsidR="00181F8C" w:rsidP="00181F8C" w:rsidRDefault="00181F8C" w14:paraId="2DE7C86A" w14:textId="73EEAC45">
            <w:pPr>
              <w:pStyle w:val="ListParagraph"/>
              <w:numPr>
                <w:ilvl w:val="0"/>
                <w:numId w:val="23"/>
              </w:numPr>
              <w:spacing w:after="60"/>
              <w:rPr>
                <w:rFonts w:eastAsia="Arial" w:cs="Arial"/>
                <w:sz w:val="16"/>
                <w:szCs w:val="16"/>
              </w:rPr>
            </w:pPr>
            <w:r w:rsidRPr="006735B4">
              <w:rPr>
                <w:rFonts w:eastAsia="Arial" w:cs="Arial"/>
                <w:sz w:val="16"/>
                <w:szCs w:val="16"/>
              </w:rPr>
              <w:t>25 percent of in-processing personnel require 8 additional hours of training (4 hours for confined space, OSHA, and radiological training and 4 hours for dynamic demonstration training (e.g., in-shop demonstration training)) = 48 hours in total training time (total 1 + 2 + 3)</w:t>
            </w:r>
          </w:p>
          <w:p w:rsidRPr="006735B4" w:rsidR="00181F8C" w:rsidP="00181F8C" w:rsidRDefault="00181F8C" w14:paraId="30005942" w14:textId="77777777">
            <w:pPr>
              <w:pStyle w:val="ListParagraph"/>
              <w:rPr>
                <w:rFonts w:eastAsia="Arial" w:cs="Arial"/>
                <w:sz w:val="16"/>
                <w:szCs w:val="16"/>
              </w:rPr>
            </w:pPr>
          </w:p>
          <w:p w:rsidRPr="006735B4" w:rsidR="00181F8C" w:rsidP="00181F8C" w:rsidRDefault="00181F8C" w14:paraId="186D0F26" w14:textId="0F769374">
            <w:pPr>
              <w:pStyle w:val="ListParagraph"/>
              <w:spacing w:after="60"/>
              <w:ind w:left="734"/>
              <w:rPr>
                <w:rFonts w:eastAsia="Arial" w:cs="Arial"/>
                <w:sz w:val="16"/>
                <w:szCs w:val="16"/>
              </w:rPr>
            </w:pPr>
            <w:r w:rsidRPr="006735B4">
              <w:rPr>
                <w:rFonts w:eastAsia="Arial" w:cs="Arial"/>
                <w:sz w:val="16"/>
                <w:szCs w:val="16"/>
              </w:rPr>
              <w:t>Weighted average of total training days per person during in-processing = (50% x 40 hours) + (25% x 44 hours) + (25%</w:t>
            </w:r>
            <w:r w:rsidRPr="006735B4" w:rsidR="0047210D">
              <w:rPr>
                <w:rFonts w:eastAsia="Arial" w:cs="Arial"/>
                <w:sz w:val="16"/>
                <w:szCs w:val="16"/>
              </w:rPr>
              <w:t> </w:t>
            </w:r>
            <w:r w:rsidRPr="006735B4">
              <w:rPr>
                <w:rFonts w:eastAsia="Arial" w:cs="Arial"/>
                <w:sz w:val="16"/>
                <w:szCs w:val="16"/>
              </w:rPr>
              <w:t>x</w:t>
            </w:r>
            <w:r w:rsidRPr="006735B4" w:rsidR="0047210D">
              <w:rPr>
                <w:rFonts w:eastAsia="Arial" w:cs="Arial"/>
                <w:sz w:val="16"/>
                <w:szCs w:val="16"/>
              </w:rPr>
              <w:t> </w:t>
            </w:r>
            <w:r w:rsidRPr="006735B4">
              <w:rPr>
                <w:rFonts w:eastAsia="Arial" w:cs="Arial"/>
                <w:sz w:val="16"/>
                <w:szCs w:val="16"/>
              </w:rPr>
              <w:t>48 hours) = 43 hours</w:t>
            </w:r>
          </w:p>
          <w:p w:rsidRPr="006735B4" w:rsidR="00181F8C" w:rsidP="00181F8C" w:rsidRDefault="00181F8C" w14:paraId="2AEAD3F0" w14:textId="77777777">
            <w:pPr>
              <w:pStyle w:val="ListParagraph"/>
              <w:spacing w:after="60"/>
              <w:ind w:left="734"/>
              <w:rPr>
                <w:rFonts w:eastAsia="Arial" w:cs="Arial"/>
                <w:sz w:val="16"/>
                <w:szCs w:val="16"/>
              </w:rPr>
            </w:pPr>
          </w:p>
          <w:p w:rsidRPr="006735B4" w:rsidR="00181F8C" w:rsidP="0077635C" w:rsidRDefault="00181F8C" w14:paraId="33A987BF" w14:textId="6769E0E7">
            <w:pPr>
              <w:pStyle w:val="ListParagraph"/>
              <w:numPr>
                <w:ilvl w:val="0"/>
                <w:numId w:val="20"/>
              </w:numPr>
              <w:spacing w:after="120"/>
              <w:ind w:left="374"/>
              <w:contextualSpacing w:val="0"/>
              <w:rPr>
                <w:rFonts w:cs="Arial"/>
                <w:sz w:val="16"/>
                <w:szCs w:val="16"/>
              </w:rPr>
            </w:pPr>
            <w:r w:rsidRPr="006735B4">
              <w:rPr>
                <w:rFonts w:eastAsia="Arial" w:cs="Arial"/>
                <w:sz w:val="16"/>
                <w:szCs w:val="16"/>
              </w:rPr>
              <w:t xml:space="preserve">Appendices B and D </w:t>
            </w:r>
            <w:r w:rsidRPr="006735B4" w:rsidR="0039797E">
              <w:rPr>
                <w:rFonts w:eastAsia="Arial" w:cs="Arial"/>
                <w:sz w:val="16"/>
                <w:szCs w:val="16"/>
              </w:rPr>
              <w:t>present</w:t>
            </w:r>
            <w:r w:rsidRPr="006735B4">
              <w:rPr>
                <w:rFonts w:eastAsia="Arial" w:cs="Arial"/>
                <w:sz w:val="16"/>
                <w:szCs w:val="16"/>
              </w:rPr>
              <w:t xml:space="preserve"> additional information on </w:t>
            </w:r>
            <w:r w:rsidRPr="006735B4" w:rsidR="0039797E">
              <w:rPr>
                <w:rFonts w:eastAsia="Arial" w:cs="Arial"/>
                <w:sz w:val="16"/>
                <w:szCs w:val="16"/>
              </w:rPr>
              <w:t xml:space="preserve">the </w:t>
            </w:r>
            <w:r w:rsidRPr="006735B4">
              <w:rPr>
                <w:rFonts w:eastAsia="Arial" w:cs="Arial"/>
                <w:sz w:val="16"/>
                <w:szCs w:val="16"/>
              </w:rPr>
              <w:t>parameters used in these calculations.</w:t>
            </w:r>
          </w:p>
        </w:tc>
      </w:tr>
      <w:bookmarkEnd w:id="303"/>
      <w:bookmarkEnd w:id="304"/>
    </w:tbl>
    <w:p w:rsidR="00245AB8" w:rsidP="00FA4994" w:rsidRDefault="00245AB8" w14:paraId="480E6ADF" w14:textId="00144C5C">
      <w:pPr>
        <w:rPr>
          <w:sz w:val="22"/>
          <w:szCs w:val="22"/>
        </w:rPr>
      </w:pPr>
    </w:p>
    <w:p w:rsidR="0015129F" w:rsidP="00FA4994" w:rsidRDefault="0015129F" w14:paraId="1B12E197" w14:textId="77777777">
      <w:pPr>
        <w:rPr>
          <w:sz w:val="22"/>
          <w:szCs w:val="22"/>
        </w:rPr>
        <w:sectPr w:rsidR="0015129F" w:rsidSect="006D78A0">
          <w:footerReference w:type="default" r:id="rId40"/>
          <w:pgSz w:w="12240" w:h="15840" w:code="1"/>
          <w:pgMar w:top="1440" w:right="1440" w:bottom="1440" w:left="1440" w:header="720" w:footer="720" w:gutter="0"/>
          <w:pgNumType w:start="1"/>
          <w:cols w:space="720"/>
          <w:noEndnote/>
          <w:docGrid w:linePitch="272"/>
        </w:sectPr>
      </w:pPr>
    </w:p>
    <w:p w:rsidRPr="00B05CB1" w:rsidR="0015129F" w:rsidP="00B05CB1" w:rsidRDefault="0015129F" w14:paraId="25C21F32" w14:textId="33538908">
      <w:pPr>
        <w:autoSpaceDE/>
        <w:autoSpaceDN/>
        <w:adjustRightInd/>
        <w:rPr>
          <w:b/>
          <w:i/>
          <w:sz w:val="28"/>
          <w:szCs w:val="28"/>
        </w:rPr>
      </w:pPr>
      <w:bookmarkStart w:name="_Hlk68262965" w:id="305"/>
      <w:r w:rsidRPr="00B05CB1">
        <w:rPr>
          <w:b/>
          <w:i/>
          <w:sz w:val="28"/>
          <w:szCs w:val="28"/>
        </w:rPr>
        <w:t>Appendix F</w:t>
      </w:r>
      <w:r w:rsidRPr="00B05CB1" w:rsidR="006213DC">
        <w:rPr>
          <w:b/>
          <w:i/>
          <w:sz w:val="28"/>
          <w:szCs w:val="28"/>
        </w:rPr>
        <w:t xml:space="preserve">:  </w:t>
      </w:r>
      <w:r w:rsidRPr="00757CB7" w:rsidR="006213DC">
        <w:rPr>
          <w:b/>
          <w:i/>
          <w:sz w:val="28"/>
          <w:szCs w:val="28"/>
        </w:rPr>
        <w:t xml:space="preserve">Alternative </w:t>
      </w:r>
      <w:r w:rsidRPr="00757CB7" w:rsidR="0010660E">
        <w:rPr>
          <w:b/>
          <w:i/>
          <w:sz w:val="28"/>
          <w:szCs w:val="28"/>
        </w:rPr>
        <w:t xml:space="preserve">Specimen </w:t>
      </w:r>
      <w:r w:rsidR="00DC1C1D">
        <w:rPr>
          <w:b/>
          <w:i/>
          <w:sz w:val="28"/>
          <w:szCs w:val="28"/>
        </w:rPr>
        <w:t xml:space="preserve">(Oral Fluid) </w:t>
      </w:r>
      <w:r w:rsidRPr="00757CB7" w:rsidR="0010660E">
        <w:rPr>
          <w:b/>
          <w:i/>
          <w:sz w:val="28"/>
          <w:szCs w:val="28"/>
        </w:rPr>
        <w:t>Drug Testing</w:t>
      </w:r>
    </w:p>
    <w:bookmarkEnd w:id="305"/>
    <w:p w:rsidRPr="00DB7BD1" w:rsidR="002D2F79" w:rsidP="00FA4994" w:rsidRDefault="002D2F79" w14:paraId="5E8B2114" w14:textId="1A80F26E">
      <w:pPr>
        <w:rPr>
          <w:sz w:val="22"/>
          <w:szCs w:val="22"/>
        </w:rPr>
      </w:pPr>
    </w:p>
    <w:tbl>
      <w:tblPr>
        <w:tblW w:w="935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left w:w="115" w:type="dxa"/>
          <w:right w:w="115" w:type="dxa"/>
        </w:tblCellMar>
        <w:tblLook w:val="04A0" w:firstRow="1" w:lastRow="0" w:firstColumn="1" w:lastColumn="0" w:noHBand="0" w:noVBand="1"/>
      </w:tblPr>
      <w:tblGrid>
        <w:gridCol w:w="1527"/>
        <w:gridCol w:w="3960"/>
        <w:gridCol w:w="1080"/>
        <w:gridCol w:w="900"/>
        <w:gridCol w:w="886"/>
        <w:gridCol w:w="1003"/>
      </w:tblGrid>
      <w:tr w:rsidRPr="0010660E" w:rsidR="00DA0486" w:rsidTr="0038036B" w14:paraId="76E5ABC0" w14:textId="77777777">
        <w:trPr>
          <w:trHeight w:val="1579"/>
          <w:jc w:val="center"/>
        </w:trPr>
        <w:tc>
          <w:tcPr>
            <w:tcW w:w="9356" w:type="dxa"/>
            <w:gridSpan w:val="6"/>
            <w:shd w:val="clear" w:color="auto" w:fill="auto"/>
            <w:noWrap/>
            <w:vAlign w:val="center"/>
            <w:hideMark/>
          </w:tcPr>
          <w:p w:rsidRPr="00DB7BD1" w:rsidR="00DA0486" w:rsidP="00721114" w:rsidRDefault="00DA0486" w14:paraId="79C35B38" w14:textId="682D7606">
            <w:pPr>
              <w:rPr>
                <w:rFonts w:cs="Arial"/>
                <w:b/>
                <w:bCs/>
                <w:i/>
                <w:iCs/>
              </w:rPr>
            </w:pPr>
            <w:r w:rsidRPr="00DB7BD1">
              <w:rPr>
                <w:rFonts w:cs="Arial"/>
                <w:b/>
                <w:bCs/>
                <w:i/>
                <w:iCs/>
              </w:rPr>
              <w:t xml:space="preserve">Oral </w:t>
            </w:r>
            <w:r w:rsidRPr="00DB7BD1" w:rsidR="005C130E">
              <w:rPr>
                <w:rFonts w:cs="Arial"/>
                <w:b/>
                <w:bCs/>
                <w:i/>
                <w:iCs/>
              </w:rPr>
              <w:t>Fluid</w:t>
            </w:r>
            <w:r w:rsidRPr="00DB7BD1">
              <w:rPr>
                <w:rFonts w:cs="Arial"/>
                <w:b/>
                <w:bCs/>
                <w:i/>
                <w:iCs/>
              </w:rPr>
              <w:t xml:space="preserve"> Specimen Drug Testing</w:t>
            </w:r>
          </w:p>
          <w:p w:rsidRPr="00DB7BD1" w:rsidR="00DA0486" w:rsidP="00552C58" w:rsidRDefault="00051A67" w14:paraId="632309CD" w14:textId="5B296161">
            <w:pPr>
              <w:spacing w:before="120"/>
              <w:ind w:left="72"/>
              <w:rPr>
                <w:rFonts w:cs="Arial"/>
                <w:sz w:val="16"/>
                <w:szCs w:val="16"/>
              </w:rPr>
            </w:pPr>
            <w:r>
              <w:rPr>
                <w:rFonts w:cs="Arial"/>
                <w:sz w:val="16"/>
                <w:szCs w:val="16"/>
              </w:rPr>
              <w:t xml:space="preserve">In the final rule, Title 10 of the </w:t>
            </w:r>
            <w:r w:rsidRPr="000D3B34">
              <w:rPr>
                <w:rFonts w:cs="Arial"/>
                <w:i/>
                <w:iCs/>
                <w:sz w:val="16"/>
                <w:szCs w:val="16"/>
              </w:rPr>
              <w:t>Code of Federal Regulations</w:t>
            </w:r>
            <w:r>
              <w:rPr>
                <w:rFonts w:cs="Arial"/>
                <w:sz w:val="16"/>
                <w:szCs w:val="16"/>
              </w:rPr>
              <w:t xml:space="preserve"> (10 CFR) </w:t>
            </w:r>
            <w:r w:rsidRPr="00DC1C1D" w:rsidR="003F3D0D">
              <w:rPr>
                <w:rFonts w:cs="Arial"/>
                <w:sz w:val="16"/>
                <w:szCs w:val="16"/>
              </w:rPr>
              <w:t>26.83(b)</w:t>
            </w:r>
            <w:r w:rsidRPr="00DC1C1D" w:rsidR="00BC009B">
              <w:rPr>
                <w:rFonts w:cs="Arial"/>
                <w:sz w:val="16"/>
                <w:szCs w:val="16"/>
              </w:rPr>
              <w:t xml:space="preserve"> </w:t>
            </w:r>
            <w:r w:rsidRPr="00DC1C1D" w:rsidR="00DA0486">
              <w:rPr>
                <w:rFonts w:cs="Arial"/>
                <w:sz w:val="16"/>
                <w:szCs w:val="16"/>
              </w:rPr>
              <w:t xml:space="preserve">provides licensees and other entities </w:t>
            </w:r>
            <w:r w:rsidRPr="00DC1C1D" w:rsidR="00E30FEA">
              <w:rPr>
                <w:rFonts w:cs="Arial"/>
                <w:sz w:val="16"/>
                <w:szCs w:val="16"/>
              </w:rPr>
              <w:t xml:space="preserve">with </w:t>
            </w:r>
            <w:r w:rsidRPr="00DC1C1D" w:rsidR="00DA0486">
              <w:rPr>
                <w:rFonts w:cs="Arial"/>
                <w:sz w:val="16"/>
                <w:szCs w:val="16"/>
              </w:rPr>
              <w:t xml:space="preserve">the option to </w:t>
            </w:r>
            <w:r w:rsidRPr="00DC1C1D" w:rsidR="001E5CC2">
              <w:rPr>
                <w:rFonts w:cs="Arial"/>
                <w:sz w:val="16"/>
                <w:szCs w:val="16"/>
              </w:rPr>
              <w:t>collect and test an oral fluid specimen</w:t>
            </w:r>
            <w:r w:rsidRPr="00DC1C1D" w:rsidR="00F8430D">
              <w:rPr>
                <w:rFonts w:cs="Arial"/>
                <w:sz w:val="16"/>
                <w:szCs w:val="16"/>
              </w:rPr>
              <w:t xml:space="preserve"> </w:t>
            </w:r>
            <w:r w:rsidRPr="00DC1C1D" w:rsidR="00E30FEA">
              <w:rPr>
                <w:rFonts w:cs="Arial"/>
                <w:sz w:val="16"/>
                <w:szCs w:val="16"/>
              </w:rPr>
              <w:t xml:space="preserve">instead of a urine specimen </w:t>
            </w:r>
            <w:r w:rsidRPr="00DC1C1D" w:rsidR="00F8430D">
              <w:rPr>
                <w:rFonts w:cs="Arial"/>
                <w:sz w:val="16"/>
                <w:szCs w:val="16"/>
              </w:rPr>
              <w:t xml:space="preserve">for any </w:t>
            </w:r>
            <w:r w:rsidRPr="00DC1C1D" w:rsidR="00E30FEA">
              <w:rPr>
                <w:rFonts w:cs="Arial"/>
                <w:sz w:val="16"/>
                <w:szCs w:val="16"/>
              </w:rPr>
              <w:t xml:space="preserve">of the </w:t>
            </w:r>
            <w:r w:rsidRPr="00DC1C1D" w:rsidR="00F8430D">
              <w:rPr>
                <w:rFonts w:cs="Arial"/>
                <w:sz w:val="16"/>
                <w:szCs w:val="16"/>
              </w:rPr>
              <w:t xml:space="preserve">observed specimen collection conditions under </w:t>
            </w:r>
            <w:r w:rsidRPr="00DC1C1D" w:rsidR="00E30FEA">
              <w:rPr>
                <w:rFonts w:cs="Arial"/>
                <w:sz w:val="16"/>
                <w:szCs w:val="16"/>
              </w:rPr>
              <w:t>10 CFR </w:t>
            </w:r>
            <w:r w:rsidRPr="00DC1C1D" w:rsidR="00F8430D">
              <w:rPr>
                <w:rFonts w:cs="Arial"/>
                <w:sz w:val="16"/>
                <w:szCs w:val="16"/>
              </w:rPr>
              <w:t>26.115(a)(1) through</w:t>
            </w:r>
            <w:r w:rsidRPr="00DC1C1D" w:rsidR="00E164F3">
              <w:rPr>
                <w:rFonts w:cs="Arial"/>
                <w:sz w:val="16"/>
                <w:szCs w:val="16"/>
              </w:rPr>
              <w:t xml:space="preserve"> (a)</w:t>
            </w:r>
            <w:r w:rsidRPr="00DC1C1D" w:rsidR="00F8430D">
              <w:rPr>
                <w:rFonts w:cs="Arial"/>
                <w:sz w:val="16"/>
                <w:szCs w:val="16"/>
              </w:rPr>
              <w:t xml:space="preserve">(3) and (a)(5). </w:t>
            </w:r>
            <w:r w:rsidR="00F32686">
              <w:rPr>
                <w:rFonts w:cs="Arial"/>
                <w:sz w:val="16"/>
                <w:szCs w:val="16"/>
              </w:rPr>
              <w:t xml:space="preserve"> </w:t>
            </w:r>
            <w:r w:rsidRPr="00DC1C1D" w:rsidR="00E30FEA">
              <w:rPr>
                <w:rFonts w:cs="Arial"/>
                <w:sz w:val="16"/>
                <w:szCs w:val="16"/>
              </w:rPr>
              <w:t xml:space="preserve">Testing of an oral fluid specimen must be </w:t>
            </w:r>
            <w:r w:rsidRPr="00DC1C1D" w:rsidR="0038036B">
              <w:rPr>
                <w:rFonts w:cs="Arial"/>
                <w:sz w:val="16"/>
                <w:szCs w:val="16"/>
              </w:rPr>
              <w:t xml:space="preserve">performed at a </w:t>
            </w:r>
            <w:r w:rsidR="00EF1D9F">
              <w:rPr>
                <w:rFonts w:cs="Arial"/>
                <w:sz w:val="16"/>
                <w:szCs w:val="16"/>
              </w:rPr>
              <w:t xml:space="preserve">laboratory </w:t>
            </w:r>
            <w:r w:rsidR="005C4541">
              <w:rPr>
                <w:rFonts w:cs="Arial"/>
                <w:sz w:val="16"/>
                <w:szCs w:val="16"/>
              </w:rPr>
              <w:t>certified</w:t>
            </w:r>
            <w:r w:rsidRPr="00DC1C1D" w:rsidR="00D12875">
              <w:rPr>
                <w:rFonts w:cs="Arial"/>
                <w:sz w:val="16"/>
                <w:szCs w:val="16"/>
              </w:rPr>
              <w:t xml:space="preserve"> </w:t>
            </w:r>
            <w:r w:rsidR="00EF1D9F">
              <w:rPr>
                <w:rFonts w:cs="Arial"/>
                <w:sz w:val="16"/>
                <w:szCs w:val="16"/>
              </w:rPr>
              <w:t>by the U.S. Department of Health and Human Services (HHS)</w:t>
            </w:r>
            <w:r w:rsidRPr="00DC1C1D" w:rsidR="00DA0486">
              <w:rPr>
                <w:rFonts w:cs="Arial"/>
                <w:sz w:val="16"/>
                <w:szCs w:val="16"/>
              </w:rPr>
              <w:t>.</w:t>
            </w:r>
          </w:p>
          <w:p w:rsidRPr="00DB7BD1" w:rsidR="00DA0486" w:rsidP="00552C58" w:rsidRDefault="00DA0486" w14:paraId="5C643583" w14:textId="77777777">
            <w:pPr>
              <w:ind w:left="72"/>
              <w:rPr>
                <w:rFonts w:cs="Arial"/>
                <w:sz w:val="16"/>
                <w:szCs w:val="16"/>
              </w:rPr>
            </w:pPr>
          </w:p>
          <w:p w:rsidRPr="00DC1C1D" w:rsidR="00DA0486" w:rsidP="00835265" w:rsidRDefault="00DA0486" w14:paraId="762B1884" w14:textId="1C0631FC">
            <w:pPr>
              <w:spacing w:after="120"/>
              <w:ind w:left="72"/>
              <w:rPr>
                <w:rFonts w:cs="Arial"/>
                <w:sz w:val="16"/>
                <w:szCs w:val="16"/>
              </w:rPr>
            </w:pPr>
            <w:r w:rsidRPr="00DB7BD1">
              <w:rPr>
                <w:rFonts w:cs="Arial"/>
                <w:sz w:val="16"/>
                <w:szCs w:val="16"/>
              </w:rPr>
              <w:t>The</w:t>
            </w:r>
            <w:r w:rsidRPr="00DC1C1D">
              <w:rPr>
                <w:rFonts w:cs="Arial"/>
                <w:sz w:val="16"/>
                <w:szCs w:val="16"/>
              </w:rPr>
              <w:t xml:space="preserve"> </w:t>
            </w:r>
            <w:r w:rsidR="00A52EF5">
              <w:rPr>
                <w:rFonts w:cs="Arial"/>
                <w:sz w:val="16"/>
                <w:szCs w:val="16"/>
              </w:rPr>
              <w:t>U.S. Nuclear Regulatory Commission (</w:t>
            </w:r>
            <w:r w:rsidRPr="00DC1C1D" w:rsidR="00B376F7">
              <w:rPr>
                <w:rFonts w:cs="Arial"/>
                <w:sz w:val="16"/>
                <w:szCs w:val="16"/>
              </w:rPr>
              <w:t>NRC</w:t>
            </w:r>
            <w:r w:rsidR="00A52EF5">
              <w:rPr>
                <w:rFonts w:cs="Arial"/>
                <w:sz w:val="16"/>
                <w:szCs w:val="16"/>
              </w:rPr>
              <w:t>)</w:t>
            </w:r>
            <w:r w:rsidRPr="00DB7BD1">
              <w:rPr>
                <w:rFonts w:cs="Arial"/>
                <w:sz w:val="16"/>
                <w:szCs w:val="16"/>
              </w:rPr>
              <w:t xml:space="preserve"> staff estimated the net benefits (costs) of </w:t>
            </w:r>
            <w:r w:rsidRPr="00DC1C1D" w:rsidR="00DC1C1D">
              <w:rPr>
                <w:rFonts w:cs="Arial"/>
                <w:sz w:val="16"/>
                <w:szCs w:val="16"/>
              </w:rPr>
              <w:t xml:space="preserve">the oral fluid specimen option </w:t>
            </w:r>
            <w:r w:rsidRPr="00DB7BD1">
              <w:rPr>
                <w:rFonts w:cs="Arial"/>
                <w:sz w:val="16"/>
                <w:szCs w:val="16"/>
              </w:rPr>
              <w:t xml:space="preserve">by calculating the costs of the alternative </w:t>
            </w:r>
            <w:r w:rsidRPr="00DC1C1D">
              <w:rPr>
                <w:rFonts w:cs="Arial"/>
                <w:sz w:val="16"/>
                <w:szCs w:val="16"/>
              </w:rPr>
              <w:t>process (</w:t>
            </w:r>
            <w:r w:rsidRPr="00DB7BD1">
              <w:rPr>
                <w:rFonts w:cs="Arial"/>
                <w:sz w:val="16"/>
                <w:szCs w:val="16"/>
              </w:rPr>
              <w:t xml:space="preserve">oral fluid) and subtracting </w:t>
            </w:r>
            <w:r w:rsidRPr="00DC1C1D">
              <w:rPr>
                <w:rFonts w:cs="Arial"/>
                <w:sz w:val="16"/>
                <w:szCs w:val="16"/>
              </w:rPr>
              <w:t>th</w:t>
            </w:r>
            <w:r w:rsidRPr="00DC1C1D" w:rsidR="00C12EE1">
              <w:rPr>
                <w:rFonts w:cs="Arial"/>
                <w:sz w:val="16"/>
                <w:szCs w:val="16"/>
              </w:rPr>
              <w:t>ose</w:t>
            </w:r>
            <w:r w:rsidRPr="00DB7BD1">
              <w:rPr>
                <w:rFonts w:cs="Arial"/>
                <w:sz w:val="16"/>
                <w:szCs w:val="16"/>
              </w:rPr>
              <w:t xml:space="preserve"> costs </w:t>
            </w:r>
            <w:r w:rsidRPr="00DC1C1D" w:rsidR="00C12EE1">
              <w:rPr>
                <w:rFonts w:cs="Arial"/>
                <w:sz w:val="16"/>
                <w:szCs w:val="16"/>
              </w:rPr>
              <w:t>from the</w:t>
            </w:r>
            <w:r w:rsidRPr="00DB7BD1">
              <w:rPr>
                <w:rFonts w:cs="Arial"/>
                <w:sz w:val="16"/>
                <w:szCs w:val="16"/>
              </w:rPr>
              <w:t xml:space="preserve"> costs</w:t>
            </w:r>
            <w:r w:rsidRPr="00DC1C1D" w:rsidR="00C12EE1">
              <w:rPr>
                <w:rFonts w:cs="Arial"/>
                <w:sz w:val="16"/>
                <w:szCs w:val="16"/>
              </w:rPr>
              <w:t xml:space="preserve"> </w:t>
            </w:r>
            <w:r w:rsidRPr="00DC1C1D" w:rsidR="00DC1C1D">
              <w:rPr>
                <w:rFonts w:cs="Arial"/>
                <w:sz w:val="16"/>
                <w:szCs w:val="16"/>
              </w:rPr>
              <w:t xml:space="preserve">to </w:t>
            </w:r>
            <w:r w:rsidRPr="00DC1C1D" w:rsidR="0077446A">
              <w:rPr>
                <w:rFonts w:cs="Arial"/>
                <w:sz w:val="16"/>
                <w:szCs w:val="16"/>
              </w:rPr>
              <w:t>collect and tes</w:t>
            </w:r>
            <w:r w:rsidRPr="00DC1C1D" w:rsidR="00DC1C1D">
              <w:rPr>
                <w:rFonts w:cs="Arial"/>
                <w:sz w:val="16"/>
                <w:szCs w:val="16"/>
              </w:rPr>
              <w:t>t</w:t>
            </w:r>
            <w:r w:rsidRPr="00DC1C1D" w:rsidR="0077446A">
              <w:rPr>
                <w:rFonts w:cs="Arial"/>
                <w:sz w:val="16"/>
                <w:szCs w:val="16"/>
              </w:rPr>
              <w:t xml:space="preserve"> urine </w:t>
            </w:r>
            <w:r w:rsidRPr="00DC1C1D" w:rsidR="00294E72">
              <w:rPr>
                <w:rFonts w:cs="Arial"/>
                <w:sz w:val="16"/>
                <w:szCs w:val="16"/>
              </w:rPr>
              <w:t>specimens under the same conditions</w:t>
            </w:r>
            <w:r w:rsidRPr="00DC1C1D">
              <w:rPr>
                <w:rFonts w:cs="Arial"/>
                <w:sz w:val="16"/>
                <w:szCs w:val="16"/>
              </w:rPr>
              <w:t>.</w:t>
            </w:r>
          </w:p>
          <w:p w:rsidRPr="00552C58" w:rsidR="00DA0486" w:rsidP="00835265" w:rsidRDefault="00ED6A62" w14:paraId="2740AAD0" w14:textId="264502FA">
            <w:pPr>
              <w:spacing w:after="120"/>
              <w:ind w:left="72"/>
              <w:rPr>
                <w:rFonts w:cs="Arial"/>
                <w:b/>
                <w:bCs/>
                <w:i/>
                <w:iCs/>
                <w:sz w:val="16"/>
                <w:szCs w:val="16"/>
              </w:rPr>
            </w:pPr>
            <w:r w:rsidRPr="005C4541">
              <w:rPr>
                <w:rFonts w:cs="Arial"/>
                <w:sz w:val="16"/>
                <w:szCs w:val="16"/>
              </w:rPr>
              <w:t>The majority of observed collection</w:t>
            </w:r>
            <w:r w:rsidRPr="005C4541" w:rsidR="007E5A5C">
              <w:rPr>
                <w:rFonts w:cs="Arial"/>
                <w:sz w:val="16"/>
                <w:szCs w:val="16"/>
              </w:rPr>
              <w:t>s per</w:t>
            </w:r>
            <w:r w:rsidRPr="00C0531E" w:rsidR="007E5A5C">
              <w:rPr>
                <w:rFonts w:cs="Arial"/>
                <w:sz w:val="16"/>
                <w:szCs w:val="16"/>
              </w:rPr>
              <w:t>forme</w:t>
            </w:r>
            <w:r w:rsidRPr="00BC7150" w:rsidR="007E5A5C">
              <w:rPr>
                <w:rFonts w:cs="Arial"/>
                <w:sz w:val="16"/>
                <w:szCs w:val="16"/>
              </w:rPr>
              <w:t xml:space="preserve">d each year pertain to </w:t>
            </w:r>
            <w:r w:rsidRPr="00BC7150" w:rsidR="006040CB">
              <w:rPr>
                <w:rFonts w:cs="Arial"/>
                <w:sz w:val="16"/>
                <w:szCs w:val="16"/>
              </w:rPr>
              <w:t xml:space="preserve">potential subversion </w:t>
            </w:r>
            <w:r w:rsidRPr="00EF3B0C" w:rsidR="006040CB">
              <w:rPr>
                <w:rFonts w:cs="Arial"/>
                <w:sz w:val="16"/>
                <w:szCs w:val="16"/>
              </w:rPr>
              <w:t>attempts identified during the collection process, as desc</w:t>
            </w:r>
            <w:r w:rsidRPr="00267AA6" w:rsidR="006040CB">
              <w:rPr>
                <w:rFonts w:cs="Arial"/>
                <w:sz w:val="16"/>
                <w:szCs w:val="16"/>
              </w:rPr>
              <w:t>ribed under</w:t>
            </w:r>
            <w:r w:rsidRPr="00267AA6">
              <w:rPr>
                <w:rFonts w:cs="Arial"/>
                <w:sz w:val="16"/>
                <w:szCs w:val="16"/>
              </w:rPr>
              <w:t xml:space="preserve"> 10 CFR 26.115(a)</w:t>
            </w:r>
            <w:r w:rsidRPr="009772BB" w:rsidR="007E5A5C">
              <w:rPr>
                <w:rFonts w:cs="Arial"/>
                <w:sz w:val="16"/>
                <w:szCs w:val="16"/>
              </w:rPr>
              <w:t>(</w:t>
            </w:r>
            <w:r w:rsidRPr="009772BB" w:rsidR="001A1D79">
              <w:rPr>
                <w:rFonts w:cs="Arial"/>
                <w:sz w:val="16"/>
                <w:szCs w:val="16"/>
              </w:rPr>
              <w:t>2),</w:t>
            </w:r>
            <w:r w:rsidR="00B352B8">
              <w:rPr>
                <w:rFonts w:cs="Arial"/>
                <w:sz w:val="16"/>
                <w:szCs w:val="16"/>
              </w:rPr>
              <w:t xml:space="preserve"> when</w:t>
            </w:r>
            <w:r w:rsidRPr="009772BB" w:rsidR="001A1D79">
              <w:rPr>
                <w:rFonts w:cs="Arial"/>
                <w:sz w:val="16"/>
                <w:szCs w:val="16"/>
              </w:rPr>
              <w:t xml:space="preserve"> </w:t>
            </w:r>
            <w:r w:rsidRPr="009772BB" w:rsidR="003C7B22">
              <w:rPr>
                <w:rFonts w:cs="Arial"/>
                <w:sz w:val="16"/>
                <w:szCs w:val="16"/>
              </w:rPr>
              <w:t xml:space="preserve">the </w:t>
            </w:r>
            <w:r w:rsidRPr="00572150" w:rsidR="001A1D79">
              <w:rPr>
                <w:rFonts w:cs="Arial"/>
                <w:sz w:val="16"/>
                <w:szCs w:val="16"/>
              </w:rPr>
              <w:t>donor</w:t>
            </w:r>
            <w:r w:rsidRPr="00572150" w:rsidR="003C7B22">
              <w:rPr>
                <w:rFonts w:cs="Arial"/>
                <w:sz w:val="16"/>
                <w:szCs w:val="16"/>
              </w:rPr>
              <w:t xml:space="preserve">’s </w:t>
            </w:r>
            <w:r w:rsidRPr="00572150" w:rsidR="001A1D79">
              <w:rPr>
                <w:rFonts w:cs="Arial"/>
                <w:sz w:val="16"/>
                <w:szCs w:val="16"/>
              </w:rPr>
              <w:t xml:space="preserve">urine specimen </w:t>
            </w:r>
            <w:r w:rsidRPr="00572150" w:rsidR="003C7B22">
              <w:rPr>
                <w:rFonts w:cs="Arial"/>
                <w:sz w:val="16"/>
                <w:szCs w:val="16"/>
              </w:rPr>
              <w:t xml:space="preserve">is </w:t>
            </w:r>
            <w:r w:rsidRPr="0062454C" w:rsidR="001A1D79">
              <w:rPr>
                <w:rFonts w:cs="Arial"/>
                <w:sz w:val="16"/>
                <w:szCs w:val="16"/>
              </w:rPr>
              <w:t>outside the required temperature ra</w:t>
            </w:r>
            <w:r w:rsidRPr="009A33CA" w:rsidR="001A1D79">
              <w:rPr>
                <w:rFonts w:cs="Arial"/>
                <w:sz w:val="16"/>
                <w:szCs w:val="16"/>
              </w:rPr>
              <w:t>nge</w:t>
            </w:r>
            <w:r w:rsidRPr="00722B0F" w:rsidR="003C7B22">
              <w:rPr>
                <w:rFonts w:cs="Arial"/>
                <w:sz w:val="16"/>
                <w:szCs w:val="16"/>
              </w:rPr>
              <w:t>,</w:t>
            </w:r>
            <w:r w:rsidRPr="007863DA" w:rsidR="00F566C6">
              <w:rPr>
                <w:rFonts w:cs="Arial"/>
                <w:sz w:val="16"/>
                <w:szCs w:val="16"/>
              </w:rPr>
              <w:t xml:space="preserve"> </w:t>
            </w:r>
            <w:r w:rsidRPr="001706DD" w:rsidR="00F566C6">
              <w:rPr>
                <w:rFonts w:cs="Arial"/>
                <w:sz w:val="16"/>
                <w:szCs w:val="16"/>
              </w:rPr>
              <w:t xml:space="preserve">and </w:t>
            </w:r>
            <w:r w:rsidR="00B352B8">
              <w:rPr>
                <w:rFonts w:cs="Arial"/>
                <w:sz w:val="16"/>
                <w:szCs w:val="16"/>
              </w:rPr>
              <w:t xml:space="preserve">under </w:t>
            </w:r>
            <w:r w:rsidRPr="001706DD" w:rsidR="00F566C6">
              <w:rPr>
                <w:rFonts w:cs="Arial"/>
                <w:sz w:val="16"/>
                <w:szCs w:val="16"/>
              </w:rPr>
              <w:t>10 CFR 26.115(a)</w:t>
            </w:r>
            <w:r w:rsidRPr="002B477B" w:rsidR="00F566C6">
              <w:rPr>
                <w:rFonts w:cs="Arial"/>
                <w:sz w:val="16"/>
                <w:szCs w:val="16"/>
              </w:rPr>
              <w:t>(3)</w:t>
            </w:r>
            <w:r w:rsidRPr="002B477B" w:rsidR="003C7B22">
              <w:rPr>
                <w:rFonts w:cs="Arial"/>
                <w:sz w:val="16"/>
                <w:szCs w:val="16"/>
              </w:rPr>
              <w:t xml:space="preserve">, </w:t>
            </w:r>
            <w:r w:rsidR="00B352B8">
              <w:rPr>
                <w:rFonts w:cs="Arial"/>
                <w:sz w:val="16"/>
                <w:szCs w:val="16"/>
              </w:rPr>
              <w:t xml:space="preserve">when </w:t>
            </w:r>
            <w:r w:rsidRPr="002B477B" w:rsidR="003C7B22">
              <w:rPr>
                <w:rFonts w:cs="Arial"/>
                <w:sz w:val="16"/>
                <w:szCs w:val="16"/>
              </w:rPr>
              <w:t xml:space="preserve">donor conduct </w:t>
            </w:r>
            <w:r w:rsidRPr="002B477B" w:rsidR="00162CE9">
              <w:rPr>
                <w:rFonts w:cs="Arial"/>
                <w:sz w:val="16"/>
                <w:szCs w:val="16"/>
              </w:rPr>
              <w:t xml:space="preserve">is observed indicating an attempt to subvert the testing process. </w:t>
            </w:r>
            <w:r w:rsidR="00B352B8">
              <w:rPr>
                <w:rFonts w:cs="Arial"/>
                <w:sz w:val="16"/>
                <w:szCs w:val="16"/>
              </w:rPr>
              <w:t xml:space="preserve"> </w:t>
            </w:r>
            <w:r w:rsidRPr="002B477B" w:rsidR="00162CE9">
              <w:rPr>
                <w:rFonts w:cs="Arial"/>
                <w:sz w:val="16"/>
                <w:szCs w:val="16"/>
              </w:rPr>
              <w:t xml:space="preserve">The annual </w:t>
            </w:r>
            <w:r w:rsidR="00B352B8">
              <w:rPr>
                <w:rFonts w:cs="Arial"/>
                <w:sz w:val="16"/>
                <w:szCs w:val="16"/>
              </w:rPr>
              <w:t>fitness for duty (</w:t>
            </w:r>
            <w:r w:rsidRPr="002B477B" w:rsidR="00162CE9">
              <w:rPr>
                <w:rFonts w:cs="Arial"/>
                <w:sz w:val="16"/>
                <w:szCs w:val="16"/>
              </w:rPr>
              <w:t>FFD</w:t>
            </w:r>
            <w:r w:rsidR="00B352B8">
              <w:rPr>
                <w:rFonts w:cs="Arial"/>
                <w:sz w:val="16"/>
                <w:szCs w:val="16"/>
              </w:rPr>
              <w:t>)</w:t>
            </w:r>
            <w:r w:rsidRPr="002B477B" w:rsidR="00162CE9">
              <w:rPr>
                <w:rFonts w:cs="Arial"/>
                <w:sz w:val="16"/>
                <w:szCs w:val="16"/>
              </w:rPr>
              <w:t xml:space="preserve"> </w:t>
            </w:r>
            <w:r w:rsidRPr="00DE6ED4" w:rsidR="00162CE9">
              <w:rPr>
                <w:rFonts w:cs="Arial"/>
                <w:sz w:val="16"/>
                <w:szCs w:val="16"/>
              </w:rPr>
              <w:t xml:space="preserve">program </w:t>
            </w:r>
            <w:r w:rsidRPr="00DC1C1D" w:rsidR="00162CE9">
              <w:rPr>
                <w:rFonts w:cs="Arial"/>
                <w:sz w:val="16"/>
                <w:szCs w:val="16"/>
              </w:rPr>
              <w:t>performance reports include event</w:t>
            </w:r>
            <w:r w:rsidR="00B352B8">
              <w:rPr>
                <w:rFonts w:cs="Arial"/>
                <w:sz w:val="16"/>
                <w:szCs w:val="16"/>
              </w:rPr>
              <w:t>-</w:t>
            </w:r>
            <w:r w:rsidRPr="00DC1C1D" w:rsidR="00162CE9">
              <w:rPr>
                <w:rFonts w:cs="Arial"/>
                <w:sz w:val="16"/>
                <w:szCs w:val="16"/>
              </w:rPr>
              <w:t>specific data on these testing events.</w:t>
            </w:r>
            <w:r w:rsidR="00162CE9">
              <w:rPr>
                <w:rFonts w:cs="Arial"/>
                <w:sz w:val="16"/>
                <w:szCs w:val="16"/>
              </w:rPr>
              <w:t xml:space="preserve">  </w:t>
            </w:r>
            <w:r w:rsidR="00B352B8">
              <w:rPr>
                <w:rFonts w:cs="Arial"/>
                <w:sz w:val="16"/>
                <w:szCs w:val="16"/>
              </w:rPr>
              <w:t>This appendix models t</w:t>
            </w:r>
            <w:r w:rsidRPr="00BC7150" w:rsidR="00BC7150">
              <w:rPr>
                <w:rFonts w:cs="Arial"/>
                <w:sz w:val="16"/>
                <w:szCs w:val="16"/>
              </w:rPr>
              <w:t>hese testing events.</w:t>
            </w:r>
          </w:p>
        </w:tc>
      </w:tr>
      <w:tr w:rsidRPr="008402DF" w:rsidR="00756F78" w:rsidTr="00743849" w14:paraId="4664A0F5" w14:textId="77777777">
        <w:trPr>
          <w:trHeight w:val="709"/>
          <w:jc w:val="center"/>
        </w:trPr>
        <w:tc>
          <w:tcPr>
            <w:tcW w:w="1527" w:type="dxa"/>
            <w:shd w:val="clear" w:color="000000" w:fill="FFFFFF"/>
            <w:noWrap/>
            <w:vAlign w:val="center"/>
            <w:hideMark/>
          </w:tcPr>
          <w:p w:rsidRPr="008402DF" w:rsidR="002F69BA" w:rsidP="00753DE6" w:rsidRDefault="002F69BA" w14:paraId="056D1317" w14:textId="77777777">
            <w:pPr>
              <w:jc w:val="center"/>
              <w:rPr>
                <w:rFonts w:cs="Arial"/>
                <w:b/>
                <w:bCs/>
                <w:sz w:val="16"/>
                <w:szCs w:val="16"/>
              </w:rPr>
            </w:pPr>
            <w:r w:rsidRPr="008402DF">
              <w:rPr>
                <w:rFonts w:cs="Arial"/>
                <w:b/>
                <w:bCs/>
                <w:sz w:val="16"/>
                <w:szCs w:val="16"/>
              </w:rPr>
              <w:t>Activity</w:t>
            </w:r>
          </w:p>
        </w:tc>
        <w:tc>
          <w:tcPr>
            <w:tcW w:w="3960" w:type="dxa"/>
            <w:shd w:val="clear" w:color="000000" w:fill="FFFFFF"/>
            <w:noWrap/>
            <w:vAlign w:val="center"/>
            <w:hideMark/>
          </w:tcPr>
          <w:p w:rsidRPr="008402DF" w:rsidR="002F69BA" w:rsidP="00753DE6" w:rsidRDefault="002F69BA" w14:paraId="44820FAE" w14:textId="77777777">
            <w:pPr>
              <w:jc w:val="center"/>
              <w:rPr>
                <w:rFonts w:cs="Arial"/>
                <w:b/>
                <w:bCs/>
                <w:sz w:val="16"/>
                <w:szCs w:val="16"/>
              </w:rPr>
            </w:pPr>
            <w:r w:rsidRPr="008402DF">
              <w:rPr>
                <w:rFonts w:cs="Arial"/>
                <w:b/>
                <w:bCs/>
                <w:sz w:val="16"/>
                <w:szCs w:val="16"/>
              </w:rPr>
              <w:t>Parameter</w:t>
            </w:r>
          </w:p>
        </w:tc>
        <w:tc>
          <w:tcPr>
            <w:tcW w:w="1080" w:type="dxa"/>
            <w:shd w:val="clear" w:color="000000" w:fill="FFFFFF"/>
            <w:vAlign w:val="center"/>
            <w:hideMark/>
          </w:tcPr>
          <w:p w:rsidRPr="008402DF" w:rsidR="002F69BA" w:rsidP="00753DE6" w:rsidRDefault="002F69BA" w14:paraId="4CA05423" w14:textId="77777777">
            <w:pPr>
              <w:jc w:val="center"/>
              <w:rPr>
                <w:rFonts w:cs="Arial"/>
                <w:b/>
                <w:bCs/>
                <w:sz w:val="16"/>
                <w:szCs w:val="16"/>
              </w:rPr>
            </w:pPr>
            <w:r w:rsidRPr="008402DF">
              <w:rPr>
                <w:rFonts w:cs="Arial"/>
                <w:b/>
                <w:bCs/>
                <w:sz w:val="16"/>
                <w:szCs w:val="16"/>
              </w:rPr>
              <w:t>Value</w:t>
            </w:r>
          </w:p>
        </w:tc>
        <w:tc>
          <w:tcPr>
            <w:tcW w:w="900" w:type="dxa"/>
            <w:shd w:val="clear" w:color="000000" w:fill="FFFFFF"/>
            <w:vAlign w:val="center"/>
            <w:hideMark/>
          </w:tcPr>
          <w:p w:rsidR="002F69BA" w:rsidP="00753DE6" w:rsidRDefault="002F69BA" w14:paraId="3DC898F5" w14:textId="77777777">
            <w:pPr>
              <w:jc w:val="center"/>
              <w:rPr>
                <w:b/>
                <w:bCs/>
                <w:sz w:val="16"/>
                <w:szCs w:val="16"/>
              </w:rPr>
            </w:pPr>
            <w:r w:rsidRPr="008402DF">
              <w:rPr>
                <w:rFonts w:cs="Arial"/>
                <w:b/>
                <w:bCs/>
                <w:sz w:val="16"/>
                <w:szCs w:val="16"/>
              </w:rPr>
              <w:t>Annual Savings (Cost)</w:t>
            </w:r>
          </w:p>
          <w:p w:rsidRPr="008402DF" w:rsidR="002F69BA" w:rsidP="00753DE6" w:rsidRDefault="002F69BA" w14:paraId="53A0CB77" w14:textId="77777777">
            <w:pPr>
              <w:jc w:val="center"/>
              <w:rPr>
                <w:rFonts w:cs="Arial"/>
                <w:b/>
                <w:bCs/>
                <w:sz w:val="16"/>
                <w:szCs w:val="16"/>
              </w:rPr>
            </w:pPr>
            <w:r w:rsidRPr="008402DF">
              <w:rPr>
                <w:rFonts w:cs="Arial"/>
                <w:b/>
                <w:bCs/>
                <w:sz w:val="16"/>
                <w:szCs w:val="16"/>
              </w:rPr>
              <w:t>Per Site</w:t>
            </w:r>
          </w:p>
        </w:tc>
        <w:tc>
          <w:tcPr>
            <w:tcW w:w="886" w:type="dxa"/>
            <w:shd w:val="clear" w:color="000000" w:fill="FFFFFF"/>
            <w:vAlign w:val="center"/>
            <w:hideMark/>
          </w:tcPr>
          <w:p w:rsidRPr="008402DF" w:rsidR="002F69BA" w:rsidP="00753DE6" w:rsidRDefault="002F69BA" w14:paraId="5AAA739D" w14:textId="77777777">
            <w:pPr>
              <w:jc w:val="center"/>
              <w:rPr>
                <w:rFonts w:cs="Arial"/>
                <w:b/>
                <w:bCs/>
                <w:sz w:val="16"/>
                <w:szCs w:val="16"/>
              </w:rPr>
            </w:pPr>
            <w:r w:rsidRPr="008402DF">
              <w:rPr>
                <w:rFonts w:cs="Arial"/>
                <w:b/>
                <w:bCs/>
                <w:sz w:val="16"/>
                <w:szCs w:val="16"/>
              </w:rPr>
              <w:t>Sites Affected</w:t>
            </w:r>
          </w:p>
        </w:tc>
        <w:tc>
          <w:tcPr>
            <w:tcW w:w="1003" w:type="dxa"/>
            <w:shd w:val="clear" w:color="000000" w:fill="FFFFFF"/>
            <w:vAlign w:val="center"/>
            <w:hideMark/>
          </w:tcPr>
          <w:p w:rsidR="002F69BA" w:rsidP="00753DE6" w:rsidRDefault="002F69BA" w14:paraId="582230A4" w14:textId="77777777">
            <w:pPr>
              <w:jc w:val="center"/>
              <w:rPr>
                <w:b/>
                <w:bCs/>
                <w:sz w:val="16"/>
                <w:szCs w:val="16"/>
              </w:rPr>
            </w:pPr>
            <w:r w:rsidRPr="008402DF">
              <w:rPr>
                <w:rFonts w:cs="Arial"/>
                <w:b/>
                <w:bCs/>
                <w:sz w:val="16"/>
                <w:szCs w:val="16"/>
              </w:rPr>
              <w:t>Annual</w:t>
            </w:r>
            <w:r>
              <w:rPr>
                <w:b/>
                <w:bCs/>
                <w:sz w:val="16"/>
                <w:szCs w:val="16"/>
              </w:rPr>
              <w:t xml:space="preserve"> </w:t>
            </w:r>
            <w:r w:rsidRPr="008402DF">
              <w:rPr>
                <w:rFonts w:cs="Arial"/>
                <w:b/>
                <w:bCs/>
                <w:sz w:val="16"/>
                <w:szCs w:val="16"/>
              </w:rPr>
              <w:t>Savings</w:t>
            </w:r>
          </w:p>
          <w:p w:rsidRPr="008402DF" w:rsidR="002F69BA" w:rsidP="00753DE6" w:rsidRDefault="002F69BA" w14:paraId="32B0DEEB" w14:textId="77777777">
            <w:pPr>
              <w:jc w:val="center"/>
              <w:rPr>
                <w:rFonts w:cs="Arial"/>
                <w:b/>
                <w:bCs/>
                <w:sz w:val="16"/>
                <w:szCs w:val="16"/>
              </w:rPr>
            </w:pPr>
            <w:r w:rsidRPr="008402DF">
              <w:rPr>
                <w:rFonts w:cs="Arial"/>
                <w:b/>
                <w:bCs/>
                <w:sz w:val="16"/>
                <w:szCs w:val="16"/>
              </w:rPr>
              <w:t>(Cost)</w:t>
            </w:r>
          </w:p>
        </w:tc>
      </w:tr>
      <w:tr w:rsidRPr="008402DF" w:rsidR="002F69BA" w:rsidTr="00835265" w14:paraId="45C46ABF" w14:textId="77777777">
        <w:trPr>
          <w:trHeight w:val="247"/>
          <w:jc w:val="center"/>
        </w:trPr>
        <w:tc>
          <w:tcPr>
            <w:tcW w:w="9356" w:type="dxa"/>
            <w:gridSpan w:val="6"/>
            <w:shd w:val="clear" w:color="000000" w:fill="C0C0C0"/>
            <w:noWrap/>
            <w:vAlign w:val="center"/>
            <w:hideMark/>
          </w:tcPr>
          <w:p w:rsidRPr="008402DF" w:rsidR="002F69BA" w:rsidP="00753DE6" w:rsidRDefault="002F69BA" w14:paraId="1D7FAAB4" w14:textId="77777777">
            <w:pPr>
              <w:rPr>
                <w:rFonts w:cs="Arial"/>
                <w:sz w:val="16"/>
                <w:szCs w:val="16"/>
              </w:rPr>
            </w:pPr>
            <w:r w:rsidRPr="008402DF">
              <w:rPr>
                <w:rFonts w:cs="Arial"/>
                <w:b/>
                <w:bCs/>
                <w:sz w:val="16"/>
                <w:szCs w:val="16"/>
              </w:rPr>
              <w:t>INDUSTRY OPERATIONS (ANNUAL)</w:t>
            </w:r>
          </w:p>
        </w:tc>
      </w:tr>
      <w:tr w:rsidRPr="008402DF" w:rsidR="002F69BA" w:rsidTr="00835265" w14:paraId="7F6ABF30" w14:textId="77777777">
        <w:trPr>
          <w:trHeight w:val="256"/>
          <w:jc w:val="center"/>
        </w:trPr>
        <w:tc>
          <w:tcPr>
            <w:tcW w:w="9356" w:type="dxa"/>
            <w:gridSpan w:val="6"/>
            <w:shd w:val="clear" w:color="000000" w:fill="D9D9D9"/>
            <w:noWrap/>
            <w:vAlign w:val="center"/>
            <w:hideMark/>
          </w:tcPr>
          <w:p w:rsidRPr="008402DF" w:rsidR="002F69BA" w:rsidP="00753DE6" w:rsidRDefault="002F69BA" w14:paraId="1B3FF370" w14:textId="60BCDAC6">
            <w:pPr>
              <w:rPr>
                <w:rFonts w:cs="Arial"/>
                <w:sz w:val="16"/>
                <w:szCs w:val="16"/>
              </w:rPr>
            </w:pPr>
            <w:r w:rsidRPr="008402DF">
              <w:rPr>
                <w:rFonts w:cs="Arial"/>
                <w:b/>
                <w:bCs/>
                <w:sz w:val="16"/>
                <w:szCs w:val="16"/>
              </w:rPr>
              <w:t xml:space="preserve">Observed Urine Specimen Collection </w:t>
            </w:r>
            <w:r w:rsidR="0076146A">
              <w:rPr>
                <w:rFonts w:cs="Arial"/>
                <w:b/>
                <w:bCs/>
                <w:sz w:val="16"/>
                <w:szCs w:val="16"/>
              </w:rPr>
              <w:t>and Testing</w:t>
            </w:r>
          </w:p>
        </w:tc>
      </w:tr>
      <w:tr w:rsidRPr="008402DF" w:rsidR="00756F78" w:rsidTr="00711EFE" w14:paraId="4D139BD5" w14:textId="77777777">
        <w:trPr>
          <w:trHeight w:val="400"/>
          <w:jc w:val="center"/>
        </w:trPr>
        <w:tc>
          <w:tcPr>
            <w:tcW w:w="1527" w:type="dxa"/>
            <w:vMerge w:val="restart"/>
            <w:shd w:val="clear" w:color="auto" w:fill="auto"/>
            <w:tcMar>
              <w:left w:w="58" w:type="dxa"/>
              <w:right w:w="58" w:type="dxa"/>
            </w:tcMar>
            <w:vAlign w:val="center"/>
            <w:hideMark/>
          </w:tcPr>
          <w:p w:rsidR="002F69BA" w:rsidP="00B756CB" w:rsidRDefault="002F69BA" w14:paraId="6BB85B34" w14:textId="2FF8EE11">
            <w:pPr>
              <w:rPr>
                <w:rFonts w:cs="Arial"/>
                <w:sz w:val="16"/>
                <w:szCs w:val="16"/>
              </w:rPr>
            </w:pPr>
            <w:r w:rsidRPr="008402DF">
              <w:rPr>
                <w:rFonts w:cs="Arial"/>
                <w:sz w:val="16"/>
                <w:szCs w:val="16"/>
              </w:rPr>
              <w:t xml:space="preserve">Urine specimen collection and testing following a </w:t>
            </w:r>
            <w:r w:rsidR="008F1045">
              <w:rPr>
                <w:rFonts w:cs="Arial"/>
                <w:sz w:val="16"/>
                <w:szCs w:val="16"/>
              </w:rPr>
              <w:t xml:space="preserve">possible </w:t>
            </w:r>
            <w:r w:rsidRPr="008402DF">
              <w:rPr>
                <w:rFonts w:cs="Arial"/>
                <w:sz w:val="16"/>
                <w:szCs w:val="16"/>
              </w:rPr>
              <w:t>subversion attempt</w:t>
            </w:r>
          </w:p>
          <w:p w:rsidRPr="008402DF" w:rsidR="002F69BA" w:rsidP="00B756CB" w:rsidRDefault="00187D92" w14:paraId="3D359AC9" w14:textId="287B960D">
            <w:pPr>
              <w:rPr>
                <w:rFonts w:cs="Arial"/>
                <w:sz w:val="16"/>
                <w:szCs w:val="16"/>
              </w:rPr>
            </w:pPr>
            <w:r>
              <w:rPr>
                <w:rFonts w:cs="Arial"/>
                <w:sz w:val="16"/>
                <w:szCs w:val="16"/>
              </w:rPr>
              <w:t xml:space="preserve">(sites using </w:t>
            </w:r>
            <w:r w:rsidR="004061BA">
              <w:rPr>
                <w:rFonts w:cs="Arial"/>
                <w:sz w:val="16"/>
                <w:szCs w:val="16"/>
              </w:rPr>
              <w:t>licensee testing facilities (</w:t>
            </w:r>
            <w:r>
              <w:rPr>
                <w:rFonts w:cs="Arial"/>
                <w:sz w:val="16"/>
                <w:szCs w:val="16"/>
              </w:rPr>
              <w:t>LTFs</w:t>
            </w:r>
            <w:r w:rsidR="004061BA">
              <w:rPr>
                <w:rFonts w:cs="Arial"/>
                <w:sz w:val="16"/>
                <w:szCs w:val="16"/>
              </w:rPr>
              <w:t>)</w:t>
            </w:r>
            <w:r>
              <w:rPr>
                <w:rFonts w:cs="Arial"/>
                <w:sz w:val="16"/>
                <w:szCs w:val="16"/>
              </w:rPr>
              <w:t>)</w:t>
            </w:r>
          </w:p>
        </w:tc>
        <w:tc>
          <w:tcPr>
            <w:tcW w:w="3960" w:type="dxa"/>
            <w:shd w:val="clear" w:color="000000" w:fill="FFFFFF"/>
            <w:tcMar>
              <w:left w:w="58" w:type="dxa"/>
              <w:right w:w="58" w:type="dxa"/>
            </w:tcMar>
            <w:vAlign w:val="center"/>
            <w:hideMark/>
          </w:tcPr>
          <w:p w:rsidRPr="008402DF" w:rsidR="002F69BA" w:rsidP="00753DE6" w:rsidRDefault="002F69BA" w14:paraId="4C7FDEB8" w14:textId="7C368A6B">
            <w:pPr>
              <w:rPr>
                <w:rFonts w:cs="Arial"/>
                <w:sz w:val="16"/>
                <w:szCs w:val="16"/>
              </w:rPr>
            </w:pPr>
            <w:r w:rsidRPr="008402DF">
              <w:rPr>
                <w:rFonts w:cs="Arial"/>
                <w:sz w:val="16"/>
                <w:szCs w:val="16"/>
              </w:rPr>
              <w:t xml:space="preserve">Number of subversion attempts per year per site under </w:t>
            </w:r>
            <w:r w:rsidR="004061BA">
              <w:rPr>
                <w:rFonts w:cs="Arial"/>
                <w:sz w:val="16"/>
                <w:szCs w:val="16"/>
              </w:rPr>
              <w:t>10 CFR </w:t>
            </w:r>
            <w:r w:rsidRPr="008402DF">
              <w:rPr>
                <w:rFonts w:cs="Arial"/>
                <w:sz w:val="16"/>
                <w:szCs w:val="16"/>
              </w:rPr>
              <w:t>Part 26</w:t>
            </w:r>
          </w:p>
        </w:tc>
        <w:tc>
          <w:tcPr>
            <w:tcW w:w="1080" w:type="dxa"/>
            <w:shd w:val="clear" w:color="auto" w:fill="FFFFFF" w:themeFill="background1"/>
            <w:noWrap/>
            <w:tcMar>
              <w:left w:w="58" w:type="dxa"/>
              <w:right w:w="58" w:type="dxa"/>
            </w:tcMar>
            <w:vAlign w:val="center"/>
            <w:hideMark/>
          </w:tcPr>
          <w:p w:rsidRPr="008402DF" w:rsidR="002F69BA" w:rsidP="009812C1" w:rsidRDefault="002F69BA" w14:paraId="6090208B" w14:textId="77777777">
            <w:pPr>
              <w:jc w:val="right"/>
              <w:rPr>
                <w:rFonts w:cs="Arial"/>
                <w:sz w:val="16"/>
                <w:szCs w:val="16"/>
              </w:rPr>
            </w:pPr>
            <w:r w:rsidRPr="008402DF">
              <w:rPr>
                <w:rFonts w:cs="Arial"/>
                <w:sz w:val="16"/>
                <w:szCs w:val="16"/>
              </w:rPr>
              <w:t>4</w:t>
            </w:r>
          </w:p>
        </w:tc>
        <w:tc>
          <w:tcPr>
            <w:tcW w:w="900" w:type="dxa"/>
            <w:tcBorders>
              <w:bottom w:val="single" w:color="auto" w:sz="2" w:space="0"/>
            </w:tcBorders>
            <w:shd w:val="clear" w:color="auto" w:fill="FFFFFF" w:themeFill="background1"/>
            <w:noWrap/>
            <w:tcMar>
              <w:left w:w="58" w:type="dxa"/>
              <w:right w:w="58" w:type="dxa"/>
            </w:tcMar>
            <w:vAlign w:val="center"/>
            <w:hideMark/>
          </w:tcPr>
          <w:p w:rsidRPr="008402DF" w:rsidR="002F69BA" w:rsidP="00753DE6" w:rsidRDefault="002F69BA" w14:paraId="143D5D53" w14:textId="2570C8FF">
            <w:pPr>
              <w:jc w:val="center"/>
              <w:rPr>
                <w:rFonts w:cs="Arial"/>
                <w:sz w:val="16"/>
                <w:szCs w:val="16"/>
              </w:rPr>
            </w:pPr>
            <w:r w:rsidRPr="008402DF">
              <w:rPr>
                <w:rFonts w:cs="Arial"/>
                <w:sz w:val="16"/>
                <w:szCs w:val="16"/>
              </w:rPr>
              <w:t>($</w:t>
            </w:r>
            <w:r w:rsidR="006760A9">
              <w:rPr>
                <w:rFonts w:cs="Arial"/>
                <w:sz w:val="16"/>
                <w:szCs w:val="16"/>
              </w:rPr>
              <w:t>20</w:t>
            </w:r>
            <w:r w:rsidR="00453D4E">
              <w:rPr>
                <w:rFonts w:cs="Arial"/>
                <w:sz w:val="16"/>
                <w:szCs w:val="16"/>
              </w:rPr>
              <w:t>1</w:t>
            </w:r>
            <w:r w:rsidRPr="008402DF">
              <w:rPr>
                <w:rFonts w:cs="Arial"/>
                <w:sz w:val="16"/>
                <w:szCs w:val="16"/>
              </w:rPr>
              <w:t>)</w:t>
            </w:r>
          </w:p>
        </w:tc>
        <w:tc>
          <w:tcPr>
            <w:tcW w:w="886" w:type="dxa"/>
            <w:tcBorders>
              <w:bottom w:val="single" w:color="auto" w:sz="2" w:space="0"/>
            </w:tcBorders>
            <w:shd w:val="clear" w:color="auto" w:fill="FFFFFF" w:themeFill="background1"/>
            <w:noWrap/>
            <w:tcMar>
              <w:left w:w="58" w:type="dxa"/>
              <w:right w:w="58" w:type="dxa"/>
            </w:tcMar>
            <w:vAlign w:val="center"/>
            <w:hideMark/>
          </w:tcPr>
          <w:p w:rsidRPr="008402DF" w:rsidR="002F69BA" w:rsidP="00753DE6" w:rsidRDefault="00AE1D20" w14:paraId="1131F10D" w14:textId="68AFF0F1">
            <w:pPr>
              <w:jc w:val="center"/>
              <w:rPr>
                <w:rFonts w:cs="Arial"/>
                <w:sz w:val="16"/>
                <w:szCs w:val="16"/>
              </w:rPr>
            </w:pPr>
            <w:r>
              <w:rPr>
                <w:rFonts w:cs="Arial"/>
                <w:sz w:val="16"/>
                <w:szCs w:val="16"/>
              </w:rPr>
              <w:t>3</w:t>
            </w:r>
          </w:p>
        </w:tc>
        <w:tc>
          <w:tcPr>
            <w:tcW w:w="1003" w:type="dxa"/>
            <w:tcBorders>
              <w:bottom w:val="single" w:color="auto" w:sz="2" w:space="0"/>
            </w:tcBorders>
            <w:shd w:val="clear" w:color="auto" w:fill="FFFFFF" w:themeFill="background1"/>
            <w:noWrap/>
            <w:tcMar>
              <w:left w:w="58" w:type="dxa"/>
              <w:right w:w="58" w:type="dxa"/>
            </w:tcMar>
            <w:vAlign w:val="center"/>
            <w:hideMark/>
          </w:tcPr>
          <w:p w:rsidRPr="008402DF" w:rsidR="002F69BA" w:rsidP="00753DE6" w:rsidRDefault="002F69BA" w14:paraId="43F94688" w14:textId="6F9D7062">
            <w:pPr>
              <w:jc w:val="right"/>
              <w:rPr>
                <w:rFonts w:cs="Arial"/>
                <w:sz w:val="16"/>
                <w:szCs w:val="16"/>
              </w:rPr>
            </w:pPr>
            <w:r w:rsidRPr="008402DF">
              <w:rPr>
                <w:rFonts w:cs="Arial"/>
                <w:sz w:val="16"/>
                <w:szCs w:val="16"/>
              </w:rPr>
              <w:t>($</w:t>
            </w:r>
            <w:r w:rsidR="006760A9">
              <w:rPr>
                <w:rFonts w:cs="Arial"/>
                <w:sz w:val="16"/>
                <w:szCs w:val="16"/>
              </w:rPr>
              <w:t>60</w:t>
            </w:r>
            <w:r w:rsidR="00453D4E">
              <w:rPr>
                <w:rFonts w:cs="Arial"/>
                <w:sz w:val="16"/>
                <w:szCs w:val="16"/>
              </w:rPr>
              <w:t>3</w:t>
            </w:r>
            <w:r w:rsidRPr="008402DF">
              <w:rPr>
                <w:rFonts w:cs="Arial"/>
                <w:sz w:val="16"/>
                <w:szCs w:val="16"/>
              </w:rPr>
              <w:t>)</w:t>
            </w:r>
          </w:p>
        </w:tc>
      </w:tr>
      <w:tr w:rsidRPr="008402DF" w:rsidR="00756F78" w:rsidTr="009812C1" w14:paraId="78519756" w14:textId="77777777">
        <w:trPr>
          <w:trHeight w:val="562"/>
          <w:jc w:val="center"/>
        </w:trPr>
        <w:tc>
          <w:tcPr>
            <w:tcW w:w="1527" w:type="dxa"/>
            <w:vMerge/>
            <w:shd w:val="clear" w:color="auto" w:fill="auto"/>
            <w:tcMar>
              <w:left w:w="58" w:type="dxa"/>
              <w:right w:w="58" w:type="dxa"/>
            </w:tcMar>
            <w:vAlign w:val="center"/>
            <w:hideMark/>
          </w:tcPr>
          <w:p w:rsidRPr="008402DF" w:rsidR="002F69BA" w:rsidP="00753DE6" w:rsidRDefault="002F69BA" w14:paraId="044E1EB6" w14:textId="77777777">
            <w:pPr>
              <w:rPr>
                <w:rFonts w:cs="Arial"/>
                <w:sz w:val="16"/>
                <w:szCs w:val="16"/>
              </w:rPr>
            </w:pPr>
          </w:p>
        </w:tc>
        <w:tc>
          <w:tcPr>
            <w:tcW w:w="3960" w:type="dxa"/>
            <w:shd w:val="clear" w:color="000000" w:fill="FFFFFF"/>
            <w:tcMar>
              <w:left w:w="58" w:type="dxa"/>
              <w:right w:w="58" w:type="dxa"/>
            </w:tcMar>
            <w:vAlign w:val="center"/>
            <w:hideMark/>
          </w:tcPr>
          <w:p w:rsidRPr="008402DF" w:rsidR="002F69BA" w:rsidP="00753DE6" w:rsidRDefault="002F69BA" w14:paraId="43FCE7E9" w14:textId="77777777">
            <w:pPr>
              <w:rPr>
                <w:rFonts w:cs="Arial"/>
                <w:sz w:val="16"/>
                <w:szCs w:val="16"/>
              </w:rPr>
            </w:pPr>
            <w:r w:rsidRPr="008402DF">
              <w:rPr>
                <w:rFonts w:cs="Arial"/>
                <w:sz w:val="16"/>
                <w:szCs w:val="16"/>
              </w:rPr>
              <w:t>Percentage of subversion attempts confirmed through the testing of specimens collected under direct observation</w:t>
            </w:r>
          </w:p>
        </w:tc>
        <w:tc>
          <w:tcPr>
            <w:tcW w:w="1080" w:type="dxa"/>
            <w:shd w:val="clear" w:color="auto" w:fill="FFFFFF" w:themeFill="background1"/>
            <w:noWrap/>
            <w:tcMar>
              <w:left w:w="58" w:type="dxa"/>
              <w:right w:w="58" w:type="dxa"/>
            </w:tcMar>
            <w:vAlign w:val="center"/>
            <w:hideMark/>
          </w:tcPr>
          <w:p w:rsidRPr="008402DF" w:rsidR="002F69BA" w:rsidP="009812C1" w:rsidRDefault="002F69BA" w14:paraId="5859AD89" w14:textId="77777777">
            <w:pPr>
              <w:ind w:left="-2" w:leftChars="-1" w:firstLine="1"/>
              <w:jc w:val="right"/>
              <w:rPr>
                <w:rFonts w:cs="Arial"/>
                <w:sz w:val="16"/>
                <w:szCs w:val="16"/>
              </w:rPr>
            </w:pPr>
            <w:r w:rsidRPr="008402DF">
              <w:rPr>
                <w:rFonts w:cs="Arial"/>
                <w:sz w:val="16"/>
                <w:szCs w:val="16"/>
              </w:rPr>
              <w:t>31.1%</w:t>
            </w:r>
          </w:p>
        </w:tc>
        <w:tc>
          <w:tcPr>
            <w:tcW w:w="900" w:type="dxa"/>
            <w:tcBorders>
              <w:bottom w:val="nil"/>
              <w:right w:val="nil"/>
            </w:tcBorders>
            <w:shd w:val="clear" w:color="auto" w:fill="FFFFFF" w:themeFill="background1"/>
            <w:noWrap/>
            <w:tcMar>
              <w:left w:w="58" w:type="dxa"/>
              <w:right w:w="58" w:type="dxa"/>
            </w:tcMar>
            <w:vAlign w:val="center"/>
            <w:hideMark/>
          </w:tcPr>
          <w:p w:rsidRPr="008402DF" w:rsidR="002F69BA" w:rsidP="00152BDF" w:rsidRDefault="002F69BA" w14:paraId="03633D16" w14:textId="77777777">
            <w:pPr>
              <w:jc w:val="center"/>
              <w:rPr>
                <w:rFonts w:cs="Arial"/>
                <w:sz w:val="16"/>
                <w:szCs w:val="16"/>
              </w:rPr>
            </w:pPr>
          </w:p>
        </w:tc>
        <w:tc>
          <w:tcPr>
            <w:tcW w:w="886" w:type="dxa"/>
            <w:tcBorders>
              <w:left w:val="nil"/>
              <w:bottom w:val="nil"/>
              <w:right w:val="nil"/>
            </w:tcBorders>
            <w:shd w:val="clear" w:color="auto" w:fill="FFFFFF" w:themeFill="background1"/>
            <w:noWrap/>
            <w:tcMar>
              <w:left w:w="58" w:type="dxa"/>
              <w:right w:w="58" w:type="dxa"/>
            </w:tcMar>
            <w:vAlign w:val="center"/>
            <w:hideMark/>
          </w:tcPr>
          <w:p w:rsidRPr="008402DF" w:rsidR="002F69BA" w:rsidP="00152BDF" w:rsidRDefault="002F69BA" w14:paraId="112B2014" w14:textId="77777777">
            <w:pPr>
              <w:jc w:val="center"/>
              <w:rPr>
                <w:rFonts w:cs="Arial"/>
                <w:sz w:val="16"/>
                <w:szCs w:val="16"/>
              </w:rPr>
            </w:pPr>
          </w:p>
        </w:tc>
        <w:tc>
          <w:tcPr>
            <w:tcW w:w="1003" w:type="dxa"/>
            <w:tcBorders>
              <w:left w:val="nil"/>
              <w:bottom w:val="nil"/>
            </w:tcBorders>
            <w:shd w:val="clear" w:color="auto" w:fill="FFFFFF" w:themeFill="background1"/>
            <w:noWrap/>
            <w:tcMar>
              <w:left w:w="58" w:type="dxa"/>
              <w:right w:w="58" w:type="dxa"/>
            </w:tcMar>
            <w:vAlign w:val="center"/>
            <w:hideMark/>
          </w:tcPr>
          <w:p w:rsidRPr="008402DF" w:rsidR="002F69BA" w:rsidP="00152BDF" w:rsidRDefault="002F69BA" w14:paraId="3E7A63C0" w14:textId="77777777">
            <w:pPr>
              <w:jc w:val="center"/>
              <w:rPr>
                <w:rFonts w:cs="Arial"/>
                <w:sz w:val="16"/>
                <w:szCs w:val="16"/>
              </w:rPr>
            </w:pPr>
          </w:p>
        </w:tc>
      </w:tr>
      <w:tr w:rsidRPr="008402DF" w:rsidR="00756F78" w:rsidTr="009812C1" w14:paraId="55D7B964" w14:textId="77777777">
        <w:trPr>
          <w:trHeight w:val="232"/>
          <w:jc w:val="center"/>
        </w:trPr>
        <w:tc>
          <w:tcPr>
            <w:tcW w:w="1527" w:type="dxa"/>
            <w:vMerge/>
            <w:shd w:val="clear" w:color="auto" w:fill="auto"/>
            <w:tcMar>
              <w:left w:w="58" w:type="dxa"/>
              <w:right w:w="58" w:type="dxa"/>
            </w:tcMar>
            <w:vAlign w:val="center"/>
            <w:hideMark/>
          </w:tcPr>
          <w:p w:rsidRPr="008402DF" w:rsidR="002F69BA" w:rsidP="00753DE6" w:rsidRDefault="002F69BA" w14:paraId="6D27AF3B" w14:textId="77777777">
            <w:pPr>
              <w:rPr>
                <w:rFonts w:cs="Arial"/>
                <w:sz w:val="16"/>
                <w:szCs w:val="16"/>
              </w:rPr>
            </w:pPr>
          </w:p>
        </w:tc>
        <w:tc>
          <w:tcPr>
            <w:tcW w:w="3960" w:type="dxa"/>
            <w:shd w:val="clear" w:color="000000" w:fill="FFFFFF"/>
            <w:tcMar>
              <w:left w:w="58" w:type="dxa"/>
              <w:right w:w="58" w:type="dxa"/>
            </w:tcMar>
            <w:vAlign w:val="center"/>
            <w:hideMark/>
          </w:tcPr>
          <w:p w:rsidRPr="008402DF" w:rsidR="002F69BA" w:rsidP="00753DE6" w:rsidRDefault="002F69BA" w14:paraId="267A6757" w14:textId="77777777">
            <w:pPr>
              <w:rPr>
                <w:rFonts w:cs="Arial"/>
                <w:sz w:val="16"/>
                <w:szCs w:val="16"/>
              </w:rPr>
            </w:pPr>
            <w:r w:rsidRPr="008402DF">
              <w:rPr>
                <w:rFonts w:cs="Arial"/>
                <w:sz w:val="16"/>
                <w:szCs w:val="16"/>
              </w:rPr>
              <w:t>Urine specimen collection time</w:t>
            </w:r>
          </w:p>
        </w:tc>
        <w:tc>
          <w:tcPr>
            <w:tcW w:w="1080" w:type="dxa"/>
            <w:shd w:val="clear" w:color="auto" w:fill="FFFFFF" w:themeFill="background1"/>
            <w:noWrap/>
            <w:tcMar>
              <w:left w:w="58" w:type="dxa"/>
              <w:right w:w="58" w:type="dxa"/>
            </w:tcMar>
            <w:vAlign w:val="center"/>
            <w:hideMark/>
          </w:tcPr>
          <w:p w:rsidRPr="008402DF" w:rsidR="002F69BA" w:rsidP="009812C1" w:rsidRDefault="002F69BA" w14:paraId="40DB46A7" w14:textId="77777777">
            <w:pPr>
              <w:ind w:left="-2" w:leftChars="-1" w:firstLine="1"/>
              <w:jc w:val="right"/>
              <w:rPr>
                <w:rFonts w:cs="Arial"/>
                <w:sz w:val="16"/>
                <w:szCs w:val="16"/>
              </w:rPr>
            </w:pPr>
            <w:r w:rsidRPr="008402DF">
              <w:rPr>
                <w:rFonts w:cs="Arial"/>
                <w:sz w:val="16"/>
                <w:szCs w:val="16"/>
              </w:rPr>
              <w:t xml:space="preserve">1.25 </w:t>
            </w:r>
            <w:r w:rsidRPr="008402DF">
              <w:rPr>
                <w:sz w:val="16"/>
                <w:szCs w:val="16"/>
              </w:rPr>
              <w:t>h</w:t>
            </w:r>
            <w:r>
              <w:rPr>
                <w:sz w:val="16"/>
                <w:szCs w:val="16"/>
              </w:rPr>
              <w:t>our</w:t>
            </w:r>
          </w:p>
        </w:tc>
        <w:tc>
          <w:tcPr>
            <w:tcW w:w="900" w:type="dxa"/>
            <w:tcBorders>
              <w:top w:val="nil"/>
              <w:bottom w:val="nil"/>
              <w:right w:val="nil"/>
            </w:tcBorders>
            <w:shd w:val="clear" w:color="auto" w:fill="FFFFFF" w:themeFill="background1"/>
            <w:noWrap/>
            <w:tcMar>
              <w:left w:w="58" w:type="dxa"/>
              <w:right w:w="58" w:type="dxa"/>
            </w:tcMar>
            <w:vAlign w:val="center"/>
            <w:hideMark/>
          </w:tcPr>
          <w:p w:rsidRPr="008402DF" w:rsidR="002F69BA" w:rsidP="00152BDF" w:rsidRDefault="002F69BA" w14:paraId="37324A89" w14:textId="77777777">
            <w:pPr>
              <w:jc w:val="center"/>
              <w:rPr>
                <w:rFonts w:cs="Arial"/>
                <w:sz w:val="16"/>
                <w:szCs w:val="16"/>
              </w:rPr>
            </w:pPr>
          </w:p>
        </w:tc>
        <w:tc>
          <w:tcPr>
            <w:tcW w:w="886" w:type="dxa"/>
            <w:tcBorders>
              <w:top w:val="nil"/>
              <w:left w:val="nil"/>
              <w:bottom w:val="nil"/>
              <w:right w:val="nil"/>
            </w:tcBorders>
            <w:shd w:val="clear" w:color="auto" w:fill="FFFFFF" w:themeFill="background1"/>
            <w:noWrap/>
            <w:tcMar>
              <w:left w:w="58" w:type="dxa"/>
              <w:right w:w="58" w:type="dxa"/>
            </w:tcMar>
            <w:vAlign w:val="center"/>
            <w:hideMark/>
          </w:tcPr>
          <w:p w:rsidRPr="008402DF" w:rsidR="002F69BA" w:rsidP="00152BDF" w:rsidRDefault="002F69BA" w14:paraId="1F6249C1" w14:textId="77777777">
            <w:pPr>
              <w:jc w:val="center"/>
              <w:rPr>
                <w:rFonts w:cs="Arial"/>
                <w:sz w:val="16"/>
                <w:szCs w:val="16"/>
              </w:rPr>
            </w:pPr>
          </w:p>
        </w:tc>
        <w:tc>
          <w:tcPr>
            <w:tcW w:w="1003" w:type="dxa"/>
            <w:tcBorders>
              <w:top w:val="nil"/>
              <w:left w:val="nil"/>
              <w:bottom w:val="nil"/>
            </w:tcBorders>
            <w:shd w:val="clear" w:color="auto" w:fill="FFFFFF" w:themeFill="background1"/>
            <w:noWrap/>
            <w:tcMar>
              <w:left w:w="58" w:type="dxa"/>
              <w:right w:w="58" w:type="dxa"/>
            </w:tcMar>
            <w:vAlign w:val="center"/>
            <w:hideMark/>
          </w:tcPr>
          <w:p w:rsidRPr="008402DF" w:rsidR="002F69BA" w:rsidP="00152BDF" w:rsidRDefault="002F69BA" w14:paraId="18B43EBE" w14:textId="77777777">
            <w:pPr>
              <w:jc w:val="center"/>
              <w:rPr>
                <w:rFonts w:cs="Arial"/>
                <w:sz w:val="16"/>
                <w:szCs w:val="16"/>
              </w:rPr>
            </w:pPr>
          </w:p>
        </w:tc>
      </w:tr>
      <w:tr w:rsidRPr="008402DF" w:rsidR="00756F78" w:rsidTr="009812C1" w14:paraId="2E5F3693" w14:textId="77777777">
        <w:trPr>
          <w:trHeight w:val="241"/>
          <w:jc w:val="center"/>
        </w:trPr>
        <w:tc>
          <w:tcPr>
            <w:tcW w:w="1527" w:type="dxa"/>
            <w:vMerge/>
            <w:shd w:val="clear" w:color="auto" w:fill="auto"/>
            <w:tcMar>
              <w:left w:w="58" w:type="dxa"/>
              <w:right w:w="58" w:type="dxa"/>
            </w:tcMar>
            <w:vAlign w:val="center"/>
            <w:hideMark/>
          </w:tcPr>
          <w:p w:rsidRPr="008402DF" w:rsidR="002F69BA" w:rsidP="00753DE6" w:rsidRDefault="002F69BA" w14:paraId="4FF01E46" w14:textId="77777777">
            <w:pPr>
              <w:rPr>
                <w:rFonts w:cs="Arial"/>
                <w:sz w:val="16"/>
                <w:szCs w:val="16"/>
              </w:rPr>
            </w:pPr>
          </w:p>
        </w:tc>
        <w:tc>
          <w:tcPr>
            <w:tcW w:w="3960" w:type="dxa"/>
            <w:shd w:val="clear" w:color="000000" w:fill="FFFFFF"/>
            <w:tcMar>
              <w:left w:w="58" w:type="dxa"/>
              <w:right w:w="58" w:type="dxa"/>
            </w:tcMar>
            <w:vAlign w:val="center"/>
            <w:hideMark/>
          </w:tcPr>
          <w:p w:rsidRPr="008402DF" w:rsidR="002F69BA" w:rsidP="00753DE6" w:rsidRDefault="002F69BA" w14:paraId="49C64151" w14:textId="43CAC5AA">
            <w:pPr>
              <w:rPr>
                <w:rFonts w:cs="Arial"/>
                <w:sz w:val="16"/>
                <w:szCs w:val="16"/>
              </w:rPr>
            </w:pPr>
            <w:r w:rsidRPr="008402DF">
              <w:rPr>
                <w:rFonts w:cs="Arial"/>
                <w:sz w:val="16"/>
                <w:szCs w:val="16"/>
              </w:rPr>
              <w:t xml:space="preserve">Facility </w:t>
            </w:r>
            <w:r w:rsidR="00207E0D">
              <w:rPr>
                <w:rFonts w:cs="Arial"/>
                <w:sz w:val="16"/>
                <w:szCs w:val="16"/>
              </w:rPr>
              <w:t>W</w:t>
            </w:r>
            <w:r w:rsidRPr="008402DF">
              <w:rPr>
                <w:rFonts w:cs="Arial"/>
                <w:sz w:val="16"/>
                <w:szCs w:val="16"/>
              </w:rPr>
              <w:t>orker (donor) wage rate</w:t>
            </w:r>
          </w:p>
        </w:tc>
        <w:tc>
          <w:tcPr>
            <w:tcW w:w="1080" w:type="dxa"/>
            <w:shd w:val="clear" w:color="auto" w:fill="FFFFFF" w:themeFill="background1"/>
            <w:tcMar>
              <w:left w:w="58" w:type="dxa"/>
              <w:right w:w="58" w:type="dxa"/>
            </w:tcMar>
            <w:vAlign w:val="center"/>
            <w:hideMark/>
          </w:tcPr>
          <w:p w:rsidRPr="008402DF" w:rsidR="002F69BA" w:rsidP="009812C1" w:rsidRDefault="002F69BA" w14:paraId="55C48AC1" w14:textId="77777777">
            <w:pPr>
              <w:ind w:left="-2" w:leftChars="-1" w:firstLine="1"/>
              <w:jc w:val="right"/>
              <w:rPr>
                <w:rFonts w:cs="Arial"/>
                <w:sz w:val="16"/>
                <w:szCs w:val="16"/>
              </w:rPr>
            </w:pPr>
            <w:r w:rsidRPr="008402DF">
              <w:rPr>
                <w:rFonts w:cs="Arial"/>
                <w:sz w:val="16"/>
                <w:szCs w:val="16"/>
              </w:rPr>
              <w:t>$70.65/hour</w:t>
            </w:r>
          </w:p>
        </w:tc>
        <w:tc>
          <w:tcPr>
            <w:tcW w:w="900" w:type="dxa"/>
            <w:tcBorders>
              <w:top w:val="nil"/>
              <w:bottom w:val="nil"/>
              <w:right w:val="nil"/>
            </w:tcBorders>
            <w:shd w:val="clear" w:color="auto" w:fill="FFFFFF" w:themeFill="background1"/>
            <w:noWrap/>
            <w:tcMar>
              <w:left w:w="58" w:type="dxa"/>
              <w:right w:w="58" w:type="dxa"/>
            </w:tcMar>
            <w:vAlign w:val="center"/>
            <w:hideMark/>
          </w:tcPr>
          <w:p w:rsidRPr="008402DF" w:rsidR="002F69BA" w:rsidP="00152BDF" w:rsidRDefault="002F69BA" w14:paraId="700BEF25" w14:textId="77777777">
            <w:pPr>
              <w:jc w:val="center"/>
              <w:rPr>
                <w:rFonts w:cs="Arial"/>
                <w:sz w:val="16"/>
                <w:szCs w:val="16"/>
              </w:rPr>
            </w:pPr>
          </w:p>
        </w:tc>
        <w:tc>
          <w:tcPr>
            <w:tcW w:w="886" w:type="dxa"/>
            <w:tcBorders>
              <w:top w:val="nil"/>
              <w:left w:val="nil"/>
              <w:bottom w:val="nil"/>
              <w:right w:val="nil"/>
            </w:tcBorders>
            <w:shd w:val="clear" w:color="auto" w:fill="FFFFFF" w:themeFill="background1"/>
            <w:noWrap/>
            <w:tcMar>
              <w:left w:w="58" w:type="dxa"/>
              <w:right w:w="58" w:type="dxa"/>
            </w:tcMar>
            <w:vAlign w:val="center"/>
            <w:hideMark/>
          </w:tcPr>
          <w:p w:rsidRPr="008402DF" w:rsidR="002F69BA" w:rsidP="00152BDF" w:rsidRDefault="002F69BA" w14:paraId="14E240E6" w14:textId="77777777">
            <w:pPr>
              <w:jc w:val="center"/>
              <w:rPr>
                <w:rFonts w:cs="Arial"/>
                <w:sz w:val="16"/>
                <w:szCs w:val="16"/>
              </w:rPr>
            </w:pPr>
          </w:p>
        </w:tc>
        <w:tc>
          <w:tcPr>
            <w:tcW w:w="1003" w:type="dxa"/>
            <w:tcBorders>
              <w:top w:val="nil"/>
              <w:left w:val="nil"/>
              <w:bottom w:val="nil"/>
            </w:tcBorders>
            <w:shd w:val="clear" w:color="auto" w:fill="FFFFFF" w:themeFill="background1"/>
            <w:noWrap/>
            <w:tcMar>
              <w:left w:w="58" w:type="dxa"/>
              <w:right w:w="58" w:type="dxa"/>
            </w:tcMar>
            <w:vAlign w:val="center"/>
            <w:hideMark/>
          </w:tcPr>
          <w:p w:rsidRPr="008402DF" w:rsidR="002F69BA" w:rsidP="00152BDF" w:rsidRDefault="002F69BA" w14:paraId="46E0851B" w14:textId="77777777">
            <w:pPr>
              <w:jc w:val="center"/>
              <w:rPr>
                <w:rFonts w:cs="Arial"/>
                <w:sz w:val="16"/>
                <w:szCs w:val="16"/>
              </w:rPr>
            </w:pPr>
          </w:p>
        </w:tc>
      </w:tr>
      <w:tr w:rsidRPr="008402DF" w:rsidR="00756F78" w:rsidTr="009812C1" w14:paraId="041CE9C2" w14:textId="77777777">
        <w:trPr>
          <w:trHeight w:val="259"/>
          <w:jc w:val="center"/>
        </w:trPr>
        <w:tc>
          <w:tcPr>
            <w:tcW w:w="1527" w:type="dxa"/>
            <w:vMerge/>
            <w:shd w:val="clear" w:color="auto" w:fill="auto"/>
            <w:tcMar>
              <w:left w:w="58" w:type="dxa"/>
              <w:right w:w="58" w:type="dxa"/>
            </w:tcMar>
            <w:vAlign w:val="center"/>
            <w:hideMark/>
          </w:tcPr>
          <w:p w:rsidRPr="008402DF" w:rsidR="002F69BA" w:rsidP="00753DE6" w:rsidRDefault="002F69BA" w14:paraId="15BD701C" w14:textId="77777777">
            <w:pPr>
              <w:rPr>
                <w:rFonts w:cs="Arial"/>
                <w:sz w:val="16"/>
                <w:szCs w:val="16"/>
              </w:rPr>
            </w:pPr>
          </w:p>
        </w:tc>
        <w:tc>
          <w:tcPr>
            <w:tcW w:w="3960" w:type="dxa"/>
            <w:shd w:val="clear" w:color="000000" w:fill="FFFFFF"/>
            <w:tcMar>
              <w:left w:w="58" w:type="dxa"/>
              <w:right w:w="58" w:type="dxa"/>
            </w:tcMar>
            <w:vAlign w:val="center"/>
            <w:hideMark/>
          </w:tcPr>
          <w:p w:rsidRPr="008402DF" w:rsidR="002F69BA" w:rsidP="00753DE6" w:rsidRDefault="002F69BA" w14:paraId="1F829952" w14:textId="0E55B24C">
            <w:pPr>
              <w:rPr>
                <w:rFonts w:cs="Arial"/>
                <w:sz w:val="16"/>
                <w:szCs w:val="16"/>
              </w:rPr>
            </w:pPr>
            <w:r w:rsidRPr="008402DF">
              <w:rPr>
                <w:rFonts w:cs="Arial"/>
                <w:sz w:val="16"/>
                <w:szCs w:val="16"/>
              </w:rPr>
              <w:t xml:space="preserve">FFD </w:t>
            </w:r>
            <w:r w:rsidR="00207E0D">
              <w:rPr>
                <w:rFonts w:cs="Arial"/>
                <w:sz w:val="16"/>
                <w:szCs w:val="16"/>
              </w:rPr>
              <w:t>S</w:t>
            </w:r>
            <w:r w:rsidRPr="008402DF">
              <w:rPr>
                <w:rFonts w:cs="Arial"/>
                <w:sz w:val="16"/>
                <w:szCs w:val="16"/>
              </w:rPr>
              <w:t>taff (observer) wage rate</w:t>
            </w:r>
          </w:p>
        </w:tc>
        <w:tc>
          <w:tcPr>
            <w:tcW w:w="1080" w:type="dxa"/>
            <w:shd w:val="clear" w:color="auto" w:fill="FFFFFF" w:themeFill="background1"/>
            <w:tcMar>
              <w:left w:w="58" w:type="dxa"/>
              <w:right w:w="58" w:type="dxa"/>
            </w:tcMar>
            <w:vAlign w:val="center"/>
            <w:hideMark/>
          </w:tcPr>
          <w:p w:rsidRPr="008402DF" w:rsidR="002F69BA" w:rsidP="009812C1" w:rsidRDefault="002F69BA" w14:paraId="7040ACA3" w14:textId="77777777">
            <w:pPr>
              <w:ind w:left="-2" w:leftChars="-1" w:firstLine="1"/>
              <w:jc w:val="right"/>
              <w:rPr>
                <w:rFonts w:cs="Arial"/>
                <w:sz w:val="16"/>
                <w:szCs w:val="16"/>
              </w:rPr>
            </w:pPr>
            <w:r w:rsidRPr="008402DF">
              <w:rPr>
                <w:rFonts w:cs="Arial"/>
                <w:sz w:val="16"/>
                <w:szCs w:val="16"/>
              </w:rPr>
              <w:t>$41.20/hour</w:t>
            </w:r>
          </w:p>
        </w:tc>
        <w:tc>
          <w:tcPr>
            <w:tcW w:w="900" w:type="dxa"/>
            <w:tcBorders>
              <w:top w:val="nil"/>
              <w:bottom w:val="nil"/>
              <w:right w:val="nil"/>
            </w:tcBorders>
            <w:shd w:val="clear" w:color="auto" w:fill="FFFFFF" w:themeFill="background1"/>
            <w:noWrap/>
            <w:tcMar>
              <w:left w:w="58" w:type="dxa"/>
              <w:right w:w="58" w:type="dxa"/>
            </w:tcMar>
            <w:vAlign w:val="center"/>
            <w:hideMark/>
          </w:tcPr>
          <w:p w:rsidRPr="008402DF" w:rsidR="002F69BA" w:rsidP="00152BDF" w:rsidRDefault="002F69BA" w14:paraId="7C2BDED9" w14:textId="77777777">
            <w:pPr>
              <w:jc w:val="center"/>
              <w:rPr>
                <w:rFonts w:cs="Arial"/>
                <w:sz w:val="16"/>
                <w:szCs w:val="16"/>
              </w:rPr>
            </w:pPr>
          </w:p>
        </w:tc>
        <w:tc>
          <w:tcPr>
            <w:tcW w:w="886" w:type="dxa"/>
            <w:tcBorders>
              <w:top w:val="nil"/>
              <w:left w:val="nil"/>
              <w:bottom w:val="nil"/>
              <w:right w:val="nil"/>
            </w:tcBorders>
            <w:shd w:val="clear" w:color="auto" w:fill="FFFFFF" w:themeFill="background1"/>
            <w:noWrap/>
            <w:tcMar>
              <w:left w:w="58" w:type="dxa"/>
              <w:right w:w="58" w:type="dxa"/>
            </w:tcMar>
            <w:vAlign w:val="center"/>
            <w:hideMark/>
          </w:tcPr>
          <w:p w:rsidRPr="008402DF" w:rsidR="002F69BA" w:rsidP="00152BDF" w:rsidRDefault="002F69BA" w14:paraId="3A1131EE" w14:textId="77777777">
            <w:pPr>
              <w:jc w:val="center"/>
              <w:rPr>
                <w:rFonts w:cs="Arial"/>
                <w:sz w:val="16"/>
                <w:szCs w:val="16"/>
              </w:rPr>
            </w:pPr>
          </w:p>
        </w:tc>
        <w:tc>
          <w:tcPr>
            <w:tcW w:w="1003" w:type="dxa"/>
            <w:tcBorders>
              <w:top w:val="nil"/>
              <w:left w:val="nil"/>
              <w:bottom w:val="nil"/>
            </w:tcBorders>
            <w:shd w:val="clear" w:color="auto" w:fill="FFFFFF" w:themeFill="background1"/>
            <w:noWrap/>
            <w:tcMar>
              <w:left w:w="58" w:type="dxa"/>
              <w:right w:w="58" w:type="dxa"/>
            </w:tcMar>
            <w:vAlign w:val="center"/>
            <w:hideMark/>
          </w:tcPr>
          <w:p w:rsidRPr="008402DF" w:rsidR="002F69BA" w:rsidP="00152BDF" w:rsidRDefault="002F69BA" w14:paraId="40B53E1E" w14:textId="77777777">
            <w:pPr>
              <w:jc w:val="center"/>
              <w:rPr>
                <w:rFonts w:cs="Arial"/>
                <w:sz w:val="16"/>
                <w:szCs w:val="16"/>
              </w:rPr>
            </w:pPr>
          </w:p>
        </w:tc>
      </w:tr>
      <w:tr w:rsidRPr="008402DF" w:rsidR="00B363FD" w:rsidTr="009812C1" w14:paraId="568B119B" w14:textId="77777777">
        <w:trPr>
          <w:trHeight w:val="427"/>
          <w:jc w:val="center"/>
        </w:trPr>
        <w:tc>
          <w:tcPr>
            <w:tcW w:w="1527" w:type="dxa"/>
            <w:vMerge/>
            <w:shd w:val="clear" w:color="auto" w:fill="auto"/>
            <w:tcMar>
              <w:left w:w="58" w:type="dxa"/>
              <w:right w:w="58" w:type="dxa"/>
            </w:tcMar>
            <w:vAlign w:val="center"/>
            <w:hideMark/>
          </w:tcPr>
          <w:p w:rsidRPr="008402DF" w:rsidR="002F69BA" w:rsidP="00753DE6" w:rsidRDefault="002F69BA" w14:paraId="64405752" w14:textId="77777777">
            <w:pPr>
              <w:rPr>
                <w:rFonts w:cs="Arial"/>
                <w:sz w:val="16"/>
                <w:szCs w:val="16"/>
              </w:rPr>
            </w:pPr>
          </w:p>
        </w:tc>
        <w:tc>
          <w:tcPr>
            <w:tcW w:w="3960" w:type="dxa"/>
            <w:shd w:val="clear" w:color="auto" w:fill="auto"/>
            <w:tcMar>
              <w:left w:w="58" w:type="dxa"/>
              <w:right w:w="58" w:type="dxa"/>
            </w:tcMar>
            <w:vAlign w:val="center"/>
            <w:hideMark/>
          </w:tcPr>
          <w:p w:rsidRPr="008402DF" w:rsidR="002F69BA" w:rsidP="00753DE6" w:rsidRDefault="00813D4F" w14:paraId="1362C633" w14:textId="19717597">
            <w:pPr>
              <w:rPr>
                <w:rFonts w:cs="Arial"/>
                <w:sz w:val="16"/>
                <w:szCs w:val="16"/>
              </w:rPr>
            </w:pPr>
            <w:r>
              <w:rPr>
                <w:rFonts w:cs="Arial"/>
                <w:sz w:val="16"/>
                <w:szCs w:val="16"/>
              </w:rPr>
              <w:t xml:space="preserve">Initial and confirmatory drug testing, </w:t>
            </w:r>
            <w:r w:rsidR="00392EFA">
              <w:rPr>
                <w:rFonts w:cs="Arial"/>
                <w:sz w:val="16"/>
                <w:szCs w:val="16"/>
              </w:rPr>
              <w:t>HHS-certified laboratory (sites using an LTF for initial testing)</w:t>
            </w:r>
          </w:p>
        </w:tc>
        <w:tc>
          <w:tcPr>
            <w:tcW w:w="1080" w:type="dxa"/>
            <w:shd w:val="clear" w:color="auto" w:fill="FFFFFF" w:themeFill="background1"/>
            <w:noWrap/>
            <w:tcMar>
              <w:left w:w="58" w:type="dxa"/>
              <w:right w:w="58" w:type="dxa"/>
            </w:tcMar>
            <w:vAlign w:val="center"/>
            <w:hideMark/>
          </w:tcPr>
          <w:p w:rsidR="00835265" w:rsidP="009812C1" w:rsidRDefault="002F69BA" w14:paraId="6DB08BAE" w14:textId="752420CF">
            <w:pPr>
              <w:ind w:left="-2" w:leftChars="-1" w:firstLine="1"/>
              <w:jc w:val="right"/>
              <w:rPr>
                <w:rFonts w:cs="Arial"/>
                <w:sz w:val="16"/>
                <w:szCs w:val="16"/>
              </w:rPr>
            </w:pPr>
            <w:r w:rsidRPr="008402DF">
              <w:rPr>
                <w:rFonts w:cs="Arial"/>
                <w:sz w:val="16"/>
                <w:szCs w:val="16"/>
              </w:rPr>
              <w:t>$</w:t>
            </w:r>
            <w:r w:rsidR="009307F3">
              <w:rPr>
                <w:rFonts w:cs="Arial"/>
                <w:sz w:val="16"/>
                <w:szCs w:val="16"/>
              </w:rPr>
              <w:t>28.83</w:t>
            </w:r>
            <w:r w:rsidRPr="008402DF">
              <w:rPr>
                <w:rFonts w:cs="Arial"/>
                <w:sz w:val="16"/>
                <w:szCs w:val="16"/>
              </w:rPr>
              <w:t>/</w:t>
            </w:r>
          </w:p>
          <w:p w:rsidRPr="008402DF" w:rsidR="002F69BA" w:rsidP="009812C1" w:rsidRDefault="002F69BA" w14:paraId="4F5A4B19" w14:textId="6DDA6062">
            <w:pPr>
              <w:ind w:left="-2" w:leftChars="-1" w:firstLine="1"/>
              <w:jc w:val="right"/>
              <w:rPr>
                <w:rFonts w:cs="Arial"/>
                <w:sz w:val="16"/>
                <w:szCs w:val="16"/>
              </w:rPr>
            </w:pPr>
            <w:r w:rsidRPr="008402DF">
              <w:rPr>
                <w:rFonts w:cs="Arial"/>
                <w:sz w:val="16"/>
                <w:szCs w:val="16"/>
              </w:rPr>
              <w:t>specimen</w:t>
            </w:r>
          </w:p>
        </w:tc>
        <w:tc>
          <w:tcPr>
            <w:tcW w:w="900" w:type="dxa"/>
            <w:tcBorders>
              <w:top w:val="nil"/>
              <w:bottom w:val="single" w:color="auto" w:sz="4" w:space="0"/>
              <w:right w:val="nil"/>
            </w:tcBorders>
            <w:shd w:val="clear" w:color="auto" w:fill="FFFFFF" w:themeFill="background1"/>
            <w:noWrap/>
            <w:tcMar>
              <w:left w:w="58" w:type="dxa"/>
              <w:right w:w="58" w:type="dxa"/>
            </w:tcMar>
            <w:vAlign w:val="center"/>
            <w:hideMark/>
          </w:tcPr>
          <w:p w:rsidRPr="008402DF" w:rsidR="002F69BA" w:rsidP="00152BDF" w:rsidRDefault="002F69BA" w14:paraId="55FFDD3D" w14:textId="77777777">
            <w:pPr>
              <w:jc w:val="center"/>
              <w:rPr>
                <w:rFonts w:cs="Arial"/>
                <w:sz w:val="16"/>
                <w:szCs w:val="16"/>
              </w:rPr>
            </w:pPr>
          </w:p>
        </w:tc>
        <w:tc>
          <w:tcPr>
            <w:tcW w:w="886" w:type="dxa"/>
            <w:tcBorders>
              <w:top w:val="nil"/>
              <w:left w:val="nil"/>
              <w:bottom w:val="single" w:color="auto" w:sz="4" w:space="0"/>
              <w:right w:val="nil"/>
            </w:tcBorders>
            <w:shd w:val="clear" w:color="auto" w:fill="FFFFFF" w:themeFill="background1"/>
            <w:noWrap/>
            <w:tcMar>
              <w:left w:w="58" w:type="dxa"/>
              <w:right w:w="58" w:type="dxa"/>
            </w:tcMar>
            <w:vAlign w:val="center"/>
            <w:hideMark/>
          </w:tcPr>
          <w:p w:rsidRPr="008402DF" w:rsidR="002F69BA" w:rsidP="00152BDF" w:rsidRDefault="002F69BA" w14:paraId="53D76139" w14:textId="77777777">
            <w:pPr>
              <w:jc w:val="center"/>
              <w:rPr>
                <w:rFonts w:cs="Arial"/>
                <w:sz w:val="16"/>
                <w:szCs w:val="16"/>
              </w:rPr>
            </w:pPr>
          </w:p>
        </w:tc>
        <w:tc>
          <w:tcPr>
            <w:tcW w:w="1003" w:type="dxa"/>
            <w:tcBorders>
              <w:top w:val="nil"/>
              <w:left w:val="nil"/>
              <w:bottom w:val="single" w:color="auto" w:sz="4" w:space="0"/>
            </w:tcBorders>
            <w:shd w:val="clear" w:color="auto" w:fill="FFFFFF" w:themeFill="background1"/>
            <w:noWrap/>
            <w:tcMar>
              <w:left w:w="58" w:type="dxa"/>
              <w:right w:w="58" w:type="dxa"/>
            </w:tcMar>
            <w:vAlign w:val="center"/>
            <w:hideMark/>
          </w:tcPr>
          <w:p w:rsidRPr="008402DF" w:rsidR="002F69BA" w:rsidP="00152BDF" w:rsidRDefault="002F69BA" w14:paraId="08B9AF69" w14:textId="77777777">
            <w:pPr>
              <w:jc w:val="center"/>
              <w:rPr>
                <w:rFonts w:cs="Arial"/>
                <w:sz w:val="16"/>
                <w:szCs w:val="16"/>
              </w:rPr>
            </w:pPr>
          </w:p>
        </w:tc>
      </w:tr>
      <w:tr w:rsidRPr="008402DF" w:rsidR="00B76F9A" w:rsidTr="009812C1" w14:paraId="2090962C" w14:textId="77777777">
        <w:trPr>
          <w:trHeight w:val="431"/>
          <w:jc w:val="center"/>
        </w:trPr>
        <w:tc>
          <w:tcPr>
            <w:tcW w:w="1527" w:type="dxa"/>
            <w:vMerge w:val="restart"/>
            <w:shd w:val="clear" w:color="auto" w:fill="FFFFFF" w:themeFill="background1"/>
            <w:tcMar>
              <w:left w:w="58" w:type="dxa"/>
              <w:right w:w="58" w:type="dxa"/>
            </w:tcMar>
            <w:vAlign w:val="center"/>
          </w:tcPr>
          <w:p w:rsidR="00AE1D20" w:rsidP="00AE1D20" w:rsidRDefault="00AE1D20" w14:paraId="76052AC6" w14:textId="68E00326">
            <w:pPr>
              <w:rPr>
                <w:rFonts w:cs="Arial"/>
                <w:sz w:val="16"/>
                <w:szCs w:val="16"/>
              </w:rPr>
            </w:pPr>
            <w:r w:rsidRPr="008402DF">
              <w:rPr>
                <w:rFonts w:cs="Arial"/>
                <w:sz w:val="16"/>
                <w:szCs w:val="16"/>
              </w:rPr>
              <w:t xml:space="preserve">Urine specimen collection and testing following a </w:t>
            </w:r>
            <w:r w:rsidR="008F1045">
              <w:rPr>
                <w:rFonts w:cs="Arial"/>
                <w:sz w:val="16"/>
                <w:szCs w:val="16"/>
              </w:rPr>
              <w:t xml:space="preserve">possible </w:t>
            </w:r>
            <w:r w:rsidRPr="008402DF">
              <w:rPr>
                <w:rFonts w:cs="Arial"/>
                <w:sz w:val="16"/>
                <w:szCs w:val="16"/>
              </w:rPr>
              <w:t>subversion attempt</w:t>
            </w:r>
          </w:p>
          <w:p w:rsidRPr="008402DF" w:rsidR="00187D92" w:rsidP="00AE1D20" w:rsidRDefault="00187D92" w14:paraId="56609F70" w14:textId="28341588">
            <w:pPr>
              <w:rPr>
                <w:rFonts w:cs="Arial"/>
                <w:sz w:val="16"/>
                <w:szCs w:val="16"/>
              </w:rPr>
            </w:pPr>
            <w:r>
              <w:rPr>
                <w:rFonts w:cs="Arial"/>
                <w:sz w:val="16"/>
                <w:szCs w:val="16"/>
              </w:rPr>
              <w:t>(sites only using HHS-certified laboratories)</w:t>
            </w:r>
          </w:p>
        </w:tc>
        <w:tc>
          <w:tcPr>
            <w:tcW w:w="3960" w:type="dxa"/>
            <w:shd w:val="clear" w:color="auto" w:fill="FFFFFF" w:themeFill="background1"/>
            <w:tcMar>
              <w:left w:w="58" w:type="dxa"/>
              <w:right w:w="58" w:type="dxa"/>
            </w:tcMar>
            <w:vAlign w:val="center"/>
          </w:tcPr>
          <w:p w:rsidR="00AE1D20" w:rsidP="00AE1D20" w:rsidRDefault="00AE1D20" w14:paraId="53D17C9B" w14:textId="3EEF7CDB">
            <w:pPr>
              <w:rPr>
                <w:rFonts w:cs="Arial"/>
                <w:sz w:val="16"/>
                <w:szCs w:val="16"/>
              </w:rPr>
            </w:pPr>
            <w:r w:rsidRPr="008402DF">
              <w:rPr>
                <w:rFonts w:cs="Arial"/>
                <w:sz w:val="16"/>
                <w:szCs w:val="16"/>
              </w:rPr>
              <w:t xml:space="preserve">Number of subversion attempts per year per site under </w:t>
            </w:r>
            <w:r w:rsidR="004061BA">
              <w:rPr>
                <w:rFonts w:cs="Arial"/>
                <w:sz w:val="16"/>
                <w:szCs w:val="16"/>
              </w:rPr>
              <w:t>10 CFR </w:t>
            </w:r>
            <w:r w:rsidRPr="008402DF">
              <w:rPr>
                <w:rFonts w:cs="Arial"/>
                <w:sz w:val="16"/>
                <w:szCs w:val="16"/>
              </w:rPr>
              <w:t>Part 26</w:t>
            </w:r>
          </w:p>
        </w:tc>
        <w:tc>
          <w:tcPr>
            <w:tcW w:w="1080" w:type="dxa"/>
            <w:tcBorders>
              <w:right w:val="single" w:color="auto" w:sz="4" w:space="0"/>
            </w:tcBorders>
            <w:shd w:val="clear" w:color="auto" w:fill="FFFFFF" w:themeFill="background1"/>
            <w:noWrap/>
            <w:tcMar>
              <w:left w:w="58" w:type="dxa"/>
              <w:right w:w="58" w:type="dxa"/>
            </w:tcMar>
            <w:vAlign w:val="center"/>
          </w:tcPr>
          <w:p w:rsidRPr="008402DF" w:rsidR="00AE1D20" w:rsidP="009812C1" w:rsidRDefault="00AE1D20" w14:paraId="26A615E2" w14:textId="20DEA813">
            <w:pPr>
              <w:ind w:left="-2" w:leftChars="-1" w:firstLine="1"/>
              <w:jc w:val="right"/>
              <w:rPr>
                <w:rFonts w:cs="Arial"/>
                <w:sz w:val="16"/>
                <w:szCs w:val="16"/>
              </w:rPr>
            </w:pPr>
            <w:r w:rsidRPr="008402DF">
              <w:rPr>
                <w:rFonts w:cs="Arial"/>
                <w:sz w:val="16"/>
                <w:szCs w:val="16"/>
              </w:rPr>
              <w:t>4</w:t>
            </w:r>
          </w:p>
        </w:tc>
        <w:tc>
          <w:tcPr>
            <w:tcW w:w="900"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8" w:type="dxa"/>
              <w:right w:w="58" w:type="dxa"/>
            </w:tcMar>
            <w:vAlign w:val="center"/>
          </w:tcPr>
          <w:p w:rsidRPr="008402DF" w:rsidR="00AE1D20" w:rsidP="00AE1D20" w:rsidRDefault="00AE1D20" w14:paraId="4CA25532" w14:textId="582181B4">
            <w:pPr>
              <w:jc w:val="center"/>
              <w:rPr>
                <w:rFonts w:cs="Arial"/>
                <w:sz w:val="16"/>
                <w:szCs w:val="16"/>
              </w:rPr>
            </w:pPr>
            <w:r w:rsidRPr="008402DF">
              <w:rPr>
                <w:rFonts w:cs="Arial"/>
                <w:sz w:val="16"/>
                <w:szCs w:val="16"/>
              </w:rPr>
              <w:t>($</w:t>
            </w:r>
            <w:r w:rsidR="006760A9">
              <w:rPr>
                <w:rFonts w:cs="Arial"/>
                <w:sz w:val="16"/>
                <w:szCs w:val="16"/>
              </w:rPr>
              <w:t>182</w:t>
            </w:r>
            <w:r w:rsidRPr="008402DF">
              <w:rPr>
                <w:rFonts w:cs="Arial"/>
                <w:sz w:val="16"/>
                <w:szCs w:val="16"/>
              </w:rPr>
              <w:t>)</w:t>
            </w:r>
          </w:p>
        </w:tc>
        <w:tc>
          <w:tcPr>
            <w:tcW w:w="886"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8" w:type="dxa"/>
              <w:right w:w="58" w:type="dxa"/>
            </w:tcMar>
            <w:vAlign w:val="center"/>
          </w:tcPr>
          <w:p w:rsidRPr="008402DF" w:rsidR="00AE1D20" w:rsidP="00AE1D20" w:rsidRDefault="00AE1D20" w14:paraId="0AAB2DB1" w14:textId="25D0B14F">
            <w:pPr>
              <w:jc w:val="center"/>
              <w:rPr>
                <w:rFonts w:cs="Arial"/>
                <w:sz w:val="16"/>
                <w:szCs w:val="16"/>
              </w:rPr>
            </w:pPr>
            <w:r>
              <w:rPr>
                <w:rFonts w:cs="Arial"/>
                <w:sz w:val="16"/>
                <w:szCs w:val="16"/>
              </w:rPr>
              <w:t>56</w:t>
            </w:r>
          </w:p>
        </w:tc>
        <w:tc>
          <w:tcPr>
            <w:tcW w:w="1003" w:type="dxa"/>
            <w:tcBorders>
              <w:top w:val="single" w:color="auto" w:sz="4" w:space="0"/>
              <w:left w:val="single" w:color="auto" w:sz="4" w:space="0"/>
              <w:bottom w:val="single" w:color="auto" w:sz="4" w:space="0"/>
              <w:right w:val="single" w:color="auto" w:sz="4" w:space="0"/>
            </w:tcBorders>
            <w:shd w:val="clear" w:color="auto" w:fill="FFFFFF" w:themeFill="background1"/>
            <w:noWrap/>
            <w:tcMar>
              <w:left w:w="58" w:type="dxa"/>
              <w:right w:w="58" w:type="dxa"/>
            </w:tcMar>
            <w:vAlign w:val="center"/>
          </w:tcPr>
          <w:p w:rsidRPr="008402DF" w:rsidR="00AE1D20" w:rsidP="00BD5C7C" w:rsidRDefault="00AE1D20" w14:paraId="6404A090" w14:textId="114594AC">
            <w:pPr>
              <w:jc w:val="right"/>
              <w:rPr>
                <w:rFonts w:cs="Arial"/>
                <w:sz w:val="16"/>
                <w:szCs w:val="16"/>
              </w:rPr>
            </w:pPr>
            <w:r w:rsidRPr="008402DF">
              <w:rPr>
                <w:rFonts w:cs="Arial"/>
                <w:sz w:val="16"/>
                <w:szCs w:val="16"/>
              </w:rPr>
              <w:t>($</w:t>
            </w:r>
            <w:r w:rsidR="006760A9">
              <w:rPr>
                <w:rFonts w:cs="Arial"/>
                <w:sz w:val="16"/>
                <w:szCs w:val="16"/>
              </w:rPr>
              <w:t>10,192</w:t>
            </w:r>
            <w:r w:rsidRPr="008402DF">
              <w:rPr>
                <w:rFonts w:cs="Arial"/>
                <w:sz w:val="16"/>
                <w:szCs w:val="16"/>
              </w:rPr>
              <w:t>)</w:t>
            </w:r>
          </w:p>
        </w:tc>
      </w:tr>
      <w:tr w:rsidRPr="008402DF" w:rsidR="00B363FD" w:rsidTr="009812C1" w14:paraId="53B72660" w14:textId="77777777">
        <w:trPr>
          <w:trHeight w:val="481"/>
          <w:jc w:val="center"/>
        </w:trPr>
        <w:tc>
          <w:tcPr>
            <w:tcW w:w="1527" w:type="dxa"/>
            <w:vMerge/>
            <w:shd w:val="clear" w:color="auto" w:fill="FFFFFF" w:themeFill="background1"/>
            <w:tcMar>
              <w:left w:w="58" w:type="dxa"/>
              <w:right w:w="58" w:type="dxa"/>
            </w:tcMar>
            <w:vAlign w:val="center"/>
          </w:tcPr>
          <w:p w:rsidRPr="008402DF" w:rsidR="00AE1D20" w:rsidP="00AE1D20" w:rsidRDefault="00AE1D20" w14:paraId="65DDD200" w14:textId="77777777">
            <w:pPr>
              <w:rPr>
                <w:rFonts w:cs="Arial"/>
                <w:sz w:val="16"/>
                <w:szCs w:val="16"/>
              </w:rPr>
            </w:pPr>
          </w:p>
        </w:tc>
        <w:tc>
          <w:tcPr>
            <w:tcW w:w="3960" w:type="dxa"/>
            <w:shd w:val="clear" w:color="auto" w:fill="FFFFFF" w:themeFill="background1"/>
            <w:tcMar>
              <w:left w:w="58" w:type="dxa"/>
              <w:right w:w="58" w:type="dxa"/>
            </w:tcMar>
            <w:vAlign w:val="center"/>
          </w:tcPr>
          <w:p w:rsidR="00AE1D20" w:rsidP="00AE1D20" w:rsidRDefault="00AE1D20" w14:paraId="09CE36CD" w14:textId="4538A996">
            <w:pPr>
              <w:rPr>
                <w:rFonts w:cs="Arial"/>
                <w:sz w:val="16"/>
                <w:szCs w:val="16"/>
              </w:rPr>
            </w:pPr>
            <w:r w:rsidRPr="008402DF">
              <w:rPr>
                <w:rFonts w:cs="Arial"/>
                <w:sz w:val="16"/>
                <w:szCs w:val="16"/>
              </w:rPr>
              <w:t>Percentage of subversion attempts confirmed through the testing of specimens collected under direct observation</w:t>
            </w:r>
          </w:p>
        </w:tc>
        <w:tc>
          <w:tcPr>
            <w:tcW w:w="1080" w:type="dxa"/>
            <w:shd w:val="clear" w:color="auto" w:fill="FFFFFF" w:themeFill="background1"/>
            <w:noWrap/>
            <w:tcMar>
              <w:left w:w="58" w:type="dxa"/>
              <w:right w:w="58" w:type="dxa"/>
            </w:tcMar>
            <w:vAlign w:val="center"/>
          </w:tcPr>
          <w:p w:rsidRPr="008402DF" w:rsidR="00AE1D20" w:rsidP="009812C1" w:rsidRDefault="00AE1D20" w14:paraId="4719000F" w14:textId="29CEC7A5">
            <w:pPr>
              <w:ind w:left="-2" w:leftChars="-1" w:firstLine="1"/>
              <w:jc w:val="right"/>
              <w:rPr>
                <w:rFonts w:cs="Arial"/>
                <w:sz w:val="16"/>
                <w:szCs w:val="16"/>
              </w:rPr>
            </w:pPr>
            <w:r w:rsidRPr="008402DF">
              <w:rPr>
                <w:rFonts w:cs="Arial"/>
                <w:sz w:val="16"/>
                <w:szCs w:val="16"/>
              </w:rPr>
              <w:t>31.1%</w:t>
            </w:r>
          </w:p>
        </w:tc>
        <w:tc>
          <w:tcPr>
            <w:tcW w:w="900" w:type="dxa"/>
            <w:tcBorders>
              <w:top w:val="single" w:color="auto" w:sz="4" w:space="0"/>
              <w:bottom w:val="nil"/>
              <w:right w:val="nil"/>
            </w:tcBorders>
            <w:shd w:val="clear" w:color="auto" w:fill="FFFFFF" w:themeFill="background1"/>
            <w:noWrap/>
            <w:tcMar>
              <w:left w:w="58" w:type="dxa"/>
              <w:right w:w="58" w:type="dxa"/>
            </w:tcMar>
            <w:vAlign w:val="center"/>
          </w:tcPr>
          <w:p w:rsidRPr="008402DF" w:rsidR="00AE1D20" w:rsidP="00AE1D20" w:rsidRDefault="00AE1D20" w14:paraId="25241206" w14:textId="77777777">
            <w:pPr>
              <w:jc w:val="center"/>
              <w:rPr>
                <w:rFonts w:cs="Arial"/>
                <w:sz w:val="16"/>
                <w:szCs w:val="16"/>
              </w:rPr>
            </w:pPr>
          </w:p>
        </w:tc>
        <w:tc>
          <w:tcPr>
            <w:tcW w:w="886" w:type="dxa"/>
            <w:tcBorders>
              <w:top w:val="single" w:color="auto" w:sz="4" w:space="0"/>
              <w:left w:val="nil"/>
              <w:bottom w:val="nil"/>
              <w:right w:val="nil"/>
            </w:tcBorders>
            <w:shd w:val="clear" w:color="auto" w:fill="FFFFFF" w:themeFill="background1"/>
            <w:noWrap/>
            <w:tcMar>
              <w:left w:w="58" w:type="dxa"/>
              <w:right w:w="58" w:type="dxa"/>
            </w:tcMar>
            <w:vAlign w:val="center"/>
          </w:tcPr>
          <w:p w:rsidRPr="008402DF" w:rsidR="00AE1D20" w:rsidP="00AE1D20" w:rsidRDefault="00AE1D20" w14:paraId="73D42A19" w14:textId="77777777">
            <w:pPr>
              <w:jc w:val="center"/>
              <w:rPr>
                <w:rFonts w:cs="Arial"/>
                <w:sz w:val="16"/>
                <w:szCs w:val="16"/>
              </w:rPr>
            </w:pPr>
          </w:p>
        </w:tc>
        <w:tc>
          <w:tcPr>
            <w:tcW w:w="1003" w:type="dxa"/>
            <w:tcBorders>
              <w:top w:val="single" w:color="auto" w:sz="4" w:space="0"/>
              <w:left w:val="nil"/>
              <w:bottom w:val="nil"/>
            </w:tcBorders>
            <w:shd w:val="clear" w:color="auto" w:fill="FFFFFF" w:themeFill="background1"/>
            <w:noWrap/>
            <w:tcMar>
              <w:left w:w="58" w:type="dxa"/>
              <w:right w:w="58" w:type="dxa"/>
            </w:tcMar>
            <w:vAlign w:val="center"/>
          </w:tcPr>
          <w:p w:rsidRPr="008402DF" w:rsidR="00AE1D20" w:rsidP="00AE1D20" w:rsidRDefault="00AE1D20" w14:paraId="2D5FEA95" w14:textId="77777777">
            <w:pPr>
              <w:jc w:val="center"/>
              <w:rPr>
                <w:rFonts w:cs="Arial"/>
                <w:sz w:val="16"/>
                <w:szCs w:val="16"/>
              </w:rPr>
            </w:pPr>
          </w:p>
        </w:tc>
      </w:tr>
      <w:tr w:rsidRPr="008402DF" w:rsidR="00B363FD" w:rsidTr="009812C1" w14:paraId="6BEE2E97" w14:textId="77777777">
        <w:trPr>
          <w:trHeight w:val="247"/>
          <w:jc w:val="center"/>
        </w:trPr>
        <w:tc>
          <w:tcPr>
            <w:tcW w:w="1527" w:type="dxa"/>
            <w:vMerge/>
            <w:shd w:val="clear" w:color="auto" w:fill="FFFFFF" w:themeFill="background1"/>
            <w:tcMar>
              <w:left w:w="58" w:type="dxa"/>
              <w:right w:w="58" w:type="dxa"/>
            </w:tcMar>
            <w:vAlign w:val="center"/>
          </w:tcPr>
          <w:p w:rsidRPr="008402DF" w:rsidR="00AE1D20" w:rsidP="00AE1D20" w:rsidRDefault="00AE1D20" w14:paraId="34481F52" w14:textId="77777777">
            <w:pPr>
              <w:rPr>
                <w:rFonts w:cs="Arial"/>
                <w:sz w:val="16"/>
                <w:szCs w:val="16"/>
              </w:rPr>
            </w:pPr>
          </w:p>
        </w:tc>
        <w:tc>
          <w:tcPr>
            <w:tcW w:w="3960" w:type="dxa"/>
            <w:shd w:val="clear" w:color="auto" w:fill="FFFFFF" w:themeFill="background1"/>
            <w:tcMar>
              <w:left w:w="58" w:type="dxa"/>
              <w:right w:w="58" w:type="dxa"/>
            </w:tcMar>
            <w:vAlign w:val="center"/>
          </w:tcPr>
          <w:p w:rsidR="00AE1D20" w:rsidP="00AE1D20" w:rsidRDefault="00AE1D20" w14:paraId="4DE65C96" w14:textId="7CCDCAD9">
            <w:pPr>
              <w:rPr>
                <w:rFonts w:cs="Arial"/>
                <w:sz w:val="16"/>
                <w:szCs w:val="16"/>
              </w:rPr>
            </w:pPr>
            <w:r w:rsidRPr="008402DF">
              <w:rPr>
                <w:rFonts w:cs="Arial"/>
                <w:sz w:val="16"/>
                <w:szCs w:val="16"/>
              </w:rPr>
              <w:t>Urine specimen collection time</w:t>
            </w:r>
          </w:p>
        </w:tc>
        <w:tc>
          <w:tcPr>
            <w:tcW w:w="1080" w:type="dxa"/>
            <w:shd w:val="clear" w:color="auto" w:fill="FFFFFF" w:themeFill="background1"/>
            <w:noWrap/>
            <w:tcMar>
              <w:left w:w="58" w:type="dxa"/>
              <w:right w:w="58" w:type="dxa"/>
            </w:tcMar>
            <w:vAlign w:val="center"/>
          </w:tcPr>
          <w:p w:rsidRPr="008402DF" w:rsidR="00AE1D20" w:rsidP="009812C1" w:rsidRDefault="00AE1D20" w14:paraId="197AD17E" w14:textId="7DEBD2BA">
            <w:pPr>
              <w:ind w:left="-2" w:leftChars="-1" w:firstLine="1"/>
              <w:jc w:val="right"/>
              <w:rPr>
                <w:rFonts w:cs="Arial"/>
                <w:sz w:val="16"/>
                <w:szCs w:val="16"/>
              </w:rPr>
            </w:pPr>
            <w:r w:rsidRPr="008402DF">
              <w:rPr>
                <w:rFonts w:cs="Arial"/>
                <w:sz w:val="16"/>
                <w:szCs w:val="16"/>
              </w:rPr>
              <w:t xml:space="preserve">1.25 </w:t>
            </w:r>
            <w:r w:rsidRPr="008402DF">
              <w:rPr>
                <w:sz w:val="16"/>
                <w:szCs w:val="16"/>
              </w:rPr>
              <w:t>h</w:t>
            </w:r>
            <w:r>
              <w:rPr>
                <w:sz w:val="16"/>
                <w:szCs w:val="16"/>
              </w:rPr>
              <w:t>our</w:t>
            </w:r>
          </w:p>
        </w:tc>
        <w:tc>
          <w:tcPr>
            <w:tcW w:w="900" w:type="dxa"/>
            <w:tcBorders>
              <w:top w:val="nil"/>
              <w:bottom w:val="nil"/>
              <w:right w:val="nil"/>
            </w:tcBorders>
            <w:shd w:val="clear" w:color="auto" w:fill="FFFFFF" w:themeFill="background1"/>
            <w:noWrap/>
            <w:tcMar>
              <w:left w:w="58" w:type="dxa"/>
              <w:right w:w="58" w:type="dxa"/>
            </w:tcMar>
            <w:vAlign w:val="center"/>
          </w:tcPr>
          <w:p w:rsidRPr="008402DF" w:rsidR="00AE1D20" w:rsidP="00AE1D20" w:rsidRDefault="00AE1D20" w14:paraId="17C390F0" w14:textId="77777777">
            <w:pPr>
              <w:jc w:val="center"/>
              <w:rPr>
                <w:rFonts w:cs="Arial"/>
                <w:sz w:val="16"/>
                <w:szCs w:val="16"/>
              </w:rPr>
            </w:pPr>
          </w:p>
        </w:tc>
        <w:tc>
          <w:tcPr>
            <w:tcW w:w="886" w:type="dxa"/>
            <w:tcBorders>
              <w:top w:val="nil"/>
              <w:left w:val="nil"/>
              <w:bottom w:val="nil"/>
              <w:right w:val="nil"/>
            </w:tcBorders>
            <w:shd w:val="clear" w:color="auto" w:fill="FFFFFF" w:themeFill="background1"/>
            <w:noWrap/>
            <w:tcMar>
              <w:left w:w="58" w:type="dxa"/>
              <w:right w:w="58" w:type="dxa"/>
            </w:tcMar>
            <w:vAlign w:val="center"/>
          </w:tcPr>
          <w:p w:rsidRPr="008402DF" w:rsidR="00AE1D20" w:rsidP="00AE1D20" w:rsidRDefault="00AE1D20" w14:paraId="449C0993" w14:textId="77777777">
            <w:pPr>
              <w:jc w:val="center"/>
              <w:rPr>
                <w:rFonts w:cs="Arial"/>
                <w:sz w:val="16"/>
                <w:szCs w:val="16"/>
              </w:rPr>
            </w:pPr>
          </w:p>
        </w:tc>
        <w:tc>
          <w:tcPr>
            <w:tcW w:w="1003" w:type="dxa"/>
            <w:tcBorders>
              <w:top w:val="nil"/>
              <w:left w:val="nil"/>
              <w:bottom w:val="nil"/>
            </w:tcBorders>
            <w:shd w:val="clear" w:color="auto" w:fill="FFFFFF" w:themeFill="background1"/>
            <w:noWrap/>
            <w:tcMar>
              <w:left w:w="58" w:type="dxa"/>
              <w:right w:w="58" w:type="dxa"/>
            </w:tcMar>
            <w:vAlign w:val="center"/>
          </w:tcPr>
          <w:p w:rsidRPr="008402DF" w:rsidR="00AE1D20" w:rsidP="00AE1D20" w:rsidRDefault="00AE1D20" w14:paraId="312823B2" w14:textId="77777777">
            <w:pPr>
              <w:jc w:val="center"/>
              <w:rPr>
                <w:rFonts w:cs="Arial"/>
                <w:sz w:val="16"/>
                <w:szCs w:val="16"/>
              </w:rPr>
            </w:pPr>
          </w:p>
        </w:tc>
      </w:tr>
      <w:tr w:rsidRPr="008402DF" w:rsidR="00B363FD" w:rsidTr="009812C1" w14:paraId="122CDF33" w14:textId="77777777">
        <w:trPr>
          <w:trHeight w:val="256"/>
          <w:jc w:val="center"/>
        </w:trPr>
        <w:tc>
          <w:tcPr>
            <w:tcW w:w="1527" w:type="dxa"/>
            <w:vMerge/>
            <w:shd w:val="clear" w:color="auto" w:fill="FFFFFF" w:themeFill="background1"/>
            <w:tcMar>
              <w:left w:w="58" w:type="dxa"/>
              <w:right w:w="58" w:type="dxa"/>
            </w:tcMar>
            <w:vAlign w:val="center"/>
          </w:tcPr>
          <w:p w:rsidRPr="008402DF" w:rsidR="00AE1D20" w:rsidP="00AE1D20" w:rsidRDefault="00AE1D20" w14:paraId="2B7E4946" w14:textId="77777777">
            <w:pPr>
              <w:rPr>
                <w:rFonts w:cs="Arial"/>
                <w:sz w:val="16"/>
                <w:szCs w:val="16"/>
              </w:rPr>
            </w:pPr>
          </w:p>
        </w:tc>
        <w:tc>
          <w:tcPr>
            <w:tcW w:w="3960" w:type="dxa"/>
            <w:shd w:val="clear" w:color="auto" w:fill="FFFFFF" w:themeFill="background1"/>
            <w:tcMar>
              <w:left w:w="58" w:type="dxa"/>
              <w:right w:w="58" w:type="dxa"/>
            </w:tcMar>
            <w:vAlign w:val="center"/>
          </w:tcPr>
          <w:p w:rsidR="00AE1D20" w:rsidP="00AE1D20" w:rsidRDefault="00AE1D20" w14:paraId="26CDC3FE" w14:textId="08A5B83F">
            <w:pPr>
              <w:rPr>
                <w:rFonts w:cs="Arial"/>
                <w:sz w:val="16"/>
                <w:szCs w:val="16"/>
              </w:rPr>
            </w:pPr>
            <w:r w:rsidRPr="008402DF">
              <w:rPr>
                <w:rFonts w:cs="Arial"/>
                <w:sz w:val="16"/>
                <w:szCs w:val="16"/>
              </w:rPr>
              <w:t xml:space="preserve">Facility </w:t>
            </w:r>
            <w:r w:rsidR="00207E0D">
              <w:rPr>
                <w:rFonts w:cs="Arial"/>
                <w:sz w:val="16"/>
                <w:szCs w:val="16"/>
              </w:rPr>
              <w:t>W</w:t>
            </w:r>
            <w:r w:rsidRPr="008402DF">
              <w:rPr>
                <w:rFonts w:cs="Arial"/>
                <w:sz w:val="16"/>
                <w:szCs w:val="16"/>
              </w:rPr>
              <w:t>orker (donor) wage rate</w:t>
            </w:r>
          </w:p>
        </w:tc>
        <w:tc>
          <w:tcPr>
            <w:tcW w:w="1080" w:type="dxa"/>
            <w:shd w:val="clear" w:color="auto" w:fill="FFFFFF" w:themeFill="background1"/>
            <w:noWrap/>
            <w:tcMar>
              <w:left w:w="58" w:type="dxa"/>
              <w:right w:w="58" w:type="dxa"/>
            </w:tcMar>
            <w:vAlign w:val="center"/>
          </w:tcPr>
          <w:p w:rsidRPr="008402DF" w:rsidR="00AE1D20" w:rsidP="009812C1" w:rsidRDefault="00AE1D20" w14:paraId="3EE4BEA4" w14:textId="2DCB7FA6">
            <w:pPr>
              <w:ind w:left="-2" w:leftChars="-1" w:firstLine="1"/>
              <w:jc w:val="right"/>
              <w:rPr>
                <w:rFonts w:cs="Arial"/>
                <w:sz w:val="16"/>
                <w:szCs w:val="16"/>
              </w:rPr>
            </w:pPr>
            <w:r w:rsidRPr="008402DF">
              <w:rPr>
                <w:rFonts w:cs="Arial"/>
                <w:sz w:val="16"/>
                <w:szCs w:val="16"/>
              </w:rPr>
              <w:t>$70.65/hour</w:t>
            </w:r>
          </w:p>
        </w:tc>
        <w:tc>
          <w:tcPr>
            <w:tcW w:w="900" w:type="dxa"/>
            <w:tcBorders>
              <w:top w:val="nil"/>
              <w:bottom w:val="nil"/>
              <w:right w:val="nil"/>
            </w:tcBorders>
            <w:shd w:val="clear" w:color="auto" w:fill="FFFFFF" w:themeFill="background1"/>
            <w:noWrap/>
            <w:tcMar>
              <w:left w:w="58" w:type="dxa"/>
              <w:right w:w="58" w:type="dxa"/>
            </w:tcMar>
            <w:vAlign w:val="center"/>
          </w:tcPr>
          <w:p w:rsidRPr="008402DF" w:rsidR="00AE1D20" w:rsidP="00AE1D20" w:rsidRDefault="00AE1D20" w14:paraId="68726B79" w14:textId="77777777">
            <w:pPr>
              <w:jc w:val="center"/>
              <w:rPr>
                <w:rFonts w:cs="Arial"/>
                <w:sz w:val="16"/>
                <w:szCs w:val="16"/>
              </w:rPr>
            </w:pPr>
          </w:p>
        </w:tc>
        <w:tc>
          <w:tcPr>
            <w:tcW w:w="886" w:type="dxa"/>
            <w:tcBorders>
              <w:top w:val="nil"/>
              <w:left w:val="nil"/>
              <w:bottom w:val="nil"/>
              <w:right w:val="nil"/>
            </w:tcBorders>
            <w:shd w:val="clear" w:color="auto" w:fill="FFFFFF" w:themeFill="background1"/>
            <w:noWrap/>
            <w:tcMar>
              <w:left w:w="58" w:type="dxa"/>
              <w:right w:w="58" w:type="dxa"/>
            </w:tcMar>
            <w:vAlign w:val="center"/>
          </w:tcPr>
          <w:p w:rsidRPr="008402DF" w:rsidR="00AE1D20" w:rsidP="00AE1D20" w:rsidRDefault="00AE1D20" w14:paraId="0891EF41" w14:textId="77777777">
            <w:pPr>
              <w:jc w:val="center"/>
              <w:rPr>
                <w:rFonts w:cs="Arial"/>
                <w:sz w:val="16"/>
                <w:szCs w:val="16"/>
              </w:rPr>
            </w:pPr>
          </w:p>
        </w:tc>
        <w:tc>
          <w:tcPr>
            <w:tcW w:w="1003" w:type="dxa"/>
            <w:tcBorders>
              <w:top w:val="nil"/>
              <w:left w:val="nil"/>
              <w:bottom w:val="nil"/>
            </w:tcBorders>
            <w:shd w:val="clear" w:color="auto" w:fill="FFFFFF" w:themeFill="background1"/>
            <w:noWrap/>
            <w:tcMar>
              <w:left w:w="58" w:type="dxa"/>
              <w:right w:w="58" w:type="dxa"/>
            </w:tcMar>
            <w:vAlign w:val="center"/>
          </w:tcPr>
          <w:p w:rsidRPr="008402DF" w:rsidR="00AE1D20" w:rsidP="00AE1D20" w:rsidRDefault="00AE1D20" w14:paraId="61945279" w14:textId="77777777">
            <w:pPr>
              <w:jc w:val="center"/>
              <w:rPr>
                <w:rFonts w:cs="Arial"/>
                <w:sz w:val="16"/>
                <w:szCs w:val="16"/>
              </w:rPr>
            </w:pPr>
          </w:p>
        </w:tc>
      </w:tr>
      <w:tr w:rsidRPr="008402DF" w:rsidR="00B363FD" w:rsidTr="009812C1" w14:paraId="20686393" w14:textId="77777777">
        <w:trPr>
          <w:trHeight w:val="274"/>
          <w:jc w:val="center"/>
        </w:trPr>
        <w:tc>
          <w:tcPr>
            <w:tcW w:w="1527" w:type="dxa"/>
            <w:vMerge/>
            <w:shd w:val="clear" w:color="auto" w:fill="FFFFFF" w:themeFill="background1"/>
            <w:tcMar>
              <w:left w:w="58" w:type="dxa"/>
              <w:right w:w="58" w:type="dxa"/>
            </w:tcMar>
            <w:vAlign w:val="center"/>
          </w:tcPr>
          <w:p w:rsidRPr="008402DF" w:rsidR="00AE1D20" w:rsidP="00AE1D20" w:rsidRDefault="00AE1D20" w14:paraId="5E7B68F0" w14:textId="77777777">
            <w:pPr>
              <w:rPr>
                <w:rFonts w:cs="Arial"/>
                <w:sz w:val="16"/>
                <w:szCs w:val="16"/>
              </w:rPr>
            </w:pPr>
          </w:p>
        </w:tc>
        <w:tc>
          <w:tcPr>
            <w:tcW w:w="3960" w:type="dxa"/>
            <w:shd w:val="clear" w:color="auto" w:fill="FFFFFF" w:themeFill="background1"/>
            <w:tcMar>
              <w:left w:w="58" w:type="dxa"/>
              <w:right w:w="58" w:type="dxa"/>
            </w:tcMar>
            <w:vAlign w:val="center"/>
          </w:tcPr>
          <w:p w:rsidR="00AE1D20" w:rsidP="00AE1D20" w:rsidRDefault="00AE1D20" w14:paraId="3F75AEFB" w14:textId="589A09EC">
            <w:pPr>
              <w:rPr>
                <w:rFonts w:cs="Arial"/>
                <w:sz w:val="16"/>
                <w:szCs w:val="16"/>
              </w:rPr>
            </w:pPr>
            <w:r w:rsidRPr="008402DF">
              <w:rPr>
                <w:rFonts w:cs="Arial"/>
                <w:sz w:val="16"/>
                <w:szCs w:val="16"/>
              </w:rPr>
              <w:t xml:space="preserve">FFD </w:t>
            </w:r>
            <w:r w:rsidR="00207E0D">
              <w:rPr>
                <w:rFonts w:cs="Arial"/>
                <w:sz w:val="16"/>
                <w:szCs w:val="16"/>
              </w:rPr>
              <w:t>S</w:t>
            </w:r>
            <w:r w:rsidRPr="008402DF">
              <w:rPr>
                <w:rFonts w:cs="Arial"/>
                <w:sz w:val="16"/>
                <w:szCs w:val="16"/>
              </w:rPr>
              <w:t>taff (observer) wage rate</w:t>
            </w:r>
          </w:p>
        </w:tc>
        <w:tc>
          <w:tcPr>
            <w:tcW w:w="1080" w:type="dxa"/>
            <w:shd w:val="clear" w:color="auto" w:fill="FFFFFF" w:themeFill="background1"/>
            <w:noWrap/>
            <w:tcMar>
              <w:left w:w="58" w:type="dxa"/>
              <w:right w:w="58" w:type="dxa"/>
            </w:tcMar>
            <w:vAlign w:val="center"/>
          </w:tcPr>
          <w:p w:rsidRPr="008402DF" w:rsidR="00AE1D20" w:rsidP="009812C1" w:rsidRDefault="00AE1D20" w14:paraId="20C6AD53" w14:textId="7F82F8EF">
            <w:pPr>
              <w:ind w:left="-2" w:leftChars="-1" w:firstLine="1"/>
              <w:jc w:val="right"/>
              <w:rPr>
                <w:rFonts w:cs="Arial"/>
                <w:sz w:val="16"/>
                <w:szCs w:val="16"/>
              </w:rPr>
            </w:pPr>
            <w:r w:rsidRPr="008402DF">
              <w:rPr>
                <w:rFonts w:cs="Arial"/>
                <w:sz w:val="16"/>
                <w:szCs w:val="16"/>
              </w:rPr>
              <w:t>$41.20/hour</w:t>
            </w:r>
          </w:p>
        </w:tc>
        <w:tc>
          <w:tcPr>
            <w:tcW w:w="900" w:type="dxa"/>
            <w:tcBorders>
              <w:top w:val="nil"/>
              <w:bottom w:val="nil"/>
              <w:right w:val="nil"/>
            </w:tcBorders>
            <w:shd w:val="clear" w:color="auto" w:fill="FFFFFF" w:themeFill="background1"/>
            <w:noWrap/>
            <w:tcMar>
              <w:left w:w="58" w:type="dxa"/>
              <w:right w:w="58" w:type="dxa"/>
            </w:tcMar>
            <w:vAlign w:val="center"/>
          </w:tcPr>
          <w:p w:rsidRPr="008402DF" w:rsidR="00AE1D20" w:rsidP="00AE1D20" w:rsidRDefault="00AE1D20" w14:paraId="00F41057" w14:textId="77777777">
            <w:pPr>
              <w:jc w:val="center"/>
              <w:rPr>
                <w:rFonts w:cs="Arial"/>
                <w:sz w:val="16"/>
                <w:szCs w:val="16"/>
              </w:rPr>
            </w:pPr>
          </w:p>
        </w:tc>
        <w:tc>
          <w:tcPr>
            <w:tcW w:w="886" w:type="dxa"/>
            <w:tcBorders>
              <w:top w:val="nil"/>
              <w:left w:val="nil"/>
              <w:bottom w:val="nil"/>
              <w:right w:val="nil"/>
            </w:tcBorders>
            <w:shd w:val="clear" w:color="auto" w:fill="FFFFFF" w:themeFill="background1"/>
            <w:noWrap/>
            <w:tcMar>
              <w:left w:w="58" w:type="dxa"/>
              <w:right w:w="58" w:type="dxa"/>
            </w:tcMar>
            <w:vAlign w:val="center"/>
          </w:tcPr>
          <w:p w:rsidRPr="008402DF" w:rsidR="00AE1D20" w:rsidP="00AE1D20" w:rsidRDefault="00AE1D20" w14:paraId="2E237C26" w14:textId="77777777">
            <w:pPr>
              <w:jc w:val="center"/>
              <w:rPr>
                <w:rFonts w:cs="Arial"/>
                <w:sz w:val="16"/>
                <w:szCs w:val="16"/>
              </w:rPr>
            </w:pPr>
          </w:p>
        </w:tc>
        <w:tc>
          <w:tcPr>
            <w:tcW w:w="1003" w:type="dxa"/>
            <w:tcBorders>
              <w:top w:val="nil"/>
              <w:left w:val="nil"/>
              <w:bottom w:val="nil"/>
            </w:tcBorders>
            <w:shd w:val="clear" w:color="auto" w:fill="FFFFFF" w:themeFill="background1"/>
            <w:noWrap/>
            <w:tcMar>
              <w:left w:w="58" w:type="dxa"/>
              <w:right w:w="58" w:type="dxa"/>
            </w:tcMar>
            <w:vAlign w:val="center"/>
          </w:tcPr>
          <w:p w:rsidRPr="008402DF" w:rsidR="00AE1D20" w:rsidP="00AE1D20" w:rsidRDefault="00AE1D20" w14:paraId="225E8D88" w14:textId="77777777">
            <w:pPr>
              <w:jc w:val="center"/>
              <w:rPr>
                <w:rFonts w:cs="Arial"/>
                <w:sz w:val="16"/>
                <w:szCs w:val="16"/>
              </w:rPr>
            </w:pPr>
          </w:p>
        </w:tc>
      </w:tr>
      <w:tr w:rsidRPr="008402DF" w:rsidR="00B363FD" w:rsidTr="009812C1" w14:paraId="7B11C7DD" w14:textId="77777777">
        <w:trPr>
          <w:trHeight w:val="481"/>
          <w:jc w:val="center"/>
        </w:trPr>
        <w:tc>
          <w:tcPr>
            <w:tcW w:w="1527" w:type="dxa"/>
            <w:vMerge/>
            <w:shd w:val="clear" w:color="auto" w:fill="FFFFFF" w:themeFill="background1"/>
            <w:tcMar>
              <w:left w:w="58" w:type="dxa"/>
              <w:right w:w="58" w:type="dxa"/>
            </w:tcMar>
            <w:vAlign w:val="center"/>
          </w:tcPr>
          <w:p w:rsidRPr="008402DF" w:rsidR="00AE1D20" w:rsidP="00AE1D20" w:rsidRDefault="00AE1D20" w14:paraId="5FC0D355" w14:textId="77777777">
            <w:pPr>
              <w:rPr>
                <w:rFonts w:cs="Arial"/>
                <w:sz w:val="16"/>
                <w:szCs w:val="16"/>
              </w:rPr>
            </w:pPr>
          </w:p>
        </w:tc>
        <w:tc>
          <w:tcPr>
            <w:tcW w:w="3960" w:type="dxa"/>
            <w:shd w:val="clear" w:color="auto" w:fill="FFFFFF" w:themeFill="background1"/>
            <w:tcMar>
              <w:left w:w="58" w:type="dxa"/>
              <w:right w:w="58" w:type="dxa"/>
            </w:tcMar>
            <w:vAlign w:val="center"/>
          </w:tcPr>
          <w:p w:rsidR="00AE1D20" w:rsidP="00AE1D20" w:rsidRDefault="00AE1D20" w14:paraId="03784CAC" w14:textId="02BE2240">
            <w:pPr>
              <w:rPr>
                <w:rFonts w:cs="Arial"/>
                <w:sz w:val="16"/>
                <w:szCs w:val="16"/>
              </w:rPr>
            </w:pPr>
            <w:r>
              <w:rPr>
                <w:rFonts w:cs="Arial"/>
                <w:sz w:val="16"/>
                <w:szCs w:val="16"/>
              </w:rPr>
              <w:t>Initial and confirmatory drug testing, HHS-certified laboratory (</w:t>
            </w:r>
            <w:r w:rsidR="005C6445">
              <w:rPr>
                <w:rFonts w:cs="Arial"/>
                <w:sz w:val="16"/>
                <w:szCs w:val="16"/>
              </w:rPr>
              <w:t>sites only using HHS-certified laboratories)</w:t>
            </w:r>
          </w:p>
        </w:tc>
        <w:tc>
          <w:tcPr>
            <w:tcW w:w="1080" w:type="dxa"/>
            <w:shd w:val="clear" w:color="auto" w:fill="FFFFFF" w:themeFill="background1"/>
            <w:noWrap/>
            <w:tcMar>
              <w:left w:w="58" w:type="dxa"/>
              <w:right w:w="58" w:type="dxa"/>
            </w:tcMar>
            <w:vAlign w:val="center"/>
          </w:tcPr>
          <w:p w:rsidR="00AE1D20" w:rsidP="009812C1" w:rsidRDefault="00AE1D20" w14:paraId="35C7E01F" w14:textId="44A1C00F">
            <w:pPr>
              <w:ind w:left="-2" w:leftChars="-1" w:firstLine="1"/>
              <w:jc w:val="right"/>
              <w:rPr>
                <w:rFonts w:cs="Arial"/>
                <w:sz w:val="16"/>
                <w:szCs w:val="16"/>
              </w:rPr>
            </w:pPr>
            <w:r w:rsidRPr="008402DF">
              <w:rPr>
                <w:rFonts w:cs="Arial"/>
                <w:sz w:val="16"/>
                <w:szCs w:val="16"/>
              </w:rPr>
              <w:t>$</w:t>
            </w:r>
            <w:r w:rsidR="006760A9">
              <w:rPr>
                <w:rFonts w:cs="Arial"/>
                <w:sz w:val="16"/>
                <w:szCs w:val="16"/>
              </w:rPr>
              <w:t>12.88</w:t>
            </w:r>
            <w:r w:rsidRPr="008402DF">
              <w:rPr>
                <w:rFonts w:cs="Arial"/>
                <w:sz w:val="16"/>
                <w:szCs w:val="16"/>
              </w:rPr>
              <w:t>/</w:t>
            </w:r>
          </w:p>
          <w:p w:rsidRPr="008402DF" w:rsidR="00AE1D20" w:rsidP="009812C1" w:rsidRDefault="00AE1D20" w14:paraId="392203C1" w14:textId="4FEDDBBA">
            <w:pPr>
              <w:ind w:left="-2" w:leftChars="-1" w:firstLine="1"/>
              <w:jc w:val="right"/>
              <w:rPr>
                <w:rFonts w:cs="Arial"/>
                <w:sz w:val="16"/>
                <w:szCs w:val="16"/>
              </w:rPr>
            </w:pPr>
            <w:r w:rsidRPr="008402DF">
              <w:rPr>
                <w:rFonts w:cs="Arial"/>
                <w:sz w:val="16"/>
                <w:szCs w:val="16"/>
              </w:rPr>
              <w:t>specimen</w:t>
            </w:r>
          </w:p>
        </w:tc>
        <w:tc>
          <w:tcPr>
            <w:tcW w:w="900" w:type="dxa"/>
            <w:tcBorders>
              <w:top w:val="nil"/>
              <w:right w:val="nil"/>
            </w:tcBorders>
            <w:shd w:val="clear" w:color="auto" w:fill="FFFFFF" w:themeFill="background1"/>
            <w:noWrap/>
            <w:tcMar>
              <w:left w:w="58" w:type="dxa"/>
              <w:right w:w="58" w:type="dxa"/>
            </w:tcMar>
            <w:vAlign w:val="center"/>
          </w:tcPr>
          <w:p w:rsidRPr="008402DF" w:rsidR="00AE1D20" w:rsidP="00AE1D20" w:rsidRDefault="00AE1D20" w14:paraId="68F6CF77" w14:textId="77777777">
            <w:pPr>
              <w:jc w:val="center"/>
              <w:rPr>
                <w:rFonts w:cs="Arial"/>
                <w:sz w:val="16"/>
                <w:szCs w:val="16"/>
              </w:rPr>
            </w:pPr>
          </w:p>
        </w:tc>
        <w:tc>
          <w:tcPr>
            <w:tcW w:w="886" w:type="dxa"/>
            <w:tcBorders>
              <w:top w:val="nil"/>
              <w:left w:val="nil"/>
              <w:right w:val="nil"/>
            </w:tcBorders>
            <w:shd w:val="clear" w:color="auto" w:fill="FFFFFF" w:themeFill="background1"/>
            <w:noWrap/>
            <w:tcMar>
              <w:left w:w="58" w:type="dxa"/>
              <w:right w:w="58" w:type="dxa"/>
            </w:tcMar>
            <w:vAlign w:val="center"/>
          </w:tcPr>
          <w:p w:rsidRPr="008402DF" w:rsidR="00AE1D20" w:rsidP="00AE1D20" w:rsidRDefault="00AE1D20" w14:paraId="5F81E597" w14:textId="77777777">
            <w:pPr>
              <w:jc w:val="center"/>
              <w:rPr>
                <w:rFonts w:cs="Arial"/>
                <w:sz w:val="16"/>
                <w:szCs w:val="16"/>
              </w:rPr>
            </w:pPr>
          </w:p>
        </w:tc>
        <w:tc>
          <w:tcPr>
            <w:tcW w:w="1003" w:type="dxa"/>
            <w:tcBorders>
              <w:top w:val="nil"/>
              <w:left w:val="nil"/>
            </w:tcBorders>
            <w:shd w:val="clear" w:color="auto" w:fill="FFFFFF" w:themeFill="background1"/>
            <w:noWrap/>
            <w:tcMar>
              <w:left w:w="58" w:type="dxa"/>
              <w:right w:w="58" w:type="dxa"/>
            </w:tcMar>
            <w:vAlign w:val="center"/>
          </w:tcPr>
          <w:p w:rsidRPr="008402DF" w:rsidR="00AE1D20" w:rsidP="00AE1D20" w:rsidRDefault="00AE1D20" w14:paraId="1551B823" w14:textId="77777777">
            <w:pPr>
              <w:jc w:val="center"/>
              <w:rPr>
                <w:rFonts w:cs="Arial"/>
                <w:sz w:val="16"/>
                <w:szCs w:val="16"/>
              </w:rPr>
            </w:pPr>
          </w:p>
        </w:tc>
      </w:tr>
      <w:tr w:rsidRPr="008402DF" w:rsidR="002F69BA" w:rsidTr="00BE0979" w14:paraId="208CB8D9" w14:textId="77777777">
        <w:trPr>
          <w:trHeight w:val="259"/>
          <w:jc w:val="center"/>
        </w:trPr>
        <w:tc>
          <w:tcPr>
            <w:tcW w:w="9356" w:type="dxa"/>
            <w:gridSpan w:val="6"/>
            <w:shd w:val="clear" w:color="auto" w:fill="D9D9D9" w:themeFill="background1" w:themeFillShade="D9"/>
            <w:noWrap/>
            <w:tcMar>
              <w:left w:w="58" w:type="dxa"/>
              <w:right w:w="58" w:type="dxa"/>
            </w:tcMar>
            <w:vAlign w:val="center"/>
            <w:hideMark/>
          </w:tcPr>
          <w:p w:rsidRPr="008402DF" w:rsidR="002F69BA" w:rsidP="00753DE6" w:rsidRDefault="002F69BA" w14:paraId="302F4592" w14:textId="4821C0C3">
            <w:pPr>
              <w:rPr>
                <w:rFonts w:cs="Arial"/>
                <w:sz w:val="16"/>
                <w:szCs w:val="16"/>
              </w:rPr>
            </w:pPr>
            <w:r w:rsidRPr="008402DF">
              <w:rPr>
                <w:rFonts w:cs="Arial"/>
                <w:b/>
                <w:bCs/>
                <w:sz w:val="16"/>
                <w:szCs w:val="16"/>
              </w:rPr>
              <w:t xml:space="preserve">Observed Oral </w:t>
            </w:r>
            <w:r w:rsidR="00EC09FE">
              <w:rPr>
                <w:rFonts w:cs="Arial"/>
                <w:b/>
                <w:bCs/>
                <w:sz w:val="16"/>
                <w:szCs w:val="16"/>
              </w:rPr>
              <w:t xml:space="preserve">Fluid </w:t>
            </w:r>
            <w:r w:rsidRPr="008402DF">
              <w:rPr>
                <w:rFonts w:cs="Arial"/>
                <w:b/>
                <w:bCs/>
                <w:sz w:val="16"/>
                <w:szCs w:val="16"/>
              </w:rPr>
              <w:t xml:space="preserve">Specimen Collection </w:t>
            </w:r>
            <w:r w:rsidR="0076146A">
              <w:rPr>
                <w:rFonts w:cs="Arial"/>
                <w:b/>
                <w:bCs/>
                <w:sz w:val="16"/>
                <w:szCs w:val="16"/>
              </w:rPr>
              <w:t>and Testing</w:t>
            </w:r>
          </w:p>
        </w:tc>
      </w:tr>
      <w:tr w:rsidRPr="008402DF" w:rsidR="00756F78" w:rsidTr="009812C1" w14:paraId="7EF263CC" w14:textId="77777777">
        <w:trPr>
          <w:trHeight w:val="472"/>
          <w:jc w:val="center"/>
        </w:trPr>
        <w:tc>
          <w:tcPr>
            <w:tcW w:w="1527" w:type="dxa"/>
            <w:vMerge w:val="restart"/>
            <w:shd w:val="clear" w:color="auto" w:fill="FFFFFF" w:themeFill="background1"/>
            <w:tcMar>
              <w:left w:w="58" w:type="dxa"/>
              <w:right w:w="58" w:type="dxa"/>
            </w:tcMar>
            <w:vAlign w:val="center"/>
            <w:hideMark/>
          </w:tcPr>
          <w:p w:rsidRPr="008402DF" w:rsidR="002F69BA" w:rsidP="00B756CB" w:rsidRDefault="002F69BA" w14:paraId="519C2942" w14:textId="40BB8F9E">
            <w:pPr>
              <w:rPr>
                <w:rFonts w:cs="Arial"/>
                <w:sz w:val="16"/>
                <w:szCs w:val="16"/>
              </w:rPr>
            </w:pPr>
            <w:r w:rsidRPr="008402DF">
              <w:rPr>
                <w:rFonts w:cs="Arial"/>
                <w:sz w:val="16"/>
                <w:szCs w:val="16"/>
              </w:rPr>
              <w:t xml:space="preserve">Oral </w:t>
            </w:r>
            <w:r w:rsidR="00025D75">
              <w:rPr>
                <w:rFonts w:cs="Arial"/>
                <w:sz w:val="16"/>
                <w:szCs w:val="16"/>
              </w:rPr>
              <w:t>fluid</w:t>
            </w:r>
            <w:r w:rsidRPr="008402DF">
              <w:rPr>
                <w:rFonts w:cs="Arial"/>
                <w:sz w:val="16"/>
                <w:szCs w:val="16"/>
              </w:rPr>
              <w:t xml:space="preserve"> specimen collection and testing following a </w:t>
            </w:r>
            <w:r w:rsidR="004634FC">
              <w:rPr>
                <w:rFonts w:cs="Arial"/>
                <w:sz w:val="16"/>
                <w:szCs w:val="16"/>
              </w:rPr>
              <w:t xml:space="preserve">possible </w:t>
            </w:r>
            <w:r w:rsidRPr="008402DF">
              <w:rPr>
                <w:rFonts w:cs="Arial"/>
                <w:sz w:val="16"/>
                <w:szCs w:val="16"/>
              </w:rPr>
              <w:t xml:space="preserve">subversion attempt </w:t>
            </w:r>
          </w:p>
        </w:tc>
        <w:tc>
          <w:tcPr>
            <w:tcW w:w="3960" w:type="dxa"/>
            <w:shd w:val="clear" w:color="auto" w:fill="FFFFFF" w:themeFill="background1"/>
            <w:tcMar>
              <w:left w:w="58" w:type="dxa"/>
              <w:right w:w="58" w:type="dxa"/>
            </w:tcMar>
            <w:vAlign w:val="center"/>
            <w:hideMark/>
          </w:tcPr>
          <w:p w:rsidRPr="008402DF" w:rsidR="002F69BA" w:rsidP="00753DE6" w:rsidRDefault="002F69BA" w14:paraId="6EE7AD4E" w14:textId="108C6332">
            <w:pPr>
              <w:rPr>
                <w:rFonts w:cs="Arial"/>
                <w:sz w:val="16"/>
                <w:szCs w:val="16"/>
              </w:rPr>
            </w:pPr>
            <w:r w:rsidRPr="008402DF">
              <w:rPr>
                <w:rFonts w:cs="Arial"/>
                <w:sz w:val="16"/>
                <w:szCs w:val="16"/>
              </w:rPr>
              <w:t xml:space="preserve">Number of subversion attempts per year per site under </w:t>
            </w:r>
            <w:r w:rsidR="004061BA">
              <w:rPr>
                <w:rFonts w:cs="Arial"/>
                <w:sz w:val="16"/>
                <w:szCs w:val="16"/>
              </w:rPr>
              <w:t>10 CFR </w:t>
            </w:r>
            <w:r w:rsidRPr="008402DF">
              <w:rPr>
                <w:rFonts w:cs="Arial"/>
                <w:sz w:val="16"/>
                <w:szCs w:val="16"/>
              </w:rPr>
              <w:t>Part 26</w:t>
            </w:r>
          </w:p>
        </w:tc>
        <w:tc>
          <w:tcPr>
            <w:tcW w:w="1080" w:type="dxa"/>
            <w:shd w:val="clear" w:color="auto" w:fill="FFFFFF" w:themeFill="background1"/>
            <w:noWrap/>
            <w:tcMar>
              <w:left w:w="58" w:type="dxa"/>
              <w:right w:w="58" w:type="dxa"/>
            </w:tcMar>
            <w:vAlign w:val="center"/>
            <w:hideMark/>
          </w:tcPr>
          <w:p w:rsidRPr="008402DF" w:rsidR="002F69BA" w:rsidP="009812C1" w:rsidRDefault="002F69BA" w14:paraId="48F06B7E" w14:textId="77777777">
            <w:pPr>
              <w:ind w:firstLine="320" w:firstLineChars="200"/>
              <w:jc w:val="right"/>
              <w:rPr>
                <w:rFonts w:cs="Arial"/>
                <w:sz w:val="16"/>
                <w:szCs w:val="16"/>
              </w:rPr>
            </w:pPr>
            <w:r w:rsidRPr="008402DF">
              <w:rPr>
                <w:rFonts w:cs="Arial"/>
                <w:sz w:val="16"/>
                <w:szCs w:val="16"/>
              </w:rPr>
              <w:t>4</w:t>
            </w:r>
          </w:p>
        </w:tc>
        <w:tc>
          <w:tcPr>
            <w:tcW w:w="900" w:type="dxa"/>
            <w:tcBorders>
              <w:bottom w:val="single" w:color="auto" w:sz="2" w:space="0"/>
            </w:tcBorders>
            <w:shd w:val="clear" w:color="auto" w:fill="FFFFFF" w:themeFill="background1"/>
            <w:noWrap/>
            <w:tcMar>
              <w:left w:w="58" w:type="dxa"/>
              <w:right w:w="58" w:type="dxa"/>
            </w:tcMar>
            <w:vAlign w:val="center"/>
            <w:hideMark/>
          </w:tcPr>
          <w:p w:rsidRPr="008402DF" w:rsidR="002F69BA" w:rsidP="00753DE6" w:rsidRDefault="002F69BA" w14:paraId="4A5898D0" w14:textId="75E42CDA">
            <w:pPr>
              <w:jc w:val="center"/>
              <w:rPr>
                <w:rFonts w:cs="Arial"/>
                <w:sz w:val="16"/>
                <w:szCs w:val="16"/>
              </w:rPr>
            </w:pPr>
            <w:r w:rsidRPr="008402DF">
              <w:rPr>
                <w:rFonts w:cs="Arial"/>
                <w:sz w:val="16"/>
                <w:szCs w:val="16"/>
              </w:rPr>
              <w:t>($</w:t>
            </w:r>
            <w:r w:rsidR="006760A9">
              <w:rPr>
                <w:rFonts w:cs="Arial"/>
                <w:sz w:val="16"/>
                <w:szCs w:val="16"/>
              </w:rPr>
              <w:t>7</w:t>
            </w:r>
            <w:r w:rsidR="00241C7C">
              <w:rPr>
                <w:rFonts w:cs="Arial"/>
                <w:sz w:val="16"/>
                <w:szCs w:val="16"/>
              </w:rPr>
              <w:t>0</w:t>
            </w:r>
            <w:r w:rsidRPr="008402DF">
              <w:rPr>
                <w:rFonts w:cs="Arial"/>
                <w:sz w:val="16"/>
                <w:szCs w:val="16"/>
              </w:rPr>
              <w:t>)</w:t>
            </w:r>
          </w:p>
        </w:tc>
        <w:tc>
          <w:tcPr>
            <w:tcW w:w="886" w:type="dxa"/>
            <w:tcBorders>
              <w:bottom w:val="single" w:color="auto" w:sz="2" w:space="0"/>
            </w:tcBorders>
            <w:shd w:val="clear" w:color="auto" w:fill="FFFFFF" w:themeFill="background1"/>
            <w:noWrap/>
            <w:tcMar>
              <w:left w:w="58" w:type="dxa"/>
              <w:right w:w="58" w:type="dxa"/>
            </w:tcMar>
            <w:vAlign w:val="center"/>
            <w:hideMark/>
          </w:tcPr>
          <w:p w:rsidRPr="008402DF" w:rsidR="002F69BA" w:rsidP="00753DE6" w:rsidRDefault="002F69BA" w14:paraId="43EB4DD0" w14:textId="73395242">
            <w:pPr>
              <w:jc w:val="center"/>
              <w:rPr>
                <w:rFonts w:cs="Arial"/>
                <w:sz w:val="16"/>
                <w:szCs w:val="16"/>
              </w:rPr>
            </w:pPr>
            <w:r w:rsidRPr="008402DF">
              <w:rPr>
                <w:rFonts w:cs="Arial"/>
                <w:sz w:val="16"/>
                <w:szCs w:val="16"/>
              </w:rPr>
              <w:t>59</w:t>
            </w:r>
          </w:p>
        </w:tc>
        <w:tc>
          <w:tcPr>
            <w:tcW w:w="1003" w:type="dxa"/>
            <w:tcBorders>
              <w:bottom w:val="single" w:color="auto" w:sz="2" w:space="0"/>
            </w:tcBorders>
            <w:shd w:val="clear" w:color="auto" w:fill="FFFFFF" w:themeFill="background1"/>
            <w:noWrap/>
            <w:tcMar>
              <w:left w:w="58" w:type="dxa"/>
              <w:right w:w="58" w:type="dxa"/>
            </w:tcMar>
            <w:vAlign w:val="center"/>
            <w:hideMark/>
          </w:tcPr>
          <w:p w:rsidRPr="008402DF" w:rsidR="002F69BA" w:rsidP="00753DE6" w:rsidRDefault="002F69BA" w14:paraId="3514EDC5" w14:textId="0354AE70">
            <w:pPr>
              <w:jc w:val="right"/>
              <w:rPr>
                <w:rFonts w:cs="Arial"/>
                <w:sz w:val="16"/>
                <w:szCs w:val="16"/>
              </w:rPr>
            </w:pPr>
            <w:r w:rsidRPr="008402DF">
              <w:rPr>
                <w:rFonts w:cs="Arial"/>
                <w:sz w:val="16"/>
                <w:szCs w:val="16"/>
              </w:rPr>
              <w:t>($</w:t>
            </w:r>
            <w:r w:rsidR="00241C7C">
              <w:rPr>
                <w:rFonts w:cs="Arial"/>
                <w:sz w:val="16"/>
                <w:szCs w:val="16"/>
              </w:rPr>
              <w:t>4,130</w:t>
            </w:r>
            <w:r w:rsidRPr="008402DF">
              <w:rPr>
                <w:rFonts w:cs="Arial"/>
                <w:sz w:val="16"/>
                <w:szCs w:val="16"/>
              </w:rPr>
              <w:t>)</w:t>
            </w:r>
          </w:p>
        </w:tc>
      </w:tr>
      <w:tr w:rsidRPr="008402DF" w:rsidR="00756F78" w:rsidTr="009812C1" w14:paraId="20244779" w14:textId="77777777">
        <w:trPr>
          <w:trHeight w:val="625"/>
          <w:jc w:val="center"/>
        </w:trPr>
        <w:tc>
          <w:tcPr>
            <w:tcW w:w="1527" w:type="dxa"/>
            <w:vMerge/>
            <w:shd w:val="clear" w:color="auto" w:fill="auto"/>
            <w:tcMar>
              <w:left w:w="58" w:type="dxa"/>
              <w:right w:w="58" w:type="dxa"/>
            </w:tcMar>
            <w:vAlign w:val="center"/>
            <w:hideMark/>
          </w:tcPr>
          <w:p w:rsidRPr="008402DF" w:rsidR="002F69BA" w:rsidP="00753DE6" w:rsidRDefault="002F69BA" w14:paraId="33EB8305" w14:textId="77777777">
            <w:pPr>
              <w:rPr>
                <w:rFonts w:cs="Arial"/>
                <w:sz w:val="16"/>
                <w:szCs w:val="16"/>
              </w:rPr>
            </w:pPr>
          </w:p>
        </w:tc>
        <w:tc>
          <w:tcPr>
            <w:tcW w:w="3960" w:type="dxa"/>
            <w:shd w:val="clear" w:color="000000" w:fill="FFFFFF"/>
            <w:tcMar>
              <w:left w:w="58" w:type="dxa"/>
              <w:right w:w="58" w:type="dxa"/>
            </w:tcMar>
            <w:vAlign w:val="center"/>
            <w:hideMark/>
          </w:tcPr>
          <w:p w:rsidRPr="008402DF" w:rsidR="002F69BA" w:rsidP="00753DE6" w:rsidRDefault="002F69BA" w14:paraId="6D0E1EAC" w14:textId="77777777">
            <w:pPr>
              <w:rPr>
                <w:rFonts w:cs="Arial"/>
                <w:sz w:val="16"/>
                <w:szCs w:val="16"/>
              </w:rPr>
            </w:pPr>
            <w:r w:rsidRPr="008402DF">
              <w:rPr>
                <w:rFonts w:cs="Arial"/>
                <w:sz w:val="16"/>
                <w:szCs w:val="16"/>
              </w:rPr>
              <w:t>Percentage of subversion attempts confirmed through the testing of specimens collected under direct observation</w:t>
            </w:r>
          </w:p>
        </w:tc>
        <w:tc>
          <w:tcPr>
            <w:tcW w:w="1080" w:type="dxa"/>
            <w:shd w:val="clear" w:color="auto" w:fill="auto"/>
            <w:noWrap/>
            <w:tcMar>
              <w:left w:w="58" w:type="dxa"/>
              <w:right w:w="58" w:type="dxa"/>
            </w:tcMar>
            <w:vAlign w:val="center"/>
            <w:hideMark/>
          </w:tcPr>
          <w:p w:rsidRPr="008402DF" w:rsidR="002F69BA" w:rsidP="009812C1" w:rsidRDefault="002F69BA" w14:paraId="51BB8DBE" w14:textId="77777777">
            <w:pPr>
              <w:jc w:val="right"/>
              <w:rPr>
                <w:rFonts w:cs="Arial"/>
                <w:sz w:val="16"/>
                <w:szCs w:val="16"/>
              </w:rPr>
            </w:pPr>
            <w:r w:rsidRPr="008402DF">
              <w:rPr>
                <w:rFonts w:cs="Arial"/>
                <w:sz w:val="16"/>
                <w:szCs w:val="16"/>
              </w:rPr>
              <w:t>31.1%</w:t>
            </w:r>
          </w:p>
        </w:tc>
        <w:tc>
          <w:tcPr>
            <w:tcW w:w="900" w:type="dxa"/>
            <w:tcBorders>
              <w:bottom w:val="nil"/>
              <w:right w:val="nil"/>
            </w:tcBorders>
            <w:shd w:val="clear" w:color="000000" w:fill="FFFFFF"/>
            <w:noWrap/>
            <w:tcMar>
              <w:left w:w="58" w:type="dxa"/>
              <w:right w:w="58" w:type="dxa"/>
            </w:tcMar>
            <w:vAlign w:val="center"/>
            <w:hideMark/>
          </w:tcPr>
          <w:p w:rsidRPr="008402DF" w:rsidR="002F69BA" w:rsidP="00152BDF" w:rsidRDefault="002F69BA" w14:paraId="2339832C" w14:textId="77777777">
            <w:pPr>
              <w:jc w:val="center"/>
              <w:rPr>
                <w:rFonts w:cs="Arial"/>
                <w:sz w:val="16"/>
                <w:szCs w:val="16"/>
              </w:rPr>
            </w:pPr>
          </w:p>
        </w:tc>
        <w:tc>
          <w:tcPr>
            <w:tcW w:w="886" w:type="dxa"/>
            <w:tcBorders>
              <w:left w:val="nil"/>
              <w:bottom w:val="nil"/>
              <w:right w:val="nil"/>
            </w:tcBorders>
            <w:shd w:val="clear" w:color="000000" w:fill="FFFFFF"/>
            <w:noWrap/>
            <w:tcMar>
              <w:left w:w="58" w:type="dxa"/>
              <w:right w:w="58" w:type="dxa"/>
            </w:tcMar>
            <w:vAlign w:val="center"/>
            <w:hideMark/>
          </w:tcPr>
          <w:p w:rsidRPr="008402DF" w:rsidR="002F69BA" w:rsidP="00152BDF" w:rsidRDefault="002F69BA" w14:paraId="7069FDF5" w14:textId="77777777">
            <w:pPr>
              <w:jc w:val="center"/>
              <w:rPr>
                <w:rFonts w:cs="Arial"/>
                <w:sz w:val="16"/>
                <w:szCs w:val="16"/>
              </w:rPr>
            </w:pPr>
          </w:p>
        </w:tc>
        <w:tc>
          <w:tcPr>
            <w:tcW w:w="1003" w:type="dxa"/>
            <w:tcBorders>
              <w:left w:val="nil"/>
              <w:bottom w:val="nil"/>
            </w:tcBorders>
            <w:shd w:val="clear" w:color="000000" w:fill="FFFFFF"/>
            <w:noWrap/>
            <w:tcMar>
              <w:left w:w="58" w:type="dxa"/>
              <w:right w:w="58" w:type="dxa"/>
            </w:tcMar>
            <w:vAlign w:val="center"/>
            <w:hideMark/>
          </w:tcPr>
          <w:p w:rsidRPr="008402DF" w:rsidR="002F69BA" w:rsidP="00152BDF" w:rsidRDefault="002F69BA" w14:paraId="2D408B14" w14:textId="77777777">
            <w:pPr>
              <w:jc w:val="center"/>
              <w:rPr>
                <w:rFonts w:cs="Arial"/>
                <w:sz w:val="16"/>
                <w:szCs w:val="16"/>
              </w:rPr>
            </w:pPr>
          </w:p>
        </w:tc>
      </w:tr>
      <w:tr w:rsidRPr="008402DF" w:rsidR="00756F78" w:rsidTr="009812C1" w14:paraId="7D03C7B0" w14:textId="77777777">
        <w:trPr>
          <w:trHeight w:val="223"/>
          <w:jc w:val="center"/>
        </w:trPr>
        <w:tc>
          <w:tcPr>
            <w:tcW w:w="1527" w:type="dxa"/>
            <w:vMerge/>
            <w:shd w:val="clear" w:color="auto" w:fill="auto"/>
            <w:tcMar>
              <w:left w:w="58" w:type="dxa"/>
              <w:right w:w="58" w:type="dxa"/>
            </w:tcMar>
            <w:vAlign w:val="center"/>
            <w:hideMark/>
          </w:tcPr>
          <w:p w:rsidRPr="008402DF" w:rsidR="002F69BA" w:rsidP="00753DE6" w:rsidRDefault="002F69BA" w14:paraId="2AD6B231" w14:textId="77777777">
            <w:pPr>
              <w:rPr>
                <w:rFonts w:cs="Arial"/>
                <w:sz w:val="16"/>
                <w:szCs w:val="16"/>
              </w:rPr>
            </w:pPr>
          </w:p>
        </w:tc>
        <w:tc>
          <w:tcPr>
            <w:tcW w:w="3960" w:type="dxa"/>
            <w:shd w:val="clear" w:color="000000" w:fill="FFFFFF"/>
            <w:tcMar>
              <w:left w:w="58" w:type="dxa"/>
              <w:right w:w="58" w:type="dxa"/>
            </w:tcMar>
            <w:vAlign w:val="center"/>
            <w:hideMark/>
          </w:tcPr>
          <w:p w:rsidRPr="008402DF" w:rsidR="002F69BA" w:rsidP="00753DE6" w:rsidRDefault="002F69BA" w14:paraId="097ED559" w14:textId="78EE3FC6">
            <w:pPr>
              <w:rPr>
                <w:rFonts w:cs="Arial"/>
                <w:sz w:val="16"/>
                <w:szCs w:val="16"/>
              </w:rPr>
            </w:pPr>
            <w:r w:rsidRPr="008402DF">
              <w:rPr>
                <w:rFonts w:cs="Arial"/>
                <w:sz w:val="16"/>
                <w:szCs w:val="16"/>
              </w:rPr>
              <w:t xml:space="preserve">Oral specimen collection time </w:t>
            </w:r>
            <w:r w:rsidR="004F33E8">
              <w:rPr>
                <w:rFonts w:cs="Arial"/>
                <w:sz w:val="16"/>
                <w:szCs w:val="16"/>
              </w:rPr>
              <w:t>(</w:t>
            </w:r>
            <w:r w:rsidRPr="008402DF">
              <w:rPr>
                <w:rFonts w:cs="Arial"/>
                <w:sz w:val="16"/>
                <w:szCs w:val="16"/>
              </w:rPr>
              <w:t>donor</w:t>
            </w:r>
            <w:r w:rsidR="004F33E8">
              <w:rPr>
                <w:rFonts w:cs="Arial"/>
                <w:sz w:val="16"/>
                <w:szCs w:val="16"/>
              </w:rPr>
              <w:t>)</w:t>
            </w:r>
          </w:p>
        </w:tc>
        <w:tc>
          <w:tcPr>
            <w:tcW w:w="1080" w:type="dxa"/>
            <w:shd w:val="clear" w:color="000000" w:fill="FFFFFF"/>
            <w:noWrap/>
            <w:tcMar>
              <w:left w:w="58" w:type="dxa"/>
              <w:right w:w="58" w:type="dxa"/>
            </w:tcMar>
            <w:vAlign w:val="center"/>
            <w:hideMark/>
          </w:tcPr>
          <w:p w:rsidRPr="008402DF" w:rsidR="002F69BA" w:rsidP="009812C1" w:rsidRDefault="002F69BA" w14:paraId="61CB7F1D" w14:textId="0EFEFAE4">
            <w:pPr>
              <w:jc w:val="right"/>
              <w:rPr>
                <w:rFonts w:cs="Arial"/>
                <w:sz w:val="16"/>
                <w:szCs w:val="16"/>
              </w:rPr>
            </w:pPr>
            <w:r w:rsidRPr="008402DF">
              <w:rPr>
                <w:rFonts w:cs="Arial"/>
                <w:sz w:val="16"/>
                <w:szCs w:val="16"/>
              </w:rPr>
              <w:t>0.</w:t>
            </w:r>
            <w:r w:rsidR="00B61C88">
              <w:rPr>
                <w:rFonts w:cs="Arial"/>
                <w:sz w:val="16"/>
                <w:szCs w:val="16"/>
              </w:rPr>
              <w:t>35</w:t>
            </w:r>
            <w:r w:rsidRPr="008402DF">
              <w:rPr>
                <w:rFonts w:cs="Arial"/>
                <w:sz w:val="16"/>
                <w:szCs w:val="16"/>
              </w:rPr>
              <w:t xml:space="preserve"> h</w:t>
            </w:r>
            <w:r>
              <w:rPr>
                <w:sz w:val="16"/>
                <w:szCs w:val="16"/>
              </w:rPr>
              <w:t>ou</w:t>
            </w:r>
            <w:r w:rsidRPr="008402DF">
              <w:rPr>
                <w:rFonts w:cs="Arial"/>
                <w:sz w:val="16"/>
                <w:szCs w:val="16"/>
              </w:rPr>
              <w:t>r</w:t>
            </w:r>
          </w:p>
        </w:tc>
        <w:tc>
          <w:tcPr>
            <w:tcW w:w="900" w:type="dxa"/>
            <w:tcBorders>
              <w:top w:val="nil"/>
              <w:bottom w:val="nil"/>
              <w:right w:val="nil"/>
            </w:tcBorders>
            <w:shd w:val="clear" w:color="000000" w:fill="FFFFFF"/>
            <w:noWrap/>
            <w:tcMar>
              <w:left w:w="58" w:type="dxa"/>
              <w:right w:w="58" w:type="dxa"/>
            </w:tcMar>
            <w:vAlign w:val="center"/>
            <w:hideMark/>
          </w:tcPr>
          <w:p w:rsidRPr="008402DF" w:rsidR="002F69BA" w:rsidP="00152BDF" w:rsidRDefault="002F69BA" w14:paraId="56D855D3" w14:textId="77777777">
            <w:pPr>
              <w:jc w:val="center"/>
              <w:rPr>
                <w:rFonts w:cs="Arial"/>
                <w:sz w:val="16"/>
                <w:szCs w:val="16"/>
              </w:rPr>
            </w:pPr>
          </w:p>
        </w:tc>
        <w:tc>
          <w:tcPr>
            <w:tcW w:w="886" w:type="dxa"/>
            <w:tcBorders>
              <w:top w:val="nil"/>
              <w:left w:val="nil"/>
              <w:bottom w:val="nil"/>
              <w:right w:val="nil"/>
            </w:tcBorders>
            <w:shd w:val="clear" w:color="000000" w:fill="FFFFFF"/>
            <w:noWrap/>
            <w:tcMar>
              <w:left w:w="58" w:type="dxa"/>
              <w:right w:w="58" w:type="dxa"/>
            </w:tcMar>
            <w:vAlign w:val="center"/>
            <w:hideMark/>
          </w:tcPr>
          <w:p w:rsidRPr="008402DF" w:rsidR="002F69BA" w:rsidP="00152BDF" w:rsidRDefault="002F69BA" w14:paraId="446154C5" w14:textId="77777777">
            <w:pPr>
              <w:jc w:val="center"/>
              <w:rPr>
                <w:rFonts w:cs="Arial"/>
                <w:sz w:val="16"/>
                <w:szCs w:val="16"/>
              </w:rPr>
            </w:pPr>
          </w:p>
        </w:tc>
        <w:tc>
          <w:tcPr>
            <w:tcW w:w="1003" w:type="dxa"/>
            <w:tcBorders>
              <w:top w:val="nil"/>
              <w:left w:val="nil"/>
              <w:bottom w:val="nil"/>
            </w:tcBorders>
            <w:shd w:val="clear" w:color="000000" w:fill="FFFFFF"/>
            <w:noWrap/>
            <w:tcMar>
              <w:left w:w="58" w:type="dxa"/>
              <w:right w:w="58" w:type="dxa"/>
            </w:tcMar>
            <w:vAlign w:val="center"/>
            <w:hideMark/>
          </w:tcPr>
          <w:p w:rsidRPr="008402DF" w:rsidR="002F69BA" w:rsidP="00152BDF" w:rsidRDefault="002F69BA" w14:paraId="64FDF097" w14:textId="77777777">
            <w:pPr>
              <w:jc w:val="center"/>
              <w:rPr>
                <w:rFonts w:cs="Arial"/>
                <w:sz w:val="16"/>
                <w:szCs w:val="16"/>
              </w:rPr>
            </w:pPr>
          </w:p>
        </w:tc>
      </w:tr>
      <w:tr w:rsidRPr="008402DF" w:rsidR="00756F78" w:rsidTr="009812C1" w14:paraId="590887F8" w14:textId="77777777">
        <w:trPr>
          <w:trHeight w:val="196"/>
          <w:jc w:val="center"/>
        </w:trPr>
        <w:tc>
          <w:tcPr>
            <w:tcW w:w="1527" w:type="dxa"/>
            <w:vMerge/>
            <w:shd w:val="clear" w:color="auto" w:fill="auto"/>
            <w:tcMar>
              <w:left w:w="58" w:type="dxa"/>
              <w:right w:w="58" w:type="dxa"/>
            </w:tcMar>
            <w:vAlign w:val="center"/>
            <w:hideMark/>
          </w:tcPr>
          <w:p w:rsidRPr="008402DF" w:rsidR="002F69BA" w:rsidP="00753DE6" w:rsidRDefault="002F69BA" w14:paraId="1510AE4A" w14:textId="77777777">
            <w:pPr>
              <w:rPr>
                <w:rFonts w:cs="Arial"/>
                <w:sz w:val="16"/>
                <w:szCs w:val="16"/>
              </w:rPr>
            </w:pPr>
          </w:p>
        </w:tc>
        <w:tc>
          <w:tcPr>
            <w:tcW w:w="3960" w:type="dxa"/>
            <w:shd w:val="clear" w:color="000000" w:fill="FFFFFF"/>
            <w:tcMar>
              <w:left w:w="58" w:type="dxa"/>
              <w:right w:w="58" w:type="dxa"/>
            </w:tcMar>
            <w:vAlign w:val="center"/>
            <w:hideMark/>
          </w:tcPr>
          <w:p w:rsidRPr="008402DF" w:rsidR="002F69BA" w:rsidP="00753DE6" w:rsidRDefault="002F69BA" w14:paraId="3BFB1065" w14:textId="2838391B">
            <w:pPr>
              <w:rPr>
                <w:rFonts w:cs="Arial"/>
                <w:sz w:val="16"/>
                <w:szCs w:val="16"/>
              </w:rPr>
            </w:pPr>
            <w:r w:rsidRPr="008402DF">
              <w:rPr>
                <w:rFonts w:cs="Arial"/>
                <w:sz w:val="16"/>
                <w:szCs w:val="16"/>
              </w:rPr>
              <w:t xml:space="preserve">Facility </w:t>
            </w:r>
            <w:r w:rsidR="00207E0D">
              <w:rPr>
                <w:rFonts w:cs="Arial"/>
                <w:sz w:val="16"/>
                <w:szCs w:val="16"/>
              </w:rPr>
              <w:t>W</w:t>
            </w:r>
            <w:r w:rsidRPr="008402DF">
              <w:rPr>
                <w:rFonts w:cs="Arial"/>
                <w:sz w:val="16"/>
                <w:szCs w:val="16"/>
              </w:rPr>
              <w:t>orker (donor) wage rate</w:t>
            </w:r>
          </w:p>
        </w:tc>
        <w:tc>
          <w:tcPr>
            <w:tcW w:w="1080" w:type="dxa"/>
            <w:shd w:val="clear" w:color="000000" w:fill="FFFFFF"/>
            <w:tcMar>
              <w:left w:w="58" w:type="dxa"/>
              <w:right w:w="58" w:type="dxa"/>
            </w:tcMar>
            <w:vAlign w:val="center"/>
            <w:hideMark/>
          </w:tcPr>
          <w:p w:rsidRPr="008402DF" w:rsidR="002F69BA" w:rsidP="009812C1" w:rsidRDefault="002F69BA" w14:paraId="29B0BF6B" w14:textId="77777777">
            <w:pPr>
              <w:jc w:val="right"/>
              <w:rPr>
                <w:rFonts w:cs="Arial"/>
                <w:sz w:val="16"/>
                <w:szCs w:val="16"/>
              </w:rPr>
            </w:pPr>
            <w:r w:rsidRPr="008402DF">
              <w:rPr>
                <w:rFonts w:cs="Arial"/>
                <w:sz w:val="16"/>
                <w:szCs w:val="16"/>
              </w:rPr>
              <w:t>$70.65/hour</w:t>
            </w:r>
          </w:p>
        </w:tc>
        <w:tc>
          <w:tcPr>
            <w:tcW w:w="900" w:type="dxa"/>
            <w:tcBorders>
              <w:top w:val="nil"/>
              <w:bottom w:val="nil"/>
              <w:right w:val="nil"/>
            </w:tcBorders>
            <w:shd w:val="clear" w:color="000000" w:fill="FFFFFF"/>
            <w:noWrap/>
            <w:tcMar>
              <w:left w:w="58" w:type="dxa"/>
              <w:right w:w="58" w:type="dxa"/>
            </w:tcMar>
            <w:vAlign w:val="center"/>
            <w:hideMark/>
          </w:tcPr>
          <w:p w:rsidRPr="008402DF" w:rsidR="002F69BA" w:rsidP="00152BDF" w:rsidRDefault="002F69BA" w14:paraId="7CAC45B5" w14:textId="77777777">
            <w:pPr>
              <w:jc w:val="center"/>
              <w:rPr>
                <w:rFonts w:cs="Arial"/>
                <w:sz w:val="16"/>
                <w:szCs w:val="16"/>
              </w:rPr>
            </w:pPr>
          </w:p>
        </w:tc>
        <w:tc>
          <w:tcPr>
            <w:tcW w:w="886" w:type="dxa"/>
            <w:tcBorders>
              <w:top w:val="nil"/>
              <w:left w:val="nil"/>
              <w:bottom w:val="nil"/>
              <w:right w:val="nil"/>
            </w:tcBorders>
            <w:shd w:val="clear" w:color="000000" w:fill="FFFFFF"/>
            <w:noWrap/>
            <w:tcMar>
              <w:left w:w="58" w:type="dxa"/>
              <w:right w:w="58" w:type="dxa"/>
            </w:tcMar>
            <w:vAlign w:val="center"/>
            <w:hideMark/>
          </w:tcPr>
          <w:p w:rsidRPr="008402DF" w:rsidR="002F69BA" w:rsidP="00152BDF" w:rsidRDefault="002F69BA" w14:paraId="77FB28C9" w14:textId="77777777">
            <w:pPr>
              <w:jc w:val="center"/>
              <w:rPr>
                <w:rFonts w:cs="Arial"/>
                <w:sz w:val="16"/>
                <w:szCs w:val="16"/>
              </w:rPr>
            </w:pPr>
          </w:p>
        </w:tc>
        <w:tc>
          <w:tcPr>
            <w:tcW w:w="1003" w:type="dxa"/>
            <w:tcBorders>
              <w:top w:val="nil"/>
              <w:left w:val="nil"/>
              <w:bottom w:val="nil"/>
            </w:tcBorders>
            <w:shd w:val="clear" w:color="000000" w:fill="FFFFFF"/>
            <w:noWrap/>
            <w:tcMar>
              <w:left w:w="58" w:type="dxa"/>
              <w:right w:w="58" w:type="dxa"/>
            </w:tcMar>
            <w:vAlign w:val="center"/>
            <w:hideMark/>
          </w:tcPr>
          <w:p w:rsidRPr="008402DF" w:rsidR="002F69BA" w:rsidP="00152BDF" w:rsidRDefault="002F69BA" w14:paraId="7958A6EB" w14:textId="77777777">
            <w:pPr>
              <w:jc w:val="center"/>
              <w:rPr>
                <w:rFonts w:cs="Arial"/>
                <w:sz w:val="16"/>
                <w:szCs w:val="16"/>
              </w:rPr>
            </w:pPr>
          </w:p>
        </w:tc>
      </w:tr>
      <w:tr w:rsidRPr="008402DF" w:rsidR="00756F78" w:rsidTr="009812C1" w14:paraId="7A65DD28" w14:textId="77777777">
        <w:trPr>
          <w:trHeight w:val="250"/>
          <w:jc w:val="center"/>
        </w:trPr>
        <w:tc>
          <w:tcPr>
            <w:tcW w:w="1527" w:type="dxa"/>
            <w:vMerge/>
            <w:shd w:val="clear" w:color="auto" w:fill="auto"/>
            <w:tcMar>
              <w:left w:w="58" w:type="dxa"/>
              <w:right w:w="58" w:type="dxa"/>
            </w:tcMar>
            <w:vAlign w:val="center"/>
            <w:hideMark/>
          </w:tcPr>
          <w:p w:rsidRPr="008402DF" w:rsidR="002F69BA" w:rsidP="00753DE6" w:rsidRDefault="002F69BA" w14:paraId="37552603" w14:textId="77777777">
            <w:pPr>
              <w:rPr>
                <w:rFonts w:cs="Arial"/>
                <w:sz w:val="16"/>
                <w:szCs w:val="16"/>
              </w:rPr>
            </w:pPr>
          </w:p>
        </w:tc>
        <w:tc>
          <w:tcPr>
            <w:tcW w:w="3960" w:type="dxa"/>
            <w:shd w:val="clear" w:color="000000" w:fill="FFFFFF"/>
            <w:tcMar>
              <w:left w:w="58" w:type="dxa"/>
              <w:right w:w="58" w:type="dxa"/>
            </w:tcMar>
            <w:vAlign w:val="center"/>
            <w:hideMark/>
          </w:tcPr>
          <w:p w:rsidRPr="008402DF" w:rsidR="002F69BA" w:rsidP="00753DE6" w:rsidRDefault="002F69BA" w14:paraId="58A010AA" w14:textId="25D8521B">
            <w:pPr>
              <w:rPr>
                <w:rFonts w:cs="Arial"/>
                <w:sz w:val="16"/>
                <w:szCs w:val="16"/>
              </w:rPr>
            </w:pPr>
            <w:r w:rsidRPr="008402DF">
              <w:rPr>
                <w:rFonts w:cs="Arial"/>
                <w:sz w:val="16"/>
                <w:szCs w:val="16"/>
              </w:rPr>
              <w:t xml:space="preserve">Oral specimen collection time </w:t>
            </w:r>
            <w:r w:rsidR="00BD5236">
              <w:rPr>
                <w:rFonts w:cs="Arial"/>
                <w:sz w:val="16"/>
                <w:szCs w:val="16"/>
              </w:rPr>
              <w:t>(</w:t>
            </w:r>
            <w:r w:rsidRPr="008402DF">
              <w:rPr>
                <w:rFonts w:cs="Arial"/>
                <w:sz w:val="16"/>
                <w:szCs w:val="16"/>
              </w:rPr>
              <w:t>observer</w:t>
            </w:r>
            <w:r w:rsidR="00BD5236">
              <w:rPr>
                <w:rFonts w:cs="Arial"/>
                <w:sz w:val="16"/>
                <w:szCs w:val="16"/>
              </w:rPr>
              <w:t>)</w:t>
            </w:r>
          </w:p>
        </w:tc>
        <w:tc>
          <w:tcPr>
            <w:tcW w:w="1080" w:type="dxa"/>
            <w:shd w:val="clear" w:color="000000" w:fill="FFFFFF"/>
            <w:noWrap/>
            <w:tcMar>
              <w:left w:w="58" w:type="dxa"/>
              <w:right w:w="58" w:type="dxa"/>
            </w:tcMar>
            <w:vAlign w:val="center"/>
            <w:hideMark/>
          </w:tcPr>
          <w:p w:rsidRPr="008402DF" w:rsidR="002F69BA" w:rsidP="009812C1" w:rsidRDefault="002F69BA" w14:paraId="0FAC1FDB" w14:textId="66EBADAE">
            <w:pPr>
              <w:jc w:val="right"/>
              <w:rPr>
                <w:rFonts w:cs="Arial"/>
                <w:sz w:val="16"/>
                <w:szCs w:val="16"/>
              </w:rPr>
            </w:pPr>
            <w:r w:rsidRPr="008402DF">
              <w:rPr>
                <w:rFonts w:cs="Arial"/>
                <w:sz w:val="16"/>
                <w:szCs w:val="16"/>
              </w:rPr>
              <w:t>0.</w:t>
            </w:r>
            <w:r w:rsidR="00B61C88">
              <w:rPr>
                <w:rFonts w:cs="Arial"/>
                <w:sz w:val="16"/>
                <w:szCs w:val="16"/>
              </w:rPr>
              <w:t>35</w:t>
            </w:r>
            <w:r w:rsidRPr="008402DF">
              <w:rPr>
                <w:rFonts w:cs="Arial"/>
                <w:sz w:val="16"/>
                <w:szCs w:val="16"/>
              </w:rPr>
              <w:t xml:space="preserve"> h</w:t>
            </w:r>
            <w:r w:rsidR="00835265">
              <w:rPr>
                <w:rFonts w:cs="Arial"/>
                <w:sz w:val="16"/>
                <w:szCs w:val="16"/>
              </w:rPr>
              <w:t>ou</w:t>
            </w:r>
            <w:r w:rsidRPr="008402DF">
              <w:rPr>
                <w:rFonts w:cs="Arial"/>
                <w:sz w:val="16"/>
                <w:szCs w:val="16"/>
              </w:rPr>
              <w:t>r</w:t>
            </w:r>
          </w:p>
        </w:tc>
        <w:tc>
          <w:tcPr>
            <w:tcW w:w="900" w:type="dxa"/>
            <w:tcBorders>
              <w:top w:val="nil"/>
              <w:bottom w:val="nil"/>
              <w:right w:val="nil"/>
            </w:tcBorders>
            <w:shd w:val="clear" w:color="000000" w:fill="FFFFFF"/>
            <w:noWrap/>
            <w:tcMar>
              <w:left w:w="58" w:type="dxa"/>
              <w:right w:w="58" w:type="dxa"/>
            </w:tcMar>
            <w:vAlign w:val="center"/>
            <w:hideMark/>
          </w:tcPr>
          <w:p w:rsidRPr="008402DF" w:rsidR="002F69BA" w:rsidP="00152BDF" w:rsidRDefault="002F69BA" w14:paraId="594EBCB8" w14:textId="77777777">
            <w:pPr>
              <w:jc w:val="center"/>
              <w:rPr>
                <w:rFonts w:cs="Arial"/>
                <w:sz w:val="16"/>
                <w:szCs w:val="16"/>
              </w:rPr>
            </w:pPr>
          </w:p>
        </w:tc>
        <w:tc>
          <w:tcPr>
            <w:tcW w:w="886" w:type="dxa"/>
            <w:tcBorders>
              <w:top w:val="nil"/>
              <w:left w:val="nil"/>
              <w:bottom w:val="nil"/>
              <w:right w:val="nil"/>
            </w:tcBorders>
            <w:shd w:val="clear" w:color="000000" w:fill="FFFFFF"/>
            <w:noWrap/>
            <w:tcMar>
              <w:left w:w="58" w:type="dxa"/>
              <w:right w:w="58" w:type="dxa"/>
            </w:tcMar>
            <w:vAlign w:val="center"/>
            <w:hideMark/>
          </w:tcPr>
          <w:p w:rsidRPr="008402DF" w:rsidR="002F69BA" w:rsidP="00152BDF" w:rsidRDefault="002F69BA" w14:paraId="3CAAC678" w14:textId="77777777">
            <w:pPr>
              <w:jc w:val="center"/>
              <w:rPr>
                <w:rFonts w:cs="Arial"/>
                <w:sz w:val="16"/>
                <w:szCs w:val="16"/>
              </w:rPr>
            </w:pPr>
          </w:p>
        </w:tc>
        <w:tc>
          <w:tcPr>
            <w:tcW w:w="1003" w:type="dxa"/>
            <w:tcBorders>
              <w:top w:val="nil"/>
              <w:left w:val="nil"/>
              <w:bottom w:val="nil"/>
            </w:tcBorders>
            <w:shd w:val="clear" w:color="000000" w:fill="FFFFFF"/>
            <w:noWrap/>
            <w:tcMar>
              <w:left w:w="58" w:type="dxa"/>
              <w:right w:w="58" w:type="dxa"/>
            </w:tcMar>
            <w:vAlign w:val="center"/>
            <w:hideMark/>
          </w:tcPr>
          <w:p w:rsidRPr="008402DF" w:rsidR="002F69BA" w:rsidP="00152BDF" w:rsidRDefault="002F69BA" w14:paraId="7E8CCB72" w14:textId="77777777">
            <w:pPr>
              <w:jc w:val="center"/>
              <w:rPr>
                <w:rFonts w:cs="Arial"/>
                <w:sz w:val="16"/>
                <w:szCs w:val="16"/>
              </w:rPr>
            </w:pPr>
          </w:p>
        </w:tc>
      </w:tr>
      <w:tr w:rsidRPr="008402DF" w:rsidR="00756F78" w:rsidTr="009812C1" w14:paraId="1E5D64AA" w14:textId="77777777">
        <w:trPr>
          <w:trHeight w:val="241"/>
          <w:jc w:val="center"/>
        </w:trPr>
        <w:tc>
          <w:tcPr>
            <w:tcW w:w="1527" w:type="dxa"/>
            <w:vMerge/>
            <w:shd w:val="clear" w:color="auto" w:fill="auto"/>
            <w:tcMar>
              <w:left w:w="58" w:type="dxa"/>
              <w:right w:w="58" w:type="dxa"/>
            </w:tcMar>
            <w:vAlign w:val="center"/>
            <w:hideMark/>
          </w:tcPr>
          <w:p w:rsidRPr="008402DF" w:rsidR="002F69BA" w:rsidP="00753DE6" w:rsidRDefault="002F69BA" w14:paraId="30E23467" w14:textId="77777777">
            <w:pPr>
              <w:rPr>
                <w:rFonts w:cs="Arial"/>
                <w:sz w:val="16"/>
                <w:szCs w:val="16"/>
              </w:rPr>
            </w:pPr>
          </w:p>
        </w:tc>
        <w:tc>
          <w:tcPr>
            <w:tcW w:w="3960" w:type="dxa"/>
            <w:shd w:val="clear" w:color="000000" w:fill="FFFFFF"/>
            <w:tcMar>
              <w:left w:w="58" w:type="dxa"/>
              <w:right w:w="58" w:type="dxa"/>
            </w:tcMar>
            <w:vAlign w:val="center"/>
            <w:hideMark/>
          </w:tcPr>
          <w:p w:rsidRPr="008402DF" w:rsidR="002F69BA" w:rsidP="00753DE6" w:rsidRDefault="002F69BA" w14:paraId="71012A68" w14:textId="0FF3861F">
            <w:pPr>
              <w:rPr>
                <w:rFonts w:cs="Arial"/>
                <w:sz w:val="16"/>
                <w:szCs w:val="16"/>
              </w:rPr>
            </w:pPr>
            <w:r w:rsidRPr="008402DF">
              <w:rPr>
                <w:rFonts w:cs="Arial"/>
                <w:sz w:val="16"/>
                <w:szCs w:val="16"/>
              </w:rPr>
              <w:t xml:space="preserve">FFD </w:t>
            </w:r>
            <w:r w:rsidR="00207E0D">
              <w:rPr>
                <w:rFonts w:cs="Arial"/>
                <w:sz w:val="16"/>
                <w:szCs w:val="16"/>
              </w:rPr>
              <w:t>S</w:t>
            </w:r>
            <w:r w:rsidRPr="008402DF">
              <w:rPr>
                <w:rFonts w:cs="Arial"/>
                <w:sz w:val="16"/>
                <w:szCs w:val="16"/>
              </w:rPr>
              <w:t>taff (observer) wage rate</w:t>
            </w:r>
          </w:p>
        </w:tc>
        <w:tc>
          <w:tcPr>
            <w:tcW w:w="1080" w:type="dxa"/>
            <w:shd w:val="clear" w:color="000000" w:fill="FFFFFF"/>
            <w:tcMar>
              <w:left w:w="58" w:type="dxa"/>
              <w:right w:w="58" w:type="dxa"/>
            </w:tcMar>
            <w:vAlign w:val="center"/>
            <w:hideMark/>
          </w:tcPr>
          <w:p w:rsidRPr="008402DF" w:rsidR="002F69BA" w:rsidP="009812C1" w:rsidRDefault="002F69BA" w14:paraId="54C4D390" w14:textId="77777777">
            <w:pPr>
              <w:jc w:val="right"/>
              <w:rPr>
                <w:rFonts w:cs="Arial"/>
                <w:sz w:val="16"/>
                <w:szCs w:val="16"/>
              </w:rPr>
            </w:pPr>
            <w:r w:rsidRPr="008402DF">
              <w:rPr>
                <w:rFonts w:cs="Arial"/>
                <w:sz w:val="16"/>
                <w:szCs w:val="16"/>
              </w:rPr>
              <w:t>$41.20/hour</w:t>
            </w:r>
          </w:p>
        </w:tc>
        <w:tc>
          <w:tcPr>
            <w:tcW w:w="900" w:type="dxa"/>
            <w:tcBorders>
              <w:top w:val="nil"/>
              <w:bottom w:val="nil"/>
              <w:right w:val="nil"/>
            </w:tcBorders>
            <w:shd w:val="clear" w:color="000000" w:fill="FFFFFF"/>
            <w:noWrap/>
            <w:tcMar>
              <w:left w:w="58" w:type="dxa"/>
              <w:right w:w="58" w:type="dxa"/>
            </w:tcMar>
            <w:vAlign w:val="center"/>
            <w:hideMark/>
          </w:tcPr>
          <w:p w:rsidRPr="008402DF" w:rsidR="002F69BA" w:rsidP="00152BDF" w:rsidRDefault="002F69BA" w14:paraId="1DF517DA" w14:textId="77777777">
            <w:pPr>
              <w:jc w:val="center"/>
              <w:rPr>
                <w:rFonts w:cs="Arial"/>
                <w:sz w:val="16"/>
                <w:szCs w:val="16"/>
              </w:rPr>
            </w:pPr>
          </w:p>
        </w:tc>
        <w:tc>
          <w:tcPr>
            <w:tcW w:w="886" w:type="dxa"/>
            <w:tcBorders>
              <w:top w:val="nil"/>
              <w:left w:val="nil"/>
              <w:bottom w:val="nil"/>
              <w:right w:val="nil"/>
            </w:tcBorders>
            <w:shd w:val="clear" w:color="000000" w:fill="FFFFFF"/>
            <w:noWrap/>
            <w:tcMar>
              <w:left w:w="58" w:type="dxa"/>
              <w:right w:w="58" w:type="dxa"/>
            </w:tcMar>
            <w:vAlign w:val="center"/>
            <w:hideMark/>
          </w:tcPr>
          <w:p w:rsidRPr="008402DF" w:rsidR="002F69BA" w:rsidP="00152BDF" w:rsidRDefault="002F69BA" w14:paraId="5EA0C62F" w14:textId="77777777">
            <w:pPr>
              <w:jc w:val="center"/>
              <w:rPr>
                <w:rFonts w:cs="Arial"/>
                <w:sz w:val="16"/>
                <w:szCs w:val="16"/>
              </w:rPr>
            </w:pPr>
          </w:p>
        </w:tc>
        <w:tc>
          <w:tcPr>
            <w:tcW w:w="1003" w:type="dxa"/>
            <w:tcBorders>
              <w:top w:val="nil"/>
              <w:left w:val="nil"/>
              <w:bottom w:val="nil"/>
            </w:tcBorders>
            <w:shd w:val="clear" w:color="000000" w:fill="FFFFFF"/>
            <w:noWrap/>
            <w:tcMar>
              <w:left w:w="58" w:type="dxa"/>
              <w:right w:w="58" w:type="dxa"/>
            </w:tcMar>
            <w:vAlign w:val="center"/>
            <w:hideMark/>
          </w:tcPr>
          <w:p w:rsidRPr="008402DF" w:rsidR="002F69BA" w:rsidP="00152BDF" w:rsidRDefault="002F69BA" w14:paraId="58DFD78F" w14:textId="77777777">
            <w:pPr>
              <w:jc w:val="center"/>
              <w:rPr>
                <w:rFonts w:cs="Arial"/>
                <w:sz w:val="16"/>
                <w:szCs w:val="16"/>
              </w:rPr>
            </w:pPr>
          </w:p>
        </w:tc>
      </w:tr>
      <w:tr w:rsidRPr="008402DF" w:rsidR="00756F78" w:rsidTr="009812C1" w14:paraId="49DF2FCB" w14:textId="77777777">
        <w:trPr>
          <w:trHeight w:val="432"/>
          <w:jc w:val="center"/>
        </w:trPr>
        <w:tc>
          <w:tcPr>
            <w:tcW w:w="1527" w:type="dxa"/>
            <w:vMerge/>
            <w:shd w:val="clear" w:color="auto" w:fill="auto"/>
            <w:tcMar>
              <w:left w:w="58" w:type="dxa"/>
              <w:right w:w="58" w:type="dxa"/>
            </w:tcMar>
            <w:vAlign w:val="center"/>
            <w:hideMark/>
          </w:tcPr>
          <w:p w:rsidRPr="008402DF" w:rsidR="002F69BA" w:rsidP="00753DE6" w:rsidRDefault="002F69BA" w14:paraId="7FEB8DD1" w14:textId="77777777">
            <w:pPr>
              <w:rPr>
                <w:rFonts w:cs="Arial"/>
                <w:sz w:val="16"/>
                <w:szCs w:val="16"/>
              </w:rPr>
            </w:pPr>
          </w:p>
        </w:tc>
        <w:tc>
          <w:tcPr>
            <w:tcW w:w="3960" w:type="dxa"/>
            <w:shd w:val="clear" w:color="000000" w:fill="FFFFFF"/>
            <w:tcMar>
              <w:left w:w="58" w:type="dxa"/>
              <w:right w:w="58" w:type="dxa"/>
            </w:tcMar>
            <w:vAlign w:val="center"/>
            <w:hideMark/>
          </w:tcPr>
          <w:p w:rsidR="00756F78" w:rsidP="00753DE6" w:rsidRDefault="002F69BA" w14:paraId="3003592B" w14:textId="74DD9F01">
            <w:pPr>
              <w:rPr>
                <w:rFonts w:cs="Arial"/>
                <w:sz w:val="16"/>
                <w:szCs w:val="16"/>
              </w:rPr>
            </w:pPr>
            <w:r w:rsidRPr="008402DF">
              <w:rPr>
                <w:rFonts w:cs="Arial"/>
                <w:sz w:val="16"/>
                <w:szCs w:val="16"/>
              </w:rPr>
              <w:t xml:space="preserve">Testing of an oral </w:t>
            </w:r>
            <w:r w:rsidR="00BD5236">
              <w:rPr>
                <w:rFonts w:cs="Arial"/>
                <w:sz w:val="16"/>
                <w:szCs w:val="16"/>
              </w:rPr>
              <w:t xml:space="preserve">fluid </w:t>
            </w:r>
            <w:r w:rsidRPr="008402DF">
              <w:rPr>
                <w:sz w:val="16"/>
                <w:szCs w:val="16"/>
              </w:rPr>
              <w:t>specimen</w:t>
            </w:r>
            <w:r w:rsidRPr="008402DF">
              <w:rPr>
                <w:rFonts w:cs="Arial"/>
                <w:sz w:val="16"/>
                <w:szCs w:val="16"/>
              </w:rPr>
              <w:t xml:space="preserve"> using an </w:t>
            </w:r>
          </w:p>
          <w:p w:rsidRPr="008402DF" w:rsidR="002F69BA" w:rsidP="00753DE6" w:rsidRDefault="002F69BA" w14:paraId="0AAC96BF" w14:textId="601C129F">
            <w:pPr>
              <w:rPr>
                <w:rFonts w:cs="Arial"/>
                <w:sz w:val="16"/>
                <w:szCs w:val="16"/>
              </w:rPr>
            </w:pPr>
            <w:r w:rsidRPr="008402DF">
              <w:rPr>
                <w:rFonts w:cs="Arial"/>
                <w:sz w:val="16"/>
                <w:szCs w:val="16"/>
              </w:rPr>
              <w:t>HHS-certified laboratory</w:t>
            </w:r>
          </w:p>
        </w:tc>
        <w:tc>
          <w:tcPr>
            <w:tcW w:w="1080" w:type="dxa"/>
            <w:shd w:val="clear" w:color="000000" w:fill="FFFFFF"/>
            <w:noWrap/>
            <w:tcMar>
              <w:left w:w="58" w:type="dxa"/>
              <w:right w:w="58" w:type="dxa"/>
            </w:tcMar>
            <w:vAlign w:val="center"/>
            <w:hideMark/>
          </w:tcPr>
          <w:p w:rsidR="00835265" w:rsidP="009812C1" w:rsidRDefault="002F69BA" w14:paraId="44F628F2" w14:textId="77777777">
            <w:pPr>
              <w:jc w:val="right"/>
              <w:rPr>
                <w:rFonts w:cs="Arial"/>
                <w:sz w:val="16"/>
                <w:szCs w:val="16"/>
              </w:rPr>
            </w:pPr>
            <w:r w:rsidRPr="008402DF">
              <w:rPr>
                <w:rFonts w:cs="Arial"/>
                <w:sz w:val="16"/>
                <w:szCs w:val="16"/>
              </w:rPr>
              <w:t>$20.00/</w:t>
            </w:r>
          </w:p>
          <w:p w:rsidRPr="008402DF" w:rsidR="002F69BA" w:rsidP="009812C1" w:rsidRDefault="002F69BA" w14:paraId="1A1FCEC4" w14:textId="78F75EA0">
            <w:pPr>
              <w:jc w:val="right"/>
              <w:rPr>
                <w:rFonts w:cs="Arial"/>
                <w:sz w:val="16"/>
                <w:szCs w:val="16"/>
              </w:rPr>
            </w:pPr>
            <w:r w:rsidRPr="008402DF">
              <w:rPr>
                <w:rFonts w:cs="Arial"/>
                <w:sz w:val="16"/>
                <w:szCs w:val="16"/>
              </w:rPr>
              <w:t>specimen</w:t>
            </w:r>
          </w:p>
        </w:tc>
        <w:tc>
          <w:tcPr>
            <w:tcW w:w="900" w:type="dxa"/>
            <w:tcBorders>
              <w:top w:val="nil"/>
              <w:right w:val="nil"/>
            </w:tcBorders>
            <w:shd w:val="clear" w:color="000000" w:fill="FFFFFF"/>
            <w:noWrap/>
            <w:tcMar>
              <w:left w:w="58" w:type="dxa"/>
              <w:right w:w="58" w:type="dxa"/>
            </w:tcMar>
            <w:vAlign w:val="center"/>
            <w:hideMark/>
          </w:tcPr>
          <w:p w:rsidRPr="008402DF" w:rsidR="002F69BA" w:rsidP="00152BDF" w:rsidRDefault="002F69BA" w14:paraId="514C0394" w14:textId="77777777">
            <w:pPr>
              <w:jc w:val="center"/>
              <w:rPr>
                <w:rFonts w:cs="Arial"/>
                <w:sz w:val="16"/>
                <w:szCs w:val="16"/>
              </w:rPr>
            </w:pPr>
          </w:p>
        </w:tc>
        <w:tc>
          <w:tcPr>
            <w:tcW w:w="886" w:type="dxa"/>
            <w:tcBorders>
              <w:top w:val="nil"/>
              <w:left w:val="nil"/>
              <w:right w:val="nil"/>
            </w:tcBorders>
            <w:shd w:val="clear" w:color="000000" w:fill="FFFFFF"/>
            <w:noWrap/>
            <w:tcMar>
              <w:left w:w="58" w:type="dxa"/>
              <w:right w:w="58" w:type="dxa"/>
            </w:tcMar>
            <w:vAlign w:val="center"/>
            <w:hideMark/>
          </w:tcPr>
          <w:p w:rsidRPr="008402DF" w:rsidR="002F69BA" w:rsidP="00152BDF" w:rsidRDefault="002F69BA" w14:paraId="6C321E74" w14:textId="77777777">
            <w:pPr>
              <w:jc w:val="center"/>
              <w:rPr>
                <w:rFonts w:cs="Arial"/>
                <w:sz w:val="16"/>
                <w:szCs w:val="16"/>
              </w:rPr>
            </w:pPr>
          </w:p>
        </w:tc>
        <w:tc>
          <w:tcPr>
            <w:tcW w:w="1003" w:type="dxa"/>
            <w:tcBorders>
              <w:top w:val="nil"/>
              <w:left w:val="nil"/>
              <w:bottom w:val="single" w:color="auto" w:sz="2" w:space="0"/>
            </w:tcBorders>
            <w:shd w:val="clear" w:color="000000" w:fill="FFFFFF"/>
            <w:noWrap/>
            <w:tcMar>
              <w:left w:w="58" w:type="dxa"/>
              <w:right w:w="58" w:type="dxa"/>
            </w:tcMar>
            <w:vAlign w:val="center"/>
            <w:hideMark/>
          </w:tcPr>
          <w:p w:rsidRPr="008402DF" w:rsidR="002F69BA" w:rsidP="00152BDF" w:rsidRDefault="002F69BA" w14:paraId="59C7323D" w14:textId="77777777">
            <w:pPr>
              <w:jc w:val="center"/>
              <w:rPr>
                <w:rFonts w:cs="Arial"/>
                <w:sz w:val="16"/>
                <w:szCs w:val="16"/>
              </w:rPr>
            </w:pPr>
          </w:p>
        </w:tc>
      </w:tr>
      <w:tr w:rsidRPr="00BE0979" w:rsidR="002F69BA" w:rsidTr="00BE0979" w14:paraId="6DC998AF" w14:textId="77777777">
        <w:trPr>
          <w:trHeight w:val="259"/>
          <w:jc w:val="center"/>
        </w:trPr>
        <w:tc>
          <w:tcPr>
            <w:tcW w:w="8353" w:type="dxa"/>
            <w:gridSpan w:val="5"/>
            <w:shd w:val="clear" w:color="auto" w:fill="auto"/>
            <w:tcMar>
              <w:left w:w="58" w:type="dxa"/>
              <w:right w:w="58" w:type="dxa"/>
            </w:tcMar>
            <w:vAlign w:val="center"/>
            <w:hideMark/>
          </w:tcPr>
          <w:p w:rsidRPr="00BE0979" w:rsidR="002F69BA" w:rsidP="00753DE6" w:rsidRDefault="002F69BA" w14:paraId="12394C3A" w14:textId="1118D56C">
            <w:pPr>
              <w:jc w:val="right"/>
              <w:rPr>
                <w:rFonts w:cs="Arial"/>
                <w:b/>
                <w:i/>
                <w:sz w:val="16"/>
                <w:szCs w:val="16"/>
              </w:rPr>
            </w:pPr>
            <w:r w:rsidRPr="00BE0979">
              <w:rPr>
                <w:rFonts w:cs="Arial"/>
                <w:b/>
                <w:i/>
                <w:sz w:val="16"/>
                <w:szCs w:val="16"/>
              </w:rPr>
              <w:t xml:space="preserve">Net Industry Operations Annual </w:t>
            </w:r>
            <w:r w:rsidRPr="00BE0979" w:rsidR="000C648C">
              <w:rPr>
                <w:rFonts w:cs="Arial"/>
                <w:b/>
                <w:i/>
                <w:sz w:val="16"/>
                <w:szCs w:val="16"/>
              </w:rPr>
              <w:t>Benefits</w:t>
            </w:r>
          </w:p>
        </w:tc>
        <w:tc>
          <w:tcPr>
            <w:tcW w:w="1003" w:type="dxa"/>
            <w:shd w:val="clear" w:color="auto" w:fill="FFFFFF" w:themeFill="background1"/>
            <w:noWrap/>
            <w:tcMar>
              <w:left w:w="58" w:type="dxa"/>
              <w:right w:w="58" w:type="dxa"/>
            </w:tcMar>
            <w:vAlign w:val="center"/>
            <w:hideMark/>
          </w:tcPr>
          <w:p w:rsidRPr="00BE0979" w:rsidR="002F69BA" w:rsidP="00753DE6" w:rsidRDefault="002F69BA" w14:paraId="3B2DF981" w14:textId="2ABF24F5">
            <w:pPr>
              <w:jc w:val="right"/>
              <w:rPr>
                <w:rFonts w:cs="Arial"/>
                <w:b/>
                <w:i/>
                <w:sz w:val="16"/>
                <w:szCs w:val="16"/>
              </w:rPr>
            </w:pPr>
            <w:r w:rsidRPr="00BE0979">
              <w:rPr>
                <w:rFonts w:cs="Arial"/>
                <w:b/>
                <w:bCs/>
                <w:i/>
                <w:iCs/>
                <w:sz w:val="16"/>
                <w:szCs w:val="16"/>
              </w:rPr>
              <w:t>$</w:t>
            </w:r>
            <w:r w:rsidRPr="00BE0979" w:rsidR="006655A7">
              <w:rPr>
                <w:rFonts w:cs="Arial"/>
                <w:b/>
                <w:bCs/>
                <w:i/>
                <w:iCs/>
                <w:sz w:val="16"/>
                <w:szCs w:val="16"/>
              </w:rPr>
              <w:t>6,665</w:t>
            </w:r>
          </w:p>
        </w:tc>
      </w:tr>
      <w:tr w:rsidRPr="00BE0979" w:rsidR="002F69BA" w:rsidTr="00BE0979" w14:paraId="7B8EE02D" w14:textId="77777777">
        <w:trPr>
          <w:trHeight w:val="241"/>
          <w:jc w:val="center"/>
        </w:trPr>
        <w:tc>
          <w:tcPr>
            <w:tcW w:w="8353" w:type="dxa"/>
            <w:gridSpan w:val="5"/>
            <w:shd w:val="clear" w:color="auto" w:fill="auto"/>
            <w:tcMar>
              <w:left w:w="58" w:type="dxa"/>
              <w:right w:w="58" w:type="dxa"/>
            </w:tcMar>
            <w:vAlign w:val="center"/>
            <w:hideMark/>
          </w:tcPr>
          <w:p w:rsidRPr="00BE0979" w:rsidR="002F69BA" w:rsidP="00753DE6" w:rsidRDefault="002F69BA" w14:paraId="69F37512" w14:textId="77777777">
            <w:pPr>
              <w:jc w:val="right"/>
              <w:rPr>
                <w:rFonts w:cs="Arial"/>
                <w:b/>
                <w:i/>
                <w:sz w:val="16"/>
                <w:szCs w:val="16"/>
              </w:rPr>
            </w:pPr>
            <w:r w:rsidRPr="00BE0979">
              <w:rPr>
                <w:rFonts w:cs="Arial"/>
                <w:b/>
                <w:i/>
                <w:sz w:val="16"/>
                <w:szCs w:val="16"/>
              </w:rPr>
              <w:t>Average Operations Annual Net Benefit Per Site</w:t>
            </w:r>
          </w:p>
        </w:tc>
        <w:tc>
          <w:tcPr>
            <w:tcW w:w="1003" w:type="dxa"/>
            <w:shd w:val="clear" w:color="auto" w:fill="FFFFFF" w:themeFill="background1"/>
            <w:noWrap/>
            <w:tcMar>
              <w:left w:w="58" w:type="dxa"/>
              <w:right w:w="58" w:type="dxa"/>
            </w:tcMar>
            <w:vAlign w:val="center"/>
            <w:hideMark/>
          </w:tcPr>
          <w:p w:rsidRPr="00BE0979" w:rsidR="002F69BA" w:rsidP="00753DE6" w:rsidRDefault="002F69BA" w14:paraId="3BDF2B5A" w14:textId="292B0035">
            <w:pPr>
              <w:jc w:val="right"/>
              <w:rPr>
                <w:rFonts w:cs="Arial"/>
                <w:b/>
                <w:i/>
                <w:sz w:val="16"/>
                <w:szCs w:val="16"/>
              </w:rPr>
            </w:pPr>
            <w:r w:rsidRPr="00BE0979">
              <w:rPr>
                <w:rFonts w:cs="Arial"/>
                <w:b/>
                <w:i/>
                <w:sz w:val="16"/>
                <w:szCs w:val="16"/>
              </w:rPr>
              <w:t>$</w:t>
            </w:r>
            <w:r w:rsidRPr="00BE0979" w:rsidR="006655A7">
              <w:rPr>
                <w:rFonts w:cs="Arial"/>
                <w:b/>
                <w:i/>
                <w:sz w:val="16"/>
                <w:szCs w:val="16"/>
              </w:rPr>
              <w:t>113</w:t>
            </w:r>
          </w:p>
        </w:tc>
      </w:tr>
      <w:tr w:rsidRPr="00BE0979" w:rsidR="00E049FC" w:rsidTr="00BE0979" w14:paraId="0CC1EDC2" w14:textId="77777777">
        <w:trPr>
          <w:trHeight w:val="241"/>
          <w:jc w:val="center"/>
        </w:trPr>
        <w:tc>
          <w:tcPr>
            <w:tcW w:w="8353" w:type="dxa"/>
            <w:gridSpan w:val="5"/>
            <w:shd w:val="clear" w:color="auto" w:fill="auto"/>
            <w:tcMar>
              <w:left w:w="58" w:type="dxa"/>
              <w:right w:w="58" w:type="dxa"/>
            </w:tcMar>
            <w:vAlign w:val="center"/>
          </w:tcPr>
          <w:p w:rsidRPr="00BE0979" w:rsidR="00E049FC" w:rsidP="00753DE6" w:rsidRDefault="00E049FC" w14:paraId="4D230CD6" w14:textId="6A18E6D7">
            <w:pPr>
              <w:jc w:val="right"/>
              <w:rPr>
                <w:rFonts w:cs="Arial"/>
                <w:b/>
                <w:i/>
                <w:sz w:val="16"/>
                <w:szCs w:val="16"/>
              </w:rPr>
            </w:pPr>
            <w:r w:rsidRPr="00BE0979">
              <w:rPr>
                <w:rFonts w:cs="Arial"/>
                <w:b/>
                <w:i/>
                <w:sz w:val="16"/>
                <w:szCs w:val="16"/>
              </w:rPr>
              <w:t>Average Operations Annual Net Benefit Per Test</w:t>
            </w:r>
          </w:p>
        </w:tc>
        <w:tc>
          <w:tcPr>
            <w:tcW w:w="1003" w:type="dxa"/>
            <w:shd w:val="clear" w:color="auto" w:fill="FFFFFF" w:themeFill="background1"/>
            <w:noWrap/>
            <w:tcMar>
              <w:left w:w="58" w:type="dxa"/>
              <w:right w:w="58" w:type="dxa"/>
            </w:tcMar>
            <w:vAlign w:val="center"/>
          </w:tcPr>
          <w:p w:rsidRPr="00BE0979" w:rsidR="00E049FC" w:rsidP="00753DE6" w:rsidRDefault="00F73247" w14:paraId="54B05BE3" w14:textId="524719EB">
            <w:pPr>
              <w:jc w:val="right"/>
              <w:rPr>
                <w:rFonts w:cs="Arial"/>
                <w:b/>
                <w:i/>
                <w:sz w:val="16"/>
                <w:szCs w:val="16"/>
              </w:rPr>
            </w:pPr>
            <w:r w:rsidRPr="00BE0979">
              <w:rPr>
                <w:rFonts w:cs="Arial"/>
                <w:b/>
                <w:i/>
                <w:sz w:val="16"/>
                <w:szCs w:val="16"/>
              </w:rPr>
              <w:t>$30</w:t>
            </w:r>
          </w:p>
        </w:tc>
      </w:tr>
      <w:tr w:rsidRPr="008402DF" w:rsidR="00254749" w:rsidTr="00835265" w14:paraId="7E2C97AC" w14:textId="77777777">
        <w:trPr>
          <w:trHeight w:val="1477"/>
          <w:jc w:val="center"/>
        </w:trPr>
        <w:tc>
          <w:tcPr>
            <w:tcW w:w="9356" w:type="dxa"/>
            <w:gridSpan w:val="6"/>
            <w:shd w:val="clear" w:color="000000" w:fill="FFFFFF"/>
            <w:noWrap/>
            <w:vAlign w:val="center"/>
            <w:hideMark/>
          </w:tcPr>
          <w:p w:rsidRPr="009B1556" w:rsidR="00EA303A" w:rsidP="00E6759C" w:rsidRDefault="00EA303A" w14:paraId="09CDF746" w14:textId="77777777">
            <w:pPr>
              <w:spacing w:before="32"/>
              <w:ind w:right="-20"/>
              <w:rPr>
                <w:rFonts w:eastAsia="Arial" w:cs="Arial"/>
                <w:sz w:val="16"/>
                <w:szCs w:val="16"/>
              </w:rPr>
            </w:pPr>
            <w:r w:rsidRPr="009B1556">
              <w:rPr>
                <w:rFonts w:eastAsia="Arial" w:cs="Arial"/>
                <w:b/>
                <w:bCs/>
                <w:sz w:val="16"/>
                <w:szCs w:val="16"/>
              </w:rPr>
              <w:t>Calcu</w:t>
            </w:r>
            <w:r w:rsidRPr="009B1556">
              <w:rPr>
                <w:rFonts w:eastAsia="Arial" w:cs="Arial"/>
                <w:b/>
                <w:bCs/>
                <w:spacing w:val="2"/>
                <w:sz w:val="16"/>
                <w:szCs w:val="16"/>
              </w:rPr>
              <w:t>l</w:t>
            </w:r>
            <w:r w:rsidRPr="009B1556">
              <w:rPr>
                <w:rFonts w:eastAsia="Arial" w:cs="Arial"/>
                <w:b/>
                <w:bCs/>
                <w:sz w:val="16"/>
                <w:szCs w:val="16"/>
              </w:rPr>
              <w:t>at</w:t>
            </w:r>
            <w:r w:rsidRPr="009B1556">
              <w:rPr>
                <w:rFonts w:eastAsia="Arial" w:cs="Arial"/>
                <w:b/>
                <w:bCs/>
                <w:spacing w:val="2"/>
                <w:sz w:val="16"/>
                <w:szCs w:val="16"/>
              </w:rPr>
              <w:t>i</w:t>
            </w:r>
            <w:r w:rsidRPr="009B1556">
              <w:rPr>
                <w:rFonts w:eastAsia="Arial" w:cs="Arial"/>
                <w:b/>
                <w:bCs/>
                <w:sz w:val="16"/>
                <w:szCs w:val="16"/>
              </w:rPr>
              <w:t>ons</w:t>
            </w:r>
            <w:r w:rsidRPr="009B1556">
              <w:rPr>
                <w:rFonts w:eastAsia="Arial" w:cs="Arial"/>
                <w:b/>
                <w:bCs/>
                <w:spacing w:val="11"/>
                <w:sz w:val="16"/>
                <w:szCs w:val="16"/>
              </w:rPr>
              <w:t xml:space="preserve"> </w:t>
            </w:r>
            <w:r w:rsidRPr="009B1556">
              <w:rPr>
                <w:rFonts w:eastAsia="Arial" w:cs="Arial"/>
                <w:b/>
                <w:bCs/>
                <w:sz w:val="16"/>
                <w:szCs w:val="16"/>
              </w:rPr>
              <w:t>(t</w:t>
            </w:r>
            <w:r w:rsidRPr="009B1556">
              <w:rPr>
                <w:rFonts w:eastAsia="Arial" w:cs="Arial"/>
                <w:b/>
                <w:bCs/>
                <w:spacing w:val="2"/>
                <w:sz w:val="16"/>
                <w:szCs w:val="16"/>
              </w:rPr>
              <w:t>o</w:t>
            </w:r>
            <w:r w:rsidRPr="009B1556">
              <w:rPr>
                <w:rFonts w:eastAsia="Arial" w:cs="Arial"/>
                <w:b/>
                <w:bCs/>
                <w:sz w:val="16"/>
                <w:szCs w:val="16"/>
              </w:rPr>
              <w:t>tals</w:t>
            </w:r>
            <w:r w:rsidRPr="009B1556">
              <w:rPr>
                <w:rFonts w:eastAsia="Arial" w:cs="Arial"/>
                <w:b/>
                <w:bCs/>
                <w:spacing w:val="10"/>
                <w:sz w:val="16"/>
                <w:szCs w:val="16"/>
              </w:rPr>
              <w:t xml:space="preserve"> </w:t>
            </w:r>
            <w:r w:rsidRPr="009B1556">
              <w:rPr>
                <w:rFonts w:eastAsia="Arial" w:cs="Arial"/>
                <w:b/>
                <w:bCs/>
                <w:spacing w:val="-2"/>
                <w:sz w:val="16"/>
                <w:szCs w:val="16"/>
              </w:rPr>
              <w:t>m</w:t>
            </w:r>
            <w:r w:rsidRPr="009B1556">
              <w:rPr>
                <w:rFonts w:eastAsia="Arial" w:cs="Arial"/>
                <w:b/>
                <w:bCs/>
                <w:spacing w:val="5"/>
                <w:sz w:val="16"/>
                <w:szCs w:val="16"/>
              </w:rPr>
              <w:t>a</w:t>
            </w:r>
            <w:r w:rsidRPr="009B1556">
              <w:rPr>
                <w:rFonts w:eastAsia="Arial" w:cs="Arial"/>
                <w:b/>
                <w:bCs/>
                <w:sz w:val="16"/>
                <w:szCs w:val="16"/>
              </w:rPr>
              <w:t>y</w:t>
            </w:r>
            <w:r w:rsidRPr="009B1556">
              <w:rPr>
                <w:rFonts w:eastAsia="Arial" w:cs="Arial"/>
                <w:b/>
                <w:bCs/>
                <w:spacing w:val="-1"/>
                <w:sz w:val="16"/>
                <w:szCs w:val="16"/>
              </w:rPr>
              <w:t xml:space="preserve"> </w:t>
            </w:r>
            <w:r w:rsidRPr="009B1556">
              <w:rPr>
                <w:rFonts w:eastAsia="Arial" w:cs="Arial"/>
                <w:b/>
                <w:bCs/>
                <w:sz w:val="16"/>
                <w:szCs w:val="16"/>
              </w:rPr>
              <w:t>not</w:t>
            </w:r>
            <w:r w:rsidRPr="009B1556">
              <w:rPr>
                <w:rFonts w:eastAsia="Arial" w:cs="Arial"/>
                <w:b/>
                <w:bCs/>
                <w:spacing w:val="8"/>
                <w:sz w:val="16"/>
                <w:szCs w:val="16"/>
              </w:rPr>
              <w:t xml:space="preserve"> </w:t>
            </w:r>
            <w:r w:rsidRPr="009B1556">
              <w:rPr>
                <w:rFonts w:eastAsia="Arial" w:cs="Arial"/>
                <w:b/>
                <w:bCs/>
                <w:sz w:val="16"/>
                <w:szCs w:val="16"/>
              </w:rPr>
              <w:t>add</w:t>
            </w:r>
            <w:r w:rsidRPr="009B1556">
              <w:rPr>
                <w:rFonts w:eastAsia="Arial" w:cs="Arial"/>
                <w:b/>
                <w:bCs/>
                <w:spacing w:val="5"/>
                <w:sz w:val="16"/>
                <w:szCs w:val="16"/>
              </w:rPr>
              <w:t xml:space="preserve"> </w:t>
            </w:r>
            <w:r w:rsidRPr="009B1556">
              <w:rPr>
                <w:rFonts w:eastAsia="Arial" w:cs="Arial"/>
                <w:b/>
                <w:bCs/>
                <w:spacing w:val="2"/>
                <w:sz w:val="16"/>
                <w:szCs w:val="16"/>
              </w:rPr>
              <w:t>b</w:t>
            </w:r>
            <w:r w:rsidRPr="009B1556">
              <w:rPr>
                <w:rFonts w:eastAsia="Arial" w:cs="Arial"/>
                <w:b/>
                <w:bCs/>
                <w:sz w:val="16"/>
                <w:szCs w:val="16"/>
              </w:rPr>
              <w:t>ec</w:t>
            </w:r>
            <w:r w:rsidRPr="009B1556">
              <w:rPr>
                <w:rFonts w:eastAsia="Arial" w:cs="Arial"/>
                <w:b/>
                <w:bCs/>
                <w:spacing w:val="5"/>
                <w:sz w:val="16"/>
                <w:szCs w:val="16"/>
              </w:rPr>
              <w:t>a</w:t>
            </w:r>
            <w:r w:rsidRPr="009B1556">
              <w:rPr>
                <w:rFonts w:eastAsia="Arial" w:cs="Arial"/>
                <w:b/>
                <w:bCs/>
                <w:sz w:val="16"/>
                <w:szCs w:val="16"/>
              </w:rPr>
              <w:t>use</w:t>
            </w:r>
            <w:r w:rsidRPr="009B1556">
              <w:rPr>
                <w:rFonts w:eastAsia="Arial" w:cs="Arial"/>
                <w:b/>
                <w:bCs/>
                <w:spacing w:val="9"/>
                <w:sz w:val="16"/>
                <w:szCs w:val="16"/>
              </w:rPr>
              <w:t xml:space="preserve"> </w:t>
            </w:r>
            <w:r w:rsidRPr="009B1556">
              <w:rPr>
                <w:rFonts w:eastAsia="Arial" w:cs="Arial"/>
                <w:b/>
                <w:bCs/>
                <w:sz w:val="16"/>
                <w:szCs w:val="16"/>
              </w:rPr>
              <w:t>of</w:t>
            </w:r>
            <w:r w:rsidRPr="009B1556">
              <w:rPr>
                <w:rFonts w:eastAsia="Arial" w:cs="Arial"/>
                <w:b/>
                <w:bCs/>
                <w:spacing w:val="7"/>
                <w:sz w:val="16"/>
                <w:szCs w:val="16"/>
              </w:rPr>
              <w:t xml:space="preserve"> </w:t>
            </w:r>
            <w:r w:rsidRPr="009B1556">
              <w:rPr>
                <w:rFonts w:eastAsia="Arial" w:cs="Arial"/>
                <w:b/>
                <w:bCs/>
                <w:spacing w:val="2"/>
                <w:sz w:val="16"/>
                <w:szCs w:val="16"/>
              </w:rPr>
              <w:t>rounding</w:t>
            </w:r>
            <w:r w:rsidRPr="009B1556">
              <w:rPr>
                <w:rFonts w:eastAsia="Arial" w:cs="Arial"/>
                <w:b/>
                <w:bCs/>
                <w:spacing w:val="3"/>
                <w:sz w:val="16"/>
                <w:szCs w:val="16"/>
              </w:rPr>
              <w:t>)</w:t>
            </w:r>
            <w:r w:rsidRPr="009B1556">
              <w:rPr>
                <w:rFonts w:eastAsia="Arial" w:cs="Arial"/>
                <w:b/>
                <w:bCs/>
                <w:sz w:val="16"/>
                <w:szCs w:val="16"/>
              </w:rPr>
              <w:t>:</w:t>
            </w:r>
          </w:p>
          <w:p w:rsidR="00BA69B6" w:rsidP="00EA2023" w:rsidRDefault="00BA69B6" w14:paraId="30453BCA" w14:textId="59DFDAC7">
            <w:pPr>
              <w:pStyle w:val="ListParagraph"/>
              <w:numPr>
                <w:ilvl w:val="0"/>
                <w:numId w:val="42"/>
              </w:numPr>
              <w:spacing w:after="60"/>
              <w:contextualSpacing w:val="0"/>
              <w:rPr>
                <w:rFonts w:cs="Arial"/>
                <w:sz w:val="16"/>
                <w:szCs w:val="16"/>
              </w:rPr>
            </w:pPr>
            <w:r w:rsidRPr="00BA69B6">
              <w:rPr>
                <w:rFonts w:cs="Arial"/>
                <w:sz w:val="16"/>
                <w:szCs w:val="16"/>
              </w:rPr>
              <w:t xml:space="preserve">Total Net Benefits (Cost) = Benefits (Cost) </w:t>
            </w:r>
            <w:r w:rsidR="006D1BC8">
              <w:rPr>
                <w:rFonts w:cs="Arial"/>
                <w:sz w:val="16"/>
                <w:szCs w:val="16"/>
              </w:rPr>
              <w:t>p</w:t>
            </w:r>
            <w:r w:rsidRPr="00BA69B6">
              <w:rPr>
                <w:rFonts w:cs="Arial"/>
                <w:sz w:val="16"/>
                <w:szCs w:val="16"/>
              </w:rPr>
              <w:t>er Site x Sites Affected</w:t>
            </w:r>
          </w:p>
          <w:p w:rsidRPr="00EA303A" w:rsidR="00254749" w:rsidP="00E6759C" w:rsidRDefault="00254749" w14:paraId="4F3DF64F" w14:textId="4B8B0B81">
            <w:pPr>
              <w:pStyle w:val="ListParagraph"/>
              <w:numPr>
                <w:ilvl w:val="0"/>
                <w:numId w:val="42"/>
              </w:numPr>
              <w:rPr>
                <w:rFonts w:cs="Arial"/>
                <w:sz w:val="16"/>
                <w:szCs w:val="16"/>
              </w:rPr>
            </w:pPr>
            <w:r w:rsidRPr="00EA303A">
              <w:rPr>
                <w:rFonts w:cs="Arial"/>
                <w:sz w:val="16"/>
                <w:szCs w:val="16"/>
              </w:rPr>
              <w:t>Average Operations Benefit (Cost) Per Site = Total Net Industry Operations Benefits (Cost) / Total Number of Sites</w:t>
            </w:r>
          </w:p>
          <w:p w:rsidR="00254749" w:rsidP="00E6759C" w:rsidRDefault="00254749" w14:paraId="3B4D8135" w14:textId="77777777">
            <w:pPr>
              <w:rPr>
                <w:rFonts w:cs="Arial"/>
                <w:sz w:val="16"/>
                <w:szCs w:val="16"/>
              </w:rPr>
            </w:pPr>
          </w:p>
          <w:p w:rsidR="00254749" w:rsidP="00E6759C" w:rsidRDefault="00254749" w14:paraId="4E0CFA64" w14:textId="77777777">
            <w:pPr>
              <w:rPr>
                <w:b/>
                <w:bCs/>
                <w:sz w:val="16"/>
                <w:szCs w:val="16"/>
              </w:rPr>
            </w:pPr>
            <w:r w:rsidRPr="008402DF">
              <w:rPr>
                <w:rFonts w:cs="Arial"/>
                <w:b/>
                <w:bCs/>
                <w:sz w:val="16"/>
                <w:szCs w:val="16"/>
              </w:rPr>
              <w:t>Assumptions:</w:t>
            </w:r>
          </w:p>
          <w:p w:rsidRPr="00E6759C" w:rsidR="00254749" w:rsidP="00EA2023" w:rsidRDefault="00254749" w14:paraId="62EE9DC0" w14:textId="06AD7C5B">
            <w:pPr>
              <w:pStyle w:val="ListParagraph"/>
              <w:numPr>
                <w:ilvl w:val="0"/>
                <w:numId w:val="42"/>
              </w:numPr>
              <w:autoSpaceDE/>
              <w:autoSpaceDN/>
              <w:adjustRightInd/>
              <w:spacing w:after="60"/>
              <w:contextualSpacing w:val="0"/>
              <w:rPr>
                <w:sz w:val="16"/>
                <w:szCs w:val="16"/>
              </w:rPr>
            </w:pPr>
            <w:r w:rsidRPr="00E6759C">
              <w:rPr>
                <w:sz w:val="16"/>
                <w:szCs w:val="16"/>
              </w:rPr>
              <w:t>Licensees would only use HHS-certified laboratories for all oral specimen drug testing and would pay a per</w:t>
            </w:r>
            <w:r w:rsidR="004061BA">
              <w:rPr>
                <w:sz w:val="16"/>
                <w:szCs w:val="16"/>
              </w:rPr>
              <w:t>-</w:t>
            </w:r>
            <w:r w:rsidRPr="00E6759C">
              <w:rPr>
                <w:sz w:val="16"/>
                <w:szCs w:val="16"/>
              </w:rPr>
              <w:t>specimen cost, which includes initial drug testing of all specimens and confirmatory drug testing when applicable.</w:t>
            </w:r>
          </w:p>
          <w:p w:rsidRPr="0007628E" w:rsidR="00254749" w:rsidP="00EA2023" w:rsidRDefault="00254749" w14:paraId="7726BD44" w14:textId="77777777">
            <w:pPr>
              <w:pStyle w:val="ListParagraph"/>
              <w:numPr>
                <w:ilvl w:val="0"/>
                <w:numId w:val="42"/>
              </w:numPr>
              <w:autoSpaceDE/>
              <w:autoSpaceDN/>
              <w:adjustRightInd/>
              <w:spacing w:after="60"/>
              <w:contextualSpacing w:val="0"/>
              <w:rPr>
                <w:sz w:val="16"/>
                <w:szCs w:val="16"/>
              </w:rPr>
            </w:pPr>
            <w:r w:rsidRPr="0007628E">
              <w:rPr>
                <w:sz w:val="16"/>
                <w:szCs w:val="16"/>
              </w:rPr>
              <w:t>The NRC staff assumed that all licensees and other entities uses the alternative evaluation process to avoid observed urine collection following a suspected subversion event.</w:t>
            </w:r>
          </w:p>
          <w:p w:rsidRPr="00E6759C" w:rsidR="00C312FB" w:rsidP="00835265" w:rsidRDefault="00254749" w14:paraId="333B1F4D" w14:textId="416409A0">
            <w:pPr>
              <w:pStyle w:val="ListParagraph"/>
              <w:numPr>
                <w:ilvl w:val="0"/>
                <w:numId w:val="42"/>
              </w:numPr>
              <w:spacing w:after="120"/>
              <w:contextualSpacing w:val="0"/>
              <w:rPr>
                <w:rFonts w:cs="Arial"/>
                <w:sz w:val="16"/>
                <w:szCs w:val="16"/>
              </w:rPr>
            </w:pPr>
            <w:r w:rsidRPr="00E6759C">
              <w:rPr>
                <w:sz w:val="16"/>
                <w:szCs w:val="16"/>
              </w:rPr>
              <w:t xml:space="preserve">Appendices B and D </w:t>
            </w:r>
            <w:r w:rsidR="00C34D59">
              <w:rPr>
                <w:sz w:val="16"/>
                <w:szCs w:val="16"/>
              </w:rPr>
              <w:t>present</w:t>
            </w:r>
            <w:r w:rsidRPr="00E6759C">
              <w:rPr>
                <w:sz w:val="16"/>
                <w:szCs w:val="16"/>
              </w:rPr>
              <w:t xml:space="preserve"> additional information on </w:t>
            </w:r>
            <w:r w:rsidR="00C34D59">
              <w:rPr>
                <w:sz w:val="16"/>
                <w:szCs w:val="16"/>
              </w:rPr>
              <w:t xml:space="preserve">the </w:t>
            </w:r>
            <w:r w:rsidRPr="00E6759C">
              <w:rPr>
                <w:sz w:val="16"/>
                <w:szCs w:val="16"/>
              </w:rPr>
              <w:t>parameters used in these calculations.</w:t>
            </w:r>
          </w:p>
        </w:tc>
      </w:tr>
    </w:tbl>
    <w:p w:rsidRPr="00552C58" w:rsidR="002F69BA" w:rsidP="002F69BA" w:rsidRDefault="002F69BA" w14:paraId="1168B35C" w14:textId="77777777">
      <w:pPr>
        <w:rPr>
          <w:rFonts w:cs="Arial"/>
          <w:sz w:val="22"/>
          <w:szCs w:val="22"/>
        </w:rPr>
      </w:pPr>
    </w:p>
    <w:sectPr w:rsidRPr="00552C58" w:rsidR="002F69BA" w:rsidSect="00153AFA">
      <w:footerReference w:type="default" r:id="rId41"/>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07B56" w14:textId="77777777" w:rsidR="00F32378" w:rsidRDefault="00F32378">
      <w:r>
        <w:separator/>
      </w:r>
    </w:p>
  </w:endnote>
  <w:endnote w:type="continuationSeparator" w:id="0">
    <w:p w14:paraId="44355070" w14:textId="77777777" w:rsidR="00F32378" w:rsidRDefault="00F32378">
      <w:r>
        <w:continuationSeparator/>
      </w:r>
    </w:p>
  </w:endnote>
  <w:endnote w:type="continuationNotice" w:id="1">
    <w:p w14:paraId="7774B8D6" w14:textId="77777777" w:rsidR="00F32378" w:rsidRDefault="00F32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8C697" w14:textId="270FA4AC" w:rsidR="0088161E" w:rsidRPr="003F145B" w:rsidRDefault="0088161E" w:rsidP="008F0B99">
    <w:pPr>
      <w:pBdr>
        <w:top w:val="single" w:sz="18" w:space="1" w:color="auto"/>
      </w:pBdr>
      <w:tabs>
        <w:tab w:val="left" w:pos="1653"/>
        <w:tab w:val="center" w:pos="4680"/>
        <w:tab w:val="right" w:pos="9360"/>
      </w:tabs>
      <w:rPr>
        <w:rFonts w:ascii="Arial Narrow" w:hAnsi="Arial Narrow"/>
      </w:rPr>
    </w:pPr>
    <w:r>
      <w:rPr>
        <w:rFonts w:ascii="Arial Narrow" w:hAnsi="Arial Narrow"/>
        <w:i/>
      </w:rPr>
      <w:tab/>
    </w:r>
    <w:r>
      <w:rPr>
        <w:rFonts w:ascii="Arial Narrow" w:hAnsi="Arial Narrow"/>
        <w:i/>
      </w:rPr>
      <w:tab/>
    </w:r>
    <w:r w:rsidRPr="003D3885">
      <w:rPr>
        <w:rFonts w:ascii="Arial Narrow" w:hAnsi="Arial Narrow"/>
        <w:i/>
        <w:noProof/>
      </w:rPr>
      <w:fldChar w:fldCharType="begin"/>
    </w:r>
    <w:r w:rsidRPr="003D3885">
      <w:rPr>
        <w:rFonts w:ascii="Arial Narrow" w:hAnsi="Arial Narrow"/>
        <w:i/>
        <w:noProof/>
      </w:rPr>
      <w:instrText xml:space="preserve"> PAGE   \* MERGEFORMAT </w:instrText>
    </w:r>
    <w:r w:rsidRPr="003D3885">
      <w:rPr>
        <w:rFonts w:ascii="Arial Narrow" w:hAnsi="Arial Narrow"/>
        <w:i/>
        <w:noProof/>
      </w:rPr>
      <w:fldChar w:fldCharType="separate"/>
    </w:r>
    <w:r w:rsidRPr="003D3885">
      <w:rPr>
        <w:rFonts w:ascii="Arial Narrow" w:hAnsi="Arial Narrow"/>
        <w:i/>
        <w:noProof/>
      </w:rPr>
      <w:t>1</w:t>
    </w:r>
    <w:r w:rsidRPr="003D3885">
      <w:rPr>
        <w:rFonts w:ascii="Arial Narrow" w:hAnsi="Arial Narrow"/>
        <w:i/>
        <w:noProof/>
      </w:rPr>
      <w:fldChar w:fldCharType="end"/>
    </w:r>
    <w:r w:rsidRPr="003D3885">
      <w:rPr>
        <w:rFonts w:ascii="Arial Narrow" w:hAnsi="Arial Narrow"/>
        <w:i/>
      </w:rPr>
      <w:tab/>
    </w:r>
    <w:r w:rsidR="00295528">
      <w:rPr>
        <w:rFonts w:ascii="Arial Narrow" w:hAnsi="Arial Narrow"/>
        <w:i/>
      </w:rPr>
      <w:t>September</w:t>
    </w:r>
    <w:r w:rsidRPr="003D3885">
      <w:rPr>
        <w:rFonts w:ascii="Arial Narrow" w:hAnsi="Arial Narrow"/>
        <w:i/>
      </w:rPr>
      <w:t> 202</w:t>
    </w:r>
    <w:r w:rsidR="00295528">
      <w:rPr>
        <w:rFonts w:ascii="Arial Narrow" w:hAnsi="Arial Narrow"/>
        <w:i/>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04FF" w14:textId="45C1B6E5" w:rsidR="0088161E" w:rsidRPr="003F145B" w:rsidRDefault="0088161E" w:rsidP="008F0B99">
    <w:pPr>
      <w:pBdr>
        <w:top w:val="single" w:sz="18" w:space="1" w:color="auto"/>
      </w:pBdr>
      <w:tabs>
        <w:tab w:val="left" w:pos="1653"/>
        <w:tab w:val="center" w:pos="4680"/>
        <w:tab w:val="right" w:pos="9360"/>
      </w:tabs>
      <w:rPr>
        <w:rFonts w:ascii="Arial Narrow" w:hAnsi="Arial Narrow"/>
      </w:rPr>
    </w:pPr>
    <w:r>
      <w:rPr>
        <w:rFonts w:ascii="Arial Narrow" w:hAnsi="Arial Narrow"/>
        <w:i/>
      </w:rPr>
      <w:tab/>
    </w:r>
    <w:r>
      <w:rPr>
        <w:rFonts w:ascii="Arial Narrow" w:hAnsi="Arial Narrow"/>
        <w:i/>
      </w:rPr>
      <w:tab/>
    </w:r>
    <w:r w:rsidRPr="003D3885">
      <w:rPr>
        <w:rFonts w:ascii="Arial Narrow" w:hAnsi="Arial Narrow"/>
        <w:i/>
        <w:noProof/>
      </w:rPr>
      <w:fldChar w:fldCharType="begin"/>
    </w:r>
    <w:r w:rsidRPr="003D3885">
      <w:rPr>
        <w:rFonts w:ascii="Arial Narrow" w:hAnsi="Arial Narrow"/>
        <w:i/>
        <w:noProof/>
      </w:rPr>
      <w:instrText xml:space="preserve"> PAGE   \* MERGEFORMAT </w:instrText>
    </w:r>
    <w:r w:rsidRPr="003D3885">
      <w:rPr>
        <w:rFonts w:ascii="Arial Narrow" w:hAnsi="Arial Narrow"/>
        <w:i/>
        <w:noProof/>
      </w:rPr>
      <w:fldChar w:fldCharType="separate"/>
    </w:r>
    <w:r w:rsidRPr="003D3885">
      <w:rPr>
        <w:rFonts w:ascii="Arial Narrow" w:hAnsi="Arial Narrow"/>
        <w:i/>
        <w:noProof/>
      </w:rPr>
      <w:t>1</w:t>
    </w:r>
    <w:r w:rsidRPr="003D3885">
      <w:rPr>
        <w:rFonts w:ascii="Arial Narrow" w:hAnsi="Arial Narrow"/>
        <w:i/>
        <w:noProof/>
      </w:rPr>
      <w:fldChar w:fldCharType="end"/>
    </w:r>
    <w:r w:rsidRPr="003D3885">
      <w:rPr>
        <w:rFonts w:ascii="Arial Narrow" w:hAnsi="Arial Narrow"/>
        <w:i/>
      </w:rPr>
      <w:tab/>
    </w:r>
    <w:r w:rsidR="00A93DF1">
      <w:rPr>
        <w:rFonts w:ascii="Arial Narrow" w:hAnsi="Arial Narrow"/>
        <w:i/>
      </w:rPr>
      <w:t>September</w:t>
    </w:r>
    <w:r w:rsidRPr="003D3885">
      <w:rPr>
        <w:rFonts w:ascii="Arial Narrow" w:hAnsi="Arial Narrow"/>
        <w:i/>
      </w:rPr>
      <w:t> 202</w:t>
    </w:r>
    <w:r w:rsidR="00A93DF1">
      <w:rPr>
        <w:rFonts w:ascii="Arial Narrow" w:hAnsi="Arial Narrow"/>
        <w:i/>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19835" w14:textId="0EFFBE76" w:rsidR="0088161E" w:rsidRPr="003F145B" w:rsidRDefault="0088161E" w:rsidP="00EB2C5D">
    <w:pPr>
      <w:pBdr>
        <w:top w:val="single" w:sz="18" w:space="1" w:color="auto"/>
      </w:pBdr>
      <w:tabs>
        <w:tab w:val="left" w:pos="1653"/>
        <w:tab w:val="center" w:pos="4590"/>
        <w:tab w:val="right" w:pos="9360"/>
      </w:tabs>
      <w:ind w:firstLine="720"/>
      <w:rPr>
        <w:rFonts w:ascii="Arial Narrow" w:hAnsi="Arial Narrow"/>
      </w:rPr>
    </w:pPr>
    <w:r w:rsidRPr="003B3A55">
      <w:rPr>
        <w:rFonts w:ascii="Arial Narrow" w:hAnsi="Arial Narrow"/>
        <w:i/>
      </w:rPr>
      <w:t xml:space="preserve"> </w:t>
    </w:r>
    <w:r>
      <w:rPr>
        <w:rFonts w:ascii="Arial Narrow" w:hAnsi="Arial Narrow"/>
        <w:i/>
      </w:rPr>
      <w:tab/>
    </w:r>
    <w:r>
      <w:rPr>
        <w:rFonts w:ascii="Arial Narrow" w:hAnsi="Arial Narrow"/>
        <w:i/>
      </w:rPr>
      <w:tab/>
    </w:r>
    <w:r>
      <w:rPr>
        <w:rFonts w:ascii="Arial Narrow" w:hAnsi="Arial Narrow"/>
        <w:i/>
      </w:rPr>
      <w:tab/>
    </w:r>
    <w:r w:rsidR="00D13D7D">
      <w:rPr>
        <w:rFonts w:ascii="Arial Narrow" w:hAnsi="Arial Narrow"/>
        <w:i/>
      </w:rPr>
      <w:t>September</w:t>
    </w:r>
    <w:r>
      <w:rPr>
        <w:rFonts w:ascii="Arial Narrow" w:hAnsi="Arial Narrow"/>
        <w:i/>
      </w:rPr>
      <w:t> 202</w:t>
    </w:r>
    <w:r w:rsidR="00D13D7D">
      <w:rPr>
        <w:rFonts w:ascii="Arial Narrow" w:hAnsi="Arial Narrow"/>
        <w:i/>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843D" w14:textId="4E51DA32" w:rsidR="0088161E" w:rsidRPr="003F145B" w:rsidRDefault="0088161E" w:rsidP="00CB17CD">
    <w:pPr>
      <w:pBdr>
        <w:top w:val="single" w:sz="18" w:space="1" w:color="auto"/>
      </w:pBdr>
      <w:tabs>
        <w:tab w:val="left" w:pos="1653"/>
        <w:tab w:val="center" w:pos="10080"/>
        <w:tab w:val="right" w:pos="18720"/>
      </w:tabs>
      <w:ind w:right="-90"/>
      <w:rPr>
        <w:rFonts w:ascii="Arial Narrow" w:hAnsi="Arial Narrow"/>
      </w:rPr>
    </w:pPr>
    <w:r w:rsidRPr="003B3A55">
      <w:rPr>
        <w:rFonts w:ascii="Arial Narrow" w:hAnsi="Arial Narrow"/>
        <w:i/>
      </w:rPr>
      <w:t xml:space="preserve"> </w:t>
    </w:r>
    <w:r>
      <w:rPr>
        <w:rFonts w:ascii="Arial Narrow" w:hAnsi="Arial Narrow"/>
        <w:i/>
      </w:rPr>
      <w:tab/>
    </w:r>
    <w:r>
      <w:rPr>
        <w:rFonts w:ascii="Arial Narrow" w:hAnsi="Arial Narrow"/>
        <w:i/>
      </w:rPr>
      <w:tab/>
      <w:t>A-</w:t>
    </w:r>
    <w:r w:rsidRPr="00761301">
      <w:fldChar w:fldCharType="begin"/>
    </w:r>
    <w:r w:rsidRPr="00481049">
      <w:instrText xml:space="preserve"> PAGE   \* MERGEFORMAT </w:instrText>
    </w:r>
    <w:r w:rsidRPr="00761301">
      <w:fldChar w:fldCharType="separate"/>
    </w:r>
    <w:r w:rsidRPr="00E9481C">
      <w:rPr>
        <w:rFonts w:ascii="Arial Narrow" w:hAnsi="Arial Narrow"/>
        <w:i/>
        <w:noProof/>
      </w:rPr>
      <w:t>3</w:t>
    </w:r>
    <w:r w:rsidRPr="00761301">
      <w:rPr>
        <w:rFonts w:ascii="Arial Narrow" w:hAnsi="Arial Narrow"/>
        <w:i/>
        <w:noProof/>
      </w:rPr>
      <w:fldChar w:fldCharType="end"/>
    </w:r>
    <w:r>
      <w:rPr>
        <w:rFonts w:ascii="Arial Narrow" w:hAnsi="Arial Narrow"/>
        <w:i/>
      </w:rPr>
      <w:tab/>
    </w:r>
    <w:r w:rsidR="00A277AB">
      <w:rPr>
        <w:rFonts w:ascii="Arial Narrow" w:hAnsi="Arial Narrow"/>
        <w:i/>
      </w:rPr>
      <w:t>September</w:t>
    </w:r>
    <w:r>
      <w:rPr>
        <w:rFonts w:ascii="Arial Narrow" w:hAnsi="Arial Narrow"/>
        <w:i/>
      </w:rPr>
      <w:t> 202</w:t>
    </w:r>
    <w:r w:rsidR="00A277AB">
      <w:rPr>
        <w:rFonts w:ascii="Arial Narrow" w:hAnsi="Arial Narrow"/>
        <w:i/>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2676" w14:textId="2AAA37A2" w:rsidR="0088161E" w:rsidRPr="003F145B" w:rsidRDefault="0088161E" w:rsidP="00B0132D">
    <w:pPr>
      <w:pBdr>
        <w:top w:val="single" w:sz="18" w:space="1" w:color="auto"/>
      </w:pBdr>
      <w:tabs>
        <w:tab w:val="left" w:pos="1653"/>
        <w:tab w:val="center" w:pos="4590"/>
        <w:tab w:val="right" w:pos="9360"/>
      </w:tabs>
      <w:rPr>
        <w:rFonts w:ascii="Arial Narrow" w:hAnsi="Arial Narrow"/>
      </w:rPr>
    </w:pPr>
    <w:r w:rsidRPr="003B3A55">
      <w:rPr>
        <w:rFonts w:ascii="Arial Narrow" w:hAnsi="Arial Narrow"/>
        <w:i/>
      </w:rPr>
      <w:t xml:space="preserve"> </w:t>
    </w:r>
    <w:r>
      <w:rPr>
        <w:rFonts w:ascii="Arial Narrow" w:hAnsi="Arial Narrow"/>
        <w:i/>
      </w:rPr>
      <w:tab/>
    </w:r>
    <w:r>
      <w:rPr>
        <w:rFonts w:ascii="Arial Narrow" w:hAnsi="Arial Narrow"/>
        <w:i/>
      </w:rPr>
      <w:tab/>
      <w:t>B-</w:t>
    </w:r>
    <w:r w:rsidRPr="00761301">
      <w:fldChar w:fldCharType="begin"/>
    </w:r>
    <w:r w:rsidRPr="00481049">
      <w:instrText xml:space="preserve"> PAGE   \* MERGEFORMAT </w:instrText>
    </w:r>
    <w:r w:rsidRPr="00761301">
      <w:fldChar w:fldCharType="separate"/>
    </w:r>
    <w:r w:rsidRPr="00E9481C">
      <w:rPr>
        <w:rFonts w:ascii="Arial Narrow" w:hAnsi="Arial Narrow"/>
        <w:i/>
        <w:noProof/>
      </w:rPr>
      <w:t>3</w:t>
    </w:r>
    <w:r w:rsidRPr="00761301">
      <w:rPr>
        <w:rFonts w:ascii="Arial Narrow" w:hAnsi="Arial Narrow"/>
        <w:i/>
        <w:noProof/>
      </w:rPr>
      <w:fldChar w:fldCharType="end"/>
    </w:r>
    <w:r>
      <w:rPr>
        <w:rFonts w:ascii="Arial Narrow" w:hAnsi="Arial Narrow"/>
        <w:i/>
      </w:rPr>
      <w:tab/>
    </w:r>
    <w:r w:rsidR="00872023">
      <w:rPr>
        <w:rFonts w:ascii="Arial Narrow" w:hAnsi="Arial Narrow"/>
        <w:i/>
      </w:rPr>
      <w:t>September</w:t>
    </w:r>
    <w:r>
      <w:rPr>
        <w:rFonts w:ascii="Arial Narrow" w:hAnsi="Arial Narrow"/>
        <w:i/>
      </w:rPr>
      <w:t> 202</w:t>
    </w:r>
    <w:r w:rsidR="00872023">
      <w:rPr>
        <w:rFonts w:ascii="Arial Narrow" w:hAnsi="Arial Narrow"/>
        <w:i/>
      </w:rPr>
      <w:t>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56DB" w14:textId="2AAD491E" w:rsidR="0088161E" w:rsidRPr="003F145B" w:rsidRDefault="0088161E" w:rsidP="00C357D2">
    <w:pPr>
      <w:pBdr>
        <w:top w:val="single" w:sz="18" w:space="1" w:color="auto"/>
      </w:pBdr>
      <w:tabs>
        <w:tab w:val="left" w:pos="1653"/>
        <w:tab w:val="center" w:pos="4590"/>
        <w:tab w:val="right" w:pos="9360"/>
      </w:tabs>
      <w:rPr>
        <w:rFonts w:ascii="Arial Narrow" w:hAnsi="Arial Narrow"/>
      </w:rPr>
    </w:pPr>
    <w:r w:rsidRPr="003B3A55">
      <w:rPr>
        <w:rFonts w:ascii="Arial Narrow" w:hAnsi="Arial Narrow"/>
        <w:i/>
      </w:rPr>
      <w:t xml:space="preserve"> </w:t>
    </w:r>
    <w:r>
      <w:rPr>
        <w:rFonts w:ascii="Arial Narrow" w:hAnsi="Arial Narrow"/>
        <w:i/>
      </w:rPr>
      <w:tab/>
    </w:r>
    <w:r>
      <w:rPr>
        <w:rFonts w:ascii="Arial Narrow" w:hAnsi="Arial Narrow"/>
        <w:i/>
      </w:rPr>
      <w:tab/>
      <w:t>C-</w:t>
    </w:r>
    <w:r w:rsidRPr="00761301">
      <w:fldChar w:fldCharType="begin"/>
    </w:r>
    <w:r w:rsidRPr="00481049">
      <w:instrText xml:space="preserve"> PAGE   \* MERGEFORMAT </w:instrText>
    </w:r>
    <w:r w:rsidRPr="00761301">
      <w:fldChar w:fldCharType="separate"/>
    </w:r>
    <w:r w:rsidRPr="00E9481C">
      <w:rPr>
        <w:rFonts w:ascii="Arial Narrow" w:hAnsi="Arial Narrow"/>
        <w:i/>
        <w:noProof/>
      </w:rPr>
      <w:t>7</w:t>
    </w:r>
    <w:r w:rsidRPr="00761301">
      <w:rPr>
        <w:rFonts w:ascii="Arial Narrow" w:hAnsi="Arial Narrow"/>
        <w:i/>
        <w:noProof/>
      </w:rPr>
      <w:fldChar w:fldCharType="end"/>
    </w:r>
    <w:r>
      <w:rPr>
        <w:rFonts w:ascii="Arial Narrow" w:hAnsi="Arial Narrow"/>
        <w:i/>
      </w:rPr>
      <w:tab/>
    </w:r>
    <w:r w:rsidR="00872023">
      <w:rPr>
        <w:rFonts w:ascii="Arial Narrow" w:hAnsi="Arial Narrow"/>
        <w:i/>
      </w:rPr>
      <w:t>September</w:t>
    </w:r>
    <w:r>
      <w:rPr>
        <w:rFonts w:ascii="Arial Narrow" w:hAnsi="Arial Narrow"/>
        <w:i/>
      </w:rPr>
      <w:t> 202</w:t>
    </w:r>
    <w:r w:rsidR="00872023">
      <w:rPr>
        <w:rFonts w:ascii="Arial Narrow" w:hAnsi="Arial Narrow"/>
        <w:i/>
      </w:rPr>
      <w:t>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DBA9" w14:textId="67B95886" w:rsidR="0088161E" w:rsidRPr="003F145B" w:rsidRDefault="0088161E" w:rsidP="00FE249B">
    <w:pPr>
      <w:pBdr>
        <w:top w:val="single" w:sz="18" w:space="1" w:color="auto"/>
      </w:pBdr>
      <w:tabs>
        <w:tab w:val="left" w:pos="1653"/>
        <w:tab w:val="center" w:pos="4590"/>
        <w:tab w:val="right" w:pos="9360"/>
      </w:tabs>
      <w:rPr>
        <w:rFonts w:ascii="Arial Narrow" w:hAnsi="Arial Narrow"/>
      </w:rPr>
    </w:pPr>
    <w:r w:rsidRPr="003B3A55">
      <w:rPr>
        <w:rFonts w:ascii="Arial Narrow" w:hAnsi="Arial Narrow"/>
        <w:i/>
      </w:rPr>
      <w:t xml:space="preserve"> </w:t>
    </w:r>
    <w:r>
      <w:rPr>
        <w:rFonts w:ascii="Arial Narrow" w:hAnsi="Arial Narrow"/>
        <w:i/>
      </w:rPr>
      <w:tab/>
    </w:r>
    <w:r>
      <w:rPr>
        <w:rFonts w:ascii="Arial Narrow" w:hAnsi="Arial Narrow"/>
        <w:i/>
      </w:rPr>
      <w:tab/>
      <w:t>D-</w:t>
    </w:r>
    <w:r w:rsidRPr="00761301">
      <w:fldChar w:fldCharType="begin"/>
    </w:r>
    <w:r w:rsidRPr="00481049">
      <w:instrText xml:space="preserve"> PAGE   \* MERGEFORMAT </w:instrText>
    </w:r>
    <w:r w:rsidRPr="00761301">
      <w:fldChar w:fldCharType="separate"/>
    </w:r>
    <w:r w:rsidRPr="00E9481C">
      <w:rPr>
        <w:rFonts w:ascii="Arial Narrow" w:hAnsi="Arial Narrow"/>
        <w:i/>
        <w:noProof/>
      </w:rPr>
      <w:t>1</w:t>
    </w:r>
    <w:r w:rsidRPr="00761301">
      <w:rPr>
        <w:rFonts w:ascii="Arial Narrow" w:hAnsi="Arial Narrow"/>
        <w:i/>
        <w:noProof/>
      </w:rPr>
      <w:fldChar w:fldCharType="end"/>
    </w:r>
    <w:r>
      <w:rPr>
        <w:rFonts w:ascii="Arial Narrow" w:hAnsi="Arial Narrow"/>
        <w:i/>
      </w:rPr>
      <w:tab/>
    </w:r>
    <w:r w:rsidR="00F62F7B">
      <w:rPr>
        <w:rFonts w:ascii="Arial Narrow" w:hAnsi="Arial Narrow"/>
        <w:i/>
      </w:rPr>
      <w:t>September</w:t>
    </w:r>
    <w:r>
      <w:rPr>
        <w:rFonts w:ascii="Arial Narrow" w:hAnsi="Arial Narrow"/>
        <w:i/>
      </w:rPr>
      <w:t> 202</w:t>
    </w:r>
    <w:r w:rsidR="00F62F7B">
      <w:rPr>
        <w:rFonts w:ascii="Arial Narrow" w:hAnsi="Arial Narrow"/>
        <w:i/>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0CECC" w14:textId="4CE59491" w:rsidR="0088161E" w:rsidRPr="003F145B" w:rsidRDefault="0088161E" w:rsidP="008960F5">
    <w:pPr>
      <w:pBdr>
        <w:top w:val="single" w:sz="18" w:space="1" w:color="auto"/>
      </w:pBdr>
      <w:tabs>
        <w:tab w:val="left" w:pos="1653"/>
        <w:tab w:val="center" w:pos="4590"/>
        <w:tab w:val="right" w:pos="9360"/>
      </w:tabs>
      <w:rPr>
        <w:rFonts w:ascii="Arial Narrow" w:hAnsi="Arial Narrow"/>
      </w:rPr>
    </w:pPr>
    <w:r w:rsidRPr="003B3A55">
      <w:rPr>
        <w:rFonts w:ascii="Arial Narrow" w:hAnsi="Arial Narrow"/>
        <w:i/>
      </w:rPr>
      <w:t xml:space="preserve"> </w:t>
    </w:r>
    <w:r>
      <w:rPr>
        <w:rFonts w:ascii="Arial Narrow" w:hAnsi="Arial Narrow"/>
        <w:i/>
      </w:rPr>
      <w:tab/>
    </w:r>
    <w:r>
      <w:rPr>
        <w:rFonts w:ascii="Arial Narrow" w:hAnsi="Arial Narrow"/>
        <w:i/>
      </w:rPr>
      <w:tab/>
      <w:t>E-</w:t>
    </w:r>
    <w:r w:rsidRPr="00761301">
      <w:fldChar w:fldCharType="begin"/>
    </w:r>
    <w:r w:rsidRPr="00481049">
      <w:instrText xml:space="preserve"> PAGE   \* MERGEFORMAT </w:instrText>
    </w:r>
    <w:r w:rsidRPr="00761301">
      <w:fldChar w:fldCharType="separate"/>
    </w:r>
    <w:r w:rsidRPr="00E9481C">
      <w:rPr>
        <w:rFonts w:ascii="Arial Narrow" w:hAnsi="Arial Narrow"/>
        <w:i/>
        <w:noProof/>
      </w:rPr>
      <w:t>2</w:t>
    </w:r>
    <w:r w:rsidRPr="00761301">
      <w:rPr>
        <w:rFonts w:ascii="Arial Narrow" w:hAnsi="Arial Narrow"/>
        <w:i/>
        <w:noProof/>
      </w:rPr>
      <w:fldChar w:fldCharType="end"/>
    </w:r>
    <w:r>
      <w:rPr>
        <w:rFonts w:ascii="Arial Narrow" w:hAnsi="Arial Narrow"/>
        <w:i/>
      </w:rPr>
      <w:tab/>
    </w:r>
    <w:r w:rsidR="00F62F7B">
      <w:rPr>
        <w:rFonts w:ascii="Arial Narrow" w:hAnsi="Arial Narrow"/>
        <w:i/>
      </w:rPr>
      <w:t>September</w:t>
    </w:r>
    <w:r>
      <w:rPr>
        <w:rFonts w:ascii="Arial Narrow" w:hAnsi="Arial Narrow"/>
        <w:i/>
      </w:rPr>
      <w:t> 202</w:t>
    </w:r>
    <w:r w:rsidR="00F62F7B">
      <w:rPr>
        <w:rFonts w:ascii="Arial Narrow" w:hAnsi="Arial Narrow"/>
        <w:i/>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CFBA" w14:textId="64DCBE39" w:rsidR="0088161E" w:rsidRPr="003F145B" w:rsidRDefault="0088161E" w:rsidP="008960F5">
    <w:pPr>
      <w:pBdr>
        <w:top w:val="single" w:sz="18" w:space="1" w:color="auto"/>
      </w:pBdr>
      <w:tabs>
        <w:tab w:val="left" w:pos="1653"/>
        <w:tab w:val="center" w:pos="4590"/>
        <w:tab w:val="right" w:pos="9360"/>
      </w:tabs>
      <w:rPr>
        <w:rFonts w:ascii="Arial Narrow" w:hAnsi="Arial Narrow"/>
      </w:rPr>
    </w:pPr>
    <w:r w:rsidRPr="003B3A55">
      <w:rPr>
        <w:rFonts w:ascii="Arial Narrow" w:hAnsi="Arial Narrow"/>
        <w:i/>
      </w:rPr>
      <w:t xml:space="preserve"> </w:t>
    </w:r>
    <w:r>
      <w:rPr>
        <w:rFonts w:ascii="Arial Narrow" w:hAnsi="Arial Narrow"/>
        <w:i/>
      </w:rPr>
      <w:tab/>
    </w:r>
    <w:r>
      <w:rPr>
        <w:rFonts w:ascii="Arial Narrow" w:hAnsi="Arial Narrow"/>
        <w:i/>
      </w:rPr>
      <w:tab/>
      <w:t>F-</w:t>
    </w:r>
    <w:r w:rsidRPr="00761301">
      <w:fldChar w:fldCharType="begin"/>
    </w:r>
    <w:r w:rsidRPr="00481049">
      <w:instrText xml:space="preserve"> PAGE   \* MERGEFORMAT </w:instrText>
    </w:r>
    <w:r w:rsidRPr="00761301">
      <w:fldChar w:fldCharType="separate"/>
    </w:r>
    <w:r w:rsidRPr="00E9481C">
      <w:rPr>
        <w:rFonts w:ascii="Arial Narrow" w:hAnsi="Arial Narrow"/>
        <w:i/>
        <w:noProof/>
      </w:rPr>
      <w:t>2</w:t>
    </w:r>
    <w:r w:rsidRPr="00761301">
      <w:rPr>
        <w:rFonts w:ascii="Arial Narrow" w:hAnsi="Arial Narrow"/>
        <w:i/>
        <w:noProof/>
      </w:rPr>
      <w:fldChar w:fldCharType="end"/>
    </w:r>
    <w:r>
      <w:rPr>
        <w:rFonts w:ascii="Arial Narrow" w:hAnsi="Arial Narrow"/>
        <w:i/>
      </w:rPr>
      <w:tab/>
    </w:r>
    <w:r w:rsidR="004557E8">
      <w:rPr>
        <w:rFonts w:ascii="Arial Narrow" w:hAnsi="Arial Narrow"/>
        <w:i/>
      </w:rPr>
      <w:t>September</w:t>
    </w:r>
    <w:r>
      <w:rPr>
        <w:rFonts w:ascii="Arial Narrow" w:hAnsi="Arial Narrow"/>
        <w:i/>
      </w:rPr>
      <w:t> 202</w:t>
    </w:r>
    <w:r w:rsidR="004557E8">
      <w:rPr>
        <w:rFonts w:ascii="Arial Narrow" w:hAnsi="Arial Narrow"/>
        <w: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AE9A" w14:textId="77777777" w:rsidR="00F32378" w:rsidRDefault="00F32378">
      <w:r>
        <w:separator/>
      </w:r>
    </w:p>
  </w:footnote>
  <w:footnote w:type="continuationSeparator" w:id="0">
    <w:p w14:paraId="78A50B3D" w14:textId="77777777" w:rsidR="00F32378" w:rsidRDefault="00F32378">
      <w:r>
        <w:continuationSeparator/>
      </w:r>
    </w:p>
  </w:footnote>
  <w:footnote w:type="continuationNotice" w:id="1">
    <w:p w14:paraId="7F7DE335" w14:textId="77777777" w:rsidR="00F32378" w:rsidRDefault="00F32378"/>
  </w:footnote>
  <w:footnote w:id="2">
    <w:p w14:paraId="43D8E7C9" w14:textId="50C0A2AA" w:rsidR="0088161E" w:rsidRDefault="0088161E" w:rsidP="00595B86">
      <w:pPr>
        <w:pStyle w:val="FootnoteText"/>
        <w:ind w:left="720" w:hanging="720"/>
        <w:rPr>
          <w:sz w:val="18"/>
          <w:szCs w:val="18"/>
        </w:rPr>
      </w:pPr>
      <w:r w:rsidRPr="00284169">
        <w:rPr>
          <w:rStyle w:val="FootnoteReference"/>
          <w:sz w:val="18"/>
          <w:szCs w:val="18"/>
        </w:rPr>
        <w:footnoteRef/>
      </w:r>
      <w:r w:rsidRPr="00284169">
        <w:rPr>
          <w:sz w:val="18"/>
          <w:szCs w:val="18"/>
        </w:rPr>
        <w:t xml:space="preserve"> </w:t>
      </w:r>
      <w:r w:rsidRPr="00284169">
        <w:rPr>
          <w:sz w:val="18"/>
          <w:szCs w:val="18"/>
        </w:rPr>
        <w:tab/>
      </w:r>
      <w:r w:rsidRPr="007E2992">
        <w:rPr>
          <w:sz w:val="18"/>
          <w:szCs w:val="18"/>
        </w:rPr>
        <w:t>Ecstasy</w:t>
      </w:r>
      <w:r w:rsidRPr="00C6085F">
        <w:rPr>
          <w:sz w:val="18"/>
          <w:szCs w:val="18"/>
        </w:rPr>
        <w:t xml:space="preserve">-type drugs </w:t>
      </w:r>
      <w:r>
        <w:rPr>
          <w:sz w:val="18"/>
          <w:szCs w:val="18"/>
        </w:rPr>
        <w:t xml:space="preserve">included within the scope of this rule are the Schedule I illegal drugs </w:t>
      </w:r>
      <w:r>
        <w:rPr>
          <w:rFonts w:cs="Arial"/>
          <w:sz w:val="18"/>
          <w:szCs w:val="18"/>
        </w:rPr>
        <w:t>m</w:t>
      </w:r>
      <w:r w:rsidRPr="00F646D5">
        <w:rPr>
          <w:rFonts w:cs="Arial"/>
          <w:sz w:val="18"/>
          <w:szCs w:val="18"/>
        </w:rPr>
        <w:t>ethylenedioxymethamphetamine</w:t>
      </w:r>
      <w:r w:rsidRPr="00F646D5">
        <w:rPr>
          <w:sz w:val="18"/>
          <w:szCs w:val="18"/>
        </w:rPr>
        <w:t xml:space="preserve"> (MDMA)</w:t>
      </w:r>
      <w:r>
        <w:rPr>
          <w:sz w:val="18"/>
          <w:szCs w:val="18"/>
        </w:rPr>
        <w:t xml:space="preserve"> and </w:t>
      </w:r>
      <w:r w:rsidRPr="00374D15">
        <w:rPr>
          <w:rFonts w:cs="Arial"/>
          <w:sz w:val="18"/>
          <w:szCs w:val="18"/>
        </w:rPr>
        <w:t>methylenedioxyamphetamine</w:t>
      </w:r>
      <w:r w:rsidRPr="00374D15">
        <w:rPr>
          <w:sz w:val="18"/>
          <w:szCs w:val="18"/>
        </w:rPr>
        <w:t xml:space="preserve"> (MDA)</w:t>
      </w:r>
      <w:r>
        <w:rPr>
          <w:sz w:val="18"/>
          <w:szCs w:val="18"/>
        </w:rPr>
        <w:t xml:space="preserve">.  </w:t>
      </w:r>
      <w:r w:rsidRPr="00720285">
        <w:rPr>
          <w:sz w:val="18"/>
          <w:szCs w:val="18"/>
        </w:rPr>
        <w:t>A Schedule I drug</w:t>
      </w:r>
      <w:r>
        <w:rPr>
          <w:sz w:val="18"/>
          <w:szCs w:val="18"/>
        </w:rPr>
        <w:t xml:space="preserve"> or substance,</w:t>
      </w:r>
      <w:r w:rsidRPr="00720285">
        <w:rPr>
          <w:sz w:val="18"/>
          <w:szCs w:val="18"/>
        </w:rPr>
        <w:t xml:space="preserve"> as defined by the Controlled Substances Act</w:t>
      </w:r>
      <w:r>
        <w:rPr>
          <w:sz w:val="18"/>
          <w:szCs w:val="18"/>
        </w:rPr>
        <w:t>,</w:t>
      </w:r>
      <w:r w:rsidRPr="00720285">
        <w:rPr>
          <w:sz w:val="18"/>
          <w:szCs w:val="18"/>
        </w:rPr>
        <w:t xml:space="preserve"> has a high potential for abuse</w:t>
      </w:r>
      <w:r>
        <w:rPr>
          <w:sz w:val="18"/>
          <w:szCs w:val="18"/>
        </w:rPr>
        <w:t>,</w:t>
      </w:r>
      <w:r w:rsidRPr="00720285">
        <w:rPr>
          <w:sz w:val="18"/>
          <w:szCs w:val="18"/>
        </w:rPr>
        <w:t xml:space="preserve"> has no currently accepted medical use in treatment in the United States</w:t>
      </w:r>
      <w:r>
        <w:rPr>
          <w:sz w:val="18"/>
          <w:szCs w:val="18"/>
        </w:rPr>
        <w:t>,</w:t>
      </w:r>
      <w:r w:rsidRPr="00720285">
        <w:rPr>
          <w:sz w:val="18"/>
          <w:szCs w:val="18"/>
        </w:rPr>
        <w:t xml:space="preserve"> and </w:t>
      </w:r>
      <w:r>
        <w:rPr>
          <w:sz w:val="18"/>
          <w:szCs w:val="18"/>
        </w:rPr>
        <w:t xml:space="preserve">there is a </w:t>
      </w:r>
      <w:r w:rsidRPr="00720285">
        <w:rPr>
          <w:sz w:val="18"/>
          <w:szCs w:val="18"/>
        </w:rPr>
        <w:t xml:space="preserve">lack </w:t>
      </w:r>
      <w:r>
        <w:rPr>
          <w:sz w:val="18"/>
          <w:szCs w:val="18"/>
        </w:rPr>
        <w:t>of</w:t>
      </w:r>
      <w:r w:rsidRPr="00720285">
        <w:rPr>
          <w:sz w:val="18"/>
          <w:szCs w:val="18"/>
        </w:rPr>
        <w:t xml:space="preserve"> accepted safe</w:t>
      </w:r>
      <w:r>
        <w:rPr>
          <w:sz w:val="18"/>
          <w:szCs w:val="18"/>
        </w:rPr>
        <w:t>ty for</w:t>
      </w:r>
      <w:r w:rsidRPr="00720285">
        <w:rPr>
          <w:sz w:val="18"/>
          <w:szCs w:val="18"/>
        </w:rPr>
        <w:t xml:space="preserve"> use of the drug or substance under medical supervision (21 U.S.C. § 812</w:t>
      </w:r>
      <w:r>
        <w:rPr>
          <w:sz w:val="18"/>
          <w:szCs w:val="18"/>
        </w:rPr>
        <w:t>)</w:t>
      </w:r>
      <w:r w:rsidRPr="00720285">
        <w:rPr>
          <w:sz w:val="18"/>
          <w:szCs w:val="18"/>
        </w:rPr>
        <w:t xml:space="preserve">.  </w:t>
      </w:r>
      <w:r w:rsidRPr="004A45F3">
        <w:rPr>
          <w:sz w:val="18"/>
          <w:szCs w:val="18"/>
        </w:rPr>
        <w:t xml:space="preserve">A Schedule II drug </w:t>
      </w:r>
      <w:r>
        <w:rPr>
          <w:sz w:val="18"/>
          <w:szCs w:val="18"/>
        </w:rPr>
        <w:t>or</w:t>
      </w:r>
      <w:r w:rsidRPr="004A45F3">
        <w:rPr>
          <w:sz w:val="18"/>
          <w:szCs w:val="18"/>
        </w:rPr>
        <w:t xml:space="preserve"> substance has a high potential for abuse, </w:t>
      </w:r>
      <w:r>
        <w:rPr>
          <w:sz w:val="18"/>
          <w:szCs w:val="18"/>
        </w:rPr>
        <w:t>has a currently accepted medical use in treatment in the United States or a currently accepted medical use with severe restrictions, and abuse of the drug or substance may lead</w:t>
      </w:r>
      <w:r w:rsidRPr="004A45F3">
        <w:rPr>
          <w:sz w:val="18"/>
          <w:szCs w:val="18"/>
        </w:rPr>
        <w:t xml:space="preserve"> to severe psychological or physical dependence</w:t>
      </w:r>
      <w:r w:rsidRPr="00D72571">
        <w:rPr>
          <w:sz w:val="18"/>
          <w:szCs w:val="18"/>
        </w:rPr>
        <w:t xml:space="preserve">. </w:t>
      </w:r>
      <w:r>
        <w:rPr>
          <w:sz w:val="18"/>
          <w:szCs w:val="18"/>
        </w:rPr>
        <w:t xml:space="preserve"> </w:t>
      </w:r>
      <w:r w:rsidRPr="00720285">
        <w:rPr>
          <w:sz w:val="18"/>
          <w:szCs w:val="18"/>
        </w:rPr>
        <w:t xml:space="preserve">Schedule II through V substances have accepted safe uses under medical </w:t>
      </w:r>
      <w:r>
        <w:rPr>
          <w:sz w:val="18"/>
          <w:szCs w:val="18"/>
        </w:rPr>
        <w:t>supervision,</w:t>
      </w:r>
      <w:r w:rsidRPr="00720285">
        <w:rPr>
          <w:sz w:val="18"/>
          <w:szCs w:val="18"/>
        </w:rPr>
        <w:t xml:space="preserve"> pursuant to a valid prescription</w:t>
      </w:r>
    </w:p>
    <w:p w14:paraId="7340D731" w14:textId="77777777" w:rsidR="0088161E" w:rsidRPr="00F646D5" w:rsidRDefault="0088161E" w:rsidP="00595B86">
      <w:pPr>
        <w:pStyle w:val="FootnoteText"/>
        <w:ind w:left="360" w:hanging="360"/>
        <w:rPr>
          <w:sz w:val="18"/>
          <w:szCs w:val="18"/>
        </w:rPr>
      </w:pPr>
    </w:p>
  </w:footnote>
  <w:footnote w:id="3">
    <w:p w14:paraId="38B354CB" w14:textId="621CDA6F" w:rsidR="0088161E" w:rsidRPr="00F646D5" w:rsidRDefault="0088161E" w:rsidP="00596B59">
      <w:pPr>
        <w:pStyle w:val="FootnoteText"/>
        <w:ind w:left="720" w:hanging="720"/>
        <w:rPr>
          <w:rFonts w:cs="Arial"/>
          <w:sz w:val="18"/>
          <w:szCs w:val="18"/>
        </w:rPr>
      </w:pPr>
      <w:r w:rsidRPr="00F646D5">
        <w:rPr>
          <w:rStyle w:val="FootnoteReference"/>
          <w:sz w:val="18"/>
          <w:szCs w:val="18"/>
        </w:rPr>
        <w:footnoteRef/>
      </w:r>
      <w:r w:rsidRPr="00F646D5">
        <w:rPr>
          <w:sz w:val="18"/>
          <w:szCs w:val="18"/>
        </w:rPr>
        <w:t xml:space="preserve"> </w:t>
      </w:r>
      <w:r w:rsidRPr="00F646D5">
        <w:rPr>
          <w:sz w:val="18"/>
          <w:szCs w:val="18"/>
        </w:rPr>
        <w:tab/>
        <w:t xml:space="preserve">The </w:t>
      </w:r>
      <w:r>
        <w:rPr>
          <w:sz w:val="18"/>
          <w:szCs w:val="18"/>
        </w:rPr>
        <w:t>“</w:t>
      </w:r>
      <w:r w:rsidRPr="00F646D5">
        <w:rPr>
          <w:rFonts w:cs="Arial"/>
          <w:sz w:val="18"/>
          <w:szCs w:val="18"/>
        </w:rPr>
        <w:t>window of detection</w:t>
      </w:r>
      <w:r>
        <w:rPr>
          <w:rFonts w:cs="Arial"/>
          <w:sz w:val="18"/>
          <w:szCs w:val="18"/>
        </w:rPr>
        <w:t>”</w:t>
      </w:r>
      <w:r w:rsidRPr="00F646D5">
        <w:rPr>
          <w:rFonts w:cs="Arial"/>
          <w:sz w:val="18"/>
          <w:szCs w:val="18"/>
        </w:rPr>
        <w:t xml:space="preserve"> refers to the time period after use </w:t>
      </w:r>
      <w:r>
        <w:rPr>
          <w:rFonts w:cs="Arial"/>
          <w:sz w:val="18"/>
          <w:szCs w:val="18"/>
        </w:rPr>
        <w:t>during</w:t>
      </w:r>
      <w:r w:rsidRPr="00F646D5">
        <w:rPr>
          <w:rFonts w:cs="Arial"/>
          <w:sz w:val="18"/>
          <w:szCs w:val="18"/>
        </w:rPr>
        <w:t xml:space="preserve"> which the established detection technologies</w:t>
      </w:r>
      <w:r>
        <w:rPr>
          <w:rFonts w:cs="Arial"/>
          <w:sz w:val="18"/>
          <w:szCs w:val="18"/>
        </w:rPr>
        <w:t>,</w:t>
      </w:r>
      <w:r w:rsidRPr="00F646D5">
        <w:rPr>
          <w:rFonts w:cs="Arial"/>
          <w:sz w:val="18"/>
          <w:szCs w:val="18"/>
        </w:rPr>
        <w:t xml:space="preserve"> methodologies</w:t>
      </w:r>
      <w:r>
        <w:rPr>
          <w:rFonts w:cs="Arial"/>
          <w:sz w:val="18"/>
          <w:szCs w:val="18"/>
        </w:rPr>
        <w:t>,</w:t>
      </w:r>
      <w:r w:rsidRPr="00F646D5">
        <w:rPr>
          <w:rFonts w:cs="Arial"/>
          <w:sz w:val="18"/>
          <w:szCs w:val="18"/>
        </w:rPr>
        <w:t xml:space="preserve"> and cutoff</w:t>
      </w:r>
      <w:r>
        <w:rPr>
          <w:rFonts w:cs="Arial"/>
          <w:sz w:val="18"/>
          <w:szCs w:val="18"/>
        </w:rPr>
        <w:t xml:space="preserve"> level</w:t>
      </w:r>
      <w:r w:rsidRPr="00F646D5">
        <w:rPr>
          <w:rFonts w:cs="Arial"/>
          <w:sz w:val="18"/>
          <w:szCs w:val="18"/>
        </w:rPr>
        <w:t>s can identify and quantify a target drug metabolite.</w:t>
      </w:r>
    </w:p>
  </w:footnote>
  <w:footnote w:id="4">
    <w:p w14:paraId="184C724E" w14:textId="78EA5E7E" w:rsidR="0088161E" w:rsidRPr="00720285" w:rsidRDefault="0088161E" w:rsidP="00D72910">
      <w:pPr>
        <w:pStyle w:val="FootnoteText"/>
        <w:ind w:left="720" w:hanging="720"/>
        <w:rPr>
          <w:sz w:val="18"/>
          <w:szCs w:val="18"/>
        </w:rPr>
      </w:pPr>
      <w:r w:rsidRPr="0063618E">
        <w:rPr>
          <w:rStyle w:val="FootnoteReference"/>
        </w:rPr>
        <w:footnoteRef/>
      </w:r>
      <w:r w:rsidRPr="0063618E">
        <w:rPr>
          <w:sz w:val="18"/>
          <w:szCs w:val="18"/>
        </w:rPr>
        <w:t xml:space="preserve"> </w:t>
      </w:r>
      <w:r w:rsidRPr="0063618E">
        <w:rPr>
          <w:sz w:val="18"/>
          <w:szCs w:val="18"/>
        </w:rPr>
        <w:tab/>
      </w:r>
      <w:r w:rsidRPr="00720285">
        <w:rPr>
          <w:sz w:val="18"/>
          <w:szCs w:val="18"/>
        </w:rPr>
        <w:t>The regulations in 10 CFR 26.5</w:t>
      </w:r>
      <w:r>
        <w:rPr>
          <w:sz w:val="18"/>
          <w:szCs w:val="18"/>
        </w:rPr>
        <w:t>,</w:t>
      </w:r>
      <w:r w:rsidRPr="00720285">
        <w:rPr>
          <w:sz w:val="18"/>
          <w:szCs w:val="18"/>
        </w:rPr>
        <w:t xml:space="preserve"> </w:t>
      </w:r>
      <w:r>
        <w:rPr>
          <w:sz w:val="18"/>
          <w:szCs w:val="18"/>
        </w:rPr>
        <w:t>“</w:t>
      </w:r>
      <w:r w:rsidRPr="00720285">
        <w:rPr>
          <w:sz w:val="18"/>
          <w:szCs w:val="18"/>
        </w:rPr>
        <w:t>Definitions</w:t>
      </w:r>
      <w:r>
        <w:rPr>
          <w:sz w:val="18"/>
          <w:szCs w:val="18"/>
        </w:rPr>
        <w:t>,”</w:t>
      </w:r>
      <w:r w:rsidRPr="00720285">
        <w:rPr>
          <w:sz w:val="18"/>
          <w:szCs w:val="18"/>
        </w:rPr>
        <w:t xml:space="preserve"> define the use of any Schedule I to V drug when not used pursuant to a valid prescription as an </w:t>
      </w:r>
      <w:r>
        <w:rPr>
          <w:sz w:val="18"/>
          <w:szCs w:val="18"/>
        </w:rPr>
        <w:t>“</w:t>
      </w:r>
      <w:r w:rsidRPr="00720285">
        <w:rPr>
          <w:sz w:val="18"/>
          <w:szCs w:val="18"/>
        </w:rPr>
        <w:t>illegal drug.</w:t>
      </w:r>
      <w:r>
        <w:rPr>
          <w:sz w:val="18"/>
          <w:szCs w:val="18"/>
        </w:rPr>
        <w:t xml:space="preserve">” </w:t>
      </w:r>
      <w:r w:rsidRPr="00D72910">
        <w:rPr>
          <w:sz w:val="18"/>
          <w:szCs w:val="18"/>
        </w:rPr>
        <w:t xml:space="preserve"> </w:t>
      </w:r>
      <w:r w:rsidRPr="00720285">
        <w:rPr>
          <w:sz w:val="18"/>
          <w:szCs w:val="18"/>
        </w:rPr>
        <w:t>To improve the clarity of the discussion of the rule changes</w:t>
      </w:r>
      <w:r>
        <w:rPr>
          <w:sz w:val="18"/>
          <w:szCs w:val="18"/>
        </w:rPr>
        <w:t>,</w:t>
      </w:r>
      <w:r w:rsidRPr="00720285">
        <w:rPr>
          <w:sz w:val="18"/>
          <w:szCs w:val="18"/>
        </w:rPr>
        <w:t xml:space="preserve"> use of a Schedule I drug is referred to as </w:t>
      </w:r>
      <w:r>
        <w:rPr>
          <w:sz w:val="18"/>
          <w:szCs w:val="18"/>
        </w:rPr>
        <w:t>“</w:t>
      </w:r>
      <w:r w:rsidRPr="00720285">
        <w:rPr>
          <w:sz w:val="18"/>
          <w:szCs w:val="18"/>
        </w:rPr>
        <w:t>use of an illegal drug</w:t>
      </w:r>
      <w:r>
        <w:rPr>
          <w:sz w:val="18"/>
          <w:szCs w:val="18"/>
        </w:rPr>
        <w:t>,”</w:t>
      </w:r>
      <w:r w:rsidRPr="00720285">
        <w:rPr>
          <w:sz w:val="18"/>
          <w:szCs w:val="18"/>
        </w:rPr>
        <w:t xml:space="preserve"> while use of a Schedule II through V drug without a valid prescription is referred to as </w:t>
      </w:r>
      <w:r>
        <w:rPr>
          <w:sz w:val="18"/>
          <w:szCs w:val="18"/>
        </w:rPr>
        <w:t>“</w:t>
      </w:r>
      <w:r w:rsidRPr="00720285">
        <w:rPr>
          <w:sz w:val="18"/>
          <w:szCs w:val="18"/>
        </w:rPr>
        <w:t>misuse of a legal drug.</w:t>
      </w:r>
      <w:r>
        <w:rPr>
          <w:sz w:val="18"/>
          <w:szCs w:val="18"/>
        </w:rPr>
        <w:t>”</w:t>
      </w:r>
    </w:p>
  </w:footnote>
  <w:footnote w:id="5">
    <w:p w14:paraId="770F859C" w14:textId="0D8E29B3" w:rsidR="0088161E" w:rsidRPr="00844223" w:rsidRDefault="0088161E" w:rsidP="009A3684">
      <w:pPr>
        <w:pStyle w:val="FootnoteText"/>
        <w:ind w:left="720" w:hanging="720"/>
        <w:rPr>
          <w:sz w:val="18"/>
          <w:szCs w:val="18"/>
        </w:rPr>
      </w:pPr>
      <w:r>
        <w:rPr>
          <w:rStyle w:val="FootnoteReference"/>
        </w:rPr>
        <w:footnoteRef/>
      </w:r>
      <w:r>
        <w:t xml:space="preserve"> </w:t>
      </w:r>
      <w:r>
        <w:tab/>
      </w:r>
      <w:r w:rsidRPr="00844223">
        <w:rPr>
          <w:sz w:val="18"/>
          <w:szCs w:val="18"/>
        </w:rPr>
        <w:t>The n</w:t>
      </w:r>
      <w:r>
        <w:rPr>
          <w:sz w:val="18"/>
          <w:szCs w:val="18"/>
        </w:rPr>
        <w:t>umber of Federal agencies us</w:t>
      </w:r>
      <w:r w:rsidRPr="00844223">
        <w:rPr>
          <w:sz w:val="18"/>
          <w:szCs w:val="18"/>
        </w:rPr>
        <w:t xml:space="preserve">ing the </w:t>
      </w:r>
      <w:r>
        <w:rPr>
          <w:sz w:val="18"/>
          <w:szCs w:val="18"/>
        </w:rPr>
        <w:t xml:space="preserve">2017 </w:t>
      </w:r>
      <w:r w:rsidRPr="00844223">
        <w:rPr>
          <w:sz w:val="18"/>
          <w:szCs w:val="18"/>
        </w:rPr>
        <w:t xml:space="preserve">HHS Guidelines </w:t>
      </w:r>
      <w:r>
        <w:rPr>
          <w:sz w:val="18"/>
          <w:szCs w:val="18"/>
        </w:rPr>
        <w:t>appears</w:t>
      </w:r>
      <w:r w:rsidRPr="00844223">
        <w:rPr>
          <w:sz w:val="18"/>
          <w:szCs w:val="18"/>
        </w:rPr>
        <w:t xml:space="preserve"> in the Office of Management and Budget (OMB) information collection</w:t>
      </w:r>
      <w:r>
        <w:rPr>
          <w:sz w:val="18"/>
          <w:szCs w:val="18"/>
        </w:rPr>
        <w:t>’s</w:t>
      </w:r>
      <w:r w:rsidRPr="00844223">
        <w:rPr>
          <w:sz w:val="18"/>
          <w:szCs w:val="18"/>
        </w:rPr>
        <w:t xml:space="preserve"> </w:t>
      </w:r>
      <w:r>
        <w:rPr>
          <w:sz w:val="18"/>
          <w:szCs w:val="18"/>
        </w:rPr>
        <w:t>s</w:t>
      </w:r>
      <w:r w:rsidRPr="00844223">
        <w:rPr>
          <w:sz w:val="18"/>
          <w:szCs w:val="18"/>
        </w:rPr>
        <w:t xml:space="preserve">upporting </w:t>
      </w:r>
      <w:r>
        <w:rPr>
          <w:sz w:val="18"/>
          <w:szCs w:val="18"/>
        </w:rPr>
        <w:t>s</w:t>
      </w:r>
      <w:r w:rsidRPr="00844223">
        <w:rPr>
          <w:sz w:val="18"/>
          <w:szCs w:val="18"/>
        </w:rPr>
        <w:t>tatement (OMB No.</w:t>
      </w:r>
      <w:r>
        <w:rPr>
          <w:sz w:val="18"/>
          <w:szCs w:val="18"/>
        </w:rPr>
        <w:t> </w:t>
      </w:r>
      <w:r w:rsidRPr="00844223">
        <w:rPr>
          <w:sz w:val="18"/>
          <w:szCs w:val="18"/>
        </w:rPr>
        <w:t xml:space="preserve">0930-0158) filed by </w:t>
      </w:r>
      <w:r>
        <w:rPr>
          <w:sz w:val="18"/>
          <w:szCs w:val="18"/>
        </w:rPr>
        <w:t>the Substance Abuse and Mental Health Services Administration</w:t>
      </w:r>
      <w:r w:rsidRPr="00844223">
        <w:rPr>
          <w:sz w:val="18"/>
          <w:szCs w:val="18"/>
        </w:rPr>
        <w:t xml:space="preserve"> for the </w:t>
      </w:r>
      <w:r>
        <w:rPr>
          <w:sz w:val="18"/>
          <w:szCs w:val="18"/>
        </w:rPr>
        <w:t>“</w:t>
      </w:r>
      <w:r w:rsidRPr="00844223">
        <w:rPr>
          <w:sz w:val="18"/>
          <w:szCs w:val="18"/>
        </w:rPr>
        <w:t>Mandatory Guidelines for Federal Workplace Drug Testing Programs</w:t>
      </w:r>
      <w:r>
        <w:rPr>
          <w:sz w:val="18"/>
          <w:szCs w:val="18"/>
        </w:rPr>
        <w:t>”</w:t>
      </w:r>
      <w:r w:rsidRPr="00FB31B5">
        <w:rPr>
          <w:sz w:val="18"/>
          <w:szCs w:val="18"/>
        </w:rPr>
        <w:t xml:space="preserve"> </w:t>
      </w:r>
      <w:r w:rsidRPr="000E63FB">
        <w:rPr>
          <w:sz w:val="18"/>
          <w:szCs w:val="18"/>
        </w:rPr>
        <w:t>on April 28</w:t>
      </w:r>
      <w:r>
        <w:rPr>
          <w:sz w:val="18"/>
          <w:szCs w:val="18"/>
        </w:rPr>
        <w:t>,</w:t>
      </w:r>
      <w:r w:rsidRPr="000E63FB">
        <w:rPr>
          <w:sz w:val="18"/>
          <w:szCs w:val="18"/>
        </w:rPr>
        <w:t xml:space="preserve"> 2017.  The supporting statement is available at the OMB Web site </w:t>
      </w:r>
      <w:hyperlink r:id="rId1" w:history="1">
        <w:r w:rsidRPr="000E63FB">
          <w:rPr>
            <w:rStyle w:val="Hyperlink"/>
            <w:sz w:val="18"/>
            <w:szCs w:val="18"/>
          </w:rPr>
          <w:t>https://www.reginfo.gov/public/do/PRAViewDocument?ref_nbr=201704-0930-001</w:t>
        </w:r>
      </w:hyperlink>
      <w:r>
        <w:rPr>
          <w:sz w:val="18"/>
          <w:szCs w:val="18"/>
        </w:rPr>
        <w:t>.</w:t>
      </w:r>
    </w:p>
  </w:footnote>
  <w:footnote w:id="6">
    <w:p w14:paraId="6772D1BD" w14:textId="14F812BD" w:rsidR="0088161E" w:rsidRPr="001A08C3" w:rsidRDefault="0088161E" w:rsidP="009A3684">
      <w:pPr>
        <w:pStyle w:val="FootnoteText"/>
        <w:ind w:left="720" w:hanging="720"/>
        <w:rPr>
          <w:sz w:val="18"/>
          <w:szCs w:val="18"/>
        </w:rPr>
      </w:pPr>
      <w:r w:rsidRPr="001A08C3">
        <w:rPr>
          <w:rStyle w:val="FootnoteReference"/>
          <w:sz w:val="18"/>
          <w:szCs w:val="18"/>
        </w:rPr>
        <w:footnoteRef/>
      </w:r>
      <w:r w:rsidRPr="001A08C3">
        <w:rPr>
          <w:sz w:val="18"/>
          <w:szCs w:val="18"/>
        </w:rPr>
        <w:t xml:space="preserve"> </w:t>
      </w:r>
      <w:r>
        <w:rPr>
          <w:sz w:val="18"/>
          <w:szCs w:val="18"/>
        </w:rPr>
        <w:tab/>
      </w:r>
      <w:r w:rsidRPr="001A08C3">
        <w:rPr>
          <w:sz w:val="18"/>
          <w:szCs w:val="18"/>
        </w:rPr>
        <w:t>NRC implementation costs to prepare and publish the final rule and associated guidance are sunk costs</w:t>
      </w:r>
      <w:r>
        <w:rPr>
          <w:sz w:val="18"/>
          <w:szCs w:val="18"/>
        </w:rPr>
        <w:t>,</w:t>
      </w:r>
      <w:r w:rsidRPr="001A08C3">
        <w:rPr>
          <w:sz w:val="18"/>
          <w:szCs w:val="18"/>
        </w:rPr>
        <w:t xml:space="preserve"> and therefore </w:t>
      </w:r>
      <w:r>
        <w:rPr>
          <w:sz w:val="18"/>
          <w:szCs w:val="18"/>
        </w:rPr>
        <w:t xml:space="preserve">the analysis does </w:t>
      </w:r>
      <w:r w:rsidRPr="001A08C3">
        <w:rPr>
          <w:sz w:val="18"/>
          <w:szCs w:val="18"/>
        </w:rPr>
        <w:t>not include</w:t>
      </w:r>
      <w:r>
        <w:rPr>
          <w:sz w:val="18"/>
          <w:szCs w:val="18"/>
        </w:rPr>
        <w:t xml:space="preserve"> them</w:t>
      </w:r>
      <w:r w:rsidRPr="001A08C3">
        <w:rPr>
          <w:sz w:val="18"/>
          <w:szCs w:val="18"/>
        </w:rPr>
        <w:t>.</w:t>
      </w:r>
    </w:p>
  </w:footnote>
  <w:footnote w:id="7">
    <w:p w14:paraId="2666A11B" w14:textId="4D1ACDC2" w:rsidR="0088161E" w:rsidRPr="00912EB6" w:rsidRDefault="0088161E" w:rsidP="009A3684">
      <w:pPr>
        <w:pStyle w:val="FootnoteText"/>
        <w:ind w:left="720" w:hanging="720"/>
        <w:rPr>
          <w:sz w:val="18"/>
          <w:szCs w:val="18"/>
        </w:rPr>
      </w:pPr>
      <w:r w:rsidRPr="00912EB6">
        <w:rPr>
          <w:rStyle w:val="FootnoteReference"/>
          <w:sz w:val="18"/>
          <w:szCs w:val="18"/>
        </w:rPr>
        <w:footnoteRef/>
      </w:r>
      <w:r w:rsidRPr="00912EB6">
        <w:rPr>
          <w:sz w:val="18"/>
          <w:szCs w:val="18"/>
        </w:rPr>
        <w:t xml:space="preserve"> </w:t>
      </w:r>
      <w:r w:rsidRPr="00912EB6">
        <w:rPr>
          <w:sz w:val="18"/>
          <w:szCs w:val="18"/>
        </w:rPr>
        <w:tab/>
        <w:t xml:space="preserve">The entities subject to 10 CFR Part 26 requirements include (1) licensees authorized to possess, use, or transport formula quantities of </w:t>
      </w:r>
      <w:r w:rsidRPr="00912EB6">
        <w:rPr>
          <w:rFonts w:cs="Arial"/>
          <w:sz w:val="18"/>
          <w:szCs w:val="18"/>
        </w:rPr>
        <w:t>strategic special nuclear material (</w:t>
      </w:r>
      <w:r w:rsidRPr="00912EB6">
        <w:rPr>
          <w:sz w:val="18"/>
          <w:szCs w:val="18"/>
        </w:rPr>
        <w:t xml:space="preserve">SSNM) (e.g., Category I </w:t>
      </w:r>
      <w:r w:rsidR="004E7165">
        <w:rPr>
          <w:sz w:val="18"/>
          <w:szCs w:val="18"/>
        </w:rPr>
        <w:t>special nuclear material licensees</w:t>
      </w:r>
      <w:r w:rsidRPr="00912EB6">
        <w:rPr>
          <w:sz w:val="18"/>
          <w:szCs w:val="18"/>
        </w:rPr>
        <w:t xml:space="preserve">), (2) holders of, and certain applicants for, a combined license </w:t>
      </w:r>
      <w:r>
        <w:rPr>
          <w:sz w:val="18"/>
          <w:szCs w:val="18"/>
        </w:rPr>
        <w:t xml:space="preserve">(COL) </w:t>
      </w:r>
      <w:r w:rsidRPr="00912EB6">
        <w:rPr>
          <w:sz w:val="18"/>
          <w:szCs w:val="18"/>
        </w:rPr>
        <w:t xml:space="preserve">for a nuclear power plant under the provisions of 10 CFR Part 52, “Licenses, </w:t>
      </w:r>
      <w:r>
        <w:rPr>
          <w:sz w:val="18"/>
          <w:szCs w:val="18"/>
        </w:rPr>
        <w:t>c</w:t>
      </w:r>
      <w:r w:rsidRPr="00912EB6">
        <w:rPr>
          <w:sz w:val="18"/>
          <w:szCs w:val="18"/>
        </w:rPr>
        <w:t xml:space="preserve">ertifications, and </w:t>
      </w:r>
      <w:r>
        <w:rPr>
          <w:sz w:val="18"/>
          <w:szCs w:val="18"/>
        </w:rPr>
        <w:t>a</w:t>
      </w:r>
      <w:r w:rsidRPr="00912EB6">
        <w:rPr>
          <w:sz w:val="18"/>
          <w:szCs w:val="18"/>
        </w:rPr>
        <w:t xml:space="preserve">pprovals for </w:t>
      </w:r>
      <w:r>
        <w:rPr>
          <w:sz w:val="18"/>
          <w:szCs w:val="18"/>
        </w:rPr>
        <w:t>n</w:t>
      </w:r>
      <w:r w:rsidRPr="00912EB6">
        <w:rPr>
          <w:sz w:val="18"/>
          <w:szCs w:val="18"/>
        </w:rPr>
        <w:t xml:space="preserve">uclear </w:t>
      </w:r>
      <w:r>
        <w:rPr>
          <w:sz w:val="18"/>
          <w:szCs w:val="18"/>
        </w:rPr>
        <w:t>p</w:t>
      </w:r>
      <w:r w:rsidRPr="00912EB6">
        <w:rPr>
          <w:sz w:val="18"/>
          <w:szCs w:val="18"/>
        </w:rPr>
        <w:t xml:space="preserve">ower </w:t>
      </w:r>
      <w:r>
        <w:rPr>
          <w:sz w:val="18"/>
          <w:szCs w:val="18"/>
        </w:rPr>
        <w:t>p</w:t>
      </w:r>
      <w:r w:rsidRPr="00912EB6">
        <w:rPr>
          <w:sz w:val="18"/>
          <w:szCs w:val="18"/>
        </w:rPr>
        <w:t xml:space="preserve">lants,” (3) holders of, and certain applicants for, nuclear power plant construction permits and operating licenses under the provisions of 10 CFR Part 50, “Domestic </w:t>
      </w:r>
      <w:r>
        <w:rPr>
          <w:sz w:val="18"/>
          <w:szCs w:val="18"/>
        </w:rPr>
        <w:t>l</w:t>
      </w:r>
      <w:r w:rsidRPr="00912EB6">
        <w:rPr>
          <w:sz w:val="18"/>
          <w:szCs w:val="18"/>
        </w:rPr>
        <w:t xml:space="preserve">icensing of </w:t>
      </w:r>
      <w:r>
        <w:rPr>
          <w:sz w:val="18"/>
          <w:szCs w:val="18"/>
        </w:rPr>
        <w:t>p</w:t>
      </w:r>
      <w:r w:rsidRPr="00912EB6">
        <w:rPr>
          <w:sz w:val="18"/>
          <w:szCs w:val="18"/>
        </w:rPr>
        <w:t xml:space="preserve">roduction and </w:t>
      </w:r>
      <w:r>
        <w:rPr>
          <w:sz w:val="18"/>
          <w:szCs w:val="18"/>
        </w:rPr>
        <w:t>u</w:t>
      </w:r>
      <w:r w:rsidRPr="00912EB6">
        <w:rPr>
          <w:sz w:val="18"/>
          <w:szCs w:val="18"/>
        </w:rPr>
        <w:t xml:space="preserve">tilization </w:t>
      </w:r>
      <w:r>
        <w:rPr>
          <w:sz w:val="18"/>
          <w:szCs w:val="18"/>
        </w:rPr>
        <w:t>f</w:t>
      </w:r>
      <w:r w:rsidRPr="00912EB6">
        <w:rPr>
          <w:sz w:val="18"/>
          <w:szCs w:val="18"/>
        </w:rPr>
        <w:t>acilities,” and (4) contractor</w:t>
      </w:r>
      <w:r>
        <w:rPr>
          <w:sz w:val="18"/>
          <w:szCs w:val="18"/>
        </w:rPr>
        <w:t>s</w:t>
      </w:r>
      <w:r w:rsidRPr="00912EB6">
        <w:rPr>
          <w:sz w:val="18"/>
          <w:szCs w:val="18"/>
        </w:rPr>
        <w:t>/vendors (C/Vs) that implement FFD programs or program elements to the extent that the licensees rely on C/V FFD programs or program elements.</w:t>
      </w:r>
    </w:p>
    <w:p w14:paraId="4A3F4C05" w14:textId="77777777" w:rsidR="0088161E" w:rsidRPr="00912EB6" w:rsidRDefault="0088161E" w:rsidP="00D520BD">
      <w:pPr>
        <w:pStyle w:val="FootnoteText"/>
        <w:rPr>
          <w:sz w:val="18"/>
          <w:szCs w:val="18"/>
        </w:rPr>
      </w:pPr>
    </w:p>
  </w:footnote>
  <w:footnote w:id="8">
    <w:p w14:paraId="79543308" w14:textId="29D6EE58" w:rsidR="0088161E" w:rsidRDefault="0088161E" w:rsidP="00D40A31">
      <w:pPr>
        <w:pStyle w:val="FootnoteText"/>
        <w:ind w:left="720" w:hanging="720"/>
        <w:rPr>
          <w:sz w:val="18"/>
          <w:szCs w:val="18"/>
        </w:rPr>
      </w:pPr>
      <w:r>
        <w:rPr>
          <w:rStyle w:val="FootnoteReference"/>
        </w:rPr>
        <w:footnoteRef/>
      </w:r>
      <w:r>
        <w:t xml:space="preserve"> </w:t>
      </w:r>
      <w:r>
        <w:tab/>
      </w:r>
      <w:r w:rsidRPr="000E63FB">
        <w:rPr>
          <w:sz w:val="18"/>
          <w:szCs w:val="18"/>
        </w:rPr>
        <w:t xml:space="preserve">The number of Federal agencies using the 2017 HHS Guidelines appears in the Office of Management and Budget (OMB) information collection’s supporting statement (OMB No. 0930-0158) filed by the Substance Abuse and Mental Health Services Administration for the </w:t>
      </w:r>
      <w:r>
        <w:rPr>
          <w:sz w:val="18"/>
          <w:szCs w:val="18"/>
        </w:rPr>
        <w:t>“</w:t>
      </w:r>
      <w:r w:rsidRPr="000E63FB">
        <w:rPr>
          <w:sz w:val="18"/>
          <w:szCs w:val="18"/>
        </w:rPr>
        <w:t>Mandatory Guidelines for Federal Workplace Drug Testing Programs</w:t>
      </w:r>
      <w:r>
        <w:rPr>
          <w:sz w:val="18"/>
          <w:szCs w:val="18"/>
        </w:rPr>
        <w:t>”</w:t>
      </w:r>
      <w:r w:rsidRPr="000E63FB">
        <w:rPr>
          <w:sz w:val="18"/>
          <w:szCs w:val="18"/>
        </w:rPr>
        <w:t xml:space="preserve"> on April 28</w:t>
      </w:r>
      <w:r>
        <w:rPr>
          <w:sz w:val="18"/>
          <w:szCs w:val="18"/>
        </w:rPr>
        <w:t>,</w:t>
      </w:r>
      <w:r w:rsidRPr="000E63FB">
        <w:rPr>
          <w:sz w:val="18"/>
          <w:szCs w:val="18"/>
        </w:rPr>
        <w:t xml:space="preserve"> 2017.  The supporting statement is available at the OMB Web site </w:t>
      </w:r>
      <w:hyperlink r:id="rId2" w:history="1">
        <w:r w:rsidRPr="000E63FB">
          <w:rPr>
            <w:rStyle w:val="Hyperlink"/>
            <w:sz w:val="18"/>
            <w:szCs w:val="18"/>
          </w:rPr>
          <w:t>https://www.reginfo.gov/public/do/PRAViewDocument?ref_nbr=201704-0930-001</w:t>
        </w:r>
      </w:hyperlink>
      <w:r>
        <w:rPr>
          <w:sz w:val="18"/>
          <w:szCs w:val="18"/>
        </w:rPr>
        <w:t>.</w:t>
      </w:r>
    </w:p>
    <w:p w14:paraId="730C77B2" w14:textId="77777777" w:rsidR="0088161E" w:rsidRPr="000E63FB" w:rsidRDefault="0088161E" w:rsidP="00EE6AF1">
      <w:pPr>
        <w:pStyle w:val="FootnoteText"/>
        <w:ind w:left="360" w:hanging="360"/>
        <w:rPr>
          <w:sz w:val="18"/>
          <w:szCs w:val="18"/>
        </w:rPr>
      </w:pPr>
    </w:p>
  </w:footnote>
  <w:footnote w:id="9">
    <w:p w14:paraId="01473BB0" w14:textId="5B2EAF6E" w:rsidR="0088161E" w:rsidRDefault="0088161E" w:rsidP="00D40A31">
      <w:pPr>
        <w:pStyle w:val="FootnoteText"/>
        <w:ind w:left="720" w:hanging="720"/>
      </w:pPr>
      <w:r w:rsidRPr="00F948BE">
        <w:rPr>
          <w:rStyle w:val="FootnoteReference"/>
          <w:sz w:val="18"/>
          <w:szCs w:val="18"/>
        </w:rPr>
        <w:footnoteRef/>
      </w:r>
      <w:r w:rsidRPr="00BC1695">
        <w:rPr>
          <w:sz w:val="18"/>
          <w:szCs w:val="18"/>
        </w:rPr>
        <w:tab/>
      </w:r>
      <w:r>
        <w:rPr>
          <w:sz w:val="18"/>
          <w:szCs w:val="18"/>
        </w:rPr>
        <w:t>Under 10 CFR 26.69(b), a</w:t>
      </w:r>
      <w:r w:rsidRPr="00BC1695">
        <w:rPr>
          <w:sz w:val="18"/>
          <w:szCs w:val="18"/>
        </w:rPr>
        <w:t xml:space="preserve"> licensee or other entity may (but is not required to) restore </w:t>
      </w:r>
      <w:r w:rsidRPr="00FF30D0">
        <w:rPr>
          <w:sz w:val="18"/>
          <w:szCs w:val="18"/>
        </w:rPr>
        <w:t>FFD authorization</w:t>
      </w:r>
      <w:r w:rsidRPr="00BC1695">
        <w:rPr>
          <w:sz w:val="18"/>
          <w:szCs w:val="18"/>
        </w:rPr>
        <w:t xml:space="preserve"> to an individual </w:t>
      </w:r>
      <w:r>
        <w:rPr>
          <w:sz w:val="18"/>
          <w:szCs w:val="18"/>
        </w:rPr>
        <w:t>who tests positive on a drug or alcohol test, or both, after</w:t>
      </w:r>
      <w:r w:rsidRPr="00BC1695">
        <w:rPr>
          <w:sz w:val="18"/>
          <w:szCs w:val="18"/>
        </w:rPr>
        <w:t xml:space="preserve"> completion of the </w:t>
      </w:r>
      <w:r>
        <w:rPr>
          <w:sz w:val="18"/>
          <w:szCs w:val="18"/>
        </w:rPr>
        <w:t>sanction under 10 CFR </w:t>
      </w:r>
      <w:r w:rsidRPr="00BC1695">
        <w:rPr>
          <w:sz w:val="18"/>
          <w:szCs w:val="18"/>
        </w:rPr>
        <w:t>26.75</w:t>
      </w:r>
      <w:r>
        <w:rPr>
          <w:sz w:val="18"/>
          <w:szCs w:val="18"/>
        </w:rPr>
        <w:t>,</w:t>
      </w:r>
      <w:r w:rsidRPr="00BC1695">
        <w:rPr>
          <w:sz w:val="18"/>
          <w:szCs w:val="18"/>
        </w:rPr>
        <w:t xml:space="preserve"> </w:t>
      </w:r>
      <w:r>
        <w:rPr>
          <w:sz w:val="18"/>
          <w:szCs w:val="18"/>
        </w:rPr>
        <w:t>“S</w:t>
      </w:r>
      <w:r w:rsidRPr="00BC1695">
        <w:rPr>
          <w:sz w:val="18"/>
          <w:szCs w:val="18"/>
        </w:rPr>
        <w:t>anction</w:t>
      </w:r>
      <w:r>
        <w:rPr>
          <w:sz w:val="18"/>
          <w:szCs w:val="18"/>
        </w:rPr>
        <w:t xml:space="preserve">s,” </w:t>
      </w:r>
      <w:r w:rsidRPr="00BC1695">
        <w:rPr>
          <w:sz w:val="18"/>
          <w:szCs w:val="18"/>
        </w:rPr>
        <w:t>satisfactory completion of any assigned treatment program (</w:t>
      </w:r>
      <w:r>
        <w:rPr>
          <w:sz w:val="18"/>
          <w:szCs w:val="18"/>
        </w:rPr>
        <w:t>10 CFR </w:t>
      </w:r>
      <w:r w:rsidRPr="00BC1695">
        <w:rPr>
          <w:sz w:val="18"/>
          <w:szCs w:val="18"/>
        </w:rPr>
        <w:t>26.189</w:t>
      </w:r>
      <w:r>
        <w:rPr>
          <w:sz w:val="18"/>
          <w:szCs w:val="18"/>
        </w:rPr>
        <w:t>, “Determination of fitness”</w:t>
      </w:r>
      <w:r w:rsidRPr="00BC1695">
        <w:rPr>
          <w:sz w:val="18"/>
          <w:szCs w:val="18"/>
        </w:rPr>
        <w:t>)</w:t>
      </w:r>
      <w:r>
        <w:rPr>
          <w:sz w:val="18"/>
          <w:szCs w:val="18"/>
        </w:rPr>
        <w:t>, and inclusion of the individual in a follow-up testing program (10 CFR 26.31(c)(5)).</w:t>
      </w:r>
    </w:p>
  </w:footnote>
  <w:footnote w:id="10">
    <w:p w14:paraId="45FC16F8" w14:textId="2B648154" w:rsidR="0088161E" w:rsidRDefault="0088161E">
      <w:pPr>
        <w:pStyle w:val="FootnoteText"/>
      </w:pPr>
      <w:r>
        <w:rPr>
          <w:rStyle w:val="FootnoteReference"/>
        </w:rPr>
        <w:footnoteRef/>
      </w:r>
      <w:r>
        <w:t xml:space="preserve"> The limit of quantification is </w:t>
      </w:r>
      <w:r w:rsidRPr="00450357">
        <w:t>the lowest concentration at which the identity and concentration of a drug can be established accurately</w:t>
      </w:r>
      <w:r>
        <w:t>.</w:t>
      </w:r>
    </w:p>
  </w:footnote>
  <w:footnote w:id="11">
    <w:p w14:paraId="5EF3ACD4" w14:textId="6D844C6E" w:rsidR="0088161E" w:rsidRPr="001A16CE" w:rsidRDefault="0088161E" w:rsidP="003760F5">
      <w:pPr>
        <w:pStyle w:val="FootnoteText"/>
        <w:ind w:left="720" w:hanging="720"/>
        <w:rPr>
          <w:sz w:val="18"/>
          <w:szCs w:val="18"/>
        </w:rPr>
      </w:pPr>
      <w:r w:rsidRPr="000D2304">
        <w:rPr>
          <w:rStyle w:val="FootnoteReference"/>
          <w:sz w:val="18"/>
          <w:szCs w:val="18"/>
        </w:rPr>
        <w:footnoteRef/>
      </w:r>
      <w:r w:rsidRPr="000D2304">
        <w:rPr>
          <w:sz w:val="18"/>
          <w:szCs w:val="18"/>
        </w:rPr>
        <w:t xml:space="preserve"> </w:t>
      </w:r>
      <w:r>
        <w:rPr>
          <w:sz w:val="18"/>
          <w:szCs w:val="18"/>
        </w:rPr>
        <w:tab/>
      </w:r>
      <w:r w:rsidRPr="00C55631">
        <w:rPr>
          <w:sz w:val="18"/>
          <w:szCs w:val="18"/>
        </w:rPr>
        <w:t>The NRC staff does not anticipate false positive results (i.e.</w:t>
      </w:r>
      <w:r>
        <w:rPr>
          <w:sz w:val="18"/>
          <w:szCs w:val="18"/>
        </w:rPr>
        <w:t>, </w:t>
      </w:r>
      <w:r w:rsidRPr="00C55631">
        <w:rPr>
          <w:sz w:val="18"/>
          <w:szCs w:val="18"/>
        </w:rPr>
        <w:t xml:space="preserve">errors in the laboratory testing process) </w:t>
      </w:r>
      <w:r>
        <w:rPr>
          <w:sz w:val="18"/>
          <w:szCs w:val="18"/>
        </w:rPr>
        <w:t>as a result of</w:t>
      </w:r>
      <w:r w:rsidRPr="00C55631">
        <w:rPr>
          <w:sz w:val="18"/>
          <w:szCs w:val="18"/>
        </w:rPr>
        <w:t xml:space="preserve"> the testing changes.  Historical FFD program performance data demonstrate the rigor of the laboratory testing process and </w:t>
      </w:r>
      <w:r>
        <w:rPr>
          <w:sz w:val="18"/>
          <w:szCs w:val="18"/>
        </w:rPr>
        <w:t xml:space="preserve">the </w:t>
      </w:r>
      <w:r w:rsidRPr="00C55631">
        <w:rPr>
          <w:sz w:val="18"/>
          <w:szCs w:val="18"/>
        </w:rPr>
        <w:t>rarity of such testing error</w:t>
      </w:r>
      <w:r>
        <w:rPr>
          <w:sz w:val="18"/>
          <w:szCs w:val="18"/>
        </w:rPr>
        <w:t>s</w:t>
      </w:r>
      <w:r w:rsidRPr="00C55631">
        <w:rPr>
          <w:sz w:val="18"/>
          <w:szCs w:val="18"/>
        </w:rPr>
        <w:t>.</w:t>
      </w:r>
    </w:p>
    <w:p w14:paraId="453A3784" w14:textId="77777777" w:rsidR="0088161E" w:rsidRPr="00C55631" w:rsidRDefault="0088161E" w:rsidP="00D520BD">
      <w:pPr>
        <w:pStyle w:val="FootnoteText"/>
        <w:ind w:left="360" w:hanging="360"/>
        <w:rPr>
          <w:sz w:val="18"/>
          <w:szCs w:val="18"/>
        </w:rPr>
      </w:pPr>
    </w:p>
  </w:footnote>
  <w:footnote w:id="12">
    <w:p w14:paraId="2B634BB1" w14:textId="1F8DE8BE" w:rsidR="0088161E" w:rsidRPr="00FF380E" w:rsidRDefault="0088161E" w:rsidP="003760F5">
      <w:pPr>
        <w:pStyle w:val="FootnoteText"/>
        <w:ind w:left="720" w:hanging="720"/>
        <w:rPr>
          <w:sz w:val="18"/>
          <w:szCs w:val="18"/>
        </w:rPr>
      </w:pPr>
      <w:r w:rsidRPr="00FF380E">
        <w:rPr>
          <w:rStyle w:val="FootnoteReference"/>
          <w:sz w:val="18"/>
          <w:szCs w:val="18"/>
        </w:rPr>
        <w:footnoteRef/>
      </w:r>
      <w:r w:rsidRPr="00FF380E">
        <w:rPr>
          <w:sz w:val="18"/>
          <w:szCs w:val="18"/>
        </w:rPr>
        <w:t xml:space="preserve"> </w:t>
      </w:r>
      <w:r w:rsidRPr="00FF380E">
        <w:rPr>
          <w:sz w:val="18"/>
          <w:szCs w:val="18"/>
        </w:rPr>
        <w:tab/>
        <w:t>The rule improve</w:t>
      </w:r>
      <w:r>
        <w:rPr>
          <w:sz w:val="18"/>
          <w:szCs w:val="18"/>
        </w:rPr>
        <w:t>s</w:t>
      </w:r>
      <w:r w:rsidRPr="00FF380E">
        <w:rPr>
          <w:sz w:val="18"/>
          <w:szCs w:val="18"/>
        </w:rPr>
        <w:t xml:space="preserve"> the capability to detect amphetamine, cocaine, heroin, </w:t>
      </w:r>
      <w:r>
        <w:rPr>
          <w:sz w:val="18"/>
          <w:szCs w:val="18"/>
        </w:rPr>
        <w:t xml:space="preserve">and </w:t>
      </w:r>
      <w:r w:rsidRPr="00FF380E">
        <w:rPr>
          <w:sz w:val="18"/>
          <w:szCs w:val="18"/>
        </w:rPr>
        <w:t>methamphetamine drug use</w:t>
      </w:r>
      <w:r>
        <w:rPr>
          <w:sz w:val="18"/>
          <w:szCs w:val="18"/>
        </w:rPr>
        <w:t>,</w:t>
      </w:r>
      <w:r w:rsidRPr="00FF380E">
        <w:rPr>
          <w:sz w:val="18"/>
          <w:szCs w:val="18"/>
        </w:rPr>
        <w:t xml:space="preserve"> </w:t>
      </w:r>
      <w:r>
        <w:rPr>
          <w:sz w:val="18"/>
          <w:szCs w:val="18"/>
        </w:rPr>
        <w:t xml:space="preserve">and adds required testing for two </w:t>
      </w:r>
      <w:r w:rsidRPr="00FF380E">
        <w:rPr>
          <w:sz w:val="18"/>
          <w:szCs w:val="18"/>
        </w:rPr>
        <w:t>Ecstasy</w:t>
      </w:r>
      <w:r>
        <w:rPr>
          <w:sz w:val="18"/>
          <w:szCs w:val="18"/>
        </w:rPr>
        <w:t>-type drugs (MDMA, MDA) and four opioid drugs (</w:t>
      </w:r>
      <w:r w:rsidRPr="00FF380E">
        <w:rPr>
          <w:rFonts w:cs="Arial"/>
          <w:sz w:val="18"/>
          <w:szCs w:val="18"/>
        </w:rPr>
        <w:t xml:space="preserve">oxycodone, oxymorphone, hydrocodone, </w:t>
      </w:r>
      <w:r>
        <w:rPr>
          <w:rFonts w:cs="Arial"/>
          <w:sz w:val="18"/>
          <w:szCs w:val="18"/>
        </w:rPr>
        <w:t xml:space="preserve">and </w:t>
      </w:r>
      <w:r w:rsidRPr="00FF380E">
        <w:rPr>
          <w:rFonts w:cs="Arial"/>
          <w:sz w:val="18"/>
          <w:szCs w:val="18"/>
        </w:rPr>
        <w:t>hydromorphone</w:t>
      </w:r>
      <w:r>
        <w:rPr>
          <w:sz w:val="18"/>
          <w:szCs w:val="18"/>
        </w:rPr>
        <w:t>)</w:t>
      </w:r>
      <w:r w:rsidRPr="00FF380E">
        <w:rPr>
          <w:sz w:val="18"/>
          <w:szCs w:val="18"/>
        </w:rPr>
        <w:t>.</w:t>
      </w:r>
    </w:p>
  </w:footnote>
  <w:footnote w:id="13">
    <w:p w14:paraId="657093B9" w14:textId="3841E54A" w:rsidR="0088161E" w:rsidRDefault="0088161E" w:rsidP="003760F5">
      <w:pPr>
        <w:pStyle w:val="FootnoteText"/>
        <w:ind w:left="720" w:hanging="720"/>
        <w:rPr>
          <w:sz w:val="18"/>
          <w:szCs w:val="18"/>
        </w:rPr>
      </w:pPr>
      <w:r w:rsidRPr="00C83279">
        <w:rPr>
          <w:rStyle w:val="FootnoteReference"/>
          <w:sz w:val="18"/>
          <w:szCs w:val="18"/>
        </w:rPr>
        <w:footnoteRef/>
      </w:r>
      <w:r w:rsidRPr="00C83279">
        <w:rPr>
          <w:sz w:val="18"/>
          <w:szCs w:val="18"/>
        </w:rPr>
        <w:t xml:space="preserve"> </w:t>
      </w:r>
      <w:r>
        <w:rPr>
          <w:sz w:val="18"/>
          <w:szCs w:val="18"/>
        </w:rPr>
        <w:tab/>
      </w:r>
      <w:r w:rsidRPr="00C83279">
        <w:rPr>
          <w:sz w:val="18"/>
          <w:szCs w:val="18"/>
        </w:rPr>
        <w:t xml:space="preserve">The term </w:t>
      </w:r>
      <w:r>
        <w:rPr>
          <w:sz w:val="18"/>
          <w:szCs w:val="18"/>
        </w:rPr>
        <w:t xml:space="preserve">“FFD program </w:t>
      </w:r>
      <w:r w:rsidRPr="00C83279">
        <w:rPr>
          <w:sz w:val="18"/>
          <w:szCs w:val="18"/>
        </w:rPr>
        <w:t>site</w:t>
      </w:r>
      <w:r>
        <w:rPr>
          <w:sz w:val="18"/>
          <w:szCs w:val="18"/>
        </w:rPr>
        <w:t>”</w:t>
      </w:r>
      <w:r w:rsidRPr="00C83279">
        <w:rPr>
          <w:sz w:val="18"/>
          <w:szCs w:val="18"/>
        </w:rPr>
        <w:t xml:space="preserve"> corresponds to the term </w:t>
      </w:r>
      <w:r>
        <w:rPr>
          <w:sz w:val="18"/>
          <w:szCs w:val="18"/>
        </w:rPr>
        <w:t>“</w:t>
      </w:r>
      <w:r w:rsidRPr="00C83279">
        <w:rPr>
          <w:sz w:val="18"/>
          <w:szCs w:val="18"/>
        </w:rPr>
        <w:t>facility</w:t>
      </w:r>
      <w:r>
        <w:rPr>
          <w:sz w:val="18"/>
          <w:szCs w:val="18"/>
        </w:rPr>
        <w:t>,” which is used to describe licensees and other entities that are subject to the reporting requirements in 10 CFR 26.717 and that submit drug and alcohol testing data to the NRC in annual FFD program performance summary reports.</w:t>
      </w:r>
    </w:p>
    <w:p w14:paraId="2AE01911" w14:textId="77777777" w:rsidR="0088161E" w:rsidRPr="007F523B" w:rsidRDefault="0088161E" w:rsidP="003760F5">
      <w:pPr>
        <w:pStyle w:val="FootnoteText"/>
        <w:ind w:left="720" w:hanging="720"/>
        <w:rPr>
          <w:sz w:val="18"/>
          <w:szCs w:val="18"/>
        </w:rPr>
      </w:pPr>
    </w:p>
  </w:footnote>
  <w:footnote w:id="14">
    <w:p w14:paraId="722E7A7D" w14:textId="07751219" w:rsidR="0088161E" w:rsidRDefault="0088161E" w:rsidP="003760F5">
      <w:pPr>
        <w:pStyle w:val="FootnoteText"/>
        <w:ind w:left="720" w:hanging="720"/>
        <w:rPr>
          <w:sz w:val="18"/>
          <w:szCs w:val="18"/>
        </w:rPr>
      </w:pPr>
      <w:r w:rsidRPr="004A6EBA">
        <w:rPr>
          <w:rStyle w:val="FootnoteReference"/>
          <w:sz w:val="18"/>
          <w:szCs w:val="18"/>
        </w:rPr>
        <w:footnoteRef/>
      </w:r>
      <w:r w:rsidRPr="004A6EBA">
        <w:rPr>
          <w:sz w:val="18"/>
          <w:szCs w:val="18"/>
        </w:rPr>
        <w:t xml:space="preserve"> </w:t>
      </w:r>
      <w:r w:rsidRPr="004A6EBA">
        <w:rPr>
          <w:sz w:val="18"/>
          <w:szCs w:val="18"/>
        </w:rPr>
        <w:tab/>
        <w:t>Vogtle Electric Generating Plant (Vogtle)</w:t>
      </w:r>
      <w:r>
        <w:rPr>
          <w:sz w:val="18"/>
          <w:szCs w:val="18"/>
        </w:rPr>
        <w:t>,</w:t>
      </w:r>
      <w:r w:rsidRPr="004A6EBA">
        <w:rPr>
          <w:sz w:val="18"/>
          <w:szCs w:val="18"/>
        </w:rPr>
        <w:t xml:space="preserve"> Units</w:t>
      </w:r>
      <w:r>
        <w:rPr>
          <w:sz w:val="18"/>
          <w:szCs w:val="18"/>
        </w:rPr>
        <w:t> </w:t>
      </w:r>
      <w:r w:rsidRPr="004A6EBA">
        <w:rPr>
          <w:sz w:val="18"/>
          <w:szCs w:val="18"/>
        </w:rPr>
        <w:t>3 and 4</w:t>
      </w:r>
      <w:r>
        <w:rPr>
          <w:sz w:val="18"/>
          <w:szCs w:val="18"/>
        </w:rPr>
        <w:t>,</w:t>
      </w:r>
      <w:r w:rsidRPr="004A6EBA">
        <w:rPr>
          <w:sz w:val="18"/>
          <w:szCs w:val="18"/>
        </w:rPr>
        <w:t xml:space="preserve"> are </w:t>
      </w:r>
      <w:r>
        <w:rPr>
          <w:sz w:val="18"/>
          <w:szCs w:val="18"/>
        </w:rPr>
        <w:t>scheduled</w:t>
      </w:r>
      <w:r w:rsidRPr="004A6EBA">
        <w:rPr>
          <w:sz w:val="18"/>
          <w:szCs w:val="18"/>
        </w:rPr>
        <w:t xml:space="preserve"> to begin commercial operation in </w:t>
      </w:r>
      <w:r>
        <w:rPr>
          <w:sz w:val="18"/>
          <w:szCs w:val="18"/>
        </w:rPr>
        <w:t>CY </w:t>
      </w:r>
      <w:r w:rsidRPr="004A6EBA">
        <w:rPr>
          <w:sz w:val="18"/>
          <w:szCs w:val="18"/>
        </w:rPr>
        <w:t>20</w:t>
      </w:r>
      <w:r>
        <w:rPr>
          <w:sz w:val="18"/>
          <w:szCs w:val="18"/>
        </w:rPr>
        <w:t>22</w:t>
      </w:r>
      <w:r w:rsidRPr="004A6EBA">
        <w:rPr>
          <w:sz w:val="18"/>
          <w:szCs w:val="18"/>
        </w:rPr>
        <w:t xml:space="preserve"> and </w:t>
      </w:r>
      <w:r>
        <w:rPr>
          <w:sz w:val="18"/>
          <w:szCs w:val="18"/>
        </w:rPr>
        <w:t xml:space="preserve">CY </w:t>
      </w:r>
      <w:r w:rsidRPr="004A6EBA">
        <w:rPr>
          <w:sz w:val="18"/>
          <w:szCs w:val="18"/>
        </w:rPr>
        <w:t>202</w:t>
      </w:r>
      <w:r>
        <w:rPr>
          <w:sz w:val="18"/>
          <w:szCs w:val="18"/>
        </w:rPr>
        <w:t>3,</w:t>
      </w:r>
      <w:r w:rsidRPr="004A6EBA">
        <w:rPr>
          <w:sz w:val="18"/>
          <w:szCs w:val="18"/>
        </w:rPr>
        <w:t xml:space="preserve"> respectively</w:t>
      </w:r>
      <w:r>
        <w:rPr>
          <w:sz w:val="18"/>
          <w:szCs w:val="18"/>
        </w:rPr>
        <w:t>, and are modeled with the operating units</w:t>
      </w:r>
      <w:r w:rsidRPr="004A6EBA">
        <w:rPr>
          <w:sz w:val="18"/>
          <w:szCs w:val="18"/>
        </w:rPr>
        <w:t>.</w:t>
      </w:r>
    </w:p>
    <w:p w14:paraId="7C1DFB07" w14:textId="77777777" w:rsidR="0088161E" w:rsidRPr="004A6EBA" w:rsidRDefault="0088161E" w:rsidP="003760F5">
      <w:pPr>
        <w:pStyle w:val="FootnoteText"/>
        <w:ind w:left="720" w:hanging="720"/>
        <w:rPr>
          <w:sz w:val="18"/>
          <w:szCs w:val="18"/>
        </w:rPr>
      </w:pPr>
    </w:p>
  </w:footnote>
  <w:footnote w:id="15">
    <w:p w14:paraId="5E697134" w14:textId="302AB3AE" w:rsidR="0088161E" w:rsidRPr="005041C9" w:rsidRDefault="0088161E" w:rsidP="003760F5">
      <w:pPr>
        <w:pStyle w:val="FootnoteText"/>
        <w:ind w:left="720" w:hanging="720"/>
        <w:rPr>
          <w:sz w:val="18"/>
          <w:szCs w:val="18"/>
        </w:rPr>
      </w:pPr>
      <w:r w:rsidRPr="00153D3E">
        <w:rPr>
          <w:rStyle w:val="FootnoteReference"/>
          <w:sz w:val="18"/>
          <w:szCs w:val="18"/>
        </w:rPr>
        <w:footnoteRef/>
      </w:r>
      <w:r w:rsidRPr="00153D3E">
        <w:rPr>
          <w:sz w:val="18"/>
          <w:szCs w:val="18"/>
        </w:rPr>
        <w:t xml:space="preserve"> </w:t>
      </w:r>
      <w:r w:rsidRPr="00153D3E">
        <w:rPr>
          <w:sz w:val="18"/>
          <w:szCs w:val="18"/>
        </w:rPr>
        <w:tab/>
        <w:t xml:space="preserve">This analysis does not include the Bellefonte Nuclear Power Station (Bellefonte) because the site does not have any operating units and new construction is </w:t>
      </w:r>
      <w:r>
        <w:rPr>
          <w:sz w:val="18"/>
          <w:szCs w:val="18"/>
        </w:rPr>
        <w:t xml:space="preserve">delayed </w:t>
      </w:r>
      <w:r w:rsidRPr="00153D3E">
        <w:rPr>
          <w:sz w:val="18"/>
          <w:szCs w:val="18"/>
        </w:rPr>
        <w:t xml:space="preserve">indefinitely.  Bellefonte Units 1 and 2 are covered under the Commission Policy Statement on Deferred Plants (52 FR 38077; October 14, 1987).  </w:t>
      </w:r>
      <w:r>
        <w:rPr>
          <w:sz w:val="18"/>
          <w:szCs w:val="18"/>
        </w:rPr>
        <w:t>Additionally</w:t>
      </w:r>
      <w:r w:rsidRPr="00153D3E">
        <w:rPr>
          <w:sz w:val="18"/>
          <w:szCs w:val="18"/>
        </w:rPr>
        <w:t xml:space="preserve">, four licensees with COLs for </w:t>
      </w:r>
      <w:r>
        <w:rPr>
          <w:sz w:val="18"/>
          <w:szCs w:val="18"/>
        </w:rPr>
        <w:t>six</w:t>
      </w:r>
      <w:r w:rsidRPr="00153D3E">
        <w:rPr>
          <w:sz w:val="18"/>
          <w:szCs w:val="18"/>
        </w:rPr>
        <w:t xml:space="preserve"> new reactor units have no immediate plans to begin construction.  One COL was issued to DTE Electric Company on May 1, 2015, for Enrico Fermi Nuclear Plant</w:t>
      </w:r>
      <w:r>
        <w:rPr>
          <w:sz w:val="18"/>
          <w:szCs w:val="18"/>
        </w:rPr>
        <w:t>,</w:t>
      </w:r>
      <w:r w:rsidRPr="00153D3E">
        <w:rPr>
          <w:sz w:val="18"/>
          <w:szCs w:val="18"/>
        </w:rPr>
        <w:t xml:space="preserve"> Unit 3. </w:t>
      </w:r>
      <w:r>
        <w:rPr>
          <w:sz w:val="18"/>
          <w:szCs w:val="18"/>
        </w:rPr>
        <w:t xml:space="preserve"> </w:t>
      </w:r>
      <w:r w:rsidRPr="00153D3E">
        <w:rPr>
          <w:sz w:val="18"/>
          <w:szCs w:val="18"/>
        </w:rPr>
        <w:t>Two COLs were issued to Duke Energy Carolinas, LLC</w:t>
      </w:r>
      <w:r>
        <w:rPr>
          <w:sz w:val="18"/>
          <w:szCs w:val="18"/>
        </w:rPr>
        <w:t>,</w:t>
      </w:r>
      <w:r w:rsidRPr="00153D3E">
        <w:rPr>
          <w:sz w:val="18"/>
          <w:szCs w:val="18"/>
        </w:rPr>
        <w:t xml:space="preserve"> on December 19, 2016, for William States Lee III Nuclear Station</w:t>
      </w:r>
      <w:r>
        <w:rPr>
          <w:sz w:val="18"/>
          <w:szCs w:val="18"/>
        </w:rPr>
        <w:t>,</w:t>
      </w:r>
      <w:r w:rsidRPr="00153D3E">
        <w:rPr>
          <w:sz w:val="18"/>
          <w:szCs w:val="18"/>
        </w:rPr>
        <w:t xml:space="preserve"> Units 1 and 2. </w:t>
      </w:r>
      <w:r>
        <w:rPr>
          <w:sz w:val="18"/>
          <w:szCs w:val="18"/>
        </w:rPr>
        <w:t xml:space="preserve"> </w:t>
      </w:r>
      <w:r w:rsidRPr="00153D3E">
        <w:rPr>
          <w:sz w:val="18"/>
          <w:szCs w:val="18"/>
        </w:rPr>
        <w:t xml:space="preserve">One COL was </w:t>
      </w:r>
      <w:r w:rsidRPr="00723F7E">
        <w:rPr>
          <w:sz w:val="18"/>
          <w:szCs w:val="18"/>
        </w:rPr>
        <w:t>issued to Virginia Electric and Power Company on June 2, 2017, for North Anna</w:t>
      </w:r>
      <w:r>
        <w:rPr>
          <w:sz w:val="18"/>
          <w:szCs w:val="18"/>
        </w:rPr>
        <w:t xml:space="preserve"> Power Station (North Anna),</w:t>
      </w:r>
      <w:r w:rsidRPr="00723F7E">
        <w:rPr>
          <w:sz w:val="18"/>
          <w:szCs w:val="18"/>
        </w:rPr>
        <w:t xml:space="preserve"> Unit 3. </w:t>
      </w:r>
      <w:r>
        <w:rPr>
          <w:sz w:val="18"/>
          <w:szCs w:val="18"/>
        </w:rPr>
        <w:t xml:space="preserve"> </w:t>
      </w:r>
      <w:r w:rsidRPr="00723F7E">
        <w:rPr>
          <w:sz w:val="18"/>
          <w:szCs w:val="18"/>
        </w:rPr>
        <w:t>Two COLs were issued to Florida Power &amp; Light Company on April</w:t>
      </w:r>
      <w:r>
        <w:rPr>
          <w:sz w:val="18"/>
          <w:szCs w:val="18"/>
        </w:rPr>
        <w:t> </w:t>
      </w:r>
      <w:r w:rsidRPr="00723F7E">
        <w:rPr>
          <w:sz w:val="18"/>
          <w:szCs w:val="18"/>
        </w:rPr>
        <w:t>12,</w:t>
      </w:r>
      <w:r>
        <w:rPr>
          <w:sz w:val="18"/>
          <w:szCs w:val="18"/>
        </w:rPr>
        <w:t> </w:t>
      </w:r>
      <w:r w:rsidRPr="00723F7E">
        <w:rPr>
          <w:sz w:val="18"/>
          <w:szCs w:val="18"/>
        </w:rPr>
        <w:t>2018, for Turkey Point</w:t>
      </w:r>
      <w:r>
        <w:rPr>
          <w:sz w:val="18"/>
          <w:szCs w:val="18"/>
        </w:rPr>
        <w:t xml:space="preserve"> Nuclear Generating</w:t>
      </w:r>
      <w:r w:rsidRPr="00723F7E">
        <w:rPr>
          <w:sz w:val="18"/>
          <w:szCs w:val="18"/>
        </w:rPr>
        <w:t xml:space="preserve"> Units 6 and 7.</w:t>
      </w:r>
    </w:p>
  </w:footnote>
  <w:footnote w:id="16">
    <w:p w14:paraId="3492DCED" w14:textId="037667B6" w:rsidR="0088161E" w:rsidRPr="00F607EC" w:rsidRDefault="0088161E" w:rsidP="003760F5">
      <w:pPr>
        <w:pStyle w:val="FootnoteText"/>
        <w:tabs>
          <w:tab w:val="left" w:pos="720"/>
          <w:tab w:val="left" w:pos="1440"/>
          <w:tab w:val="left" w:pos="1908"/>
        </w:tabs>
        <w:ind w:left="720" w:hanging="720"/>
        <w:rPr>
          <w:sz w:val="18"/>
          <w:szCs w:val="18"/>
        </w:rPr>
      </w:pPr>
      <w:r>
        <w:rPr>
          <w:rStyle w:val="FootnoteReference"/>
        </w:rPr>
        <w:footnoteRef/>
      </w:r>
      <w:r>
        <w:t xml:space="preserve"> </w:t>
      </w:r>
      <w:r>
        <w:tab/>
      </w:r>
      <w:r w:rsidRPr="00F607EC">
        <w:rPr>
          <w:sz w:val="18"/>
          <w:szCs w:val="18"/>
        </w:rPr>
        <w:t xml:space="preserve">Since testing began in 1990, the C/V positive rate for all tests conducted has ranged from 2.4 times (in 1990) to 4.5 times (in 2002) higher than that for licensee employees.  For all tests conducted in </w:t>
      </w:r>
      <w:r w:rsidRPr="00F84309">
        <w:rPr>
          <w:sz w:val="18"/>
          <w:szCs w:val="18"/>
        </w:rPr>
        <w:t>2019</w:t>
      </w:r>
      <w:r w:rsidRPr="00F607EC">
        <w:rPr>
          <w:sz w:val="18"/>
          <w:szCs w:val="18"/>
        </w:rPr>
        <w:t xml:space="preserve">, C/Vs tested positive at a rate of </w:t>
      </w:r>
      <w:r w:rsidRPr="00F84309">
        <w:rPr>
          <w:sz w:val="18"/>
          <w:szCs w:val="18"/>
        </w:rPr>
        <w:t>1.10</w:t>
      </w:r>
      <w:r w:rsidRPr="00F607EC">
        <w:rPr>
          <w:sz w:val="18"/>
          <w:szCs w:val="18"/>
        </w:rPr>
        <w:t xml:space="preserve"> percent as compared to 0.26 percent for licensee employees, which is </w:t>
      </w:r>
      <w:r w:rsidRPr="00F84309">
        <w:rPr>
          <w:sz w:val="18"/>
          <w:szCs w:val="18"/>
        </w:rPr>
        <w:t>4.</w:t>
      </w:r>
      <w:r w:rsidRPr="00F607EC">
        <w:rPr>
          <w:sz w:val="18"/>
          <w:szCs w:val="18"/>
        </w:rPr>
        <w:t>3</w:t>
      </w:r>
      <w:r>
        <w:rPr>
          <w:sz w:val="18"/>
          <w:szCs w:val="18"/>
        </w:rPr>
        <w:t> </w:t>
      </w:r>
      <w:r w:rsidRPr="00F607EC">
        <w:rPr>
          <w:sz w:val="18"/>
          <w:szCs w:val="18"/>
        </w:rPr>
        <w:t>times greater</w:t>
      </w:r>
      <w:r>
        <w:rPr>
          <w:sz w:val="18"/>
          <w:szCs w:val="18"/>
        </w:rPr>
        <w:t xml:space="preserve"> than for licensee employees</w:t>
      </w:r>
      <w:r w:rsidRPr="00F84309">
        <w:rPr>
          <w:sz w:val="18"/>
          <w:szCs w:val="18"/>
        </w:rPr>
        <w:t>.</w:t>
      </w:r>
    </w:p>
  </w:footnote>
  <w:footnote w:id="17">
    <w:p w14:paraId="7EE7A27A" w14:textId="4C7DBD9E" w:rsidR="0088161E" w:rsidRPr="005C536C" w:rsidRDefault="0088161E" w:rsidP="003760F5">
      <w:pPr>
        <w:pStyle w:val="FootnoteText"/>
        <w:ind w:left="720" w:hanging="720"/>
        <w:rPr>
          <w:sz w:val="18"/>
          <w:szCs w:val="18"/>
        </w:rPr>
      </w:pPr>
      <w:r>
        <w:rPr>
          <w:rStyle w:val="FootnoteReference"/>
        </w:rPr>
        <w:footnoteRef/>
      </w:r>
      <w:r>
        <w:t xml:space="preserve"> </w:t>
      </w:r>
      <w:r>
        <w:tab/>
      </w:r>
      <w:r w:rsidRPr="005C536C">
        <w:rPr>
          <w:sz w:val="18"/>
          <w:szCs w:val="18"/>
        </w:rPr>
        <w:t xml:space="preserve">The construction </w:t>
      </w:r>
      <w:r>
        <w:rPr>
          <w:sz w:val="18"/>
          <w:szCs w:val="18"/>
        </w:rPr>
        <w:t>of</w:t>
      </w:r>
      <w:r w:rsidRPr="005C536C">
        <w:rPr>
          <w:sz w:val="18"/>
          <w:szCs w:val="18"/>
        </w:rPr>
        <w:t xml:space="preserve"> </w:t>
      </w:r>
      <w:r>
        <w:rPr>
          <w:sz w:val="18"/>
          <w:szCs w:val="18"/>
        </w:rPr>
        <w:t>V.C. </w:t>
      </w:r>
      <w:r w:rsidRPr="005C536C">
        <w:rPr>
          <w:sz w:val="18"/>
          <w:szCs w:val="18"/>
        </w:rPr>
        <w:t>Summer Units 2 and 3 began in CY 2011 but was halted on July</w:t>
      </w:r>
      <w:r>
        <w:rPr>
          <w:sz w:val="18"/>
          <w:szCs w:val="18"/>
        </w:rPr>
        <w:t> </w:t>
      </w:r>
      <w:r w:rsidRPr="005C536C">
        <w:rPr>
          <w:sz w:val="18"/>
          <w:szCs w:val="18"/>
        </w:rPr>
        <w:t>31, 2017</w:t>
      </w:r>
      <w:r>
        <w:rPr>
          <w:sz w:val="18"/>
          <w:szCs w:val="18"/>
        </w:rPr>
        <w:t>.  This analysis does not include this facility</w:t>
      </w:r>
      <w:r w:rsidRPr="005C536C">
        <w:rPr>
          <w:sz w:val="18"/>
          <w:szCs w:val="18"/>
        </w:rPr>
        <w:t>.</w:t>
      </w:r>
    </w:p>
  </w:footnote>
  <w:footnote w:id="18">
    <w:p w14:paraId="12C31B5F" w14:textId="2E70FF1B" w:rsidR="0088161E" w:rsidRDefault="0088161E" w:rsidP="003760F5">
      <w:pPr>
        <w:pStyle w:val="FootnoteText"/>
        <w:ind w:left="720" w:hanging="720"/>
        <w:rPr>
          <w:sz w:val="18"/>
          <w:szCs w:val="18"/>
        </w:rPr>
      </w:pPr>
      <w:r w:rsidRPr="002D7AD0">
        <w:rPr>
          <w:rStyle w:val="FootnoteReference"/>
          <w:sz w:val="18"/>
          <w:szCs w:val="18"/>
        </w:rPr>
        <w:footnoteRef/>
      </w:r>
      <w:r w:rsidRPr="002D7AD0">
        <w:rPr>
          <w:sz w:val="18"/>
          <w:szCs w:val="18"/>
        </w:rPr>
        <w:t xml:space="preserve"> </w:t>
      </w:r>
      <w:r w:rsidRPr="002D7AD0">
        <w:rPr>
          <w:sz w:val="18"/>
          <w:szCs w:val="18"/>
        </w:rPr>
        <w:tab/>
      </w:r>
      <w:r w:rsidRPr="005C536C">
        <w:rPr>
          <w:sz w:val="18"/>
          <w:szCs w:val="18"/>
        </w:rPr>
        <w:t xml:space="preserve">The NRC analyzed data on power reactors (operating, under construction) and Category I </w:t>
      </w:r>
      <w:r w:rsidR="00420D7B">
        <w:rPr>
          <w:sz w:val="18"/>
          <w:szCs w:val="18"/>
        </w:rPr>
        <w:t>special nuclear material licensees</w:t>
      </w:r>
      <w:r w:rsidRPr="005C536C">
        <w:rPr>
          <w:sz w:val="18"/>
          <w:szCs w:val="18"/>
        </w:rPr>
        <w:t xml:space="preserve"> from NUREG-1350, Volume 32, “2020</w:t>
      </w:r>
      <w:r w:rsidRPr="005C536C">
        <w:rPr>
          <w:rFonts w:cs="Arial"/>
          <w:sz w:val="18"/>
          <w:szCs w:val="18"/>
        </w:rPr>
        <w:t>–</w:t>
      </w:r>
      <w:r w:rsidRPr="005C536C">
        <w:rPr>
          <w:sz w:val="18"/>
          <w:szCs w:val="18"/>
        </w:rPr>
        <w:t>2021 Information Digest,” issued August 2020 (NRC, 2020</w:t>
      </w:r>
      <w:r w:rsidR="000452AB">
        <w:rPr>
          <w:sz w:val="18"/>
          <w:szCs w:val="18"/>
        </w:rPr>
        <w:t>b</w:t>
      </w:r>
      <w:r w:rsidRPr="005C536C">
        <w:rPr>
          <w:sz w:val="18"/>
          <w:szCs w:val="18"/>
        </w:rPr>
        <w:t>), which is adjusted for early plant retirement announcements.</w:t>
      </w:r>
    </w:p>
    <w:p w14:paraId="63AF3641" w14:textId="77777777" w:rsidR="0088161E" w:rsidRPr="002D7AD0" w:rsidRDefault="0088161E" w:rsidP="003760F5">
      <w:pPr>
        <w:pStyle w:val="FootnoteText"/>
        <w:ind w:left="720" w:hanging="720"/>
        <w:rPr>
          <w:sz w:val="18"/>
          <w:szCs w:val="18"/>
        </w:rPr>
      </w:pPr>
    </w:p>
  </w:footnote>
  <w:footnote w:id="19">
    <w:p w14:paraId="5F858EF7" w14:textId="70D17BF0" w:rsidR="0088161E" w:rsidRPr="003141C3" w:rsidRDefault="0088161E" w:rsidP="003760F5">
      <w:pPr>
        <w:pStyle w:val="FootnoteText"/>
        <w:ind w:left="720" w:hanging="720"/>
        <w:rPr>
          <w:sz w:val="18"/>
          <w:szCs w:val="18"/>
        </w:rPr>
      </w:pPr>
      <w:r>
        <w:rPr>
          <w:rStyle w:val="FootnoteReference"/>
        </w:rPr>
        <w:footnoteRef/>
      </w:r>
      <w:r w:rsidRPr="007B424C">
        <w:rPr>
          <w:sz w:val="18"/>
          <w:szCs w:val="18"/>
        </w:rPr>
        <w:tab/>
        <w:t>NextEra Energy received a second license renewal for Turkey Point Units 3 and 4 on December 4, 2019.  Exelon received a second license renewal for Peach Bottom Units 2 and 3 on March 5, 2020.  Dominion Energy received a second license renewal for Surry Units 1 and 2 on May</w:t>
      </w:r>
      <w:r>
        <w:rPr>
          <w:sz w:val="18"/>
          <w:szCs w:val="18"/>
        </w:rPr>
        <w:t> </w:t>
      </w:r>
      <w:r w:rsidRPr="007B424C">
        <w:rPr>
          <w:sz w:val="18"/>
          <w:szCs w:val="18"/>
        </w:rPr>
        <w:t>4, 2021.  The NRC received an application from Dominion Energy for a second license renewal for North Anna Units 1 and 2 on June</w:t>
      </w:r>
      <w:r>
        <w:rPr>
          <w:sz w:val="18"/>
          <w:szCs w:val="18"/>
        </w:rPr>
        <w:t> </w:t>
      </w:r>
      <w:r w:rsidRPr="007B424C">
        <w:rPr>
          <w:sz w:val="18"/>
          <w:szCs w:val="18"/>
        </w:rPr>
        <w:t>6, 2021.  The NRC received an application from Duke Energy for a second license renewal for Oconee Units</w:t>
      </w:r>
      <w:r w:rsidR="0000639F">
        <w:rPr>
          <w:sz w:val="18"/>
          <w:szCs w:val="18"/>
        </w:rPr>
        <w:t> </w:t>
      </w:r>
      <w:r w:rsidRPr="007B424C">
        <w:rPr>
          <w:sz w:val="18"/>
          <w:szCs w:val="18"/>
        </w:rPr>
        <w:t xml:space="preserve">1, 2, and 3 on June 7, 2021.  Duke Energy announced its intention to apply for a second license renewal for Brunswick Units 1 and 2; Catawba Units 1 and 2; H.B. Robinson Unit 2; McGuire Units 1 and 2; and Shearon Harris Unit 1.  </w:t>
      </w:r>
      <w:r>
        <w:rPr>
          <w:sz w:val="18"/>
          <w:szCs w:val="18"/>
        </w:rPr>
        <w:t xml:space="preserve">The NRC received an application from </w:t>
      </w:r>
      <w:r w:rsidRPr="007B424C">
        <w:rPr>
          <w:sz w:val="18"/>
          <w:szCs w:val="18"/>
        </w:rPr>
        <w:t xml:space="preserve">NextEra </w:t>
      </w:r>
      <w:r w:rsidRPr="006E3980">
        <w:rPr>
          <w:sz w:val="18"/>
          <w:szCs w:val="18"/>
        </w:rPr>
        <w:t xml:space="preserve">Energy </w:t>
      </w:r>
      <w:r>
        <w:rPr>
          <w:sz w:val="18"/>
          <w:szCs w:val="18"/>
        </w:rPr>
        <w:t xml:space="preserve">for a second license renewal </w:t>
      </w:r>
      <w:r w:rsidRPr="006E3980">
        <w:rPr>
          <w:sz w:val="18"/>
          <w:szCs w:val="18"/>
        </w:rPr>
        <w:t xml:space="preserve">for </w:t>
      </w:r>
      <w:r w:rsidRPr="00123812">
        <w:rPr>
          <w:sz w:val="18"/>
          <w:szCs w:val="18"/>
        </w:rPr>
        <w:t xml:space="preserve">Point Beach Units 1 and 2 </w:t>
      </w:r>
      <w:r>
        <w:rPr>
          <w:sz w:val="18"/>
          <w:szCs w:val="18"/>
        </w:rPr>
        <w:t xml:space="preserve">on November 16, </w:t>
      </w:r>
      <w:r w:rsidRPr="00615812">
        <w:rPr>
          <w:sz w:val="18"/>
          <w:szCs w:val="18"/>
        </w:rPr>
        <w:t>2020,</w:t>
      </w:r>
      <w:r>
        <w:rPr>
          <w:sz w:val="18"/>
          <w:szCs w:val="18"/>
        </w:rPr>
        <w:t xml:space="preserve"> and </w:t>
      </w:r>
      <w:r w:rsidRPr="007B424C">
        <w:rPr>
          <w:sz w:val="18"/>
          <w:szCs w:val="18"/>
        </w:rPr>
        <w:t xml:space="preserve">NextEra </w:t>
      </w:r>
      <w:r w:rsidRPr="006E3980">
        <w:rPr>
          <w:sz w:val="18"/>
          <w:szCs w:val="18"/>
        </w:rPr>
        <w:t xml:space="preserve">Energy announced its intention to apply for a second license renewal for </w:t>
      </w:r>
      <w:r w:rsidRPr="00123812">
        <w:rPr>
          <w:sz w:val="18"/>
          <w:szCs w:val="18"/>
        </w:rPr>
        <w:t>St. Lucie Units 1 and 2.  The Tennessee Valley Authority announced its intention to apply</w:t>
      </w:r>
      <w:r w:rsidRPr="006E3980">
        <w:rPr>
          <w:sz w:val="18"/>
          <w:szCs w:val="18"/>
        </w:rPr>
        <w:t xml:space="preserve"> for a second license renewal for Browns Ferry Units 1, 2, and 3.</w:t>
      </w:r>
      <w:r w:rsidRPr="00123812">
        <w:rPr>
          <w:sz w:val="18"/>
          <w:szCs w:val="18"/>
        </w:rPr>
        <w:t xml:space="preserve">  Due to the timing of production of this document, the second license renewals for Browns Ferry and St.</w:t>
      </w:r>
      <w:r>
        <w:rPr>
          <w:sz w:val="18"/>
          <w:szCs w:val="18"/>
        </w:rPr>
        <w:t> </w:t>
      </w:r>
      <w:r w:rsidRPr="00123812">
        <w:rPr>
          <w:sz w:val="18"/>
          <w:szCs w:val="18"/>
        </w:rPr>
        <w:t>Lucie plants have not been factored into the analysis.</w:t>
      </w:r>
    </w:p>
  </w:footnote>
  <w:footnote w:id="20">
    <w:p w14:paraId="774FE08B" w14:textId="03A8F320" w:rsidR="0088161E" w:rsidRDefault="0088161E" w:rsidP="003760F5">
      <w:pPr>
        <w:pStyle w:val="FootnoteText"/>
        <w:ind w:left="720" w:hanging="720"/>
        <w:rPr>
          <w:sz w:val="18"/>
          <w:szCs w:val="18"/>
        </w:rPr>
      </w:pPr>
      <w:r w:rsidRPr="002D7AD0">
        <w:rPr>
          <w:rStyle w:val="FootnoteReference"/>
          <w:sz w:val="18"/>
          <w:szCs w:val="18"/>
        </w:rPr>
        <w:footnoteRef/>
      </w:r>
      <w:r w:rsidRPr="002D7AD0">
        <w:rPr>
          <w:sz w:val="18"/>
          <w:szCs w:val="18"/>
        </w:rPr>
        <w:t xml:space="preserve"> </w:t>
      </w:r>
      <w:r w:rsidRPr="002D7AD0">
        <w:rPr>
          <w:sz w:val="18"/>
          <w:szCs w:val="18"/>
        </w:rPr>
        <w:tab/>
      </w:r>
      <w:r w:rsidRPr="00C55631">
        <w:rPr>
          <w:sz w:val="18"/>
          <w:szCs w:val="18"/>
        </w:rPr>
        <w:t>Sections</w:t>
      </w:r>
      <w:r>
        <w:rPr>
          <w:sz w:val="18"/>
          <w:szCs w:val="18"/>
        </w:rPr>
        <w:t> </w:t>
      </w:r>
      <w:r w:rsidRPr="00C55631">
        <w:rPr>
          <w:sz w:val="18"/>
          <w:szCs w:val="18"/>
        </w:rPr>
        <w:t xml:space="preserve">3.8 and 3.9 of the </w:t>
      </w:r>
      <w:r>
        <w:rPr>
          <w:sz w:val="18"/>
          <w:szCs w:val="18"/>
        </w:rPr>
        <w:t>r</w:t>
      </w:r>
      <w:r w:rsidRPr="00C55631">
        <w:rPr>
          <w:sz w:val="18"/>
          <w:szCs w:val="18"/>
        </w:rPr>
        <w:t xml:space="preserve">egulatory </w:t>
      </w:r>
      <w:r>
        <w:rPr>
          <w:sz w:val="18"/>
          <w:szCs w:val="18"/>
        </w:rPr>
        <w:t>b</w:t>
      </w:r>
      <w:r w:rsidRPr="00C55631">
        <w:rPr>
          <w:sz w:val="18"/>
          <w:szCs w:val="18"/>
        </w:rPr>
        <w:t>asis</w:t>
      </w:r>
      <w:r>
        <w:rPr>
          <w:sz w:val="18"/>
          <w:szCs w:val="18"/>
        </w:rPr>
        <w:t xml:space="preserve"> for this rulemaking</w:t>
      </w:r>
      <w:r w:rsidRPr="00C55631">
        <w:rPr>
          <w:sz w:val="18"/>
          <w:szCs w:val="18"/>
        </w:rPr>
        <w:t xml:space="preserve"> </w:t>
      </w:r>
      <w:r>
        <w:rPr>
          <w:sz w:val="18"/>
          <w:szCs w:val="18"/>
        </w:rPr>
        <w:t>(NRC, 2013a) provide</w:t>
      </w:r>
      <w:r w:rsidRPr="004C2CEA">
        <w:rPr>
          <w:sz w:val="18"/>
          <w:szCs w:val="18"/>
        </w:rPr>
        <w:t xml:space="preserve"> additional information </w:t>
      </w:r>
      <w:r w:rsidRPr="00C55631">
        <w:rPr>
          <w:sz w:val="18"/>
          <w:szCs w:val="18"/>
        </w:rPr>
        <w:t>on the technical basis for lowering the initial and confirmatory drug testing cutoff levels for amphetamines and cocaine metabolites.</w:t>
      </w:r>
    </w:p>
    <w:p w14:paraId="4E663C6A" w14:textId="77777777" w:rsidR="0088161E" w:rsidRPr="002D7AD0" w:rsidRDefault="0088161E" w:rsidP="00EA572B">
      <w:pPr>
        <w:pStyle w:val="FootnoteText"/>
        <w:ind w:left="720" w:hanging="720"/>
        <w:rPr>
          <w:sz w:val="18"/>
          <w:szCs w:val="18"/>
        </w:rPr>
      </w:pPr>
    </w:p>
  </w:footnote>
  <w:footnote w:id="21">
    <w:p w14:paraId="07E36EE6" w14:textId="0383C8A7" w:rsidR="0088161E" w:rsidRPr="002D7AD0" w:rsidRDefault="0088161E" w:rsidP="00213F07">
      <w:pPr>
        <w:pStyle w:val="FootnoteText"/>
        <w:ind w:left="720" w:hanging="720"/>
        <w:rPr>
          <w:sz w:val="18"/>
          <w:szCs w:val="18"/>
        </w:rPr>
      </w:pPr>
      <w:r w:rsidRPr="002D7AD0">
        <w:rPr>
          <w:rStyle w:val="FootnoteReference"/>
          <w:sz w:val="18"/>
          <w:szCs w:val="18"/>
        </w:rPr>
        <w:footnoteRef/>
      </w:r>
      <w:r w:rsidRPr="002D7AD0">
        <w:rPr>
          <w:sz w:val="18"/>
          <w:szCs w:val="18"/>
        </w:rPr>
        <w:t xml:space="preserve"> </w:t>
      </w:r>
      <w:r w:rsidRPr="002D7AD0">
        <w:rPr>
          <w:sz w:val="18"/>
          <w:szCs w:val="18"/>
        </w:rPr>
        <w:tab/>
      </w:r>
      <w:r w:rsidRPr="00C55631">
        <w:rPr>
          <w:sz w:val="18"/>
          <w:szCs w:val="18"/>
        </w:rPr>
        <w:t>Sections</w:t>
      </w:r>
      <w:r>
        <w:rPr>
          <w:sz w:val="18"/>
          <w:szCs w:val="18"/>
        </w:rPr>
        <w:t> </w:t>
      </w:r>
      <w:r w:rsidRPr="00C55631">
        <w:rPr>
          <w:sz w:val="18"/>
          <w:szCs w:val="18"/>
        </w:rPr>
        <w:t>3.3</w:t>
      </w:r>
      <w:r>
        <w:rPr>
          <w:sz w:val="18"/>
          <w:szCs w:val="18"/>
        </w:rPr>
        <w:t>,</w:t>
      </w:r>
      <w:r w:rsidRPr="00C55631">
        <w:rPr>
          <w:sz w:val="18"/>
          <w:szCs w:val="18"/>
        </w:rPr>
        <w:t xml:space="preserve"> 3.7</w:t>
      </w:r>
      <w:r>
        <w:rPr>
          <w:sz w:val="18"/>
          <w:szCs w:val="18"/>
        </w:rPr>
        <w:t>,</w:t>
      </w:r>
      <w:r w:rsidRPr="00C55631">
        <w:rPr>
          <w:sz w:val="18"/>
          <w:szCs w:val="18"/>
        </w:rPr>
        <w:t xml:space="preserve"> and 3.8 of the </w:t>
      </w:r>
      <w:r>
        <w:rPr>
          <w:sz w:val="18"/>
          <w:szCs w:val="18"/>
        </w:rPr>
        <w:t>r</w:t>
      </w:r>
      <w:r w:rsidRPr="00C55631">
        <w:rPr>
          <w:sz w:val="18"/>
          <w:szCs w:val="18"/>
        </w:rPr>
        <w:t xml:space="preserve">egulatory </w:t>
      </w:r>
      <w:r>
        <w:rPr>
          <w:sz w:val="18"/>
          <w:szCs w:val="18"/>
        </w:rPr>
        <w:t>b</w:t>
      </w:r>
      <w:r w:rsidRPr="00C55631">
        <w:rPr>
          <w:sz w:val="18"/>
          <w:szCs w:val="18"/>
        </w:rPr>
        <w:t xml:space="preserve">asis </w:t>
      </w:r>
      <w:r>
        <w:rPr>
          <w:sz w:val="18"/>
          <w:szCs w:val="18"/>
        </w:rPr>
        <w:t>for this rulemaking (NRC, 2013a) provide</w:t>
      </w:r>
      <w:r w:rsidRPr="004C2CEA">
        <w:rPr>
          <w:sz w:val="18"/>
          <w:szCs w:val="18"/>
        </w:rPr>
        <w:t xml:space="preserve"> additional information</w:t>
      </w:r>
      <w:r w:rsidRPr="00C55631">
        <w:rPr>
          <w:sz w:val="18"/>
          <w:szCs w:val="18"/>
        </w:rPr>
        <w:t xml:space="preserve"> on the technical basis for expanding the initial drug testing panel to include 6-AM and revising the confirmatory drug testing cutoff level for 6</w:t>
      </w:r>
      <w:r w:rsidRPr="00C55631">
        <w:rPr>
          <w:sz w:val="18"/>
          <w:szCs w:val="18"/>
        </w:rPr>
        <w:noBreakHyphen/>
        <w:t>AM.</w:t>
      </w:r>
    </w:p>
  </w:footnote>
  <w:footnote w:id="22">
    <w:p w14:paraId="73BECCD1" w14:textId="42D683B0" w:rsidR="0088161E" w:rsidRDefault="0088161E" w:rsidP="00213F07">
      <w:pPr>
        <w:pStyle w:val="FootnoteText"/>
        <w:ind w:left="720" w:hanging="720"/>
        <w:rPr>
          <w:sz w:val="18"/>
          <w:szCs w:val="18"/>
        </w:rPr>
      </w:pPr>
      <w:r w:rsidRPr="002D7AD0">
        <w:rPr>
          <w:rStyle w:val="FootnoteReference"/>
          <w:sz w:val="18"/>
          <w:szCs w:val="18"/>
        </w:rPr>
        <w:footnoteRef/>
      </w:r>
      <w:r w:rsidRPr="002D7AD0">
        <w:rPr>
          <w:sz w:val="18"/>
          <w:szCs w:val="18"/>
        </w:rPr>
        <w:t xml:space="preserve"> </w:t>
      </w:r>
      <w:r w:rsidRPr="002D7AD0">
        <w:rPr>
          <w:sz w:val="18"/>
          <w:szCs w:val="18"/>
        </w:rPr>
        <w:tab/>
      </w:r>
      <w:r w:rsidRPr="00C55631">
        <w:rPr>
          <w:sz w:val="18"/>
          <w:szCs w:val="18"/>
        </w:rPr>
        <w:t>Sections</w:t>
      </w:r>
      <w:r>
        <w:rPr>
          <w:sz w:val="18"/>
          <w:szCs w:val="18"/>
        </w:rPr>
        <w:t> </w:t>
      </w:r>
      <w:r w:rsidRPr="00C55631">
        <w:rPr>
          <w:sz w:val="18"/>
          <w:szCs w:val="18"/>
        </w:rPr>
        <w:t xml:space="preserve">3.11 through 3.13 of the </w:t>
      </w:r>
      <w:r>
        <w:rPr>
          <w:sz w:val="18"/>
          <w:szCs w:val="18"/>
        </w:rPr>
        <w:t>r</w:t>
      </w:r>
      <w:r w:rsidRPr="00C55631">
        <w:rPr>
          <w:sz w:val="18"/>
          <w:szCs w:val="18"/>
        </w:rPr>
        <w:t xml:space="preserve">egulatory </w:t>
      </w:r>
      <w:r>
        <w:rPr>
          <w:sz w:val="18"/>
          <w:szCs w:val="18"/>
        </w:rPr>
        <w:t>b</w:t>
      </w:r>
      <w:r w:rsidRPr="00C55631">
        <w:rPr>
          <w:sz w:val="18"/>
          <w:szCs w:val="18"/>
        </w:rPr>
        <w:t xml:space="preserve">asis for this </w:t>
      </w:r>
      <w:r>
        <w:rPr>
          <w:sz w:val="18"/>
          <w:szCs w:val="18"/>
        </w:rPr>
        <w:t>rulemaking (NRC, 2013a) provide</w:t>
      </w:r>
      <w:r w:rsidRPr="004C2CEA">
        <w:rPr>
          <w:sz w:val="18"/>
          <w:szCs w:val="18"/>
        </w:rPr>
        <w:t xml:space="preserve"> additional information on the</w:t>
      </w:r>
      <w:r w:rsidRPr="00C55631">
        <w:rPr>
          <w:sz w:val="18"/>
          <w:szCs w:val="18"/>
        </w:rPr>
        <w:t xml:space="preserve"> technical basis for requiring special analyses testing of dilute specimens and specimens collected during suspected subversion attempts.</w:t>
      </w:r>
    </w:p>
    <w:p w14:paraId="79C47372" w14:textId="77777777" w:rsidR="0088161E" w:rsidRPr="002D7AD0" w:rsidRDefault="0088161E" w:rsidP="00D520BD">
      <w:pPr>
        <w:pStyle w:val="FootnoteText"/>
        <w:ind w:left="360" w:hanging="360"/>
        <w:rPr>
          <w:sz w:val="18"/>
          <w:szCs w:val="18"/>
        </w:rPr>
      </w:pPr>
    </w:p>
  </w:footnote>
  <w:footnote w:id="23">
    <w:p w14:paraId="008DD0A2" w14:textId="715B0471" w:rsidR="0088161E" w:rsidRPr="00EE6AF1" w:rsidRDefault="0088161E" w:rsidP="007414BF">
      <w:pPr>
        <w:pStyle w:val="FootnoteText"/>
        <w:ind w:left="720" w:hanging="720"/>
        <w:rPr>
          <w:sz w:val="18"/>
          <w:szCs w:val="18"/>
        </w:rPr>
      </w:pPr>
      <w:r w:rsidRPr="00EE6AF1">
        <w:rPr>
          <w:rStyle w:val="FootnoteReference"/>
          <w:sz w:val="18"/>
          <w:szCs w:val="18"/>
        </w:rPr>
        <w:footnoteRef/>
      </w:r>
      <w:r w:rsidRPr="00EE6AF1">
        <w:rPr>
          <w:sz w:val="18"/>
          <w:szCs w:val="18"/>
        </w:rPr>
        <w:tab/>
        <w:t xml:space="preserve">As </w:t>
      </w:r>
      <w:r>
        <w:rPr>
          <w:sz w:val="18"/>
          <w:szCs w:val="18"/>
        </w:rPr>
        <w:t>described in Section 4.2.2,</w:t>
      </w:r>
      <w:r w:rsidRPr="00EE6AF1">
        <w:rPr>
          <w:sz w:val="18"/>
          <w:szCs w:val="18"/>
        </w:rPr>
        <w:t xml:space="preserve"> this set of sites reflects the NRC’s understanding of licensees’ </w:t>
      </w:r>
      <w:r>
        <w:rPr>
          <w:sz w:val="18"/>
          <w:szCs w:val="18"/>
        </w:rPr>
        <w:t xml:space="preserve">decommissioning </w:t>
      </w:r>
      <w:r w:rsidRPr="00EE6AF1">
        <w:rPr>
          <w:sz w:val="18"/>
          <w:szCs w:val="18"/>
        </w:rPr>
        <w:t xml:space="preserve">plans at the time </w:t>
      </w:r>
      <w:r>
        <w:rPr>
          <w:sz w:val="18"/>
          <w:szCs w:val="18"/>
        </w:rPr>
        <w:t xml:space="preserve">the staff prepared </w:t>
      </w:r>
      <w:r w:rsidRPr="00EE6AF1">
        <w:rPr>
          <w:sz w:val="18"/>
          <w:szCs w:val="18"/>
        </w:rPr>
        <w:t>this regulatory analysis.  The costs and benefits of the rule change if the number of facilities that decommission changes over the timeframe considered in this analysis.</w:t>
      </w:r>
    </w:p>
  </w:footnote>
  <w:footnote w:id="24">
    <w:p w14:paraId="44FA1C4B" w14:textId="4DF61542" w:rsidR="0088161E" w:rsidRPr="002D7AD0" w:rsidRDefault="0088161E" w:rsidP="007414BF">
      <w:pPr>
        <w:pStyle w:val="FootnoteText"/>
        <w:ind w:left="720" w:hanging="720"/>
        <w:rPr>
          <w:sz w:val="18"/>
          <w:szCs w:val="18"/>
        </w:rPr>
      </w:pPr>
      <w:r w:rsidRPr="002D7AD0">
        <w:rPr>
          <w:rStyle w:val="FootnoteReference"/>
          <w:sz w:val="18"/>
          <w:szCs w:val="18"/>
        </w:rPr>
        <w:footnoteRef/>
      </w:r>
      <w:r w:rsidRPr="004C2CEA">
        <w:rPr>
          <w:sz w:val="18"/>
          <w:szCs w:val="18"/>
        </w:rPr>
        <w:t xml:space="preserve"> </w:t>
      </w:r>
      <w:r w:rsidRPr="004C2CEA">
        <w:rPr>
          <w:sz w:val="18"/>
          <w:szCs w:val="18"/>
        </w:rPr>
        <w:tab/>
        <w:t>In practice</w:t>
      </w:r>
      <w:r>
        <w:rPr>
          <w:sz w:val="18"/>
          <w:szCs w:val="18"/>
        </w:rPr>
        <w:t>,</w:t>
      </w:r>
      <w:r w:rsidRPr="004C2CEA">
        <w:rPr>
          <w:sz w:val="18"/>
          <w:szCs w:val="18"/>
        </w:rPr>
        <w:t xml:space="preserve"> some affe</w:t>
      </w:r>
      <w:r w:rsidRPr="00C55631">
        <w:rPr>
          <w:sz w:val="18"/>
          <w:szCs w:val="18"/>
        </w:rPr>
        <w:t xml:space="preserve">cted entities </w:t>
      </w:r>
      <w:r>
        <w:rPr>
          <w:sz w:val="18"/>
          <w:szCs w:val="18"/>
        </w:rPr>
        <w:t>may</w:t>
      </w:r>
      <w:r w:rsidRPr="00C55631">
        <w:rPr>
          <w:sz w:val="18"/>
          <w:szCs w:val="18"/>
        </w:rPr>
        <w:t xml:space="preserve"> take additional actions in response to positive drug test results</w:t>
      </w:r>
      <w:r>
        <w:rPr>
          <w:sz w:val="18"/>
          <w:szCs w:val="18"/>
        </w:rPr>
        <w:t>,</w:t>
      </w:r>
      <w:r w:rsidRPr="00C55631">
        <w:rPr>
          <w:sz w:val="18"/>
          <w:szCs w:val="18"/>
        </w:rPr>
        <w:t xml:space="preserve"> which may involve staffing actions such as compensating other staff for overtime to cover the assignments of the individual who committed the FFD violation or hiring and training a replacement.  </w:t>
      </w:r>
      <w:r>
        <w:rPr>
          <w:sz w:val="18"/>
          <w:szCs w:val="18"/>
        </w:rPr>
        <w:t>T</w:t>
      </w:r>
      <w:r w:rsidRPr="00C55631">
        <w:rPr>
          <w:sz w:val="18"/>
          <w:szCs w:val="18"/>
        </w:rPr>
        <w:t xml:space="preserve">he NRC staff assumes that the costs associated with staffing actions in response to </w:t>
      </w:r>
      <w:r>
        <w:rPr>
          <w:sz w:val="18"/>
          <w:szCs w:val="18"/>
        </w:rPr>
        <w:t>any</w:t>
      </w:r>
      <w:r w:rsidRPr="006228CE">
        <w:rPr>
          <w:sz w:val="18"/>
          <w:szCs w:val="18"/>
        </w:rPr>
        <w:t xml:space="preserve"> additional positive drug test results each year </w:t>
      </w:r>
      <w:r>
        <w:rPr>
          <w:sz w:val="18"/>
          <w:szCs w:val="18"/>
        </w:rPr>
        <w:t>stemming from</w:t>
      </w:r>
      <w:r w:rsidRPr="006228CE">
        <w:rPr>
          <w:sz w:val="18"/>
          <w:szCs w:val="18"/>
        </w:rPr>
        <w:t xml:space="preserve"> the </w:t>
      </w:r>
      <w:r>
        <w:rPr>
          <w:sz w:val="18"/>
          <w:szCs w:val="18"/>
        </w:rPr>
        <w:t>final</w:t>
      </w:r>
      <w:r w:rsidRPr="006228CE">
        <w:rPr>
          <w:sz w:val="18"/>
          <w:szCs w:val="18"/>
        </w:rPr>
        <w:t xml:space="preserve"> rule </w:t>
      </w:r>
      <w:r>
        <w:rPr>
          <w:sz w:val="18"/>
          <w:szCs w:val="18"/>
        </w:rPr>
        <w:t>are</w:t>
      </w:r>
      <w:r w:rsidRPr="006228CE">
        <w:rPr>
          <w:sz w:val="18"/>
          <w:szCs w:val="18"/>
        </w:rPr>
        <w:t xml:space="preserve"> negligible</w:t>
      </w:r>
      <w:r>
        <w:rPr>
          <w:sz w:val="18"/>
          <w:szCs w:val="18"/>
        </w:rPr>
        <w:t xml:space="preserve"> for the following reasons</w:t>
      </w:r>
      <w:r w:rsidRPr="006228CE">
        <w:rPr>
          <w:sz w:val="18"/>
          <w:szCs w:val="18"/>
        </w:rPr>
        <w:t>.  First</w:t>
      </w:r>
      <w:r>
        <w:rPr>
          <w:sz w:val="18"/>
          <w:szCs w:val="18"/>
        </w:rPr>
        <w:t>,</w:t>
      </w:r>
      <w:r w:rsidRPr="006228CE">
        <w:rPr>
          <w:sz w:val="18"/>
          <w:szCs w:val="18"/>
        </w:rPr>
        <w:t xml:space="preserve"> data collected by the NRC on existing FFD programs indicate that </w:t>
      </w:r>
      <w:r w:rsidRPr="00CC49BE">
        <w:rPr>
          <w:sz w:val="18"/>
          <w:szCs w:val="18"/>
        </w:rPr>
        <w:t>approximately 67 percent of positive test results occur</w:t>
      </w:r>
      <w:r w:rsidRPr="006228CE">
        <w:rPr>
          <w:sz w:val="18"/>
          <w:szCs w:val="18"/>
        </w:rPr>
        <w:t xml:space="preserve"> </w:t>
      </w:r>
      <w:r>
        <w:rPr>
          <w:sz w:val="18"/>
          <w:szCs w:val="18"/>
        </w:rPr>
        <w:t xml:space="preserve">during pre-access testing; this value varies between 64 and 70 percent annually. </w:t>
      </w:r>
      <w:r w:rsidRPr="006228CE">
        <w:rPr>
          <w:sz w:val="18"/>
          <w:szCs w:val="18"/>
        </w:rPr>
        <w:t xml:space="preserve"> </w:t>
      </w:r>
      <w:r>
        <w:rPr>
          <w:sz w:val="18"/>
          <w:szCs w:val="18"/>
        </w:rPr>
        <w:t>T</w:t>
      </w:r>
      <w:r w:rsidRPr="006228CE">
        <w:rPr>
          <w:sz w:val="18"/>
          <w:szCs w:val="18"/>
        </w:rPr>
        <w:t xml:space="preserve">he NRC staff </w:t>
      </w:r>
      <w:r>
        <w:rPr>
          <w:sz w:val="18"/>
          <w:szCs w:val="18"/>
        </w:rPr>
        <w:t xml:space="preserve">assumes that this historical trend will continue, such </w:t>
      </w:r>
      <w:r w:rsidRPr="00CC49BE">
        <w:rPr>
          <w:sz w:val="18"/>
          <w:szCs w:val="18"/>
        </w:rPr>
        <w:t>that 67 percent of</w:t>
      </w:r>
      <w:r w:rsidRPr="006228CE">
        <w:rPr>
          <w:sz w:val="18"/>
          <w:szCs w:val="18"/>
        </w:rPr>
        <w:t xml:space="preserve"> the </w:t>
      </w:r>
      <w:r w:rsidRPr="00C55631">
        <w:rPr>
          <w:sz w:val="18"/>
          <w:szCs w:val="18"/>
        </w:rPr>
        <w:t xml:space="preserve">additional positive drug test results </w:t>
      </w:r>
      <w:r>
        <w:rPr>
          <w:sz w:val="18"/>
          <w:szCs w:val="18"/>
        </w:rPr>
        <w:t>do</w:t>
      </w:r>
      <w:r w:rsidRPr="00C55631">
        <w:rPr>
          <w:sz w:val="18"/>
          <w:szCs w:val="18"/>
        </w:rPr>
        <w:t xml:space="preserve"> not result in costs associated with staffing actions because these individuals </w:t>
      </w:r>
      <w:r>
        <w:rPr>
          <w:sz w:val="18"/>
          <w:szCs w:val="18"/>
        </w:rPr>
        <w:t xml:space="preserve">are </w:t>
      </w:r>
      <w:r w:rsidRPr="00CC49BE">
        <w:rPr>
          <w:sz w:val="18"/>
          <w:szCs w:val="18"/>
        </w:rPr>
        <w:t>detected during pre-access testing</w:t>
      </w:r>
      <w:r w:rsidRPr="007D51AE">
        <w:rPr>
          <w:sz w:val="18"/>
          <w:szCs w:val="18"/>
        </w:rPr>
        <w:t xml:space="preserve">.  Second, </w:t>
      </w:r>
      <w:r>
        <w:rPr>
          <w:sz w:val="18"/>
          <w:szCs w:val="18"/>
        </w:rPr>
        <w:t xml:space="preserve">an NRC analysis of </w:t>
      </w:r>
      <w:r w:rsidRPr="007D51AE">
        <w:rPr>
          <w:sz w:val="18"/>
          <w:szCs w:val="18"/>
        </w:rPr>
        <w:t xml:space="preserve">FFD program performance data </w:t>
      </w:r>
      <w:r>
        <w:rPr>
          <w:sz w:val="18"/>
          <w:szCs w:val="18"/>
        </w:rPr>
        <w:t xml:space="preserve">from CY 2010 through CY 2019 </w:t>
      </w:r>
      <w:r w:rsidRPr="007D51AE">
        <w:rPr>
          <w:sz w:val="18"/>
          <w:szCs w:val="18"/>
        </w:rPr>
        <w:t>indicate</w:t>
      </w:r>
      <w:r>
        <w:rPr>
          <w:sz w:val="18"/>
          <w:szCs w:val="18"/>
        </w:rPr>
        <w:t>s</w:t>
      </w:r>
      <w:r w:rsidRPr="007D51AE">
        <w:rPr>
          <w:sz w:val="18"/>
          <w:szCs w:val="18"/>
        </w:rPr>
        <w:t xml:space="preserve"> that C/V staff account for </w:t>
      </w:r>
      <w:r>
        <w:rPr>
          <w:sz w:val="18"/>
          <w:szCs w:val="18"/>
        </w:rPr>
        <w:t>an average of 75</w:t>
      </w:r>
      <w:r w:rsidRPr="007D51AE">
        <w:rPr>
          <w:sz w:val="18"/>
          <w:szCs w:val="18"/>
        </w:rPr>
        <w:t> percent of the remaining (non-pre</w:t>
      </w:r>
      <w:r>
        <w:rPr>
          <w:sz w:val="18"/>
          <w:szCs w:val="18"/>
        </w:rPr>
        <w:t>-</w:t>
      </w:r>
      <w:r w:rsidRPr="007D51AE">
        <w:rPr>
          <w:sz w:val="18"/>
          <w:szCs w:val="18"/>
        </w:rPr>
        <w:t>access) positive drug test results, and the NRC staff assumes that this historical trend will continue</w:t>
      </w:r>
      <w:r w:rsidRPr="00C55631">
        <w:rPr>
          <w:sz w:val="18"/>
          <w:szCs w:val="18"/>
        </w:rPr>
        <w:t xml:space="preserve">.  Licensees typically impose a </w:t>
      </w:r>
      <w:r>
        <w:rPr>
          <w:sz w:val="18"/>
          <w:szCs w:val="18"/>
        </w:rPr>
        <w:t>“</w:t>
      </w:r>
      <w:r w:rsidRPr="00C55631">
        <w:rPr>
          <w:sz w:val="18"/>
          <w:szCs w:val="18"/>
        </w:rPr>
        <w:t>zero tolerance</w:t>
      </w:r>
      <w:r>
        <w:rPr>
          <w:sz w:val="18"/>
          <w:szCs w:val="18"/>
        </w:rPr>
        <w:t>”</w:t>
      </w:r>
      <w:r w:rsidRPr="00C55631">
        <w:rPr>
          <w:sz w:val="18"/>
          <w:szCs w:val="18"/>
        </w:rPr>
        <w:t xml:space="preserve"> policy on C/Vs</w:t>
      </w:r>
      <w:r>
        <w:rPr>
          <w:sz w:val="18"/>
          <w:szCs w:val="18"/>
        </w:rPr>
        <w:t>,</w:t>
      </w:r>
      <w:r w:rsidRPr="00C55631">
        <w:rPr>
          <w:sz w:val="18"/>
          <w:szCs w:val="18"/>
        </w:rPr>
        <w:t xml:space="preserve"> so individuals with positive test results are immediately replaced with another </w:t>
      </w:r>
      <w:r w:rsidRPr="0060057F">
        <w:rPr>
          <w:sz w:val="18"/>
          <w:szCs w:val="18"/>
        </w:rPr>
        <w:t>C/V employee</w:t>
      </w:r>
      <w:r>
        <w:rPr>
          <w:sz w:val="18"/>
          <w:szCs w:val="18"/>
        </w:rPr>
        <w:t xml:space="preserve"> if needed</w:t>
      </w:r>
      <w:r w:rsidRPr="0060057F">
        <w:rPr>
          <w:sz w:val="18"/>
          <w:szCs w:val="18"/>
        </w:rPr>
        <w:t xml:space="preserve">.  Removing the estimated positive test results associated with pre-access testing </w:t>
      </w:r>
      <w:r>
        <w:rPr>
          <w:sz w:val="18"/>
          <w:szCs w:val="18"/>
        </w:rPr>
        <w:t xml:space="preserve">(176 positives x 67 percent = 118 positives) </w:t>
      </w:r>
      <w:r w:rsidRPr="0060057F">
        <w:rPr>
          <w:sz w:val="18"/>
          <w:szCs w:val="18"/>
        </w:rPr>
        <w:t xml:space="preserve">and C/V staff </w:t>
      </w:r>
      <w:r>
        <w:rPr>
          <w:sz w:val="18"/>
          <w:szCs w:val="18"/>
        </w:rPr>
        <w:t xml:space="preserve">positives for non-pre-access tests ((176 tests – 118 positives = 58 positives) x 75 percent = 44 C/V positive results) </w:t>
      </w:r>
      <w:r w:rsidRPr="0060057F">
        <w:rPr>
          <w:sz w:val="18"/>
          <w:szCs w:val="18"/>
        </w:rPr>
        <w:t xml:space="preserve">leaves </w:t>
      </w:r>
      <w:r>
        <w:rPr>
          <w:sz w:val="18"/>
          <w:szCs w:val="18"/>
        </w:rPr>
        <w:t>an estimated 14 additional licensee employee positive results per year for non-pre-access tests</w:t>
      </w:r>
      <w:r w:rsidRPr="0060057F">
        <w:rPr>
          <w:sz w:val="18"/>
          <w:szCs w:val="18"/>
        </w:rPr>
        <w:t>.  For this an</w:t>
      </w:r>
      <w:r w:rsidRPr="00FD3764">
        <w:rPr>
          <w:sz w:val="18"/>
          <w:szCs w:val="18"/>
        </w:rPr>
        <w:t xml:space="preserve">alysis, the NRC staff assumes that these </w:t>
      </w:r>
      <w:r>
        <w:rPr>
          <w:sz w:val="18"/>
          <w:szCs w:val="18"/>
        </w:rPr>
        <w:t>14 </w:t>
      </w:r>
      <w:r w:rsidRPr="00FD3764">
        <w:rPr>
          <w:sz w:val="18"/>
          <w:szCs w:val="18"/>
        </w:rPr>
        <w:t>additional positive test results are evenly distributed across the industry, resulting in an average of approximately 0.2 additional positive test result per site per year (1</w:t>
      </w:r>
      <w:r>
        <w:rPr>
          <w:sz w:val="18"/>
          <w:szCs w:val="18"/>
        </w:rPr>
        <w:t>4</w:t>
      </w:r>
      <w:r w:rsidRPr="00FD3764">
        <w:rPr>
          <w:sz w:val="18"/>
          <w:szCs w:val="18"/>
        </w:rPr>
        <w:t xml:space="preserve"> positive results / 59 sites = 0.2 per site).</w:t>
      </w:r>
    </w:p>
  </w:footnote>
  <w:footnote w:id="25">
    <w:p w14:paraId="70D3AB4D" w14:textId="6421DC7E" w:rsidR="0088161E" w:rsidRPr="00F912E9" w:rsidRDefault="0088161E" w:rsidP="002D4326">
      <w:pPr>
        <w:pStyle w:val="FootnoteText"/>
        <w:ind w:left="720" w:hanging="720"/>
        <w:rPr>
          <w:sz w:val="18"/>
        </w:rPr>
      </w:pPr>
      <w:r w:rsidRPr="00F912E9">
        <w:rPr>
          <w:rStyle w:val="FootnoteReference"/>
          <w:sz w:val="18"/>
        </w:rPr>
        <w:footnoteRef/>
      </w:r>
      <w:r w:rsidRPr="00F912E9">
        <w:rPr>
          <w:sz w:val="18"/>
        </w:rPr>
        <w:t xml:space="preserve"> </w:t>
      </w:r>
      <w:r w:rsidRPr="00F912E9">
        <w:rPr>
          <w:sz w:val="18"/>
        </w:rPr>
        <w:tab/>
        <w:t>The NRC staff made a simplifying assumption that all FFD programs that use HHS</w:t>
      </w:r>
      <w:r w:rsidRPr="00F912E9">
        <w:rPr>
          <w:sz w:val="18"/>
        </w:rPr>
        <w:noBreakHyphen/>
        <w:t xml:space="preserve">certified laboratories have contracts with a primary and </w:t>
      </w:r>
      <w:r>
        <w:rPr>
          <w:sz w:val="18"/>
          <w:szCs w:val="18"/>
        </w:rPr>
        <w:t xml:space="preserve">a backup </w:t>
      </w:r>
      <w:r w:rsidRPr="000D3B34">
        <w:rPr>
          <w:sz w:val="18"/>
          <w:szCs w:val="18"/>
        </w:rPr>
        <w:t>lab</w:t>
      </w:r>
      <w:r>
        <w:rPr>
          <w:sz w:val="18"/>
          <w:szCs w:val="18"/>
        </w:rPr>
        <w:t>oratory</w:t>
      </w:r>
      <w:r w:rsidRPr="00F912E9">
        <w:rPr>
          <w:sz w:val="18"/>
        </w:rPr>
        <w:t>.</w:t>
      </w:r>
      <w:r>
        <w:rPr>
          <w:sz w:val="18"/>
        </w:rPr>
        <w:t xml:space="preserve">  Not all FFD programs maintain a contract with a backup laboratory.</w:t>
      </w:r>
    </w:p>
  </w:footnote>
  <w:footnote w:id="26">
    <w:p w14:paraId="4A1C4F99" w14:textId="054276BE" w:rsidR="0088161E" w:rsidRPr="00F31EF0" w:rsidRDefault="0088161E" w:rsidP="007414BF">
      <w:pPr>
        <w:pStyle w:val="FootnoteText"/>
        <w:ind w:left="720" w:hanging="720"/>
        <w:rPr>
          <w:sz w:val="18"/>
          <w:szCs w:val="18"/>
        </w:rPr>
      </w:pPr>
      <w:r w:rsidRPr="00C10C5B">
        <w:rPr>
          <w:rStyle w:val="FootnoteReference"/>
          <w:sz w:val="18"/>
          <w:szCs w:val="18"/>
        </w:rPr>
        <w:footnoteRef/>
      </w:r>
      <w:r w:rsidRPr="00C10C5B">
        <w:rPr>
          <w:sz w:val="18"/>
          <w:szCs w:val="18"/>
        </w:rPr>
        <w:t xml:space="preserve"> </w:t>
      </w:r>
      <w:r w:rsidRPr="00C10C5B">
        <w:rPr>
          <w:sz w:val="18"/>
          <w:szCs w:val="18"/>
        </w:rPr>
        <w:tab/>
        <w:t xml:space="preserve">The NRC staff estimates that approximately </w:t>
      </w:r>
      <w:r w:rsidRPr="003D32A8">
        <w:rPr>
          <w:sz w:val="18"/>
          <w:szCs w:val="18"/>
        </w:rPr>
        <w:t xml:space="preserve">5 percent of sites (i.e., 3 of 59 sites) </w:t>
      </w:r>
      <w:r>
        <w:rPr>
          <w:sz w:val="18"/>
          <w:szCs w:val="18"/>
        </w:rPr>
        <w:t>will</w:t>
      </w:r>
      <w:r w:rsidRPr="003D32A8">
        <w:rPr>
          <w:sz w:val="18"/>
          <w:szCs w:val="18"/>
        </w:rPr>
        <w:t xml:space="preserve"> conduct an independent training on the rule changes (in accordance with labor agreements) instead of including the information update as part of annual FFD </w:t>
      </w:r>
      <w:r w:rsidRPr="00245BD2">
        <w:rPr>
          <w:sz w:val="18"/>
          <w:szCs w:val="18"/>
        </w:rPr>
        <w:t>refresher training.</w:t>
      </w:r>
    </w:p>
    <w:p w14:paraId="3B267F11" w14:textId="77777777" w:rsidR="0088161E" w:rsidRPr="00F31EF0" w:rsidRDefault="0088161E" w:rsidP="007414BF">
      <w:pPr>
        <w:pStyle w:val="FootnoteText"/>
        <w:ind w:left="720" w:hanging="720"/>
        <w:rPr>
          <w:sz w:val="18"/>
          <w:szCs w:val="18"/>
        </w:rPr>
      </w:pPr>
    </w:p>
  </w:footnote>
  <w:footnote w:id="27">
    <w:p w14:paraId="22255950" w14:textId="1CDA47B5" w:rsidR="0088161E" w:rsidRPr="004C2CEA" w:rsidRDefault="0088161E" w:rsidP="007414BF">
      <w:pPr>
        <w:pStyle w:val="FootnoteText"/>
        <w:ind w:left="720" w:hanging="720"/>
        <w:rPr>
          <w:sz w:val="18"/>
          <w:szCs w:val="18"/>
        </w:rPr>
      </w:pPr>
      <w:r w:rsidRPr="00C10C5B">
        <w:rPr>
          <w:rStyle w:val="FootnoteReference"/>
          <w:sz w:val="18"/>
          <w:szCs w:val="18"/>
        </w:rPr>
        <w:footnoteRef/>
      </w:r>
      <w:r w:rsidRPr="00C10C5B">
        <w:rPr>
          <w:sz w:val="18"/>
          <w:szCs w:val="18"/>
        </w:rPr>
        <w:t xml:space="preserve"> </w:t>
      </w:r>
      <w:r w:rsidRPr="00C10C5B">
        <w:rPr>
          <w:sz w:val="18"/>
          <w:szCs w:val="18"/>
        </w:rPr>
        <w:tab/>
        <w:t>This cost could be as high as ($6.6</w:t>
      </w:r>
      <w:r w:rsidRPr="003D32A8">
        <w:rPr>
          <w:sz w:val="18"/>
          <w:szCs w:val="18"/>
        </w:rPr>
        <w:t xml:space="preserve"> million) if all sites choose to hold trainings and distribute information on FFD program changes outside of </w:t>
      </w:r>
      <w:r>
        <w:rPr>
          <w:sz w:val="18"/>
          <w:szCs w:val="18"/>
        </w:rPr>
        <w:t xml:space="preserve">the </w:t>
      </w:r>
      <w:r w:rsidRPr="003D32A8">
        <w:rPr>
          <w:sz w:val="18"/>
          <w:szCs w:val="18"/>
        </w:rPr>
        <w:t>annual refresher training required by 10 CFR 26.29(c) (i.e., if sites do not pursue the least</w:t>
      </w:r>
      <w:r>
        <w:rPr>
          <w:sz w:val="18"/>
          <w:szCs w:val="18"/>
        </w:rPr>
        <w:t xml:space="preserve"> </w:t>
      </w:r>
      <w:r w:rsidRPr="003D32A8">
        <w:rPr>
          <w:sz w:val="18"/>
          <w:szCs w:val="18"/>
        </w:rPr>
        <w:t>cost approach).</w:t>
      </w:r>
    </w:p>
  </w:footnote>
  <w:footnote w:id="28">
    <w:p w14:paraId="2473DDC0" w14:textId="6C5B14D0" w:rsidR="0088161E" w:rsidRPr="006005A8" w:rsidRDefault="0088161E" w:rsidP="007414BF">
      <w:pPr>
        <w:pStyle w:val="FootnoteText"/>
        <w:ind w:left="720" w:hanging="720"/>
        <w:rPr>
          <w:sz w:val="18"/>
          <w:szCs w:val="18"/>
        </w:rPr>
      </w:pPr>
      <w:r w:rsidRPr="00206D07">
        <w:rPr>
          <w:rStyle w:val="FootnoteReference"/>
          <w:sz w:val="18"/>
          <w:szCs w:val="18"/>
        </w:rPr>
        <w:footnoteRef/>
      </w:r>
      <w:r w:rsidRPr="00206D07">
        <w:rPr>
          <w:sz w:val="18"/>
          <w:szCs w:val="18"/>
        </w:rPr>
        <w:t xml:space="preserve"> </w:t>
      </w:r>
      <w:r w:rsidRPr="00206D07">
        <w:rPr>
          <w:sz w:val="18"/>
          <w:szCs w:val="18"/>
        </w:rPr>
        <w:tab/>
      </w:r>
      <w:r w:rsidRPr="00206D07">
        <w:rPr>
          <w:rFonts w:cs="Arial"/>
          <w:sz w:val="18"/>
          <w:szCs w:val="18"/>
        </w:rPr>
        <w:t>Based on trends in subversion attempts (</w:t>
      </w:r>
      <w:r>
        <w:rPr>
          <w:rFonts w:cs="Arial"/>
          <w:sz w:val="18"/>
          <w:szCs w:val="18"/>
        </w:rPr>
        <w:t xml:space="preserve">see </w:t>
      </w:r>
      <w:r w:rsidRPr="00206D07">
        <w:rPr>
          <w:rFonts w:cs="Arial"/>
          <w:sz w:val="18"/>
          <w:szCs w:val="18"/>
        </w:rPr>
        <w:t xml:space="preserve">NRC, 2017), attempts to subvert tests are increasing </w:t>
      </w:r>
      <w:r>
        <w:rPr>
          <w:rFonts w:cs="Arial"/>
          <w:sz w:val="18"/>
          <w:szCs w:val="18"/>
        </w:rPr>
        <w:t>(</w:t>
      </w:r>
      <w:r w:rsidRPr="00206D07">
        <w:rPr>
          <w:rFonts w:cs="Arial"/>
          <w:sz w:val="18"/>
          <w:szCs w:val="18"/>
        </w:rPr>
        <w:t>64</w:t>
      </w:r>
      <w:r>
        <w:rPr>
          <w:rFonts w:cs="Arial"/>
          <w:sz w:val="18"/>
          <w:szCs w:val="18"/>
        </w:rPr>
        <w:t> percent</w:t>
      </w:r>
      <w:r w:rsidRPr="00206D07">
        <w:rPr>
          <w:rFonts w:cs="Arial"/>
          <w:sz w:val="18"/>
          <w:szCs w:val="18"/>
        </w:rPr>
        <w:t xml:space="preserve"> of the sites reported at least one subversion attempt</w:t>
      </w:r>
      <w:r>
        <w:rPr>
          <w:rFonts w:cs="Arial"/>
          <w:sz w:val="18"/>
          <w:szCs w:val="18"/>
        </w:rPr>
        <w:t>)</w:t>
      </w:r>
      <w:r w:rsidRPr="00206D07">
        <w:rPr>
          <w:rFonts w:cs="Arial"/>
          <w:sz w:val="18"/>
          <w:szCs w:val="18"/>
        </w:rPr>
        <w:t xml:space="preserve">, and the majority of the attempts occur during pre-access testing </w:t>
      </w:r>
      <w:r>
        <w:rPr>
          <w:rFonts w:cs="Arial"/>
          <w:sz w:val="18"/>
          <w:szCs w:val="18"/>
        </w:rPr>
        <w:t>(</w:t>
      </w:r>
      <w:r w:rsidRPr="00206D07">
        <w:rPr>
          <w:rFonts w:cs="Arial"/>
          <w:sz w:val="18"/>
          <w:szCs w:val="18"/>
        </w:rPr>
        <w:t>16 additional confirmed positive test results are expected to occur during pre-access testing</w:t>
      </w:r>
      <w:r>
        <w:rPr>
          <w:rFonts w:cs="Arial"/>
          <w:sz w:val="18"/>
          <w:szCs w:val="18"/>
        </w:rPr>
        <w:t>)</w:t>
      </w:r>
      <w:r w:rsidRPr="00206D07">
        <w:rPr>
          <w:rFonts w:cs="Arial"/>
          <w:sz w:val="18"/>
          <w:szCs w:val="18"/>
        </w:rPr>
        <w:t>.</w:t>
      </w:r>
    </w:p>
  </w:footnote>
  <w:footnote w:id="29">
    <w:p w14:paraId="0C0ECF31" w14:textId="1990C3EA" w:rsidR="0088161E" w:rsidRPr="00812E9A" w:rsidRDefault="0088161E" w:rsidP="007414BF">
      <w:pPr>
        <w:pStyle w:val="FootnoteText"/>
        <w:ind w:left="720" w:hanging="720"/>
        <w:rPr>
          <w:sz w:val="18"/>
          <w:szCs w:val="18"/>
        </w:rPr>
      </w:pPr>
      <w:r>
        <w:rPr>
          <w:rStyle w:val="FootnoteReference"/>
        </w:rPr>
        <w:footnoteRef/>
      </w:r>
      <w:r>
        <w:t xml:space="preserve"> </w:t>
      </w:r>
      <w:r w:rsidRPr="00582DE0">
        <w:rPr>
          <w:sz w:val="18"/>
          <w:szCs w:val="18"/>
        </w:rPr>
        <w:tab/>
      </w:r>
      <w:r w:rsidRPr="00844223">
        <w:rPr>
          <w:sz w:val="18"/>
          <w:szCs w:val="18"/>
        </w:rPr>
        <w:t>The n</w:t>
      </w:r>
      <w:r>
        <w:rPr>
          <w:sz w:val="18"/>
          <w:szCs w:val="18"/>
        </w:rPr>
        <w:t>umber of Federal agencies us</w:t>
      </w:r>
      <w:r w:rsidRPr="00844223">
        <w:rPr>
          <w:sz w:val="18"/>
          <w:szCs w:val="18"/>
        </w:rPr>
        <w:t xml:space="preserve">ing the </w:t>
      </w:r>
      <w:r>
        <w:rPr>
          <w:sz w:val="18"/>
          <w:szCs w:val="18"/>
        </w:rPr>
        <w:t xml:space="preserve">2017 </w:t>
      </w:r>
      <w:r w:rsidRPr="00844223">
        <w:rPr>
          <w:sz w:val="18"/>
          <w:szCs w:val="18"/>
        </w:rPr>
        <w:t xml:space="preserve">HHS Guidelines </w:t>
      </w:r>
      <w:r>
        <w:rPr>
          <w:sz w:val="18"/>
          <w:szCs w:val="18"/>
        </w:rPr>
        <w:t>appears</w:t>
      </w:r>
      <w:r w:rsidRPr="00844223">
        <w:rPr>
          <w:sz w:val="18"/>
          <w:szCs w:val="18"/>
        </w:rPr>
        <w:t xml:space="preserve"> in the OMB information collection</w:t>
      </w:r>
      <w:r>
        <w:rPr>
          <w:sz w:val="18"/>
          <w:szCs w:val="18"/>
        </w:rPr>
        <w:t>’s</w:t>
      </w:r>
      <w:r w:rsidRPr="00844223">
        <w:rPr>
          <w:sz w:val="18"/>
          <w:szCs w:val="18"/>
        </w:rPr>
        <w:t xml:space="preserve"> </w:t>
      </w:r>
      <w:r>
        <w:rPr>
          <w:sz w:val="18"/>
          <w:szCs w:val="18"/>
        </w:rPr>
        <w:t>s</w:t>
      </w:r>
      <w:r w:rsidRPr="00844223">
        <w:rPr>
          <w:sz w:val="18"/>
          <w:szCs w:val="18"/>
        </w:rPr>
        <w:t xml:space="preserve">upporting </w:t>
      </w:r>
      <w:r>
        <w:rPr>
          <w:sz w:val="18"/>
          <w:szCs w:val="18"/>
        </w:rPr>
        <w:t>s</w:t>
      </w:r>
      <w:r w:rsidRPr="00844223">
        <w:rPr>
          <w:sz w:val="18"/>
          <w:szCs w:val="18"/>
        </w:rPr>
        <w:t>tatement (OMB No.</w:t>
      </w:r>
      <w:r>
        <w:rPr>
          <w:sz w:val="18"/>
          <w:szCs w:val="18"/>
        </w:rPr>
        <w:t> </w:t>
      </w:r>
      <w:r w:rsidRPr="00844223">
        <w:rPr>
          <w:sz w:val="18"/>
          <w:szCs w:val="18"/>
        </w:rPr>
        <w:t xml:space="preserve">0930-0158) filed by </w:t>
      </w:r>
      <w:r>
        <w:rPr>
          <w:sz w:val="18"/>
          <w:szCs w:val="18"/>
        </w:rPr>
        <w:t>the Substance Abuse and Mental Health Services Administration</w:t>
      </w:r>
      <w:r w:rsidRPr="00844223">
        <w:rPr>
          <w:sz w:val="18"/>
          <w:szCs w:val="18"/>
        </w:rPr>
        <w:t xml:space="preserve"> for the </w:t>
      </w:r>
      <w:r>
        <w:rPr>
          <w:sz w:val="18"/>
          <w:szCs w:val="18"/>
        </w:rPr>
        <w:t>“</w:t>
      </w:r>
      <w:r w:rsidRPr="00844223">
        <w:rPr>
          <w:sz w:val="18"/>
          <w:szCs w:val="18"/>
        </w:rPr>
        <w:t xml:space="preserve">Mandatory Guidelines for Federal Workplace Drug Testing </w:t>
      </w:r>
      <w:r w:rsidRPr="00812E9A">
        <w:rPr>
          <w:sz w:val="18"/>
          <w:szCs w:val="18"/>
        </w:rPr>
        <w:t>Programs</w:t>
      </w:r>
      <w:r>
        <w:rPr>
          <w:sz w:val="18"/>
          <w:szCs w:val="18"/>
        </w:rPr>
        <w:t>”</w:t>
      </w:r>
      <w:r w:rsidRPr="00812E9A">
        <w:rPr>
          <w:sz w:val="18"/>
          <w:szCs w:val="18"/>
        </w:rPr>
        <w:t xml:space="preserve"> on April 28, 2017.  The supporting statement is available at the OMB Web site </w:t>
      </w:r>
      <w:hyperlink r:id="rId3" w:history="1">
        <w:r w:rsidRPr="00812E9A">
          <w:rPr>
            <w:rStyle w:val="Hyperlink"/>
            <w:sz w:val="18"/>
            <w:szCs w:val="18"/>
          </w:rPr>
          <w:t>https://www.reginfo.gov/public/do/PRAViewDocument?ref_nbr=201704-0930-001</w:t>
        </w:r>
      </w:hyperlink>
      <w:r w:rsidRPr="00812E9A">
        <w:rPr>
          <w:sz w:val="18"/>
          <w:szCs w:val="18"/>
        </w:rPr>
        <w:t>.</w:t>
      </w:r>
    </w:p>
    <w:p w14:paraId="2F2F465F" w14:textId="77777777" w:rsidR="0088161E" w:rsidRPr="00812E9A" w:rsidRDefault="0088161E" w:rsidP="007414BF">
      <w:pPr>
        <w:pStyle w:val="FootnoteText"/>
        <w:ind w:left="720" w:hanging="720"/>
        <w:rPr>
          <w:sz w:val="18"/>
          <w:szCs w:val="18"/>
        </w:rPr>
      </w:pPr>
    </w:p>
  </w:footnote>
  <w:footnote w:id="30">
    <w:p w14:paraId="43AB6D7F" w14:textId="72F336F7" w:rsidR="0088161E" w:rsidRPr="00812E9A" w:rsidRDefault="0088161E" w:rsidP="007414BF">
      <w:pPr>
        <w:pStyle w:val="FootnoteText"/>
        <w:ind w:left="720" w:hanging="720"/>
        <w:rPr>
          <w:sz w:val="18"/>
          <w:szCs w:val="18"/>
        </w:rPr>
      </w:pPr>
      <w:r w:rsidRPr="00812E9A">
        <w:rPr>
          <w:rStyle w:val="FootnoteReference"/>
          <w:sz w:val="18"/>
          <w:szCs w:val="18"/>
        </w:rPr>
        <w:footnoteRef/>
      </w:r>
      <w:r w:rsidRPr="00812E9A">
        <w:rPr>
          <w:sz w:val="18"/>
          <w:szCs w:val="18"/>
        </w:rPr>
        <w:t xml:space="preserve"> </w:t>
      </w:r>
      <w:r w:rsidRPr="00812E9A">
        <w:rPr>
          <w:sz w:val="18"/>
          <w:szCs w:val="18"/>
        </w:rPr>
        <w:tab/>
        <w:t>Section 503 of Public Law 100–71, 5 U.S.C. Section 7301 note.</w:t>
      </w:r>
    </w:p>
    <w:p w14:paraId="229489D0" w14:textId="77777777" w:rsidR="0088161E" w:rsidRPr="00812E9A" w:rsidRDefault="0088161E" w:rsidP="003C4C8D">
      <w:pPr>
        <w:pStyle w:val="FootnoteText"/>
        <w:ind w:left="720" w:hanging="720"/>
        <w:rPr>
          <w:sz w:val="18"/>
          <w:szCs w:val="18"/>
        </w:rPr>
      </w:pPr>
    </w:p>
  </w:footnote>
  <w:footnote w:id="31">
    <w:p w14:paraId="082F9385" w14:textId="26788E41" w:rsidR="0088161E" w:rsidRPr="00812E9A" w:rsidRDefault="0088161E" w:rsidP="00DF7F81">
      <w:pPr>
        <w:pStyle w:val="FootnoteText"/>
        <w:ind w:left="720" w:hanging="720"/>
        <w:rPr>
          <w:sz w:val="18"/>
          <w:szCs w:val="18"/>
        </w:rPr>
      </w:pPr>
      <w:r w:rsidRPr="00812E9A">
        <w:rPr>
          <w:rStyle w:val="FootnoteReference"/>
          <w:sz w:val="18"/>
          <w:szCs w:val="18"/>
        </w:rPr>
        <w:footnoteRef/>
      </w:r>
      <w:r w:rsidRPr="00812E9A">
        <w:rPr>
          <w:sz w:val="18"/>
          <w:szCs w:val="18"/>
        </w:rPr>
        <w:t xml:space="preserve"> </w:t>
      </w:r>
      <w:r w:rsidRPr="00812E9A">
        <w:rPr>
          <w:sz w:val="18"/>
          <w:szCs w:val="18"/>
        </w:rPr>
        <w:tab/>
        <w:t>Most licensees impose a sanction for a pre-access positive drug test result that is more stringent than that required by 10 CFR 26.75 (i.e., the minimum NRC sanction for a first positive drug test result is a 14</w:t>
      </w:r>
      <w:r>
        <w:rPr>
          <w:sz w:val="18"/>
          <w:szCs w:val="18"/>
        </w:rPr>
        <w:t>-</w:t>
      </w:r>
      <w:r w:rsidRPr="00812E9A">
        <w:rPr>
          <w:sz w:val="18"/>
          <w:szCs w:val="18"/>
        </w:rPr>
        <w:t xml:space="preserve">day denial of unescorted access).  The NRC analysis of FFD program performance </w:t>
      </w:r>
      <w:r>
        <w:rPr>
          <w:sz w:val="18"/>
          <w:szCs w:val="18"/>
        </w:rPr>
        <w:t xml:space="preserve">result </w:t>
      </w:r>
      <w:r w:rsidRPr="00812E9A">
        <w:rPr>
          <w:sz w:val="18"/>
          <w:szCs w:val="18"/>
        </w:rPr>
        <w:t xml:space="preserve">data </w:t>
      </w:r>
      <w:r>
        <w:rPr>
          <w:sz w:val="18"/>
          <w:szCs w:val="18"/>
        </w:rPr>
        <w:t xml:space="preserve">from CY 2009 through CY 2019 </w:t>
      </w:r>
      <w:r w:rsidRPr="00812E9A">
        <w:rPr>
          <w:sz w:val="18"/>
          <w:szCs w:val="18"/>
        </w:rPr>
        <w:t xml:space="preserve">indicates that approximately </w:t>
      </w:r>
      <w:r w:rsidRPr="00B07906">
        <w:rPr>
          <w:sz w:val="18"/>
          <w:szCs w:val="18"/>
        </w:rPr>
        <w:t>67</w:t>
      </w:r>
      <w:r w:rsidRPr="009601B0">
        <w:rPr>
          <w:sz w:val="18"/>
          <w:szCs w:val="18"/>
        </w:rPr>
        <w:t xml:space="preserve"> percent </w:t>
      </w:r>
      <w:r w:rsidRPr="00C133C5">
        <w:rPr>
          <w:sz w:val="18"/>
          <w:szCs w:val="18"/>
        </w:rPr>
        <w:t>of positive test results occur during pre-access testing</w:t>
      </w:r>
      <w:r>
        <w:rPr>
          <w:sz w:val="18"/>
          <w:szCs w:val="18"/>
        </w:rPr>
        <w:t>.  T</w:t>
      </w:r>
      <w:r w:rsidRPr="00C133C5">
        <w:rPr>
          <w:sz w:val="18"/>
          <w:szCs w:val="18"/>
        </w:rPr>
        <w:t xml:space="preserve">herefore, the NRC staff estimates that </w:t>
      </w:r>
      <w:r>
        <w:rPr>
          <w:sz w:val="18"/>
          <w:szCs w:val="18"/>
        </w:rPr>
        <w:t>118</w:t>
      </w:r>
      <w:r w:rsidRPr="00C133C5">
        <w:rPr>
          <w:sz w:val="18"/>
          <w:szCs w:val="18"/>
        </w:rPr>
        <w:t xml:space="preserve"> of the </w:t>
      </w:r>
      <w:r>
        <w:rPr>
          <w:sz w:val="18"/>
          <w:szCs w:val="18"/>
        </w:rPr>
        <w:t>176</w:t>
      </w:r>
      <w:r w:rsidRPr="00C133C5">
        <w:rPr>
          <w:sz w:val="18"/>
          <w:szCs w:val="18"/>
        </w:rPr>
        <w:t> additional positive drug test results</w:t>
      </w:r>
      <w:r w:rsidRPr="00812E9A">
        <w:rPr>
          <w:sz w:val="18"/>
          <w:szCs w:val="18"/>
        </w:rPr>
        <w:t xml:space="preserve"> and subversion attempts each year</w:t>
      </w:r>
      <w:r>
        <w:rPr>
          <w:sz w:val="18"/>
          <w:szCs w:val="18"/>
        </w:rPr>
        <w:t xml:space="preserve"> </w:t>
      </w:r>
      <w:r w:rsidRPr="00812E9A">
        <w:rPr>
          <w:sz w:val="18"/>
          <w:szCs w:val="18"/>
        </w:rPr>
        <w:t xml:space="preserve">would be identified </w:t>
      </w:r>
      <w:r>
        <w:rPr>
          <w:sz w:val="18"/>
          <w:szCs w:val="18"/>
        </w:rPr>
        <w:t>by</w:t>
      </w:r>
      <w:r w:rsidRPr="00812E9A">
        <w:rPr>
          <w:sz w:val="18"/>
          <w:szCs w:val="18"/>
        </w:rPr>
        <w:t xml:space="preserve"> pre-access testing.</w:t>
      </w:r>
    </w:p>
  </w:footnote>
  <w:footnote w:id="32">
    <w:p w14:paraId="243AFAA2" w14:textId="753963D1" w:rsidR="0088161E" w:rsidRPr="00231437" w:rsidRDefault="0088161E" w:rsidP="00DF7F81">
      <w:pPr>
        <w:pStyle w:val="FootnoteText"/>
        <w:ind w:left="720" w:hanging="720"/>
        <w:rPr>
          <w:sz w:val="18"/>
          <w:szCs w:val="18"/>
        </w:rPr>
      </w:pPr>
      <w:r w:rsidRPr="00231437">
        <w:rPr>
          <w:rStyle w:val="FootnoteReference"/>
          <w:sz w:val="18"/>
          <w:szCs w:val="18"/>
        </w:rPr>
        <w:footnoteRef/>
      </w:r>
      <w:r w:rsidRPr="00231437">
        <w:rPr>
          <w:sz w:val="18"/>
          <w:szCs w:val="18"/>
        </w:rPr>
        <w:t xml:space="preserve"> </w:t>
      </w:r>
      <w:r w:rsidRPr="00231437">
        <w:rPr>
          <w:sz w:val="18"/>
          <w:szCs w:val="18"/>
        </w:rPr>
        <w:tab/>
      </w:r>
      <w:r w:rsidRPr="00372F8B">
        <w:rPr>
          <w:sz w:val="18"/>
          <w:szCs w:val="18"/>
        </w:rPr>
        <w:t>Information about this software is availabl</w:t>
      </w:r>
      <w:r w:rsidRPr="00B85B9D">
        <w:rPr>
          <w:sz w:val="18"/>
          <w:szCs w:val="18"/>
        </w:rPr>
        <w:t xml:space="preserve">e online at </w:t>
      </w:r>
      <w:r w:rsidRPr="000D3B34">
        <w:rPr>
          <w:rStyle w:val="Hyperlink"/>
        </w:rPr>
        <w:t>http://</w:t>
      </w:r>
      <w:hyperlink r:id="rId4" w:history="1">
        <w:r w:rsidRPr="00B85B9D">
          <w:rPr>
            <w:rStyle w:val="Hyperlink"/>
            <w:sz w:val="18"/>
            <w:szCs w:val="18"/>
          </w:rPr>
          <w:t>www.palisade.com</w:t>
        </w:r>
      </w:hyperlink>
      <w:r w:rsidRPr="00372F8B">
        <w:rPr>
          <w:sz w:val="18"/>
          <w:szCs w:val="18"/>
        </w:rPr>
        <w:t>.</w:t>
      </w:r>
    </w:p>
    <w:p w14:paraId="05ADDDDD" w14:textId="77777777" w:rsidR="0088161E" w:rsidRPr="00231437" w:rsidRDefault="0088161E" w:rsidP="00DF7F81">
      <w:pPr>
        <w:pStyle w:val="FootnoteText"/>
        <w:ind w:left="720" w:hanging="720"/>
        <w:rPr>
          <w:sz w:val="18"/>
          <w:szCs w:val="18"/>
        </w:rPr>
      </w:pPr>
    </w:p>
  </w:footnote>
  <w:footnote w:id="33">
    <w:p w14:paraId="7A2525EC" w14:textId="35774C2A" w:rsidR="0088161E" w:rsidRPr="00231437" w:rsidRDefault="0088161E" w:rsidP="00DF7F81">
      <w:pPr>
        <w:pStyle w:val="FootnoteText"/>
        <w:ind w:left="720" w:hanging="720"/>
        <w:rPr>
          <w:rFonts w:cs="Arial"/>
          <w:sz w:val="18"/>
          <w:szCs w:val="18"/>
        </w:rPr>
      </w:pPr>
      <w:r w:rsidRPr="00231437">
        <w:rPr>
          <w:rStyle w:val="FootnoteReference"/>
          <w:sz w:val="18"/>
          <w:szCs w:val="18"/>
        </w:rPr>
        <w:footnoteRef/>
      </w:r>
      <w:r w:rsidRPr="00231437">
        <w:rPr>
          <w:sz w:val="18"/>
          <w:szCs w:val="18"/>
        </w:rPr>
        <w:t xml:space="preserve"> </w:t>
      </w:r>
      <w:r w:rsidRPr="00231437">
        <w:rPr>
          <w:sz w:val="18"/>
          <w:szCs w:val="18"/>
        </w:rPr>
        <w:tab/>
      </w:r>
      <w:r w:rsidRPr="00231437">
        <w:rPr>
          <w:rFonts w:cs="Arial"/>
          <w:sz w:val="18"/>
          <w:szCs w:val="18"/>
        </w:rPr>
        <w:t>A PERT distribution is a special form of the beta distribution with minimum and maximum value</w:t>
      </w:r>
      <w:r>
        <w:rPr>
          <w:rFonts w:cs="Arial"/>
          <w:sz w:val="18"/>
          <w:szCs w:val="18"/>
        </w:rPr>
        <w:t>s</w:t>
      </w:r>
      <w:r w:rsidRPr="00231437">
        <w:rPr>
          <w:rFonts w:cs="Arial"/>
          <w:sz w:val="18"/>
          <w:szCs w:val="18"/>
        </w:rPr>
        <w:t xml:space="preserve"> specified.  The shape parameter is calculated from the defined </w:t>
      </w:r>
      <w:r w:rsidRPr="00231437">
        <w:rPr>
          <w:rFonts w:cs="Arial"/>
          <w:i/>
          <w:iCs/>
          <w:sz w:val="18"/>
          <w:szCs w:val="18"/>
        </w:rPr>
        <w:t xml:space="preserve">most likely </w:t>
      </w:r>
      <w:r w:rsidRPr="00231437">
        <w:rPr>
          <w:rFonts w:cs="Arial"/>
          <w:sz w:val="18"/>
          <w:szCs w:val="18"/>
        </w:rPr>
        <w:t xml:space="preserve">value.  The PERT distribution is similar to a triangular distribution in that it has the same set of three parameters.  Technically, it is a special case of a scaled beta (or beta general) distribution.  It </w:t>
      </w:r>
      <w:r>
        <w:rPr>
          <w:rFonts w:cs="Arial"/>
          <w:sz w:val="18"/>
          <w:szCs w:val="18"/>
        </w:rPr>
        <w:t>is</w:t>
      </w:r>
      <w:r w:rsidRPr="00231437">
        <w:rPr>
          <w:rFonts w:cs="Arial"/>
          <w:sz w:val="18"/>
          <w:szCs w:val="18"/>
        </w:rPr>
        <w:t xml:space="preserve"> generally considered superior to the triangular distribution when the parameters result in a skewed distribution, as the smooth shape of the curve places less emphasis in the direction of skew.  Similar to the triangular distribution, the PERT distribution is bounded on both sides and therefore may not be adequate for some modeling purposes, such as those intended to capture tail or extreme events.</w:t>
      </w:r>
    </w:p>
    <w:p w14:paraId="7E2CC93D" w14:textId="77777777" w:rsidR="0088161E" w:rsidRPr="00231437" w:rsidRDefault="0088161E" w:rsidP="00D520BD">
      <w:pPr>
        <w:pStyle w:val="FootnoteText"/>
        <w:ind w:left="360" w:hanging="360"/>
        <w:rPr>
          <w:sz w:val="18"/>
          <w:szCs w:val="18"/>
        </w:rPr>
      </w:pPr>
    </w:p>
  </w:footnote>
  <w:footnote w:id="34">
    <w:p w14:paraId="173128C4" w14:textId="4219CF18" w:rsidR="0088161E" w:rsidRDefault="0088161E" w:rsidP="00F26D4A">
      <w:pPr>
        <w:pStyle w:val="FootnoteText"/>
        <w:ind w:left="720" w:hanging="720"/>
        <w:rPr>
          <w:sz w:val="18"/>
          <w:szCs w:val="18"/>
        </w:rPr>
      </w:pPr>
      <w:r w:rsidRPr="001E5242">
        <w:rPr>
          <w:rStyle w:val="FootnoteReference"/>
          <w:sz w:val="18"/>
          <w:szCs w:val="18"/>
        </w:rPr>
        <w:footnoteRef/>
      </w:r>
      <w:r w:rsidRPr="001E5242">
        <w:rPr>
          <w:sz w:val="18"/>
          <w:szCs w:val="18"/>
        </w:rPr>
        <w:t xml:space="preserve"> </w:t>
      </w:r>
      <w:r w:rsidRPr="001E5242">
        <w:rPr>
          <w:sz w:val="18"/>
          <w:szCs w:val="18"/>
        </w:rPr>
        <w:tab/>
      </w:r>
      <w:r w:rsidRPr="00870983">
        <w:rPr>
          <w:sz w:val="18"/>
          <w:szCs w:val="18"/>
        </w:rPr>
        <w:t>The</w:t>
      </w:r>
      <w:r w:rsidRPr="003A0BD4">
        <w:rPr>
          <w:sz w:val="18"/>
          <w:szCs w:val="18"/>
        </w:rPr>
        <w:t xml:space="preserve"> NRC staff assumes that the licensee or other entity </w:t>
      </w:r>
      <w:r>
        <w:rPr>
          <w:sz w:val="18"/>
          <w:szCs w:val="18"/>
        </w:rPr>
        <w:t>for</w:t>
      </w:r>
      <w:r w:rsidRPr="003A0BD4">
        <w:rPr>
          <w:sz w:val="18"/>
          <w:szCs w:val="18"/>
        </w:rPr>
        <w:t xml:space="preserve"> each site w</w:t>
      </w:r>
      <w:r>
        <w:rPr>
          <w:sz w:val="18"/>
          <w:szCs w:val="18"/>
        </w:rPr>
        <w:t xml:space="preserve">ill </w:t>
      </w:r>
      <w:r w:rsidRPr="003A0BD4">
        <w:rPr>
          <w:sz w:val="18"/>
          <w:szCs w:val="18"/>
        </w:rPr>
        <w:t xml:space="preserve">incur an average cost per requirement.  This assumption is a simplification; some licensees and other entities </w:t>
      </w:r>
      <w:r>
        <w:rPr>
          <w:sz w:val="18"/>
          <w:szCs w:val="18"/>
        </w:rPr>
        <w:t>will</w:t>
      </w:r>
      <w:r w:rsidRPr="003A0BD4">
        <w:rPr>
          <w:sz w:val="18"/>
          <w:szCs w:val="18"/>
        </w:rPr>
        <w:t xml:space="preserve"> incur a higher or lower operations cost depending on the size of the population drug tested at the site (e.g.</w:t>
      </w:r>
      <w:r>
        <w:rPr>
          <w:sz w:val="18"/>
          <w:szCs w:val="18"/>
        </w:rPr>
        <w:t>, </w:t>
      </w:r>
      <w:r w:rsidRPr="003A0BD4">
        <w:rPr>
          <w:sz w:val="18"/>
          <w:szCs w:val="18"/>
        </w:rPr>
        <w:t xml:space="preserve">an operating </w:t>
      </w:r>
      <w:r>
        <w:rPr>
          <w:sz w:val="18"/>
          <w:szCs w:val="18"/>
        </w:rPr>
        <w:t xml:space="preserve">power </w:t>
      </w:r>
      <w:r w:rsidRPr="003A0BD4">
        <w:rPr>
          <w:sz w:val="18"/>
          <w:szCs w:val="18"/>
        </w:rPr>
        <w:t xml:space="preserve">reactor site conducts more drug tests </w:t>
      </w:r>
      <w:r w:rsidRPr="00507B4A">
        <w:rPr>
          <w:sz w:val="18"/>
          <w:szCs w:val="18"/>
        </w:rPr>
        <w:t>than a corporate office).  The licensees a</w:t>
      </w:r>
      <w:r>
        <w:rPr>
          <w:sz w:val="18"/>
          <w:szCs w:val="18"/>
        </w:rPr>
        <w:t>nd other entities subject to 10 CFR Part 26</w:t>
      </w:r>
      <w:r w:rsidRPr="00507B4A">
        <w:rPr>
          <w:sz w:val="18"/>
          <w:szCs w:val="18"/>
        </w:rPr>
        <w:t xml:space="preserve"> include</w:t>
      </w:r>
      <w:r>
        <w:rPr>
          <w:sz w:val="18"/>
          <w:szCs w:val="18"/>
        </w:rPr>
        <w:t> </w:t>
      </w:r>
      <w:r w:rsidRPr="00507B4A">
        <w:rPr>
          <w:sz w:val="18"/>
          <w:szCs w:val="18"/>
        </w:rPr>
        <w:t xml:space="preserve">operating </w:t>
      </w:r>
      <w:r>
        <w:rPr>
          <w:sz w:val="18"/>
          <w:szCs w:val="18"/>
        </w:rPr>
        <w:t xml:space="preserve">power </w:t>
      </w:r>
      <w:r w:rsidRPr="00507B4A">
        <w:rPr>
          <w:sz w:val="18"/>
          <w:szCs w:val="18"/>
        </w:rPr>
        <w:t>reactor sites</w:t>
      </w:r>
      <w:r>
        <w:rPr>
          <w:sz w:val="18"/>
          <w:szCs w:val="18"/>
        </w:rPr>
        <w:t>,</w:t>
      </w:r>
      <w:r w:rsidRPr="00097B71">
        <w:rPr>
          <w:sz w:val="18"/>
          <w:szCs w:val="18"/>
        </w:rPr>
        <w:t xml:space="preserve"> 5</w:t>
      </w:r>
      <w:r>
        <w:rPr>
          <w:sz w:val="18"/>
          <w:szCs w:val="18"/>
        </w:rPr>
        <w:t> </w:t>
      </w:r>
      <w:r w:rsidRPr="00097B71">
        <w:rPr>
          <w:sz w:val="18"/>
          <w:szCs w:val="18"/>
        </w:rPr>
        <w:t>corporate offices</w:t>
      </w:r>
      <w:r>
        <w:rPr>
          <w:sz w:val="18"/>
          <w:szCs w:val="18"/>
        </w:rPr>
        <w:t>,</w:t>
      </w:r>
      <w:r w:rsidRPr="00097B71">
        <w:rPr>
          <w:sz w:val="18"/>
          <w:szCs w:val="18"/>
        </w:rPr>
        <w:t xml:space="preserve"> 2</w:t>
      </w:r>
      <w:r>
        <w:rPr>
          <w:sz w:val="18"/>
          <w:szCs w:val="18"/>
        </w:rPr>
        <w:t> </w:t>
      </w:r>
      <w:r w:rsidRPr="00097B71">
        <w:rPr>
          <w:sz w:val="18"/>
          <w:szCs w:val="18"/>
        </w:rPr>
        <w:t>Category</w:t>
      </w:r>
      <w:r>
        <w:rPr>
          <w:sz w:val="18"/>
          <w:szCs w:val="18"/>
        </w:rPr>
        <w:t> </w:t>
      </w:r>
      <w:r w:rsidRPr="00097B71">
        <w:rPr>
          <w:sz w:val="18"/>
          <w:szCs w:val="18"/>
        </w:rPr>
        <w:t xml:space="preserve">I </w:t>
      </w:r>
      <w:r w:rsidR="00420D7B">
        <w:rPr>
          <w:sz w:val="18"/>
          <w:szCs w:val="18"/>
        </w:rPr>
        <w:t>special nuclear material licensees</w:t>
      </w:r>
      <w:r>
        <w:rPr>
          <w:sz w:val="18"/>
          <w:szCs w:val="18"/>
        </w:rPr>
        <w:t>,</w:t>
      </w:r>
      <w:r w:rsidRPr="00097B71">
        <w:rPr>
          <w:sz w:val="18"/>
          <w:szCs w:val="18"/>
        </w:rPr>
        <w:t xml:space="preserve"> and </w:t>
      </w:r>
      <w:r>
        <w:rPr>
          <w:sz w:val="18"/>
          <w:szCs w:val="18"/>
        </w:rPr>
        <w:t>1 </w:t>
      </w:r>
      <w:r w:rsidRPr="00507B4A">
        <w:rPr>
          <w:sz w:val="18"/>
          <w:szCs w:val="18"/>
        </w:rPr>
        <w:t>C/V (see Appendix</w:t>
      </w:r>
      <w:r>
        <w:rPr>
          <w:sz w:val="18"/>
          <w:szCs w:val="18"/>
        </w:rPr>
        <w:t> </w:t>
      </w:r>
      <w:r w:rsidRPr="00507B4A">
        <w:rPr>
          <w:sz w:val="18"/>
          <w:szCs w:val="18"/>
        </w:rPr>
        <w:t>A).  Corporate offices</w:t>
      </w:r>
      <w:r>
        <w:rPr>
          <w:sz w:val="18"/>
          <w:szCs w:val="18"/>
        </w:rPr>
        <w:t>,</w:t>
      </w:r>
      <w:r w:rsidRPr="00507B4A">
        <w:rPr>
          <w:sz w:val="18"/>
          <w:szCs w:val="18"/>
        </w:rPr>
        <w:t xml:space="preserve"> Category</w:t>
      </w:r>
      <w:r>
        <w:rPr>
          <w:sz w:val="18"/>
          <w:szCs w:val="18"/>
        </w:rPr>
        <w:t> </w:t>
      </w:r>
      <w:r w:rsidRPr="00507B4A">
        <w:rPr>
          <w:sz w:val="18"/>
          <w:szCs w:val="18"/>
        </w:rPr>
        <w:t xml:space="preserve">I </w:t>
      </w:r>
      <w:r w:rsidR="00420D7B">
        <w:rPr>
          <w:sz w:val="18"/>
          <w:szCs w:val="18"/>
        </w:rPr>
        <w:t>special nuclear material licensees</w:t>
      </w:r>
      <w:r>
        <w:rPr>
          <w:sz w:val="18"/>
          <w:szCs w:val="18"/>
        </w:rPr>
        <w:t>, and C/Vs us</w:t>
      </w:r>
      <w:r w:rsidRPr="00507B4A">
        <w:rPr>
          <w:sz w:val="18"/>
          <w:szCs w:val="18"/>
        </w:rPr>
        <w:t xml:space="preserve">e much smaller workforces than operating </w:t>
      </w:r>
      <w:r>
        <w:rPr>
          <w:sz w:val="18"/>
          <w:szCs w:val="18"/>
        </w:rPr>
        <w:t xml:space="preserve">power </w:t>
      </w:r>
      <w:r w:rsidRPr="00507B4A">
        <w:rPr>
          <w:sz w:val="18"/>
          <w:szCs w:val="18"/>
        </w:rPr>
        <w:t>reactor</w:t>
      </w:r>
      <w:r w:rsidRPr="003A0BD4">
        <w:rPr>
          <w:sz w:val="18"/>
          <w:szCs w:val="18"/>
        </w:rPr>
        <w:t xml:space="preserve"> sites </w:t>
      </w:r>
      <w:r>
        <w:rPr>
          <w:sz w:val="18"/>
          <w:szCs w:val="18"/>
        </w:rPr>
        <w:t>or</w:t>
      </w:r>
      <w:r w:rsidRPr="003A0BD4">
        <w:rPr>
          <w:sz w:val="18"/>
          <w:szCs w:val="18"/>
        </w:rPr>
        <w:t xml:space="preserve"> </w:t>
      </w:r>
      <w:r>
        <w:rPr>
          <w:sz w:val="18"/>
          <w:szCs w:val="18"/>
        </w:rPr>
        <w:t xml:space="preserve">power </w:t>
      </w:r>
      <w:r w:rsidRPr="003A0BD4">
        <w:rPr>
          <w:sz w:val="18"/>
          <w:szCs w:val="18"/>
        </w:rPr>
        <w:t>reactor construction si</w:t>
      </w:r>
      <w:r>
        <w:rPr>
          <w:sz w:val="18"/>
          <w:szCs w:val="18"/>
        </w:rPr>
        <w:t>tes (see Table 4-1 and Appendix </w:t>
      </w:r>
      <w:r w:rsidRPr="003A0BD4">
        <w:rPr>
          <w:sz w:val="18"/>
          <w:szCs w:val="18"/>
        </w:rPr>
        <w:t>A)</w:t>
      </w:r>
      <w:r>
        <w:rPr>
          <w:sz w:val="18"/>
          <w:szCs w:val="18"/>
        </w:rPr>
        <w:t>.  They also</w:t>
      </w:r>
      <w:r w:rsidRPr="003A0BD4">
        <w:rPr>
          <w:sz w:val="18"/>
          <w:szCs w:val="18"/>
        </w:rPr>
        <w:t xml:space="preserve"> do not incur periodic workforce surges </w:t>
      </w:r>
      <w:r>
        <w:rPr>
          <w:sz w:val="18"/>
          <w:szCs w:val="18"/>
        </w:rPr>
        <w:t>as a result of</w:t>
      </w:r>
      <w:r w:rsidRPr="003A0BD4">
        <w:rPr>
          <w:sz w:val="18"/>
          <w:szCs w:val="18"/>
        </w:rPr>
        <w:t xml:space="preserve"> changing site conditions</w:t>
      </w:r>
      <w:r>
        <w:rPr>
          <w:sz w:val="18"/>
          <w:szCs w:val="18"/>
        </w:rPr>
        <w:t>,</w:t>
      </w:r>
      <w:r w:rsidRPr="003A0BD4">
        <w:rPr>
          <w:sz w:val="18"/>
          <w:szCs w:val="18"/>
        </w:rPr>
        <w:t xml:space="preserve"> unlike </w:t>
      </w:r>
      <w:r>
        <w:rPr>
          <w:sz w:val="18"/>
          <w:szCs w:val="18"/>
        </w:rPr>
        <w:t xml:space="preserve">power </w:t>
      </w:r>
      <w:r w:rsidRPr="003A0BD4">
        <w:rPr>
          <w:sz w:val="18"/>
          <w:szCs w:val="18"/>
        </w:rPr>
        <w:t>reactor sites (e.g.</w:t>
      </w:r>
      <w:r>
        <w:rPr>
          <w:sz w:val="18"/>
          <w:szCs w:val="18"/>
        </w:rPr>
        <w:t>, </w:t>
      </w:r>
      <w:r w:rsidRPr="003A0BD4">
        <w:rPr>
          <w:sz w:val="18"/>
          <w:szCs w:val="18"/>
        </w:rPr>
        <w:t>refueling outages</w:t>
      </w:r>
      <w:r>
        <w:rPr>
          <w:sz w:val="18"/>
          <w:szCs w:val="18"/>
        </w:rPr>
        <w:t>)</w:t>
      </w:r>
      <w:r w:rsidRPr="003A0BD4">
        <w:rPr>
          <w:sz w:val="18"/>
          <w:szCs w:val="18"/>
        </w:rPr>
        <w:t xml:space="preserve">.  </w:t>
      </w:r>
      <w:r>
        <w:rPr>
          <w:sz w:val="18"/>
          <w:szCs w:val="18"/>
        </w:rPr>
        <w:t xml:space="preserve">The final rule changes have limited impact on additional detection at other facility types given the very low number of positive results (see Table 4-1).  </w:t>
      </w:r>
      <w:r w:rsidRPr="003A0BD4">
        <w:rPr>
          <w:sz w:val="18"/>
          <w:szCs w:val="18"/>
        </w:rPr>
        <w:t>As a result</w:t>
      </w:r>
      <w:r>
        <w:rPr>
          <w:sz w:val="18"/>
          <w:szCs w:val="18"/>
        </w:rPr>
        <w:t>,</w:t>
      </w:r>
      <w:r w:rsidRPr="003A0BD4">
        <w:rPr>
          <w:sz w:val="18"/>
          <w:szCs w:val="18"/>
        </w:rPr>
        <w:t xml:space="preserve"> the NRC staff anticipates improvement in detection at </w:t>
      </w:r>
      <w:r>
        <w:rPr>
          <w:sz w:val="18"/>
          <w:szCs w:val="18"/>
        </w:rPr>
        <w:t>operating power reactor and power reactor construction sites</w:t>
      </w:r>
      <w:r w:rsidRPr="003A0BD4">
        <w:rPr>
          <w:sz w:val="18"/>
          <w:szCs w:val="18"/>
        </w:rPr>
        <w:t>.  By using an average cost per site</w:t>
      </w:r>
      <w:r>
        <w:rPr>
          <w:sz w:val="18"/>
          <w:szCs w:val="18"/>
        </w:rPr>
        <w:t>,</w:t>
      </w:r>
      <w:r w:rsidRPr="003A0BD4">
        <w:rPr>
          <w:sz w:val="18"/>
          <w:szCs w:val="18"/>
        </w:rPr>
        <w:t xml:space="preserve"> the analysis overestimates the operations costs for </w:t>
      </w:r>
      <w:r>
        <w:rPr>
          <w:sz w:val="18"/>
          <w:szCs w:val="18"/>
        </w:rPr>
        <w:t xml:space="preserve">sites with </w:t>
      </w:r>
      <w:r w:rsidRPr="003A0BD4">
        <w:rPr>
          <w:sz w:val="18"/>
          <w:szCs w:val="18"/>
        </w:rPr>
        <w:t xml:space="preserve">smaller workforces and underestimates the costs for </w:t>
      </w:r>
      <w:r>
        <w:rPr>
          <w:sz w:val="18"/>
          <w:szCs w:val="18"/>
        </w:rPr>
        <w:t xml:space="preserve">sites with </w:t>
      </w:r>
      <w:r w:rsidRPr="003A0BD4">
        <w:rPr>
          <w:sz w:val="18"/>
          <w:szCs w:val="18"/>
        </w:rPr>
        <w:t>larger workforces</w:t>
      </w:r>
      <w:r>
        <w:rPr>
          <w:sz w:val="18"/>
          <w:szCs w:val="18"/>
        </w:rPr>
        <w:t>,</w:t>
      </w:r>
      <w:r w:rsidRPr="003A0BD4">
        <w:rPr>
          <w:sz w:val="18"/>
          <w:szCs w:val="18"/>
        </w:rPr>
        <w:t xml:space="preserve"> but on balance </w:t>
      </w:r>
      <w:r>
        <w:rPr>
          <w:sz w:val="18"/>
          <w:szCs w:val="18"/>
        </w:rPr>
        <w:t xml:space="preserve">it </w:t>
      </w:r>
      <w:r w:rsidRPr="003A0BD4">
        <w:rPr>
          <w:sz w:val="18"/>
          <w:szCs w:val="18"/>
        </w:rPr>
        <w:t xml:space="preserve">provides a reasonable estimate </w:t>
      </w:r>
      <w:r>
        <w:rPr>
          <w:sz w:val="18"/>
          <w:szCs w:val="18"/>
        </w:rPr>
        <w:t>of</w:t>
      </w:r>
      <w:r w:rsidRPr="003A0BD4">
        <w:rPr>
          <w:sz w:val="18"/>
          <w:szCs w:val="18"/>
        </w:rPr>
        <w:t xml:space="preserve"> the incremental testing costs associated with the rule given that </w:t>
      </w:r>
      <w:r w:rsidRPr="00912DEF">
        <w:rPr>
          <w:sz w:val="18"/>
          <w:szCs w:val="18"/>
        </w:rPr>
        <w:t>86</w:t>
      </w:r>
      <w:r>
        <w:rPr>
          <w:sz w:val="18"/>
          <w:szCs w:val="18"/>
        </w:rPr>
        <w:t> </w:t>
      </w:r>
      <w:r w:rsidRPr="00912DEF">
        <w:rPr>
          <w:sz w:val="18"/>
          <w:szCs w:val="18"/>
        </w:rPr>
        <w:t>percent</w:t>
      </w:r>
      <w:r w:rsidRPr="003A0BD4">
        <w:rPr>
          <w:sz w:val="18"/>
          <w:szCs w:val="18"/>
        </w:rPr>
        <w:t xml:space="preserve"> of the sites and tested workforces </w:t>
      </w:r>
      <w:r>
        <w:rPr>
          <w:sz w:val="18"/>
          <w:szCs w:val="18"/>
        </w:rPr>
        <w:t>(</w:t>
      </w:r>
      <w:r w:rsidRPr="00912DEF">
        <w:rPr>
          <w:sz w:val="18"/>
          <w:szCs w:val="18"/>
        </w:rPr>
        <w:t>51</w:t>
      </w:r>
      <w:r>
        <w:rPr>
          <w:sz w:val="18"/>
          <w:szCs w:val="18"/>
        </w:rPr>
        <w:t xml:space="preserve"> of </w:t>
      </w:r>
      <w:r w:rsidRPr="00912DEF">
        <w:rPr>
          <w:sz w:val="18"/>
          <w:szCs w:val="18"/>
        </w:rPr>
        <w:t>59</w:t>
      </w:r>
      <w:r w:rsidRPr="003A0BD4">
        <w:rPr>
          <w:sz w:val="18"/>
          <w:szCs w:val="18"/>
        </w:rPr>
        <w:t xml:space="preserve">) are at operating </w:t>
      </w:r>
      <w:r>
        <w:rPr>
          <w:sz w:val="18"/>
          <w:szCs w:val="18"/>
        </w:rPr>
        <w:t xml:space="preserve">power </w:t>
      </w:r>
      <w:r w:rsidRPr="003A0BD4">
        <w:rPr>
          <w:sz w:val="18"/>
          <w:szCs w:val="18"/>
        </w:rPr>
        <w:t>reactors.</w:t>
      </w:r>
    </w:p>
    <w:p w14:paraId="0A66A392" w14:textId="595B0C1B" w:rsidR="0088161E" w:rsidRPr="001E5242" w:rsidRDefault="0088161E" w:rsidP="00F26D4A">
      <w:pPr>
        <w:pStyle w:val="FootnoteText"/>
        <w:ind w:left="720" w:hanging="720"/>
        <w:rPr>
          <w:sz w:val="18"/>
          <w:szCs w:val="18"/>
        </w:rPr>
      </w:pPr>
    </w:p>
  </w:footnote>
  <w:footnote w:id="35">
    <w:p w14:paraId="53F5A791" w14:textId="1285882E" w:rsidR="0088161E" w:rsidRPr="001E5242" w:rsidRDefault="0088161E" w:rsidP="00F26D4A">
      <w:pPr>
        <w:pStyle w:val="FootnoteText"/>
        <w:ind w:left="720" w:hanging="720"/>
        <w:rPr>
          <w:sz w:val="18"/>
          <w:szCs w:val="18"/>
        </w:rPr>
      </w:pPr>
      <w:r w:rsidRPr="00CD4D83">
        <w:rPr>
          <w:rStyle w:val="FootnoteReference"/>
          <w:sz w:val="18"/>
          <w:szCs w:val="18"/>
        </w:rPr>
        <w:footnoteRef/>
      </w:r>
      <w:r w:rsidRPr="00CD4D83">
        <w:rPr>
          <w:sz w:val="18"/>
          <w:szCs w:val="18"/>
        </w:rPr>
        <w:t xml:space="preserve"> </w:t>
      </w:r>
      <w:r w:rsidRPr="00CD4D83">
        <w:rPr>
          <w:sz w:val="18"/>
          <w:szCs w:val="18"/>
        </w:rPr>
        <w:tab/>
        <w:t>Each site incur</w:t>
      </w:r>
      <w:r>
        <w:rPr>
          <w:sz w:val="18"/>
          <w:szCs w:val="18"/>
        </w:rPr>
        <w:t>s</w:t>
      </w:r>
      <w:r w:rsidRPr="00CD4D83">
        <w:rPr>
          <w:sz w:val="18"/>
          <w:szCs w:val="18"/>
        </w:rPr>
        <w:t xml:space="preserve"> an average one-time cost of ($</w:t>
      </w:r>
      <w:r>
        <w:rPr>
          <w:sz w:val="18"/>
          <w:szCs w:val="18"/>
        </w:rPr>
        <w:t>2,321</w:t>
      </w:r>
      <w:r w:rsidRPr="00CD4D83">
        <w:rPr>
          <w:sz w:val="18"/>
          <w:szCs w:val="18"/>
        </w:rPr>
        <w:t xml:space="preserve">) and an average annual </w:t>
      </w:r>
      <w:r>
        <w:rPr>
          <w:sz w:val="18"/>
          <w:szCs w:val="18"/>
        </w:rPr>
        <w:t>savings</w:t>
      </w:r>
      <w:r w:rsidRPr="00CD4D83">
        <w:rPr>
          <w:sz w:val="18"/>
          <w:szCs w:val="18"/>
        </w:rPr>
        <w:t xml:space="preserve"> of $</w:t>
      </w:r>
      <w:r>
        <w:rPr>
          <w:sz w:val="18"/>
          <w:szCs w:val="18"/>
        </w:rPr>
        <w:t>808</w:t>
      </w:r>
      <w:r w:rsidRPr="00CD4D8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FB8D" w14:textId="77777777" w:rsidR="0088161E" w:rsidRDefault="0088161E" w:rsidP="008C4D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5C0307" w14:textId="77777777" w:rsidR="0088161E" w:rsidRDefault="0088161E" w:rsidP="008C4D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1E266" w14:textId="488D3CA6" w:rsidR="0088161E" w:rsidRPr="00401982" w:rsidRDefault="0088161E" w:rsidP="00EF18CF">
    <w:pPr>
      <w:pBdr>
        <w:bottom w:val="single" w:sz="18" w:space="1" w:color="auto"/>
      </w:pBdr>
      <w:tabs>
        <w:tab w:val="left" w:pos="1653"/>
        <w:tab w:val="right" w:pos="9000"/>
      </w:tabs>
      <w:spacing w:after="240"/>
      <w:rPr>
        <w:rFonts w:ascii="Arial Narrow" w:hAnsi="Arial Narrow"/>
      </w:rPr>
    </w:pPr>
    <w:r w:rsidRPr="00C03B11">
      <w:rPr>
        <w:rFonts w:ascii="Arial Narrow" w:hAnsi="Arial Narrow"/>
      </w:rPr>
      <w:t xml:space="preserve">Amend </w:t>
    </w:r>
    <w:r>
      <w:rPr>
        <w:rFonts w:ascii="Arial Narrow" w:hAnsi="Arial Narrow"/>
      </w:rPr>
      <w:t>10 CFR Part 26,</w:t>
    </w:r>
    <w:r w:rsidRPr="00C03B11">
      <w:rPr>
        <w:rFonts w:ascii="Arial Narrow" w:hAnsi="Arial Narrow"/>
      </w:rPr>
      <w:t xml:space="preserve"> </w:t>
    </w:r>
    <w:r>
      <w:rPr>
        <w:rFonts w:ascii="Arial Narrow" w:hAnsi="Arial Narrow"/>
      </w:rPr>
      <w:t xml:space="preserve">“Fitness </w:t>
    </w:r>
    <w:r w:rsidRPr="00C03B11">
      <w:rPr>
        <w:rFonts w:ascii="Arial Narrow" w:hAnsi="Arial Narrow"/>
      </w:rPr>
      <w:t xml:space="preserve">for </w:t>
    </w:r>
    <w:r>
      <w:rPr>
        <w:rFonts w:ascii="Arial Narrow" w:hAnsi="Arial Narrow"/>
      </w:rPr>
      <w:t>d</w:t>
    </w:r>
    <w:r w:rsidRPr="00C03B11">
      <w:rPr>
        <w:rFonts w:ascii="Arial Narrow" w:hAnsi="Arial Narrow"/>
      </w:rPr>
      <w:t xml:space="preserve">uty </w:t>
    </w:r>
    <w:r>
      <w:rPr>
        <w:rFonts w:ascii="Arial Narrow" w:hAnsi="Arial Narrow"/>
      </w:rPr>
      <w:t>p</w:t>
    </w:r>
    <w:r w:rsidRPr="00C03B11">
      <w:rPr>
        <w:rFonts w:ascii="Arial Narrow" w:hAnsi="Arial Narrow"/>
      </w:rPr>
      <w:t>rograms</w:t>
    </w:r>
    <w:r>
      <w:rPr>
        <w:rFonts w:ascii="Arial Narrow" w:hAnsi="Arial Narrow"/>
      </w:rPr>
      <w:t>,”</w:t>
    </w:r>
    <w:r w:rsidRPr="00C03B11">
      <w:rPr>
        <w:rFonts w:ascii="Arial Narrow" w:hAnsi="Arial Narrow"/>
      </w:rPr>
      <w:t xml:space="preserve"> based on </w:t>
    </w:r>
    <w:r>
      <w:rPr>
        <w:rFonts w:ascii="Arial Narrow" w:hAnsi="Arial Narrow"/>
      </w:rPr>
      <w:t>p</w:t>
    </w:r>
    <w:r w:rsidRPr="00C03B11">
      <w:rPr>
        <w:rFonts w:ascii="Arial Narrow" w:hAnsi="Arial Narrow"/>
      </w:rPr>
      <w:t>rovisions in the</w:t>
    </w:r>
    <w:r>
      <w:rPr>
        <w:rFonts w:ascii="Arial Narrow" w:hAnsi="Arial Narrow"/>
      </w:rPr>
      <w:t xml:space="preserve"> 2008 and</w:t>
    </w:r>
    <w:r w:rsidRPr="00C03B11">
      <w:rPr>
        <w:rFonts w:ascii="Arial Narrow" w:hAnsi="Arial Narrow"/>
      </w:rPr>
      <w:t xml:space="preserve"> </w:t>
    </w:r>
    <w:r w:rsidRPr="003D3885">
      <w:rPr>
        <w:rFonts w:ascii="Arial Narrow" w:hAnsi="Arial Narrow"/>
      </w:rPr>
      <w:t>2017</w:t>
    </w:r>
    <w:r>
      <w:rPr>
        <w:rFonts w:ascii="Arial Narrow" w:hAnsi="Arial Narrow"/>
      </w:rPr>
      <w:t xml:space="preserve"> </w:t>
    </w:r>
    <w:r w:rsidRPr="00C03B11">
      <w:rPr>
        <w:rFonts w:ascii="Arial Narrow" w:hAnsi="Arial Narrow"/>
      </w:rPr>
      <w:t>HHS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E4E5" w14:textId="77777777" w:rsidR="0088161E" w:rsidRPr="00401982" w:rsidRDefault="0088161E" w:rsidP="00761301">
    <w:pPr>
      <w:pBdr>
        <w:bottom w:val="single" w:sz="18" w:space="1" w:color="auto"/>
      </w:pBdr>
      <w:tabs>
        <w:tab w:val="left" w:pos="1653"/>
        <w:tab w:val="right" w:pos="9000"/>
      </w:tabs>
      <w:rPr>
        <w:rFonts w:ascii="Arial Narrow" w:hAnsi="Arial Narrow"/>
      </w:rPr>
    </w:pPr>
    <w:r w:rsidRPr="00C03B11">
      <w:rPr>
        <w:rFonts w:ascii="Arial Narrow" w:hAnsi="Arial Narrow"/>
      </w:rPr>
      <w:t xml:space="preserve">Amend </w:t>
    </w:r>
    <w:r>
      <w:rPr>
        <w:rFonts w:ascii="Arial Narrow" w:hAnsi="Arial Narrow"/>
      </w:rPr>
      <w:t>10 CFR Part 26,</w:t>
    </w:r>
    <w:r w:rsidRPr="00C03B11">
      <w:rPr>
        <w:rFonts w:ascii="Arial Narrow" w:hAnsi="Arial Narrow"/>
      </w:rPr>
      <w:t xml:space="preserve"> </w:t>
    </w:r>
    <w:r>
      <w:rPr>
        <w:rFonts w:ascii="Arial Narrow" w:hAnsi="Arial Narrow"/>
      </w:rPr>
      <w:t xml:space="preserve">“Fitness </w:t>
    </w:r>
    <w:r w:rsidRPr="00C03B11">
      <w:rPr>
        <w:rFonts w:ascii="Arial Narrow" w:hAnsi="Arial Narrow"/>
      </w:rPr>
      <w:t xml:space="preserve">for Duty </w:t>
    </w:r>
    <w:r>
      <w:rPr>
        <w:rFonts w:ascii="Arial Narrow" w:hAnsi="Arial Narrow"/>
      </w:rPr>
      <w:t xml:space="preserve">Drug Testing </w:t>
    </w:r>
    <w:r w:rsidRPr="00C03B11">
      <w:rPr>
        <w:rFonts w:ascii="Arial Narrow" w:hAnsi="Arial Narrow"/>
      </w:rPr>
      <w:t>Programs</w:t>
    </w:r>
    <w:r>
      <w:rPr>
        <w:rFonts w:ascii="Arial Narrow" w:hAnsi="Arial Narrow"/>
      </w:rPr>
      <w:t>,”</w:t>
    </w:r>
    <w:r w:rsidRPr="00C03B11">
      <w:rPr>
        <w:rFonts w:ascii="Arial Narrow" w:hAnsi="Arial Narrow"/>
      </w:rPr>
      <w:t xml:space="preserve"> based on </w:t>
    </w:r>
    <w:r>
      <w:rPr>
        <w:rFonts w:ascii="Arial Narrow" w:hAnsi="Arial Narrow"/>
      </w:rPr>
      <w:t>p</w:t>
    </w:r>
    <w:r w:rsidRPr="00C03B11">
      <w:rPr>
        <w:rFonts w:ascii="Arial Narrow" w:hAnsi="Arial Narrow"/>
      </w:rPr>
      <w:t xml:space="preserve">rovisions in the </w:t>
    </w:r>
    <w:r>
      <w:rPr>
        <w:rFonts w:ascii="Arial Narrow" w:hAnsi="Arial Narrow"/>
      </w:rPr>
      <w:t xml:space="preserve">2008 and 2017 </w:t>
    </w:r>
    <w:r w:rsidRPr="00C03B11">
      <w:rPr>
        <w:rFonts w:ascii="Arial Narrow" w:hAnsi="Arial Narrow"/>
      </w:rPr>
      <w:t>HHS Guidelines</w:t>
    </w:r>
  </w:p>
  <w:p w14:paraId="33871A3B" w14:textId="77777777" w:rsidR="0088161E" w:rsidRPr="00761301" w:rsidRDefault="0088161E" w:rsidP="00761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265E"/>
    <w:multiLevelType w:val="hybridMultilevel"/>
    <w:tmpl w:val="445C0D42"/>
    <w:lvl w:ilvl="0" w:tplc="B69E80C8">
      <w:start w:val="1"/>
      <w:numFmt w:val="decimal"/>
      <w:lvlText w:val="(%1)"/>
      <w:lvlJc w:val="left"/>
      <w:pPr>
        <w:ind w:left="810" w:hanging="450"/>
      </w:pPr>
      <w:rPr>
        <w:rFonts w:hint="default"/>
      </w:rPr>
    </w:lvl>
    <w:lvl w:ilvl="1" w:tplc="0372A51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62724"/>
    <w:multiLevelType w:val="hybridMultilevel"/>
    <w:tmpl w:val="71C030E8"/>
    <w:lvl w:ilvl="0" w:tplc="A8E4BD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83BC1"/>
    <w:multiLevelType w:val="hybridMultilevel"/>
    <w:tmpl w:val="55981A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05055"/>
    <w:multiLevelType w:val="hybridMultilevel"/>
    <w:tmpl w:val="D0D03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D2BB1"/>
    <w:multiLevelType w:val="hybridMultilevel"/>
    <w:tmpl w:val="79CE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3E6D99"/>
    <w:multiLevelType w:val="hybridMultilevel"/>
    <w:tmpl w:val="9CCCAF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05CEF"/>
    <w:multiLevelType w:val="hybridMultilevel"/>
    <w:tmpl w:val="423C7A84"/>
    <w:lvl w:ilvl="0" w:tplc="9DEE31F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7" w15:restartNumberingAfterBreak="0">
    <w:nsid w:val="188F69B3"/>
    <w:multiLevelType w:val="hybridMultilevel"/>
    <w:tmpl w:val="72604B40"/>
    <w:lvl w:ilvl="0" w:tplc="292E50EA">
      <w:start w:val="1"/>
      <w:numFmt w:val="decimal"/>
      <w:lvlText w:val="(%1)"/>
      <w:lvlJc w:val="left"/>
      <w:pPr>
        <w:ind w:left="448"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abstractNum w:abstractNumId="8" w15:restartNumberingAfterBreak="0">
    <w:nsid w:val="1BE43891"/>
    <w:multiLevelType w:val="hybridMultilevel"/>
    <w:tmpl w:val="AC8E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550D25"/>
    <w:multiLevelType w:val="hybridMultilevel"/>
    <w:tmpl w:val="F09C5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862680"/>
    <w:multiLevelType w:val="hybridMultilevel"/>
    <w:tmpl w:val="9FC25404"/>
    <w:lvl w:ilvl="0" w:tplc="04090001">
      <w:start w:val="1"/>
      <w:numFmt w:val="bullet"/>
      <w:lvlText w:val=""/>
      <w:lvlJc w:val="left"/>
      <w:pPr>
        <w:ind w:left="720" w:hanging="360"/>
      </w:pPr>
      <w:rPr>
        <w:rFonts w:ascii="Symbol" w:hAnsi="Symbol" w:hint="default"/>
      </w:rPr>
    </w:lvl>
    <w:lvl w:ilvl="1" w:tplc="A8E4BD36">
      <w:start w:val="1"/>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94863CA2">
      <w:start w:val="1"/>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24869"/>
    <w:multiLevelType w:val="hybridMultilevel"/>
    <w:tmpl w:val="72604B40"/>
    <w:lvl w:ilvl="0" w:tplc="292E50EA">
      <w:start w:val="1"/>
      <w:numFmt w:val="decimal"/>
      <w:lvlText w:val="(%1)"/>
      <w:lvlJc w:val="left"/>
      <w:pPr>
        <w:ind w:left="448"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abstractNum w:abstractNumId="12" w15:restartNumberingAfterBreak="0">
    <w:nsid w:val="22F84F8C"/>
    <w:multiLevelType w:val="hybridMultilevel"/>
    <w:tmpl w:val="EFA298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33874"/>
    <w:multiLevelType w:val="hybridMultilevel"/>
    <w:tmpl w:val="CE74B92A"/>
    <w:lvl w:ilvl="0" w:tplc="3EB6382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5F600D"/>
    <w:multiLevelType w:val="hybridMultilevel"/>
    <w:tmpl w:val="A596F308"/>
    <w:lvl w:ilvl="0" w:tplc="CFBE3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1A2EAC"/>
    <w:multiLevelType w:val="hybridMultilevel"/>
    <w:tmpl w:val="0A56F1B4"/>
    <w:lvl w:ilvl="0" w:tplc="2BB8BC52">
      <w:start w:val="1"/>
      <w:numFmt w:val="decimal"/>
      <w:lvlText w:val="(%1)"/>
      <w:lvlJc w:val="left"/>
      <w:pPr>
        <w:ind w:left="360"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abstractNum w:abstractNumId="16" w15:restartNumberingAfterBreak="0">
    <w:nsid w:val="2AAA009F"/>
    <w:multiLevelType w:val="hybridMultilevel"/>
    <w:tmpl w:val="9EDE53F6"/>
    <w:lvl w:ilvl="0" w:tplc="9AE6E69C">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2F9931D7"/>
    <w:multiLevelType w:val="hybridMultilevel"/>
    <w:tmpl w:val="6C4409A8"/>
    <w:lvl w:ilvl="0" w:tplc="CC88F214">
      <w:start w:val="1"/>
      <w:numFmt w:val="bullet"/>
      <w:lvlText w:val="·"/>
      <w:lvlJc w:val="left"/>
      <w:pPr>
        <w:ind w:left="720" w:hanging="360"/>
      </w:pPr>
      <w:rPr>
        <w:rFonts w:ascii="Symbol" w:hAnsi="Symbol" w:hint="default"/>
      </w:rPr>
    </w:lvl>
    <w:lvl w:ilvl="1" w:tplc="78FA72FE">
      <w:start w:val="1"/>
      <w:numFmt w:val="bullet"/>
      <w:lvlText w:val="o"/>
      <w:lvlJc w:val="left"/>
      <w:pPr>
        <w:ind w:left="1440" w:hanging="360"/>
      </w:pPr>
      <w:rPr>
        <w:rFonts w:ascii="Courier New" w:hAnsi="Courier New" w:hint="default"/>
      </w:rPr>
    </w:lvl>
    <w:lvl w:ilvl="2" w:tplc="D978794E">
      <w:start w:val="1"/>
      <w:numFmt w:val="bullet"/>
      <w:lvlText w:val=""/>
      <w:lvlJc w:val="left"/>
      <w:pPr>
        <w:ind w:left="2160" w:hanging="360"/>
      </w:pPr>
      <w:rPr>
        <w:rFonts w:ascii="Wingdings" w:hAnsi="Wingdings" w:hint="default"/>
      </w:rPr>
    </w:lvl>
    <w:lvl w:ilvl="3" w:tplc="2258E00A">
      <w:start w:val="1"/>
      <w:numFmt w:val="bullet"/>
      <w:lvlText w:val=""/>
      <w:lvlJc w:val="left"/>
      <w:pPr>
        <w:ind w:left="2880" w:hanging="360"/>
      </w:pPr>
      <w:rPr>
        <w:rFonts w:ascii="Symbol" w:hAnsi="Symbol" w:hint="default"/>
      </w:rPr>
    </w:lvl>
    <w:lvl w:ilvl="4" w:tplc="633A28B8">
      <w:start w:val="1"/>
      <w:numFmt w:val="bullet"/>
      <w:lvlText w:val="o"/>
      <w:lvlJc w:val="left"/>
      <w:pPr>
        <w:ind w:left="3600" w:hanging="360"/>
      </w:pPr>
      <w:rPr>
        <w:rFonts w:ascii="Courier New" w:hAnsi="Courier New" w:hint="default"/>
      </w:rPr>
    </w:lvl>
    <w:lvl w:ilvl="5" w:tplc="8D709BE0">
      <w:start w:val="1"/>
      <w:numFmt w:val="bullet"/>
      <w:lvlText w:val=""/>
      <w:lvlJc w:val="left"/>
      <w:pPr>
        <w:ind w:left="4320" w:hanging="360"/>
      </w:pPr>
      <w:rPr>
        <w:rFonts w:ascii="Wingdings" w:hAnsi="Wingdings" w:hint="default"/>
      </w:rPr>
    </w:lvl>
    <w:lvl w:ilvl="6" w:tplc="6B368B20">
      <w:start w:val="1"/>
      <w:numFmt w:val="bullet"/>
      <w:lvlText w:val=""/>
      <w:lvlJc w:val="left"/>
      <w:pPr>
        <w:ind w:left="5040" w:hanging="360"/>
      </w:pPr>
      <w:rPr>
        <w:rFonts w:ascii="Symbol" w:hAnsi="Symbol" w:hint="default"/>
      </w:rPr>
    </w:lvl>
    <w:lvl w:ilvl="7" w:tplc="DE3A068A">
      <w:start w:val="1"/>
      <w:numFmt w:val="bullet"/>
      <w:lvlText w:val="o"/>
      <w:lvlJc w:val="left"/>
      <w:pPr>
        <w:ind w:left="5760" w:hanging="360"/>
      </w:pPr>
      <w:rPr>
        <w:rFonts w:ascii="Courier New" w:hAnsi="Courier New" w:hint="default"/>
      </w:rPr>
    </w:lvl>
    <w:lvl w:ilvl="8" w:tplc="4F46989A">
      <w:start w:val="1"/>
      <w:numFmt w:val="bullet"/>
      <w:lvlText w:val=""/>
      <w:lvlJc w:val="left"/>
      <w:pPr>
        <w:ind w:left="6480" w:hanging="360"/>
      </w:pPr>
      <w:rPr>
        <w:rFonts w:ascii="Wingdings" w:hAnsi="Wingdings" w:hint="default"/>
      </w:rPr>
    </w:lvl>
  </w:abstractNum>
  <w:abstractNum w:abstractNumId="18" w15:restartNumberingAfterBreak="0">
    <w:nsid w:val="30027CB2"/>
    <w:multiLevelType w:val="hybridMultilevel"/>
    <w:tmpl w:val="9698AF72"/>
    <w:lvl w:ilvl="0" w:tplc="B28070B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77969"/>
    <w:multiLevelType w:val="hybridMultilevel"/>
    <w:tmpl w:val="2ADEFE66"/>
    <w:lvl w:ilvl="0" w:tplc="2612D7A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50509976">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936E4B"/>
    <w:multiLevelType w:val="hybridMultilevel"/>
    <w:tmpl w:val="1CB21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C33E1E"/>
    <w:multiLevelType w:val="hybridMultilevel"/>
    <w:tmpl w:val="7B3401DE"/>
    <w:lvl w:ilvl="0" w:tplc="04090001">
      <w:start w:val="1"/>
      <w:numFmt w:val="bullet"/>
      <w:lvlText w:val=""/>
      <w:lvlJc w:val="left"/>
      <w:pPr>
        <w:ind w:left="720" w:hanging="360"/>
      </w:pPr>
      <w:rPr>
        <w:rFonts w:ascii="Symbol" w:hAnsi="Symbol" w:hint="default"/>
      </w:rPr>
    </w:lvl>
    <w:lvl w:ilvl="1" w:tplc="7F348B14">
      <w:start w:val="5"/>
      <w:numFmt w:val="bullet"/>
      <w:lvlText w:val="•"/>
      <w:lvlJc w:val="left"/>
      <w:pPr>
        <w:ind w:left="1440" w:hanging="360"/>
      </w:pPr>
      <w:rPr>
        <w:rFonts w:ascii="Arial" w:eastAsia="Arial" w:hAnsi="Arial" w:cs="Aria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81A44"/>
    <w:multiLevelType w:val="hybridMultilevel"/>
    <w:tmpl w:val="961A0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22561"/>
    <w:multiLevelType w:val="hybridMultilevel"/>
    <w:tmpl w:val="9C5E5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6609ED"/>
    <w:multiLevelType w:val="hybridMultilevel"/>
    <w:tmpl w:val="58D2D2AC"/>
    <w:lvl w:ilvl="0" w:tplc="04090001">
      <w:start w:val="1"/>
      <w:numFmt w:val="bullet"/>
      <w:lvlText w:val=""/>
      <w:lvlJc w:val="left"/>
      <w:pPr>
        <w:ind w:left="360" w:hanging="360"/>
      </w:pPr>
      <w:rPr>
        <w:rFonts w:ascii="Symbol" w:hAnsi="Symbol" w:hint="default"/>
      </w:rPr>
    </w:lvl>
    <w:lvl w:ilvl="1" w:tplc="C7BE5186">
      <w:numFmt w:val="bullet"/>
      <w:lvlText w:val="•"/>
      <w:lvlJc w:val="left"/>
      <w:pPr>
        <w:ind w:left="1080" w:hanging="360"/>
      </w:pPr>
      <w:rPr>
        <w:rFonts w:ascii="Arial" w:eastAsia="Arial"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FBE6164"/>
    <w:multiLevelType w:val="hybridMultilevel"/>
    <w:tmpl w:val="92DA3776"/>
    <w:lvl w:ilvl="0" w:tplc="4D0AE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902C6"/>
    <w:multiLevelType w:val="hybridMultilevel"/>
    <w:tmpl w:val="12A2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94607"/>
    <w:multiLevelType w:val="hybridMultilevel"/>
    <w:tmpl w:val="7A9876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6E51BE"/>
    <w:multiLevelType w:val="hybridMultilevel"/>
    <w:tmpl w:val="72604B40"/>
    <w:lvl w:ilvl="0" w:tplc="292E50EA">
      <w:start w:val="1"/>
      <w:numFmt w:val="decimal"/>
      <w:lvlText w:val="(%1)"/>
      <w:lvlJc w:val="left"/>
      <w:pPr>
        <w:ind w:left="448" w:hanging="360"/>
      </w:pPr>
      <w:rPr>
        <w:rFonts w:hint="default"/>
      </w:rPr>
    </w:lvl>
    <w:lvl w:ilvl="1" w:tplc="04090019" w:tentative="1">
      <w:start w:val="1"/>
      <w:numFmt w:val="lowerLetter"/>
      <w:lvlText w:val="%2."/>
      <w:lvlJc w:val="left"/>
      <w:pPr>
        <w:ind w:left="1168" w:hanging="360"/>
      </w:pPr>
    </w:lvl>
    <w:lvl w:ilvl="2" w:tplc="0409001B" w:tentative="1">
      <w:start w:val="1"/>
      <w:numFmt w:val="lowerRoman"/>
      <w:lvlText w:val="%3."/>
      <w:lvlJc w:val="right"/>
      <w:pPr>
        <w:ind w:left="1888" w:hanging="180"/>
      </w:pPr>
    </w:lvl>
    <w:lvl w:ilvl="3" w:tplc="0409000F" w:tentative="1">
      <w:start w:val="1"/>
      <w:numFmt w:val="decimal"/>
      <w:lvlText w:val="%4."/>
      <w:lvlJc w:val="left"/>
      <w:pPr>
        <w:ind w:left="2608" w:hanging="360"/>
      </w:pPr>
    </w:lvl>
    <w:lvl w:ilvl="4" w:tplc="04090019" w:tentative="1">
      <w:start w:val="1"/>
      <w:numFmt w:val="lowerLetter"/>
      <w:lvlText w:val="%5."/>
      <w:lvlJc w:val="left"/>
      <w:pPr>
        <w:ind w:left="3328" w:hanging="360"/>
      </w:pPr>
    </w:lvl>
    <w:lvl w:ilvl="5" w:tplc="0409001B" w:tentative="1">
      <w:start w:val="1"/>
      <w:numFmt w:val="lowerRoman"/>
      <w:lvlText w:val="%6."/>
      <w:lvlJc w:val="right"/>
      <w:pPr>
        <w:ind w:left="4048" w:hanging="180"/>
      </w:pPr>
    </w:lvl>
    <w:lvl w:ilvl="6" w:tplc="0409000F" w:tentative="1">
      <w:start w:val="1"/>
      <w:numFmt w:val="decimal"/>
      <w:lvlText w:val="%7."/>
      <w:lvlJc w:val="left"/>
      <w:pPr>
        <w:ind w:left="4768" w:hanging="360"/>
      </w:pPr>
    </w:lvl>
    <w:lvl w:ilvl="7" w:tplc="04090019" w:tentative="1">
      <w:start w:val="1"/>
      <w:numFmt w:val="lowerLetter"/>
      <w:lvlText w:val="%8."/>
      <w:lvlJc w:val="left"/>
      <w:pPr>
        <w:ind w:left="5488" w:hanging="360"/>
      </w:pPr>
    </w:lvl>
    <w:lvl w:ilvl="8" w:tplc="0409001B" w:tentative="1">
      <w:start w:val="1"/>
      <w:numFmt w:val="lowerRoman"/>
      <w:lvlText w:val="%9."/>
      <w:lvlJc w:val="right"/>
      <w:pPr>
        <w:ind w:left="6208" w:hanging="180"/>
      </w:pPr>
    </w:lvl>
  </w:abstractNum>
  <w:abstractNum w:abstractNumId="29" w15:restartNumberingAfterBreak="0">
    <w:nsid w:val="5D9E310B"/>
    <w:multiLevelType w:val="hybridMultilevel"/>
    <w:tmpl w:val="7C180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863E59"/>
    <w:multiLevelType w:val="hybridMultilevel"/>
    <w:tmpl w:val="ACF26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BA0232"/>
    <w:multiLevelType w:val="hybridMultilevel"/>
    <w:tmpl w:val="CB9E2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A287D"/>
    <w:multiLevelType w:val="hybridMultilevel"/>
    <w:tmpl w:val="195C33EC"/>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CC659E"/>
    <w:multiLevelType w:val="hybridMultilevel"/>
    <w:tmpl w:val="32648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6502DA"/>
    <w:multiLevelType w:val="multilevel"/>
    <w:tmpl w:val="E90063C8"/>
    <w:lvl w:ilvl="0">
      <w:start w:val="5"/>
      <w:numFmt w:val="decimal"/>
      <w:lvlText w:val="%1"/>
      <w:lvlJc w:val="left"/>
      <w:pPr>
        <w:ind w:left="555" w:hanging="55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EF90382"/>
    <w:multiLevelType w:val="hybridMultilevel"/>
    <w:tmpl w:val="A6DE2726"/>
    <w:lvl w:ilvl="0" w:tplc="B62E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0849F8"/>
    <w:multiLevelType w:val="hybridMultilevel"/>
    <w:tmpl w:val="321CB80A"/>
    <w:lvl w:ilvl="0" w:tplc="1054DCF4">
      <w:start w:val="1"/>
      <w:numFmt w:val="bullet"/>
      <w:lvlText w:val=""/>
      <w:lvlJc w:val="left"/>
      <w:pPr>
        <w:ind w:left="736" w:hanging="360"/>
      </w:pPr>
      <w:rPr>
        <w:rFonts w:ascii="Symbol" w:hAnsi="Symbol" w:hint="default"/>
        <w:sz w:val="16"/>
        <w:szCs w:val="16"/>
      </w:rPr>
    </w:lvl>
    <w:lvl w:ilvl="1" w:tplc="04090003">
      <w:start w:val="1"/>
      <w:numFmt w:val="bullet"/>
      <w:lvlText w:val="o"/>
      <w:lvlJc w:val="left"/>
      <w:pPr>
        <w:ind w:left="1456" w:hanging="360"/>
      </w:pPr>
      <w:rPr>
        <w:rFonts w:ascii="Courier New" w:hAnsi="Courier New" w:cs="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cs="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cs="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37" w15:restartNumberingAfterBreak="0">
    <w:nsid w:val="70C91FA7"/>
    <w:multiLevelType w:val="hybridMultilevel"/>
    <w:tmpl w:val="FE661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FC4A41"/>
    <w:multiLevelType w:val="hybridMultilevel"/>
    <w:tmpl w:val="558A1E78"/>
    <w:lvl w:ilvl="0" w:tplc="1D908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E116CD"/>
    <w:multiLevelType w:val="hybridMultilevel"/>
    <w:tmpl w:val="D41E2034"/>
    <w:lvl w:ilvl="0" w:tplc="04090001">
      <w:start w:val="1"/>
      <w:numFmt w:val="bullet"/>
      <w:lvlText w:val=""/>
      <w:lvlJc w:val="left"/>
      <w:pPr>
        <w:ind w:left="720" w:hanging="360"/>
      </w:pPr>
      <w:rPr>
        <w:rFonts w:ascii="Symbol" w:hAnsi="Symbol" w:hint="default"/>
      </w:rPr>
    </w:lvl>
    <w:lvl w:ilvl="1" w:tplc="A8E4BD36">
      <w:start w:val="1"/>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EC2144"/>
    <w:multiLevelType w:val="hybridMultilevel"/>
    <w:tmpl w:val="4EB86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F1415B"/>
    <w:multiLevelType w:val="hybridMultilevel"/>
    <w:tmpl w:val="077A3A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660D5E"/>
    <w:multiLevelType w:val="hybridMultilevel"/>
    <w:tmpl w:val="E0FCB410"/>
    <w:lvl w:ilvl="0" w:tplc="7B4A66D2">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3" w15:restartNumberingAfterBreak="0">
    <w:nsid w:val="7DF45AAE"/>
    <w:multiLevelType w:val="hybridMultilevel"/>
    <w:tmpl w:val="C7EC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30"/>
  </w:num>
  <w:num w:numId="4">
    <w:abstractNumId w:val="0"/>
  </w:num>
  <w:num w:numId="5">
    <w:abstractNumId w:val="2"/>
  </w:num>
  <w:num w:numId="6">
    <w:abstractNumId w:val="22"/>
  </w:num>
  <w:num w:numId="7">
    <w:abstractNumId w:val="3"/>
  </w:num>
  <w:num w:numId="8">
    <w:abstractNumId w:val="21"/>
  </w:num>
  <w:num w:numId="9">
    <w:abstractNumId w:val="4"/>
  </w:num>
  <w:num w:numId="10">
    <w:abstractNumId w:val="23"/>
  </w:num>
  <w:num w:numId="11">
    <w:abstractNumId w:val="19"/>
  </w:num>
  <w:num w:numId="12">
    <w:abstractNumId w:val="40"/>
  </w:num>
  <w:num w:numId="13">
    <w:abstractNumId w:val="43"/>
  </w:num>
  <w:num w:numId="14">
    <w:abstractNumId w:val="26"/>
  </w:num>
  <w:num w:numId="15">
    <w:abstractNumId w:val="9"/>
  </w:num>
  <w:num w:numId="16">
    <w:abstractNumId w:val="6"/>
  </w:num>
  <w:num w:numId="17">
    <w:abstractNumId w:val="15"/>
  </w:num>
  <w:num w:numId="18">
    <w:abstractNumId w:val="7"/>
  </w:num>
  <w:num w:numId="19">
    <w:abstractNumId w:val="16"/>
  </w:num>
  <w:num w:numId="20">
    <w:abstractNumId w:val="36"/>
  </w:num>
  <w:num w:numId="21">
    <w:abstractNumId w:val="32"/>
  </w:num>
  <w:num w:numId="22">
    <w:abstractNumId w:val="27"/>
  </w:num>
  <w:num w:numId="23">
    <w:abstractNumId w:val="42"/>
  </w:num>
  <w:num w:numId="24">
    <w:abstractNumId w:val="34"/>
  </w:num>
  <w:num w:numId="25">
    <w:abstractNumId w:val="37"/>
  </w:num>
  <w:num w:numId="26">
    <w:abstractNumId w:val="33"/>
  </w:num>
  <w:num w:numId="27">
    <w:abstractNumId w:val="25"/>
  </w:num>
  <w:num w:numId="28">
    <w:abstractNumId w:val="41"/>
  </w:num>
  <w:num w:numId="29">
    <w:abstractNumId w:val="29"/>
  </w:num>
  <w:num w:numId="30">
    <w:abstractNumId w:val="8"/>
  </w:num>
  <w:num w:numId="31">
    <w:abstractNumId w:val="5"/>
  </w:num>
  <w:num w:numId="32">
    <w:abstractNumId w:val="38"/>
  </w:num>
  <w:num w:numId="33">
    <w:abstractNumId w:val="1"/>
  </w:num>
  <w:num w:numId="34">
    <w:abstractNumId w:val="14"/>
  </w:num>
  <w:num w:numId="35">
    <w:abstractNumId w:val="39"/>
  </w:num>
  <w:num w:numId="36">
    <w:abstractNumId w:val="10"/>
  </w:num>
  <w:num w:numId="37">
    <w:abstractNumId w:val="12"/>
  </w:num>
  <w:num w:numId="38">
    <w:abstractNumId w:val="35"/>
  </w:num>
  <w:num w:numId="39">
    <w:abstractNumId w:val="18"/>
  </w:num>
  <w:num w:numId="40">
    <w:abstractNumId w:val="24"/>
  </w:num>
  <w:num w:numId="41">
    <w:abstractNumId w:val="13"/>
  </w:num>
  <w:num w:numId="42">
    <w:abstractNumId w:val="20"/>
  </w:num>
  <w:num w:numId="43">
    <w:abstractNumId w:val="11"/>
  </w:num>
  <w:num w:numId="44">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removeDateAndTime/>
  <w:activeWritingStyle w:appName="MSWord" w:lang="en-C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52"/>
    <w:rsid w:val="00000038"/>
    <w:rsid w:val="000000D8"/>
    <w:rsid w:val="0000030C"/>
    <w:rsid w:val="00000534"/>
    <w:rsid w:val="00000648"/>
    <w:rsid w:val="000007C9"/>
    <w:rsid w:val="00000990"/>
    <w:rsid w:val="00000A72"/>
    <w:rsid w:val="00000B26"/>
    <w:rsid w:val="00000F0B"/>
    <w:rsid w:val="00001247"/>
    <w:rsid w:val="00001630"/>
    <w:rsid w:val="00001802"/>
    <w:rsid w:val="00001925"/>
    <w:rsid w:val="00001C4F"/>
    <w:rsid w:val="00001C83"/>
    <w:rsid w:val="00001DB1"/>
    <w:rsid w:val="00001DD1"/>
    <w:rsid w:val="00001FDE"/>
    <w:rsid w:val="00001FE6"/>
    <w:rsid w:val="000022B1"/>
    <w:rsid w:val="00002447"/>
    <w:rsid w:val="000025A0"/>
    <w:rsid w:val="0000266E"/>
    <w:rsid w:val="00002786"/>
    <w:rsid w:val="00002804"/>
    <w:rsid w:val="0000298A"/>
    <w:rsid w:val="00002DD3"/>
    <w:rsid w:val="00002F19"/>
    <w:rsid w:val="00002F3B"/>
    <w:rsid w:val="00003580"/>
    <w:rsid w:val="00003702"/>
    <w:rsid w:val="00003CBF"/>
    <w:rsid w:val="0000409B"/>
    <w:rsid w:val="00004132"/>
    <w:rsid w:val="000042B1"/>
    <w:rsid w:val="00004A2C"/>
    <w:rsid w:val="00004EAF"/>
    <w:rsid w:val="00004F68"/>
    <w:rsid w:val="0000512D"/>
    <w:rsid w:val="0000530D"/>
    <w:rsid w:val="000053F2"/>
    <w:rsid w:val="00005ABB"/>
    <w:rsid w:val="00005F74"/>
    <w:rsid w:val="0000606E"/>
    <w:rsid w:val="000060F9"/>
    <w:rsid w:val="0000639F"/>
    <w:rsid w:val="00006631"/>
    <w:rsid w:val="000067DF"/>
    <w:rsid w:val="00006AF6"/>
    <w:rsid w:val="00006B75"/>
    <w:rsid w:val="00006CEE"/>
    <w:rsid w:val="00006EAB"/>
    <w:rsid w:val="000071FA"/>
    <w:rsid w:val="000071FB"/>
    <w:rsid w:val="0000776A"/>
    <w:rsid w:val="000077CE"/>
    <w:rsid w:val="0000794A"/>
    <w:rsid w:val="00007AA4"/>
    <w:rsid w:val="00007C2C"/>
    <w:rsid w:val="00007CE3"/>
    <w:rsid w:val="00007D17"/>
    <w:rsid w:val="00010005"/>
    <w:rsid w:val="000100EB"/>
    <w:rsid w:val="000109AC"/>
    <w:rsid w:val="00010DF8"/>
    <w:rsid w:val="00010FEB"/>
    <w:rsid w:val="00011039"/>
    <w:rsid w:val="000112CE"/>
    <w:rsid w:val="0001165C"/>
    <w:rsid w:val="00011C55"/>
    <w:rsid w:val="00011EEF"/>
    <w:rsid w:val="0001220D"/>
    <w:rsid w:val="00012746"/>
    <w:rsid w:val="0001296C"/>
    <w:rsid w:val="00012A8D"/>
    <w:rsid w:val="00012EAA"/>
    <w:rsid w:val="000130E0"/>
    <w:rsid w:val="000131DF"/>
    <w:rsid w:val="00013296"/>
    <w:rsid w:val="0001334B"/>
    <w:rsid w:val="0001345E"/>
    <w:rsid w:val="000134E2"/>
    <w:rsid w:val="0001351A"/>
    <w:rsid w:val="000136D6"/>
    <w:rsid w:val="000136F8"/>
    <w:rsid w:val="00013BC6"/>
    <w:rsid w:val="00013CC4"/>
    <w:rsid w:val="00013E8B"/>
    <w:rsid w:val="0001413A"/>
    <w:rsid w:val="000142A8"/>
    <w:rsid w:val="0001433A"/>
    <w:rsid w:val="000143A4"/>
    <w:rsid w:val="00014447"/>
    <w:rsid w:val="00014453"/>
    <w:rsid w:val="0001456D"/>
    <w:rsid w:val="00014664"/>
    <w:rsid w:val="00014C0C"/>
    <w:rsid w:val="00014FF1"/>
    <w:rsid w:val="0001522A"/>
    <w:rsid w:val="00015245"/>
    <w:rsid w:val="000154F5"/>
    <w:rsid w:val="000156E2"/>
    <w:rsid w:val="00015837"/>
    <w:rsid w:val="0001594D"/>
    <w:rsid w:val="00015A00"/>
    <w:rsid w:val="00015A51"/>
    <w:rsid w:val="00015CE8"/>
    <w:rsid w:val="00015F15"/>
    <w:rsid w:val="0001649D"/>
    <w:rsid w:val="0001690F"/>
    <w:rsid w:val="00016E8B"/>
    <w:rsid w:val="00017566"/>
    <w:rsid w:val="0001797F"/>
    <w:rsid w:val="000206CE"/>
    <w:rsid w:val="000209B9"/>
    <w:rsid w:val="000209EF"/>
    <w:rsid w:val="00020CD0"/>
    <w:rsid w:val="00020CED"/>
    <w:rsid w:val="00020E25"/>
    <w:rsid w:val="00020E5C"/>
    <w:rsid w:val="00020E65"/>
    <w:rsid w:val="00020E84"/>
    <w:rsid w:val="0002114D"/>
    <w:rsid w:val="00021168"/>
    <w:rsid w:val="0002152D"/>
    <w:rsid w:val="00021592"/>
    <w:rsid w:val="000217CC"/>
    <w:rsid w:val="00021D41"/>
    <w:rsid w:val="00022435"/>
    <w:rsid w:val="00022473"/>
    <w:rsid w:val="000224E2"/>
    <w:rsid w:val="00022547"/>
    <w:rsid w:val="00022595"/>
    <w:rsid w:val="000229D4"/>
    <w:rsid w:val="00022B17"/>
    <w:rsid w:val="00022BCA"/>
    <w:rsid w:val="00023398"/>
    <w:rsid w:val="000233EF"/>
    <w:rsid w:val="00023444"/>
    <w:rsid w:val="000238C7"/>
    <w:rsid w:val="00023BC2"/>
    <w:rsid w:val="00024049"/>
    <w:rsid w:val="000241D4"/>
    <w:rsid w:val="00024247"/>
    <w:rsid w:val="000243F8"/>
    <w:rsid w:val="00024532"/>
    <w:rsid w:val="000248ED"/>
    <w:rsid w:val="000249F6"/>
    <w:rsid w:val="00024EEC"/>
    <w:rsid w:val="00024F09"/>
    <w:rsid w:val="00025D75"/>
    <w:rsid w:val="000268A4"/>
    <w:rsid w:val="000268FB"/>
    <w:rsid w:val="00026BD8"/>
    <w:rsid w:val="00026E1C"/>
    <w:rsid w:val="00026EB4"/>
    <w:rsid w:val="000278F2"/>
    <w:rsid w:val="0002799B"/>
    <w:rsid w:val="00027B66"/>
    <w:rsid w:val="00027BB9"/>
    <w:rsid w:val="00027D4A"/>
    <w:rsid w:val="00027F0E"/>
    <w:rsid w:val="0003000D"/>
    <w:rsid w:val="00030114"/>
    <w:rsid w:val="000303B5"/>
    <w:rsid w:val="000304DD"/>
    <w:rsid w:val="00030672"/>
    <w:rsid w:val="00030847"/>
    <w:rsid w:val="00030DB5"/>
    <w:rsid w:val="00030FCD"/>
    <w:rsid w:val="000311AF"/>
    <w:rsid w:val="000311C5"/>
    <w:rsid w:val="000312B8"/>
    <w:rsid w:val="000314A6"/>
    <w:rsid w:val="0003177F"/>
    <w:rsid w:val="00031E7B"/>
    <w:rsid w:val="00031EF3"/>
    <w:rsid w:val="00032062"/>
    <w:rsid w:val="000320B8"/>
    <w:rsid w:val="000321CD"/>
    <w:rsid w:val="000324FA"/>
    <w:rsid w:val="00032523"/>
    <w:rsid w:val="00032571"/>
    <w:rsid w:val="0003259A"/>
    <w:rsid w:val="00032685"/>
    <w:rsid w:val="000327FF"/>
    <w:rsid w:val="000328A0"/>
    <w:rsid w:val="00032A75"/>
    <w:rsid w:val="00032E13"/>
    <w:rsid w:val="00032E5B"/>
    <w:rsid w:val="00032FF9"/>
    <w:rsid w:val="00033007"/>
    <w:rsid w:val="0003327A"/>
    <w:rsid w:val="000336B5"/>
    <w:rsid w:val="00033972"/>
    <w:rsid w:val="00033F3A"/>
    <w:rsid w:val="00033F55"/>
    <w:rsid w:val="00033FED"/>
    <w:rsid w:val="000340E9"/>
    <w:rsid w:val="000341B8"/>
    <w:rsid w:val="000343D8"/>
    <w:rsid w:val="0003471A"/>
    <w:rsid w:val="00034775"/>
    <w:rsid w:val="00034ABC"/>
    <w:rsid w:val="00034AC9"/>
    <w:rsid w:val="00034E57"/>
    <w:rsid w:val="00034EFC"/>
    <w:rsid w:val="00035695"/>
    <w:rsid w:val="00035AB2"/>
    <w:rsid w:val="00035D4E"/>
    <w:rsid w:val="00035DE0"/>
    <w:rsid w:val="00035E64"/>
    <w:rsid w:val="00035F48"/>
    <w:rsid w:val="000363A1"/>
    <w:rsid w:val="00036543"/>
    <w:rsid w:val="000365C5"/>
    <w:rsid w:val="000370AA"/>
    <w:rsid w:val="0003752F"/>
    <w:rsid w:val="000375BD"/>
    <w:rsid w:val="00037701"/>
    <w:rsid w:val="00037915"/>
    <w:rsid w:val="00037A70"/>
    <w:rsid w:val="00037B18"/>
    <w:rsid w:val="00037C5F"/>
    <w:rsid w:val="00037DFB"/>
    <w:rsid w:val="00040020"/>
    <w:rsid w:val="00040046"/>
    <w:rsid w:val="00040108"/>
    <w:rsid w:val="000402AA"/>
    <w:rsid w:val="0004033F"/>
    <w:rsid w:val="0004035F"/>
    <w:rsid w:val="000404A1"/>
    <w:rsid w:val="00040500"/>
    <w:rsid w:val="00040747"/>
    <w:rsid w:val="00040770"/>
    <w:rsid w:val="000408D7"/>
    <w:rsid w:val="0004095B"/>
    <w:rsid w:val="00040A4C"/>
    <w:rsid w:val="00040C19"/>
    <w:rsid w:val="000416AF"/>
    <w:rsid w:val="00041C0C"/>
    <w:rsid w:val="000421FB"/>
    <w:rsid w:val="00042275"/>
    <w:rsid w:val="00042489"/>
    <w:rsid w:val="0004253E"/>
    <w:rsid w:val="000427BD"/>
    <w:rsid w:val="00042F93"/>
    <w:rsid w:val="0004303E"/>
    <w:rsid w:val="00043076"/>
    <w:rsid w:val="000430A6"/>
    <w:rsid w:val="000432D7"/>
    <w:rsid w:val="00043886"/>
    <w:rsid w:val="000439E0"/>
    <w:rsid w:val="00043BC0"/>
    <w:rsid w:val="00043C66"/>
    <w:rsid w:val="00043DD7"/>
    <w:rsid w:val="00043F1E"/>
    <w:rsid w:val="00043F87"/>
    <w:rsid w:val="0004404A"/>
    <w:rsid w:val="0004441E"/>
    <w:rsid w:val="00044445"/>
    <w:rsid w:val="0004446B"/>
    <w:rsid w:val="000449A0"/>
    <w:rsid w:val="000452AB"/>
    <w:rsid w:val="000453B7"/>
    <w:rsid w:val="00045416"/>
    <w:rsid w:val="0004560B"/>
    <w:rsid w:val="00045882"/>
    <w:rsid w:val="00045DF0"/>
    <w:rsid w:val="000462DF"/>
    <w:rsid w:val="000463D6"/>
    <w:rsid w:val="00046449"/>
    <w:rsid w:val="00046600"/>
    <w:rsid w:val="00046846"/>
    <w:rsid w:val="00046886"/>
    <w:rsid w:val="00046ADF"/>
    <w:rsid w:val="00046D8F"/>
    <w:rsid w:val="00047083"/>
    <w:rsid w:val="00047238"/>
    <w:rsid w:val="0004724B"/>
    <w:rsid w:val="000473B8"/>
    <w:rsid w:val="0004780E"/>
    <w:rsid w:val="000478DD"/>
    <w:rsid w:val="00047B99"/>
    <w:rsid w:val="00050475"/>
    <w:rsid w:val="000508ED"/>
    <w:rsid w:val="000509E5"/>
    <w:rsid w:val="00050ACA"/>
    <w:rsid w:val="00050B66"/>
    <w:rsid w:val="000512D3"/>
    <w:rsid w:val="0005136F"/>
    <w:rsid w:val="00051578"/>
    <w:rsid w:val="000516BF"/>
    <w:rsid w:val="000518BB"/>
    <w:rsid w:val="000518D7"/>
    <w:rsid w:val="00051A67"/>
    <w:rsid w:val="00051AEE"/>
    <w:rsid w:val="00051BBA"/>
    <w:rsid w:val="00051DBA"/>
    <w:rsid w:val="00051E7C"/>
    <w:rsid w:val="00051EBB"/>
    <w:rsid w:val="0005235F"/>
    <w:rsid w:val="000524FF"/>
    <w:rsid w:val="0005252A"/>
    <w:rsid w:val="0005262F"/>
    <w:rsid w:val="0005271D"/>
    <w:rsid w:val="00052B3D"/>
    <w:rsid w:val="00052D01"/>
    <w:rsid w:val="00052D4A"/>
    <w:rsid w:val="00052F35"/>
    <w:rsid w:val="00053060"/>
    <w:rsid w:val="00053143"/>
    <w:rsid w:val="0005318B"/>
    <w:rsid w:val="0005330B"/>
    <w:rsid w:val="00053424"/>
    <w:rsid w:val="000535A6"/>
    <w:rsid w:val="0005382C"/>
    <w:rsid w:val="000539BD"/>
    <w:rsid w:val="00053D54"/>
    <w:rsid w:val="00054294"/>
    <w:rsid w:val="0005435A"/>
    <w:rsid w:val="0005478C"/>
    <w:rsid w:val="000547F6"/>
    <w:rsid w:val="000549EF"/>
    <w:rsid w:val="00054A3E"/>
    <w:rsid w:val="00054D48"/>
    <w:rsid w:val="00054F25"/>
    <w:rsid w:val="00054FFA"/>
    <w:rsid w:val="0005530F"/>
    <w:rsid w:val="00055410"/>
    <w:rsid w:val="00055639"/>
    <w:rsid w:val="00055703"/>
    <w:rsid w:val="00055778"/>
    <w:rsid w:val="000557E2"/>
    <w:rsid w:val="00055A2A"/>
    <w:rsid w:val="00055C55"/>
    <w:rsid w:val="00056189"/>
    <w:rsid w:val="000569F4"/>
    <w:rsid w:val="00056B47"/>
    <w:rsid w:val="00056DAD"/>
    <w:rsid w:val="00057208"/>
    <w:rsid w:val="0005722B"/>
    <w:rsid w:val="00057482"/>
    <w:rsid w:val="0005757E"/>
    <w:rsid w:val="00057933"/>
    <w:rsid w:val="000600CE"/>
    <w:rsid w:val="000601E2"/>
    <w:rsid w:val="00060715"/>
    <w:rsid w:val="00060B12"/>
    <w:rsid w:val="00060BB3"/>
    <w:rsid w:val="00060F09"/>
    <w:rsid w:val="00060FD2"/>
    <w:rsid w:val="00061014"/>
    <w:rsid w:val="00061312"/>
    <w:rsid w:val="00061435"/>
    <w:rsid w:val="0006176A"/>
    <w:rsid w:val="00061925"/>
    <w:rsid w:val="000619CD"/>
    <w:rsid w:val="00061A3B"/>
    <w:rsid w:val="00061C01"/>
    <w:rsid w:val="00061ECE"/>
    <w:rsid w:val="00061F88"/>
    <w:rsid w:val="00062585"/>
    <w:rsid w:val="000626C2"/>
    <w:rsid w:val="00062831"/>
    <w:rsid w:val="00062A2A"/>
    <w:rsid w:val="00062AF6"/>
    <w:rsid w:val="00062B5F"/>
    <w:rsid w:val="00062BCF"/>
    <w:rsid w:val="00062D52"/>
    <w:rsid w:val="00062E71"/>
    <w:rsid w:val="00062ED0"/>
    <w:rsid w:val="00062EFA"/>
    <w:rsid w:val="00063069"/>
    <w:rsid w:val="000631E7"/>
    <w:rsid w:val="000631F2"/>
    <w:rsid w:val="00063245"/>
    <w:rsid w:val="00063283"/>
    <w:rsid w:val="00063357"/>
    <w:rsid w:val="00063438"/>
    <w:rsid w:val="0006362C"/>
    <w:rsid w:val="00063829"/>
    <w:rsid w:val="000639E8"/>
    <w:rsid w:val="00063B25"/>
    <w:rsid w:val="0006421C"/>
    <w:rsid w:val="0006423E"/>
    <w:rsid w:val="0006438E"/>
    <w:rsid w:val="000645BF"/>
    <w:rsid w:val="0006473E"/>
    <w:rsid w:val="000649FD"/>
    <w:rsid w:val="00064B01"/>
    <w:rsid w:val="00064C02"/>
    <w:rsid w:val="00064CB6"/>
    <w:rsid w:val="00064D78"/>
    <w:rsid w:val="00064ED6"/>
    <w:rsid w:val="000651A7"/>
    <w:rsid w:val="00065229"/>
    <w:rsid w:val="0006538A"/>
    <w:rsid w:val="000656EB"/>
    <w:rsid w:val="00065ACB"/>
    <w:rsid w:val="00065C32"/>
    <w:rsid w:val="00065DD7"/>
    <w:rsid w:val="00065F2D"/>
    <w:rsid w:val="00065F4A"/>
    <w:rsid w:val="000661A3"/>
    <w:rsid w:val="00066BE0"/>
    <w:rsid w:val="00066D2A"/>
    <w:rsid w:val="00066FDE"/>
    <w:rsid w:val="00067237"/>
    <w:rsid w:val="000672F8"/>
    <w:rsid w:val="00067579"/>
    <w:rsid w:val="00067691"/>
    <w:rsid w:val="0006769C"/>
    <w:rsid w:val="000677D5"/>
    <w:rsid w:val="00067B7A"/>
    <w:rsid w:val="000705C1"/>
    <w:rsid w:val="00070653"/>
    <w:rsid w:val="00070C07"/>
    <w:rsid w:val="00070ECD"/>
    <w:rsid w:val="000711F2"/>
    <w:rsid w:val="00071520"/>
    <w:rsid w:val="0007165F"/>
    <w:rsid w:val="000716E7"/>
    <w:rsid w:val="000717BF"/>
    <w:rsid w:val="000717DE"/>
    <w:rsid w:val="00071838"/>
    <w:rsid w:val="00071CE0"/>
    <w:rsid w:val="00071E29"/>
    <w:rsid w:val="00071E9B"/>
    <w:rsid w:val="00071ED4"/>
    <w:rsid w:val="000720D8"/>
    <w:rsid w:val="0007267E"/>
    <w:rsid w:val="000726BC"/>
    <w:rsid w:val="00072758"/>
    <w:rsid w:val="000727F9"/>
    <w:rsid w:val="000728E1"/>
    <w:rsid w:val="000729A4"/>
    <w:rsid w:val="00072ACA"/>
    <w:rsid w:val="00072CFB"/>
    <w:rsid w:val="000730F6"/>
    <w:rsid w:val="00073192"/>
    <w:rsid w:val="00073313"/>
    <w:rsid w:val="000735CC"/>
    <w:rsid w:val="000736D9"/>
    <w:rsid w:val="00073732"/>
    <w:rsid w:val="000739DA"/>
    <w:rsid w:val="00073BC5"/>
    <w:rsid w:val="00073DA8"/>
    <w:rsid w:val="00073EF8"/>
    <w:rsid w:val="00074335"/>
    <w:rsid w:val="0007465F"/>
    <w:rsid w:val="00074961"/>
    <w:rsid w:val="00074A9D"/>
    <w:rsid w:val="00074DEE"/>
    <w:rsid w:val="00074E18"/>
    <w:rsid w:val="00074E8C"/>
    <w:rsid w:val="00075126"/>
    <w:rsid w:val="000751D2"/>
    <w:rsid w:val="000752FB"/>
    <w:rsid w:val="00075419"/>
    <w:rsid w:val="00075559"/>
    <w:rsid w:val="000756A2"/>
    <w:rsid w:val="000757B6"/>
    <w:rsid w:val="00075871"/>
    <w:rsid w:val="00075A6A"/>
    <w:rsid w:val="00075B8E"/>
    <w:rsid w:val="00075C34"/>
    <w:rsid w:val="00075DCB"/>
    <w:rsid w:val="00075F42"/>
    <w:rsid w:val="000760FB"/>
    <w:rsid w:val="0007628E"/>
    <w:rsid w:val="0007657A"/>
    <w:rsid w:val="0007695D"/>
    <w:rsid w:val="00076DD3"/>
    <w:rsid w:val="00076F1C"/>
    <w:rsid w:val="0007713B"/>
    <w:rsid w:val="000775CA"/>
    <w:rsid w:val="00077A88"/>
    <w:rsid w:val="00077AC4"/>
    <w:rsid w:val="00077BEC"/>
    <w:rsid w:val="000803DF"/>
    <w:rsid w:val="0008057A"/>
    <w:rsid w:val="0008097B"/>
    <w:rsid w:val="00080B1C"/>
    <w:rsid w:val="00080F98"/>
    <w:rsid w:val="0008106D"/>
    <w:rsid w:val="000813A2"/>
    <w:rsid w:val="0008146A"/>
    <w:rsid w:val="000814A3"/>
    <w:rsid w:val="00081ADD"/>
    <w:rsid w:val="00081DED"/>
    <w:rsid w:val="00081F51"/>
    <w:rsid w:val="000822A8"/>
    <w:rsid w:val="0008239A"/>
    <w:rsid w:val="00082C4F"/>
    <w:rsid w:val="00082C90"/>
    <w:rsid w:val="00082E57"/>
    <w:rsid w:val="00082E89"/>
    <w:rsid w:val="00082F00"/>
    <w:rsid w:val="00083002"/>
    <w:rsid w:val="00083195"/>
    <w:rsid w:val="00083522"/>
    <w:rsid w:val="0008371A"/>
    <w:rsid w:val="000837A2"/>
    <w:rsid w:val="000837DB"/>
    <w:rsid w:val="000838A0"/>
    <w:rsid w:val="00083ADA"/>
    <w:rsid w:val="00083BDD"/>
    <w:rsid w:val="0008460A"/>
    <w:rsid w:val="000846A5"/>
    <w:rsid w:val="00084A28"/>
    <w:rsid w:val="00084E2E"/>
    <w:rsid w:val="00084FBE"/>
    <w:rsid w:val="00085069"/>
    <w:rsid w:val="000851AD"/>
    <w:rsid w:val="00085324"/>
    <w:rsid w:val="000853E7"/>
    <w:rsid w:val="00085751"/>
    <w:rsid w:val="00085893"/>
    <w:rsid w:val="00085D5B"/>
    <w:rsid w:val="00085E5B"/>
    <w:rsid w:val="00085F4A"/>
    <w:rsid w:val="0008613D"/>
    <w:rsid w:val="000861E0"/>
    <w:rsid w:val="000864A1"/>
    <w:rsid w:val="0008686D"/>
    <w:rsid w:val="0008688C"/>
    <w:rsid w:val="00086D07"/>
    <w:rsid w:val="000878C3"/>
    <w:rsid w:val="00087ACD"/>
    <w:rsid w:val="00087E5D"/>
    <w:rsid w:val="00090059"/>
    <w:rsid w:val="000905DA"/>
    <w:rsid w:val="000905E9"/>
    <w:rsid w:val="00090711"/>
    <w:rsid w:val="0009078C"/>
    <w:rsid w:val="0009084F"/>
    <w:rsid w:val="00090B38"/>
    <w:rsid w:val="00090BF3"/>
    <w:rsid w:val="00090DE5"/>
    <w:rsid w:val="00091098"/>
    <w:rsid w:val="00091223"/>
    <w:rsid w:val="0009126C"/>
    <w:rsid w:val="00091689"/>
    <w:rsid w:val="00091734"/>
    <w:rsid w:val="000917A6"/>
    <w:rsid w:val="0009192A"/>
    <w:rsid w:val="00091A81"/>
    <w:rsid w:val="000920EC"/>
    <w:rsid w:val="000921B8"/>
    <w:rsid w:val="000922C1"/>
    <w:rsid w:val="0009253D"/>
    <w:rsid w:val="000925CC"/>
    <w:rsid w:val="0009269F"/>
    <w:rsid w:val="000926CE"/>
    <w:rsid w:val="00092713"/>
    <w:rsid w:val="0009276E"/>
    <w:rsid w:val="000928F0"/>
    <w:rsid w:val="00092A4E"/>
    <w:rsid w:val="00092B6E"/>
    <w:rsid w:val="00092BE1"/>
    <w:rsid w:val="0009311D"/>
    <w:rsid w:val="000932DC"/>
    <w:rsid w:val="0009353F"/>
    <w:rsid w:val="00093A54"/>
    <w:rsid w:val="00093D7B"/>
    <w:rsid w:val="000942C7"/>
    <w:rsid w:val="0009457A"/>
    <w:rsid w:val="00094617"/>
    <w:rsid w:val="000949F6"/>
    <w:rsid w:val="00094B2D"/>
    <w:rsid w:val="00094C25"/>
    <w:rsid w:val="00094F27"/>
    <w:rsid w:val="00095058"/>
    <w:rsid w:val="000950FC"/>
    <w:rsid w:val="00095364"/>
    <w:rsid w:val="0009556C"/>
    <w:rsid w:val="000958A6"/>
    <w:rsid w:val="0009592D"/>
    <w:rsid w:val="00095EC2"/>
    <w:rsid w:val="00095FB3"/>
    <w:rsid w:val="000963EF"/>
    <w:rsid w:val="00096570"/>
    <w:rsid w:val="000966F6"/>
    <w:rsid w:val="00096CD7"/>
    <w:rsid w:val="00096DC1"/>
    <w:rsid w:val="00097227"/>
    <w:rsid w:val="00097382"/>
    <w:rsid w:val="00097738"/>
    <w:rsid w:val="00097896"/>
    <w:rsid w:val="00097B71"/>
    <w:rsid w:val="00097F5F"/>
    <w:rsid w:val="00097FBA"/>
    <w:rsid w:val="000A0076"/>
    <w:rsid w:val="000A017E"/>
    <w:rsid w:val="000A026B"/>
    <w:rsid w:val="000A0384"/>
    <w:rsid w:val="000A0837"/>
    <w:rsid w:val="000A106D"/>
    <w:rsid w:val="000A12AA"/>
    <w:rsid w:val="000A13E0"/>
    <w:rsid w:val="000A17F6"/>
    <w:rsid w:val="000A180F"/>
    <w:rsid w:val="000A1937"/>
    <w:rsid w:val="000A199F"/>
    <w:rsid w:val="000A19CE"/>
    <w:rsid w:val="000A19F2"/>
    <w:rsid w:val="000A1A2B"/>
    <w:rsid w:val="000A1AC2"/>
    <w:rsid w:val="000A1B12"/>
    <w:rsid w:val="000A1B81"/>
    <w:rsid w:val="000A1CD0"/>
    <w:rsid w:val="000A1DB9"/>
    <w:rsid w:val="000A1FB7"/>
    <w:rsid w:val="000A1FDD"/>
    <w:rsid w:val="000A200D"/>
    <w:rsid w:val="000A20C1"/>
    <w:rsid w:val="000A23BD"/>
    <w:rsid w:val="000A24BD"/>
    <w:rsid w:val="000A256C"/>
    <w:rsid w:val="000A298B"/>
    <w:rsid w:val="000A2FB2"/>
    <w:rsid w:val="000A3092"/>
    <w:rsid w:val="000A311B"/>
    <w:rsid w:val="000A31F5"/>
    <w:rsid w:val="000A33A4"/>
    <w:rsid w:val="000A3462"/>
    <w:rsid w:val="000A3846"/>
    <w:rsid w:val="000A3E6D"/>
    <w:rsid w:val="000A415F"/>
    <w:rsid w:val="000A4375"/>
    <w:rsid w:val="000A44C8"/>
    <w:rsid w:val="000A46D3"/>
    <w:rsid w:val="000A4714"/>
    <w:rsid w:val="000A4745"/>
    <w:rsid w:val="000A498D"/>
    <w:rsid w:val="000A4CBE"/>
    <w:rsid w:val="000A4F52"/>
    <w:rsid w:val="000A4F8E"/>
    <w:rsid w:val="000A500E"/>
    <w:rsid w:val="000A5366"/>
    <w:rsid w:val="000A5437"/>
    <w:rsid w:val="000A5892"/>
    <w:rsid w:val="000A5D06"/>
    <w:rsid w:val="000A5E09"/>
    <w:rsid w:val="000A5E16"/>
    <w:rsid w:val="000A647F"/>
    <w:rsid w:val="000A65C0"/>
    <w:rsid w:val="000A65E1"/>
    <w:rsid w:val="000A6617"/>
    <w:rsid w:val="000A683A"/>
    <w:rsid w:val="000A68BF"/>
    <w:rsid w:val="000A6B2E"/>
    <w:rsid w:val="000A6ED7"/>
    <w:rsid w:val="000A7223"/>
    <w:rsid w:val="000A7332"/>
    <w:rsid w:val="000A7629"/>
    <w:rsid w:val="000A7670"/>
    <w:rsid w:val="000A76B5"/>
    <w:rsid w:val="000A7755"/>
    <w:rsid w:val="000A782B"/>
    <w:rsid w:val="000A79A1"/>
    <w:rsid w:val="000A79C2"/>
    <w:rsid w:val="000A7AC4"/>
    <w:rsid w:val="000B04D6"/>
    <w:rsid w:val="000B0629"/>
    <w:rsid w:val="000B0775"/>
    <w:rsid w:val="000B0B3E"/>
    <w:rsid w:val="000B0BD2"/>
    <w:rsid w:val="000B0EC8"/>
    <w:rsid w:val="000B0FD9"/>
    <w:rsid w:val="000B148C"/>
    <w:rsid w:val="000B1672"/>
    <w:rsid w:val="000B1A1D"/>
    <w:rsid w:val="000B1BFA"/>
    <w:rsid w:val="000B1C98"/>
    <w:rsid w:val="000B21A1"/>
    <w:rsid w:val="000B277A"/>
    <w:rsid w:val="000B27AF"/>
    <w:rsid w:val="000B27BC"/>
    <w:rsid w:val="000B2A3B"/>
    <w:rsid w:val="000B302D"/>
    <w:rsid w:val="000B3622"/>
    <w:rsid w:val="000B3792"/>
    <w:rsid w:val="000B3977"/>
    <w:rsid w:val="000B3B63"/>
    <w:rsid w:val="000B3DDF"/>
    <w:rsid w:val="000B4009"/>
    <w:rsid w:val="000B492F"/>
    <w:rsid w:val="000B49AE"/>
    <w:rsid w:val="000B4E0D"/>
    <w:rsid w:val="000B4EA4"/>
    <w:rsid w:val="000B5146"/>
    <w:rsid w:val="000B5147"/>
    <w:rsid w:val="000B5438"/>
    <w:rsid w:val="000B5A43"/>
    <w:rsid w:val="000B5CAA"/>
    <w:rsid w:val="000B5D7D"/>
    <w:rsid w:val="000B5DF9"/>
    <w:rsid w:val="000B5EE9"/>
    <w:rsid w:val="000B6578"/>
    <w:rsid w:val="000B657F"/>
    <w:rsid w:val="000B66AB"/>
    <w:rsid w:val="000B66CE"/>
    <w:rsid w:val="000B6763"/>
    <w:rsid w:val="000B6773"/>
    <w:rsid w:val="000B6BA1"/>
    <w:rsid w:val="000B6C5D"/>
    <w:rsid w:val="000B6E90"/>
    <w:rsid w:val="000B7395"/>
    <w:rsid w:val="000B76EB"/>
    <w:rsid w:val="000B79FE"/>
    <w:rsid w:val="000B7CBF"/>
    <w:rsid w:val="000B7D26"/>
    <w:rsid w:val="000B7D75"/>
    <w:rsid w:val="000B7E65"/>
    <w:rsid w:val="000C098E"/>
    <w:rsid w:val="000C0A3D"/>
    <w:rsid w:val="000C0A84"/>
    <w:rsid w:val="000C0D1F"/>
    <w:rsid w:val="000C1417"/>
    <w:rsid w:val="000C1590"/>
    <w:rsid w:val="000C1656"/>
    <w:rsid w:val="000C1708"/>
    <w:rsid w:val="000C19C8"/>
    <w:rsid w:val="000C1BD0"/>
    <w:rsid w:val="000C21E3"/>
    <w:rsid w:val="000C25F1"/>
    <w:rsid w:val="000C29D9"/>
    <w:rsid w:val="000C2BF7"/>
    <w:rsid w:val="000C2C85"/>
    <w:rsid w:val="000C2E26"/>
    <w:rsid w:val="000C2E8A"/>
    <w:rsid w:val="000C2F5E"/>
    <w:rsid w:val="000C2FCE"/>
    <w:rsid w:val="000C3004"/>
    <w:rsid w:val="000C32A1"/>
    <w:rsid w:val="000C3486"/>
    <w:rsid w:val="000C38F2"/>
    <w:rsid w:val="000C392A"/>
    <w:rsid w:val="000C3C1B"/>
    <w:rsid w:val="000C3DC3"/>
    <w:rsid w:val="000C3EFC"/>
    <w:rsid w:val="000C3FB9"/>
    <w:rsid w:val="000C40FA"/>
    <w:rsid w:val="000C451F"/>
    <w:rsid w:val="000C4D08"/>
    <w:rsid w:val="000C4E84"/>
    <w:rsid w:val="000C5477"/>
    <w:rsid w:val="000C54D2"/>
    <w:rsid w:val="000C5774"/>
    <w:rsid w:val="000C5976"/>
    <w:rsid w:val="000C59C5"/>
    <w:rsid w:val="000C5DE0"/>
    <w:rsid w:val="000C5E2E"/>
    <w:rsid w:val="000C648C"/>
    <w:rsid w:val="000C64D9"/>
    <w:rsid w:val="000C65DB"/>
    <w:rsid w:val="000C679F"/>
    <w:rsid w:val="000C67EE"/>
    <w:rsid w:val="000C69DC"/>
    <w:rsid w:val="000C6AD1"/>
    <w:rsid w:val="000C6B60"/>
    <w:rsid w:val="000C6B84"/>
    <w:rsid w:val="000C6E0F"/>
    <w:rsid w:val="000C6F3A"/>
    <w:rsid w:val="000C7011"/>
    <w:rsid w:val="000C7109"/>
    <w:rsid w:val="000C740C"/>
    <w:rsid w:val="000C74A5"/>
    <w:rsid w:val="000C7696"/>
    <w:rsid w:val="000C7843"/>
    <w:rsid w:val="000C79CC"/>
    <w:rsid w:val="000C7AC3"/>
    <w:rsid w:val="000C7B5D"/>
    <w:rsid w:val="000C7F79"/>
    <w:rsid w:val="000D0160"/>
    <w:rsid w:val="000D01C8"/>
    <w:rsid w:val="000D03A5"/>
    <w:rsid w:val="000D06D3"/>
    <w:rsid w:val="000D0827"/>
    <w:rsid w:val="000D09ED"/>
    <w:rsid w:val="000D0F07"/>
    <w:rsid w:val="000D1069"/>
    <w:rsid w:val="000D11B5"/>
    <w:rsid w:val="000D1674"/>
    <w:rsid w:val="000D16DA"/>
    <w:rsid w:val="000D181B"/>
    <w:rsid w:val="000D1971"/>
    <w:rsid w:val="000D1CEB"/>
    <w:rsid w:val="000D1DA9"/>
    <w:rsid w:val="000D1E30"/>
    <w:rsid w:val="000D217A"/>
    <w:rsid w:val="000D2181"/>
    <w:rsid w:val="000D2304"/>
    <w:rsid w:val="000D2479"/>
    <w:rsid w:val="000D2526"/>
    <w:rsid w:val="000D268A"/>
    <w:rsid w:val="000D26FF"/>
    <w:rsid w:val="000D27F3"/>
    <w:rsid w:val="000D2871"/>
    <w:rsid w:val="000D28D5"/>
    <w:rsid w:val="000D2A4B"/>
    <w:rsid w:val="000D2D5E"/>
    <w:rsid w:val="000D2ED3"/>
    <w:rsid w:val="000D2F14"/>
    <w:rsid w:val="000D3126"/>
    <w:rsid w:val="000D323B"/>
    <w:rsid w:val="000D32FC"/>
    <w:rsid w:val="000D35B1"/>
    <w:rsid w:val="000D36A9"/>
    <w:rsid w:val="000D3B34"/>
    <w:rsid w:val="000D3B56"/>
    <w:rsid w:val="000D40BB"/>
    <w:rsid w:val="000D41FC"/>
    <w:rsid w:val="000D421C"/>
    <w:rsid w:val="000D460C"/>
    <w:rsid w:val="000D462F"/>
    <w:rsid w:val="000D4996"/>
    <w:rsid w:val="000D4D11"/>
    <w:rsid w:val="000D4DCF"/>
    <w:rsid w:val="000D4EC5"/>
    <w:rsid w:val="000D5127"/>
    <w:rsid w:val="000D524C"/>
    <w:rsid w:val="000D5306"/>
    <w:rsid w:val="000D5703"/>
    <w:rsid w:val="000D5895"/>
    <w:rsid w:val="000D5916"/>
    <w:rsid w:val="000D5AC7"/>
    <w:rsid w:val="000D5CCF"/>
    <w:rsid w:val="000D5DA9"/>
    <w:rsid w:val="000D5E3E"/>
    <w:rsid w:val="000D5FFE"/>
    <w:rsid w:val="000D623C"/>
    <w:rsid w:val="000D635A"/>
    <w:rsid w:val="000D66EB"/>
    <w:rsid w:val="000D67FE"/>
    <w:rsid w:val="000D6B3B"/>
    <w:rsid w:val="000D6C5C"/>
    <w:rsid w:val="000D7149"/>
    <w:rsid w:val="000D7161"/>
    <w:rsid w:val="000D716F"/>
    <w:rsid w:val="000D72EF"/>
    <w:rsid w:val="000D75CE"/>
    <w:rsid w:val="000D77D9"/>
    <w:rsid w:val="000D786B"/>
    <w:rsid w:val="000D78A5"/>
    <w:rsid w:val="000D79EC"/>
    <w:rsid w:val="000E014F"/>
    <w:rsid w:val="000E0310"/>
    <w:rsid w:val="000E060A"/>
    <w:rsid w:val="000E06AB"/>
    <w:rsid w:val="000E0865"/>
    <w:rsid w:val="000E08A8"/>
    <w:rsid w:val="000E0C2B"/>
    <w:rsid w:val="000E0CED"/>
    <w:rsid w:val="000E123B"/>
    <w:rsid w:val="000E192D"/>
    <w:rsid w:val="000E1956"/>
    <w:rsid w:val="000E1B5F"/>
    <w:rsid w:val="000E1BEF"/>
    <w:rsid w:val="000E1FBD"/>
    <w:rsid w:val="000E20C9"/>
    <w:rsid w:val="000E227D"/>
    <w:rsid w:val="000E232D"/>
    <w:rsid w:val="000E239C"/>
    <w:rsid w:val="000E2426"/>
    <w:rsid w:val="000E252A"/>
    <w:rsid w:val="000E27C3"/>
    <w:rsid w:val="000E2A64"/>
    <w:rsid w:val="000E2BA1"/>
    <w:rsid w:val="000E2BDF"/>
    <w:rsid w:val="000E2E47"/>
    <w:rsid w:val="000E2F2A"/>
    <w:rsid w:val="000E31AA"/>
    <w:rsid w:val="000E31DA"/>
    <w:rsid w:val="000E3305"/>
    <w:rsid w:val="000E3465"/>
    <w:rsid w:val="000E3A29"/>
    <w:rsid w:val="000E3A43"/>
    <w:rsid w:val="000E3DE2"/>
    <w:rsid w:val="000E41BA"/>
    <w:rsid w:val="000E43E6"/>
    <w:rsid w:val="000E480B"/>
    <w:rsid w:val="000E48F5"/>
    <w:rsid w:val="000E49A3"/>
    <w:rsid w:val="000E5208"/>
    <w:rsid w:val="000E5431"/>
    <w:rsid w:val="000E58BD"/>
    <w:rsid w:val="000E5B36"/>
    <w:rsid w:val="000E5F6F"/>
    <w:rsid w:val="000E627B"/>
    <w:rsid w:val="000E63FB"/>
    <w:rsid w:val="000E64AE"/>
    <w:rsid w:val="000E6B84"/>
    <w:rsid w:val="000E71A1"/>
    <w:rsid w:val="000E7451"/>
    <w:rsid w:val="000E7620"/>
    <w:rsid w:val="000E76C1"/>
    <w:rsid w:val="000E7708"/>
    <w:rsid w:val="000E7752"/>
    <w:rsid w:val="000E7A8D"/>
    <w:rsid w:val="000E7C51"/>
    <w:rsid w:val="000E7DB2"/>
    <w:rsid w:val="000E7DFA"/>
    <w:rsid w:val="000F039C"/>
    <w:rsid w:val="000F044B"/>
    <w:rsid w:val="000F05EA"/>
    <w:rsid w:val="000F070A"/>
    <w:rsid w:val="000F0918"/>
    <w:rsid w:val="000F0E56"/>
    <w:rsid w:val="000F0F3F"/>
    <w:rsid w:val="000F0FF5"/>
    <w:rsid w:val="000F1097"/>
    <w:rsid w:val="000F1470"/>
    <w:rsid w:val="000F1598"/>
    <w:rsid w:val="000F1B60"/>
    <w:rsid w:val="000F1E16"/>
    <w:rsid w:val="000F1F77"/>
    <w:rsid w:val="000F24B7"/>
    <w:rsid w:val="000F2A56"/>
    <w:rsid w:val="000F30D0"/>
    <w:rsid w:val="000F31C0"/>
    <w:rsid w:val="000F3894"/>
    <w:rsid w:val="000F40E5"/>
    <w:rsid w:val="000F416B"/>
    <w:rsid w:val="000F42EC"/>
    <w:rsid w:val="000F4388"/>
    <w:rsid w:val="000F45AC"/>
    <w:rsid w:val="000F45F1"/>
    <w:rsid w:val="000F4781"/>
    <w:rsid w:val="000F4948"/>
    <w:rsid w:val="000F4B1A"/>
    <w:rsid w:val="000F5353"/>
    <w:rsid w:val="000F593B"/>
    <w:rsid w:val="000F5BCE"/>
    <w:rsid w:val="000F5CA9"/>
    <w:rsid w:val="000F5F0E"/>
    <w:rsid w:val="000F61CE"/>
    <w:rsid w:val="000F620E"/>
    <w:rsid w:val="000F6264"/>
    <w:rsid w:val="000F6561"/>
    <w:rsid w:val="000F68EA"/>
    <w:rsid w:val="000F6A15"/>
    <w:rsid w:val="000F6A75"/>
    <w:rsid w:val="000F6DCD"/>
    <w:rsid w:val="000F6E0E"/>
    <w:rsid w:val="000F6EA9"/>
    <w:rsid w:val="000F6F53"/>
    <w:rsid w:val="000F72E3"/>
    <w:rsid w:val="000F768A"/>
    <w:rsid w:val="000F7F78"/>
    <w:rsid w:val="000F7FF6"/>
    <w:rsid w:val="00100022"/>
    <w:rsid w:val="00100109"/>
    <w:rsid w:val="001002D8"/>
    <w:rsid w:val="00100505"/>
    <w:rsid w:val="00100715"/>
    <w:rsid w:val="00100738"/>
    <w:rsid w:val="00100BA3"/>
    <w:rsid w:val="00100BDD"/>
    <w:rsid w:val="00100D4A"/>
    <w:rsid w:val="00100F7C"/>
    <w:rsid w:val="00101012"/>
    <w:rsid w:val="0010116D"/>
    <w:rsid w:val="00101173"/>
    <w:rsid w:val="001011AC"/>
    <w:rsid w:val="001011D7"/>
    <w:rsid w:val="001014C9"/>
    <w:rsid w:val="001015F2"/>
    <w:rsid w:val="00101849"/>
    <w:rsid w:val="0010195E"/>
    <w:rsid w:val="00101C0A"/>
    <w:rsid w:val="00101D09"/>
    <w:rsid w:val="00101E46"/>
    <w:rsid w:val="0010288E"/>
    <w:rsid w:val="001029C3"/>
    <w:rsid w:val="00102B7F"/>
    <w:rsid w:val="00102C8B"/>
    <w:rsid w:val="00102D7C"/>
    <w:rsid w:val="00102E24"/>
    <w:rsid w:val="00102ECC"/>
    <w:rsid w:val="00102EDD"/>
    <w:rsid w:val="00102F6A"/>
    <w:rsid w:val="00103055"/>
    <w:rsid w:val="00103304"/>
    <w:rsid w:val="0010340E"/>
    <w:rsid w:val="001037EA"/>
    <w:rsid w:val="00103825"/>
    <w:rsid w:val="00103965"/>
    <w:rsid w:val="001039F7"/>
    <w:rsid w:val="001039FD"/>
    <w:rsid w:val="00103CB2"/>
    <w:rsid w:val="0010451D"/>
    <w:rsid w:val="00104779"/>
    <w:rsid w:val="001048A2"/>
    <w:rsid w:val="00104910"/>
    <w:rsid w:val="00104CDD"/>
    <w:rsid w:val="00104D00"/>
    <w:rsid w:val="00104F64"/>
    <w:rsid w:val="00104F8A"/>
    <w:rsid w:val="00105333"/>
    <w:rsid w:val="001053F3"/>
    <w:rsid w:val="0010557F"/>
    <w:rsid w:val="001058FA"/>
    <w:rsid w:val="00105990"/>
    <w:rsid w:val="00105BF2"/>
    <w:rsid w:val="00105CBE"/>
    <w:rsid w:val="0010611C"/>
    <w:rsid w:val="00106180"/>
    <w:rsid w:val="001061B7"/>
    <w:rsid w:val="0010624D"/>
    <w:rsid w:val="00106490"/>
    <w:rsid w:val="0010660E"/>
    <w:rsid w:val="0010686D"/>
    <w:rsid w:val="001068AD"/>
    <w:rsid w:val="00106F03"/>
    <w:rsid w:val="00107269"/>
    <w:rsid w:val="00107275"/>
    <w:rsid w:val="00107531"/>
    <w:rsid w:val="001075DD"/>
    <w:rsid w:val="00107A74"/>
    <w:rsid w:val="00107C3D"/>
    <w:rsid w:val="00107D74"/>
    <w:rsid w:val="00107DF4"/>
    <w:rsid w:val="00107E15"/>
    <w:rsid w:val="001100E9"/>
    <w:rsid w:val="00110214"/>
    <w:rsid w:val="0011038A"/>
    <w:rsid w:val="00110A84"/>
    <w:rsid w:val="0011169D"/>
    <w:rsid w:val="00111748"/>
    <w:rsid w:val="00111C0A"/>
    <w:rsid w:val="00111E24"/>
    <w:rsid w:val="00112394"/>
    <w:rsid w:val="00112499"/>
    <w:rsid w:val="001125C7"/>
    <w:rsid w:val="0011277D"/>
    <w:rsid w:val="0011281E"/>
    <w:rsid w:val="0011283C"/>
    <w:rsid w:val="001128D3"/>
    <w:rsid w:val="00112A26"/>
    <w:rsid w:val="00112D67"/>
    <w:rsid w:val="00112DFC"/>
    <w:rsid w:val="00112ECC"/>
    <w:rsid w:val="00113138"/>
    <w:rsid w:val="00113649"/>
    <w:rsid w:val="001138BD"/>
    <w:rsid w:val="00113A57"/>
    <w:rsid w:val="00113B6E"/>
    <w:rsid w:val="00113EE4"/>
    <w:rsid w:val="0011429C"/>
    <w:rsid w:val="001142E7"/>
    <w:rsid w:val="001142EC"/>
    <w:rsid w:val="00114333"/>
    <w:rsid w:val="0011452D"/>
    <w:rsid w:val="001147ED"/>
    <w:rsid w:val="00114980"/>
    <w:rsid w:val="00114C2B"/>
    <w:rsid w:val="00114F3F"/>
    <w:rsid w:val="00114F61"/>
    <w:rsid w:val="0011520D"/>
    <w:rsid w:val="00115434"/>
    <w:rsid w:val="00115514"/>
    <w:rsid w:val="001155FB"/>
    <w:rsid w:val="001156B5"/>
    <w:rsid w:val="001157BF"/>
    <w:rsid w:val="00115AEA"/>
    <w:rsid w:val="00115C9E"/>
    <w:rsid w:val="00115CB3"/>
    <w:rsid w:val="00115D4C"/>
    <w:rsid w:val="001164BF"/>
    <w:rsid w:val="00116AC4"/>
    <w:rsid w:val="00116B3C"/>
    <w:rsid w:val="00116D2F"/>
    <w:rsid w:val="00117030"/>
    <w:rsid w:val="001170AB"/>
    <w:rsid w:val="00117239"/>
    <w:rsid w:val="0011723A"/>
    <w:rsid w:val="00117966"/>
    <w:rsid w:val="00117999"/>
    <w:rsid w:val="00117B31"/>
    <w:rsid w:val="00117DC0"/>
    <w:rsid w:val="00120001"/>
    <w:rsid w:val="001202D7"/>
    <w:rsid w:val="00120696"/>
    <w:rsid w:val="00120739"/>
    <w:rsid w:val="001209A8"/>
    <w:rsid w:val="00120AA6"/>
    <w:rsid w:val="00120BD0"/>
    <w:rsid w:val="00120CF1"/>
    <w:rsid w:val="00120FA5"/>
    <w:rsid w:val="001210ED"/>
    <w:rsid w:val="001211F2"/>
    <w:rsid w:val="0012177E"/>
    <w:rsid w:val="00121908"/>
    <w:rsid w:val="00121A9C"/>
    <w:rsid w:val="00121D81"/>
    <w:rsid w:val="00122324"/>
    <w:rsid w:val="00122399"/>
    <w:rsid w:val="0012240A"/>
    <w:rsid w:val="001226A7"/>
    <w:rsid w:val="00122796"/>
    <w:rsid w:val="00122D3E"/>
    <w:rsid w:val="00122E51"/>
    <w:rsid w:val="00122FA2"/>
    <w:rsid w:val="00122FA8"/>
    <w:rsid w:val="00123373"/>
    <w:rsid w:val="0012349B"/>
    <w:rsid w:val="001237A0"/>
    <w:rsid w:val="00123812"/>
    <w:rsid w:val="00123882"/>
    <w:rsid w:val="001238FA"/>
    <w:rsid w:val="00123902"/>
    <w:rsid w:val="00123937"/>
    <w:rsid w:val="0012395B"/>
    <w:rsid w:val="00123D75"/>
    <w:rsid w:val="00123DA7"/>
    <w:rsid w:val="00123F82"/>
    <w:rsid w:val="0012410E"/>
    <w:rsid w:val="00124412"/>
    <w:rsid w:val="001244D8"/>
    <w:rsid w:val="00124688"/>
    <w:rsid w:val="00124746"/>
    <w:rsid w:val="00124A2A"/>
    <w:rsid w:val="00124C7F"/>
    <w:rsid w:val="00124D54"/>
    <w:rsid w:val="00124E62"/>
    <w:rsid w:val="00124EE5"/>
    <w:rsid w:val="00124F47"/>
    <w:rsid w:val="001250DB"/>
    <w:rsid w:val="00125787"/>
    <w:rsid w:val="00125933"/>
    <w:rsid w:val="00125C83"/>
    <w:rsid w:val="00125D17"/>
    <w:rsid w:val="00125D89"/>
    <w:rsid w:val="00125E5A"/>
    <w:rsid w:val="00126096"/>
    <w:rsid w:val="00126656"/>
    <w:rsid w:val="0012665F"/>
    <w:rsid w:val="001269AF"/>
    <w:rsid w:val="00126ABA"/>
    <w:rsid w:val="00126E4F"/>
    <w:rsid w:val="00126EAC"/>
    <w:rsid w:val="0012708E"/>
    <w:rsid w:val="00127162"/>
    <w:rsid w:val="0012732E"/>
    <w:rsid w:val="00127436"/>
    <w:rsid w:val="0012751D"/>
    <w:rsid w:val="00127583"/>
    <w:rsid w:val="001277EE"/>
    <w:rsid w:val="00127BDC"/>
    <w:rsid w:val="00127E2B"/>
    <w:rsid w:val="00127E56"/>
    <w:rsid w:val="00130110"/>
    <w:rsid w:val="001305F3"/>
    <w:rsid w:val="001305F9"/>
    <w:rsid w:val="001309F3"/>
    <w:rsid w:val="00130B26"/>
    <w:rsid w:val="00130B35"/>
    <w:rsid w:val="00130DC8"/>
    <w:rsid w:val="00130F21"/>
    <w:rsid w:val="00131395"/>
    <w:rsid w:val="001313E3"/>
    <w:rsid w:val="0013159B"/>
    <w:rsid w:val="001316BD"/>
    <w:rsid w:val="0013183F"/>
    <w:rsid w:val="00131A77"/>
    <w:rsid w:val="00131B46"/>
    <w:rsid w:val="00131CE2"/>
    <w:rsid w:val="00132079"/>
    <w:rsid w:val="0013269C"/>
    <w:rsid w:val="0013276B"/>
    <w:rsid w:val="00132994"/>
    <w:rsid w:val="001329B7"/>
    <w:rsid w:val="00132CBE"/>
    <w:rsid w:val="00132DF9"/>
    <w:rsid w:val="00133095"/>
    <w:rsid w:val="0013325B"/>
    <w:rsid w:val="001332BF"/>
    <w:rsid w:val="001336EA"/>
    <w:rsid w:val="0013383E"/>
    <w:rsid w:val="001339FD"/>
    <w:rsid w:val="00133C57"/>
    <w:rsid w:val="00133CB3"/>
    <w:rsid w:val="00133EC6"/>
    <w:rsid w:val="00133F4C"/>
    <w:rsid w:val="00134228"/>
    <w:rsid w:val="001342F7"/>
    <w:rsid w:val="00134461"/>
    <w:rsid w:val="00134529"/>
    <w:rsid w:val="00134F67"/>
    <w:rsid w:val="001350FC"/>
    <w:rsid w:val="001351F9"/>
    <w:rsid w:val="0013523E"/>
    <w:rsid w:val="001354AA"/>
    <w:rsid w:val="00135AD5"/>
    <w:rsid w:val="00136530"/>
    <w:rsid w:val="001365BB"/>
    <w:rsid w:val="001368AD"/>
    <w:rsid w:val="00136950"/>
    <w:rsid w:val="00136CBE"/>
    <w:rsid w:val="00137109"/>
    <w:rsid w:val="0013729F"/>
    <w:rsid w:val="0013782C"/>
    <w:rsid w:val="00137D92"/>
    <w:rsid w:val="001400BE"/>
    <w:rsid w:val="001405B8"/>
    <w:rsid w:val="00140739"/>
    <w:rsid w:val="0014094C"/>
    <w:rsid w:val="001410A1"/>
    <w:rsid w:val="00141154"/>
    <w:rsid w:val="00141356"/>
    <w:rsid w:val="0014150D"/>
    <w:rsid w:val="00141676"/>
    <w:rsid w:val="001416A2"/>
    <w:rsid w:val="00141BA2"/>
    <w:rsid w:val="00141E5E"/>
    <w:rsid w:val="0014203C"/>
    <w:rsid w:val="001420C9"/>
    <w:rsid w:val="00142133"/>
    <w:rsid w:val="00142309"/>
    <w:rsid w:val="001423A5"/>
    <w:rsid w:val="001428FA"/>
    <w:rsid w:val="0014290F"/>
    <w:rsid w:val="0014299B"/>
    <w:rsid w:val="00142E92"/>
    <w:rsid w:val="00142FEF"/>
    <w:rsid w:val="00143034"/>
    <w:rsid w:val="001436B2"/>
    <w:rsid w:val="001437DF"/>
    <w:rsid w:val="00143924"/>
    <w:rsid w:val="001441FE"/>
    <w:rsid w:val="0014430D"/>
    <w:rsid w:val="00144419"/>
    <w:rsid w:val="001444E8"/>
    <w:rsid w:val="00144533"/>
    <w:rsid w:val="00144569"/>
    <w:rsid w:val="0014460C"/>
    <w:rsid w:val="001449A4"/>
    <w:rsid w:val="00144A3F"/>
    <w:rsid w:val="00144B0C"/>
    <w:rsid w:val="00145052"/>
    <w:rsid w:val="001451A5"/>
    <w:rsid w:val="001451F1"/>
    <w:rsid w:val="0014543A"/>
    <w:rsid w:val="001460A9"/>
    <w:rsid w:val="001460D0"/>
    <w:rsid w:val="001462EE"/>
    <w:rsid w:val="00146A00"/>
    <w:rsid w:val="00146B81"/>
    <w:rsid w:val="00146EF5"/>
    <w:rsid w:val="00147066"/>
    <w:rsid w:val="001470FB"/>
    <w:rsid w:val="00147220"/>
    <w:rsid w:val="001477B4"/>
    <w:rsid w:val="00147B28"/>
    <w:rsid w:val="00147B67"/>
    <w:rsid w:val="00147D3D"/>
    <w:rsid w:val="00147E59"/>
    <w:rsid w:val="001500B7"/>
    <w:rsid w:val="0015022B"/>
    <w:rsid w:val="00150286"/>
    <w:rsid w:val="00150545"/>
    <w:rsid w:val="0015067D"/>
    <w:rsid w:val="0015091F"/>
    <w:rsid w:val="00150C7C"/>
    <w:rsid w:val="0015129F"/>
    <w:rsid w:val="001513D4"/>
    <w:rsid w:val="00151752"/>
    <w:rsid w:val="00151C2B"/>
    <w:rsid w:val="00151DA0"/>
    <w:rsid w:val="00151DFE"/>
    <w:rsid w:val="00151EB8"/>
    <w:rsid w:val="001523C8"/>
    <w:rsid w:val="00152880"/>
    <w:rsid w:val="00152A40"/>
    <w:rsid w:val="00152BDF"/>
    <w:rsid w:val="00152D6C"/>
    <w:rsid w:val="00152FB8"/>
    <w:rsid w:val="00153219"/>
    <w:rsid w:val="0015340C"/>
    <w:rsid w:val="0015348A"/>
    <w:rsid w:val="001535C0"/>
    <w:rsid w:val="00153753"/>
    <w:rsid w:val="001537B8"/>
    <w:rsid w:val="0015388B"/>
    <w:rsid w:val="001539C1"/>
    <w:rsid w:val="00153AFA"/>
    <w:rsid w:val="00153B59"/>
    <w:rsid w:val="00153B5A"/>
    <w:rsid w:val="00153B70"/>
    <w:rsid w:val="00153BA4"/>
    <w:rsid w:val="00153D3E"/>
    <w:rsid w:val="00154123"/>
    <w:rsid w:val="0015415C"/>
    <w:rsid w:val="001541F9"/>
    <w:rsid w:val="001542AF"/>
    <w:rsid w:val="0015431D"/>
    <w:rsid w:val="001543DF"/>
    <w:rsid w:val="00154AC5"/>
    <w:rsid w:val="00154C98"/>
    <w:rsid w:val="00154D71"/>
    <w:rsid w:val="00154E51"/>
    <w:rsid w:val="00154E6B"/>
    <w:rsid w:val="00155626"/>
    <w:rsid w:val="0015598F"/>
    <w:rsid w:val="00155A45"/>
    <w:rsid w:val="00155D8D"/>
    <w:rsid w:val="00156324"/>
    <w:rsid w:val="0015641C"/>
    <w:rsid w:val="00156723"/>
    <w:rsid w:val="0015675F"/>
    <w:rsid w:val="00156A89"/>
    <w:rsid w:val="00156DE5"/>
    <w:rsid w:val="00156E46"/>
    <w:rsid w:val="00156EDF"/>
    <w:rsid w:val="001570F7"/>
    <w:rsid w:val="001571AB"/>
    <w:rsid w:val="001571E8"/>
    <w:rsid w:val="00157BDD"/>
    <w:rsid w:val="00157E09"/>
    <w:rsid w:val="00160164"/>
    <w:rsid w:val="001601DA"/>
    <w:rsid w:val="0016042E"/>
    <w:rsid w:val="001604C9"/>
    <w:rsid w:val="0016051D"/>
    <w:rsid w:val="0016056C"/>
    <w:rsid w:val="00160A1F"/>
    <w:rsid w:val="00160AA5"/>
    <w:rsid w:val="00160E1F"/>
    <w:rsid w:val="00160E76"/>
    <w:rsid w:val="001616F1"/>
    <w:rsid w:val="0016178C"/>
    <w:rsid w:val="00161C54"/>
    <w:rsid w:val="00161CA0"/>
    <w:rsid w:val="0016222F"/>
    <w:rsid w:val="001622BC"/>
    <w:rsid w:val="001624EE"/>
    <w:rsid w:val="001625C8"/>
    <w:rsid w:val="00162AEF"/>
    <w:rsid w:val="00162B49"/>
    <w:rsid w:val="00162CE9"/>
    <w:rsid w:val="00162DD2"/>
    <w:rsid w:val="00163489"/>
    <w:rsid w:val="00163735"/>
    <w:rsid w:val="00163746"/>
    <w:rsid w:val="00163761"/>
    <w:rsid w:val="00163BC7"/>
    <w:rsid w:val="0016403D"/>
    <w:rsid w:val="0016407A"/>
    <w:rsid w:val="00164080"/>
    <w:rsid w:val="001643B5"/>
    <w:rsid w:val="001643C1"/>
    <w:rsid w:val="001645AD"/>
    <w:rsid w:val="001648AA"/>
    <w:rsid w:val="001649E4"/>
    <w:rsid w:val="00164D82"/>
    <w:rsid w:val="00165102"/>
    <w:rsid w:val="00165193"/>
    <w:rsid w:val="00165206"/>
    <w:rsid w:val="00165245"/>
    <w:rsid w:val="001654F1"/>
    <w:rsid w:val="00165513"/>
    <w:rsid w:val="0016553C"/>
    <w:rsid w:val="00165671"/>
    <w:rsid w:val="001657AA"/>
    <w:rsid w:val="0016594C"/>
    <w:rsid w:val="00165A0A"/>
    <w:rsid w:val="00165B8E"/>
    <w:rsid w:val="00165EED"/>
    <w:rsid w:val="001663DB"/>
    <w:rsid w:val="00166529"/>
    <w:rsid w:val="001665AE"/>
    <w:rsid w:val="0016687E"/>
    <w:rsid w:val="001668B4"/>
    <w:rsid w:val="00166906"/>
    <w:rsid w:val="00166D85"/>
    <w:rsid w:val="00167237"/>
    <w:rsid w:val="001672F7"/>
    <w:rsid w:val="00167349"/>
    <w:rsid w:val="001675AA"/>
    <w:rsid w:val="00167725"/>
    <w:rsid w:val="00170528"/>
    <w:rsid w:val="001706A4"/>
    <w:rsid w:val="001706DD"/>
    <w:rsid w:val="00170A28"/>
    <w:rsid w:val="00170AC4"/>
    <w:rsid w:val="00170E12"/>
    <w:rsid w:val="0017103F"/>
    <w:rsid w:val="00171100"/>
    <w:rsid w:val="001713F2"/>
    <w:rsid w:val="00171480"/>
    <w:rsid w:val="0017172E"/>
    <w:rsid w:val="00171A11"/>
    <w:rsid w:val="00171DD9"/>
    <w:rsid w:val="00171E70"/>
    <w:rsid w:val="00171EE7"/>
    <w:rsid w:val="00172001"/>
    <w:rsid w:val="00172048"/>
    <w:rsid w:val="00172577"/>
    <w:rsid w:val="00172933"/>
    <w:rsid w:val="001729D4"/>
    <w:rsid w:val="00172A16"/>
    <w:rsid w:val="00172E47"/>
    <w:rsid w:val="001732E5"/>
    <w:rsid w:val="0017338D"/>
    <w:rsid w:val="0017339A"/>
    <w:rsid w:val="001733C5"/>
    <w:rsid w:val="00173584"/>
    <w:rsid w:val="00173682"/>
    <w:rsid w:val="00173799"/>
    <w:rsid w:val="001738CD"/>
    <w:rsid w:val="00173EF3"/>
    <w:rsid w:val="00174035"/>
    <w:rsid w:val="00174062"/>
    <w:rsid w:val="00174407"/>
    <w:rsid w:val="001745C6"/>
    <w:rsid w:val="001746AB"/>
    <w:rsid w:val="00174B50"/>
    <w:rsid w:val="00174BFE"/>
    <w:rsid w:val="00174C6E"/>
    <w:rsid w:val="0017505C"/>
    <w:rsid w:val="00175398"/>
    <w:rsid w:val="001758F0"/>
    <w:rsid w:val="00175A5F"/>
    <w:rsid w:val="001760A0"/>
    <w:rsid w:val="00176257"/>
    <w:rsid w:val="00176281"/>
    <w:rsid w:val="0017684D"/>
    <w:rsid w:val="001769D3"/>
    <w:rsid w:val="00176B14"/>
    <w:rsid w:val="00176B4B"/>
    <w:rsid w:val="00176FD3"/>
    <w:rsid w:val="001772AC"/>
    <w:rsid w:val="0017735F"/>
    <w:rsid w:val="0017737B"/>
    <w:rsid w:val="001774B2"/>
    <w:rsid w:val="00177575"/>
    <w:rsid w:val="001779E9"/>
    <w:rsid w:val="00177A2E"/>
    <w:rsid w:val="00177B0A"/>
    <w:rsid w:val="00177F41"/>
    <w:rsid w:val="00177FC2"/>
    <w:rsid w:val="001801AA"/>
    <w:rsid w:val="001803DE"/>
    <w:rsid w:val="00180523"/>
    <w:rsid w:val="001807C5"/>
    <w:rsid w:val="00180AE9"/>
    <w:rsid w:val="00181254"/>
    <w:rsid w:val="00181264"/>
    <w:rsid w:val="00181591"/>
    <w:rsid w:val="001816B9"/>
    <w:rsid w:val="001818AF"/>
    <w:rsid w:val="001818F8"/>
    <w:rsid w:val="00181F8C"/>
    <w:rsid w:val="001820BD"/>
    <w:rsid w:val="001821EF"/>
    <w:rsid w:val="00182271"/>
    <w:rsid w:val="00182500"/>
    <w:rsid w:val="0018251A"/>
    <w:rsid w:val="001826DD"/>
    <w:rsid w:val="00182739"/>
    <w:rsid w:val="001827A9"/>
    <w:rsid w:val="00182BD1"/>
    <w:rsid w:val="00182C83"/>
    <w:rsid w:val="00182CFD"/>
    <w:rsid w:val="00182D6A"/>
    <w:rsid w:val="0018329C"/>
    <w:rsid w:val="0018346A"/>
    <w:rsid w:val="001835BA"/>
    <w:rsid w:val="001840F7"/>
    <w:rsid w:val="00184173"/>
    <w:rsid w:val="001841EA"/>
    <w:rsid w:val="00184676"/>
    <w:rsid w:val="00184B7E"/>
    <w:rsid w:val="00184CA7"/>
    <w:rsid w:val="00184CB5"/>
    <w:rsid w:val="00184D32"/>
    <w:rsid w:val="00184EBF"/>
    <w:rsid w:val="001852F1"/>
    <w:rsid w:val="00185651"/>
    <w:rsid w:val="0018566A"/>
    <w:rsid w:val="001857FF"/>
    <w:rsid w:val="0018583D"/>
    <w:rsid w:val="001859D5"/>
    <w:rsid w:val="001859DF"/>
    <w:rsid w:val="00185C09"/>
    <w:rsid w:val="00185DB0"/>
    <w:rsid w:val="0018631E"/>
    <w:rsid w:val="00186377"/>
    <w:rsid w:val="00186386"/>
    <w:rsid w:val="001864EA"/>
    <w:rsid w:val="00186CBA"/>
    <w:rsid w:val="00186CC1"/>
    <w:rsid w:val="0018745C"/>
    <w:rsid w:val="00187482"/>
    <w:rsid w:val="00187579"/>
    <w:rsid w:val="00187817"/>
    <w:rsid w:val="001879DF"/>
    <w:rsid w:val="00187D92"/>
    <w:rsid w:val="00187F1C"/>
    <w:rsid w:val="00190D07"/>
    <w:rsid w:val="00190DF1"/>
    <w:rsid w:val="00190E20"/>
    <w:rsid w:val="00190EA2"/>
    <w:rsid w:val="0019167E"/>
    <w:rsid w:val="00191AD0"/>
    <w:rsid w:val="0019212D"/>
    <w:rsid w:val="00192297"/>
    <w:rsid w:val="00192477"/>
    <w:rsid w:val="00192542"/>
    <w:rsid w:val="001928B1"/>
    <w:rsid w:val="00192990"/>
    <w:rsid w:val="00192A0A"/>
    <w:rsid w:val="00192ABD"/>
    <w:rsid w:val="00192AED"/>
    <w:rsid w:val="0019365C"/>
    <w:rsid w:val="00193938"/>
    <w:rsid w:val="00193A56"/>
    <w:rsid w:val="00193D52"/>
    <w:rsid w:val="00193D73"/>
    <w:rsid w:val="00193E70"/>
    <w:rsid w:val="001943F3"/>
    <w:rsid w:val="00194592"/>
    <w:rsid w:val="00194620"/>
    <w:rsid w:val="00194735"/>
    <w:rsid w:val="00194771"/>
    <w:rsid w:val="0019478C"/>
    <w:rsid w:val="00194B5A"/>
    <w:rsid w:val="00194F05"/>
    <w:rsid w:val="00195054"/>
    <w:rsid w:val="001952F6"/>
    <w:rsid w:val="001953B8"/>
    <w:rsid w:val="0019599D"/>
    <w:rsid w:val="001959A3"/>
    <w:rsid w:val="00195B45"/>
    <w:rsid w:val="00195B84"/>
    <w:rsid w:val="00195ECA"/>
    <w:rsid w:val="00196137"/>
    <w:rsid w:val="00196567"/>
    <w:rsid w:val="00196635"/>
    <w:rsid w:val="00196701"/>
    <w:rsid w:val="00196707"/>
    <w:rsid w:val="00196779"/>
    <w:rsid w:val="0019696D"/>
    <w:rsid w:val="00196AFA"/>
    <w:rsid w:val="00196D17"/>
    <w:rsid w:val="00196E3E"/>
    <w:rsid w:val="001970B4"/>
    <w:rsid w:val="00197644"/>
    <w:rsid w:val="00197CDD"/>
    <w:rsid w:val="001A029C"/>
    <w:rsid w:val="001A0657"/>
    <w:rsid w:val="001A08C3"/>
    <w:rsid w:val="001A0938"/>
    <w:rsid w:val="001A0976"/>
    <w:rsid w:val="001A0EF6"/>
    <w:rsid w:val="001A10FD"/>
    <w:rsid w:val="001A11F1"/>
    <w:rsid w:val="001A136F"/>
    <w:rsid w:val="001A1383"/>
    <w:rsid w:val="001A13A9"/>
    <w:rsid w:val="001A1454"/>
    <w:rsid w:val="001A15E6"/>
    <w:rsid w:val="001A16CE"/>
    <w:rsid w:val="001A1700"/>
    <w:rsid w:val="001A1719"/>
    <w:rsid w:val="001A1AF4"/>
    <w:rsid w:val="001A1B18"/>
    <w:rsid w:val="001A1CF6"/>
    <w:rsid w:val="001A1D0D"/>
    <w:rsid w:val="001A1D79"/>
    <w:rsid w:val="001A1DF0"/>
    <w:rsid w:val="001A1ED0"/>
    <w:rsid w:val="001A1F57"/>
    <w:rsid w:val="001A200C"/>
    <w:rsid w:val="001A21EF"/>
    <w:rsid w:val="001A220B"/>
    <w:rsid w:val="001A2526"/>
    <w:rsid w:val="001A2638"/>
    <w:rsid w:val="001A27A4"/>
    <w:rsid w:val="001A282A"/>
    <w:rsid w:val="001A28D3"/>
    <w:rsid w:val="001A2986"/>
    <w:rsid w:val="001A2CB6"/>
    <w:rsid w:val="001A2D0C"/>
    <w:rsid w:val="001A2DC8"/>
    <w:rsid w:val="001A2E08"/>
    <w:rsid w:val="001A2E68"/>
    <w:rsid w:val="001A2EB4"/>
    <w:rsid w:val="001A2EDE"/>
    <w:rsid w:val="001A2F05"/>
    <w:rsid w:val="001A30A1"/>
    <w:rsid w:val="001A322C"/>
    <w:rsid w:val="001A3399"/>
    <w:rsid w:val="001A33E2"/>
    <w:rsid w:val="001A342B"/>
    <w:rsid w:val="001A361D"/>
    <w:rsid w:val="001A3F43"/>
    <w:rsid w:val="001A419E"/>
    <w:rsid w:val="001A41FB"/>
    <w:rsid w:val="001A428B"/>
    <w:rsid w:val="001A452E"/>
    <w:rsid w:val="001A4640"/>
    <w:rsid w:val="001A4898"/>
    <w:rsid w:val="001A4B55"/>
    <w:rsid w:val="001A4BFA"/>
    <w:rsid w:val="001A4DBC"/>
    <w:rsid w:val="001A51EB"/>
    <w:rsid w:val="001A522C"/>
    <w:rsid w:val="001A525C"/>
    <w:rsid w:val="001A5552"/>
    <w:rsid w:val="001A5553"/>
    <w:rsid w:val="001A565F"/>
    <w:rsid w:val="001A5661"/>
    <w:rsid w:val="001A572D"/>
    <w:rsid w:val="001A5801"/>
    <w:rsid w:val="001A5846"/>
    <w:rsid w:val="001A591D"/>
    <w:rsid w:val="001A5B9D"/>
    <w:rsid w:val="001A5C7D"/>
    <w:rsid w:val="001A5CF6"/>
    <w:rsid w:val="001A5DCA"/>
    <w:rsid w:val="001A5E40"/>
    <w:rsid w:val="001A5F8F"/>
    <w:rsid w:val="001A6076"/>
    <w:rsid w:val="001A607C"/>
    <w:rsid w:val="001A60A4"/>
    <w:rsid w:val="001A6240"/>
    <w:rsid w:val="001A63FC"/>
    <w:rsid w:val="001A6816"/>
    <w:rsid w:val="001A6A9D"/>
    <w:rsid w:val="001A706C"/>
    <w:rsid w:val="001A717D"/>
    <w:rsid w:val="001A7649"/>
    <w:rsid w:val="001A7655"/>
    <w:rsid w:val="001A77A9"/>
    <w:rsid w:val="001A78D4"/>
    <w:rsid w:val="001A7AA1"/>
    <w:rsid w:val="001A7CD9"/>
    <w:rsid w:val="001B0210"/>
    <w:rsid w:val="001B05A1"/>
    <w:rsid w:val="001B0AAE"/>
    <w:rsid w:val="001B0D73"/>
    <w:rsid w:val="001B0D91"/>
    <w:rsid w:val="001B0F20"/>
    <w:rsid w:val="001B0F2E"/>
    <w:rsid w:val="001B1104"/>
    <w:rsid w:val="001B1523"/>
    <w:rsid w:val="001B1B2E"/>
    <w:rsid w:val="001B1C52"/>
    <w:rsid w:val="001B207A"/>
    <w:rsid w:val="001B2536"/>
    <w:rsid w:val="001B25C7"/>
    <w:rsid w:val="001B2E75"/>
    <w:rsid w:val="001B2ED9"/>
    <w:rsid w:val="001B2F97"/>
    <w:rsid w:val="001B3249"/>
    <w:rsid w:val="001B3381"/>
    <w:rsid w:val="001B365B"/>
    <w:rsid w:val="001B382F"/>
    <w:rsid w:val="001B3959"/>
    <w:rsid w:val="001B39F2"/>
    <w:rsid w:val="001B3CFE"/>
    <w:rsid w:val="001B3DAF"/>
    <w:rsid w:val="001B41F6"/>
    <w:rsid w:val="001B454A"/>
    <w:rsid w:val="001B4BF2"/>
    <w:rsid w:val="001B5217"/>
    <w:rsid w:val="001B543F"/>
    <w:rsid w:val="001B547F"/>
    <w:rsid w:val="001B5754"/>
    <w:rsid w:val="001B5788"/>
    <w:rsid w:val="001B5865"/>
    <w:rsid w:val="001B5A1C"/>
    <w:rsid w:val="001B5A28"/>
    <w:rsid w:val="001B5DB9"/>
    <w:rsid w:val="001B5F58"/>
    <w:rsid w:val="001B61E2"/>
    <w:rsid w:val="001B65B8"/>
    <w:rsid w:val="001B6659"/>
    <w:rsid w:val="001B671B"/>
    <w:rsid w:val="001B69B7"/>
    <w:rsid w:val="001B6C59"/>
    <w:rsid w:val="001B6D98"/>
    <w:rsid w:val="001B6DD1"/>
    <w:rsid w:val="001B6EF9"/>
    <w:rsid w:val="001B7355"/>
    <w:rsid w:val="001B74F8"/>
    <w:rsid w:val="001B79AE"/>
    <w:rsid w:val="001B7A26"/>
    <w:rsid w:val="001B7DA4"/>
    <w:rsid w:val="001B7F5E"/>
    <w:rsid w:val="001C00DE"/>
    <w:rsid w:val="001C01B0"/>
    <w:rsid w:val="001C01BA"/>
    <w:rsid w:val="001C0374"/>
    <w:rsid w:val="001C04B1"/>
    <w:rsid w:val="001C04D0"/>
    <w:rsid w:val="001C0647"/>
    <w:rsid w:val="001C08FD"/>
    <w:rsid w:val="001C0A1C"/>
    <w:rsid w:val="001C0E68"/>
    <w:rsid w:val="001C0E9C"/>
    <w:rsid w:val="001C10DA"/>
    <w:rsid w:val="001C1242"/>
    <w:rsid w:val="001C15EA"/>
    <w:rsid w:val="001C16C8"/>
    <w:rsid w:val="001C17F6"/>
    <w:rsid w:val="001C1BC6"/>
    <w:rsid w:val="001C1D25"/>
    <w:rsid w:val="001C1E00"/>
    <w:rsid w:val="001C218A"/>
    <w:rsid w:val="001C222B"/>
    <w:rsid w:val="001C22A7"/>
    <w:rsid w:val="001C23ED"/>
    <w:rsid w:val="001C2736"/>
    <w:rsid w:val="001C29B1"/>
    <w:rsid w:val="001C29C7"/>
    <w:rsid w:val="001C2A69"/>
    <w:rsid w:val="001C2B56"/>
    <w:rsid w:val="001C2B72"/>
    <w:rsid w:val="001C2CBD"/>
    <w:rsid w:val="001C2DC5"/>
    <w:rsid w:val="001C2F5B"/>
    <w:rsid w:val="001C2FB9"/>
    <w:rsid w:val="001C3119"/>
    <w:rsid w:val="001C3168"/>
    <w:rsid w:val="001C31D7"/>
    <w:rsid w:val="001C32B5"/>
    <w:rsid w:val="001C33A1"/>
    <w:rsid w:val="001C3416"/>
    <w:rsid w:val="001C3647"/>
    <w:rsid w:val="001C37CD"/>
    <w:rsid w:val="001C398F"/>
    <w:rsid w:val="001C471C"/>
    <w:rsid w:val="001C4869"/>
    <w:rsid w:val="001C48CB"/>
    <w:rsid w:val="001C4E2F"/>
    <w:rsid w:val="001C5078"/>
    <w:rsid w:val="001C5599"/>
    <w:rsid w:val="001C5BF6"/>
    <w:rsid w:val="001C61FA"/>
    <w:rsid w:val="001C65B1"/>
    <w:rsid w:val="001C6718"/>
    <w:rsid w:val="001C6924"/>
    <w:rsid w:val="001C6A11"/>
    <w:rsid w:val="001C6BE6"/>
    <w:rsid w:val="001C6CCB"/>
    <w:rsid w:val="001C6D06"/>
    <w:rsid w:val="001C70E1"/>
    <w:rsid w:val="001C75FD"/>
    <w:rsid w:val="001C7C30"/>
    <w:rsid w:val="001C7C92"/>
    <w:rsid w:val="001D0500"/>
    <w:rsid w:val="001D0589"/>
    <w:rsid w:val="001D0595"/>
    <w:rsid w:val="001D066F"/>
    <w:rsid w:val="001D0BAA"/>
    <w:rsid w:val="001D0CFE"/>
    <w:rsid w:val="001D0E48"/>
    <w:rsid w:val="001D0EA0"/>
    <w:rsid w:val="001D10EA"/>
    <w:rsid w:val="001D1BC8"/>
    <w:rsid w:val="001D20ED"/>
    <w:rsid w:val="001D2117"/>
    <w:rsid w:val="001D236F"/>
    <w:rsid w:val="001D2372"/>
    <w:rsid w:val="001D2625"/>
    <w:rsid w:val="001D2769"/>
    <w:rsid w:val="001D286B"/>
    <w:rsid w:val="001D2BE9"/>
    <w:rsid w:val="001D2C03"/>
    <w:rsid w:val="001D3021"/>
    <w:rsid w:val="001D31B0"/>
    <w:rsid w:val="001D3426"/>
    <w:rsid w:val="001D3601"/>
    <w:rsid w:val="001D377D"/>
    <w:rsid w:val="001D3B53"/>
    <w:rsid w:val="001D3BFD"/>
    <w:rsid w:val="001D3C91"/>
    <w:rsid w:val="001D3E12"/>
    <w:rsid w:val="001D4866"/>
    <w:rsid w:val="001D4A42"/>
    <w:rsid w:val="001D4C18"/>
    <w:rsid w:val="001D4DCC"/>
    <w:rsid w:val="001D4DE6"/>
    <w:rsid w:val="001D518A"/>
    <w:rsid w:val="001D5476"/>
    <w:rsid w:val="001D5A10"/>
    <w:rsid w:val="001D5D64"/>
    <w:rsid w:val="001D5E14"/>
    <w:rsid w:val="001D5E86"/>
    <w:rsid w:val="001D6344"/>
    <w:rsid w:val="001D63C2"/>
    <w:rsid w:val="001D6ADB"/>
    <w:rsid w:val="001D6D74"/>
    <w:rsid w:val="001D7067"/>
    <w:rsid w:val="001D722F"/>
    <w:rsid w:val="001D7919"/>
    <w:rsid w:val="001D7927"/>
    <w:rsid w:val="001D7951"/>
    <w:rsid w:val="001D7B03"/>
    <w:rsid w:val="001D7B62"/>
    <w:rsid w:val="001D7C61"/>
    <w:rsid w:val="001D7E33"/>
    <w:rsid w:val="001E0139"/>
    <w:rsid w:val="001E0192"/>
    <w:rsid w:val="001E0379"/>
    <w:rsid w:val="001E0B46"/>
    <w:rsid w:val="001E15E8"/>
    <w:rsid w:val="001E160F"/>
    <w:rsid w:val="001E19C0"/>
    <w:rsid w:val="001E1AF5"/>
    <w:rsid w:val="001E1D1B"/>
    <w:rsid w:val="001E1D9E"/>
    <w:rsid w:val="001E1F78"/>
    <w:rsid w:val="001E2094"/>
    <w:rsid w:val="001E2095"/>
    <w:rsid w:val="001E21D8"/>
    <w:rsid w:val="001E24FA"/>
    <w:rsid w:val="001E278D"/>
    <w:rsid w:val="001E280C"/>
    <w:rsid w:val="001E2B55"/>
    <w:rsid w:val="001E3130"/>
    <w:rsid w:val="001E31BC"/>
    <w:rsid w:val="001E33B9"/>
    <w:rsid w:val="001E3609"/>
    <w:rsid w:val="001E366A"/>
    <w:rsid w:val="001E373A"/>
    <w:rsid w:val="001E374F"/>
    <w:rsid w:val="001E3787"/>
    <w:rsid w:val="001E37CF"/>
    <w:rsid w:val="001E384E"/>
    <w:rsid w:val="001E3BD4"/>
    <w:rsid w:val="001E3EA7"/>
    <w:rsid w:val="001E45C8"/>
    <w:rsid w:val="001E45E9"/>
    <w:rsid w:val="001E46BA"/>
    <w:rsid w:val="001E4966"/>
    <w:rsid w:val="001E4B1E"/>
    <w:rsid w:val="001E4FA2"/>
    <w:rsid w:val="001E5241"/>
    <w:rsid w:val="001E5242"/>
    <w:rsid w:val="001E52A0"/>
    <w:rsid w:val="001E5CC2"/>
    <w:rsid w:val="001E6241"/>
    <w:rsid w:val="001E6420"/>
    <w:rsid w:val="001E645F"/>
    <w:rsid w:val="001E64CD"/>
    <w:rsid w:val="001E65A3"/>
    <w:rsid w:val="001E6726"/>
    <w:rsid w:val="001E67DA"/>
    <w:rsid w:val="001E6E1E"/>
    <w:rsid w:val="001E7532"/>
    <w:rsid w:val="001E76B5"/>
    <w:rsid w:val="001E777C"/>
    <w:rsid w:val="001E77D3"/>
    <w:rsid w:val="001E79E8"/>
    <w:rsid w:val="001E7AA5"/>
    <w:rsid w:val="001E7DE7"/>
    <w:rsid w:val="001E7E30"/>
    <w:rsid w:val="001F015E"/>
    <w:rsid w:val="001F0424"/>
    <w:rsid w:val="001F04ED"/>
    <w:rsid w:val="001F0816"/>
    <w:rsid w:val="001F0908"/>
    <w:rsid w:val="001F096B"/>
    <w:rsid w:val="001F0FC1"/>
    <w:rsid w:val="001F1B63"/>
    <w:rsid w:val="001F1BDB"/>
    <w:rsid w:val="001F1D9E"/>
    <w:rsid w:val="001F21AC"/>
    <w:rsid w:val="001F2227"/>
    <w:rsid w:val="001F2406"/>
    <w:rsid w:val="001F2434"/>
    <w:rsid w:val="001F2FED"/>
    <w:rsid w:val="001F34D1"/>
    <w:rsid w:val="001F3690"/>
    <w:rsid w:val="001F3766"/>
    <w:rsid w:val="001F3850"/>
    <w:rsid w:val="001F3876"/>
    <w:rsid w:val="001F38CE"/>
    <w:rsid w:val="001F3AC0"/>
    <w:rsid w:val="001F3B4A"/>
    <w:rsid w:val="001F3C7A"/>
    <w:rsid w:val="001F448B"/>
    <w:rsid w:val="001F45EB"/>
    <w:rsid w:val="001F48F2"/>
    <w:rsid w:val="001F4A0C"/>
    <w:rsid w:val="001F4B50"/>
    <w:rsid w:val="001F4F63"/>
    <w:rsid w:val="001F5099"/>
    <w:rsid w:val="001F517B"/>
    <w:rsid w:val="001F51BC"/>
    <w:rsid w:val="001F57D3"/>
    <w:rsid w:val="001F5FD1"/>
    <w:rsid w:val="001F614A"/>
    <w:rsid w:val="001F6199"/>
    <w:rsid w:val="001F6229"/>
    <w:rsid w:val="001F6333"/>
    <w:rsid w:val="001F6461"/>
    <w:rsid w:val="001F652A"/>
    <w:rsid w:val="001F6668"/>
    <w:rsid w:val="001F6684"/>
    <w:rsid w:val="001F66E7"/>
    <w:rsid w:val="001F682A"/>
    <w:rsid w:val="001F6B79"/>
    <w:rsid w:val="001F6B80"/>
    <w:rsid w:val="001F6CF3"/>
    <w:rsid w:val="001F6DEA"/>
    <w:rsid w:val="001F6EB0"/>
    <w:rsid w:val="001F7338"/>
    <w:rsid w:val="001F73E0"/>
    <w:rsid w:val="001F78C5"/>
    <w:rsid w:val="001F792C"/>
    <w:rsid w:val="001F7A26"/>
    <w:rsid w:val="001F7BB3"/>
    <w:rsid w:val="001F7D3B"/>
    <w:rsid w:val="001F7D51"/>
    <w:rsid w:val="001F7E0A"/>
    <w:rsid w:val="001F7ED6"/>
    <w:rsid w:val="001F7FF3"/>
    <w:rsid w:val="00200039"/>
    <w:rsid w:val="0020003A"/>
    <w:rsid w:val="00200054"/>
    <w:rsid w:val="00200089"/>
    <w:rsid w:val="00200093"/>
    <w:rsid w:val="00200278"/>
    <w:rsid w:val="002007C5"/>
    <w:rsid w:val="002008CC"/>
    <w:rsid w:val="002009AF"/>
    <w:rsid w:val="00200A5B"/>
    <w:rsid w:val="00200A79"/>
    <w:rsid w:val="00200BDF"/>
    <w:rsid w:val="00200F02"/>
    <w:rsid w:val="00201168"/>
    <w:rsid w:val="00201341"/>
    <w:rsid w:val="00201439"/>
    <w:rsid w:val="00201557"/>
    <w:rsid w:val="002016B1"/>
    <w:rsid w:val="00201903"/>
    <w:rsid w:val="00201A8D"/>
    <w:rsid w:val="00201B5A"/>
    <w:rsid w:val="00201C47"/>
    <w:rsid w:val="00201C69"/>
    <w:rsid w:val="00201D88"/>
    <w:rsid w:val="00202057"/>
    <w:rsid w:val="00202400"/>
    <w:rsid w:val="00202437"/>
    <w:rsid w:val="00202688"/>
    <w:rsid w:val="00202756"/>
    <w:rsid w:val="00202BBF"/>
    <w:rsid w:val="00202E27"/>
    <w:rsid w:val="00203169"/>
    <w:rsid w:val="0020334F"/>
    <w:rsid w:val="002034D6"/>
    <w:rsid w:val="00203592"/>
    <w:rsid w:val="0020361B"/>
    <w:rsid w:val="002038EE"/>
    <w:rsid w:val="00203AF9"/>
    <w:rsid w:val="00203B74"/>
    <w:rsid w:val="00203EED"/>
    <w:rsid w:val="002040FE"/>
    <w:rsid w:val="00204423"/>
    <w:rsid w:val="002044C6"/>
    <w:rsid w:val="0020463D"/>
    <w:rsid w:val="00204961"/>
    <w:rsid w:val="00204F27"/>
    <w:rsid w:val="002053A7"/>
    <w:rsid w:val="00205522"/>
    <w:rsid w:val="002056B8"/>
    <w:rsid w:val="0020579B"/>
    <w:rsid w:val="00205B20"/>
    <w:rsid w:val="00205C16"/>
    <w:rsid w:val="00205E2C"/>
    <w:rsid w:val="0020643A"/>
    <w:rsid w:val="00206776"/>
    <w:rsid w:val="0020692B"/>
    <w:rsid w:val="00206963"/>
    <w:rsid w:val="00206D07"/>
    <w:rsid w:val="00206EF1"/>
    <w:rsid w:val="00207452"/>
    <w:rsid w:val="002074CB"/>
    <w:rsid w:val="00207E0D"/>
    <w:rsid w:val="00207EA6"/>
    <w:rsid w:val="00207FD4"/>
    <w:rsid w:val="0021031F"/>
    <w:rsid w:val="0021039A"/>
    <w:rsid w:val="00210C3B"/>
    <w:rsid w:val="00210D15"/>
    <w:rsid w:val="00210D9A"/>
    <w:rsid w:val="00211371"/>
    <w:rsid w:val="0021146F"/>
    <w:rsid w:val="00211539"/>
    <w:rsid w:val="0021153F"/>
    <w:rsid w:val="002115C2"/>
    <w:rsid w:val="002117B8"/>
    <w:rsid w:val="00211B99"/>
    <w:rsid w:val="00211E9A"/>
    <w:rsid w:val="00211F5F"/>
    <w:rsid w:val="00211F82"/>
    <w:rsid w:val="00211FAD"/>
    <w:rsid w:val="00212083"/>
    <w:rsid w:val="0021208F"/>
    <w:rsid w:val="002121C4"/>
    <w:rsid w:val="00212214"/>
    <w:rsid w:val="00212703"/>
    <w:rsid w:val="00212743"/>
    <w:rsid w:val="00212814"/>
    <w:rsid w:val="002128CC"/>
    <w:rsid w:val="002128DD"/>
    <w:rsid w:val="00212B7B"/>
    <w:rsid w:val="00212EF9"/>
    <w:rsid w:val="00213184"/>
    <w:rsid w:val="002132F5"/>
    <w:rsid w:val="00213677"/>
    <w:rsid w:val="00213801"/>
    <w:rsid w:val="00213968"/>
    <w:rsid w:val="00213E74"/>
    <w:rsid w:val="00213F07"/>
    <w:rsid w:val="00214061"/>
    <w:rsid w:val="00214D84"/>
    <w:rsid w:val="00214FD9"/>
    <w:rsid w:val="00215123"/>
    <w:rsid w:val="0021527A"/>
    <w:rsid w:val="002152C1"/>
    <w:rsid w:val="002152F2"/>
    <w:rsid w:val="00215770"/>
    <w:rsid w:val="002159A4"/>
    <w:rsid w:val="00215D05"/>
    <w:rsid w:val="00215F91"/>
    <w:rsid w:val="00216437"/>
    <w:rsid w:val="00216620"/>
    <w:rsid w:val="0021696E"/>
    <w:rsid w:val="00216B23"/>
    <w:rsid w:val="00216D11"/>
    <w:rsid w:val="00216F06"/>
    <w:rsid w:val="0021728D"/>
    <w:rsid w:val="0021730B"/>
    <w:rsid w:val="00217778"/>
    <w:rsid w:val="00217946"/>
    <w:rsid w:val="0021796F"/>
    <w:rsid w:val="00217EAC"/>
    <w:rsid w:val="0022040F"/>
    <w:rsid w:val="002204FE"/>
    <w:rsid w:val="00220649"/>
    <w:rsid w:val="00220713"/>
    <w:rsid w:val="00220AFB"/>
    <w:rsid w:val="00220D3B"/>
    <w:rsid w:val="00220E74"/>
    <w:rsid w:val="00220EFA"/>
    <w:rsid w:val="00220F26"/>
    <w:rsid w:val="00221004"/>
    <w:rsid w:val="002210ED"/>
    <w:rsid w:val="00221301"/>
    <w:rsid w:val="002213E2"/>
    <w:rsid w:val="00221569"/>
    <w:rsid w:val="0022161A"/>
    <w:rsid w:val="00221704"/>
    <w:rsid w:val="00221870"/>
    <w:rsid w:val="00221B4A"/>
    <w:rsid w:val="00221D4B"/>
    <w:rsid w:val="0022202D"/>
    <w:rsid w:val="0022237F"/>
    <w:rsid w:val="002224E8"/>
    <w:rsid w:val="00222533"/>
    <w:rsid w:val="00222994"/>
    <w:rsid w:val="00222ACE"/>
    <w:rsid w:val="00222B0F"/>
    <w:rsid w:val="00222C65"/>
    <w:rsid w:val="00222CB9"/>
    <w:rsid w:val="00222FFA"/>
    <w:rsid w:val="002233C3"/>
    <w:rsid w:val="002234F6"/>
    <w:rsid w:val="00223C21"/>
    <w:rsid w:val="00223C50"/>
    <w:rsid w:val="00224740"/>
    <w:rsid w:val="00224F31"/>
    <w:rsid w:val="0022531E"/>
    <w:rsid w:val="00225568"/>
    <w:rsid w:val="002256FF"/>
    <w:rsid w:val="00225D8C"/>
    <w:rsid w:val="00225ED2"/>
    <w:rsid w:val="00226021"/>
    <w:rsid w:val="00226295"/>
    <w:rsid w:val="00226375"/>
    <w:rsid w:val="00226778"/>
    <w:rsid w:val="00226920"/>
    <w:rsid w:val="00226F66"/>
    <w:rsid w:val="002271C3"/>
    <w:rsid w:val="00227305"/>
    <w:rsid w:val="00227466"/>
    <w:rsid w:val="00227658"/>
    <w:rsid w:val="00227811"/>
    <w:rsid w:val="00227AFC"/>
    <w:rsid w:val="00227C77"/>
    <w:rsid w:val="00227D86"/>
    <w:rsid w:val="00227ED4"/>
    <w:rsid w:val="002301C3"/>
    <w:rsid w:val="002302AA"/>
    <w:rsid w:val="0023039B"/>
    <w:rsid w:val="00230509"/>
    <w:rsid w:val="0023053F"/>
    <w:rsid w:val="002306C4"/>
    <w:rsid w:val="00230905"/>
    <w:rsid w:val="00230A9F"/>
    <w:rsid w:val="00230AAE"/>
    <w:rsid w:val="00230CFC"/>
    <w:rsid w:val="00230F0A"/>
    <w:rsid w:val="002310BA"/>
    <w:rsid w:val="00231315"/>
    <w:rsid w:val="002313FD"/>
    <w:rsid w:val="00231437"/>
    <w:rsid w:val="00231544"/>
    <w:rsid w:val="00231799"/>
    <w:rsid w:val="00231907"/>
    <w:rsid w:val="00231BCC"/>
    <w:rsid w:val="00231C87"/>
    <w:rsid w:val="00231D1B"/>
    <w:rsid w:val="00231E2B"/>
    <w:rsid w:val="00231F21"/>
    <w:rsid w:val="0023237F"/>
    <w:rsid w:val="002323C7"/>
    <w:rsid w:val="0023243D"/>
    <w:rsid w:val="0023262A"/>
    <w:rsid w:val="00232B4F"/>
    <w:rsid w:val="00232DBF"/>
    <w:rsid w:val="00232F0E"/>
    <w:rsid w:val="0023314E"/>
    <w:rsid w:val="002331A1"/>
    <w:rsid w:val="002332D0"/>
    <w:rsid w:val="00233415"/>
    <w:rsid w:val="00233525"/>
    <w:rsid w:val="00233745"/>
    <w:rsid w:val="0023378B"/>
    <w:rsid w:val="0023389C"/>
    <w:rsid w:val="00233D67"/>
    <w:rsid w:val="00233FA7"/>
    <w:rsid w:val="002346E2"/>
    <w:rsid w:val="00234E31"/>
    <w:rsid w:val="00234FCF"/>
    <w:rsid w:val="00235407"/>
    <w:rsid w:val="00235593"/>
    <w:rsid w:val="002356B1"/>
    <w:rsid w:val="00235824"/>
    <w:rsid w:val="002358B8"/>
    <w:rsid w:val="00235AFC"/>
    <w:rsid w:val="00235FC2"/>
    <w:rsid w:val="0023610A"/>
    <w:rsid w:val="0023614A"/>
    <w:rsid w:val="002361B5"/>
    <w:rsid w:val="00236980"/>
    <w:rsid w:val="00236D3B"/>
    <w:rsid w:val="00236E67"/>
    <w:rsid w:val="0023701D"/>
    <w:rsid w:val="0023718B"/>
    <w:rsid w:val="00237874"/>
    <w:rsid w:val="00240131"/>
    <w:rsid w:val="00240132"/>
    <w:rsid w:val="0024042E"/>
    <w:rsid w:val="002405AB"/>
    <w:rsid w:val="00240807"/>
    <w:rsid w:val="00240980"/>
    <w:rsid w:val="00240C63"/>
    <w:rsid w:val="00240F0D"/>
    <w:rsid w:val="002411A0"/>
    <w:rsid w:val="00241256"/>
    <w:rsid w:val="002412F6"/>
    <w:rsid w:val="002413E4"/>
    <w:rsid w:val="00241C7C"/>
    <w:rsid w:val="00241E93"/>
    <w:rsid w:val="00241F2C"/>
    <w:rsid w:val="002421DF"/>
    <w:rsid w:val="00242318"/>
    <w:rsid w:val="00242AF0"/>
    <w:rsid w:val="00242B5B"/>
    <w:rsid w:val="00242C26"/>
    <w:rsid w:val="00242C7D"/>
    <w:rsid w:val="00242CB8"/>
    <w:rsid w:val="00242D9F"/>
    <w:rsid w:val="0024302E"/>
    <w:rsid w:val="00243444"/>
    <w:rsid w:val="00243637"/>
    <w:rsid w:val="0024368A"/>
    <w:rsid w:val="002439CB"/>
    <w:rsid w:val="00243BCD"/>
    <w:rsid w:val="00243E2D"/>
    <w:rsid w:val="002443A4"/>
    <w:rsid w:val="002443AF"/>
    <w:rsid w:val="00244632"/>
    <w:rsid w:val="002447AB"/>
    <w:rsid w:val="00244A7B"/>
    <w:rsid w:val="00244B1F"/>
    <w:rsid w:val="00244D8E"/>
    <w:rsid w:val="00244E73"/>
    <w:rsid w:val="00245255"/>
    <w:rsid w:val="0024546A"/>
    <w:rsid w:val="00245672"/>
    <w:rsid w:val="00245AB8"/>
    <w:rsid w:val="00245BD2"/>
    <w:rsid w:val="00245CAD"/>
    <w:rsid w:val="0024617D"/>
    <w:rsid w:val="00246197"/>
    <w:rsid w:val="0024657A"/>
    <w:rsid w:val="002469B5"/>
    <w:rsid w:val="00246A92"/>
    <w:rsid w:val="00246B2B"/>
    <w:rsid w:val="00246BBF"/>
    <w:rsid w:val="00246C6F"/>
    <w:rsid w:val="00246D21"/>
    <w:rsid w:val="00246E2D"/>
    <w:rsid w:val="002471DF"/>
    <w:rsid w:val="0024732D"/>
    <w:rsid w:val="002479F6"/>
    <w:rsid w:val="00247E6A"/>
    <w:rsid w:val="00247F81"/>
    <w:rsid w:val="00250162"/>
    <w:rsid w:val="0025055F"/>
    <w:rsid w:val="00250A5F"/>
    <w:rsid w:val="00250AA8"/>
    <w:rsid w:val="00250EB7"/>
    <w:rsid w:val="00251186"/>
    <w:rsid w:val="0025125B"/>
    <w:rsid w:val="00251375"/>
    <w:rsid w:val="002513D0"/>
    <w:rsid w:val="0025147A"/>
    <w:rsid w:val="00252187"/>
    <w:rsid w:val="002522E9"/>
    <w:rsid w:val="002523B8"/>
    <w:rsid w:val="002527F9"/>
    <w:rsid w:val="00252A06"/>
    <w:rsid w:val="00253184"/>
    <w:rsid w:val="0025323B"/>
    <w:rsid w:val="0025346D"/>
    <w:rsid w:val="0025356E"/>
    <w:rsid w:val="0025359C"/>
    <w:rsid w:val="002535AC"/>
    <w:rsid w:val="00253654"/>
    <w:rsid w:val="00253AA2"/>
    <w:rsid w:val="00253CDC"/>
    <w:rsid w:val="00253D40"/>
    <w:rsid w:val="00253E04"/>
    <w:rsid w:val="00253FB7"/>
    <w:rsid w:val="00254005"/>
    <w:rsid w:val="002544BB"/>
    <w:rsid w:val="00254749"/>
    <w:rsid w:val="00254ADC"/>
    <w:rsid w:val="00254C26"/>
    <w:rsid w:val="00254C58"/>
    <w:rsid w:val="00254C6E"/>
    <w:rsid w:val="00254CE5"/>
    <w:rsid w:val="002552BB"/>
    <w:rsid w:val="002556E1"/>
    <w:rsid w:val="00255BCF"/>
    <w:rsid w:val="00255E7F"/>
    <w:rsid w:val="00255FBD"/>
    <w:rsid w:val="0025601D"/>
    <w:rsid w:val="00256203"/>
    <w:rsid w:val="00256645"/>
    <w:rsid w:val="002568F3"/>
    <w:rsid w:val="00256ABD"/>
    <w:rsid w:val="00256D1E"/>
    <w:rsid w:val="00256EC7"/>
    <w:rsid w:val="002571B6"/>
    <w:rsid w:val="002571C3"/>
    <w:rsid w:val="002571DC"/>
    <w:rsid w:val="00257595"/>
    <w:rsid w:val="00257689"/>
    <w:rsid w:val="00257820"/>
    <w:rsid w:val="0025790E"/>
    <w:rsid w:val="00257AAF"/>
    <w:rsid w:val="00257CB2"/>
    <w:rsid w:val="00257D53"/>
    <w:rsid w:val="00257DE0"/>
    <w:rsid w:val="00257DE2"/>
    <w:rsid w:val="00260148"/>
    <w:rsid w:val="0026020E"/>
    <w:rsid w:val="00260496"/>
    <w:rsid w:val="00260F01"/>
    <w:rsid w:val="00260FE3"/>
    <w:rsid w:val="00260FF3"/>
    <w:rsid w:val="002613FD"/>
    <w:rsid w:val="002614CC"/>
    <w:rsid w:val="00261686"/>
    <w:rsid w:val="002617CD"/>
    <w:rsid w:val="00261931"/>
    <w:rsid w:val="00261B27"/>
    <w:rsid w:val="0026236A"/>
    <w:rsid w:val="00262457"/>
    <w:rsid w:val="00262A64"/>
    <w:rsid w:val="00262A6D"/>
    <w:rsid w:val="00262C57"/>
    <w:rsid w:val="00263027"/>
    <w:rsid w:val="0026329B"/>
    <w:rsid w:val="00263356"/>
    <w:rsid w:val="002636A0"/>
    <w:rsid w:val="00263789"/>
    <w:rsid w:val="00263811"/>
    <w:rsid w:val="0026391F"/>
    <w:rsid w:val="00263941"/>
    <w:rsid w:val="00263B45"/>
    <w:rsid w:val="00263D51"/>
    <w:rsid w:val="00263EDF"/>
    <w:rsid w:val="00264036"/>
    <w:rsid w:val="00264438"/>
    <w:rsid w:val="0026467C"/>
    <w:rsid w:val="00264903"/>
    <w:rsid w:val="00264C55"/>
    <w:rsid w:val="0026506A"/>
    <w:rsid w:val="00265565"/>
    <w:rsid w:val="0026590D"/>
    <w:rsid w:val="002659A7"/>
    <w:rsid w:val="00265AE0"/>
    <w:rsid w:val="00265B4D"/>
    <w:rsid w:val="00265FC4"/>
    <w:rsid w:val="00266392"/>
    <w:rsid w:val="00266411"/>
    <w:rsid w:val="00266657"/>
    <w:rsid w:val="00266794"/>
    <w:rsid w:val="00266947"/>
    <w:rsid w:val="00266ABF"/>
    <w:rsid w:val="00266B74"/>
    <w:rsid w:val="00266C2A"/>
    <w:rsid w:val="00266FE6"/>
    <w:rsid w:val="00267037"/>
    <w:rsid w:val="002671A3"/>
    <w:rsid w:val="002672BB"/>
    <w:rsid w:val="002672D7"/>
    <w:rsid w:val="0026737A"/>
    <w:rsid w:val="002678F1"/>
    <w:rsid w:val="00267972"/>
    <w:rsid w:val="00267AA6"/>
    <w:rsid w:val="00267C3A"/>
    <w:rsid w:val="00267E9A"/>
    <w:rsid w:val="00267F56"/>
    <w:rsid w:val="0027005E"/>
    <w:rsid w:val="0027010E"/>
    <w:rsid w:val="0027097C"/>
    <w:rsid w:val="00270CA7"/>
    <w:rsid w:val="00270F50"/>
    <w:rsid w:val="002714C2"/>
    <w:rsid w:val="002715D7"/>
    <w:rsid w:val="00271778"/>
    <w:rsid w:val="002718D3"/>
    <w:rsid w:val="0027191D"/>
    <w:rsid w:val="00271A25"/>
    <w:rsid w:val="00271BF3"/>
    <w:rsid w:val="0027201A"/>
    <w:rsid w:val="0027202F"/>
    <w:rsid w:val="00272242"/>
    <w:rsid w:val="002722DB"/>
    <w:rsid w:val="002725AA"/>
    <w:rsid w:val="002725AF"/>
    <w:rsid w:val="002728A7"/>
    <w:rsid w:val="00272BD7"/>
    <w:rsid w:val="00272D77"/>
    <w:rsid w:val="00273381"/>
    <w:rsid w:val="002736FD"/>
    <w:rsid w:val="00273779"/>
    <w:rsid w:val="002738C5"/>
    <w:rsid w:val="00273E6C"/>
    <w:rsid w:val="00273EF1"/>
    <w:rsid w:val="00273F31"/>
    <w:rsid w:val="00273F66"/>
    <w:rsid w:val="0027420E"/>
    <w:rsid w:val="00274737"/>
    <w:rsid w:val="00274A71"/>
    <w:rsid w:val="00275148"/>
    <w:rsid w:val="002753DE"/>
    <w:rsid w:val="00275A5E"/>
    <w:rsid w:val="00275AC3"/>
    <w:rsid w:val="00275D30"/>
    <w:rsid w:val="00276182"/>
    <w:rsid w:val="0027626E"/>
    <w:rsid w:val="002763A5"/>
    <w:rsid w:val="002763DC"/>
    <w:rsid w:val="00276435"/>
    <w:rsid w:val="00276872"/>
    <w:rsid w:val="00277169"/>
    <w:rsid w:val="0027736E"/>
    <w:rsid w:val="00277691"/>
    <w:rsid w:val="00277792"/>
    <w:rsid w:val="0027794F"/>
    <w:rsid w:val="00277A0A"/>
    <w:rsid w:val="00277B28"/>
    <w:rsid w:val="00277D26"/>
    <w:rsid w:val="00277E57"/>
    <w:rsid w:val="00277E85"/>
    <w:rsid w:val="00277F2B"/>
    <w:rsid w:val="00277F45"/>
    <w:rsid w:val="00280097"/>
    <w:rsid w:val="002800CC"/>
    <w:rsid w:val="00280101"/>
    <w:rsid w:val="002806A3"/>
    <w:rsid w:val="002806C2"/>
    <w:rsid w:val="00280859"/>
    <w:rsid w:val="00280EC0"/>
    <w:rsid w:val="00280F02"/>
    <w:rsid w:val="00280F10"/>
    <w:rsid w:val="00280FB7"/>
    <w:rsid w:val="00281199"/>
    <w:rsid w:val="00281708"/>
    <w:rsid w:val="00281C09"/>
    <w:rsid w:val="00281D37"/>
    <w:rsid w:val="00281DE9"/>
    <w:rsid w:val="00281F6C"/>
    <w:rsid w:val="00282645"/>
    <w:rsid w:val="0028291E"/>
    <w:rsid w:val="00282EB2"/>
    <w:rsid w:val="00283668"/>
    <w:rsid w:val="002836C9"/>
    <w:rsid w:val="0028389C"/>
    <w:rsid w:val="002838D2"/>
    <w:rsid w:val="00283975"/>
    <w:rsid w:val="00283C40"/>
    <w:rsid w:val="00283CBC"/>
    <w:rsid w:val="00283E50"/>
    <w:rsid w:val="00284169"/>
    <w:rsid w:val="00284419"/>
    <w:rsid w:val="002844DA"/>
    <w:rsid w:val="0028459E"/>
    <w:rsid w:val="002845DB"/>
    <w:rsid w:val="00284717"/>
    <w:rsid w:val="00284887"/>
    <w:rsid w:val="00284B43"/>
    <w:rsid w:val="00284DF8"/>
    <w:rsid w:val="00285302"/>
    <w:rsid w:val="0028533C"/>
    <w:rsid w:val="00285569"/>
    <w:rsid w:val="00285660"/>
    <w:rsid w:val="00285717"/>
    <w:rsid w:val="002858FE"/>
    <w:rsid w:val="00285972"/>
    <w:rsid w:val="00285CD2"/>
    <w:rsid w:val="00285E54"/>
    <w:rsid w:val="0028606D"/>
    <w:rsid w:val="00286094"/>
    <w:rsid w:val="0028610A"/>
    <w:rsid w:val="0028614C"/>
    <w:rsid w:val="0028622F"/>
    <w:rsid w:val="0028653D"/>
    <w:rsid w:val="002867BB"/>
    <w:rsid w:val="002868DE"/>
    <w:rsid w:val="00286B71"/>
    <w:rsid w:val="00286BEC"/>
    <w:rsid w:val="00286CF7"/>
    <w:rsid w:val="00286E0C"/>
    <w:rsid w:val="00287084"/>
    <w:rsid w:val="00287303"/>
    <w:rsid w:val="0028774D"/>
    <w:rsid w:val="00287754"/>
    <w:rsid w:val="00287807"/>
    <w:rsid w:val="00287961"/>
    <w:rsid w:val="00287D1B"/>
    <w:rsid w:val="00287E0D"/>
    <w:rsid w:val="00287FA3"/>
    <w:rsid w:val="00290033"/>
    <w:rsid w:val="00290290"/>
    <w:rsid w:val="00290855"/>
    <w:rsid w:val="00290A36"/>
    <w:rsid w:val="00290A98"/>
    <w:rsid w:val="00290D0B"/>
    <w:rsid w:val="00290E51"/>
    <w:rsid w:val="00291001"/>
    <w:rsid w:val="00291391"/>
    <w:rsid w:val="0029149F"/>
    <w:rsid w:val="0029197B"/>
    <w:rsid w:val="00291EA0"/>
    <w:rsid w:val="00291F31"/>
    <w:rsid w:val="00292096"/>
    <w:rsid w:val="002921FB"/>
    <w:rsid w:val="0029224E"/>
    <w:rsid w:val="00292363"/>
    <w:rsid w:val="0029249E"/>
    <w:rsid w:val="0029260C"/>
    <w:rsid w:val="00292834"/>
    <w:rsid w:val="002930F5"/>
    <w:rsid w:val="00293173"/>
    <w:rsid w:val="00293620"/>
    <w:rsid w:val="00293850"/>
    <w:rsid w:val="00293E2D"/>
    <w:rsid w:val="002940EF"/>
    <w:rsid w:val="00294286"/>
    <w:rsid w:val="002944D1"/>
    <w:rsid w:val="00294894"/>
    <w:rsid w:val="00294E72"/>
    <w:rsid w:val="00294F91"/>
    <w:rsid w:val="0029503E"/>
    <w:rsid w:val="00295188"/>
    <w:rsid w:val="002951D0"/>
    <w:rsid w:val="00295528"/>
    <w:rsid w:val="00295630"/>
    <w:rsid w:val="00295713"/>
    <w:rsid w:val="0029588F"/>
    <w:rsid w:val="00295899"/>
    <w:rsid w:val="002959BB"/>
    <w:rsid w:val="00295A68"/>
    <w:rsid w:val="00295B08"/>
    <w:rsid w:val="00295D29"/>
    <w:rsid w:val="00295E55"/>
    <w:rsid w:val="00295EB6"/>
    <w:rsid w:val="0029606B"/>
    <w:rsid w:val="002960C0"/>
    <w:rsid w:val="00296547"/>
    <w:rsid w:val="00296BB7"/>
    <w:rsid w:val="00296CAF"/>
    <w:rsid w:val="00296E22"/>
    <w:rsid w:val="002970CF"/>
    <w:rsid w:val="00297132"/>
    <w:rsid w:val="0029717A"/>
    <w:rsid w:val="002971D9"/>
    <w:rsid w:val="0029766C"/>
    <w:rsid w:val="00297686"/>
    <w:rsid w:val="00297B5F"/>
    <w:rsid w:val="00297E9A"/>
    <w:rsid w:val="00297FD8"/>
    <w:rsid w:val="002A010F"/>
    <w:rsid w:val="002A030A"/>
    <w:rsid w:val="002A0474"/>
    <w:rsid w:val="002A0713"/>
    <w:rsid w:val="002A09AE"/>
    <w:rsid w:val="002A0B08"/>
    <w:rsid w:val="002A0D3F"/>
    <w:rsid w:val="002A0DEB"/>
    <w:rsid w:val="002A1336"/>
    <w:rsid w:val="002A1667"/>
    <w:rsid w:val="002A1B3A"/>
    <w:rsid w:val="002A1EAF"/>
    <w:rsid w:val="002A1FFC"/>
    <w:rsid w:val="002A2459"/>
    <w:rsid w:val="002A24AE"/>
    <w:rsid w:val="002A26BE"/>
    <w:rsid w:val="002A2884"/>
    <w:rsid w:val="002A28A3"/>
    <w:rsid w:val="002A2961"/>
    <w:rsid w:val="002A299D"/>
    <w:rsid w:val="002A29D6"/>
    <w:rsid w:val="002A29E5"/>
    <w:rsid w:val="002A2A64"/>
    <w:rsid w:val="002A2C1C"/>
    <w:rsid w:val="002A2D74"/>
    <w:rsid w:val="002A325E"/>
    <w:rsid w:val="002A39CA"/>
    <w:rsid w:val="002A3C2E"/>
    <w:rsid w:val="002A3DB0"/>
    <w:rsid w:val="002A406F"/>
    <w:rsid w:val="002A444D"/>
    <w:rsid w:val="002A465C"/>
    <w:rsid w:val="002A4E53"/>
    <w:rsid w:val="002A501D"/>
    <w:rsid w:val="002A5088"/>
    <w:rsid w:val="002A523A"/>
    <w:rsid w:val="002A5384"/>
    <w:rsid w:val="002A5527"/>
    <w:rsid w:val="002A582E"/>
    <w:rsid w:val="002A5B4A"/>
    <w:rsid w:val="002A5B98"/>
    <w:rsid w:val="002A6BF6"/>
    <w:rsid w:val="002A6D16"/>
    <w:rsid w:val="002A6ED7"/>
    <w:rsid w:val="002A6EE5"/>
    <w:rsid w:val="002A730B"/>
    <w:rsid w:val="002A7362"/>
    <w:rsid w:val="002A73F7"/>
    <w:rsid w:val="002A766B"/>
    <w:rsid w:val="002A789A"/>
    <w:rsid w:val="002A7A85"/>
    <w:rsid w:val="002A7B47"/>
    <w:rsid w:val="002B0481"/>
    <w:rsid w:val="002B04F7"/>
    <w:rsid w:val="002B091D"/>
    <w:rsid w:val="002B0B8E"/>
    <w:rsid w:val="002B0CD4"/>
    <w:rsid w:val="002B0D20"/>
    <w:rsid w:val="002B0DCD"/>
    <w:rsid w:val="002B10BE"/>
    <w:rsid w:val="002B12AD"/>
    <w:rsid w:val="002B12C1"/>
    <w:rsid w:val="002B1634"/>
    <w:rsid w:val="002B17FF"/>
    <w:rsid w:val="002B1D3F"/>
    <w:rsid w:val="002B1D7A"/>
    <w:rsid w:val="002B1D85"/>
    <w:rsid w:val="002B1D93"/>
    <w:rsid w:val="002B2536"/>
    <w:rsid w:val="002B2CDE"/>
    <w:rsid w:val="002B2E92"/>
    <w:rsid w:val="002B2F26"/>
    <w:rsid w:val="002B3087"/>
    <w:rsid w:val="002B30F5"/>
    <w:rsid w:val="002B32CD"/>
    <w:rsid w:val="002B33F8"/>
    <w:rsid w:val="002B3A81"/>
    <w:rsid w:val="002B3CAF"/>
    <w:rsid w:val="002B3ED2"/>
    <w:rsid w:val="002B45AD"/>
    <w:rsid w:val="002B474B"/>
    <w:rsid w:val="002B4778"/>
    <w:rsid w:val="002B477B"/>
    <w:rsid w:val="002B4D9B"/>
    <w:rsid w:val="002B4E39"/>
    <w:rsid w:val="002B5149"/>
    <w:rsid w:val="002B5275"/>
    <w:rsid w:val="002B52BC"/>
    <w:rsid w:val="002B54A7"/>
    <w:rsid w:val="002B54FD"/>
    <w:rsid w:val="002B5688"/>
    <w:rsid w:val="002B5818"/>
    <w:rsid w:val="002B585D"/>
    <w:rsid w:val="002B5CF0"/>
    <w:rsid w:val="002B5D0A"/>
    <w:rsid w:val="002B5D13"/>
    <w:rsid w:val="002B5DBB"/>
    <w:rsid w:val="002B63C7"/>
    <w:rsid w:val="002B66D9"/>
    <w:rsid w:val="002B691F"/>
    <w:rsid w:val="002B6970"/>
    <w:rsid w:val="002B6AA0"/>
    <w:rsid w:val="002B6B2B"/>
    <w:rsid w:val="002B6C33"/>
    <w:rsid w:val="002B6EA6"/>
    <w:rsid w:val="002B71B6"/>
    <w:rsid w:val="002B7800"/>
    <w:rsid w:val="002B7867"/>
    <w:rsid w:val="002B78BB"/>
    <w:rsid w:val="002B7A01"/>
    <w:rsid w:val="002B7C0F"/>
    <w:rsid w:val="002B7D2F"/>
    <w:rsid w:val="002B7D48"/>
    <w:rsid w:val="002B7D80"/>
    <w:rsid w:val="002B7EFF"/>
    <w:rsid w:val="002C0006"/>
    <w:rsid w:val="002C07A3"/>
    <w:rsid w:val="002C0888"/>
    <w:rsid w:val="002C091B"/>
    <w:rsid w:val="002C0ADF"/>
    <w:rsid w:val="002C0E78"/>
    <w:rsid w:val="002C0ED8"/>
    <w:rsid w:val="002C1113"/>
    <w:rsid w:val="002C115B"/>
    <w:rsid w:val="002C12B6"/>
    <w:rsid w:val="002C133A"/>
    <w:rsid w:val="002C17E1"/>
    <w:rsid w:val="002C1912"/>
    <w:rsid w:val="002C1CF3"/>
    <w:rsid w:val="002C1E01"/>
    <w:rsid w:val="002C1E50"/>
    <w:rsid w:val="002C2071"/>
    <w:rsid w:val="002C212A"/>
    <w:rsid w:val="002C22FE"/>
    <w:rsid w:val="002C25B4"/>
    <w:rsid w:val="002C2C94"/>
    <w:rsid w:val="002C2E20"/>
    <w:rsid w:val="002C301E"/>
    <w:rsid w:val="002C3094"/>
    <w:rsid w:val="002C3241"/>
    <w:rsid w:val="002C3527"/>
    <w:rsid w:val="002C3D3A"/>
    <w:rsid w:val="002C3F15"/>
    <w:rsid w:val="002C46E8"/>
    <w:rsid w:val="002C4E60"/>
    <w:rsid w:val="002C4F52"/>
    <w:rsid w:val="002C505F"/>
    <w:rsid w:val="002C5152"/>
    <w:rsid w:val="002C56AC"/>
    <w:rsid w:val="002C5841"/>
    <w:rsid w:val="002C5ADC"/>
    <w:rsid w:val="002C5C70"/>
    <w:rsid w:val="002C5CA8"/>
    <w:rsid w:val="002C5D71"/>
    <w:rsid w:val="002C605F"/>
    <w:rsid w:val="002C6CB2"/>
    <w:rsid w:val="002C7042"/>
    <w:rsid w:val="002C74DB"/>
    <w:rsid w:val="002C761E"/>
    <w:rsid w:val="002C76B9"/>
    <w:rsid w:val="002C7995"/>
    <w:rsid w:val="002C79FB"/>
    <w:rsid w:val="002C7E8D"/>
    <w:rsid w:val="002D00BD"/>
    <w:rsid w:val="002D02F2"/>
    <w:rsid w:val="002D0334"/>
    <w:rsid w:val="002D05ED"/>
    <w:rsid w:val="002D0758"/>
    <w:rsid w:val="002D098A"/>
    <w:rsid w:val="002D0A21"/>
    <w:rsid w:val="002D0AF4"/>
    <w:rsid w:val="002D12D8"/>
    <w:rsid w:val="002D173A"/>
    <w:rsid w:val="002D174D"/>
    <w:rsid w:val="002D1856"/>
    <w:rsid w:val="002D18B0"/>
    <w:rsid w:val="002D18C3"/>
    <w:rsid w:val="002D1C03"/>
    <w:rsid w:val="002D1D6F"/>
    <w:rsid w:val="002D1DA4"/>
    <w:rsid w:val="002D24A9"/>
    <w:rsid w:val="002D2588"/>
    <w:rsid w:val="002D260C"/>
    <w:rsid w:val="002D2C97"/>
    <w:rsid w:val="002D2CA4"/>
    <w:rsid w:val="002D2CD8"/>
    <w:rsid w:val="002D2D00"/>
    <w:rsid w:val="002D2D1B"/>
    <w:rsid w:val="002D2F51"/>
    <w:rsid w:val="002D2F79"/>
    <w:rsid w:val="002D314B"/>
    <w:rsid w:val="002D349A"/>
    <w:rsid w:val="002D35FA"/>
    <w:rsid w:val="002D3628"/>
    <w:rsid w:val="002D3740"/>
    <w:rsid w:val="002D375B"/>
    <w:rsid w:val="002D38F6"/>
    <w:rsid w:val="002D39B4"/>
    <w:rsid w:val="002D3B19"/>
    <w:rsid w:val="002D3DC7"/>
    <w:rsid w:val="002D40D1"/>
    <w:rsid w:val="002D4326"/>
    <w:rsid w:val="002D4359"/>
    <w:rsid w:val="002D44AC"/>
    <w:rsid w:val="002D4575"/>
    <w:rsid w:val="002D47FF"/>
    <w:rsid w:val="002D4974"/>
    <w:rsid w:val="002D4B52"/>
    <w:rsid w:val="002D4C0D"/>
    <w:rsid w:val="002D5368"/>
    <w:rsid w:val="002D5AF4"/>
    <w:rsid w:val="002D5B0E"/>
    <w:rsid w:val="002D5D4F"/>
    <w:rsid w:val="002D5EF1"/>
    <w:rsid w:val="002D62EF"/>
    <w:rsid w:val="002D634F"/>
    <w:rsid w:val="002D6B99"/>
    <w:rsid w:val="002D6ED9"/>
    <w:rsid w:val="002D6F38"/>
    <w:rsid w:val="002D6FAC"/>
    <w:rsid w:val="002D6FE5"/>
    <w:rsid w:val="002D7249"/>
    <w:rsid w:val="002D73C8"/>
    <w:rsid w:val="002D7652"/>
    <w:rsid w:val="002D77F8"/>
    <w:rsid w:val="002D79E7"/>
    <w:rsid w:val="002D7AD0"/>
    <w:rsid w:val="002D7BE3"/>
    <w:rsid w:val="002E0027"/>
    <w:rsid w:val="002E01C0"/>
    <w:rsid w:val="002E040B"/>
    <w:rsid w:val="002E0DC3"/>
    <w:rsid w:val="002E1395"/>
    <w:rsid w:val="002E1573"/>
    <w:rsid w:val="002E1C6F"/>
    <w:rsid w:val="002E210F"/>
    <w:rsid w:val="002E212D"/>
    <w:rsid w:val="002E22E1"/>
    <w:rsid w:val="002E25B0"/>
    <w:rsid w:val="002E25C8"/>
    <w:rsid w:val="002E283C"/>
    <w:rsid w:val="002E2933"/>
    <w:rsid w:val="002E2975"/>
    <w:rsid w:val="002E2DB2"/>
    <w:rsid w:val="002E33A1"/>
    <w:rsid w:val="002E3400"/>
    <w:rsid w:val="002E34CA"/>
    <w:rsid w:val="002E3764"/>
    <w:rsid w:val="002E3892"/>
    <w:rsid w:val="002E395D"/>
    <w:rsid w:val="002E39FC"/>
    <w:rsid w:val="002E3A69"/>
    <w:rsid w:val="002E3ACF"/>
    <w:rsid w:val="002E3F36"/>
    <w:rsid w:val="002E4157"/>
    <w:rsid w:val="002E41BE"/>
    <w:rsid w:val="002E41FF"/>
    <w:rsid w:val="002E43B6"/>
    <w:rsid w:val="002E4544"/>
    <w:rsid w:val="002E4622"/>
    <w:rsid w:val="002E49F4"/>
    <w:rsid w:val="002E4AC0"/>
    <w:rsid w:val="002E4C7E"/>
    <w:rsid w:val="002E4FA5"/>
    <w:rsid w:val="002E5048"/>
    <w:rsid w:val="002E51D8"/>
    <w:rsid w:val="002E5419"/>
    <w:rsid w:val="002E5577"/>
    <w:rsid w:val="002E55EE"/>
    <w:rsid w:val="002E563C"/>
    <w:rsid w:val="002E5B60"/>
    <w:rsid w:val="002E5FD8"/>
    <w:rsid w:val="002E64F3"/>
    <w:rsid w:val="002E6500"/>
    <w:rsid w:val="002E66B9"/>
    <w:rsid w:val="002E685B"/>
    <w:rsid w:val="002E68CD"/>
    <w:rsid w:val="002E6D39"/>
    <w:rsid w:val="002E705A"/>
    <w:rsid w:val="002E70F6"/>
    <w:rsid w:val="002E75C7"/>
    <w:rsid w:val="002E7755"/>
    <w:rsid w:val="002E7BD0"/>
    <w:rsid w:val="002E7EC6"/>
    <w:rsid w:val="002F000F"/>
    <w:rsid w:val="002F0396"/>
    <w:rsid w:val="002F054C"/>
    <w:rsid w:val="002F056D"/>
    <w:rsid w:val="002F06ED"/>
    <w:rsid w:val="002F0E38"/>
    <w:rsid w:val="002F0E64"/>
    <w:rsid w:val="002F0E7D"/>
    <w:rsid w:val="002F248D"/>
    <w:rsid w:val="002F295C"/>
    <w:rsid w:val="002F2A28"/>
    <w:rsid w:val="002F2A48"/>
    <w:rsid w:val="002F2A7C"/>
    <w:rsid w:val="002F30D2"/>
    <w:rsid w:val="002F30EB"/>
    <w:rsid w:val="002F30F4"/>
    <w:rsid w:val="002F318C"/>
    <w:rsid w:val="002F3903"/>
    <w:rsid w:val="002F3C0A"/>
    <w:rsid w:val="002F3F67"/>
    <w:rsid w:val="002F3FF6"/>
    <w:rsid w:val="002F4044"/>
    <w:rsid w:val="002F41CF"/>
    <w:rsid w:val="002F4368"/>
    <w:rsid w:val="002F43C4"/>
    <w:rsid w:val="002F45E4"/>
    <w:rsid w:val="002F4784"/>
    <w:rsid w:val="002F4894"/>
    <w:rsid w:val="002F49ED"/>
    <w:rsid w:val="002F4C90"/>
    <w:rsid w:val="002F4DDC"/>
    <w:rsid w:val="002F5072"/>
    <w:rsid w:val="002F55FE"/>
    <w:rsid w:val="002F574C"/>
    <w:rsid w:val="002F5DA7"/>
    <w:rsid w:val="002F5F80"/>
    <w:rsid w:val="002F632C"/>
    <w:rsid w:val="002F65A9"/>
    <w:rsid w:val="002F6856"/>
    <w:rsid w:val="002F6899"/>
    <w:rsid w:val="002F69A4"/>
    <w:rsid w:val="002F69BA"/>
    <w:rsid w:val="002F6AD2"/>
    <w:rsid w:val="002F6C2E"/>
    <w:rsid w:val="002F6F00"/>
    <w:rsid w:val="002F6F14"/>
    <w:rsid w:val="002F71E6"/>
    <w:rsid w:val="002F728D"/>
    <w:rsid w:val="002F7900"/>
    <w:rsid w:val="002F7A97"/>
    <w:rsid w:val="002F7ACC"/>
    <w:rsid w:val="002F7F54"/>
    <w:rsid w:val="0030006B"/>
    <w:rsid w:val="00300B39"/>
    <w:rsid w:val="00300CE4"/>
    <w:rsid w:val="00300E92"/>
    <w:rsid w:val="0030100C"/>
    <w:rsid w:val="00301316"/>
    <w:rsid w:val="003017CC"/>
    <w:rsid w:val="00301BD2"/>
    <w:rsid w:val="00301C15"/>
    <w:rsid w:val="00301CE5"/>
    <w:rsid w:val="00301D0F"/>
    <w:rsid w:val="00301F7E"/>
    <w:rsid w:val="0030206C"/>
    <w:rsid w:val="00302091"/>
    <w:rsid w:val="00302154"/>
    <w:rsid w:val="003022EE"/>
    <w:rsid w:val="0030250A"/>
    <w:rsid w:val="003028F3"/>
    <w:rsid w:val="003028F5"/>
    <w:rsid w:val="00302C70"/>
    <w:rsid w:val="00302CCE"/>
    <w:rsid w:val="00302FFE"/>
    <w:rsid w:val="00303023"/>
    <w:rsid w:val="00303274"/>
    <w:rsid w:val="00303335"/>
    <w:rsid w:val="0030358D"/>
    <w:rsid w:val="003035AA"/>
    <w:rsid w:val="003037E4"/>
    <w:rsid w:val="00303A16"/>
    <w:rsid w:val="00303B5E"/>
    <w:rsid w:val="00303C29"/>
    <w:rsid w:val="00303FAE"/>
    <w:rsid w:val="003043A6"/>
    <w:rsid w:val="00304546"/>
    <w:rsid w:val="00304881"/>
    <w:rsid w:val="00304918"/>
    <w:rsid w:val="003049AA"/>
    <w:rsid w:val="00304D77"/>
    <w:rsid w:val="00304F1E"/>
    <w:rsid w:val="00304F40"/>
    <w:rsid w:val="0030546F"/>
    <w:rsid w:val="00305A07"/>
    <w:rsid w:val="00305B94"/>
    <w:rsid w:val="00305C57"/>
    <w:rsid w:val="00305EBC"/>
    <w:rsid w:val="00305FA1"/>
    <w:rsid w:val="00306209"/>
    <w:rsid w:val="0030625A"/>
    <w:rsid w:val="00306277"/>
    <w:rsid w:val="003063B8"/>
    <w:rsid w:val="00306478"/>
    <w:rsid w:val="0030648E"/>
    <w:rsid w:val="00306677"/>
    <w:rsid w:val="003068E0"/>
    <w:rsid w:val="003071F5"/>
    <w:rsid w:val="00307237"/>
    <w:rsid w:val="0030743A"/>
    <w:rsid w:val="0030752E"/>
    <w:rsid w:val="003077FF"/>
    <w:rsid w:val="00310099"/>
    <w:rsid w:val="003100E6"/>
    <w:rsid w:val="00310174"/>
    <w:rsid w:val="00310375"/>
    <w:rsid w:val="003104F1"/>
    <w:rsid w:val="00310529"/>
    <w:rsid w:val="003105FE"/>
    <w:rsid w:val="0031062E"/>
    <w:rsid w:val="003106B3"/>
    <w:rsid w:val="00310A04"/>
    <w:rsid w:val="00310A86"/>
    <w:rsid w:val="003113B0"/>
    <w:rsid w:val="00311883"/>
    <w:rsid w:val="00312065"/>
    <w:rsid w:val="003129ED"/>
    <w:rsid w:val="00312B07"/>
    <w:rsid w:val="00312F7E"/>
    <w:rsid w:val="00313289"/>
    <w:rsid w:val="003133D9"/>
    <w:rsid w:val="00313749"/>
    <w:rsid w:val="00313D54"/>
    <w:rsid w:val="00313D7A"/>
    <w:rsid w:val="00313E6D"/>
    <w:rsid w:val="00313F85"/>
    <w:rsid w:val="0031407C"/>
    <w:rsid w:val="003140AF"/>
    <w:rsid w:val="003141C3"/>
    <w:rsid w:val="0031430D"/>
    <w:rsid w:val="0031447F"/>
    <w:rsid w:val="00314699"/>
    <w:rsid w:val="003147F8"/>
    <w:rsid w:val="003148DB"/>
    <w:rsid w:val="00314922"/>
    <w:rsid w:val="00314DB6"/>
    <w:rsid w:val="003156A1"/>
    <w:rsid w:val="003157CA"/>
    <w:rsid w:val="00315B1B"/>
    <w:rsid w:val="00315EF5"/>
    <w:rsid w:val="0031600B"/>
    <w:rsid w:val="00316859"/>
    <w:rsid w:val="0031699D"/>
    <w:rsid w:val="00316C91"/>
    <w:rsid w:val="00316D49"/>
    <w:rsid w:val="00316D53"/>
    <w:rsid w:val="00316E9B"/>
    <w:rsid w:val="00316F5A"/>
    <w:rsid w:val="00316F89"/>
    <w:rsid w:val="00316FE9"/>
    <w:rsid w:val="00317438"/>
    <w:rsid w:val="00317783"/>
    <w:rsid w:val="003179AF"/>
    <w:rsid w:val="00317C0C"/>
    <w:rsid w:val="00317E68"/>
    <w:rsid w:val="0032009B"/>
    <w:rsid w:val="003206D2"/>
    <w:rsid w:val="00320CC0"/>
    <w:rsid w:val="00320DDC"/>
    <w:rsid w:val="0032117A"/>
    <w:rsid w:val="00321205"/>
    <w:rsid w:val="003213DA"/>
    <w:rsid w:val="00321608"/>
    <w:rsid w:val="00321652"/>
    <w:rsid w:val="00321818"/>
    <w:rsid w:val="00321819"/>
    <w:rsid w:val="00321915"/>
    <w:rsid w:val="00321C69"/>
    <w:rsid w:val="00321CCF"/>
    <w:rsid w:val="00322326"/>
    <w:rsid w:val="0032267B"/>
    <w:rsid w:val="0032275F"/>
    <w:rsid w:val="00322831"/>
    <w:rsid w:val="00322992"/>
    <w:rsid w:val="00322D03"/>
    <w:rsid w:val="00322D97"/>
    <w:rsid w:val="003233AD"/>
    <w:rsid w:val="003234CF"/>
    <w:rsid w:val="00323547"/>
    <w:rsid w:val="0032354A"/>
    <w:rsid w:val="00323836"/>
    <w:rsid w:val="00323885"/>
    <w:rsid w:val="0032393F"/>
    <w:rsid w:val="0032398D"/>
    <w:rsid w:val="00323AE8"/>
    <w:rsid w:val="00323CEB"/>
    <w:rsid w:val="00323D76"/>
    <w:rsid w:val="00323DF2"/>
    <w:rsid w:val="00323ED6"/>
    <w:rsid w:val="00324072"/>
    <w:rsid w:val="00324183"/>
    <w:rsid w:val="00324C73"/>
    <w:rsid w:val="00324EC7"/>
    <w:rsid w:val="00325114"/>
    <w:rsid w:val="00325609"/>
    <w:rsid w:val="00325D4B"/>
    <w:rsid w:val="00325D4C"/>
    <w:rsid w:val="00325E36"/>
    <w:rsid w:val="00325E8B"/>
    <w:rsid w:val="00326383"/>
    <w:rsid w:val="00326634"/>
    <w:rsid w:val="0032672C"/>
    <w:rsid w:val="003268A2"/>
    <w:rsid w:val="00326CFA"/>
    <w:rsid w:val="00326E51"/>
    <w:rsid w:val="00326EEF"/>
    <w:rsid w:val="00327088"/>
    <w:rsid w:val="003272F7"/>
    <w:rsid w:val="00327618"/>
    <w:rsid w:val="0032772F"/>
    <w:rsid w:val="00327971"/>
    <w:rsid w:val="00327E44"/>
    <w:rsid w:val="003303D6"/>
    <w:rsid w:val="00330CC9"/>
    <w:rsid w:val="00330EEF"/>
    <w:rsid w:val="00331417"/>
    <w:rsid w:val="00331470"/>
    <w:rsid w:val="003314EE"/>
    <w:rsid w:val="0033172A"/>
    <w:rsid w:val="00331B39"/>
    <w:rsid w:val="00331F75"/>
    <w:rsid w:val="00331FD7"/>
    <w:rsid w:val="00331FE6"/>
    <w:rsid w:val="003322AC"/>
    <w:rsid w:val="0033261C"/>
    <w:rsid w:val="003327A0"/>
    <w:rsid w:val="003327CD"/>
    <w:rsid w:val="00332919"/>
    <w:rsid w:val="00332A4D"/>
    <w:rsid w:val="00332AEF"/>
    <w:rsid w:val="0033301D"/>
    <w:rsid w:val="00333038"/>
    <w:rsid w:val="003332BD"/>
    <w:rsid w:val="003334FA"/>
    <w:rsid w:val="00333524"/>
    <w:rsid w:val="00333B13"/>
    <w:rsid w:val="00333DB8"/>
    <w:rsid w:val="00333E66"/>
    <w:rsid w:val="00334564"/>
    <w:rsid w:val="00334955"/>
    <w:rsid w:val="003349EB"/>
    <w:rsid w:val="00334A8B"/>
    <w:rsid w:val="00335008"/>
    <w:rsid w:val="003350EF"/>
    <w:rsid w:val="0033529C"/>
    <w:rsid w:val="00335573"/>
    <w:rsid w:val="003359FE"/>
    <w:rsid w:val="00335C19"/>
    <w:rsid w:val="00335D99"/>
    <w:rsid w:val="00335F52"/>
    <w:rsid w:val="0033614B"/>
    <w:rsid w:val="0033614C"/>
    <w:rsid w:val="00336202"/>
    <w:rsid w:val="003365DF"/>
    <w:rsid w:val="003365F6"/>
    <w:rsid w:val="003367B3"/>
    <w:rsid w:val="0033682D"/>
    <w:rsid w:val="00336872"/>
    <w:rsid w:val="00336A76"/>
    <w:rsid w:val="00336C32"/>
    <w:rsid w:val="00336D97"/>
    <w:rsid w:val="00337081"/>
    <w:rsid w:val="0033734C"/>
    <w:rsid w:val="00337501"/>
    <w:rsid w:val="0033753D"/>
    <w:rsid w:val="003375B7"/>
    <w:rsid w:val="0033795C"/>
    <w:rsid w:val="00337B9C"/>
    <w:rsid w:val="00337BE7"/>
    <w:rsid w:val="00337CCF"/>
    <w:rsid w:val="00337D25"/>
    <w:rsid w:val="00337DDA"/>
    <w:rsid w:val="00337E1E"/>
    <w:rsid w:val="0034067E"/>
    <w:rsid w:val="003407F7"/>
    <w:rsid w:val="00340AAB"/>
    <w:rsid w:val="00340BE1"/>
    <w:rsid w:val="00340C38"/>
    <w:rsid w:val="00340C6D"/>
    <w:rsid w:val="00341094"/>
    <w:rsid w:val="003411F5"/>
    <w:rsid w:val="003414A1"/>
    <w:rsid w:val="00341876"/>
    <w:rsid w:val="003418C9"/>
    <w:rsid w:val="003419A5"/>
    <w:rsid w:val="00341AA9"/>
    <w:rsid w:val="00341AFA"/>
    <w:rsid w:val="00341D7A"/>
    <w:rsid w:val="00341DF7"/>
    <w:rsid w:val="00341F76"/>
    <w:rsid w:val="00342090"/>
    <w:rsid w:val="00342322"/>
    <w:rsid w:val="003423AC"/>
    <w:rsid w:val="0034250F"/>
    <w:rsid w:val="00342608"/>
    <w:rsid w:val="003426DB"/>
    <w:rsid w:val="00342761"/>
    <w:rsid w:val="00342879"/>
    <w:rsid w:val="00342BB8"/>
    <w:rsid w:val="00342EE1"/>
    <w:rsid w:val="00342FBF"/>
    <w:rsid w:val="00342FFF"/>
    <w:rsid w:val="003430C8"/>
    <w:rsid w:val="0034313C"/>
    <w:rsid w:val="003432D3"/>
    <w:rsid w:val="00343302"/>
    <w:rsid w:val="003434EF"/>
    <w:rsid w:val="0034378E"/>
    <w:rsid w:val="003437D0"/>
    <w:rsid w:val="00343923"/>
    <w:rsid w:val="00343B4E"/>
    <w:rsid w:val="00343B8F"/>
    <w:rsid w:val="00343CD3"/>
    <w:rsid w:val="00343D5A"/>
    <w:rsid w:val="00343F99"/>
    <w:rsid w:val="003442CD"/>
    <w:rsid w:val="00344313"/>
    <w:rsid w:val="003444F7"/>
    <w:rsid w:val="00344570"/>
    <w:rsid w:val="00344642"/>
    <w:rsid w:val="003448E1"/>
    <w:rsid w:val="00344A43"/>
    <w:rsid w:val="00344DCD"/>
    <w:rsid w:val="00344E50"/>
    <w:rsid w:val="003451D5"/>
    <w:rsid w:val="003452A9"/>
    <w:rsid w:val="00345504"/>
    <w:rsid w:val="00345B66"/>
    <w:rsid w:val="00345DA2"/>
    <w:rsid w:val="00346377"/>
    <w:rsid w:val="00346493"/>
    <w:rsid w:val="0034657D"/>
    <w:rsid w:val="0034665A"/>
    <w:rsid w:val="003466B2"/>
    <w:rsid w:val="00346711"/>
    <w:rsid w:val="00346897"/>
    <w:rsid w:val="003468A7"/>
    <w:rsid w:val="0034696E"/>
    <w:rsid w:val="003469F0"/>
    <w:rsid w:val="00346FCB"/>
    <w:rsid w:val="0034701A"/>
    <w:rsid w:val="0034723F"/>
    <w:rsid w:val="003473EC"/>
    <w:rsid w:val="00347671"/>
    <w:rsid w:val="003476BD"/>
    <w:rsid w:val="00347728"/>
    <w:rsid w:val="0034799D"/>
    <w:rsid w:val="00347A47"/>
    <w:rsid w:val="00347B28"/>
    <w:rsid w:val="00347BFF"/>
    <w:rsid w:val="0035085A"/>
    <w:rsid w:val="00350E2A"/>
    <w:rsid w:val="00351106"/>
    <w:rsid w:val="00351118"/>
    <w:rsid w:val="0035112E"/>
    <w:rsid w:val="00351172"/>
    <w:rsid w:val="0035159A"/>
    <w:rsid w:val="00351674"/>
    <w:rsid w:val="003516E0"/>
    <w:rsid w:val="00351817"/>
    <w:rsid w:val="0035195E"/>
    <w:rsid w:val="003519C5"/>
    <w:rsid w:val="003519E5"/>
    <w:rsid w:val="00351ACA"/>
    <w:rsid w:val="00351CCA"/>
    <w:rsid w:val="00352A30"/>
    <w:rsid w:val="0035314D"/>
    <w:rsid w:val="003534E3"/>
    <w:rsid w:val="00353891"/>
    <w:rsid w:val="003538C6"/>
    <w:rsid w:val="00353F66"/>
    <w:rsid w:val="00354309"/>
    <w:rsid w:val="00354422"/>
    <w:rsid w:val="00354772"/>
    <w:rsid w:val="00354D87"/>
    <w:rsid w:val="00354DDC"/>
    <w:rsid w:val="0035512A"/>
    <w:rsid w:val="00355446"/>
    <w:rsid w:val="00355999"/>
    <w:rsid w:val="00355A1B"/>
    <w:rsid w:val="00355E33"/>
    <w:rsid w:val="00355E84"/>
    <w:rsid w:val="00355F19"/>
    <w:rsid w:val="00356087"/>
    <w:rsid w:val="003562C3"/>
    <w:rsid w:val="00356590"/>
    <w:rsid w:val="003567A8"/>
    <w:rsid w:val="00357064"/>
    <w:rsid w:val="00357209"/>
    <w:rsid w:val="003574BD"/>
    <w:rsid w:val="003574CA"/>
    <w:rsid w:val="00357870"/>
    <w:rsid w:val="00357CC9"/>
    <w:rsid w:val="00357F58"/>
    <w:rsid w:val="003601C2"/>
    <w:rsid w:val="0036022F"/>
    <w:rsid w:val="0036030D"/>
    <w:rsid w:val="00360760"/>
    <w:rsid w:val="00360A25"/>
    <w:rsid w:val="00360BDC"/>
    <w:rsid w:val="00360C93"/>
    <w:rsid w:val="00360D84"/>
    <w:rsid w:val="00360E12"/>
    <w:rsid w:val="003611E8"/>
    <w:rsid w:val="00361597"/>
    <w:rsid w:val="003615F2"/>
    <w:rsid w:val="00361A42"/>
    <w:rsid w:val="00361AEF"/>
    <w:rsid w:val="00361C77"/>
    <w:rsid w:val="0036229F"/>
    <w:rsid w:val="003622A5"/>
    <w:rsid w:val="003622EA"/>
    <w:rsid w:val="00362325"/>
    <w:rsid w:val="003626AB"/>
    <w:rsid w:val="00362785"/>
    <w:rsid w:val="00362BF7"/>
    <w:rsid w:val="00362C0C"/>
    <w:rsid w:val="00362CDA"/>
    <w:rsid w:val="00363185"/>
    <w:rsid w:val="003638C1"/>
    <w:rsid w:val="00363A47"/>
    <w:rsid w:val="00363BA3"/>
    <w:rsid w:val="00363E4E"/>
    <w:rsid w:val="0036401B"/>
    <w:rsid w:val="00364063"/>
    <w:rsid w:val="003640D3"/>
    <w:rsid w:val="00364315"/>
    <w:rsid w:val="00364427"/>
    <w:rsid w:val="0036448C"/>
    <w:rsid w:val="003644E0"/>
    <w:rsid w:val="00364695"/>
    <w:rsid w:val="0036470E"/>
    <w:rsid w:val="00364CBA"/>
    <w:rsid w:val="00364E42"/>
    <w:rsid w:val="00364E69"/>
    <w:rsid w:val="00364F93"/>
    <w:rsid w:val="00364FC9"/>
    <w:rsid w:val="00365149"/>
    <w:rsid w:val="003658D4"/>
    <w:rsid w:val="00365A8B"/>
    <w:rsid w:val="00366201"/>
    <w:rsid w:val="0036659D"/>
    <w:rsid w:val="0036660A"/>
    <w:rsid w:val="003666C7"/>
    <w:rsid w:val="00366CE7"/>
    <w:rsid w:val="00366EBE"/>
    <w:rsid w:val="003670DF"/>
    <w:rsid w:val="00367266"/>
    <w:rsid w:val="00367610"/>
    <w:rsid w:val="00367924"/>
    <w:rsid w:val="003679DE"/>
    <w:rsid w:val="00367B25"/>
    <w:rsid w:val="00367B61"/>
    <w:rsid w:val="00367DEC"/>
    <w:rsid w:val="003703ED"/>
    <w:rsid w:val="003707C4"/>
    <w:rsid w:val="00370FBE"/>
    <w:rsid w:val="00371719"/>
    <w:rsid w:val="003717C3"/>
    <w:rsid w:val="00371877"/>
    <w:rsid w:val="00372253"/>
    <w:rsid w:val="00372267"/>
    <w:rsid w:val="0037257F"/>
    <w:rsid w:val="003725DD"/>
    <w:rsid w:val="0037270D"/>
    <w:rsid w:val="00372AB3"/>
    <w:rsid w:val="00372D34"/>
    <w:rsid w:val="00372D77"/>
    <w:rsid w:val="00372EB6"/>
    <w:rsid w:val="00372F8B"/>
    <w:rsid w:val="00372FBB"/>
    <w:rsid w:val="0037312D"/>
    <w:rsid w:val="0037316B"/>
    <w:rsid w:val="003732F2"/>
    <w:rsid w:val="0037358D"/>
    <w:rsid w:val="003735F6"/>
    <w:rsid w:val="003736A0"/>
    <w:rsid w:val="003737CA"/>
    <w:rsid w:val="00373970"/>
    <w:rsid w:val="003739E2"/>
    <w:rsid w:val="00373E79"/>
    <w:rsid w:val="00373E8B"/>
    <w:rsid w:val="00373F1D"/>
    <w:rsid w:val="00373F92"/>
    <w:rsid w:val="00374000"/>
    <w:rsid w:val="003740B4"/>
    <w:rsid w:val="00374180"/>
    <w:rsid w:val="0037498E"/>
    <w:rsid w:val="00374A97"/>
    <w:rsid w:val="00374D15"/>
    <w:rsid w:val="00375050"/>
    <w:rsid w:val="00375320"/>
    <w:rsid w:val="003757A4"/>
    <w:rsid w:val="003757A6"/>
    <w:rsid w:val="00375858"/>
    <w:rsid w:val="00375CA4"/>
    <w:rsid w:val="003760ED"/>
    <w:rsid w:val="003760F5"/>
    <w:rsid w:val="003762B3"/>
    <w:rsid w:val="0037635A"/>
    <w:rsid w:val="00376399"/>
    <w:rsid w:val="003763D6"/>
    <w:rsid w:val="00376530"/>
    <w:rsid w:val="003766D9"/>
    <w:rsid w:val="003767E8"/>
    <w:rsid w:val="00376914"/>
    <w:rsid w:val="00376A3C"/>
    <w:rsid w:val="00377094"/>
    <w:rsid w:val="0037712A"/>
    <w:rsid w:val="003773CC"/>
    <w:rsid w:val="00377978"/>
    <w:rsid w:val="00377AAD"/>
    <w:rsid w:val="00377B00"/>
    <w:rsid w:val="00377B95"/>
    <w:rsid w:val="00377BE6"/>
    <w:rsid w:val="00377D25"/>
    <w:rsid w:val="0038036B"/>
    <w:rsid w:val="003803A8"/>
    <w:rsid w:val="0038043C"/>
    <w:rsid w:val="0038043F"/>
    <w:rsid w:val="0038049A"/>
    <w:rsid w:val="00380C83"/>
    <w:rsid w:val="00380CEA"/>
    <w:rsid w:val="00380DFD"/>
    <w:rsid w:val="00380EDA"/>
    <w:rsid w:val="00381223"/>
    <w:rsid w:val="003815E3"/>
    <w:rsid w:val="003816D2"/>
    <w:rsid w:val="003817C7"/>
    <w:rsid w:val="003817FF"/>
    <w:rsid w:val="00381CB5"/>
    <w:rsid w:val="00382093"/>
    <w:rsid w:val="003822AB"/>
    <w:rsid w:val="00382379"/>
    <w:rsid w:val="00382805"/>
    <w:rsid w:val="0038289C"/>
    <w:rsid w:val="00382D82"/>
    <w:rsid w:val="00382DAE"/>
    <w:rsid w:val="00382FDC"/>
    <w:rsid w:val="00383483"/>
    <w:rsid w:val="00383702"/>
    <w:rsid w:val="003837C5"/>
    <w:rsid w:val="00383C9D"/>
    <w:rsid w:val="003842F5"/>
    <w:rsid w:val="003845C7"/>
    <w:rsid w:val="00384643"/>
    <w:rsid w:val="00384910"/>
    <w:rsid w:val="00384998"/>
    <w:rsid w:val="00384C10"/>
    <w:rsid w:val="00384CB6"/>
    <w:rsid w:val="00384CB9"/>
    <w:rsid w:val="00384E49"/>
    <w:rsid w:val="003850F5"/>
    <w:rsid w:val="003850FD"/>
    <w:rsid w:val="003852CC"/>
    <w:rsid w:val="0038587F"/>
    <w:rsid w:val="003859F1"/>
    <w:rsid w:val="00385A49"/>
    <w:rsid w:val="00385B12"/>
    <w:rsid w:val="00385B24"/>
    <w:rsid w:val="00385C8F"/>
    <w:rsid w:val="00385CF4"/>
    <w:rsid w:val="00385EF1"/>
    <w:rsid w:val="00385EF8"/>
    <w:rsid w:val="00385F84"/>
    <w:rsid w:val="00386143"/>
    <w:rsid w:val="003862B4"/>
    <w:rsid w:val="0038684D"/>
    <w:rsid w:val="00386B79"/>
    <w:rsid w:val="00386D23"/>
    <w:rsid w:val="00386E41"/>
    <w:rsid w:val="00387005"/>
    <w:rsid w:val="003872D7"/>
    <w:rsid w:val="00387369"/>
    <w:rsid w:val="003875C2"/>
    <w:rsid w:val="003876BB"/>
    <w:rsid w:val="003879A1"/>
    <w:rsid w:val="00387A98"/>
    <w:rsid w:val="00387CB8"/>
    <w:rsid w:val="00387DF9"/>
    <w:rsid w:val="003901C6"/>
    <w:rsid w:val="0039050E"/>
    <w:rsid w:val="0039078A"/>
    <w:rsid w:val="00390868"/>
    <w:rsid w:val="00390A82"/>
    <w:rsid w:val="00390B00"/>
    <w:rsid w:val="00391140"/>
    <w:rsid w:val="0039131D"/>
    <w:rsid w:val="003916E8"/>
    <w:rsid w:val="00391CC1"/>
    <w:rsid w:val="00391E48"/>
    <w:rsid w:val="00391F09"/>
    <w:rsid w:val="003921E8"/>
    <w:rsid w:val="003921F0"/>
    <w:rsid w:val="00392335"/>
    <w:rsid w:val="003925D9"/>
    <w:rsid w:val="00392B3A"/>
    <w:rsid w:val="00392C9F"/>
    <w:rsid w:val="00392CC6"/>
    <w:rsid w:val="00392DCF"/>
    <w:rsid w:val="00392E62"/>
    <w:rsid w:val="00392EFA"/>
    <w:rsid w:val="00392FAC"/>
    <w:rsid w:val="00393614"/>
    <w:rsid w:val="0039363C"/>
    <w:rsid w:val="00393759"/>
    <w:rsid w:val="00393B4E"/>
    <w:rsid w:val="00393DD3"/>
    <w:rsid w:val="00393E19"/>
    <w:rsid w:val="00394044"/>
    <w:rsid w:val="00394056"/>
    <w:rsid w:val="00394118"/>
    <w:rsid w:val="00394685"/>
    <w:rsid w:val="00394694"/>
    <w:rsid w:val="00394714"/>
    <w:rsid w:val="0039479D"/>
    <w:rsid w:val="00394D3D"/>
    <w:rsid w:val="00394DC0"/>
    <w:rsid w:val="00394E57"/>
    <w:rsid w:val="00394F1E"/>
    <w:rsid w:val="00394FC4"/>
    <w:rsid w:val="00395550"/>
    <w:rsid w:val="003955B1"/>
    <w:rsid w:val="00395CC5"/>
    <w:rsid w:val="003960E4"/>
    <w:rsid w:val="00396107"/>
    <w:rsid w:val="003961EE"/>
    <w:rsid w:val="00396406"/>
    <w:rsid w:val="0039646E"/>
    <w:rsid w:val="00396598"/>
    <w:rsid w:val="00396C09"/>
    <w:rsid w:val="00396C92"/>
    <w:rsid w:val="00396F81"/>
    <w:rsid w:val="003971F3"/>
    <w:rsid w:val="00397354"/>
    <w:rsid w:val="00397776"/>
    <w:rsid w:val="00397807"/>
    <w:rsid w:val="0039787C"/>
    <w:rsid w:val="003978D6"/>
    <w:rsid w:val="0039797E"/>
    <w:rsid w:val="00397A13"/>
    <w:rsid w:val="00397BC9"/>
    <w:rsid w:val="00397F73"/>
    <w:rsid w:val="003A0081"/>
    <w:rsid w:val="003A038F"/>
    <w:rsid w:val="003A03F6"/>
    <w:rsid w:val="003A043D"/>
    <w:rsid w:val="003A0528"/>
    <w:rsid w:val="003A0636"/>
    <w:rsid w:val="003A0670"/>
    <w:rsid w:val="003A06DE"/>
    <w:rsid w:val="003A086D"/>
    <w:rsid w:val="003A0932"/>
    <w:rsid w:val="003A0BD4"/>
    <w:rsid w:val="003A0C6A"/>
    <w:rsid w:val="003A0D5E"/>
    <w:rsid w:val="003A0F1C"/>
    <w:rsid w:val="003A1080"/>
    <w:rsid w:val="003A11D3"/>
    <w:rsid w:val="003A172C"/>
    <w:rsid w:val="003A17D1"/>
    <w:rsid w:val="003A193E"/>
    <w:rsid w:val="003A1A49"/>
    <w:rsid w:val="003A1B4B"/>
    <w:rsid w:val="003A1B99"/>
    <w:rsid w:val="003A1E5E"/>
    <w:rsid w:val="003A2061"/>
    <w:rsid w:val="003A20F9"/>
    <w:rsid w:val="003A20FC"/>
    <w:rsid w:val="003A2356"/>
    <w:rsid w:val="003A2496"/>
    <w:rsid w:val="003A2627"/>
    <w:rsid w:val="003A2720"/>
    <w:rsid w:val="003A291D"/>
    <w:rsid w:val="003A2DA4"/>
    <w:rsid w:val="003A2E85"/>
    <w:rsid w:val="003A2FD0"/>
    <w:rsid w:val="003A348E"/>
    <w:rsid w:val="003A38A8"/>
    <w:rsid w:val="003A3CCF"/>
    <w:rsid w:val="003A3E1C"/>
    <w:rsid w:val="003A42C2"/>
    <w:rsid w:val="003A4370"/>
    <w:rsid w:val="003A44C5"/>
    <w:rsid w:val="003A4531"/>
    <w:rsid w:val="003A474E"/>
    <w:rsid w:val="003A4841"/>
    <w:rsid w:val="003A4C0C"/>
    <w:rsid w:val="003A4E37"/>
    <w:rsid w:val="003A50D6"/>
    <w:rsid w:val="003A5163"/>
    <w:rsid w:val="003A54C3"/>
    <w:rsid w:val="003A5516"/>
    <w:rsid w:val="003A568B"/>
    <w:rsid w:val="003A5740"/>
    <w:rsid w:val="003A57D3"/>
    <w:rsid w:val="003A5AA2"/>
    <w:rsid w:val="003A6049"/>
    <w:rsid w:val="003A6146"/>
    <w:rsid w:val="003A6696"/>
    <w:rsid w:val="003A68B4"/>
    <w:rsid w:val="003A6CA2"/>
    <w:rsid w:val="003A6CEC"/>
    <w:rsid w:val="003A6D74"/>
    <w:rsid w:val="003A6ED6"/>
    <w:rsid w:val="003A7001"/>
    <w:rsid w:val="003A7029"/>
    <w:rsid w:val="003A783A"/>
    <w:rsid w:val="003A7A6E"/>
    <w:rsid w:val="003A7D06"/>
    <w:rsid w:val="003A7E2D"/>
    <w:rsid w:val="003A7E7B"/>
    <w:rsid w:val="003A7F38"/>
    <w:rsid w:val="003B0231"/>
    <w:rsid w:val="003B0621"/>
    <w:rsid w:val="003B08CA"/>
    <w:rsid w:val="003B09BE"/>
    <w:rsid w:val="003B0A20"/>
    <w:rsid w:val="003B12C8"/>
    <w:rsid w:val="003B1482"/>
    <w:rsid w:val="003B155F"/>
    <w:rsid w:val="003B17AF"/>
    <w:rsid w:val="003B223E"/>
    <w:rsid w:val="003B2340"/>
    <w:rsid w:val="003B23EC"/>
    <w:rsid w:val="003B2C14"/>
    <w:rsid w:val="003B30CA"/>
    <w:rsid w:val="003B338A"/>
    <w:rsid w:val="003B3568"/>
    <w:rsid w:val="003B37C7"/>
    <w:rsid w:val="003B3A55"/>
    <w:rsid w:val="003B3D76"/>
    <w:rsid w:val="003B3E14"/>
    <w:rsid w:val="003B41D1"/>
    <w:rsid w:val="003B4B12"/>
    <w:rsid w:val="003B4B65"/>
    <w:rsid w:val="003B4B88"/>
    <w:rsid w:val="003B4CBC"/>
    <w:rsid w:val="003B4F3A"/>
    <w:rsid w:val="003B523B"/>
    <w:rsid w:val="003B52B6"/>
    <w:rsid w:val="003B57ED"/>
    <w:rsid w:val="003B5AD8"/>
    <w:rsid w:val="003B6099"/>
    <w:rsid w:val="003B6177"/>
    <w:rsid w:val="003B636A"/>
    <w:rsid w:val="003B6678"/>
    <w:rsid w:val="003B66C4"/>
    <w:rsid w:val="003B69A0"/>
    <w:rsid w:val="003B6F0D"/>
    <w:rsid w:val="003B72B7"/>
    <w:rsid w:val="003B72D2"/>
    <w:rsid w:val="003B7329"/>
    <w:rsid w:val="003B7557"/>
    <w:rsid w:val="003B786C"/>
    <w:rsid w:val="003B7A5A"/>
    <w:rsid w:val="003C00AA"/>
    <w:rsid w:val="003C00C5"/>
    <w:rsid w:val="003C0309"/>
    <w:rsid w:val="003C041A"/>
    <w:rsid w:val="003C0442"/>
    <w:rsid w:val="003C0443"/>
    <w:rsid w:val="003C0483"/>
    <w:rsid w:val="003C04AF"/>
    <w:rsid w:val="003C07C4"/>
    <w:rsid w:val="003C07DA"/>
    <w:rsid w:val="003C0929"/>
    <w:rsid w:val="003C09DA"/>
    <w:rsid w:val="003C0E4D"/>
    <w:rsid w:val="003C0E8A"/>
    <w:rsid w:val="003C10D6"/>
    <w:rsid w:val="003C148C"/>
    <w:rsid w:val="003C1724"/>
    <w:rsid w:val="003C194C"/>
    <w:rsid w:val="003C1A82"/>
    <w:rsid w:val="003C1B03"/>
    <w:rsid w:val="003C1EA2"/>
    <w:rsid w:val="003C24A8"/>
    <w:rsid w:val="003C25FA"/>
    <w:rsid w:val="003C2755"/>
    <w:rsid w:val="003C2B9D"/>
    <w:rsid w:val="003C2CA0"/>
    <w:rsid w:val="003C336C"/>
    <w:rsid w:val="003C35F1"/>
    <w:rsid w:val="003C392C"/>
    <w:rsid w:val="003C3BF7"/>
    <w:rsid w:val="003C3C8A"/>
    <w:rsid w:val="003C3C8B"/>
    <w:rsid w:val="003C3DEE"/>
    <w:rsid w:val="003C3E85"/>
    <w:rsid w:val="003C3EA3"/>
    <w:rsid w:val="003C3F94"/>
    <w:rsid w:val="003C401A"/>
    <w:rsid w:val="003C4200"/>
    <w:rsid w:val="003C428C"/>
    <w:rsid w:val="003C42B1"/>
    <w:rsid w:val="003C46C9"/>
    <w:rsid w:val="003C4BE8"/>
    <w:rsid w:val="003C4C8D"/>
    <w:rsid w:val="003C4DEE"/>
    <w:rsid w:val="003C4FBD"/>
    <w:rsid w:val="003C5217"/>
    <w:rsid w:val="003C52BA"/>
    <w:rsid w:val="003C5DCF"/>
    <w:rsid w:val="003C5DDC"/>
    <w:rsid w:val="003C5F19"/>
    <w:rsid w:val="003C60A3"/>
    <w:rsid w:val="003C6245"/>
    <w:rsid w:val="003C6320"/>
    <w:rsid w:val="003C64B1"/>
    <w:rsid w:val="003C6760"/>
    <w:rsid w:val="003C682D"/>
    <w:rsid w:val="003C6ABA"/>
    <w:rsid w:val="003C6BF4"/>
    <w:rsid w:val="003C6D31"/>
    <w:rsid w:val="003C6FD8"/>
    <w:rsid w:val="003C70D7"/>
    <w:rsid w:val="003C747B"/>
    <w:rsid w:val="003C7A1D"/>
    <w:rsid w:val="003C7B03"/>
    <w:rsid w:val="003C7B22"/>
    <w:rsid w:val="003C7C10"/>
    <w:rsid w:val="003C7C86"/>
    <w:rsid w:val="003D0013"/>
    <w:rsid w:val="003D009C"/>
    <w:rsid w:val="003D021E"/>
    <w:rsid w:val="003D026E"/>
    <w:rsid w:val="003D0441"/>
    <w:rsid w:val="003D0ABC"/>
    <w:rsid w:val="003D0B4C"/>
    <w:rsid w:val="003D1037"/>
    <w:rsid w:val="003D11AE"/>
    <w:rsid w:val="003D1403"/>
    <w:rsid w:val="003D17EA"/>
    <w:rsid w:val="003D1A44"/>
    <w:rsid w:val="003D1B4A"/>
    <w:rsid w:val="003D2473"/>
    <w:rsid w:val="003D2A0D"/>
    <w:rsid w:val="003D2A7B"/>
    <w:rsid w:val="003D2AAF"/>
    <w:rsid w:val="003D31B1"/>
    <w:rsid w:val="003D32A8"/>
    <w:rsid w:val="003D34DA"/>
    <w:rsid w:val="003D35F2"/>
    <w:rsid w:val="003D3750"/>
    <w:rsid w:val="003D384B"/>
    <w:rsid w:val="003D3885"/>
    <w:rsid w:val="003D3940"/>
    <w:rsid w:val="003D3987"/>
    <w:rsid w:val="003D3C60"/>
    <w:rsid w:val="003D3EB1"/>
    <w:rsid w:val="003D4724"/>
    <w:rsid w:val="003D47FF"/>
    <w:rsid w:val="003D496C"/>
    <w:rsid w:val="003D4997"/>
    <w:rsid w:val="003D4A22"/>
    <w:rsid w:val="003D4E8E"/>
    <w:rsid w:val="003D4F6F"/>
    <w:rsid w:val="003D4F90"/>
    <w:rsid w:val="003D50AB"/>
    <w:rsid w:val="003D520E"/>
    <w:rsid w:val="003D52EA"/>
    <w:rsid w:val="003D5D63"/>
    <w:rsid w:val="003D5EB1"/>
    <w:rsid w:val="003D5F55"/>
    <w:rsid w:val="003D600D"/>
    <w:rsid w:val="003D6295"/>
    <w:rsid w:val="003D69F6"/>
    <w:rsid w:val="003D6A5D"/>
    <w:rsid w:val="003D7141"/>
    <w:rsid w:val="003D720D"/>
    <w:rsid w:val="003D726C"/>
    <w:rsid w:val="003D7272"/>
    <w:rsid w:val="003D72B5"/>
    <w:rsid w:val="003D76A1"/>
    <w:rsid w:val="003D7B1E"/>
    <w:rsid w:val="003E01F8"/>
    <w:rsid w:val="003E0384"/>
    <w:rsid w:val="003E03A4"/>
    <w:rsid w:val="003E064A"/>
    <w:rsid w:val="003E0865"/>
    <w:rsid w:val="003E0AF3"/>
    <w:rsid w:val="003E0BB6"/>
    <w:rsid w:val="003E0BDC"/>
    <w:rsid w:val="003E0BFD"/>
    <w:rsid w:val="003E0C24"/>
    <w:rsid w:val="003E0D5C"/>
    <w:rsid w:val="003E0DDA"/>
    <w:rsid w:val="003E0F78"/>
    <w:rsid w:val="003E1273"/>
    <w:rsid w:val="003E15C8"/>
    <w:rsid w:val="003E1840"/>
    <w:rsid w:val="003E19CB"/>
    <w:rsid w:val="003E1DA2"/>
    <w:rsid w:val="003E1DA4"/>
    <w:rsid w:val="003E1E37"/>
    <w:rsid w:val="003E1F0E"/>
    <w:rsid w:val="003E2059"/>
    <w:rsid w:val="003E21CA"/>
    <w:rsid w:val="003E2C98"/>
    <w:rsid w:val="003E302C"/>
    <w:rsid w:val="003E3210"/>
    <w:rsid w:val="003E32AF"/>
    <w:rsid w:val="003E358A"/>
    <w:rsid w:val="003E35D1"/>
    <w:rsid w:val="003E3672"/>
    <w:rsid w:val="003E3825"/>
    <w:rsid w:val="003E3849"/>
    <w:rsid w:val="003E3976"/>
    <w:rsid w:val="003E3C24"/>
    <w:rsid w:val="003E3E3F"/>
    <w:rsid w:val="003E40E8"/>
    <w:rsid w:val="003E4208"/>
    <w:rsid w:val="003E4209"/>
    <w:rsid w:val="003E42BA"/>
    <w:rsid w:val="003E4300"/>
    <w:rsid w:val="003E4490"/>
    <w:rsid w:val="003E44C7"/>
    <w:rsid w:val="003E45A7"/>
    <w:rsid w:val="003E4747"/>
    <w:rsid w:val="003E4884"/>
    <w:rsid w:val="003E49C7"/>
    <w:rsid w:val="003E4AE5"/>
    <w:rsid w:val="003E4BBF"/>
    <w:rsid w:val="003E4C9C"/>
    <w:rsid w:val="003E4EB7"/>
    <w:rsid w:val="003E52A4"/>
    <w:rsid w:val="003E5352"/>
    <w:rsid w:val="003E53BF"/>
    <w:rsid w:val="003E549C"/>
    <w:rsid w:val="003E5625"/>
    <w:rsid w:val="003E564C"/>
    <w:rsid w:val="003E5878"/>
    <w:rsid w:val="003E5A54"/>
    <w:rsid w:val="003E5EBD"/>
    <w:rsid w:val="003E6164"/>
    <w:rsid w:val="003E6427"/>
    <w:rsid w:val="003E645C"/>
    <w:rsid w:val="003E65FB"/>
    <w:rsid w:val="003E66D7"/>
    <w:rsid w:val="003E68C8"/>
    <w:rsid w:val="003E6C3A"/>
    <w:rsid w:val="003E6E59"/>
    <w:rsid w:val="003E700A"/>
    <w:rsid w:val="003E769F"/>
    <w:rsid w:val="003E78AD"/>
    <w:rsid w:val="003E78D6"/>
    <w:rsid w:val="003E7A51"/>
    <w:rsid w:val="003E7D09"/>
    <w:rsid w:val="003E7E0B"/>
    <w:rsid w:val="003F0234"/>
    <w:rsid w:val="003F02DD"/>
    <w:rsid w:val="003F0374"/>
    <w:rsid w:val="003F03D3"/>
    <w:rsid w:val="003F0697"/>
    <w:rsid w:val="003F06D4"/>
    <w:rsid w:val="003F0730"/>
    <w:rsid w:val="003F08DF"/>
    <w:rsid w:val="003F0995"/>
    <w:rsid w:val="003F0B82"/>
    <w:rsid w:val="003F0D07"/>
    <w:rsid w:val="003F1160"/>
    <w:rsid w:val="003F11C1"/>
    <w:rsid w:val="003F13D3"/>
    <w:rsid w:val="003F140A"/>
    <w:rsid w:val="003F1833"/>
    <w:rsid w:val="003F1A0C"/>
    <w:rsid w:val="003F1B8C"/>
    <w:rsid w:val="003F1BB6"/>
    <w:rsid w:val="003F1EEB"/>
    <w:rsid w:val="003F207D"/>
    <w:rsid w:val="003F21DD"/>
    <w:rsid w:val="003F2481"/>
    <w:rsid w:val="003F276C"/>
    <w:rsid w:val="003F281C"/>
    <w:rsid w:val="003F2A57"/>
    <w:rsid w:val="003F3120"/>
    <w:rsid w:val="003F3409"/>
    <w:rsid w:val="003F3722"/>
    <w:rsid w:val="003F3888"/>
    <w:rsid w:val="003F3985"/>
    <w:rsid w:val="003F3B62"/>
    <w:rsid w:val="003F3D0D"/>
    <w:rsid w:val="003F3FD9"/>
    <w:rsid w:val="003F40E1"/>
    <w:rsid w:val="003F4451"/>
    <w:rsid w:val="003F4524"/>
    <w:rsid w:val="003F4791"/>
    <w:rsid w:val="003F4993"/>
    <w:rsid w:val="003F53AF"/>
    <w:rsid w:val="003F54D1"/>
    <w:rsid w:val="003F5516"/>
    <w:rsid w:val="003F5761"/>
    <w:rsid w:val="003F58EE"/>
    <w:rsid w:val="003F5F40"/>
    <w:rsid w:val="003F6A80"/>
    <w:rsid w:val="003F6B19"/>
    <w:rsid w:val="003F6B23"/>
    <w:rsid w:val="003F6BCA"/>
    <w:rsid w:val="003F6D84"/>
    <w:rsid w:val="003F6E4B"/>
    <w:rsid w:val="003F7031"/>
    <w:rsid w:val="003F71AA"/>
    <w:rsid w:val="003F7826"/>
    <w:rsid w:val="003F790B"/>
    <w:rsid w:val="003F7973"/>
    <w:rsid w:val="003F7AE3"/>
    <w:rsid w:val="004002FA"/>
    <w:rsid w:val="00400422"/>
    <w:rsid w:val="0040098A"/>
    <w:rsid w:val="00400A42"/>
    <w:rsid w:val="00400AC8"/>
    <w:rsid w:val="00400FAB"/>
    <w:rsid w:val="00401082"/>
    <w:rsid w:val="004010D8"/>
    <w:rsid w:val="004013C2"/>
    <w:rsid w:val="00401530"/>
    <w:rsid w:val="0040160F"/>
    <w:rsid w:val="004016C2"/>
    <w:rsid w:val="004017B1"/>
    <w:rsid w:val="00401982"/>
    <w:rsid w:val="00401C22"/>
    <w:rsid w:val="00401EC9"/>
    <w:rsid w:val="00401F0F"/>
    <w:rsid w:val="004020DC"/>
    <w:rsid w:val="00402407"/>
    <w:rsid w:val="00402504"/>
    <w:rsid w:val="00402A46"/>
    <w:rsid w:val="00402C26"/>
    <w:rsid w:val="00402DFF"/>
    <w:rsid w:val="00402E34"/>
    <w:rsid w:val="00402F0E"/>
    <w:rsid w:val="00402F19"/>
    <w:rsid w:val="004032AB"/>
    <w:rsid w:val="00403542"/>
    <w:rsid w:val="00403740"/>
    <w:rsid w:val="0040391B"/>
    <w:rsid w:val="00403BC7"/>
    <w:rsid w:val="00403E9A"/>
    <w:rsid w:val="00403ED3"/>
    <w:rsid w:val="004044B6"/>
    <w:rsid w:val="00404559"/>
    <w:rsid w:val="00404B9E"/>
    <w:rsid w:val="00404FA2"/>
    <w:rsid w:val="00405532"/>
    <w:rsid w:val="00405E6A"/>
    <w:rsid w:val="004060DB"/>
    <w:rsid w:val="004061BA"/>
    <w:rsid w:val="0040639E"/>
    <w:rsid w:val="004065CE"/>
    <w:rsid w:val="004067D0"/>
    <w:rsid w:val="00406957"/>
    <w:rsid w:val="00406F12"/>
    <w:rsid w:val="0040793C"/>
    <w:rsid w:val="00407983"/>
    <w:rsid w:val="00407C5B"/>
    <w:rsid w:val="00407D7D"/>
    <w:rsid w:val="0041024D"/>
    <w:rsid w:val="0041068A"/>
    <w:rsid w:val="00410B92"/>
    <w:rsid w:val="00410CBE"/>
    <w:rsid w:val="00410D92"/>
    <w:rsid w:val="00410F64"/>
    <w:rsid w:val="00410FC3"/>
    <w:rsid w:val="004111E2"/>
    <w:rsid w:val="004115AB"/>
    <w:rsid w:val="004117B2"/>
    <w:rsid w:val="00411E4B"/>
    <w:rsid w:val="00411FAE"/>
    <w:rsid w:val="00412683"/>
    <w:rsid w:val="00412AB8"/>
    <w:rsid w:val="00412AE0"/>
    <w:rsid w:val="00412E95"/>
    <w:rsid w:val="00412EA0"/>
    <w:rsid w:val="00413047"/>
    <w:rsid w:val="004131F9"/>
    <w:rsid w:val="004132F9"/>
    <w:rsid w:val="00413507"/>
    <w:rsid w:val="00413720"/>
    <w:rsid w:val="00413809"/>
    <w:rsid w:val="00413E3C"/>
    <w:rsid w:val="00414205"/>
    <w:rsid w:val="004142CE"/>
    <w:rsid w:val="00414718"/>
    <w:rsid w:val="00414859"/>
    <w:rsid w:val="0041492D"/>
    <w:rsid w:val="00414BA2"/>
    <w:rsid w:val="0041521D"/>
    <w:rsid w:val="0041542F"/>
    <w:rsid w:val="0041560D"/>
    <w:rsid w:val="00415CF6"/>
    <w:rsid w:val="00416109"/>
    <w:rsid w:val="0041620B"/>
    <w:rsid w:val="0041659A"/>
    <w:rsid w:val="004167A2"/>
    <w:rsid w:val="00416980"/>
    <w:rsid w:val="00416A17"/>
    <w:rsid w:val="00416B27"/>
    <w:rsid w:val="00417DCA"/>
    <w:rsid w:val="00417F2B"/>
    <w:rsid w:val="00420256"/>
    <w:rsid w:val="0042038A"/>
    <w:rsid w:val="004204E5"/>
    <w:rsid w:val="00420506"/>
    <w:rsid w:val="0042058D"/>
    <w:rsid w:val="00420635"/>
    <w:rsid w:val="0042069B"/>
    <w:rsid w:val="004207EA"/>
    <w:rsid w:val="004208EF"/>
    <w:rsid w:val="0042094E"/>
    <w:rsid w:val="00420B51"/>
    <w:rsid w:val="00420BD7"/>
    <w:rsid w:val="00420D7B"/>
    <w:rsid w:val="00420E73"/>
    <w:rsid w:val="00420EC4"/>
    <w:rsid w:val="004210EC"/>
    <w:rsid w:val="0042114C"/>
    <w:rsid w:val="004212C8"/>
    <w:rsid w:val="0042140F"/>
    <w:rsid w:val="004215FB"/>
    <w:rsid w:val="00421718"/>
    <w:rsid w:val="00421D63"/>
    <w:rsid w:val="004229AD"/>
    <w:rsid w:val="00422B86"/>
    <w:rsid w:val="00422CDA"/>
    <w:rsid w:val="00422E0E"/>
    <w:rsid w:val="00422E8E"/>
    <w:rsid w:val="004231E7"/>
    <w:rsid w:val="0042325F"/>
    <w:rsid w:val="004237B6"/>
    <w:rsid w:val="00423819"/>
    <w:rsid w:val="0042387E"/>
    <w:rsid w:val="00423F2C"/>
    <w:rsid w:val="004242B8"/>
    <w:rsid w:val="00424661"/>
    <w:rsid w:val="0042466E"/>
    <w:rsid w:val="0042480F"/>
    <w:rsid w:val="00424B1A"/>
    <w:rsid w:val="00424E79"/>
    <w:rsid w:val="00424F80"/>
    <w:rsid w:val="00424FAC"/>
    <w:rsid w:val="0042517A"/>
    <w:rsid w:val="004251B3"/>
    <w:rsid w:val="00425557"/>
    <w:rsid w:val="004256AA"/>
    <w:rsid w:val="00426048"/>
    <w:rsid w:val="00426066"/>
    <w:rsid w:val="00426273"/>
    <w:rsid w:val="00426286"/>
    <w:rsid w:val="00426291"/>
    <w:rsid w:val="0042658D"/>
    <w:rsid w:val="00426738"/>
    <w:rsid w:val="00426A6B"/>
    <w:rsid w:val="00426AB0"/>
    <w:rsid w:val="00426B44"/>
    <w:rsid w:val="00426B74"/>
    <w:rsid w:val="004271D5"/>
    <w:rsid w:val="004273B0"/>
    <w:rsid w:val="00427482"/>
    <w:rsid w:val="0042760D"/>
    <w:rsid w:val="00427A8C"/>
    <w:rsid w:val="0043039F"/>
    <w:rsid w:val="004303CB"/>
    <w:rsid w:val="00430402"/>
    <w:rsid w:val="00430407"/>
    <w:rsid w:val="0043044B"/>
    <w:rsid w:val="0043084F"/>
    <w:rsid w:val="004308F6"/>
    <w:rsid w:val="0043095B"/>
    <w:rsid w:val="004309D6"/>
    <w:rsid w:val="00430B33"/>
    <w:rsid w:val="00430DE0"/>
    <w:rsid w:val="00430E08"/>
    <w:rsid w:val="00430E1C"/>
    <w:rsid w:val="00430F3A"/>
    <w:rsid w:val="00431156"/>
    <w:rsid w:val="00431161"/>
    <w:rsid w:val="00431278"/>
    <w:rsid w:val="0043127B"/>
    <w:rsid w:val="00431439"/>
    <w:rsid w:val="00431483"/>
    <w:rsid w:val="00431536"/>
    <w:rsid w:val="004316DA"/>
    <w:rsid w:val="00431A08"/>
    <w:rsid w:val="00431BBC"/>
    <w:rsid w:val="00431D8C"/>
    <w:rsid w:val="00432228"/>
    <w:rsid w:val="004323F2"/>
    <w:rsid w:val="004325FE"/>
    <w:rsid w:val="00432669"/>
    <w:rsid w:val="004328F5"/>
    <w:rsid w:val="00432B18"/>
    <w:rsid w:val="00432E18"/>
    <w:rsid w:val="004330C1"/>
    <w:rsid w:val="004335B0"/>
    <w:rsid w:val="00433601"/>
    <w:rsid w:val="00433997"/>
    <w:rsid w:val="004344A5"/>
    <w:rsid w:val="00434666"/>
    <w:rsid w:val="00434725"/>
    <w:rsid w:val="00434726"/>
    <w:rsid w:val="0043483E"/>
    <w:rsid w:val="00434B96"/>
    <w:rsid w:val="00434C8D"/>
    <w:rsid w:val="00434CF6"/>
    <w:rsid w:val="00434E28"/>
    <w:rsid w:val="00434E89"/>
    <w:rsid w:val="00434FE0"/>
    <w:rsid w:val="00435133"/>
    <w:rsid w:val="00435218"/>
    <w:rsid w:val="0043589B"/>
    <w:rsid w:val="00435938"/>
    <w:rsid w:val="00435C02"/>
    <w:rsid w:val="00435FB3"/>
    <w:rsid w:val="00435FD4"/>
    <w:rsid w:val="00436011"/>
    <w:rsid w:val="00436367"/>
    <w:rsid w:val="00436637"/>
    <w:rsid w:val="00436710"/>
    <w:rsid w:val="004368EC"/>
    <w:rsid w:val="00436BF8"/>
    <w:rsid w:val="00436EC2"/>
    <w:rsid w:val="004371E4"/>
    <w:rsid w:val="004372DA"/>
    <w:rsid w:val="00437395"/>
    <w:rsid w:val="0043739E"/>
    <w:rsid w:val="004373A0"/>
    <w:rsid w:val="004373BE"/>
    <w:rsid w:val="00437462"/>
    <w:rsid w:val="00437561"/>
    <w:rsid w:val="004378E4"/>
    <w:rsid w:val="0043792B"/>
    <w:rsid w:val="0043793E"/>
    <w:rsid w:val="00437B89"/>
    <w:rsid w:val="00437C10"/>
    <w:rsid w:val="00437DD8"/>
    <w:rsid w:val="00437FA4"/>
    <w:rsid w:val="004402C1"/>
    <w:rsid w:val="00440438"/>
    <w:rsid w:val="00440516"/>
    <w:rsid w:val="00440774"/>
    <w:rsid w:val="00440821"/>
    <w:rsid w:val="00440E88"/>
    <w:rsid w:val="004410DE"/>
    <w:rsid w:val="0044115C"/>
    <w:rsid w:val="00441263"/>
    <w:rsid w:val="0044189C"/>
    <w:rsid w:val="00441A0A"/>
    <w:rsid w:val="00441B85"/>
    <w:rsid w:val="00441F88"/>
    <w:rsid w:val="00442645"/>
    <w:rsid w:val="004427E3"/>
    <w:rsid w:val="0044296B"/>
    <w:rsid w:val="00442C1F"/>
    <w:rsid w:val="00442C31"/>
    <w:rsid w:val="00442E06"/>
    <w:rsid w:val="00442E0A"/>
    <w:rsid w:val="00443196"/>
    <w:rsid w:val="004432B0"/>
    <w:rsid w:val="004433D8"/>
    <w:rsid w:val="004434C6"/>
    <w:rsid w:val="004434E9"/>
    <w:rsid w:val="004437C0"/>
    <w:rsid w:val="004438C1"/>
    <w:rsid w:val="004439F9"/>
    <w:rsid w:val="00443E6A"/>
    <w:rsid w:val="004440E6"/>
    <w:rsid w:val="00444689"/>
    <w:rsid w:val="0044493C"/>
    <w:rsid w:val="00444947"/>
    <w:rsid w:val="00444CF5"/>
    <w:rsid w:val="00444D41"/>
    <w:rsid w:val="00444F3D"/>
    <w:rsid w:val="004450FF"/>
    <w:rsid w:val="0044521B"/>
    <w:rsid w:val="004453FF"/>
    <w:rsid w:val="004455D2"/>
    <w:rsid w:val="0044572A"/>
    <w:rsid w:val="0044580B"/>
    <w:rsid w:val="004459E5"/>
    <w:rsid w:val="00445AF5"/>
    <w:rsid w:val="00445B0E"/>
    <w:rsid w:val="00445BD1"/>
    <w:rsid w:val="00445CDB"/>
    <w:rsid w:val="00445D0B"/>
    <w:rsid w:val="004461E6"/>
    <w:rsid w:val="00446498"/>
    <w:rsid w:val="00446856"/>
    <w:rsid w:val="00446960"/>
    <w:rsid w:val="004469BD"/>
    <w:rsid w:val="00447058"/>
    <w:rsid w:val="00447224"/>
    <w:rsid w:val="004472BD"/>
    <w:rsid w:val="00447384"/>
    <w:rsid w:val="00447449"/>
    <w:rsid w:val="00447455"/>
    <w:rsid w:val="00447675"/>
    <w:rsid w:val="004478DD"/>
    <w:rsid w:val="00447B8F"/>
    <w:rsid w:val="00447E7B"/>
    <w:rsid w:val="00447FCF"/>
    <w:rsid w:val="00450357"/>
    <w:rsid w:val="0045040F"/>
    <w:rsid w:val="004504FE"/>
    <w:rsid w:val="00450558"/>
    <w:rsid w:val="00450779"/>
    <w:rsid w:val="0045079F"/>
    <w:rsid w:val="00450AB4"/>
    <w:rsid w:val="00450B94"/>
    <w:rsid w:val="00450CAB"/>
    <w:rsid w:val="00450D65"/>
    <w:rsid w:val="004511CC"/>
    <w:rsid w:val="00451250"/>
    <w:rsid w:val="004512BA"/>
    <w:rsid w:val="00451388"/>
    <w:rsid w:val="00451481"/>
    <w:rsid w:val="00451580"/>
    <w:rsid w:val="004516F0"/>
    <w:rsid w:val="004517A6"/>
    <w:rsid w:val="00451C5C"/>
    <w:rsid w:val="00451E05"/>
    <w:rsid w:val="004523DC"/>
    <w:rsid w:val="004527B8"/>
    <w:rsid w:val="00453014"/>
    <w:rsid w:val="0045304D"/>
    <w:rsid w:val="00453104"/>
    <w:rsid w:val="00453262"/>
    <w:rsid w:val="004533A7"/>
    <w:rsid w:val="004538EC"/>
    <w:rsid w:val="00453B08"/>
    <w:rsid w:val="00453D4E"/>
    <w:rsid w:val="00453D9D"/>
    <w:rsid w:val="004541E0"/>
    <w:rsid w:val="00454539"/>
    <w:rsid w:val="004545F1"/>
    <w:rsid w:val="00454D19"/>
    <w:rsid w:val="00454D2A"/>
    <w:rsid w:val="004550BB"/>
    <w:rsid w:val="004552F9"/>
    <w:rsid w:val="004556BC"/>
    <w:rsid w:val="004557E8"/>
    <w:rsid w:val="00455886"/>
    <w:rsid w:val="0045591B"/>
    <w:rsid w:val="004559CD"/>
    <w:rsid w:val="00455B1D"/>
    <w:rsid w:val="00455D04"/>
    <w:rsid w:val="00455EB7"/>
    <w:rsid w:val="00456124"/>
    <w:rsid w:val="0045617A"/>
    <w:rsid w:val="00456730"/>
    <w:rsid w:val="004567D3"/>
    <w:rsid w:val="00456C80"/>
    <w:rsid w:val="00456FE8"/>
    <w:rsid w:val="00457187"/>
    <w:rsid w:val="00457191"/>
    <w:rsid w:val="00457319"/>
    <w:rsid w:val="004574A8"/>
    <w:rsid w:val="004579DF"/>
    <w:rsid w:val="00457EE4"/>
    <w:rsid w:val="00460102"/>
    <w:rsid w:val="00460280"/>
    <w:rsid w:val="004602B4"/>
    <w:rsid w:val="0046036B"/>
    <w:rsid w:val="004604EC"/>
    <w:rsid w:val="004608BE"/>
    <w:rsid w:val="00460913"/>
    <w:rsid w:val="00460C28"/>
    <w:rsid w:val="0046120E"/>
    <w:rsid w:val="004612A2"/>
    <w:rsid w:val="00461334"/>
    <w:rsid w:val="0046149F"/>
    <w:rsid w:val="00461504"/>
    <w:rsid w:val="00461832"/>
    <w:rsid w:val="00461E24"/>
    <w:rsid w:val="004622F7"/>
    <w:rsid w:val="004626A6"/>
    <w:rsid w:val="004626EC"/>
    <w:rsid w:val="00462931"/>
    <w:rsid w:val="00462C3B"/>
    <w:rsid w:val="00463146"/>
    <w:rsid w:val="004633A9"/>
    <w:rsid w:val="004634FC"/>
    <w:rsid w:val="004637F2"/>
    <w:rsid w:val="00463822"/>
    <w:rsid w:val="004638D9"/>
    <w:rsid w:val="00463941"/>
    <w:rsid w:val="00463B57"/>
    <w:rsid w:val="00463B72"/>
    <w:rsid w:val="00463EF5"/>
    <w:rsid w:val="00463FDE"/>
    <w:rsid w:val="00464168"/>
    <w:rsid w:val="0046439A"/>
    <w:rsid w:val="0046443C"/>
    <w:rsid w:val="004644A3"/>
    <w:rsid w:val="004647BC"/>
    <w:rsid w:val="004647DC"/>
    <w:rsid w:val="00464CB4"/>
    <w:rsid w:val="00464E15"/>
    <w:rsid w:val="00464F01"/>
    <w:rsid w:val="00464F3E"/>
    <w:rsid w:val="00464FDE"/>
    <w:rsid w:val="0046510D"/>
    <w:rsid w:val="00465267"/>
    <w:rsid w:val="0046528B"/>
    <w:rsid w:val="004652D8"/>
    <w:rsid w:val="004653E7"/>
    <w:rsid w:val="00465662"/>
    <w:rsid w:val="0046568F"/>
    <w:rsid w:val="0046572D"/>
    <w:rsid w:val="00465858"/>
    <w:rsid w:val="00465A86"/>
    <w:rsid w:val="00465DA4"/>
    <w:rsid w:val="00466009"/>
    <w:rsid w:val="004661EC"/>
    <w:rsid w:val="00466383"/>
    <w:rsid w:val="00466725"/>
    <w:rsid w:val="00466A68"/>
    <w:rsid w:val="00466E63"/>
    <w:rsid w:val="00466EBF"/>
    <w:rsid w:val="00467039"/>
    <w:rsid w:val="00467042"/>
    <w:rsid w:val="00467115"/>
    <w:rsid w:val="00467174"/>
    <w:rsid w:val="00467D22"/>
    <w:rsid w:val="00467D35"/>
    <w:rsid w:val="00467F60"/>
    <w:rsid w:val="0047008E"/>
    <w:rsid w:val="0047018E"/>
    <w:rsid w:val="004701B3"/>
    <w:rsid w:val="0047021C"/>
    <w:rsid w:val="00470235"/>
    <w:rsid w:val="0047061B"/>
    <w:rsid w:val="004706F3"/>
    <w:rsid w:val="00470AC8"/>
    <w:rsid w:val="00470AD7"/>
    <w:rsid w:val="00470BEB"/>
    <w:rsid w:val="00470CA4"/>
    <w:rsid w:val="0047110E"/>
    <w:rsid w:val="00471147"/>
    <w:rsid w:val="0047175F"/>
    <w:rsid w:val="0047185F"/>
    <w:rsid w:val="00471B7C"/>
    <w:rsid w:val="00471B83"/>
    <w:rsid w:val="00471CCD"/>
    <w:rsid w:val="00471D03"/>
    <w:rsid w:val="0047208D"/>
    <w:rsid w:val="004720AC"/>
    <w:rsid w:val="0047210B"/>
    <w:rsid w:val="0047210D"/>
    <w:rsid w:val="0047221D"/>
    <w:rsid w:val="004723F2"/>
    <w:rsid w:val="004725C6"/>
    <w:rsid w:val="004727F8"/>
    <w:rsid w:val="0047287C"/>
    <w:rsid w:val="0047293C"/>
    <w:rsid w:val="00472AF9"/>
    <w:rsid w:val="00472D75"/>
    <w:rsid w:val="004730E1"/>
    <w:rsid w:val="00473139"/>
    <w:rsid w:val="004731D7"/>
    <w:rsid w:val="0047353C"/>
    <w:rsid w:val="00473578"/>
    <w:rsid w:val="004735B9"/>
    <w:rsid w:val="004738AD"/>
    <w:rsid w:val="00473BD5"/>
    <w:rsid w:val="00473C02"/>
    <w:rsid w:val="00473D60"/>
    <w:rsid w:val="00473E06"/>
    <w:rsid w:val="00473ED1"/>
    <w:rsid w:val="00474056"/>
    <w:rsid w:val="0047432C"/>
    <w:rsid w:val="00474374"/>
    <w:rsid w:val="004744BA"/>
    <w:rsid w:val="00474641"/>
    <w:rsid w:val="004748D0"/>
    <w:rsid w:val="00474900"/>
    <w:rsid w:val="0047495D"/>
    <w:rsid w:val="00474CCD"/>
    <w:rsid w:val="00474D2D"/>
    <w:rsid w:val="00474EC5"/>
    <w:rsid w:val="00475039"/>
    <w:rsid w:val="00475613"/>
    <w:rsid w:val="004756E9"/>
    <w:rsid w:val="004759E9"/>
    <w:rsid w:val="00475A66"/>
    <w:rsid w:val="00475BBA"/>
    <w:rsid w:val="00475BFF"/>
    <w:rsid w:val="00475FF0"/>
    <w:rsid w:val="00476177"/>
    <w:rsid w:val="0047693C"/>
    <w:rsid w:val="00476BFD"/>
    <w:rsid w:val="00476CEA"/>
    <w:rsid w:val="00476DED"/>
    <w:rsid w:val="00476F69"/>
    <w:rsid w:val="00477001"/>
    <w:rsid w:val="0047736C"/>
    <w:rsid w:val="0047750D"/>
    <w:rsid w:val="00477705"/>
    <w:rsid w:val="004778E3"/>
    <w:rsid w:val="0047796A"/>
    <w:rsid w:val="00477A80"/>
    <w:rsid w:val="00477C2D"/>
    <w:rsid w:val="00477EFE"/>
    <w:rsid w:val="0048006E"/>
    <w:rsid w:val="004802ED"/>
    <w:rsid w:val="00480406"/>
    <w:rsid w:val="00480554"/>
    <w:rsid w:val="00480678"/>
    <w:rsid w:val="004807D5"/>
    <w:rsid w:val="004808FC"/>
    <w:rsid w:val="00480A42"/>
    <w:rsid w:val="00480B78"/>
    <w:rsid w:val="00480D77"/>
    <w:rsid w:val="00480DC4"/>
    <w:rsid w:val="00480F1A"/>
    <w:rsid w:val="0048132E"/>
    <w:rsid w:val="00481468"/>
    <w:rsid w:val="00481902"/>
    <w:rsid w:val="00481B15"/>
    <w:rsid w:val="00481CC1"/>
    <w:rsid w:val="00481D64"/>
    <w:rsid w:val="00481E33"/>
    <w:rsid w:val="00482145"/>
    <w:rsid w:val="004821F3"/>
    <w:rsid w:val="004822BE"/>
    <w:rsid w:val="004825C8"/>
    <w:rsid w:val="004826C9"/>
    <w:rsid w:val="00482729"/>
    <w:rsid w:val="004827AE"/>
    <w:rsid w:val="004829C8"/>
    <w:rsid w:val="00482A19"/>
    <w:rsid w:val="00482D36"/>
    <w:rsid w:val="004833F6"/>
    <w:rsid w:val="00483666"/>
    <w:rsid w:val="004836F6"/>
    <w:rsid w:val="004837EB"/>
    <w:rsid w:val="00483C43"/>
    <w:rsid w:val="00483D37"/>
    <w:rsid w:val="00483F1B"/>
    <w:rsid w:val="0048454C"/>
    <w:rsid w:val="004847FC"/>
    <w:rsid w:val="00484CE7"/>
    <w:rsid w:val="00484E7D"/>
    <w:rsid w:val="00485290"/>
    <w:rsid w:val="00485302"/>
    <w:rsid w:val="0048531F"/>
    <w:rsid w:val="004853BA"/>
    <w:rsid w:val="0048559E"/>
    <w:rsid w:val="004856B2"/>
    <w:rsid w:val="00485775"/>
    <w:rsid w:val="004859FD"/>
    <w:rsid w:val="00486355"/>
    <w:rsid w:val="004864A0"/>
    <w:rsid w:val="0048676A"/>
    <w:rsid w:val="00486B78"/>
    <w:rsid w:val="0048704A"/>
    <w:rsid w:val="00487617"/>
    <w:rsid w:val="004876BE"/>
    <w:rsid w:val="004876E0"/>
    <w:rsid w:val="00487AB3"/>
    <w:rsid w:val="00487ADD"/>
    <w:rsid w:val="00487CCB"/>
    <w:rsid w:val="004904B2"/>
    <w:rsid w:val="00490690"/>
    <w:rsid w:val="004909C1"/>
    <w:rsid w:val="00490DF7"/>
    <w:rsid w:val="00490E93"/>
    <w:rsid w:val="00490EC8"/>
    <w:rsid w:val="004912D5"/>
    <w:rsid w:val="00491611"/>
    <w:rsid w:val="00491837"/>
    <w:rsid w:val="00491D79"/>
    <w:rsid w:val="00491DA2"/>
    <w:rsid w:val="00491F34"/>
    <w:rsid w:val="00491FE6"/>
    <w:rsid w:val="0049207D"/>
    <w:rsid w:val="004922AF"/>
    <w:rsid w:val="00492813"/>
    <w:rsid w:val="00492822"/>
    <w:rsid w:val="0049298C"/>
    <w:rsid w:val="00492AF2"/>
    <w:rsid w:val="00493260"/>
    <w:rsid w:val="00493BA5"/>
    <w:rsid w:val="00493BAC"/>
    <w:rsid w:val="0049425D"/>
    <w:rsid w:val="0049428F"/>
    <w:rsid w:val="00494426"/>
    <w:rsid w:val="004945B5"/>
    <w:rsid w:val="004945E1"/>
    <w:rsid w:val="00494BD5"/>
    <w:rsid w:val="00494C57"/>
    <w:rsid w:val="00494CF1"/>
    <w:rsid w:val="00494DCA"/>
    <w:rsid w:val="00494E9D"/>
    <w:rsid w:val="004951CB"/>
    <w:rsid w:val="00495264"/>
    <w:rsid w:val="00495271"/>
    <w:rsid w:val="004957A6"/>
    <w:rsid w:val="00495A2D"/>
    <w:rsid w:val="0049603D"/>
    <w:rsid w:val="004961DD"/>
    <w:rsid w:val="004963D6"/>
    <w:rsid w:val="0049696F"/>
    <w:rsid w:val="00496C79"/>
    <w:rsid w:val="00496E80"/>
    <w:rsid w:val="004971AA"/>
    <w:rsid w:val="00497329"/>
    <w:rsid w:val="00497359"/>
    <w:rsid w:val="00497A0F"/>
    <w:rsid w:val="00497F05"/>
    <w:rsid w:val="004A01FD"/>
    <w:rsid w:val="004A02BD"/>
    <w:rsid w:val="004A0AEB"/>
    <w:rsid w:val="004A0B34"/>
    <w:rsid w:val="004A0B7A"/>
    <w:rsid w:val="004A0B96"/>
    <w:rsid w:val="004A0D92"/>
    <w:rsid w:val="004A0F8C"/>
    <w:rsid w:val="004A12D0"/>
    <w:rsid w:val="004A130A"/>
    <w:rsid w:val="004A152E"/>
    <w:rsid w:val="004A1A5C"/>
    <w:rsid w:val="004A1ECB"/>
    <w:rsid w:val="004A211E"/>
    <w:rsid w:val="004A22AC"/>
    <w:rsid w:val="004A2625"/>
    <w:rsid w:val="004A26E4"/>
    <w:rsid w:val="004A29B9"/>
    <w:rsid w:val="004A2B61"/>
    <w:rsid w:val="004A2CAE"/>
    <w:rsid w:val="004A2CE4"/>
    <w:rsid w:val="004A2E4A"/>
    <w:rsid w:val="004A2FD3"/>
    <w:rsid w:val="004A32A6"/>
    <w:rsid w:val="004A38F2"/>
    <w:rsid w:val="004A3A12"/>
    <w:rsid w:val="004A3A14"/>
    <w:rsid w:val="004A3B19"/>
    <w:rsid w:val="004A3D68"/>
    <w:rsid w:val="004A3DF4"/>
    <w:rsid w:val="004A3E06"/>
    <w:rsid w:val="004A3F2E"/>
    <w:rsid w:val="004A40E0"/>
    <w:rsid w:val="004A45F3"/>
    <w:rsid w:val="004A468C"/>
    <w:rsid w:val="004A4A03"/>
    <w:rsid w:val="004A4B6C"/>
    <w:rsid w:val="004A50C1"/>
    <w:rsid w:val="004A5EEE"/>
    <w:rsid w:val="004A5F9D"/>
    <w:rsid w:val="004A6278"/>
    <w:rsid w:val="004A6317"/>
    <w:rsid w:val="004A65B0"/>
    <w:rsid w:val="004A668B"/>
    <w:rsid w:val="004A6832"/>
    <w:rsid w:val="004A6B43"/>
    <w:rsid w:val="004A6B66"/>
    <w:rsid w:val="004A6C76"/>
    <w:rsid w:val="004A6CED"/>
    <w:rsid w:val="004A6EBA"/>
    <w:rsid w:val="004A731E"/>
    <w:rsid w:val="004A792A"/>
    <w:rsid w:val="004A7B1A"/>
    <w:rsid w:val="004A7D16"/>
    <w:rsid w:val="004A7EDF"/>
    <w:rsid w:val="004A7F45"/>
    <w:rsid w:val="004B048F"/>
    <w:rsid w:val="004B0743"/>
    <w:rsid w:val="004B0D37"/>
    <w:rsid w:val="004B0F30"/>
    <w:rsid w:val="004B13C9"/>
    <w:rsid w:val="004B1814"/>
    <w:rsid w:val="004B192B"/>
    <w:rsid w:val="004B1AF9"/>
    <w:rsid w:val="004B1AFE"/>
    <w:rsid w:val="004B1DB3"/>
    <w:rsid w:val="004B2382"/>
    <w:rsid w:val="004B24C4"/>
    <w:rsid w:val="004B2D53"/>
    <w:rsid w:val="004B325C"/>
    <w:rsid w:val="004B3565"/>
    <w:rsid w:val="004B35A7"/>
    <w:rsid w:val="004B374A"/>
    <w:rsid w:val="004B3AE1"/>
    <w:rsid w:val="004B3D1C"/>
    <w:rsid w:val="004B3DA6"/>
    <w:rsid w:val="004B3EB3"/>
    <w:rsid w:val="004B3EC1"/>
    <w:rsid w:val="004B4010"/>
    <w:rsid w:val="004B4256"/>
    <w:rsid w:val="004B4391"/>
    <w:rsid w:val="004B441A"/>
    <w:rsid w:val="004B4438"/>
    <w:rsid w:val="004B4471"/>
    <w:rsid w:val="004B4599"/>
    <w:rsid w:val="004B4799"/>
    <w:rsid w:val="004B484A"/>
    <w:rsid w:val="004B485E"/>
    <w:rsid w:val="004B4A09"/>
    <w:rsid w:val="004B4ACA"/>
    <w:rsid w:val="004B4B31"/>
    <w:rsid w:val="004B4F59"/>
    <w:rsid w:val="004B4FD0"/>
    <w:rsid w:val="004B504B"/>
    <w:rsid w:val="004B5413"/>
    <w:rsid w:val="004B57B8"/>
    <w:rsid w:val="004B5986"/>
    <w:rsid w:val="004B5C3F"/>
    <w:rsid w:val="004B5D73"/>
    <w:rsid w:val="004B5DCC"/>
    <w:rsid w:val="004B5FBC"/>
    <w:rsid w:val="004B6310"/>
    <w:rsid w:val="004B63F3"/>
    <w:rsid w:val="004B6689"/>
    <w:rsid w:val="004B6791"/>
    <w:rsid w:val="004B6CEB"/>
    <w:rsid w:val="004B6E49"/>
    <w:rsid w:val="004B751E"/>
    <w:rsid w:val="004B758E"/>
    <w:rsid w:val="004B75D6"/>
    <w:rsid w:val="004B7843"/>
    <w:rsid w:val="004B7856"/>
    <w:rsid w:val="004B78FF"/>
    <w:rsid w:val="004B7A2F"/>
    <w:rsid w:val="004B7AB1"/>
    <w:rsid w:val="004B7E24"/>
    <w:rsid w:val="004B7EE0"/>
    <w:rsid w:val="004C00FB"/>
    <w:rsid w:val="004C01E8"/>
    <w:rsid w:val="004C0285"/>
    <w:rsid w:val="004C063D"/>
    <w:rsid w:val="004C0948"/>
    <w:rsid w:val="004C0A00"/>
    <w:rsid w:val="004C0B73"/>
    <w:rsid w:val="004C0C0C"/>
    <w:rsid w:val="004C1152"/>
    <w:rsid w:val="004C163E"/>
    <w:rsid w:val="004C173A"/>
    <w:rsid w:val="004C17FD"/>
    <w:rsid w:val="004C18FA"/>
    <w:rsid w:val="004C1A18"/>
    <w:rsid w:val="004C1CAF"/>
    <w:rsid w:val="004C1ED0"/>
    <w:rsid w:val="004C1F24"/>
    <w:rsid w:val="004C1F96"/>
    <w:rsid w:val="004C2129"/>
    <w:rsid w:val="004C276E"/>
    <w:rsid w:val="004C285F"/>
    <w:rsid w:val="004C2936"/>
    <w:rsid w:val="004C2CEA"/>
    <w:rsid w:val="004C3306"/>
    <w:rsid w:val="004C3507"/>
    <w:rsid w:val="004C3691"/>
    <w:rsid w:val="004C39BE"/>
    <w:rsid w:val="004C3C29"/>
    <w:rsid w:val="004C3CA3"/>
    <w:rsid w:val="004C3CD9"/>
    <w:rsid w:val="004C3CF3"/>
    <w:rsid w:val="004C3E55"/>
    <w:rsid w:val="004C3F87"/>
    <w:rsid w:val="004C40A9"/>
    <w:rsid w:val="004C422F"/>
    <w:rsid w:val="004C43B4"/>
    <w:rsid w:val="004C447D"/>
    <w:rsid w:val="004C46DF"/>
    <w:rsid w:val="004C4762"/>
    <w:rsid w:val="004C4B75"/>
    <w:rsid w:val="004C51B3"/>
    <w:rsid w:val="004C51FA"/>
    <w:rsid w:val="004C54AE"/>
    <w:rsid w:val="004C565E"/>
    <w:rsid w:val="004C56F0"/>
    <w:rsid w:val="004C5C7D"/>
    <w:rsid w:val="004C5DD9"/>
    <w:rsid w:val="004C610A"/>
    <w:rsid w:val="004C663D"/>
    <w:rsid w:val="004C6BA5"/>
    <w:rsid w:val="004C6BDF"/>
    <w:rsid w:val="004C6BE3"/>
    <w:rsid w:val="004C6CDB"/>
    <w:rsid w:val="004C6DAC"/>
    <w:rsid w:val="004C6EB6"/>
    <w:rsid w:val="004C6F02"/>
    <w:rsid w:val="004C716D"/>
    <w:rsid w:val="004C724D"/>
    <w:rsid w:val="004C741D"/>
    <w:rsid w:val="004C7490"/>
    <w:rsid w:val="004C75A5"/>
    <w:rsid w:val="004C7A8E"/>
    <w:rsid w:val="004C7E7D"/>
    <w:rsid w:val="004D0374"/>
    <w:rsid w:val="004D03E8"/>
    <w:rsid w:val="004D04FD"/>
    <w:rsid w:val="004D0B78"/>
    <w:rsid w:val="004D1066"/>
    <w:rsid w:val="004D10EF"/>
    <w:rsid w:val="004D1293"/>
    <w:rsid w:val="004D14C9"/>
    <w:rsid w:val="004D1857"/>
    <w:rsid w:val="004D1AC1"/>
    <w:rsid w:val="004D1C25"/>
    <w:rsid w:val="004D1C8E"/>
    <w:rsid w:val="004D1DBD"/>
    <w:rsid w:val="004D2045"/>
    <w:rsid w:val="004D2156"/>
    <w:rsid w:val="004D27B0"/>
    <w:rsid w:val="004D2805"/>
    <w:rsid w:val="004D28BF"/>
    <w:rsid w:val="004D2BD6"/>
    <w:rsid w:val="004D2D9B"/>
    <w:rsid w:val="004D31DF"/>
    <w:rsid w:val="004D340A"/>
    <w:rsid w:val="004D3504"/>
    <w:rsid w:val="004D35E9"/>
    <w:rsid w:val="004D3749"/>
    <w:rsid w:val="004D3FE0"/>
    <w:rsid w:val="004D41B3"/>
    <w:rsid w:val="004D421B"/>
    <w:rsid w:val="004D4743"/>
    <w:rsid w:val="004D4ADF"/>
    <w:rsid w:val="004D4D24"/>
    <w:rsid w:val="004D5260"/>
    <w:rsid w:val="004D5BDA"/>
    <w:rsid w:val="004D6053"/>
    <w:rsid w:val="004D6156"/>
    <w:rsid w:val="004D6552"/>
    <w:rsid w:val="004D6678"/>
    <w:rsid w:val="004D6760"/>
    <w:rsid w:val="004D67A5"/>
    <w:rsid w:val="004D67B0"/>
    <w:rsid w:val="004D6A40"/>
    <w:rsid w:val="004D6C3E"/>
    <w:rsid w:val="004D70F4"/>
    <w:rsid w:val="004D735F"/>
    <w:rsid w:val="004D7385"/>
    <w:rsid w:val="004D739C"/>
    <w:rsid w:val="004D7415"/>
    <w:rsid w:val="004D7556"/>
    <w:rsid w:val="004D7780"/>
    <w:rsid w:val="004D7C1E"/>
    <w:rsid w:val="004D7CD6"/>
    <w:rsid w:val="004E0389"/>
    <w:rsid w:val="004E1016"/>
    <w:rsid w:val="004E101C"/>
    <w:rsid w:val="004E1299"/>
    <w:rsid w:val="004E12B3"/>
    <w:rsid w:val="004E13BA"/>
    <w:rsid w:val="004E1472"/>
    <w:rsid w:val="004E15E5"/>
    <w:rsid w:val="004E1607"/>
    <w:rsid w:val="004E168F"/>
    <w:rsid w:val="004E16F4"/>
    <w:rsid w:val="004E1BE7"/>
    <w:rsid w:val="004E1CE6"/>
    <w:rsid w:val="004E1F27"/>
    <w:rsid w:val="004E20A4"/>
    <w:rsid w:val="004E215A"/>
    <w:rsid w:val="004E25FC"/>
    <w:rsid w:val="004E2626"/>
    <w:rsid w:val="004E26B3"/>
    <w:rsid w:val="004E279C"/>
    <w:rsid w:val="004E2809"/>
    <w:rsid w:val="004E29A1"/>
    <w:rsid w:val="004E2BF9"/>
    <w:rsid w:val="004E2C61"/>
    <w:rsid w:val="004E2D1D"/>
    <w:rsid w:val="004E2DB5"/>
    <w:rsid w:val="004E2F50"/>
    <w:rsid w:val="004E2F9E"/>
    <w:rsid w:val="004E327D"/>
    <w:rsid w:val="004E34F3"/>
    <w:rsid w:val="004E3701"/>
    <w:rsid w:val="004E376E"/>
    <w:rsid w:val="004E3827"/>
    <w:rsid w:val="004E3867"/>
    <w:rsid w:val="004E39D6"/>
    <w:rsid w:val="004E3A9C"/>
    <w:rsid w:val="004E3F9F"/>
    <w:rsid w:val="004E3FF4"/>
    <w:rsid w:val="004E4137"/>
    <w:rsid w:val="004E418C"/>
    <w:rsid w:val="004E55B5"/>
    <w:rsid w:val="004E5791"/>
    <w:rsid w:val="004E5898"/>
    <w:rsid w:val="004E595D"/>
    <w:rsid w:val="004E5983"/>
    <w:rsid w:val="004E5A3F"/>
    <w:rsid w:val="004E5ACE"/>
    <w:rsid w:val="004E5E80"/>
    <w:rsid w:val="004E5EB5"/>
    <w:rsid w:val="004E618C"/>
    <w:rsid w:val="004E6385"/>
    <w:rsid w:val="004E66DC"/>
    <w:rsid w:val="004E677B"/>
    <w:rsid w:val="004E68FF"/>
    <w:rsid w:val="004E6DC3"/>
    <w:rsid w:val="004E6EE6"/>
    <w:rsid w:val="004E7165"/>
    <w:rsid w:val="004E71B9"/>
    <w:rsid w:val="004E727A"/>
    <w:rsid w:val="004E7336"/>
    <w:rsid w:val="004E747C"/>
    <w:rsid w:val="004E7E64"/>
    <w:rsid w:val="004F006F"/>
    <w:rsid w:val="004F01A1"/>
    <w:rsid w:val="004F0312"/>
    <w:rsid w:val="004F0987"/>
    <w:rsid w:val="004F09D1"/>
    <w:rsid w:val="004F0AC4"/>
    <w:rsid w:val="004F0D86"/>
    <w:rsid w:val="004F0DA9"/>
    <w:rsid w:val="004F0EAA"/>
    <w:rsid w:val="004F1303"/>
    <w:rsid w:val="004F1340"/>
    <w:rsid w:val="004F1440"/>
    <w:rsid w:val="004F14D9"/>
    <w:rsid w:val="004F155C"/>
    <w:rsid w:val="004F15D8"/>
    <w:rsid w:val="004F1644"/>
    <w:rsid w:val="004F1686"/>
    <w:rsid w:val="004F172B"/>
    <w:rsid w:val="004F1779"/>
    <w:rsid w:val="004F178F"/>
    <w:rsid w:val="004F1AD9"/>
    <w:rsid w:val="004F1BB5"/>
    <w:rsid w:val="004F1C25"/>
    <w:rsid w:val="004F1C46"/>
    <w:rsid w:val="004F206B"/>
    <w:rsid w:val="004F225A"/>
    <w:rsid w:val="004F238F"/>
    <w:rsid w:val="004F248A"/>
    <w:rsid w:val="004F26B8"/>
    <w:rsid w:val="004F2894"/>
    <w:rsid w:val="004F298F"/>
    <w:rsid w:val="004F2A05"/>
    <w:rsid w:val="004F2B8B"/>
    <w:rsid w:val="004F304E"/>
    <w:rsid w:val="004F31EC"/>
    <w:rsid w:val="004F33E8"/>
    <w:rsid w:val="004F33E9"/>
    <w:rsid w:val="004F34EE"/>
    <w:rsid w:val="004F37E3"/>
    <w:rsid w:val="004F39B5"/>
    <w:rsid w:val="004F3CA5"/>
    <w:rsid w:val="004F3E55"/>
    <w:rsid w:val="004F4183"/>
    <w:rsid w:val="004F4212"/>
    <w:rsid w:val="004F428B"/>
    <w:rsid w:val="004F42D6"/>
    <w:rsid w:val="004F44B8"/>
    <w:rsid w:val="004F4626"/>
    <w:rsid w:val="004F4716"/>
    <w:rsid w:val="004F4B95"/>
    <w:rsid w:val="004F4C88"/>
    <w:rsid w:val="004F52A4"/>
    <w:rsid w:val="004F55CE"/>
    <w:rsid w:val="004F58E8"/>
    <w:rsid w:val="004F5968"/>
    <w:rsid w:val="004F5E5E"/>
    <w:rsid w:val="004F5F70"/>
    <w:rsid w:val="004F6079"/>
    <w:rsid w:val="004F60C7"/>
    <w:rsid w:val="004F6220"/>
    <w:rsid w:val="004F6A40"/>
    <w:rsid w:val="004F6C6C"/>
    <w:rsid w:val="004F7143"/>
    <w:rsid w:val="004F71CD"/>
    <w:rsid w:val="004F71EB"/>
    <w:rsid w:val="004F7208"/>
    <w:rsid w:val="004F7AB2"/>
    <w:rsid w:val="004F7F11"/>
    <w:rsid w:val="004F7F4B"/>
    <w:rsid w:val="0050029A"/>
    <w:rsid w:val="005002CC"/>
    <w:rsid w:val="005002DC"/>
    <w:rsid w:val="00500701"/>
    <w:rsid w:val="00500739"/>
    <w:rsid w:val="005007F5"/>
    <w:rsid w:val="00500993"/>
    <w:rsid w:val="00500B6B"/>
    <w:rsid w:val="00500C11"/>
    <w:rsid w:val="00500C37"/>
    <w:rsid w:val="00500E1A"/>
    <w:rsid w:val="00500F64"/>
    <w:rsid w:val="005010E9"/>
    <w:rsid w:val="00501531"/>
    <w:rsid w:val="00501662"/>
    <w:rsid w:val="00501931"/>
    <w:rsid w:val="00501CB9"/>
    <w:rsid w:val="00501E41"/>
    <w:rsid w:val="00501EBF"/>
    <w:rsid w:val="00501F2B"/>
    <w:rsid w:val="005021B4"/>
    <w:rsid w:val="005021D1"/>
    <w:rsid w:val="00502337"/>
    <w:rsid w:val="005024AC"/>
    <w:rsid w:val="00502615"/>
    <w:rsid w:val="0050305F"/>
    <w:rsid w:val="00503163"/>
    <w:rsid w:val="0050346C"/>
    <w:rsid w:val="00503474"/>
    <w:rsid w:val="0050375B"/>
    <w:rsid w:val="00503AED"/>
    <w:rsid w:val="00503B13"/>
    <w:rsid w:val="00503F2A"/>
    <w:rsid w:val="0050402E"/>
    <w:rsid w:val="005041C9"/>
    <w:rsid w:val="00504304"/>
    <w:rsid w:val="00504340"/>
    <w:rsid w:val="005048EB"/>
    <w:rsid w:val="00504D13"/>
    <w:rsid w:val="005051BC"/>
    <w:rsid w:val="00505C6E"/>
    <w:rsid w:val="00505D69"/>
    <w:rsid w:val="00506022"/>
    <w:rsid w:val="0050613F"/>
    <w:rsid w:val="005061FB"/>
    <w:rsid w:val="0050683F"/>
    <w:rsid w:val="00506865"/>
    <w:rsid w:val="005068BE"/>
    <w:rsid w:val="005069BB"/>
    <w:rsid w:val="00507124"/>
    <w:rsid w:val="0050716F"/>
    <w:rsid w:val="0050727C"/>
    <w:rsid w:val="0050762E"/>
    <w:rsid w:val="005076E1"/>
    <w:rsid w:val="00507B4A"/>
    <w:rsid w:val="0051000A"/>
    <w:rsid w:val="005103DC"/>
    <w:rsid w:val="005103FE"/>
    <w:rsid w:val="00510468"/>
    <w:rsid w:val="00510500"/>
    <w:rsid w:val="0051087B"/>
    <w:rsid w:val="0051088F"/>
    <w:rsid w:val="00510A70"/>
    <w:rsid w:val="00510DC9"/>
    <w:rsid w:val="0051109D"/>
    <w:rsid w:val="0051141C"/>
    <w:rsid w:val="0051186B"/>
    <w:rsid w:val="00511874"/>
    <w:rsid w:val="00511B1B"/>
    <w:rsid w:val="00511BFE"/>
    <w:rsid w:val="00511D5F"/>
    <w:rsid w:val="00511DEF"/>
    <w:rsid w:val="00511E5C"/>
    <w:rsid w:val="0051240E"/>
    <w:rsid w:val="00512515"/>
    <w:rsid w:val="005125FB"/>
    <w:rsid w:val="00512746"/>
    <w:rsid w:val="00512757"/>
    <w:rsid w:val="00512796"/>
    <w:rsid w:val="005127A2"/>
    <w:rsid w:val="005128B9"/>
    <w:rsid w:val="00512943"/>
    <w:rsid w:val="00512B2A"/>
    <w:rsid w:val="00512CE2"/>
    <w:rsid w:val="00512D88"/>
    <w:rsid w:val="00512E50"/>
    <w:rsid w:val="00512F00"/>
    <w:rsid w:val="00512FFB"/>
    <w:rsid w:val="0051337E"/>
    <w:rsid w:val="005133B6"/>
    <w:rsid w:val="0051369D"/>
    <w:rsid w:val="00513EC1"/>
    <w:rsid w:val="00514015"/>
    <w:rsid w:val="0051404C"/>
    <w:rsid w:val="0051405D"/>
    <w:rsid w:val="0051410D"/>
    <w:rsid w:val="00514186"/>
    <w:rsid w:val="005142B6"/>
    <w:rsid w:val="005142D0"/>
    <w:rsid w:val="00514418"/>
    <w:rsid w:val="00514451"/>
    <w:rsid w:val="005149B4"/>
    <w:rsid w:val="00514AB6"/>
    <w:rsid w:val="00514C5E"/>
    <w:rsid w:val="00514CF5"/>
    <w:rsid w:val="00515522"/>
    <w:rsid w:val="005157FC"/>
    <w:rsid w:val="005159EC"/>
    <w:rsid w:val="005160AF"/>
    <w:rsid w:val="005160F5"/>
    <w:rsid w:val="005164D9"/>
    <w:rsid w:val="005164E4"/>
    <w:rsid w:val="00516780"/>
    <w:rsid w:val="0051692B"/>
    <w:rsid w:val="00517090"/>
    <w:rsid w:val="0051714E"/>
    <w:rsid w:val="005172BC"/>
    <w:rsid w:val="005174F5"/>
    <w:rsid w:val="005176DE"/>
    <w:rsid w:val="00517AE5"/>
    <w:rsid w:val="00517FB3"/>
    <w:rsid w:val="00520212"/>
    <w:rsid w:val="00520A93"/>
    <w:rsid w:val="00520BFA"/>
    <w:rsid w:val="00521353"/>
    <w:rsid w:val="0052208D"/>
    <w:rsid w:val="00522523"/>
    <w:rsid w:val="00522535"/>
    <w:rsid w:val="00522969"/>
    <w:rsid w:val="00522E55"/>
    <w:rsid w:val="00522F50"/>
    <w:rsid w:val="00523221"/>
    <w:rsid w:val="005232AC"/>
    <w:rsid w:val="00523561"/>
    <w:rsid w:val="0052394C"/>
    <w:rsid w:val="00523DBB"/>
    <w:rsid w:val="00523E07"/>
    <w:rsid w:val="005241A4"/>
    <w:rsid w:val="00524861"/>
    <w:rsid w:val="005248C2"/>
    <w:rsid w:val="005249D5"/>
    <w:rsid w:val="00524A95"/>
    <w:rsid w:val="00524AFA"/>
    <w:rsid w:val="00524E6C"/>
    <w:rsid w:val="00524F79"/>
    <w:rsid w:val="0052509C"/>
    <w:rsid w:val="00525313"/>
    <w:rsid w:val="005254E5"/>
    <w:rsid w:val="0052564A"/>
    <w:rsid w:val="00525829"/>
    <w:rsid w:val="00525B05"/>
    <w:rsid w:val="00525CEC"/>
    <w:rsid w:val="005264AE"/>
    <w:rsid w:val="005267E0"/>
    <w:rsid w:val="00526872"/>
    <w:rsid w:val="0052689C"/>
    <w:rsid w:val="00527044"/>
    <w:rsid w:val="005270F9"/>
    <w:rsid w:val="0052712F"/>
    <w:rsid w:val="0052713D"/>
    <w:rsid w:val="005272DC"/>
    <w:rsid w:val="005273FC"/>
    <w:rsid w:val="005276D5"/>
    <w:rsid w:val="00527896"/>
    <w:rsid w:val="00530101"/>
    <w:rsid w:val="00530187"/>
    <w:rsid w:val="00530388"/>
    <w:rsid w:val="00530A4E"/>
    <w:rsid w:val="00530F3B"/>
    <w:rsid w:val="0053114C"/>
    <w:rsid w:val="00531152"/>
    <w:rsid w:val="005312C2"/>
    <w:rsid w:val="0053163B"/>
    <w:rsid w:val="00531826"/>
    <w:rsid w:val="00531A6C"/>
    <w:rsid w:val="00531B24"/>
    <w:rsid w:val="00531B45"/>
    <w:rsid w:val="00531B72"/>
    <w:rsid w:val="00531CAD"/>
    <w:rsid w:val="00531CE5"/>
    <w:rsid w:val="00531EBD"/>
    <w:rsid w:val="0053201A"/>
    <w:rsid w:val="0053204F"/>
    <w:rsid w:val="005320F8"/>
    <w:rsid w:val="00532601"/>
    <w:rsid w:val="0053266D"/>
    <w:rsid w:val="0053274D"/>
    <w:rsid w:val="0053277E"/>
    <w:rsid w:val="00532D9F"/>
    <w:rsid w:val="0053311A"/>
    <w:rsid w:val="005335AD"/>
    <w:rsid w:val="005335E7"/>
    <w:rsid w:val="00533F48"/>
    <w:rsid w:val="00533FC5"/>
    <w:rsid w:val="0053409D"/>
    <w:rsid w:val="005340A0"/>
    <w:rsid w:val="00534161"/>
    <w:rsid w:val="00534495"/>
    <w:rsid w:val="005345DB"/>
    <w:rsid w:val="005348C3"/>
    <w:rsid w:val="0053494E"/>
    <w:rsid w:val="00534C2B"/>
    <w:rsid w:val="00534F6E"/>
    <w:rsid w:val="00534F6F"/>
    <w:rsid w:val="00535179"/>
    <w:rsid w:val="005352D8"/>
    <w:rsid w:val="00535554"/>
    <w:rsid w:val="005355D4"/>
    <w:rsid w:val="0053640F"/>
    <w:rsid w:val="005367D5"/>
    <w:rsid w:val="005369CC"/>
    <w:rsid w:val="00536BDB"/>
    <w:rsid w:val="00536D12"/>
    <w:rsid w:val="00536EEC"/>
    <w:rsid w:val="00537305"/>
    <w:rsid w:val="0053730A"/>
    <w:rsid w:val="0053741F"/>
    <w:rsid w:val="0053760A"/>
    <w:rsid w:val="005376DE"/>
    <w:rsid w:val="005379BE"/>
    <w:rsid w:val="00537D21"/>
    <w:rsid w:val="00537D6B"/>
    <w:rsid w:val="00537F68"/>
    <w:rsid w:val="00540184"/>
    <w:rsid w:val="00540602"/>
    <w:rsid w:val="005406CB"/>
    <w:rsid w:val="005406DD"/>
    <w:rsid w:val="005408FF"/>
    <w:rsid w:val="00540C55"/>
    <w:rsid w:val="00541209"/>
    <w:rsid w:val="00541258"/>
    <w:rsid w:val="00541301"/>
    <w:rsid w:val="00541303"/>
    <w:rsid w:val="0054138F"/>
    <w:rsid w:val="00541891"/>
    <w:rsid w:val="0054192D"/>
    <w:rsid w:val="00541AF8"/>
    <w:rsid w:val="00542119"/>
    <w:rsid w:val="00542184"/>
    <w:rsid w:val="00542363"/>
    <w:rsid w:val="0054237C"/>
    <w:rsid w:val="005428D8"/>
    <w:rsid w:val="0054296B"/>
    <w:rsid w:val="00542AB1"/>
    <w:rsid w:val="00542C49"/>
    <w:rsid w:val="00542D00"/>
    <w:rsid w:val="00542DB4"/>
    <w:rsid w:val="0054321D"/>
    <w:rsid w:val="005433D5"/>
    <w:rsid w:val="005433FC"/>
    <w:rsid w:val="00543449"/>
    <w:rsid w:val="005435A7"/>
    <w:rsid w:val="00543734"/>
    <w:rsid w:val="0054388F"/>
    <w:rsid w:val="005438E8"/>
    <w:rsid w:val="00543ECD"/>
    <w:rsid w:val="00543F14"/>
    <w:rsid w:val="005443E4"/>
    <w:rsid w:val="005446F2"/>
    <w:rsid w:val="00544C74"/>
    <w:rsid w:val="00544FC3"/>
    <w:rsid w:val="005458D8"/>
    <w:rsid w:val="00545991"/>
    <w:rsid w:val="00545BB9"/>
    <w:rsid w:val="00545C6F"/>
    <w:rsid w:val="00545ED9"/>
    <w:rsid w:val="00545EFE"/>
    <w:rsid w:val="00546085"/>
    <w:rsid w:val="00546262"/>
    <w:rsid w:val="00546930"/>
    <w:rsid w:val="00546937"/>
    <w:rsid w:val="00546BE5"/>
    <w:rsid w:val="00546FA8"/>
    <w:rsid w:val="005470EA"/>
    <w:rsid w:val="005476E7"/>
    <w:rsid w:val="00547824"/>
    <w:rsid w:val="00547E86"/>
    <w:rsid w:val="005500F8"/>
    <w:rsid w:val="00550290"/>
    <w:rsid w:val="005502B5"/>
    <w:rsid w:val="005503F8"/>
    <w:rsid w:val="00550710"/>
    <w:rsid w:val="0055076D"/>
    <w:rsid w:val="00550948"/>
    <w:rsid w:val="00550B95"/>
    <w:rsid w:val="00550FC4"/>
    <w:rsid w:val="00551260"/>
    <w:rsid w:val="005512C2"/>
    <w:rsid w:val="00551387"/>
    <w:rsid w:val="00551571"/>
    <w:rsid w:val="0055206F"/>
    <w:rsid w:val="005522FB"/>
    <w:rsid w:val="00552339"/>
    <w:rsid w:val="0055239B"/>
    <w:rsid w:val="005523CF"/>
    <w:rsid w:val="00552419"/>
    <w:rsid w:val="005525DD"/>
    <w:rsid w:val="00552793"/>
    <w:rsid w:val="005527FE"/>
    <w:rsid w:val="00552A22"/>
    <w:rsid w:val="00552C58"/>
    <w:rsid w:val="00552EE7"/>
    <w:rsid w:val="005531F1"/>
    <w:rsid w:val="00553781"/>
    <w:rsid w:val="00553784"/>
    <w:rsid w:val="0055384D"/>
    <w:rsid w:val="00553F74"/>
    <w:rsid w:val="00554459"/>
    <w:rsid w:val="005545F3"/>
    <w:rsid w:val="00554A13"/>
    <w:rsid w:val="00554A78"/>
    <w:rsid w:val="00554BD6"/>
    <w:rsid w:val="00554E44"/>
    <w:rsid w:val="00555955"/>
    <w:rsid w:val="00555A76"/>
    <w:rsid w:val="00555C30"/>
    <w:rsid w:val="00555CDE"/>
    <w:rsid w:val="00555D9F"/>
    <w:rsid w:val="00555E0C"/>
    <w:rsid w:val="0055601E"/>
    <w:rsid w:val="005560FB"/>
    <w:rsid w:val="005567C7"/>
    <w:rsid w:val="005568D5"/>
    <w:rsid w:val="0055735B"/>
    <w:rsid w:val="0055754B"/>
    <w:rsid w:val="0055755B"/>
    <w:rsid w:val="00557602"/>
    <w:rsid w:val="005577BE"/>
    <w:rsid w:val="00557F95"/>
    <w:rsid w:val="0056084F"/>
    <w:rsid w:val="00560980"/>
    <w:rsid w:val="00560B2E"/>
    <w:rsid w:val="00560EE2"/>
    <w:rsid w:val="00561451"/>
    <w:rsid w:val="00561563"/>
    <w:rsid w:val="005615ED"/>
    <w:rsid w:val="00561F39"/>
    <w:rsid w:val="00562022"/>
    <w:rsid w:val="00562029"/>
    <w:rsid w:val="00562090"/>
    <w:rsid w:val="005621F9"/>
    <w:rsid w:val="005622EC"/>
    <w:rsid w:val="00562470"/>
    <w:rsid w:val="00562569"/>
    <w:rsid w:val="00562A68"/>
    <w:rsid w:val="00562B12"/>
    <w:rsid w:val="00562B9B"/>
    <w:rsid w:val="00562BAC"/>
    <w:rsid w:val="0056309B"/>
    <w:rsid w:val="0056314A"/>
    <w:rsid w:val="0056353D"/>
    <w:rsid w:val="005636AF"/>
    <w:rsid w:val="0056371B"/>
    <w:rsid w:val="0056377D"/>
    <w:rsid w:val="005637DE"/>
    <w:rsid w:val="0056419B"/>
    <w:rsid w:val="005643E7"/>
    <w:rsid w:val="005650AF"/>
    <w:rsid w:val="00565390"/>
    <w:rsid w:val="005654BB"/>
    <w:rsid w:val="00565976"/>
    <w:rsid w:val="00565BFF"/>
    <w:rsid w:val="00565C67"/>
    <w:rsid w:val="00565E36"/>
    <w:rsid w:val="00565ECB"/>
    <w:rsid w:val="00566695"/>
    <w:rsid w:val="005666BA"/>
    <w:rsid w:val="005667A0"/>
    <w:rsid w:val="00566D90"/>
    <w:rsid w:val="00567091"/>
    <w:rsid w:val="00567138"/>
    <w:rsid w:val="005672CC"/>
    <w:rsid w:val="005675E0"/>
    <w:rsid w:val="00567618"/>
    <w:rsid w:val="005676E4"/>
    <w:rsid w:val="0056779F"/>
    <w:rsid w:val="005678C0"/>
    <w:rsid w:val="00567C7F"/>
    <w:rsid w:val="00567C80"/>
    <w:rsid w:val="00567CE9"/>
    <w:rsid w:val="00570259"/>
    <w:rsid w:val="0057045E"/>
    <w:rsid w:val="0057053E"/>
    <w:rsid w:val="005705AA"/>
    <w:rsid w:val="005706AA"/>
    <w:rsid w:val="0057094A"/>
    <w:rsid w:val="00570C75"/>
    <w:rsid w:val="00570C87"/>
    <w:rsid w:val="00570F67"/>
    <w:rsid w:val="00570FFE"/>
    <w:rsid w:val="00571942"/>
    <w:rsid w:val="00571A2B"/>
    <w:rsid w:val="00571F29"/>
    <w:rsid w:val="00572150"/>
    <w:rsid w:val="0057215B"/>
    <w:rsid w:val="005724F3"/>
    <w:rsid w:val="00572575"/>
    <w:rsid w:val="00572835"/>
    <w:rsid w:val="00573160"/>
    <w:rsid w:val="005731B4"/>
    <w:rsid w:val="0057355A"/>
    <w:rsid w:val="00573A77"/>
    <w:rsid w:val="00573F03"/>
    <w:rsid w:val="00573F2B"/>
    <w:rsid w:val="00574180"/>
    <w:rsid w:val="00574352"/>
    <w:rsid w:val="00574673"/>
    <w:rsid w:val="005747AE"/>
    <w:rsid w:val="00574825"/>
    <w:rsid w:val="00574878"/>
    <w:rsid w:val="00574ABB"/>
    <w:rsid w:val="00574D57"/>
    <w:rsid w:val="00574F78"/>
    <w:rsid w:val="0057523C"/>
    <w:rsid w:val="005754FE"/>
    <w:rsid w:val="0057568C"/>
    <w:rsid w:val="005756F4"/>
    <w:rsid w:val="00575A14"/>
    <w:rsid w:val="00576011"/>
    <w:rsid w:val="00576241"/>
    <w:rsid w:val="00576336"/>
    <w:rsid w:val="005765A6"/>
    <w:rsid w:val="00576632"/>
    <w:rsid w:val="00576716"/>
    <w:rsid w:val="00576B81"/>
    <w:rsid w:val="00576F53"/>
    <w:rsid w:val="00576F57"/>
    <w:rsid w:val="00576F91"/>
    <w:rsid w:val="005772F3"/>
    <w:rsid w:val="0057741A"/>
    <w:rsid w:val="00577594"/>
    <w:rsid w:val="00577620"/>
    <w:rsid w:val="00577768"/>
    <w:rsid w:val="005777C8"/>
    <w:rsid w:val="005778A1"/>
    <w:rsid w:val="005779B2"/>
    <w:rsid w:val="00577E62"/>
    <w:rsid w:val="00577EA7"/>
    <w:rsid w:val="00577F7F"/>
    <w:rsid w:val="005800F7"/>
    <w:rsid w:val="005801EC"/>
    <w:rsid w:val="0058020B"/>
    <w:rsid w:val="0058023C"/>
    <w:rsid w:val="005808A9"/>
    <w:rsid w:val="005808FC"/>
    <w:rsid w:val="005817EE"/>
    <w:rsid w:val="00581B3A"/>
    <w:rsid w:val="00581C22"/>
    <w:rsid w:val="00581E92"/>
    <w:rsid w:val="00582388"/>
    <w:rsid w:val="005823C6"/>
    <w:rsid w:val="00582A5A"/>
    <w:rsid w:val="00582D00"/>
    <w:rsid w:val="00582DE0"/>
    <w:rsid w:val="00582E0F"/>
    <w:rsid w:val="005830DE"/>
    <w:rsid w:val="00583526"/>
    <w:rsid w:val="0058353C"/>
    <w:rsid w:val="00583778"/>
    <w:rsid w:val="005838EA"/>
    <w:rsid w:val="00583AA0"/>
    <w:rsid w:val="00583D8F"/>
    <w:rsid w:val="00583E40"/>
    <w:rsid w:val="00583EE2"/>
    <w:rsid w:val="0058400A"/>
    <w:rsid w:val="0058425B"/>
    <w:rsid w:val="0058426D"/>
    <w:rsid w:val="005844B4"/>
    <w:rsid w:val="0058496C"/>
    <w:rsid w:val="00585A4C"/>
    <w:rsid w:val="00585B2C"/>
    <w:rsid w:val="0058627E"/>
    <w:rsid w:val="00586347"/>
    <w:rsid w:val="005863C8"/>
    <w:rsid w:val="00586791"/>
    <w:rsid w:val="00586887"/>
    <w:rsid w:val="00586BB0"/>
    <w:rsid w:val="00587940"/>
    <w:rsid w:val="00587A8B"/>
    <w:rsid w:val="00587EF5"/>
    <w:rsid w:val="00590075"/>
    <w:rsid w:val="005901E9"/>
    <w:rsid w:val="005907C7"/>
    <w:rsid w:val="00590BF1"/>
    <w:rsid w:val="00590CEE"/>
    <w:rsid w:val="0059122F"/>
    <w:rsid w:val="005912D9"/>
    <w:rsid w:val="005912ED"/>
    <w:rsid w:val="0059131F"/>
    <w:rsid w:val="005914E7"/>
    <w:rsid w:val="00591691"/>
    <w:rsid w:val="0059175D"/>
    <w:rsid w:val="00591AA8"/>
    <w:rsid w:val="00591B6A"/>
    <w:rsid w:val="00591C61"/>
    <w:rsid w:val="00591F7B"/>
    <w:rsid w:val="00592103"/>
    <w:rsid w:val="005921D1"/>
    <w:rsid w:val="005923E8"/>
    <w:rsid w:val="005925EA"/>
    <w:rsid w:val="00592AED"/>
    <w:rsid w:val="0059325D"/>
    <w:rsid w:val="005932A5"/>
    <w:rsid w:val="005939DA"/>
    <w:rsid w:val="00593A14"/>
    <w:rsid w:val="00593EDD"/>
    <w:rsid w:val="00593FAC"/>
    <w:rsid w:val="0059453C"/>
    <w:rsid w:val="00594A1C"/>
    <w:rsid w:val="00594A98"/>
    <w:rsid w:val="00594BF0"/>
    <w:rsid w:val="00595263"/>
    <w:rsid w:val="005953AE"/>
    <w:rsid w:val="005957B3"/>
    <w:rsid w:val="005957CD"/>
    <w:rsid w:val="005958D4"/>
    <w:rsid w:val="00595B86"/>
    <w:rsid w:val="00595C92"/>
    <w:rsid w:val="00595D7B"/>
    <w:rsid w:val="00595EFB"/>
    <w:rsid w:val="005961FE"/>
    <w:rsid w:val="00596792"/>
    <w:rsid w:val="0059682B"/>
    <w:rsid w:val="005968C2"/>
    <w:rsid w:val="00596923"/>
    <w:rsid w:val="00596B59"/>
    <w:rsid w:val="00596C0A"/>
    <w:rsid w:val="00596CC8"/>
    <w:rsid w:val="00596D7D"/>
    <w:rsid w:val="00596FFB"/>
    <w:rsid w:val="00597452"/>
    <w:rsid w:val="0059749E"/>
    <w:rsid w:val="005976A2"/>
    <w:rsid w:val="00597B3F"/>
    <w:rsid w:val="00597EBE"/>
    <w:rsid w:val="005A033B"/>
    <w:rsid w:val="005A059F"/>
    <w:rsid w:val="005A060C"/>
    <w:rsid w:val="005A067A"/>
    <w:rsid w:val="005A0690"/>
    <w:rsid w:val="005A06FD"/>
    <w:rsid w:val="005A0805"/>
    <w:rsid w:val="005A0910"/>
    <w:rsid w:val="005A0932"/>
    <w:rsid w:val="005A0DE5"/>
    <w:rsid w:val="005A110B"/>
    <w:rsid w:val="005A12BB"/>
    <w:rsid w:val="005A12C5"/>
    <w:rsid w:val="005A1609"/>
    <w:rsid w:val="005A180C"/>
    <w:rsid w:val="005A1ABC"/>
    <w:rsid w:val="005A2124"/>
    <w:rsid w:val="005A214C"/>
    <w:rsid w:val="005A2CDF"/>
    <w:rsid w:val="005A2F15"/>
    <w:rsid w:val="005A3297"/>
    <w:rsid w:val="005A33C7"/>
    <w:rsid w:val="005A37BD"/>
    <w:rsid w:val="005A382C"/>
    <w:rsid w:val="005A3B07"/>
    <w:rsid w:val="005A3EBF"/>
    <w:rsid w:val="005A4112"/>
    <w:rsid w:val="005A4477"/>
    <w:rsid w:val="005A4586"/>
    <w:rsid w:val="005A48C3"/>
    <w:rsid w:val="005A4EB2"/>
    <w:rsid w:val="005A5169"/>
    <w:rsid w:val="005A5966"/>
    <w:rsid w:val="005A5990"/>
    <w:rsid w:val="005A605A"/>
    <w:rsid w:val="005A62BF"/>
    <w:rsid w:val="005A63D0"/>
    <w:rsid w:val="005A650B"/>
    <w:rsid w:val="005A651E"/>
    <w:rsid w:val="005A65AA"/>
    <w:rsid w:val="005A690C"/>
    <w:rsid w:val="005A6A98"/>
    <w:rsid w:val="005A7173"/>
    <w:rsid w:val="005A74D9"/>
    <w:rsid w:val="005A75B2"/>
    <w:rsid w:val="005A7A95"/>
    <w:rsid w:val="005A7BEB"/>
    <w:rsid w:val="005A7FEF"/>
    <w:rsid w:val="005B01D7"/>
    <w:rsid w:val="005B06AD"/>
    <w:rsid w:val="005B0B78"/>
    <w:rsid w:val="005B0BCD"/>
    <w:rsid w:val="005B0BFE"/>
    <w:rsid w:val="005B162A"/>
    <w:rsid w:val="005B17D0"/>
    <w:rsid w:val="005B187A"/>
    <w:rsid w:val="005B187F"/>
    <w:rsid w:val="005B1C1E"/>
    <w:rsid w:val="005B1FE2"/>
    <w:rsid w:val="005B2317"/>
    <w:rsid w:val="005B2657"/>
    <w:rsid w:val="005B266D"/>
    <w:rsid w:val="005B26C0"/>
    <w:rsid w:val="005B2843"/>
    <w:rsid w:val="005B29A7"/>
    <w:rsid w:val="005B2D19"/>
    <w:rsid w:val="005B2FD9"/>
    <w:rsid w:val="005B3273"/>
    <w:rsid w:val="005B36D8"/>
    <w:rsid w:val="005B3A9B"/>
    <w:rsid w:val="005B3F1A"/>
    <w:rsid w:val="005B43C9"/>
    <w:rsid w:val="005B459B"/>
    <w:rsid w:val="005B502B"/>
    <w:rsid w:val="005B510A"/>
    <w:rsid w:val="005B51AF"/>
    <w:rsid w:val="005B5302"/>
    <w:rsid w:val="005B551C"/>
    <w:rsid w:val="005B55E8"/>
    <w:rsid w:val="005B5B8B"/>
    <w:rsid w:val="005B64B8"/>
    <w:rsid w:val="005B6700"/>
    <w:rsid w:val="005B6E91"/>
    <w:rsid w:val="005B6FBB"/>
    <w:rsid w:val="005B6FF4"/>
    <w:rsid w:val="005B70E7"/>
    <w:rsid w:val="005B71CF"/>
    <w:rsid w:val="005B732B"/>
    <w:rsid w:val="005B75F7"/>
    <w:rsid w:val="005B79E9"/>
    <w:rsid w:val="005B7A5A"/>
    <w:rsid w:val="005B7AC3"/>
    <w:rsid w:val="005B7BAB"/>
    <w:rsid w:val="005B7C6B"/>
    <w:rsid w:val="005B7E0A"/>
    <w:rsid w:val="005C00C4"/>
    <w:rsid w:val="005C02D4"/>
    <w:rsid w:val="005C053D"/>
    <w:rsid w:val="005C0587"/>
    <w:rsid w:val="005C0A6E"/>
    <w:rsid w:val="005C0C38"/>
    <w:rsid w:val="005C1117"/>
    <w:rsid w:val="005C1192"/>
    <w:rsid w:val="005C11E6"/>
    <w:rsid w:val="005C130E"/>
    <w:rsid w:val="005C14A1"/>
    <w:rsid w:val="005C1BE3"/>
    <w:rsid w:val="005C1E97"/>
    <w:rsid w:val="005C20B1"/>
    <w:rsid w:val="005C2383"/>
    <w:rsid w:val="005C252F"/>
    <w:rsid w:val="005C25C4"/>
    <w:rsid w:val="005C2AF1"/>
    <w:rsid w:val="005C2D53"/>
    <w:rsid w:val="005C2EB4"/>
    <w:rsid w:val="005C2F6A"/>
    <w:rsid w:val="005C2FB7"/>
    <w:rsid w:val="005C39D2"/>
    <w:rsid w:val="005C3AA7"/>
    <w:rsid w:val="005C3C63"/>
    <w:rsid w:val="005C40A6"/>
    <w:rsid w:val="005C40DF"/>
    <w:rsid w:val="005C4541"/>
    <w:rsid w:val="005C4801"/>
    <w:rsid w:val="005C4B27"/>
    <w:rsid w:val="005C4BB4"/>
    <w:rsid w:val="005C536C"/>
    <w:rsid w:val="005C54C3"/>
    <w:rsid w:val="005C5661"/>
    <w:rsid w:val="005C5817"/>
    <w:rsid w:val="005C5A7C"/>
    <w:rsid w:val="005C5ACA"/>
    <w:rsid w:val="005C5B78"/>
    <w:rsid w:val="005C5FFE"/>
    <w:rsid w:val="005C6189"/>
    <w:rsid w:val="005C6330"/>
    <w:rsid w:val="005C642E"/>
    <w:rsid w:val="005C6445"/>
    <w:rsid w:val="005C6571"/>
    <w:rsid w:val="005C6585"/>
    <w:rsid w:val="005C6613"/>
    <w:rsid w:val="005C6BA3"/>
    <w:rsid w:val="005C6D75"/>
    <w:rsid w:val="005C703D"/>
    <w:rsid w:val="005C711A"/>
    <w:rsid w:val="005C720B"/>
    <w:rsid w:val="005C73B0"/>
    <w:rsid w:val="005C7568"/>
    <w:rsid w:val="005C7807"/>
    <w:rsid w:val="005C7D2A"/>
    <w:rsid w:val="005C7D4F"/>
    <w:rsid w:val="005D040B"/>
    <w:rsid w:val="005D0840"/>
    <w:rsid w:val="005D08CF"/>
    <w:rsid w:val="005D0A16"/>
    <w:rsid w:val="005D0AF9"/>
    <w:rsid w:val="005D0C10"/>
    <w:rsid w:val="005D0D1A"/>
    <w:rsid w:val="005D0F17"/>
    <w:rsid w:val="005D0F9D"/>
    <w:rsid w:val="005D10FF"/>
    <w:rsid w:val="005D11EC"/>
    <w:rsid w:val="005D1208"/>
    <w:rsid w:val="005D12B5"/>
    <w:rsid w:val="005D15D7"/>
    <w:rsid w:val="005D1702"/>
    <w:rsid w:val="005D1F1D"/>
    <w:rsid w:val="005D1F29"/>
    <w:rsid w:val="005D3013"/>
    <w:rsid w:val="005D3315"/>
    <w:rsid w:val="005D3470"/>
    <w:rsid w:val="005D34E2"/>
    <w:rsid w:val="005D386B"/>
    <w:rsid w:val="005D3B1C"/>
    <w:rsid w:val="005D4343"/>
    <w:rsid w:val="005D4502"/>
    <w:rsid w:val="005D47DF"/>
    <w:rsid w:val="005D48F1"/>
    <w:rsid w:val="005D4B27"/>
    <w:rsid w:val="005D4C41"/>
    <w:rsid w:val="005D4C44"/>
    <w:rsid w:val="005D529A"/>
    <w:rsid w:val="005D52D0"/>
    <w:rsid w:val="005D5353"/>
    <w:rsid w:val="005D5418"/>
    <w:rsid w:val="005D545C"/>
    <w:rsid w:val="005D57BD"/>
    <w:rsid w:val="005D5B56"/>
    <w:rsid w:val="005D5DB8"/>
    <w:rsid w:val="005D6141"/>
    <w:rsid w:val="005D62C2"/>
    <w:rsid w:val="005D6387"/>
    <w:rsid w:val="005D66FA"/>
    <w:rsid w:val="005D6A57"/>
    <w:rsid w:val="005D6BCE"/>
    <w:rsid w:val="005D6CFF"/>
    <w:rsid w:val="005D7006"/>
    <w:rsid w:val="005D70C6"/>
    <w:rsid w:val="005D7168"/>
    <w:rsid w:val="005D7709"/>
    <w:rsid w:val="005D77F8"/>
    <w:rsid w:val="005D78E8"/>
    <w:rsid w:val="005D790A"/>
    <w:rsid w:val="005D7B1D"/>
    <w:rsid w:val="005D7E78"/>
    <w:rsid w:val="005D7F17"/>
    <w:rsid w:val="005E05EE"/>
    <w:rsid w:val="005E0789"/>
    <w:rsid w:val="005E0A48"/>
    <w:rsid w:val="005E0DD0"/>
    <w:rsid w:val="005E0FCC"/>
    <w:rsid w:val="005E1115"/>
    <w:rsid w:val="005E1267"/>
    <w:rsid w:val="005E19F5"/>
    <w:rsid w:val="005E1A10"/>
    <w:rsid w:val="005E212D"/>
    <w:rsid w:val="005E229D"/>
    <w:rsid w:val="005E261E"/>
    <w:rsid w:val="005E28FE"/>
    <w:rsid w:val="005E2A4C"/>
    <w:rsid w:val="005E2BDA"/>
    <w:rsid w:val="005E2BFE"/>
    <w:rsid w:val="005E2C9A"/>
    <w:rsid w:val="005E2CE1"/>
    <w:rsid w:val="005E3073"/>
    <w:rsid w:val="005E3176"/>
    <w:rsid w:val="005E3269"/>
    <w:rsid w:val="005E33C3"/>
    <w:rsid w:val="005E3593"/>
    <w:rsid w:val="005E3793"/>
    <w:rsid w:val="005E3B5C"/>
    <w:rsid w:val="005E415F"/>
    <w:rsid w:val="005E424F"/>
    <w:rsid w:val="005E4314"/>
    <w:rsid w:val="005E438C"/>
    <w:rsid w:val="005E49CE"/>
    <w:rsid w:val="005E501D"/>
    <w:rsid w:val="005E53EB"/>
    <w:rsid w:val="005E540D"/>
    <w:rsid w:val="005E54AA"/>
    <w:rsid w:val="005E5A15"/>
    <w:rsid w:val="005E5AF1"/>
    <w:rsid w:val="005E5B08"/>
    <w:rsid w:val="005E6133"/>
    <w:rsid w:val="005E6483"/>
    <w:rsid w:val="005E6A2B"/>
    <w:rsid w:val="005E6D59"/>
    <w:rsid w:val="005E7184"/>
    <w:rsid w:val="005E7453"/>
    <w:rsid w:val="005E7648"/>
    <w:rsid w:val="005F027D"/>
    <w:rsid w:val="005F075E"/>
    <w:rsid w:val="005F0E81"/>
    <w:rsid w:val="005F111B"/>
    <w:rsid w:val="005F1689"/>
    <w:rsid w:val="005F171C"/>
    <w:rsid w:val="005F1805"/>
    <w:rsid w:val="005F19AE"/>
    <w:rsid w:val="005F1A16"/>
    <w:rsid w:val="005F1BCA"/>
    <w:rsid w:val="005F1D55"/>
    <w:rsid w:val="005F1E22"/>
    <w:rsid w:val="005F2134"/>
    <w:rsid w:val="005F2329"/>
    <w:rsid w:val="005F2592"/>
    <w:rsid w:val="005F262C"/>
    <w:rsid w:val="005F27F6"/>
    <w:rsid w:val="005F28EC"/>
    <w:rsid w:val="005F29B9"/>
    <w:rsid w:val="005F2A0B"/>
    <w:rsid w:val="005F2B77"/>
    <w:rsid w:val="005F2BA6"/>
    <w:rsid w:val="005F349C"/>
    <w:rsid w:val="005F3921"/>
    <w:rsid w:val="005F3AE9"/>
    <w:rsid w:val="005F3B78"/>
    <w:rsid w:val="005F3BF6"/>
    <w:rsid w:val="005F4828"/>
    <w:rsid w:val="005F4918"/>
    <w:rsid w:val="005F492F"/>
    <w:rsid w:val="005F49A1"/>
    <w:rsid w:val="005F49AB"/>
    <w:rsid w:val="005F49FA"/>
    <w:rsid w:val="005F4C4E"/>
    <w:rsid w:val="005F5069"/>
    <w:rsid w:val="005F50F6"/>
    <w:rsid w:val="005F522F"/>
    <w:rsid w:val="005F53ED"/>
    <w:rsid w:val="005F540C"/>
    <w:rsid w:val="005F561C"/>
    <w:rsid w:val="005F5719"/>
    <w:rsid w:val="005F5995"/>
    <w:rsid w:val="005F59B8"/>
    <w:rsid w:val="005F5A4C"/>
    <w:rsid w:val="005F5AF0"/>
    <w:rsid w:val="005F5C20"/>
    <w:rsid w:val="005F5C2C"/>
    <w:rsid w:val="005F6079"/>
    <w:rsid w:val="005F61EC"/>
    <w:rsid w:val="005F640E"/>
    <w:rsid w:val="005F650B"/>
    <w:rsid w:val="005F6758"/>
    <w:rsid w:val="005F6900"/>
    <w:rsid w:val="005F692A"/>
    <w:rsid w:val="005F6974"/>
    <w:rsid w:val="005F6990"/>
    <w:rsid w:val="005F6C81"/>
    <w:rsid w:val="005F6DEF"/>
    <w:rsid w:val="005F6F1C"/>
    <w:rsid w:val="005F7209"/>
    <w:rsid w:val="005F7251"/>
    <w:rsid w:val="005F72FA"/>
    <w:rsid w:val="005F75F5"/>
    <w:rsid w:val="005F7797"/>
    <w:rsid w:val="005F78C8"/>
    <w:rsid w:val="005F79DB"/>
    <w:rsid w:val="005F7E35"/>
    <w:rsid w:val="00600287"/>
    <w:rsid w:val="00600304"/>
    <w:rsid w:val="00600336"/>
    <w:rsid w:val="00600398"/>
    <w:rsid w:val="00600495"/>
    <w:rsid w:val="0060054F"/>
    <w:rsid w:val="0060057F"/>
    <w:rsid w:val="006005A8"/>
    <w:rsid w:val="00600BF8"/>
    <w:rsid w:val="00600D79"/>
    <w:rsid w:val="006016A2"/>
    <w:rsid w:val="00601992"/>
    <w:rsid w:val="00601CBE"/>
    <w:rsid w:val="00601EDA"/>
    <w:rsid w:val="00601F1E"/>
    <w:rsid w:val="00601F64"/>
    <w:rsid w:val="006020F9"/>
    <w:rsid w:val="006022DF"/>
    <w:rsid w:val="0060255E"/>
    <w:rsid w:val="00602A66"/>
    <w:rsid w:val="00602C6A"/>
    <w:rsid w:val="00603435"/>
    <w:rsid w:val="00603690"/>
    <w:rsid w:val="00603AAA"/>
    <w:rsid w:val="0060405D"/>
    <w:rsid w:val="006040CB"/>
    <w:rsid w:val="00604101"/>
    <w:rsid w:val="0060421D"/>
    <w:rsid w:val="0060425B"/>
    <w:rsid w:val="0060431A"/>
    <w:rsid w:val="006048DD"/>
    <w:rsid w:val="00604958"/>
    <w:rsid w:val="00604ED7"/>
    <w:rsid w:val="006057F4"/>
    <w:rsid w:val="00605A7D"/>
    <w:rsid w:val="00605B0D"/>
    <w:rsid w:val="006060C3"/>
    <w:rsid w:val="00606181"/>
    <w:rsid w:val="00606215"/>
    <w:rsid w:val="006064AD"/>
    <w:rsid w:val="006066AE"/>
    <w:rsid w:val="006068B8"/>
    <w:rsid w:val="00606C93"/>
    <w:rsid w:val="00606DA5"/>
    <w:rsid w:val="00606E37"/>
    <w:rsid w:val="00606F0C"/>
    <w:rsid w:val="006070ED"/>
    <w:rsid w:val="006072B1"/>
    <w:rsid w:val="006073C1"/>
    <w:rsid w:val="00607603"/>
    <w:rsid w:val="006077FA"/>
    <w:rsid w:val="00607874"/>
    <w:rsid w:val="00607CE4"/>
    <w:rsid w:val="00607D46"/>
    <w:rsid w:val="00607F31"/>
    <w:rsid w:val="00607F58"/>
    <w:rsid w:val="00607FDA"/>
    <w:rsid w:val="00610008"/>
    <w:rsid w:val="00610044"/>
    <w:rsid w:val="00610136"/>
    <w:rsid w:val="006104B6"/>
    <w:rsid w:val="006104BB"/>
    <w:rsid w:val="00610693"/>
    <w:rsid w:val="00610F73"/>
    <w:rsid w:val="00611321"/>
    <w:rsid w:val="006114A8"/>
    <w:rsid w:val="006116F4"/>
    <w:rsid w:val="00611A8B"/>
    <w:rsid w:val="00611AD7"/>
    <w:rsid w:val="00611CFE"/>
    <w:rsid w:val="00612114"/>
    <w:rsid w:val="00612192"/>
    <w:rsid w:val="006122CC"/>
    <w:rsid w:val="00612458"/>
    <w:rsid w:val="006126D9"/>
    <w:rsid w:val="00612770"/>
    <w:rsid w:val="00612891"/>
    <w:rsid w:val="00612BA8"/>
    <w:rsid w:val="00612C32"/>
    <w:rsid w:val="00612E86"/>
    <w:rsid w:val="006130EE"/>
    <w:rsid w:val="00613252"/>
    <w:rsid w:val="006133EE"/>
    <w:rsid w:val="0061377A"/>
    <w:rsid w:val="00613933"/>
    <w:rsid w:val="00613BEC"/>
    <w:rsid w:val="00613D8B"/>
    <w:rsid w:val="00613D9A"/>
    <w:rsid w:val="0061400D"/>
    <w:rsid w:val="006148F2"/>
    <w:rsid w:val="0061493D"/>
    <w:rsid w:val="00614ECC"/>
    <w:rsid w:val="0061505F"/>
    <w:rsid w:val="006150AA"/>
    <w:rsid w:val="00615205"/>
    <w:rsid w:val="006155B8"/>
    <w:rsid w:val="00615812"/>
    <w:rsid w:val="006158C9"/>
    <w:rsid w:val="006158E1"/>
    <w:rsid w:val="00615A77"/>
    <w:rsid w:val="00615B44"/>
    <w:rsid w:val="00615B96"/>
    <w:rsid w:val="00615BB0"/>
    <w:rsid w:val="006163DE"/>
    <w:rsid w:val="00616771"/>
    <w:rsid w:val="00616A65"/>
    <w:rsid w:val="00616B5A"/>
    <w:rsid w:val="00616B9C"/>
    <w:rsid w:val="00616BA9"/>
    <w:rsid w:val="00616E15"/>
    <w:rsid w:val="00616E7F"/>
    <w:rsid w:val="00616FAB"/>
    <w:rsid w:val="00617009"/>
    <w:rsid w:val="00617044"/>
    <w:rsid w:val="0061705C"/>
    <w:rsid w:val="006170E0"/>
    <w:rsid w:val="0061712D"/>
    <w:rsid w:val="00617318"/>
    <w:rsid w:val="00617584"/>
    <w:rsid w:val="00617652"/>
    <w:rsid w:val="0061775B"/>
    <w:rsid w:val="00617B97"/>
    <w:rsid w:val="00617E45"/>
    <w:rsid w:val="00620228"/>
    <w:rsid w:val="006208BB"/>
    <w:rsid w:val="00620F72"/>
    <w:rsid w:val="00621024"/>
    <w:rsid w:val="006210F9"/>
    <w:rsid w:val="0062110B"/>
    <w:rsid w:val="006212D4"/>
    <w:rsid w:val="006213DC"/>
    <w:rsid w:val="00621596"/>
    <w:rsid w:val="00621D43"/>
    <w:rsid w:val="00622056"/>
    <w:rsid w:val="00622200"/>
    <w:rsid w:val="006228CE"/>
    <w:rsid w:val="0062295D"/>
    <w:rsid w:val="00622A4D"/>
    <w:rsid w:val="00622F4C"/>
    <w:rsid w:val="006233ED"/>
    <w:rsid w:val="00623451"/>
    <w:rsid w:val="0062358E"/>
    <w:rsid w:val="00623953"/>
    <w:rsid w:val="00623BC4"/>
    <w:rsid w:val="00623BF1"/>
    <w:rsid w:val="00623D70"/>
    <w:rsid w:val="00624379"/>
    <w:rsid w:val="00624401"/>
    <w:rsid w:val="00624504"/>
    <w:rsid w:val="0062454C"/>
    <w:rsid w:val="00624AD6"/>
    <w:rsid w:val="00624CDA"/>
    <w:rsid w:val="00624DF8"/>
    <w:rsid w:val="0062505E"/>
    <w:rsid w:val="00625381"/>
    <w:rsid w:val="006259D7"/>
    <w:rsid w:val="00625B26"/>
    <w:rsid w:val="00625C7E"/>
    <w:rsid w:val="00625CA1"/>
    <w:rsid w:val="0062609D"/>
    <w:rsid w:val="00626602"/>
    <w:rsid w:val="00626948"/>
    <w:rsid w:val="00626A03"/>
    <w:rsid w:val="00626A18"/>
    <w:rsid w:val="00626B4B"/>
    <w:rsid w:val="00626C84"/>
    <w:rsid w:val="00626ED2"/>
    <w:rsid w:val="00627075"/>
    <w:rsid w:val="00627615"/>
    <w:rsid w:val="00627658"/>
    <w:rsid w:val="00627920"/>
    <w:rsid w:val="00627B20"/>
    <w:rsid w:val="0063015D"/>
    <w:rsid w:val="006301F6"/>
    <w:rsid w:val="006305CB"/>
    <w:rsid w:val="006306FD"/>
    <w:rsid w:val="006308C7"/>
    <w:rsid w:val="00630AF0"/>
    <w:rsid w:val="00630C28"/>
    <w:rsid w:val="006316BB"/>
    <w:rsid w:val="006319F6"/>
    <w:rsid w:val="00631C3D"/>
    <w:rsid w:val="006321FE"/>
    <w:rsid w:val="006325C3"/>
    <w:rsid w:val="00632800"/>
    <w:rsid w:val="00632AB9"/>
    <w:rsid w:val="00632D73"/>
    <w:rsid w:val="0063371D"/>
    <w:rsid w:val="00633904"/>
    <w:rsid w:val="006340CB"/>
    <w:rsid w:val="006342EC"/>
    <w:rsid w:val="00634AA2"/>
    <w:rsid w:val="00634B4A"/>
    <w:rsid w:val="00634B9C"/>
    <w:rsid w:val="00634EB9"/>
    <w:rsid w:val="00635442"/>
    <w:rsid w:val="00635603"/>
    <w:rsid w:val="00635657"/>
    <w:rsid w:val="00635817"/>
    <w:rsid w:val="006358C2"/>
    <w:rsid w:val="006359A0"/>
    <w:rsid w:val="006359BF"/>
    <w:rsid w:val="00635BDF"/>
    <w:rsid w:val="0063603B"/>
    <w:rsid w:val="0063620D"/>
    <w:rsid w:val="006363C7"/>
    <w:rsid w:val="006363E9"/>
    <w:rsid w:val="00636539"/>
    <w:rsid w:val="00636D7E"/>
    <w:rsid w:val="006370B5"/>
    <w:rsid w:val="006370CA"/>
    <w:rsid w:val="006371C1"/>
    <w:rsid w:val="0063759D"/>
    <w:rsid w:val="00637861"/>
    <w:rsid w:val="00637BF8"/>
    <w:rsid w:val="00637C56"/>
    <w:rsid w:val="00637E3D"/>
    <w:rsid w:val="00637EE5"/>
    <w:rsid w:val="00640641"/>
    <w:rsid w:val="00640CDB"/>
    <w:rsid w:val="00641188"/>
    <w:rsid w:val="006413FB"/>
    <w:rsid w:val="00641877"/>
    <w:rsid w:val="00641C4B"/>
    <w:rsid w:val="006421B2"/>
    <w:rsid w:val="006422CF"/>
    <w:rsid w:val="006425C8"/>
    <w:rsid w:val="006425D2"/>
    <w:rsid w:val="00642B98"/>
    <w:rsid w:val="00642D6D"/>
    <w:rsid w:val="00643216"/>
    <w:rsid w:val="00643244"/>
    <w:rsid w:val="006435CD"/>
    <w:rsid w:val="006435E1"/>
    <w:rsid w:val="00643781"/>
    <w:rsid w:val="006439BC"/>
    <w:rsid w:val="00643AA4"/>
    <w:rsid w:val="0064438C"/>
    <w:rsid w:val="00644623"/>
    <w:rsid w:val="006446A4"/>
    <w:rsid w:val="006446D6"/>
    <w:rsid w:val="00644728"/>
    <w:rsid w:val="00644903"/>
    <w:rsid w:val="0064494A"/>
    <w:rsid w:val="006449F0"/>
    <w:rsid w:val="00644D76"/>
    <w:rsid w:val="00644F09"/>
    <w:rsid w:val="00645029"/>
    <w:rsid w:val="0064598C"/>
    <w:rsid w:val="006459EE"/>
    <w:rsid w:val="00645C1C"/>
    <w:rsid w:val="0064602F"/>
    <w:rsid w:val="006460C9"/>
    <w:rsid w:val="006461FE"/>
    <w:rsid w:val="006463EC"/>
    <w:rsid w:val="0064665D"/>
    <w:rsid w:val="00646785"/>
    <w:rsid w:val="00646874"/>
    <w:rsid w:val="00646A79"/>
    <w:rsid w:val="00646B85"/>
    <w:rsid w:val="00646CFA"/>
    <w:rsid w:val="00646F07"/>
    <w:rsid w:val="006478BB"/>
    <w:rsid w:val="00647B5F"/>
    <w:rsid w:val="00647D4D"/>
    <w:rsid w:val="00647E87"/>
    <w:rsid w:val="00647FA4"/>
    <w:rsid w:val="0065008E"/>
    <w:rsid w:val="006505FD"/>
    <w:rsid w:val="0065084E"/>
    <w:rsid w:val="006512B2"/>
    <w:rsid w:val="00651535"/>
    <w:rsid w:val="006516D5"/>
    <w:rsid w:val="00651CF4"/>
    <w:rsid w:val="00651CFC"/>
    <w:rsid w:val="00651D99"/>
    <w:rsid w:val="00651E08"/>
    <w:rsid w:val="00652538"/>
    <w:rsid w:val="0065281E"/>
    <w:rsid w:val="00652921"/>
    <w:rsid w:val="006529BA"/>
    <w:rsid w:val="00652F3F"/>
    <w:rsid w:val="006532FC"/>
    <w:rsid w:val="006534B0"/>
    <w:rsid w:val="006535A7"/>
    <w:rsid w:val="006538B0"/>
    <w:rsid w:val="00653C86"/>
    <w:rsid w:val="00653CC4"/>
    <w:rsid w:val="00653D29"/>
    <w:rsid w:val="00653EDB"/>
    <w:rsid w:val="00653F87"/>
    <w:rsid w:val="00654108"/>
    <w:rsid w:val="00654343"/>
    <w:rsid w:val="0065458B"/>
    <w:rsid w:val="00654809"/>
    <w:rsid w:val="00654B56"/>
    <w:rsid w:val="00654BA1"/>
    <w:rsid w:val="0065500A"/>
    <w:rsid w:val="00655030"/>
    <w:rsid w:val="006553CD"/>
    <w:rsid w:val="00655422"/>
    <w:rsid w:val="0065617C"/>
    <w:rsid w:val="00656292"/>
    <w:rsid w:val="00656471"/>
    <w:rsid w:val="006568BF"/>
    <w:rsid w:val="006568CB"/>
    <w:rsid w:val="00656A44"/>
    <w:rsid w:val="00656A67"/>
    <w:rsid w:val="00656A96"/>
    <w:rsid w:val="00656D7D"/>
    <w:rsid w:val="00656F62"/>
    <w:rsid w:val="00656F80"/>
    <w:rsid w:val="00656FE6"/>
    <w:rsid w:val="00657471"/>
    <w:rsid w:val="0065747F"/>
    <w:rsid w:val="006574EB"/>
    <w:rsid w:val="006575FC"/>
    <w:rsid w:val="00657865"/>
    <w:rsid w:val="006578A4"/>
    <w:rsid w:val="0065795D"/>
    <w:rsid w:val="0065798F"/>
    <w:rsid w:val="00657A69"/>
    <w:rsid w:val="00660069"/>
    <w:rsid w:val="00660216"/>
    <w:rsid w:val="006603FE"/>
    <w:rsid w:val="00660817"/>
    <w:rsid w:val="006608EB"/>
    <w:rsid w:val="00660A5A"/>
    <w:rsid w:val="00660BD2"/>
    <w:rsid w:val="00660E95"/>
    <w:rsid w:val="0066120D"/>
    <w:rsid w:val="00661380"/>
    <w:rsid w:val="006614D3"/>
    <w:rsid w:val="00661617"/>
    <w:rsid w:val="00661782"/>
    <w:rsid w:val="0066178A"/>
    <w:rsid w:val="006617F5"/>
    <w:rsid w:val="006618BC"/>
    <w:rsid w:val="00661DCB"/>
    <w:rsid w:val="00661F88"/>
    <w:rsid w:val="006621CE"/>
    <w:rsid w:val="0066221C"/>
    <w:rsid w:val="006622B9"/>
    <w:rsid w:val="006622C4"/>
    <w:rsid w:val="006629AD"/>
    <w:rsid w:val="00662FA5"/>
    <w:rsid w:val="00663021"/>
    <w:rsid w:val="0066308D"/>
    <w:rsid w:val="00663109"/>
    <w:rsid w:val="00663A3E"/>
    <w:rsid w:val="00663CC1"/>
    <w:rsid w:val="006640B9"/>
    <w:rsid w:val="006646EF"/>
    <w:rsid w:val="00664856"/>
    <w:rsid w:val="006649B1"/>
    <w:rsid w:val="006649E5"/>
    <w:rsid w:val="00664A3B"/>
    <w:rsid w:val="00664A9E"/>
    <w:rsid w:val="00664CBB"/>
    <w:rsid w:val="00664EDB"/>
    <w:rsid w:val="00665088"/>
    <w:rsid w:val="00665367"/>
    <w:rsid w:val="006653AC"/>
    <w:rsid w:val="006653B1"/>
    <w:rsid w:val="006655A7"/>
    <w:rsid w:val="00665A0E"/>
    <w:rsid w:val="00665D72"/>
    <w:rsid w:val="0066646D"/>
    <w:rsid w:val="0066666B"/>
    <w:rsid w:val="00666848"/>
    <w:rsid w:val="006669A2"/>
    <w:rsid w:val="00666D0F"/>
    <w:rsid w:val="00666FCF"/>
    <w:rsid w:val="00667056"/>
    <w:rsid w:val="006670A6"/>
    <w:rsid w:val="0066721F"/>
    <w:rsid w:val="006672ED"/>
    <w:rsid w:val="00667313"/>
    <w:rsid w:val="006676AD"/>
    <w:rsid w:val="00667816"/>
    <w:rsid w:val="006679C1"/>
    <w:rsid w:val="00667E5C"/>
    <w:rsid w:val="006702DA"/>
    <w:rsid w:val="006704AE"/>
    <w:rsid w:val="006706FD"/>
    <w:rsid w:val="0067082C"/>
    <w:rsid w:val="006708BB"/>
    <w:rsid w:val="006710D4"/>
    <w:rsid w:val="0067126F"/>
    <w:rsid w:val="0067136F"/>
    <w:rsid w:val="0067144F"/>
    <w:rsid w:val="006715F3"/>
    <w:rsid w:val="00671C04"/>
    <w:rsid w:val="00671CB8"/>
    <w:rsid w:val="00671D07"/>
    <w:rsid w:val="00671DB1"/>
    <w:rsid w:val="006722E2"/>
    <w:rsid w:val="0067252B"/>
    <w:rsid w:val="0067288B"/>
    <w:rsid w:val="00672AAC"/>
    <w:rsid w:val="00672B12"/>
    <w:rsid w:val="00672E72"/>
    <w:rsid w:val="00673011"/>
    <w:rsid w:val="006730F0"/>
    <w:rsid w:val="0067350F"/>
    <w:rsid w:val="006735B4"/>
    <w:rsid w:val="00673601"/>
    <w:rsid w:val="00673658"/>
    <w:rsid w:val="00673795"/>
    <w:rsid w:val="006737EF"/>
    <w:rsid w:val="00673C5A"/>
    <w:rsid w:val="00673E64"/>
    <w:rsid w:val="00674207"/>
    <w:rsid w:val="00674842"/>
    <w:rsid w:val="00674843"/>
    <w:rsid w:val="00674A6A"/>
    <w:rsid w:val="0067509F"/>
    <w:rsid w:val="0067518E"/>
    <w:rsid w:val="006752A9"/>
    <w:rsid w:val="00675BCD"/>
    <w:rsid w:val="00675C36"/>
    <w:rsid w:val="00675F31"/>
    <w:rsid w:val="006760A9"/>
    <w:rsid w:val="00676131"/>
    <w:rsid w:val="006763DA"/>
    <w:rsid w:val="00676A65"/>
    <w:rsid w:val="00676DAB"/>
    <w:rsid w:val="00676E91"/>
    <w:rsid w:val="00677064"/>
    <w:rsid w:val="00677131"/>
    <w:rsid w:val="00677344"/>
    <w:rsid w:val="00677A18"/>
    <w:rsid w:val="0068007E"/>
    <w:rsid w:val="006801C9"/>
    <w:rsid w:val="006802E2"/>
    <w:rsid w:val="00680690"/>
    <w:rsid w:val="00681388"/>
    <w:rsid w:val="0068159E"/>
    <w:rsid w:val="006816DE"/>
    <w:rsid w:val="00681D2E"/>
    <w:rsid w:val="00681FB2"/>
    <w:rsid w:val="00682348"/>
    <w:rsid w:val="0068255E"/>
    <w:rsid w:val="006825F1"/>
    <w:rsid w:val="00682AD1"/>
    <w:rsid w:val="00682FF0"/>
    <w:rsid w:val="00683122"/>
    <w:rsid w:val="00683159"/>
    <w:rsid w:val="00683206"/>
    <w:rsid w:val="00683234"/>
    <w:rsid w:val="0068339C"/>
    <w:rsid w:val="006838B4"/>
    <w:rsid w:val="00683D77"/>
    <w:rsid w:val="00684012"/>
    <w:rsid w:val="00684121"/>
    <w:rsid w:val="0068417D"/>
    <w:rsid w:val="006843C4"/>
    <w:rsid w:val="006844BC"/>
    <w:rsid w:val="00684513"/>
    <w:rsid w:val="0068452D"/>
    <w:rsid w:val="00684597"/>
    <w:rsid w:val="006847CC"/>
    <w:rsid w:val="00684AA5"/>
    <w:rsid w:val="00684B9C"/>
    <w:rsid w:val="00684C67"/>
    <w:rsid w:val="00684EB0"/>
    <w:rsid w:val="00684F39"/>
    <w:rsid w:val="00685365"/>
    <w:rsid w:val="006854E2"/>
    <w:rsid w:val="00685957"/>
    <w:rsid w:val="00686308"/>
    <w:rsid w:val="00686323"/>
    <w:rsid w:val="00686416"/>
    <w:rsid w:val="006864B5"/>
    <w:rsid w:val="006865D4"/>
    <w:rsid w:val="006867EB"/>
    <w:rsid w:val="006868F9"/>
    <w:rsid w:val="00686CF4"/>
    <w:rsid w:val="00686DFA"/>
    <w:rsid w:val="00686E44"/>
    <w:rsid w:val="006870CA"/>
    <w:rsid w:val="0068727B"/>
    <w:rsid w:val="00687284"/>
    <w:rsid w:val="00687B55"/>
    <w:rsid w:val="00690428"/>
    <w:rsid w:val="006906DF"/>
    <w:rsid w:val="00690E33"/>
    <w:rsid w:val="0069110E"/>
    <w:rsid w:val="0069110F"/>
    <w:rsid w:val="0069112E"/>
    <w:rsid w:val="006911BD"/>
    <w:rsid w:val="00691206"/>
    <w:rsid w:val="0069195B"/>
    <w:rsid w:val="0069198A"/>
    <w:rsid w:val="006919F2"/>
    <w:rsid w:val="00691AD3"/>
    <w:rsid w:val="00691B9F"/>
    <w:rsid w:val="00691CA8"/>
    <w:rsid w:val="0069225D"/>
    <w:rsid w:val="0069251B"/>
    <w:rsid w:val="00692C3A"/>
    <w:rsid w:val="00692DBC"/>
    <w:rsid w:val="00692E31"/>
    <w:rsid w:val="00692F86"/>
    <w:rsid w:val="006931EF"/>
    <w:rsid w:val="00693379"/>
    <w:rsid w:val="006937AA"/>
    <w:rsid w:val="00693A41"/>
    <w:rsid w:val="00693CFB"/>
    <w:rsid w:val="00693D5B"/>
    <w:rsid w:val="00693F16"/>
    <w:rsid w:val="00694121"/>
    <w:rsid w:val="00694278"/>
    <w:rsid w:val="006942DA"/>
    <w:rsid w:val="006943F0"/>
    <w:rsid w:val="00694525"/>
    <w:rsid w:val="0069468E"/>
    <w:rsid w:val="00694B8C"/>
    <w:rsid w:val="00694B9F"/>
    <w:rsid w:val="00694BF3"/>
    <w:rsid w:val="00695301"/>
    <w:rsid w:val="006954B4"/>
    <w:rsid w:val="0069581F"/>
    <w:rsid w:val="00695A25"/>
    <w:rsid w:val="0069623D"/>
    <w:rsid w:val="00696258"/>
    <w:rsid w:val="0069645B"/>
    <w:rsid w:val="006964DC"/>
    <w:rsid w:val="00696682"/>
    <w:rsid w:val="006966C0"/>
    <w:rsid w:val="00696844"/>
    <w:rsid w:val="00696EAA"/>
    <w:rsid w:val="006975ED"/>
    <w:rsid w:val="006979A2"/>
    <w:rsid w:val="00697D11"/>
    <w:rsid w:val="006A0224"/>
    <w:rsid w:val="006A05A3"/>
    <w:rsid w:val="006A0662"/>
    <w:rsid w:val="006A0781"/>
    <w:rsid w:val="006A0B87"/>
    <w:rsid w:val="006A0DC6"/>
    <w:rsid w:val="006A1298"/>
    <w:rsid w:val="006A12A2"/>
    <w:rsid w:val="006A1315"/>
    <w:rsid w:val="006A1596"/>
    <w:rsid w:val="006A1C41"/>
    <w:rsid w:val="006A1CBD"/>
    <w:rsid w:val="006A1F67"/>
    <w:rsid w:val="006A2048"/>
    <w:rsid w:val="006A2222"/>
    <w:rsid w:val="006A2492"/>
    <w:rsid w:val="006A2747"/>
    <w:rsid w:val="006A295F"/>
    <w:rsid w:val="006A2A37"/>
    <w:rsid w:val="006A2D69"/>
    <w:rsid w:val="006A2DDE"/>
    <w:rsid w:val="006A30B3"/>
    <w:rsid w:val="006A31B9"/>
    <w:rsid w:val="006A3270"/>
    <w:rsid w:val="006A345A"/>
    <w:rsid w:val="006A3931"/>
    <w:rsid w:val="006A3CA2"/>
    <w:rsid w:val="006A4027"/>
    <w:rsid w:val="006A4A71"/>
    <w:rsid w:val="006A4A7D"/>
    <w:rsid w:val="006A4E98"/>
    <w:rsid w:val="006A54A3"/>
    <w:rsid w:val="006A56F7"/>
    <w:rsid w:val="006A5924"/>
    <w:rsid w:val="006A59AC"/>
    <w:rsid w:val="006A5AEE"/>
    <w:rsid w:val="006A5B54"/>
    <w:rsid w:val="006A5BA1"/>
    <w:rsid w:val="006A5BEC"/>
    <w:rsid w:val="006A5D8E"/>
    <w:rsid w:val="006A61E0"/>
    <w:rsid w:val="006A61E8"/>
    <w:rsid w:val="006A6304"/>
    <w:rsid w:val="006A64DF"/>
    <w:rsid w:val="006A6DC9"/>
    <w:rsid w:val="006A70A0"/>
    <w:rsid w:val="006A714A"/>
    <w:rsid w:val="006A717A"/>
    <w:rsid w:val="006A7917"/>
    <w:rsid w:val="006A7AD5"/>
    <w:rsid w:val="006A7C2E"/>
    <w:rsid w:val="006A7EA3"/>
    <w:rsid w:val="006B0098"/>
    <w:rsid w:val="006B07B1"/>
    <w:rsid w:val="006B0810"/>
    <w:rsid w:val="006B083D"/>
    <w:rsid w:val="006B083E"/>
    <w:rsid w:val="006B0EA9"/>
    <w:rsid w:val="006B1062"/>
    <w:rsid w:val="006B1843"/>
    <w:rsid w:val="006B1C66"/>
    <w:rsid w:val="006B1D2E"/>
    <w:rsid w:val="006B1DB7"/>
    <w:rsid w:val="006B1E81"/>
    <w:rsid w:val="006B1F98"/>
    <w:rsid w:val="006B2082"/>
    <w:rsid w:val="006B2195"/>
    <w:rsid w:val="006B226A"/>
    <w:rsid w:val="006B2323"/>
    <w:rsid w:val="006B242E"/>
    <w:rsid w:val="006B265A"/>
    <w:rsid w:val="006B2719"/>
    <w:rsid w:val="006B2CFE"/>
    <w:rsid w:val="006B2EF0"/>
    <w:rsid w:val="006B302A"/>
    <w:rsid w:val="006B326D"/>
    <w:rsid w:val="006B3471"/>
    <w:rsid w:val="006B36B0"/>
    <w:rsid w:val="006B3A24"/>
    <w:rsid w:val="006B3DC5"/>
    <w:rsid w:val="006B3F03"/>
    <w:rsid w:val="006B3F0F"/>
    <w:rsid w:val="006B3F31"/>
    <w:rsid w:val="006B404F"/>
    <w:rsid w:val="006B414D"/>
    <w:rsid w:val="006B41FF"/>
    <w:rsid w:val="006B444B"/>
    <w:rsid w:val="006B4677"/>
    <w:rsid w:val="006B47AA"/>
    <w:rsid w:val="006B4B42"/>
    <w:rsid w:val="006B4CF9"/>
    <w:rsid w:val="006B4DAA"/>
    <w:rsid w:val="006B541B"/>
    <w:rsid w:val="006B541D"/>
    <w:rsid w:val="006B5755"/>
    <w:rsid w:val="006B584B"/>
    <w:rsid w:val="006B5886"/>
    <w:rsid w:val="006B58FD"/>
    <w:rsid w:val="006B5AE3"/>
    <w:rsid w:val="006B5EC0"/>
    <w:rsid w:val="006B626C"/>
    <w:rsid w:val="006B6686"/>
    <w:rsid w:val="006B67A5"/>
    <w:rsid w:val="006B6842"/>
    <w:rsid w:val="006B686A"/>
    <w:rsid w:val="006B697B"/>
    <w:rsid w:val="006B6D5F"/>
    <w:rsid w:val="006B6D65"/>
    <w:rsid w:val="006B6E56"/>
    <w:rsid w:val="006B6E79"/>
    <w:rsid w:val="006B6F9D"/>
    <w:rsid w:val="006B6FDA"/>
    <w:rsid w:val="006B728B"/>
    <w:rsid w:val="006B740E"/>
    <w:rsid w:val="006B7438"/>
    <w:rsid w:val="006B7679"/>
    <w:rsid w:val="006B76D9"/>
    <w:rsid w:val="006B78D5"/>
    <w:rsid w:val="006B7B84"/>
    <w:rsid w:val="006B7BA9"/>
    <w:rsid w:val="006B7EDC"/>
    <w:rsid w:val="006B7F49"/>
    <w:rsid w:val="006C0532"/>
    <w:rsid w:val="006C05D0"/>
    <w:rsid w:val="006C064D"/>
    <w:rsid w:val="006C089F"/>
    <w:rsid w:val="006C0DDB"/>
    <w:rsid w:val="006C1254"/>
    <w:rsid w:val="006C150A"/>
    <w:rsid w:val="006C1728"/>
    <w:rsid w:val="006C1749"/>
    <w:rsid w:val="006C1C66"/>
    <w:rsid w:val="006C1E90"/>
    <w:rsid w:val="006C1E94"/>
    <w:rsid w:val="006C1EFC"/>
    <w:rsid w:val="006C224A"/>
    <w:rsid w:val="006C252F"/>
    <w:rsid w:val="006C269A"/>
    <w:rsid w:val="006C27E1"/>
    <w:rsid w:val="006C2891"/>
    <w:rsid w:val="006C2BBA"/>
    <w:rsid w:val="006C2C0F"/>
    <w:rsid w:val="006C2FC2"/>
    <w:rsid w:val="006C3092"/>
    <w:rsid w:val="006C3162"/>
    <w:rsid w:val="006C33FE"/>
    <w:rsid w:val="006C3863"/>
    <w:rsid w:val="006C3944"/>
    <w:rsid w:val="006C3EA1"/>
    <w:rsid w:val="006C3F5F"/>
    <w:rsid w:val="006C3F70"/>
    <w:rsid w:val="006C41C1"/>
    <w:rsid w:val="006C4451"/>
    <w:rsid w:val="006C4514"/>
    <w:rsid w:val="006C46A0"/>
    <w:rsid w:val="006C4B70"/>
    <w:rsid w:val="006C4FE2"/>
    <w:rsid w:val="006C509D"/>
    <w:rsid w:val="006C5121"/>
    <w:rsid w:val="006C517B"/>
    <w:rsid w:val="006C51CA"/>
    <w:rsid w:val="006C5285"/>
    <w:rsid w:val="006C53E0"/>
    <w:rsid w:val="006C54C4"/>
    <w:rsid w:val="006C591B"/>
    <w:rsid w:val="006C59B3"/>
    <w:rsid w:val="006C5B0A"/>
    <w:rsid w:val="006C5D0E"/>
    <w:rsid w:val="006C5D98"/>
    <w:rsid w:val="006C5EEB"/>
    <w:rsid w:val="006C5F1E"/>
    <w:rsid w:val="006C6488"/>
    <w:rsid w:val="006C65B3"/>
    <w:rsid w:val="006C66EC"/>
    <w:rsid w:val="006C6B55"/>
    <w:rsid w:val="006C6F33"/>
    <w:rsid w:val="006C78ED"/>
    <w:rsid w:val="006C7A45"/>
    <w:rsid w:val="006C7A7F"/>
    <w:rsid w:val="006C7C34"/>
    <w:rsid w:val="006C7D29"/>
    <w:rsid w:val="006D02E5"/>
    <w:rsid w:val="006D0BB4"/>
    <w:rsid w:val="006D0E65"/>
    <w:rsid w:val="006D0F23"/>
    <w:rsid w:val="006D118F"/>
    <w:rsid w:val="006D1503"/>
    <w:rsid w:val="006D1511"/>
    <w:rsid w:val="006D1625"/>
    <w:rsid w:val="006D18FD"/>
    <w:rsid w:val="006D1944"/>
    <w:rsid w:val="006D199B"/>
    <w:rsid w:val="006D1BC8"/>
    <w:rsid w:val="006D1C23"/>
    <w:rsid w:val="006D1E0F"/>
    <w:rsid w:val="006D1F1E"/>
    <w:rsid w:val="006D2167"/>
    <w:rsid w:val="006D2560"/>
    <w:rsid w:val="006D292B"/>
    <w:rsid w:val="006D2975"/>
    <w:rsid w:val="006D2997"/>
    <w:rsid w:val="006D2AA9"/>
    <w:rsid w:val="006D2C30"/>
    <w:rsid w:val="006D2E84"/>
    <w:rsid w:val="006D2FB6"/>
    <w:rsid w:val="006D34CC"/>
    <w:rsid w:val="006D361F"/>
    <w:rsid w:val="006D3897"/>
    <w:rsid w:val="006D3F2E"/>
    <w:rsid w:val="006D3FCE"/>
    <w:rsid w:val="006D4251"/>
    <w:rsid w:val="006D4604"/>
    <w:rsid w:val="006D473E"/>
    <w:rsid w:val="006D476F"/>
    <w:rsid w:val="006D485A"/>
    <w:rsid w:val="006D4B1E"/>
    <w:rsid w:val="006D4B6C"/>
    <w:rsid w:val="006D4D71"/>
    <w:rsid w:val="006D4FA5"/>
    <w:rsid w:val="006D51CB"/>
    <w:rsid w:val="006D54FA"/>
    <w:rsid w:val="006D5562"/>
    <w:rsid w:val="006D575C"/>
    <w:rsid w:val="006D57B7"/>
    <w:rsid w:val="006D5A05"/>
    <w:rsid w:val="006D5A5E"/>
    <w:rsid w:val="006D5CBD"/>
    <w:rsid w:val="006D5D2B"/>
    <w:rsid w:val="006D5E41"/>
    <w:rsid w:val="006D61E9"/>
    <w:rsid w:val="006D6471"/>
    <w:rsid w:val="006D649C"/>
    <w:rsid w:val="006D670A"/>
    <w:rsid w:val="006D68B1"/>
    <w:rsid w:val="006D6A65"/>
    <w:rsid w:val="006D6AAB"/>
    <w:rsid w:val="006D6ACE"/>
    <w:rsid w:val="006D6B09"/>
    <w:rsid w:val="006D6CED"/>
    <w:rsid w:val="006D6EEA"/>
    <w:rsid w:val="006D7323"/>
    <w:rsid w:val="006D7502"/>
    <w:rsid w:val="006D7669"/>
    <w:rsid w:val="006D76D4"/>
    <w:rsid w:val="006D78A0"/>
    <w:rsid w:val="006D7D82"/>
    <w:rsid w:val="006D7F09"/>
    <w:rsid w:val="006E05C6"/>
    <w:rsid w:val="006E06C3"/>
    <w:rsid w:val="006E091E"/>
    <w:rsid w:val="006E0934"/>
    <w:rsid w:val="006E09AD"/>
    <w:rsid w:val="006E0A7D"/>
    <w:rsid w:val="006E0B3D"/>
    <w:rsid w:val="006E0C93"/>
    <w:rsid w:val="006E151B"/>
    <w:rsid w:val="006E16AB"/>
    <w:rsid w:val="006E17EF"/>
    <w:rsid w:val="006E1C38"/>
    <w:rsid w:val="006E1CAE"/>
    <w:rsid w:val="006E1D76"/>
    <w:rsid w:val="006E22B0"/>
    <w:rsid w:val="006E23CD"/>
    <w:rsid w:val="006E290D"/>
    <w:rsid w:val="006E2B23"/>
    <w:rsid w:val="006E31D5"/>
    <w:rsid w:val="006E396E"/>
    <w:rsid w:val="006E3980"/>
    <w:rsid w:val="006E3D08"/>
    <w:rsid w:val="006E3F2A"/>
    <w:rsid w:val="006E3FC2"/>
    <w:rsid w:val="006E4559"/>
    <w:rsid w:val="006E47DF"/>
    <w:rsid w:val="006E4C21"/>
    <w:rsid w:val="006E4E84"/>
    <w:rsid w:val="006E4FAA"/>
    <w:rsid w:val="006E51AF"/>
    <w:rsid w:val="006E5396"/>
    <w:rsid w:val="006E551F"/>
    <w:rsid w:val="006E5545"/>
    <w:rsid w:val="006E5765"/>
    <w:rsid w:val="006E5AFC"/>
    <w:rsid w:val="006E5CCD"/>
    <w:rsid w:val="006E5FB5"/>
    <w:rsid w:val="006E6449"/>
    <w:rsid w:val="006E6529"/>
    <w:rsid w:val="006E6585"/>
    <w:rsid w:val="006E68A5"/>
    <w:rsid w:val="006E6DB4"/>
    <w:rsid w:val="006E6ED9"/>
    <w:rsid w:val="006E6F80"/>
    <w:rsid w:val="006E71E6"/>
    <w:rsid w:val="006E723D"/>
    <w:rsid w:val="006E77E4"/>
    <w:rsid w:val="006E7A70"/>
    <w:rsid w:val="006E7AF8"/>
    <w:rsid w:val="006E7B56"/>
    <w:rsid w:val="006E7BCE"/>
    <w:rsid w:val="006E7DC8"/>
    <w:rsid w:val="006E7E90"/>
    <w:rsid w:val="006F0066"/>
    <w:rsid w:val="006F02E9"/>
    <w:rsid w:val="006F03E1"/>
    <w:rsid w:val="006F04C6"/>
    <w:rsid w:val="006F0650"/>
    <w:rsid w:val="006F076B"/>
    <w:rsid w:val="006F0840"/>
    <w:rsid w:val="006F0B93"/>
    <w:rsid w:val="006F12A0"/>
    <w:rsid w:val="006F13F2"/>
    <w:rsid w:val="006F1481"/>
    <w:rsid w:val="006F1671"/>
    <w:rsid w:val="006F1ABB"/>
    <w:rsid w:val="006F1AF6"/>
    <w:rsid w:val="006F1BDB"/>
    <w:rsid w:val="006F1F75"/>
    <w:rsid w:val="006F2170"/>
    <w:rsid w:val="006F21ED"/>
    <w:rsid w:val="006F2235"/>
    <w:rsid w:val="006F225D"/>
    <w:rsid w:val="006F2958"/>
    <w:rsid w:val="006F2A0C"/>
    <w:rsid w:val="006F2AC0"/>
    <w:rsid w:val="006F2B7D"/>
    <w:rsid w:val="006F2C48"/>
    <w:rsid w:val="006F2C80"/>
    <w:rsid w:val="006F352C"/>
    <w:rsid w:val="006F366B"/>
    <w:rsid w:val="006F3679"/>
    <w:rsid w:val="006F3F9A"/>
    <w:rsid w:val="006F46DC"/>
    <w:rsid w:val="006F479A"/>
    <w:rsid w:val="006F48ED"/>
    <w:rsid w:val="006F4AA2"/>
    <w:rsid w:val="006F4BCF"/>
    <w:rsid w:val="006F4D3F"/>
    <w:rsid w:val="006F5267"/>
    <w:rsid w:val="006F5688"/>
    <w:rsid w:val="006F5742"/>
    <w:rsid w:val="006F59C7"/>
    <w:rsid w:val="006F5E9A"/>
    <w:rsid w:val="006F61FD"/>
    <w:rsid w:val="006F624B"/>
    <w:rsid w:val="006F628C"/>
    <w:rsid w:val="006F6436"/>
    <w:rsid w:val="006F6766"/>
    <w:rsid w:val="006F6884"/>
    <w:rsid w:val="006F7117"/>
    <w:rsid w:val="006F767F"/>
    <w:rsid w:val="006F779C"/>
    <w:rsid w:val="006F79A1"/>
    <w:rsid w:val="006F79AC"/>
    <w:rsid w:val="006F79DC"/>
    <w:rsid w:val="006F7DC0"/>
    <w:rsid w:val="0070046D"/>
    <w:rsid w:val="00700544"/>
    <w:rsid w:val="007008BE"/>
    <w:rsid w:val="00700950"/>
    <w:rsid w:val="00700B52"/>
    <w:rsid w:val="00700E2C"/>
    <w:rsid w:val="00700FE7"/>
    <w:rsid w:val="007010F4"/>
    <w:rsid w:val="0070120E"/>
    <w:rsid w:val="0070135E"/>
    <w:rsid w:val="00701563"/>
    <w:rsid w:val="0070168E"/>
    <w:rsid w:val="007016EC"/>
    <w:rsid w:val="00701828"/>
    <w:rsid w:val="0070185C"/>
    <w:rsid w:val="00701AC3"/>
    <w:rsid w:val="00701AE7"/>
    <w:rsid w:val="00701BCD"/>
    <w:rsid w:val="00701D55"/>
    <w:rsid w:val="00701ED3"/>
    <w:rsid w:val="007021D3"/>
    <w:rsid w:val="0070221C"/>
    <w:rsid w:val="007022A5"/>
    <w:rsid w:val="00702553"/>
    <w:rsid w:val="00702891"/>
    <w:rsid w:val="00702E1B"/>
    <w:rsid w:val="00702EBF"/>
    <w:rsid w:val="007031BB"/>
    <w:rsid w:val="00703394"/>
    <w:rsid w:val="00703470"/>
    <w:rsid w:val="007036E4"/>
    <w:rsid w:val="007037BB"/>
    <w:rsid w:val="007038AA"/>
    <w:rsid w:val="00703D91"/>
    <w:rsid w:val="00703DD3"/>
    <w:rsid w:val="0070415B"/>
    <w:rsid w:val="007042BD"/>
    <w:rsid w:val="007045C8"/>
    <w:rsid w:val="007049EC"/>
    <w:rsid w:val="00704A6A"/>
    <w:rsid w:val="00704BC5"/>
    <w:rsid w:val="0070510A"/>
    <w:rsid w:val="007054B6"/>
    <w:rsid w:val="0070598E"/>
    <w:rsid w:val="00705C92"/>
    <w:rsid w:val="00705D0B"/>
    <w:rsid w:val="00705D31"/>
    <w:rsid w:val="00706329"/>
    <w:rsid w:val="00706723"/>
    <w:rsid w:val="007067C1"/>
    <w:rsid w:val="0070699B"/>
    <w:rsid w:val="00706C0B"/>
    <w:rsid w:val="00706E75"/>
    <w:rsid w:val="00707158"/>
    <w:rsid w:val="007072FC"/>
    <w:rsid w:val="00707C66"/>
    <w:rsid w:val="00707E60"/>
    <w:rsid w:val="00707FC6"/>
    <w:rsid w:val="00710265"/>
    <w:rsid w:val="007103C9"/>
    <w:rsid w:val="0071048E"/>
    <w:rsid w:val="007107D7"/>
    <w:rsid w:val="0071097D"/>
    <w:rsid w:val="00710A6A"/>
    <w:rsid w:val="00710C72"/>
    <w:rsid w:val="0071105F"/>
    <w:rsid w:val="007111F5"/>
    <w:rsid w:val="007114B4"/>
    <w:rsid w:val="007115ED"/>
    <w:rsid w:val="007118B9"/>
    <w:rsid w:val="00711AC5"/>
    <w:rsid w:val="00711BDE"/>
    <w:rsid w:val="00711EB6"/>
    <w:rsid w:val="00711EFE"/>
    <w:rsid w:val="00712159"/>
    <w:rsid w:val="00712458"/>
    <w:rsid w:val="007124F3"/>
    <w:rsid w:val="00712577"/>
    <w:rsid w:val="0071271F"/>
    <w:rsid w:val="007128DD"/>
    <w:rsid w:val="007128F6"/>
    <w:rsid w:val="007129A6"/>
    <w:rsid w:val="00712D4C"/>
    <w:rsid w:val="00712F11"/>
    <w:rsid w:val="0071303E"/>
    <w:rsid w:val="0071322F"/>
    <w:rsid w:val="007133C3"/>
    <w:rsid w:val="00713719"/>
    <w:rsid w:val="0071377E"/>
    <w:rsid w:val="007137FB"/>
    <w:rsid w:val="0071396D"/>
    <w:rsid w:val="0071415B"/>
    <w:rsid w:val="007141EF"/>
    <w:rsid w:val="00714407"/>
    <w:rsid w:val="0071493C"/>
    <w:rsid w:val="00714BC2"/>
    <w:rsid w:val="00715004"/>
    <w:rsid w:val="0071533F"/>
    <w:rsid w:val="00715608"/>
    <w:rsid w:val="00715908"/>
    <w:rsid w:val="00715945"/>
    <w:rsid w:val="00715B98"/>
    <w:rsid w:val="00715C2F"/>
    <w:rsid w:val="00715D0E"/>
    <w:rsid w:val="00716162"/>
    <w:rsid w:val="007162A3"/>
    <w:rsid w:val="007162E6"/>
    <w:rsid w:val="007166BB"/>
    <w:rsid w:val="007168CB"/>
    <w:rsid w:val="00716D02"/>
    <w:rsid w:val="00716FE1"/>
    <w:rsid w:val="0071716A"/>
    <w:rsid w:val="007171D3"/>
    <w:rsid w:val="007171F4"/>
    <w:rsid w:val="007175E9"/>
    <w:rsid w:val="00717BF6"/>
    <w:rsid w:val="00717FBA"/>
    <w:rsid w:val="0072022D"/>
    <w:rsid w:val="00720285"/>
    <w:rsid w:val="00720592"/>
    <w:rsid w:val="00720929"/>
    <w:rsid w:val="007209EC"/>
    <w:rsid w:val="00720A5A"/>
    <w:rsid w:val="00720F2A"/>
    <w:rsid w:val="00721003"/>
    <w:rsid w:val="0072110D"/>
    <w:rsid w:val="00721114"/>
    <w:rsid w:val="00721119"/>
    <w:rsid w:val="00721493"/>
    <w:rsid w:val="0072156A"/>
    <w:rsid w:val="007219FF"/>
    <w:rsid w:val="00721A25"/>
    <w:rsid w:val="007222DC"/>
    <w:rsid w:val="007223BB"/>
    <w:rsid w:val="007224B7"/>
    <w:rsid w:val="00722A0E"/>
    <w:rsid w:val="00722A81"/>
    <w:rsid w:val="00722B0F"/>
    <w:rsid w:val="00722D68"/>
    <w:rsid w:val="007233F0"/>
    <w:rsid w:val="00723470"/>
    <w:rsid w:val="00723A1E"/>
    <w:rsid w:val="00723B19"/>
    <w:rsid w:val="00723F7E"/>
    <w:rsid w:val="00724108"/>
    <w:rsid w:val="0072419B"/>
    <w:rsid w:val="007241C4"/>
    <w:rsid w:val="007242B1"/>
    <w:rsid w:val="007245F3"/>
    <w:rsid w:val="007246E5"/>
    <w:rsid w:val="0072495E"/>
    <w:rsid w:val="00724B14"/>
    <w:rsid w:val="007257B2"/>
    <w:rsid w:val="00725D4D"/>
    <w:rsid w:val="00725F65"/>
    <w:rsid w:val="00726034"/>
    <w:rsid w:val="00726C0A"/>
    <w:rsid w:val="00727096"/>
    <w:rsid w:val="00727385"/>
    <w:rsid w:val="007274F6"/>
    <w:rsid w:val="00727633"/>
    <w:rsid w:val="007277BC"/>
    <w:rsid w:val="00727A20"/>
    <w:rsid w:val="00727ABC"/>
    <w:rsid w:val="00727B1D"/>
    <w:rsid w:val="00727C24"/>
    <w:rsid w:val="00727FF1"/>
    <w:rsid w:val="007303E7"/>
    <w:rsid w:val="007307A0"/>
    <w:rsid w:val="0073080A"/>
    <w:rsid w:val="0073083C"/>
    <w:rsid w:val="00730D4A"/>
    <w:rsid w:val="00730DC4"/>
    <w:rsid w:val="00730EAC"/>
    <w:rsid w:val="00730F44"/>
    <w:rsid w:val="007312CC"/>
    <w:rsid w:val="00731562"/>
    <w:rsid w:val="007319A6"/>
    <w:rsid w:val="00731B20"/>
    <w:rsid w:val="00731F49"/>
    <w:rsid w:val="0073215A"/>
    <w:rsid w:val="00732719"/>
    <w:rsid w:val="00732A3A"/>
    <w:rsid w:val="00732E91"/>
    <w:rsid w:val="00733337"/>
    <w:rsid w:val="007333C7"/>
    <w:rsid w:val="007334E9"/>
    <w:rsid w:val="00733590"/>
    <w:rsid w:val="007338E7"/>
    <w:rsid w:val="00733959"/>
    <w:rsid w:val="00733BEF"/>
    <w:rsid w:val="00733BF3"/>
    <w:rsid w:val="00733EF7"/>
    <w:rsid w:val="0073422B"/>
    <w:rsid w:val="00734376"/>
    <w:rsid w:val="00734451"/>
    <w:rsid w:val="00734BB4"/>
    <w:rsid w:val="00734C50"/>
    <w:rsid w:val="00734D33"/>
    <w:rsid w:val="00734DF8"/>
    <w:rsid w:val="00734FDC"/>
    <w:rsid w:val="007355E7"/>
    <w:rsid w:val="00735675"/>
    <w:rsid w:val="007359C2"/>
    <w:rsid w:val="00735A04"/>
    <w:rsid w:val="00735C61"/>
    <w:rsid w:val="0073618A"/>
    <w:rsid w:val="00736337"/>
    <w:rsid w:val="00736355"/>
    <w:rsid w:val="00736505"/>
    <w:rsid w:val="007365B6"/>
    <w:rsid w:val="00736887"/>
    <w:rsid w:val="00736909"/>
    <w:rsid w:val="00736A76"/>
    <w:rsid w:val="00736C62"/>
    <w:rsid w:val="0073706B"/>
    <w:rsid w:val="00737672"/>
    <w:rsid w:val="007376D6"/>
    <w:rsid w:val="00737B79"/>
    <w:rsid w:val="00737BCD"/>
    <w:rsid w:val="00737F23"/>
    <w:rsid w:val="00740011"/>
    <w:rsid w:val="00740020"/>
    <w:rsid w:val="0074022B"/>
    <w:rsid w:val="00740569"/>
    <w:rsid w:val="00740829"/>
    <w:rsid w:val="00740C44"/>
    <w:rsid w:val="00740E47"/>
    <w:rsid w:val="0074119E"/>
    <w:rsid w:val="007414BF"/>
    <w:rsid w:val="007415B4"/>
    <w:rsid w:val="007417D6"/>
    <w:rsid w:val="0074184E"/>
    <w:rsid w:val="0074190F"/>
    <w:rsid w:val="00741E24"/>
    <w:rsid w:val="007420BA"/>
    <w:rsid w:val="007420D7"/>
    <w:rsid w:val="00742390"/>
    <w:rsid w:val="0074243E"/>
    <w:rsid w:val="007424C3"/>
    <w:rsid w:val="00742539"/>
    <w:rsid w:val="0074264C"/>
    <w:rsid w:val="0074271B"/>
    <w:rsid w:val="00742986"/>
    <w:rsid w:val="007429DF"/>
    <w:rsid w:val="00743166"/>
    <w:rsid w:val="007433CE"/>
    <w:rsid w:val="007433E1"/>
    <w:rsid w:val="007434BF"/>
    <w:rsid w:val="007436A6"/>
    <w:rsid w:val="00743748"/>
    <w:rsid w:val="00743849"/>
    <w:rsid w:val="0074386E"/>
    <w:rsid w:val="007438C2"/>
    <w:rsid w:val="00744158"/>
    <w:rsid w:val="00744654"/>
    <w:rsid w:val="00744B0D"/>
    <w:rsid w:val="00744EB5"/>
    <w:rsid w:val="007450A2"/>
    <w:rsid w:val="00745126"/>
    <w:rsid w:val="0074536E"/>
    <w:rsid w:val="00745378"/>
    <w:rsid w:val="00745579"/>
    <w:rsid w:val="007456A5"/>
    <w:rsid w:val="007460D3"/>
    <w:rsid w:val="007462F5"/>
    <w:rsid w:val="0074661D"/>
    <w:rsid w:val="007466AA"/>
    <w:rsid w:val="007469B0"/>
    <w:rsid w:val="00746C78"/>
    <w:rsid w:val="00746D68"/>
    <w:rsid w:val="00746E13"/>
    <w:rsid w:val="007470C1"/>
    <w:rsid w:val="00747996"/>
    <w:rsid w:val="00747A01"/>
    <w:rsid w:val="00747A13"/>
    <w:rsid w:val="00747BE5"/>
    <w:rsid w:val="00747C03"/>
    <w:rsid w:val="0075032C"/>
    <w:rsid w:val="007506E3"/>
    <w:rsid w:val="0075072B"/>
    <w:rsid w:val="0075087F"/>
    <w:rsid w:val="007508A4"/>
    <w:rsid w:val="007508F9"/>
    <w:rsid w:val="00750E6F"/>
    <w:rsid w:val="00750F58"/>
    <w:rsid w:val="00751394"/>
    <w:rsid w:val="0075140C"/>
    <w:rsid w:val="0075167F"/>
    <w:rsid w:val="007516AA"/>
    <w:rsid w:val="007516D5"/>
    <w:rsid w:val="00751B0F"/>
    <w:rsid w:val="00751B73"/>
    <w:rsid w:val="00752003"/>
    <w:rsid w:val="007520D6"/>
    <w:rsid w:val="007521D5"/>
    <w:rsid w:val="0075232F"/>
    <w:rsid w:val="0075245C"/>
    <w:rsid w:val="00752646"/>
    <w:rsid w:val="0075265B"/>
    <w:rsid w:val="0075271D"/>
    <w:rsid w:val="00752787"/>
    <w:rsid w:val="007528E3"/>
    <w:rsid w:val="0075293D"/>
    <w:rsid w:val="007529C9"/>
    <w:rsid w:val="00752D2E"/>
    <w:rsid w:val="00752D4A"/>
    <w:rsid w:val="00752EA0"/>
    <w:rsid w:val="00753168"/>
    <w:rsid w:val="00753201"/>
    <w:rsid w:val="007534C8"/>
    <w:rsid w:val="007537F5"/>
    <w:rsid w:val="00753998"/>
    <w:rsid w:val="00753B71"/>
    <w:rsid w:val="00753DE6"/>
    <w:rsid w:val="00753EFF"/>
    <w:rsid w:val="00753F68"/>
    <w:rsid w:val="00753F82"/>
    <w:rsid w:val="00754074"/>
    <w:rsid w:val="007547DF"/>
    <w:rsid w:val="007548A6"/>
    <w:rsid w:val="0075493F"/>
    <w:rsid w:val="00754ABB"/>
    <w:rsid w:val="00754E74"/>
    <w:rsid w:val="00754F29"/>
    <w:rsid w:val="0075527B"/>
    <w:rsid w:val="0075564C"/>
    <w:rsid w:val="00755CBF"/>
    <w:rsid w:val="00756014"/>
    <w:rsid w:val="00756155"/>
    <w:rsid w:val="00756387"/>
    <w:rsid w:val="007565EB"/>
    <w:rsid w:val="0075673F"/>
    <w:rsid w:val="007569DC"/>
    <w:rsid w:val="00756A60"/>
    <w:rsid w:val="00756B92"/>
    <w:rsid w:val="00756D19"/>
    <w:rsid w:val="00756F78"/>
    <w:rsid w:val="00757452"/>
    <w:rsid w:val="0075751A"/>
    <w:rsid w:val="007575DB"/>
    <w:rsid w:val="007575FA"/>
    <w:rsid w:val="007579DD"/>
    <w:rsid w:val="00757A5D"/>
    <w:rsid w:val="00757B82"/>
    <w:rsid w:val="00757CB7"/>
    <w:rsid w:val="00757E3B"/>
    <w:rsid w:val="00760014"/>
    <w:rsid w:val="007602F8"/>
    <w:rsid w:val="00760364"/>
    <w:rsid w:val="00760375"/>
    <w:rsid w:val="00760762"/>
    <w:rsid w:val="00760A2F"/>
    <w:rsid w:val="00760A64"/>
    <w:rsid w:val="00760CBE"/>
    <w:rsid w:val="0076115A"/>
    <w:rsid w:val="00761282"/>
    <w:rsid w:val="007612F4"/>
    <w:rsid w:val="00761301"/>
    <w:rsid w:val="0076146A"/>
    <w:rsid w:val="0076216F"/>
    <w:rsid w:val="007622B2"/>
    <w:rsid w:val="00762398"/>
    <w:rsid w:val="0076269F"/>
    <w:rsid w:val="007626EE"/>
    <w:rsid w:val="00762728"/>
    <w:rsid w:val="0076275C"/>
    <w:rsid w:val="00762978"/>
    <w:rsid w:val="00762C3D"/>
    <w:rsid w:val="00762E49"/>
    <w:rsid w:val="00763288"/>
    <w:rsid w:val="007632FD"/>
    <w:rsid w:val="00763454"/>
    <w:rsid w:val="007637B8"/>
    <w:rsid w:val="0076392C"/>
    <w:rsid w:val="00763C23"/>
    <w:rsid w:val="00763E76"/>
    <w:rsid w:val="00763EF4"/>
    <w:rsid w:val="00764184"/>
    <w:rsid w:val="00764405"/>
    <w:rsid w:val="0076452C"/>
    <w:rsid w:val="0076455C"/>
    <w:rsid w:val="00764598"/>
    <w:rsid w:val="007648F3"/>
    <w:rsid w:val="00764908"/>
    <w:rsid w:val="00764984"/>
    <w:rsid w:val="00764B43"/>
    <w:rsid w:val="007651FC"/>
    <w:rsid w:val="00765386"/>
    <w:rsid w:val="0076581A"/>
    <w:rsid w:val="007659BC"/>
    <w:rsid w:val="00765FF4"/>
    <w:rsid w:val="0076606A"/>
    <w:rsid w:val="007660B3"/>
    <w:rsid w:val="0076617E"/>
    <w:rsid w:val="0076622C"/>
    <w:rsid w:val="00766487"/>
    <w:rsid w:val="0076687F"/>
    <w:rsid w:val="00766994"/>
    <w:rsid w:val="00766C12"/>
    <w:rsid w:val="00766EBB"/>
    <w:rsid w:val="00766FB4"/>
    <w:rsid w:val="00766FB5"/>
    <w:rsid w:val="007670D0"/>
    <w:rsid w:val="00767304"/>
    <w:rsid w:val="00767694"/>
    <w:rsid w:val="00767736"/>
    <w:rsid w:val="0076778A"/>
    <w:rsid w:val="00767B11"/>
    <w:rsid w:val="00767D06"/>
    <w:rsid w:val="00767D0F"/>
    <w:rsid w:val="00767DE9"/>
    <w:rsid w:val="00770018"/>
    <w:rsid w:val="0077011F"/>
    <w:rsid w:val="00770326"/>
    <w:rsid w:val="00770367"/>
    <w:rsid w:val="007704AE"/>
    <w:rsid w:val="00770623"/>
    <w:rsid w:val="007707E7"/>
    <w:rsid w:val="00770A3F"/>
    <w:rsid w:val="00770B0C"/>
    <w:rsid w:val="00770C2B"/>
    <w:rsid w:val="00770C79"/>
    <w:rsid w:val="007713B4"/>
    <w:rsid w:val="007714FC"/>
    <w:rsid w:val="00771576"/>
    <w:rsid w:val="00771676"/>
    <w:rsid w:val="0077168A"/>
    <w:rsid w:val="007717F4"/>
    <w:rsid w:val="007725B8"/>
    <w:rsid w:val="00772656"/>
    <w:rsid w:val="00772C4C"/>
    <w:rsid w:val="00772D51"/>
    <w:rsid w:val="00772F19"/>
    <w:rsid w:val="00773060"/>
    <w:rsid w:val="0077327F"/>
    <w:rsid w:val="00773487"/>
    <w:rsid w:val="0077350E"/>
    <w:rsid w:val="0077368A"/>
    <w:rsid w:val="0077397D"/>
    <w:rsid w:val="00773A14"/>
    <w:rsid w:val="00774053"/>
    <w:rsid w:val="007743A6"/>
    <w:rsid w:val="0077446A"/>
    <w:rsid w:val="00774A35"/>
    <w:rsid w:val="00774B1B"/>
    <w:rsid w:val="00774C22"/>
    <w:rsid w:val="00774CE4"/>
    <w:rsid w:val="00774D47"/>
    <w:rsid w:val="0077509B"/>
    <w:rsid w:val="007751CC"/>
    <w:rsid w:val="00775295"/>
    <w:rsid w:val="007753D4"/>
    <w:rsid w:val="007754E8"/>
    <w:rsid w:val="00775865"/>
    <w:rsid w:val="0077591D"/>
    <w:rsid w:val="00775AD1"/>
    <w:rsid w:val="00775EE3"/>
    <w:rsid w:val="0077635C"/>
    <w:rsid w:val="0077649F"/>
    <w:rsid w:val="00776ABD"/>
    <w:rsid w:val="00776C5F"/>
    <w:rsid w:val="00776DC3"/>
    <w:rsid w:val="00776E08"/>
    <w:rsid w:val="00776FB0"/>
    <w:rsid w:val="00776FDB"/>
    <w:rsid w:val="00777144"/>
    <w:rsid w:val="0077723C"/>
    <w:rsid w:val="00777381"/>
    <w:rsid w:val="0077746D"/>
    <w:rsid w:val="0077765D"/>
    <w:rsid w:val="007776AD"/>
    <w:rsid w:val="007776BD"/>
    <w:rsid w:val="00777862"/>
    <w:rsid w:val="007778BB"/>
    <w:rsid w:val="00777AF2"/>
    <w:rsid w:val="00777CFA"/>
    <w:rsid w:val="00777D3B"/>
    <w:rsid w:val="00777D4B"/>
    <w:rsid w:val="007800E9"/>
    <w:rsid w:val="007801ED"/>
    <w:rsid w:val="007805B5"/>
    <w:rsid w:val="00780A12"/>
    <w:rsid w:val="00780B0B"/>
    <w:rsid w:val="00780E53"/>
    <w:rsid w:val="00780EF6"/>
    <w:rsid w:val="00781228"/>
    <w:rsid w:val="0078125E"/>
    <w:rsid w:val="00781442"/>
    <w:rsid w:val="0078196E"/>
    <w:rsid w:val="0078199C"/>
    <w:rsid w:val="00781BE6"/>
    <w:rsid w:val="00781C7E"/>
    <w:rsid w:val="00781CD9"/>
    <w:rsid w:val="00781D6E"/>
    <w:rsid w:val="00781D72"/>
    <w:rsid w:val="00781DE5"/>
    <w:rsid w:val="00782189"/>
    <w:rsid w:val="007822BA"/>
    <w:rsid w:val="007822E7"/>
    <w:rsid w:val="007822EF"/>
    <w:rsid w:val="0078251B"/>
    <w:rsid w:val="0078256E"/>
    <w:rsid w:val="007830A1"/>
    <w:rsid w:val="00783190"/>
    <w:rsid w:val="007832BA"/>
    <w:rsid w:val="0078338F"/>
    <w:rsid w:val="00783E0C"/>
    <w:rsid w:val="007840BE"/>
    <w:rsid w:val="00784538"/>
    <w:rsid w:val="00784541"/>
    <w:rsid w:val="00784616"/>
    <w:rsid w:val="00784705"/>
    <w:rsid w:val="00784AB6"/>
    <w:rsid w:val="00784B44"/>
    <w:rsid w:val="00785066"/>
    <w:rsid w:val="007850AF"/>
    <w:rsid w:val="00785867"/>
    <w:rsid w:val="0078587E"/>
    <w:rsid w:val="00785CA9"/>
    <w:rsid w:val="00785EF4"/>
    <w:rsid w:val="007863DA"/>
    <w:rsid w:val="0078681D"/>
    <w:rsid w:val="00787111"/>
    <w:rsid w:val="00787586"/>
    <w:rsid w:val="00787606"/>
    <w:rsid w:val="00787A75"/>
    <w:rsid w:val="00787E06"/>
    <w:rsid w:val="00787F8D"/>
    <w:rsid w:val="007903EA"/>
    <w:rsid w:val="007905BA"/>
    <w:rsid w:val="007905CE"/>
    <w:rsid w:val="00790793"/>
    <w:rsid w:val="00790973"/>
    <w:rsid w:val="00790C33"/>
    <w:rsid w:val="00790EC4"/>
    <w:rsid w:val="00790F3A"/>
    <w:rsid w:val="00791166"/>
    <w:rsid w:val="007913CC"/>
    <w:rsid w:val="00791604"/>
    <w:rsid w:val="00791C43"/>
    <w:rsid w:val="00791CB9"/>
    <w:rsid w:val="00791DED"/>
    <w:rsid w:val="00791DFF"/>
    <w:rsid w:val="007922A8"/>
    <w:rsid w:val="0079253A"/>
    <w:rsid w:val="0079286D"/>
    <w:rsid w:val="00793087"/>
    <w:rsid w:val="00793416"/>
    <w:rsid w:val="0079346F"/>
    <w:rsid w:val="007935F1"/>
    <w:rsid w:val="00793AA2"/>
    <w:rsid w:val="00793C6A"/>
    <w:rsid w:val="00793CD7"/>
    <w:rsid w:val="00794795"/>
    <w:rsid w:val="007947D4"/>
    <w:rsid w:val="00794972"/>
    <w:rsid w:val="00794C22"/>
    <w:rsid w:val="00794C54"/>
    <w:rsid w:val="00795191"/>
    <w:rsid w:val="00795349"/>
    <w:rsid w:val="0079539A"/>
    <w:rsid w:val="0079547F"/>
    <w:rsid w:val="00795548"/>
    <w:rsid w:val="0079626B"/>
    <w:rsid w:val="00796344"/>
    <w:rsid w:val="007963AF"/>
    <w:rsid w:val="007963C7"/>
    <w:rsid w:val="00796455"/>
    <w:rsid w:val="007965AE"/>
    <w:rsid w:val="00796A2C"/>
    <w:rsid w:val="00796C50"/>
    <w:rsid w:val="00796D93"/>
    <w:rsid w:val="00796DEB"/>
    <w:rsid w:val="00796DF6"/>
    <w:rsid w:val="00796F3A"/>
    <w:rsid w:val="0079763D"/>
    <w:rsid w:val="00797675"/>
    <w:rsid w:val="007976D4"/>
    <w:rsid w:val="007979CA"/>
    <w:rsid w:val="00797CD3"/>
    <w:rsid w:val="00797F92"/>
    <w:rsid w:val="007A01A3"/>
    <w:rsid w:val="007A0433"/>
    <w:rsid w:val="007A061E"/>
    <w:rsid w:val="007A0649"/>
    <w:rsid w:val="007A0749"/>
    <w:rsid w:val="007A088D"/>
    <w:rsid w:val="007A0ABA"/>
    <w:rsid w:val="007A0C43"/>
    <w:rsid w:val="007A0D62"/>
    <w:rsid w:val="007A0D6E"/>
    <w:rsid w:val="007A0D8F"/>
    <w:rsid w:val="007A0DAA"/>
    <w:rsid w:val="007A101F"/>
    <w:rsid w:val="007A10DC"/>
    <w:rsid w:val="007A1230"/>
    <w:rsid w:val="007A12CF"/>
    <w:rsid w:val="007A1537"/>
    <w:rsid w:val="007A15FE"/>
    <w:rsid w:val="007A18F9"/>
    <w:rsid w:val="007A1946"/>
    <w:rsid w:val="007A2411"/>
    <w:rsid w:val="007A252B"/>
    <w:rsid w:val="007A2572"/>
    <w:rsid w:val="007A29EA"/>
    <w:rsid w:val="007A2B14"/>
    <w:rsid w:val="007A2C5F"/>
    <w:rsid w:val="007A3423"/>
    <w:rsid w:val="007A3546"/>
    <w:rsid w:val="007A384A"/>
    <w:rsid w:val="007A3BDC"/>
    <w:rsid w:val="007A3BFC"/>
    <w:rsid w:val="007A4C35"/>
    <w:rsid w:val="007A4D6E"/>
    <w:rsid w:val="007A4F4C"/>
    <w:rsid w:val="007A5099"/>
    <w:rsid w:val="007A525E"/>
    <w:rsid w:val="007A53F3"/>
    <w:rsid w:val="007A5455"/>
    <w:rsid w:val="007A548B"/>
    <w:rsid w:val="007A572D"/>
    <w:rsid w:val="007A5BCD"/>
    <w:rsid w:val="007A5C7A"/>
    <w:rsid w:val="007A6080"/>
    <w:rsid w:val="007A61A4"/>
    <w:rsid w:val="007A6767"/>
    <w:rsid w:val="007A69B1"/>
    <w:rsid w:val="007A69C0"/>
    <w:rsid w:val="007A6AD3"/>
    <w:rsid w:val="007A6B1A"/>
    <w:rsid w:val="007A6C05"/>
    <w:rsid w:val="007A6D18"/>
    <w:rsid w:val="007A7066"/>
    <w:rsid w:val="007A7101"/>
    <w:rsid w:val="007A7247"/>
    <w:rsid w:val="007A7267"/>
    <w:rsid w:val="007A73CE"/>
    <w:rsid w:val="007A74DF"/>
    <w:rsid w:val="007A796D"/>
    <w:rsid w:val="007A7A0D"/>
    <w:rsid w:val="007A7A40"/>
    <w:rsid w:val="007A7B98"/>
    <w:rsid w:val="007A7B9F"/>
    <w:rsid w:val="007A7BB8"/>
    <w:rsid w:val="007A7C87"/>
    <w:rsid w:val="007A7E4A"/>
    <w:rsid w:val="007A7EB3"/>
    <w:rsid w:val="007A7F01"/>
    <w:rsid w:val="007B018A"/>
    <w:rsid w:val="007B0434"/>
    <w:rsid w:val="007B0665"/>
    <w:rsid w:val="007B077B"/>
    <w:rsid w:val="007B07A3"/>
    <w:rsid w:val="007B0F71"/>
    <w:rsid w:val="007B11E2"/>
    <w:rsid w:val="007B1253"/>
    <w:rsid w:val="007B1301"/>
    <w:rsid w:val="007B1319"/>
    <w:rsid w:val="007B148A"/>
    <w:rsid w:val="007B14C0"/>
    <w:rsid w:val="007B1650"/>
    <w:rsid w:val="007B1932"/>
    <w:rsid w:val="007B1FC8"/>
    <w:rsid w:val="007B206E"/>
    <w:rsid w:val="007B209E"/>
    <w:rsid w:val="007B20FF"/>
    <w:rsid w:val="007B25BE"/>
    <w:rsid w:val="007B25C5"/>
    <w:rsid w:val="007B269C"/>
    <w:rsid w:val="007B295B"/>
    <w:rsid w:val="007B29CF"/>
    <w:rsid w:val="007B2B63"/>
    <w:rsid w:val="007B2DFD"/>
    <w:rsid w:val="007B2E75"/>
    <w:rsid w:val="007B2F60"/>
    <w:rsid w:val="007B31A9"/>
    <w:rsid w:val="007B321F"/>
    <w:rsid w:val="007B384A"/>
    <w:rsid w:val="007B3909"/>
    <w:rsid w:val="007B3CB0"/>
    <w:rsid w:val="007B3DDE"/>
    <w:rsid w:val="007B4017"/>
    <w:rsid w:val="007B411D"/>
    <w:rsid w:val="007B424C"/>
    <w:rsid w:val="007B45AD"/>
    <w:rsid w:val="007B4774"/>
    <w:rsid w:val="007B4C51"/>
    <w:rsid w:val="007B4D7A"/>
    <w:rsid w:val="007B4E46"/>
    <w:rsid w:val="007B511D"/>
    <w:rsid w:val="007B54FC"/>
    <w:rsid w:val="007B5980"/>
    <w:rsid w:val="007B59F3"/>
    <w:rsid w:val="007B5E57"/>
    <w:rsid w:val="007B5E8C"/>
    <w:rsid w:val="007B5FA6"/>
    <w:rsid w:val="007B610B"/>
    <w:rsid w:val="007B6344"/>
    <w:rsid w:val="007B640D"/>
    <w:rsid w:val="007B6E2C"/>
    <w:rsid w:val="007B7494"/>
    <w:rsid w:val="007B7643"/>
    <w:rsid w:val="007B7D2F"/>
    <w:rsid w:val="007B7E48"/>
    <w:rsid w:val="007C03B2"/>
    <w:rsid w:val="007C0495"/>
    <w:rsid w:val="007C04CE"/>
    <w:rsid w:val="007C0750"/>
    <w:rsid w:val="007C07E5"/>
    <w:rsid w:val="007C0F70"/>
    <w:rsid w:val="007C1134"/>
    <w:rsid w:val="007C153C"/>
    <w:rsid w:val="007C192A"/>
    <w:rsid w:val="007C1938"/>
    <w:rsid w:val="007C1940"/>
    <w:rsid w:val="007C1EEA"/>
    <w:rsid w:val="007C2007"/>
    <w:rsid w:val="007C22CA"/>
    <w:rsid w:val="007C243F"/>
    <w:rsid w:val="007C2557"/>
    <w:rsid w:val="007C2B3D"/>
    <w:rsid w:val="007C2BB7"/>
    <w:rsid w:val="007C2C4F"/>
    <w:rsid w:val="007C2E95"/>
    <w:rsid w:val="007C2EE4"/>
    <w:rsid w:val="007C2F4A"/>
    <w:rsid w:val="007C2FAA"/>
    <w:rsid w:val="007C30EB"/>
    <w:rsid w:val="007C3208"/>
    <w:rsid w:val="007C3367"/>
    <w:rsid w:val="007C3514"/>
    <w:rsid w:val="007C3B7E"/>
    <w:rsid w:val="007C3DEC"/>
    <w:rsid w:val="007C3DFA"/>
    <w:rsid w:val="007C3E61"/>
    <w:rsid w:val="007C411A"/>
    <w:rsid w:val="007C43B8"/>
    <w:rsid w:val="007C4544"/>
    <w:rsid w:val="007C4842"/>
    <w:rsid w:val="007C4886"/>
    <w:rsid w:val="007C4C9C"/>
    <w:rsid w:val="007C5073"/>
    <w:rsid w:val="007C5382"/>
    <w:rsid w:val="007C5727"/>
    <w:rsid w:val="007C57D8"/>
    <w:rsid w:val="007C5DB1"/>
    <w:rsid w:val="007C605A"/>
    <w:rsid w:val="007C619C"/>
    <w:rsid w:val="007C68E1"/>
    <w:rsid w:val="007C68E6"/>
    <w:rsid w:val="007C6A53"/>
    <w:rsid w:val="007C6C1A"/>
    <w:rsid w:val="007C72B7"/>
    <w:rsid w:val="007C74CA"/>
    <w:rsid w:val="007C76C2"/>
    <w:rsid w:val="007C79FB"/>
    <w:rsid w:val="007C7C5B"/>
    <w:rsid w:val="007C7F68"/>
    <w:rsid w:val="007D00FC"/>
    <w:rsid w:val="007D0224"/>
    <w:rsid w:val="007D0861"/>
    <w:rsid w:val="007D0AE2"/>
    <w:rsid w:val="007D0CB2"/>
    <w:rsid w:val="007D0E82"/>
    <w:rsid w:val="007D0F3E"/>
    <w:rsid w:val="007D1272"/>
    <w:rsid w:val="007D14F1"/>
    <w:rsid w:val="007D1871"/>
    <w:rsid w:val="007D1933"/>
    <w:rsid w:val="007D1C49"/>
    <w:rsid w:val="007D1C5E"/>
    <w:rsid w:val="007D1C66"/>
    <w:rsid w:val="007D1F8E"/>
    <w:rsid w:val="007D2076"/>
    <w:rsid w:val="007D2242"/>
    <w:rsid w:val="007D2598"/>
    <w:rsid w:val="007D2790"/>
    <w:rsid w:val="007D2DA5"/>
    <w:rsid w:val="007D2DE2"/>
    <w:rsid w:val="007D2E8E"/>
    <w:rsid w:val="007D3113"/>
    <w:rsid w:val="007D3328"/>
    <w:rsid w:val="007D35E1"/>
    <w:rsid w:val="007D3869"/>
    <w:rsid w:val="007D3A81"/>
    <w:rsid w:val="007D3BAB"/>
    <w:rsid w:val="007D3D5D"/>
    <w:rsid w:val="007D3DCD"/>
    <w:rsid w:val="007D4458"/>
    <w:rsid w:val="007D478F"/>
    <w:rsid w:val="007D480D"/>
    <w:rsid w:val="007D48AC"/>
    <w:rsid w:val="007D4BF3"/>
    <w:rsid w:val="007D4CAD"/>
    <w:rsid w:val="007D51AE"/>
    <w:rsid w:val="007D51CC"/>
    <w:rsid w:val="007D52FB"/>
    <w:rsid w:val="007D536C"/>
    <w:rsid w:val="007D562D"/>
    <w:rsid w:val="007D569D"/>
    <w:rsid w:val="007D56DC"/>
    <w:rsid w:val="007D5B36"/>
    <w:rsid w:val="007D5E39"/>
    <w:rsid w:val="007D5F30"/>
    <w:rsid w:val="007D5FA8"/>
    <w:rsid w:val="007D62D6"/>
    <w:rsid w:val="007D6351"/>
    <w:rsid w:val="007D63A3"/>
    <w:rsid w:val="007D646D"/>
    <w:rsid w:val="007D6864"/>
    <w:rsid w:val="007D68A8"/>
    <w:rsid w:val="007D6B4E"/>
    <w:rsid w:val="007D6F46"/>
    <w:rsid w:val="007D726C"/>
    <w:rsid w:val="007D7316"/>
    <w:rsid w:val="007D7488"/>
    <w:rsid w:val="007D77BD"/>
    <w:rsid w:val="007D7E26"/>
    <w:rsid w:val="007D7E64"/>
    <w:rsid w:val="007D7F72"/>
    <w:rsid w:val="007E0007"/>
    <w:rsid w:val="007E0018"/>
    <w:rsid w:val="007E0267"/>
    <w:rsid w:val="007E03BB"/>
    <w:rsid w:val="007E05F2"/>
    <w:rsid w:val="007E08FF"/>
    <w:rsid w:val="007E0950"/>
    <w:rsid w:val="007E0987"/>
    <w:rsid w:val="007E0A3C"/>
    <w:rsid w:val="007E0A51"/>
    <w:rsid w:val="007E0C4E"/>
    <w:rsid w:val="007E0EDD"/>
    <w:rsid w:val="007E10C2"/>
    <w:rsid w:val="007E10D9"/>
    <w:rsid w:val="007E125E"/>
    <w:rsid w:val="007E1325"/>
    <w:rsid w:val="007E1450"/>
    <w:rsid w:val="007E14C4"/>
    <w:rsid w:val="007E1622"/>
    <w:rsid w:val="007E19BE"/>
    <w:rsid w:val="007E1A13"/>
    <w:rsid w:val="007E1C35"/>
    <w:rsid w:val="007E1DA6"/>
    <w:rsid w:val="007E21EA"/>
    <w:rsid w:val="007E250A"/>
    <w:rsid w:val="007E2510"/>
    <w:rsid w:val="007E25B0"/>
    <w:rsid w:val="007E2603"/>
    <w:rsid w:val="007E28C2"/>
    <w:rsid w:val="007E2944"/>
    <w:rsid w:val="007E2BCF"/>
    <w:rsid w:val="007E2F4D"/>
    <w:rsid w:val="007E2F9B"/>
    <w:rsid w:val="007E3278"/>
    <w:rsid w:val="007E32D7"/>
    <w:rsid w:val="007E34AB"/>
    <w:rsid w:val="007E34E9"/>
    <w:rsid w:val="007E3580"/>
    <w:rsid w:val="007E36B1"/>
    <w:rsid w:val="007E3925"/>
    <w:rsid w:val="007E3DB2"/>
    <w:rsid w:val="007E3FE3"/>
    <w:rsid w:val="007E44C3"/>
    <w:rsid w:val="007E4584"/>
    <w:rsid w:val="007E45F4"/>
    <w:rsid w:val="007E460C"/>
    <w:rsid w:val="007E46FB"/>
    <w:rsid w:val="007E4943"/>
    <w:rsid w:val="007E495A"/>
    <w:rsid w:val="007E4D8E"/>
    <w:rsid w:val="007E51F6"/>
    <w:rsid w:val="007E52D2"/>
    <w:rsid w:val="007E5311"/>
    <w:rsid w:val="007E535F"/>
    <w:rsid w:val="007E56A4"/>
    <w:rsid w:val="007E5961"/>
    <w:rsid w:val="007E5A5C"/>
    <w:rsid w:val="007E5C0C"/>
    <w:rsid w:val="007E5D50"/>
    <w:rsid w:val="007E5F58"/>
    <w:rsid w:val="007E6318"/>
    <w:rsid w:val="007E6960"/>
    <w:rsid w:val="007E6A61"/>
    <w:rsid w:val="007E6B6B"/>
    <w:rsid w:val="007E70DA"/>
    <w:rsid w:val="007E7519"/>
    <w:rsid w:val="007E7A25"/>
    <w:rsid w:val="007E7A6F"/>
    <w:rsid w:val="007E7B14"/>
    <w:rsid w:val="007E7D7A"/>
    <w:rsid w:val="007F0302"/>
    <w:rsid w:val="007F0541"/>
    <w:rsid w:val="007F07A0"/>
    <w:rsid w:val="007F08F1"/>
    <w:rsid w:val="007F09CE"/>
    <w:rsid w:val="007F0A93"/>
    <w:rsid w:val="007F0CD9"/>
    <w:rsid w:val="007F0EAE"/>
    <w:rsid w:val="007F0F37"/>
    <w:rsid w:val="007F12E5"/>
    <w:rsid w:val="007F1673"/>
    <w:rsid w:val="007F17B2"/>
    <w:rsid w:val="007F187B"/>
    <w:rsid w:val="007F1997"/>
    <w:rsid w:val="007F1AEA"/>
    <w:rsid w:val="007F1B1D"/>
    <w:rsid w:val="007F1C2C"/>
    <w:rsid w:val="007F1F8D"/>
    <w:rsid w:val="007F200C"/>
    <w:rsid w:val="007F23AE"/>
    <w:rsid w:val="007F2409"/>
    <w:rsid w:val="007F2410"/>
    <w:rsid w:val="007F24C8"/>
    <w:rsid w:val="007F282F"/>
    <w:rsid w:val="007F28BF"/>
    <w:rsid w:val="007F2B88"/>
    <w:rsid w:val="007F2D78"/>
    <w:rsid w:val="007F332F"/>
    <w:rsid w:val="007F359D"/>
    <w:rsid w:val="007F36D3"/>
    <w:rsid w:val="007F371A"/>
    <w:rsid w:val="007F376F"/>
    <w:rsid w:val="007F396A"/>
    <w:rsid w:val="007F3A88"/>
    <w:rsid w:val="007F3B99"/>
    <w:rsid w:val="007F3EAC"/>
    <w:rsid w:val="007F3FED"/>
    <w:rsid w:val="007F401B"/>
    <w:rsid w:val="007F406A"/>
    <w:rsid w:val="007F4199"/>
    <w:rsid w:val="007F459F"/>
    <w:rsid w:val="007F45C8"/>
    <w:rsid w:val="007F50CF"/>
    <w:rsid w:val="007F523B"/>
    <w:rsid w:val="007F54C5"/>
    <w:rsid w:val="007F556E"/>
    <w:rsid w:val="007F5BB4"/>
    <w:rsid w:val="007F5CDE"/>
    <w:rsid w:val="007F5D41"/>
    <w:rsid w:val="007F6026"/>
    <w:rsid w:val="007F63E2"/>
    <w:rsid w:val="007F670D"/>
    <w:rsid w:val="007F674B"/>
    <w:rsid w:val="007F6785"/>
    <w:rsid w:val="007F6847"/>
    <w:rsid w:val="007F7004"/>
    <w:rsid w:val="007F7490"/>
    <w:rsid w:val="007F75C6"/>
    <w:rsid w:val="007F7807"/>
    <w:rsid w:val="007F78CA"/>
    <w:rsid w:val="007F7B4E"/>
    <w:rsid w:val="00800254"/>
    <w:rsid w:val="0080039A"/>
    <w:rsid w:val="00800427"/>
    <w:rsid w:val="0080052D"/>
    <w:rsid w:val="0080091B"/>
    <w:rsid w:val="00800A47"/>
    <w:rsid w:val="00800BE7"/>
    <w:rsid w:val="00800D6F"/>
    <w:rsid w:val="00800F29"/>
    <w:rsid w:val="008011F7"/>
    <w:rsid w:val="008015DD"/>
    <w:rsid w:val="008015F7"/>
    <w:rsid w:val="00801B94"/>
    <w:rsid w:val="00802011"/>
    <w:rsid w:val="008020A0"/>
    <w:rsid w:val="008021B1"/>
    <w:rsid w:val="008021B3"/>
    <w:rsid w:val="00802A51"/>
    <w:rsid w:val="00802CBA"/>
    <w:rsid w:val="00802FE6"/>
    <w:rsid w:val="0080344A"/>
    <w:rsid w:val="00803C35"/>
    <w:rsid w:val="00803E1B"/>
    <w:rsid w:val="00803FD6"/>
    <w:rsid w:val="0080402B"/>
    <w:rsid w:val="00804156"/>
    <w:rsid w:val="008042D3"/>
    <w:rsid w:val="00804933"/>
    <w:rsid w:val="00804E26"/>
    <w:rsid w:val="00804E63"/>
    <w:rsid w:val="00805216"/>
    <w:rsid w:val="00805375"/>
    <w:rsid w:val="008053E8"/>
    <w:rsid w:val="00805404"/>
    <w:rsid w:val="0080563A"/>
    <w:rsid w:val="00805830"/>
    <w:rsid w:val="008058BE"/>
    <w:rsid w:val="00805A4F"/>
    <w:rsid w:val="00805D14"/>
    <w:rsid w:val="00805F92"/>
    <w:rsid w:val="0080615A"/>
    <w:rsid w:val="008062E2"/>
    <w:rsid w:val="00806421"/>
    <w:rsid w:val="008066B4"/>
    <w:rsid w:val="008067E9"/>
    <w:rsid w:val="00806C7B"/>
    <w:rsid w:val="00806D0E"/>
    <w:rsid w:val="00806E42"/>
    <w:rsid w:val="00806EDB"/>
    <w:rsid w:val="00807681"/>
    <w:rsid w:val="00807A19"/>
    <w:rsid w:val="00807A4F"/>
    <w:rsid w:val="00807B1D"/>
    <w:rsid w:val="00807BFA"/>
    <w:rsid w:val="00810152"/>
    <w:rsid w:val="00810254"/>
    <w:rsid w:val="0081041C"/>
    <w:rsid w:val="008105C5"/>
    <w:rsid w:val="00810AF6"/>
    <w:rsid w:val="00810B53"/>
    <w:rsid w:val="00810D38"/>
    <w:rsid w:val="008112E8"/>
    <w:rsid w:val="0081171B"/>
    <w:rsid w:val="00811C19"/>
    <w:rsid w:val="0081270A"/>
    <w:rsid w:val="008128D4"/>
    <w:rsid w:val="00812E9A"/>
    <w:rsid w:val="00812F73"/>
    <w:rsid w:val="00813587"/>
    <w:rsid w:val="008138C3"/>
    <w:rsid w:val="00813D4F"/>
    <w:rsid w:val="008142AE"/>
    <w:rsid w:val="0081435C"/>
    <w:rsid w:val="008143C6"/>
    <w:rsid w:val="0081452E"/>
    <w:rsid w:val="0081466D"/>
    <w:rsid w:val="00814858"/>
    <w:rsid w:val="0081495C"/>
    <w:rsid w:val="0081497A"/>
    <w:rsid w:val="008149F5"/>
    <w:rsid w:val="00814A88"/>
    <w:rsid w:val="00814C3E"/>
    <w:rsid w:val="00814CB0"/>
    <w:rsid w:val="00814DE5"/>
    <w:rsid w:val="00814EEA"/>
    <w:rsid w:val="0081503A"/>
    <w:rsid w:val="00815746"/>
    <w:rsid w:val="0081575B"/>
    <w:rsid w:val="00815D3C"/>
    <w:rsid w:val="00815D53"/>
    <w:rsid w:val="00815F08"/>
    <w:rsid w:val="00816182"/>
    <w:rsid w:val="00816A8D"/>
    <w:rsid w:val="00816E83"/>
    <w:rsid w:val="00816E90"/>
    <w:rsid w:val="008170FF"/>
    <w:rsid w:val="0081755D"/>
    <w:rsid w:val="008179E1"/>
    <w:rsid w:val="00817A06"/>
    <w:rsid w:val="00817C43"/>
    <w:rsid w:val="008203A5"/>
    <w:rsid w:val="008203EB"/>
    <w:rsid w:val="008205A7"/>
    <w:rsid w:val="008209F4"/>
    <w:rsid w:val="00820B83"/>
    <w:rsid w:val="00820C42"/>
    <w:rsid w:val="0082132E"/>
    <w:rsid w:val="008216DD"/>
    <w:rsid w:val="00821A5F"/>
    <w:rsid w:val="00821C1F"/>
    <w:rsid w:val="00821E65"/>
    <w:rsid w:val="00822500"/>
    <w:rsid w:val="00822BDD"/>
    <w:rsid w:val="00822D66"/>
    <w:rsid w:val="00822F63"/>
    <w:rsid w:val="008232F9"/>
    <w:rsid w:val="00823323"/>
    <w:rsid w:val="008235EC"/>
    <w:rsid w:val="00823DCE"/>
    <w:rsid w:val="00824277"/>
    <w:rsid w:val="0082457F"/>
    <w:rsid w:val="008249E2"/>
    <w:rsid w:val="00824BA6"/>
    <w:rsid w:val="00824D27"/>
    <w:rsid w:val="00824F99"/>
    <w:rsid w:val="0082512C"/>
    <w:rsid w:val="0082538C"/>
    <w:rsid w:val="008253CF"/>
    <w:rsid w:val="00825414"/>
    <w:rsid w:val="00825A6F"/>
    <w:rsid w:val="00825AF6"/>
    <w:rsid w:val="00825C42"/>
    <w:rsid w:val="00825C7D"/>
    <w:rsid w:val="00825E3B"/>
    <w:rsid w:val="00825EFB"/>
    <w:rsid w:val="0082602A"/>
    <w:rsid w:val="00826381"/>
    <w:rsid w:val="008263B9"/>
    <w:rsid w:val="008266EB"/>
    <w:rsid w:val="0082671D"/>
    <w:rsid w:val="00826A56"/>
    <w:rsid w:val="00826C00"/>
    <w:rsid w:val="00826C84"/>
    <w:rsid w:val="00826EFA"/>
    <w:rsid w:val="00827118"/>
    <w:rsid w:val="00827295"/>
    <w:rsid w:val="00827330"/>
    <w:rsid w:val="00827745"/>
    <w:rsid w:val="00827FB4"/>
    <w:rsid w:val="008300B9"/>
    <w:rsid w:val="00830292"/>
    <w:rsid w:val="00830331"/>
    <w:rsid w:val="00830429"/>
    <w:rsid w:val="008305DC"/>
    <w:rsid w:val="00830989"/>
    <w:rsid w:val="008309C5"/>
    <w:rsid w:val="00830B3D"/>
    <w:rsid w:val="00830C94"/>
    <w:rsid w:val="00830F08"/>
    <w:rsid w:val="00830F47"/>
    <w:rsid w:val="00831092"/>
    <w:rsid w:val="008313D1"/>
    <w:rsid w:val="00831413"/>
    <w:rsid w:val="0083143C"/>
    <w:rsid w:val="008317B9"/>
    <w:rsid w:val="0083183F"/>
    <w:rsid w:val="00831E15"/>
    <w:rsid w:val="0083214E"/>
    <w:rsid w:val="00832453"/>
    <w:rsid w:val="008324DB"/>
    <w:rsid w:val="00832552"/>
    <w:rsid w:val="008326D4"/>
    <w:rsid w:val="00832734"/>
    <w:rsid w:val="0083276F"/>
    <w:rsid w:val="0083282C"/>
    <w:rsid w:val="008328DA"/>
    <w:rsid w:val="008328E0"/>
    <w:rsid w:val="00832951"/>
    <w:rsid w:val="00832AB9"/>
    <w:rsid w:val="00832BFD"/>
    <w:rsid w:val="00832E7D"/>
    <w:rsid w:val="00832F97"/>
    <w:rsid w:val="008332CE"/>
    <w:rsid w:val="008332DE"/>
    <w:rsid w:val="008337A4"/>
    <w:rsid w:val="00833D14"/>
    <w:rsid w:val="00833E17"/>
    <w:rsid w:val="00833E30"/>
    <w:rsid w:val="0083477B"/>
    <w:rsid w:val="00834853"/>
    <w:rsid w:val="00834918"/>
    <w:rsid w:val="008349E3"/>
    <w:rsid w:val="00834AC9"/>
    <w:rsid w:val="00834D31"/>
    <w:rsid w:val="00834DCE"/>
    <w:rsid w:val="00834EB6"/>
    <w:rsid w:val="00834FE3"/>
    <w:rsid w:val="00835265"/>
    <w:rsid w:val="00835363"/>
    <w:rsid w:val="008355CC"/>
    <w:rsid w:val="0083578E"/>
    <w:rsid w:val="008358A9"/>
    <w:rsid w:val="00835AE8"/>
    <w:rsid w:val="00835EF0"/>
    <w:rsid w:val="00836011"/>
    <w:rsid w:val="0083623A"/>
    <w:rsid w:val="0083627A"/>
    <w:rsid w:val="008363AF"/>
    <w:rsid w:val="0083672A"/>
    <w:rsid w:val="00836752"/>
    <w:rsid w:val="008368C7"/>
    <w:rsid w:val="008369CC"/>
    <w:rsid w:val="00836AE6"/>
    <w:rsid w:val="00836BE5"/>
    <w:rsid w:val="00836CCE"/>
    <w:rsid w:val="008371D3"/>
    <w:rsid w:val="008372FD"/>
    <w:rsid w:val="0083743F"/>
    <w:rsid w:val="00837AAC"/>
    <w:rsid w:val="00837C07"/>
    <w:rsid w:val="00837FD8"/>
    <w:rsid w:val="00840238"/>
    <w:rsid w:val="008404A3"/>
    <w:rsid w:val="008408BE"/>
    <w:rsid w:val="00840A90"/>
    <w:rsid w:val="00840C92"/>
    <w:rsid w:val="00841813"/>
    <w:rsid w:val="00841AEA"/>
    <w:rsid w:val="00841C41"/>
    <w:rsid w:val="00841E1F"/>
    <w:rsid w:val="00841E2D"/>
    <w:rsid w:val="00841FAF"/>
    <w:rsid w:val="0084236C"/>
    <w:rsid w:val="00842542"/>
    <w:rsid w:val="0084265C"/>
    <w:rsid w:val="008426E9"/>
    <w:rsid w:val="008428B1"/>
    <w:rsid w:val="00842A8E"/>
    <w:rsid w:val="00842BED"/>
    <w:rsid w:val="00842E21"/>
    <w:rsid w:val="00843533"/>
    <w:rsid w:val="008439CA"/>
    <w:rsid w:val="00843A6E"/>
    <w:rsid w:val="00843D85"/>
    <w:rsid w:val="00843EB3"/>
    <w:rsid w:val="008441B3"/>
    <w:rsid w:val="00844223"/>
    <w:rsid w:val="0084436F"/>
    <w:rsid w:val="00844530"/>
    <w:rsid w:val="008446AB"/>
    <w:rsid w:val="00844762"/>
    <w:rsid w:val="00845564"/>
    <w:rsid w:val="00845677"/>
    <w:rsid w:val="00845863"/>
    <w:rsid w:val="00845869"/>
    <w:rsid w:val="008458A8"/>
    <w:rsid w:val="00845C4B"/>
    <w:rsid w:val="008460A4"/>
    <w:rsid w:val="0084637C"/>
    <w:rsid w:val="00846E2B"/>
    <w:rsid w:val="0084727E"/>
    <w:rsid w:val="0084746D"/>
    <w:rsid w:val="008476A7"/>
    <w:rsid w:val="00847A23"/>
    <w:rsid w:val="00847AE1"/>
    <w:rsid w:val="00847C67"/>
    <w:rsid w:val="00850150"/>
    <w:rsid w:val="008501A3"/>
    <w:rsid w:val="00850248"/>
    <w:rsid w:val="0085069F"/>
    <w:rsid w:val="00850B2E"/>
    <w:rsid w:val="00850B96"/>
    <w:rsid w:val="00850BCC"/>
    <w:rsid w:val="00850CDD"/>
    <w:rsid w:val="00850E0B"/>
    <w:rsid w:val="00850E69"/>
    <w:rsid w:val="008511A2"/>
    <w:rsid w:val="0085167F"/>
    <w:rsid w:val="0085171F"/>
    <w:rsid w:val="008517D9"/>
    <w:rsid w:val="00851923"/>
    <w:rsid w:val="00851960"/>
    <w:rsid w:val="00851C6D"/>
    <w:rsid w:val="00851E71"/>
    <w:rsid w:val="008521B9"/>
    <w:rsid w:val="0085229F"/>
    <w:rsid w:val="008522FE"/>
    <w:rsid w:val="00852380"/>
    <w:rsid w:val="008529F9"/>
    <w:rsid w:val="00852B62"/>
    <w:rsid w:val="00852C6E"/>
    <w:rsid w:val="0085314E"/>
    <w:rsid w:val="0085319F"/>
    <w:rsid w:val="00853370"/>
    <w:rsid w:val="00853A30"/>
    <w:rsid w:val="00853D8F"/>
    <w:rsid w:val="00853FD3"/>
    <w:rsid w:val="008541A8"/>
    <w:rsid w:val="008543A8"/>
    <w:rsid w:val="0085440E"/>
    <w:rsid w:val="00854470"/>
    <w:rsid w:val="00854488"/>
    <w:rsid w:val="008544AC"/>
    <w:rsid w:val="00854A80"/>
    <w:rsid w:val="008551D1"/>
    <w:rsid w:val="008552B8"/>
    <w:rsid w:val="00855444"/>
    <w:rsid w:val="008558D6"/>
    <w:rsid w:val="00855D76"/>
    <w:rsid w:val="00855E82"/>
    <w:rsid w:val="0085612B"/>
    <w:rsid w:val="0085618F"/>
    <w:rsid w:val="0085643B"/>
    <w:rsid w:val="008564E4"/>
    <w:rsid w:val="0085651D"/>
    <w:rsid w:val="008568FA"/>
    <w:rsid w:val="00856911"/>
    <w:rsid w:val="00856DDA"/>
    <w:rsid w:val="00857111"/>
    <w:rsid w:val="00857418"/>
    <w:rsid w:val="008575B4"/>
    <w:rsid w:val="00857602"/>
    <w:rsid w:val="008577C7"/>
    <w:rsid w:val="00857834"/>
    <w:rsid w:val="00857870"/>
    <w:rsid w:val="00857988"/>
    <w:rsid w:val="00857B9E"/>
    <w:rsid w:val="00857BDC"/>
    <w:rsid w:val="00857CA4"/>
    <w:rsid w:val="008605F8"/>
    <w:rsid w:val="00860995"/>
    <w:rsid w:val="00860CD3"/>
    <w:rsid w:val="008611A8"/>
    <w:rsid w:val="0086137E"/>
    <w:rsid w:val="008616E8"/>
    <w:rsid w:val="008618B1"/>
    <w:rsid w:val="00861DB7"/>
    <w:rsid w:val="00861E96"/>
    <w:rsid w:val="00861ED8"/>
    <w:rsid w:val="00862074"/>
    <w:rsid w:val="008620F2"/>
    <w:rsid w:val="00862219"/>
    <w:rsid w:val="0086229F"/>
    <w:rsid w:val="00862380"/>
    <w:rsid w:val="008628AE"/>
    <w:rsid w:val="00862913"/>
    <w:rsid w:val="00862BFA"/>
    <w:rsid w:val="00862C6E"/>
    <w:rsid w:val="00862CB0"/>
    <w:rsid w:val="00862DD6"/>
    <w:rsid w:val="00862EC0"/>
    <w:rsid w:val="00862F80"/>
    <w:rsid w:val="0086326D"/>
    <w:rsid w:val="0086343A"/>
    <w:rsid w:val="00863474"/>
    <w:rsid w:val="008637A3"/>
    <w:rsid w:val="00863B21"/>
    <w:rsid w:val="00863FC6"/>
    <w:rsid w:val="008641CC"/>
    <w:rsid w:val="008642DB"/>
    <w:rsid w:val="008646F1"/>
    <w:rsid w:val="00864795"/>
    <w:rsid w:val="00864C91"/>
    <w:rsid w:val="00864D4B"/>
    <w:rsid w:val="00864EF2"/>
    <w:rsid w:val="0086518F"/>
    <w:rsid w:val="008654BC"/>
    <w:rsid w:val="008656BF"/>
    <w:rsid w:val="008657ED"/>
    <w:rsid w:val="00865A0E"/>
    <w:rsid w:val="00865C87"/>
    <w:rsid w:val="00865D6C"/>
    <w:rsid w:val="00865D98"/>
    <w:rsid w:val="00865DF9"/>
    <w:rsid w:val="00865F87"/>
    <w:rsid w:val="00865FEA"/>
    <w:rsid w:val="00866062"/>
    <w:rsid w:val="008660D3"/>
    <w:rsid w:val="008660EF"/>
    <w:rsid w:val="00866423"/>
    <w:rsid w:val="00866486"/>
    <w:rsid w:val="0086652D"/>
    <w:rsid w:val="00866F6E"/>
    <w:rsid w:val="00867316"/>
    <w:rsid w:val="00867366"/>
    <w:rsid w:val="00867667"/>
    <w:rsid w:val="00867A65"/>
    <w:rsid w:val="00867C5B"/>
    <w:rsid w:val="00867CA5"/>
    <w:rsid w:val="00867EBE"/>
    <w:rsid w:val="00867F78"/>
    <w:rsid w:val="0087004D"/>
    <w:rsid w:val="008700D3"/>
    <w:rsid w:val="00870273"/>
    <w:rsid w:val="00870423"/>
    <w:rsid w:val="00870983"/>
    <w:rsid w:val="00870BDF"/>
    <w:rsid w:val="00870D2C"/>
    <w:rsid w:val="00871033"/>
    <w:rsid w:val="008712D3"/>
    <w:rsid w:val="00871B6F"/>
    <w:rsid w:val="00871E7B"/>
    <w:rsid w:val="00872023"/>
    <w:rsid w:val="00872177"/>
    <w:rsid w:val="0087275F"/>
    <w:rsid w:val="00872A82"/>
    <w:rsid w:val="0087322D"/>
    <w:rsid w:val="00873422"/>
    <w:rsid w:val="008735C7"/>
    <w:rsid w:val="00873631"/>
    <w:rsid w:val="00873AE9"/>
    <w:rsid w:val="00873DB0"/>
    <w:rsid w:val="008744D0"/>
    <w:rsid w:val="008745F7"/>
    <w:rsid w:val="00874A66"/>
    <w:rsid w:val="00874CF2"/>
    <w:rsid w:val="00875350"/>
    <w:rsid w:val="0087536C"/>
    <w:rsid w:val="00875427"/>
    <w:rsid w:val="008754ED"/>
    <w:rsid w:val="00875794"/>
    <w:rsid w:val="00875916"/>
    <w:rsid w:val="0087598C"/>
    <w:rsid w:val="00875B82"/>
    <w:rsid w:val="00875BE4"/>
    <w:rsid w:val="0087600C"/>
    <w:rsid w:val="008761DD"/>
    <w:rsid w:val="008769F2"/>
    <w:rsid w:val="00876CA4"/>
    <w:rsid w:val="00876CB9"/>
    <w:rsid w:val="00876F41"/>
    <w:rsid w:val="00877071"/>
    <w:rsid w:val="00877270"/>
    <w:rsid w:val="008773FE"/>
    <w:rsid w:val="00877409"/>
    <w:rsid w:val="008774CB"/>
    <w:rsid w:val="00877906"/>
    <w:rsid w:val="00877945"/>
    <w:rsid w:val="00877B05"/>
    <w:rsid w:val="00877B97"/>
    <w:rsid w:val="00880022"/>
    <w:rsid w:val="00880197"/>
    <w:rsid w:val="008802B1"/>
    <w:rsid w:val="00880318"/>
    <w:rsid w:val="0088053A"/>
    <w:rsid w:val="0088090B"/>
    <w:rsid w:val="00880AC4"/>
    <w:rsid w:val="00880CB7"/>
    <w:rsid w:val="00881081"/>
    <w:rsid w:val="00881530"/>
    <w:rsid w:val="0088161D"/>
    <w:rsid w:val="0088161E"/>
    <w:rsid w:val="0088168E"/>
    <w:rsid w:val="00881845"/>
    <w:rsid w:val="0088190B"/>
    <w:rsid w:val="00881ACE"/>
    <w:rsid w:val="00881D0F"/>
    <w:rsid w:val="00881DBD"/>
    <w:rsid w:val="00881E43"/>
    <w:rsid w:val="00881EE2"/>
    <w:rsid w:val="00882145"/>
    <w:rsid w:val="0088239E"/>
    <w:rsid w:val="00882411"/>
    <w:rsid w:val="0088252A"/>
    <w:rsid w:val="008828DB"/>
    <w:rsid w:val="00882914"/>
    <w:rsid w:val="008829EC"/>
    <w:rsid w:val="00882B66"/>
    <w:rsid w:val="00882C39"/>
    <w:rsid w:val="00882CD7"/>
    <w:rsid w:val="00882D94"/>
    <w:rsid w:val="00882F25"/>
    <w:rsid w:val="00882F46"/>
    <w:rsid w:val="0088324B"/>
    <w:rsid w:val="008832C3"/>
    <w:rsid w:val="0088334E"/>
    <w:rsid w:val="008833ED"/>
    <w:rsid w:val="00883562"/>
    <w:rsid w:val="008836B2"/>
    <w:rsid w:val="00883888"/>
    <w:rsid w:val="00883AAC"/>
    <w:rsid w:val="00883B20"/>
    <w:rsid w:val="00883C9A"/>
    <w:rsid w:val="008841C9"/>
    <w:rsid w:val="008841CF"/>
    <w:rsid w:val="008841D9"/>
    <w:rsid w:val="0088437E"/>
    <w:rsid w:val="0088486E"/>
    <w:rsid w:val="00884A61"/>
    <w:rsid w:val="00884CF0"/>
    <w:rsid w:val="00885106"/>
    <w:rsid w:val="0088551C"/>
    <w:rsid w:val="00885660"/>
    <w:rsid w:val="0088575B"/>
    <w:rsid w:val="008857E2"/>
    <w:rsid w:val="00885D7C"/>
    <w:rsid w:val="008861B1"/>
    <w:rsid w:val="0088625A"/>
    <w:rsid w:val="0088655A"/>
    <w:rsid w:val="008868C0"/>
    <w:rsid w:val="008869F3"/>
    <w:rsid w:val="00886D61"/>
    <w:rsid w:val="00886F38"/>
    <w:rsid w:val="00887134"/>
    <w:rsid w:val="0088767F"/>
    <w:rsid w:val="0088776D"/>
    <w:rsid w:val="00887A08"/>
    <w:rsid w:val="00887EF2"/>
    <w:rsid w:val="00890298"/>
    <w:rsid w:val="008903EE"/>
    <w:rsid w:val="008904D9"/>
    <w:rsid w:val="00890545"/>
    <w:rsid w:val="00890927"/>
    <w:rsid w:val="0089094A"/>
    <w:rsid w:val="00890BAC"/>
    <w:rsid w:val="00890D2E"/>
    <w:rsid w:val="008910CD"/>
    <w:rsid w:val="0089118B"/>
    <w:rsid w:val="008914FD"/>
    <w:rsid w:val="0089158F"/>
    <w:rsid w:val="008918D6"/>
    <w:rsid w:val="00891959"/>
    <w:rsid w:val="00891A87"/>
    <w:rsid w:val="0089241E"/>
    <w:rsid w:val="0089248F"/>
    <w:rsid w:val="008928B2"/>
    <w:rsid w:val="00892B19"/>
    <w:rsid w:val="00892BA5"/>
    <w:rsid w:val="00892CE8"/>
    <w:rsid w:val="00892E09"/>
    <w:rsid w:val="00892F47"/>
    <w:rsid w:val="00893026"/>
    <w:rsid w:val="008930A1"/>
    <w:rsid w:val="008931A5"/>
    <w:rsid w:val="0089322A"/>
    <w:rsid w:val="00893472"/>
    <w:rsid w:val="008934B8"/>
    <w:rsid w:val="0089383D"/>
    <w:rsid w:val="00893B17"/>
    <w:rsid w:val="00893B61"/>
    <w:rsid w:val="00893C51"/>
    <w:rsid w:val="00893C84"/>
    <w:rsid w:val="00893D88"/>
    <w:rsid w:val="00893DCF"/>
    <w:rsid w:val="008941A1"/>
    <w:rsid w:val="00894285"/>
    <w:rsid w:val="00894457"/>
    <w:rsid w:val="00894769"/>
    <w:rsid w:val="008947C7"/>
    <w:rsid w:val="00894C66"/>
    <w:rsid w:val="00894D19"/>
    <w:rsid w:val="0089545C"/>
    <w:rsid w:val="00895591"/>
    <w:rsid w:val="00895596"/>
    <w:rsid w:val="00895630"/>
    <w:rsid w:val="008956E4"/>
    <w:rsid w:val="00895A67"/>
    <w:rsid w:val="00895AB8"/>
    <w:rsid w:val="00895B8B"/>
    <w:rsid w:val="00895E76"/>
    <w:rsid w:val="00895F2F"/>
    <w:rsid w:val="008960F5"/>
    <w:rsid w:val="00896511"/>
    <w:rsid w:val="00896660"/>
    <w:rsid w:val="008966E5"/>
    <w:rsid w:val="00896C24"/>
    <w:rsid w:val="00896CBB"/>
    <w:rsid w:val="00896FA2"/>
    <w:rsid w:val="00897251"/>
    <w:rsid w:val="008972CF"/>
    <w:rsid w:val="00897329"/>
    <w:rsid w:val="0089732C"/>
    <w:rsid w:val="00897363"/>
    <w:rsid w:val="008973D9"/>
    <w:rsid w:val="00897584"/>
    <w:rsid w:val="008976A2"/>
    <w:rsid w:val="008978A4"/>
    <w:rsid w:val="00897A0C"/>
    <w:rsid w:val="008A0394"/>
    <w:rsid w:val="008A04D3"/>
    <w:rsid w:val="008A06A3"/>
    <w:rsid w:val="008A06AB"/>
    <w:rsid w:val="008A0769"/>
    <w:rsid w:val="008A09D1"/>
    <w:rsid w:val="008A0C8E"/>
    <w:rsid w:val="008A0D6F"/>
    <w:rsid w:val="008A15E4"/>
    <w:rsid w:val="008A16D2"/>
    <w:rsid w:val="008A16F9"/>
    <w:rsid w:val="008A1B8C"/>
    <w:rsid w:val="008A1BD5"/>
    <w:rsid w:val="008A1CB7"/>
    <w:rsid w:val="008A1E5A"/>
    <w:rsid w:val="008A250E"/>
    <w:rsid w:val="008A2543"/>
    <w:rsid w:val="008A2603"/>
    <w:rsid w:val="008A2948"/>
    <w:rsid w:val="008A2CE4"/>
    <w:rsid w:val="008A2D59"/>
    <w:rsid w:val="008A3081"/>
    <w:rsid w:val="008A31F8"/>
    <w:rsid w:val="008A323F"/>
    <w:rsid w:val="008A325B"/>
    <w:rsid w:val="008A32EF"/>
    <w:rsid w:val="008A34B3"/>
    <w:rsid w:val="008A38EB"/>
    <w:rsid w:val="008A39A3"/>
    <w:rsid w:val="008A39CE"/>
    <w:rsid w:val="008A3A82"/>
    <w:rsid w:val="008A3AE2"/>
    <w:rsid w:val="008A3AEE"/>
    <w:rsid w:val="008A3F18"/>
    <w:rsid w:val="008A3FB1"/>
    <w:rsid w:val="008A4384"/>
    <w:rsid w:val="008A44E6"/>
    <w:rsid w:val="008A4538"/>
    <w:rsid w:val="008A45B2"/>
    <w:rsid w:val="008A46D0"/>
    <w:rsid w:val="008A474B"/>
    <w:rsid w:val="008A4AF2"/>
    <w:rsid w:val="008A4C0D"/>
    <w:rsid w:val="008A529B"/>
    <w:rsid w:val="008A52B7"/>
    <w:rsid w:val="008A556D"/>
    <w:rsid w:val="008A5577"/>
    <w:rsid w:val="008A5616"/>
    <w:rsid w:val="008A56B1"/>
    <w:rsid w:val="008A571F"/>
    <w:rsid w:val="008A5768"/>
    <w:rsid w:val="008A5A2F"/>
    <w:rsid w:val="008A5C37"/>
    <w:rsid w:val="008A5F0B"/>
    <w:rsid w:val="008A6491"/>
    <w:rsid w:val="008A6545"/>
    <w:rsid w:val="008A6A7D"/>
    <w:rsid w:val="008A6BD0"/>
    <w:rsid w:val="008A6F7C"/>
    <w:rsid w:val="008A70BC"/>
    <w:rsid w:val="008A750C"/>
    <w:rsid w:val="008A758A"/>
    <w:rsid w:val="008A7D6E"/>
    <w:rsid w:val="008A7E9A"/>
    <w:rsid w:val="008A7F11"/>
    <w:rsid w:val="008A7F34"/>
    <w:rsid w:val="008A7FBA"/>
    <w:rsid w:val="008B0042"/>
    <w:rsid w:val="008B0159"/>
    <w:rsid w:val="008B03DA"/>
    <w:rsid w:val="008B0584"/>
    <w:rsid w:val="008B0714"/>
    <w:rsid w:val="008B0829"/>
    <w:rsid w:val="008B0CBD"/>
    <w:rsid w:val="008B0CEC"/>
    <w:rsid w:val="008B0F41"/>
    <w:rsid w:val="008B10AA"/>
    <w:rsid w:val="008B13BF"/>
    <w:rsid w:val="008B16AD"/>
    <w:rsid w:val="008B175C"/>
    <w:rsid w:val="008B1A4A"/>
    <w:rsid w:val="008B1A9D"/>
    <w:rsid w:val="008B1AEC"/>
    <w:rsid w:val="008B1BAC"/>
    <w:rsid w:val="008B1C98"/>
    <w:rsid w:val="008B21AF"/>
    <w:rsid w:val="008B2322"/>
    <w:rsid w:val="008B2335"/>
    <w:rsid w:val="008B2440"/>
    <w:rsid w:val="008B249E"/>
    <w:rsid w:val="008B2EDA"/>
    <w:rsid w:val="008B2F7F"/>
    <w:rsid w:val="008B3268"/>
    <w:rsid w:val="008B3415"/>
    <w:rsid w:val="008B34D5"/>
    <w:rsid w:val="008B39C3"/>
    <w:rsid w:val="008B39D2"/>
    <w:rsid w:val="008B3D63"/>
    <w:rsid w:val="008B3E4E"/>
    <w:rsid w:val="008B3FDD"/>
    <w:rsid w:val="008B40C3"/>
    <w:rsid w:val="008B45B9"/>
    <w:rsid w:val="008B492D"/>
    <w:rsid w:val="008B56F5"/>
    <w:rsid w:val="008B59BB"/>
    <w:rsid w:val="008B5AC7"/>
    <w:rsid w:val="008B5E35"/>
    <w:rsid w:val="008B5E42"/>
    <w:rsid w:val="008B5E69"/>
    <w:rsid w:val="008B6148"/>
    <w:rsid w:val="008B642B"/>
    <w:rsid w:val="008B66A6"/>
    <w:rsid w:val="008B66AF"/>
    <w:rsid w:val="008B6709"/>
    <w:rsid w:val="008B6930"/>
    <w:rsid w:val="008B6C7C"/>
    <w:rsid w:val="008B6C7D"/>
    <w:rsid w:val="008B6CF1"/>
    <w:rsid w:val="008B6EAA"/>
    <w:rsid w:val="008B6F40"/>
    <w:rsid w:val="008B7311"/>
    <w:rsid w:val="008B7685"/>
    <w:rsid w:val="008B7926"/>
    <w:rsid w:val="008B7DA3"/>
    <w:rsid w:val="008B7FC7"/>
    <w:rsid w:val="008C0027"/>
    <w:rsid w:val="008C024D"/>
    <w:rsid w:val="008C0299"/>
    <w:rsid w:val="008C0D41"/>
    <w:rsid w:val="008C0DF3"/>
    <w:rsid w:val="008C0ECD"/>
    <w:rsid w:val="008C0FE3"/>
    <w:rsid w:val="008C10CF"/>
    <w:rsid w:val="008C11CE"/>
    <w:rsid w:val="008C1754"/>
    <w:rsid w:val="008C21D7"/>
    <w:rsid w:val="008C27C0"/>
    <w:rsid w:val="008C29BD"/>
    <w:rsid w:val="008C2AFB"/>
    <w:rsid w:val="008C2C8B"/>
    <w:rsid w:val="008C2DC3"/>
    <w:rsid w:val="008C2F34"/>
    <w:rsid w:val="008C30EE"/>
    <w:rsid w:val="008C3371"/>
    <w:rsid w:val="008C33E7"/>
    <w:rsid w:val="008C35F5"/>
    <w:rsid w:val="008C390C"/>
    <w:rsid w:val="008C3A1A"/>
    <w:rsid w:val="008C3E8E"/>
    <w:rsid w:val="008C3F89"/>
    <w:rsid w:val="008C4092"/>
    <w:rsid w:val="008C4283"/>
    <w:rsid w:val="008C462E"/>
    <w:rsid w:val="008C48C3"/>
    <w:rsid w:val="008C4DB3"/>
    <w:rsid w:val="008C4FFB"/>
    <w:rsid w:val="008C517B"/>
    <w:rsid w:val="008C51C3"/>
    <w:rsid w:val="008C53AA"/>
    <w:rsid w:val="008C53EA"/>
    <w:rsid w:val="008C564E"/>
    <w:rsid w:val="008C596A"/>
    <w:rsid w:val="008C5E8E"/>
    <w:rsid w:val="008C5F8E"/>
    <w:rsid w:val="008C61BC"/>
    <w:rsid w:val="008C64CF"/>
    <w:rsid w:val="008C65D3"/>
    <w:rsid w:val="008C6702"/>
    <w:rsid w:val="008C67AD"/>
    <w:rsid w:val="008C6AAB"/>
    <w:rsid w:val="008C6D73"/>
    <w:rsid w:val="008C71CF"/>
    <w:rsid w:val="008C7525"/>
    <w:rsid w:val="008C75EE"/>
    <w:rsid w:val="008C76D0"/>
    <w:rsid w:val="008C770C"/>
    <w:rsid w:val="008C772F"/>
    <w:rsid w:val="008C775F"/>
    <w:rsid w:val="008C7778"/>
    <w:rsid w:val="008C7A84"/>
    <w:rsid w:val="008C7B49"/>
    <w:rsid w:val="008C7BC7"/>
    <w:rsid w:val="008C7C7D"/>
    <w:rsid w:val="008C7D13"/>
    <w:rsid w:val="008C7E37"/>
    <w:rsid w:val="008C7E41"/>
    <w:rsid w:val="008C7F0C"/>
    <w:rsid w:val="008C7FAC"/>
    <w:rsid w:val="008D0347"/>
    <w:rsid w:val="008D0552"/>
    <w:rsid w:val="008D0AEC"/>
    <w:rsid w:val="008D0C39"/>
    <w:rsid w:val="008D0C8A"/>
    <w:rsid w:val="008D0DF7"/>
    <w:rsid w:val="008D0E3A"/>
    <w:rsid w:val="008D0F70"/>
    <w:rsid w:val="008D112C"/>
    <w:rsid w:val="008D117B"/>
    <w:rsid w:val="008D1503"/>
    <w:rsid w:val="008D1697"/>
    <w:rsid w:val="008D1782"/>
    <w:rsid w:val="008D1B21"/>
    <w:rsid w:val="008D1DD8"/>
    <w:rsid w:val="008D1DF5"/>
    <w:rsid w:val="008D20EB"/>
    <w:rsid w:val="008D2477"/>
    <w:rsid w:val="008D2550"/>
    <w:rsid w:val="008D25EB"/>
    <w:rsid w:val="008D26FE"/>
    <w:rsid w:val="008D2760"/>
    <w:rsid w:val="008D29AA"/>
    <w:rsid w:val="008D2A28"/>
    <w:rsid w:val="008D2A7B"/>
    <w:rsid w:val="008D2AA3"/>
    <w:rsid w:val="008D2B0D"/>
    <w:rsid w:val="008D2B75"/>
    <w:rsid w:val="008D2D60"/>
    <w:rsid w:val="008D2E04"/>
    <w:rsid w:val="008D3219"/>
    <w:rsid w:val="008D3386"/>
    <w:rsid w:val="008D3947"/>
    <w:rsid w:val="008D39E3"/>
    <w:rsid w:val="008D3A4F"/>
    <w:rsid w:val="008D3AC3"/>
    <w:rsid w:val="008D3B29"/>
    <w:rsid w:val="008D3F9F"/>
    <w:rsid w:val="008D423B"/>
    <w:rsid w:val="008D4501"/>
    <w:rsid w:val="008D483C"/>
    <w:rsid w:val="008D4DFD"/>
    <w:rsid w:val="008D4ED3"/>
    <w:rsid w:val="008D4FED"/>
    <w:rsid w:val="008D515F"/>
    <w:rsid w:val="008D52BF"/>
    <w:rsid w:val="008D5516"/>
    <w:rsid w:val="008D554D"/>
    <w:rsid w:val="008D569E"/>
    <w:rsid w:val="008D59A0"/>
    <w:rsid w:val="008D5D7B"/>
    <w:rsid w:val="008D5F87"/>
    <w:rsid w:val="008D6077"/>
    <w:rsid w:val="008D7163"/>
    <w:rsid w:val="008D7291"/>
    <w:rsid w:val="008D72CF"/>
    <w:rsid w:val="008D72EB"/>
    <w:rsid w:val="008D7426"/>
    <w:rsid w:val="008D7606"/>
    <w:rsid w:val="008D77D9"/>
    <w:rsid w:val="008D7ABB"/>
    <w:rsid w:val="008D7F91"/>
    <w:rsid w:val="008D7FD9"/>
    <w:rsid w:val="008E04B2"/>
    <w:rsid w:val="008E04E5"/>
    <w:rsid w:val="008E0500"/>
    <w:rsid w:val="008E063D"/>
    <w:rsid w:val="008E06FC"/>
    <w:rsid w:val="008E084A"/>
    <w:rsid w:val="008E0D85"/>
    <w:rsid w:val="008E105D"/>
    <w:rsid w:val="008E1213"/>
    <w:rsid w:val="008E12D0"/>
    <w:rsid w:val="008E1943"/>
    <w:rsid w:val="008E1C03"/>
    <w:rsid w:val="008E1C6F"/>
    <w:rsid w:val="008E1F1F"/>
    <w:rsid w:val="008E2251"/>
    <w:rsid w:val="008E2554"/>
    <w:rsid w:val="008E2C6A"/>
    <w:rsid w:val="008E2CBD"/>
    <w:rsid w:val="008E2EFB"/>
    <w:rsid w:val="008E2F75"/>
    <w:rsid w:val="008E34C7"/>
    <w:rsid w:val="008E35CB"/>
    <w:rsid w:val="008E3627"/>
    <w:rsid w:val="008E3BA5"/>
    <w:rsid w:val="008E3C88"/>
    <w:rsid w:val="008E3CC5"/>
    <w:rsid w:val="008E3FE7"/>
    <w:rsid w:val="008E41B1"/>
    <w:rsid w:val="008E4A0F"/>
    <w:rsid w:val="008E5210"/>
    <w:rsid w:val="008E553F"/>
    <w:rsid w:val="008E56A3"/>
    <w:rsid w:val="008E56F7"/>
    <w:rsid w:val="008E594D"/>
    <w:rsid w:val="008E5AF3"/>
    <w:rsid w:val="008E5EDA"/>
    <w:rsid w:val="008E664F"/>
    <w:rsid w:val="008E6825"/>
    <w:rsid w:val="008E6AC0"/>
    <w:rsid w:val="008E6BA2"/>
    <w:rsid w:val="008E6BC8"/>
    <w:rsid w:val="008E6D90"/>
    <w:rsid w:val="008E6F15"/>
    <w:rsid w:val="008E71A1"/>
    <w:rsid w:val="008E77F4"/>
    <w:rsid w:val="008E780E"/>
    <w:rsid w:val="008E7A9E"/>
    <w:rsid w:val="008E7D02"/>
    <w:rsid w:val="008E7E5A"/>
    <w:rsid w:val="008F0266"/>
    <w:rsid w:val="008F046D"/>
    <w:rsid w:val="008F066D"/>
    <w:rsid w:val="008F07B7"/>
    <w:rsid w:val="008F0956"/>
    <w:rsid w:val="008F0B66"/>
    <w:rsid w:val="008F0B99"/>
    <w:rsid w:val="008F0C47"/>
    <w:rsid w:val="008F0CA4"/>
    <w:rsid w:val="008F0D0B"/>
    <w:rsid w:val="008F0FB4"/>
    <w:rsid w:val="008F1045"/>
    <w:rsid w:val="008F1202"/>
    <w:rsid w:val="008F144D"/>
    <w:rsid w:val="008F15DD"/>
    <w:rsid w:val="008F16C5"/>
    <w:rsid w:val="008F16E9"/>
    <w:rsid w:val="008F1D5A"/>
    <w:rsid w:val="008F1D84"/>
    <w:rsid w:val="008F2176"/>
    <w:rsid w:val="008F24CC"/>
    <w:rsid w:val="008F269D"/>
    <w:rsid w:val="008F26F2"/>
    <w:rsid w:val="008F2892"/>
    <w:rsid w:val="008F2B7B"/>
    <w:rsid w:val="008F2C09"/>
    <w:rsid w:val="008F2C98"/>
    <w:rsid w:val="008F2CFA"/>
    <w:rsid w:val="008F3736"/>
    <w:rsid w:val="008F395E"/>
    <w:rsid w:val="008F3A34"/>
    <w:rsid w:val="008F3A7D"/>
    <w:rsid w:val="008F3DDE"/>
    <w:rsid w:val="008F4182"/>
    <w:rsid w:val="008F43EB"/>
    <w:rsid w:val="008F45F8"/>
    <w:rsid w:val="008F4859"/>
    <w:rsid w:val="008F4910"/>
    <w:rsid w:val="008F4992"/>
    <w:rsid w:val="008F49D0"/>
    <w:rsid w:val="008F4DC1"/>
    <w:rsid w:val="008F5421"/>
    <w:rsid w:val="008F55B2"/>
    <w:rsid w:val="008F5892"/>
    <w:rsid w:val="008F5F44"/>
    <w:rsid w:val="008F6981"/>
    <w:rsid w:val="008F6B4A"/>
    <w:rsid w:val="008F6D10"/>
    <w:rsid w:val="008F6D25"/>
    <w:rsid w:val="008F6D55"/>
    <w:rsid w:val="008F6DC0"/>
    <w:rsid w:val="008F6EED"/>
    <w:rsid w:val="008F6FB2"/>
    <w:rsid w:val="008F7244"/>
    <w:rsid w:val="0090007A"/>
    <w:rsid w:val="009001EA"/>
    <w:rsid w:val="00900223"/>
    <w:rsid w:val="009004C9"/>
    <w:rsid w:val="009007A8"/>
    <w:rsid w:val="00900968"/>
    <w:rsid w:val="00900971"/>
    <w:rsid w:val="00900A3E"/>
    <w:rsid w:val="00900AFA"/>
    <w:rsid w:val="00900E4F"/>
    <w:rsid w:val="00900EFE"/>
    <w:rsid w:val="009012B2"/>
    <w:rsid w:val="009012E7"/>
    <w:rsid w:val="00901762"/>
    <w:rsid w:val="00901790"/>
    <w:rsid w:val="00901AD1"/>
    <w:rsid w:val="00901F7B"/>
    <w:rsid w:val="00901FF0"/>
    <w:rsid w:val="00902148"/>
    <w:rsid w:val="00902A83"/>
    <w:rsid w:val="00902C79"/>
    <w:rsid w:val="00902FF0"/>
    <w:rsid w:val="00902FF7"/>
    <w:rsid w:val="0090316E"/>
    <w:rsid w:val="00903228"/>
    <w:rsid w:val="00903321"/>
    <w:rsid w:val="0090364F"/>
    <w:rsid w:val="00903692"/>
    <w:rsid w:val="00903AF8"/>
    <w:rsid w:val="00903C16"/>
    <w:rsid w:val="00903D0A"/>
    <w:rsid w:val="0090422F"/>
    <w:rsid w:val="009042A2"/>
    <w:rsid w:val="00904468"/>
    <w:rsid w:val="009046BD"/>
    <w:rsid w:val="00904816"/>
    <w:rsid w:val="00904C52"/>
    <w:rsid w:val="00905012"/>
    <w:rsid w:val="009050D4"/>
    <w:rsid w:val="009055A9"/>
    <w:rsid w:val="0090578C"/>
    <w:rsid w:val="00905E11"/>
    <w:rsid w:val="00905F08"/>
    <w:rsid w:val="0090635E"/>
    <w:rsid w:val="00906650"/>
    <w:rsid w:val="009068FF"/>
    <w:rsid w:val="009069DA"/>
    <w:rsid w:val="00906B8C"/>
    <w:rsid w:val="00906C41"/>
    <w:rsid w:val="00906ED1"/>
    <w:rsid w:val="00907205"/>
    <w:rsid w:val="00907268"/>
    <w:rsid w:val="00907283"/>
    <w:rsid w:val="009073EA"/>
    <w:rsid w:val="009077CE"/>
    <w:rsid w:val="00907ABB"/>
    <w:rsid w:val="00910074"/>
    <w:rsid w:val="009103B9"/>
    <w:rsid w:val="009106AE"/>
    <w:rsid w:val="009108AE"/>
    <w:rsid w:val="00910BA2"/>
    <w:rsid w:val="00910D46"/>
    <w:rsid w:val="00911293"/>
    <w:rsid w:val="00911347"/>
    <w:rsid w:val="0091140C"/>
    <w:rsid w:val="00911485"/>
    <w:rsid w:val="00911A80"/>
    <w:rsid w:val="00911AC3"/>
    <w:rsid w:val="0091208F"/>
    <w:rsid w:val="00912429"/>
    <w:rsid w:val="009124BA"/>
    <w:rsid w:val="00912649"/>
    <w:rsid w:val="00912DEF"/>
    <w:rsid w:val="00912EA3"/>
    <w:rsid w:val="00912EB6"/>
    <w:rsid w:val="009136BA"/>
    <w:rsid w:val="009138FB"/>
    <w:rsid w:val="00913917"/>
    <w:rsid w:val="009139EE"/>
    <w:rsid w:val="00913A40"/>
    <w:rsid w:val="00913DC1"/>
    <w:rsid w:val="00913EB7"/>
    <w:rsid w:val="00914089"/>
    <w:rsid w:val="009143FF"/>
    <w:rsid w:val="0091465F"/>
    <w:rsid w:val="0091481E"/>
    <w:rsid w:val="00914997"/>
    <w:rsid w:val="009149B3"/>
    <w:rsid w:val="00914D70"/>
    <w:rsid w:val="009152FE"/>
    <w:rsid w:val="009153F8"/>
    <w:rsid w:val="0091563E"/>
    <w:rsid w:val="009157DF"/>
    <w:rsid w:val="00915AB9"/>
    <w:rsid w:val="00915C70"/>
    <w:rsid w:val="00915E7A"/>
    <w:rsid w:val="00915F28"/>
    <w:rsid w:val="00916094"/>
    <w:rsid w:val="009160FD"/>
    <w:rsid w:val="00916327"/>
    <w:rsid w:val="009167D9"/>
    <w:rsid w:val="009169C3"/>
    <w:rsid w:val="00916B4D"/>
    <w:rsid w:val="00916CB9"/>
    <w:rsid w:val="00916DC5"/>
    <w:rsid w:val="00916E2A"/>
    <w:rsid w:val="00916EFB"/>
    <w:rsid w:val="00916F6A"/>
    <w:rsid w:val="009175D0"/>
    <w:rsid w:val="009176BE"/>
    <w:rsid w:val="00920005"/>
    <w:rsid w:val="00920047"/>
    <w:rsid w:val="00920438"/>
    <w:rsid w:val="00920657"/>
    <w:rsid w:val="0092065C"/>
    <w:rsid w:val="00920C98"/>
    <w:rsid w:val="0092115B"/>
    <w:rsid w:val="0092131D"/>
    <w:rsid w:val="00921B1F"/>
    <w:rsid w:val="00921B29"/>
    <w:rsid w:val="009221FF"/>
    <w:rsid w:val="00922B0C"/>
    <w:rsid w:val="00922C34"/>
    <w:rsid w:val="00922C6A"/>
    <w:rsid w:val="00922DE3"/>
    <w:rsid w:val="00922E0D"/>
    <w:rsid w:val="00923108"/>
    <w:rsid w:val="0092317F"/>
    <w:rsid w:val="009234AB"/>
    <w:rsid w:val="009236FC"/>
    <w:rsid w:val="00923935"/>
    <w:rsid w:val="00923B34"/>
    <w:rsid w:val="00924BEA"/>
    <w:rsid w:val="00924E62"/>
    <w:rsid w:val="00925338"/>
    <w:rsid w:val="0092590B"/>
    <w:rsid w:val="00925DB3"/>
    <w:rsid w:val="0092600B"/>
    <w:rsid w:val="00926049"/>
    <w:rsid w:val="009264F6"/>
    <w:rsid w:val="009268FD"/>
    <w:rsid w:val="00926A06"/>
    <w:rsid w:val="00926AE3"/>
    <w:rsid w:val="00926B5C"/>
    <w:rsid w:val="00926C71"/>
    <w:rsid w:val="0092701E"/>
    <w:rsid w:val="009273A9"/>
    <w:rsid w:val="0092784A"/>
    <w:rsid w:val="009279BD"/>
    <w:rsid w:val="00927B60"/>
    <w:rsid w:val="00927B93"/>
    <w:rsid w:val="00927BAE"/>
    <w:rsid w:val="00927C09"/>
    <w:rsid w:val="00927E85"/>
    <w:rsid w:val="0093008A"/>
    <w:rsid w:val="009300ED"/>
    <w:rsid w:val="0093014E"/>
    <w:rsid w:val="00930614"/>
    <w:rsid w:val="0093073A"/>
    <w:rsid w:val="00930767"/>
    <w:rsid w:val="009307F3"/>
    <w:rsid w:val="00930AD0"/>
    <w:rsid w:val="0093119B"/>
    <w:rsid w:val="0093125A"/>
    <w:rsid w:val="009315B5"/>
    <w:rsid w:val="00931922"/>
    <w:rsid w:val="00931AFC"/>
    <w:rsid w:val="00931C4F"/>
    <w:rsid w:val="0093200D"/>
    <w:rsid w:val="0093207F"/>
    <w:rsid w:val="009321D3"/>
    <w:rsid w:val="009322A3"/>
    <w:rsid w:val="0093286E"/>
    <w:rsid w:val="00932E48"/>
    <w:rsid w:val="00933055"/>
    <w:rsid w:val="00933081"/>
    <w:rsid w:val="00933882"/>
    <w:rsid w:val="00933898"/>
    <w:rsid w:val="00933BDF"/>
    <w:rsid w:val="00933C6A"/>
    <w:rsid w:val="00933D8D"/>
    <w:rsid w:val="00933E31"/>
    <w:rsid w:val="00934335"/>
    <w:rsid w:val="00934608"/>
    <w:rsid w:val="00934948"/>
    <w:rsid w:val="00934974"/>
    <w:rsid w:val="00934D23"/>
    <w:rsid w:val="00934E7A"/>
    <w:rsid w:val="0093506B"/>
    <w:rsid w:val="00935142"/>
    <w:rsid w:val="00935484"/>
    <w:rsid w:val="0093557E"/>
    <w:rsid w:val="00935630"/>
    <w:rsid w:val="00935645"/>
    <w:rsid w:val="0093585E"/>
    <w:rsid w:val="00935DD6"/>
    <w:rsid w:val="0093624B"/>
    <w:rsid w:val="009362E5"/>
    <w:rsid w:val="00936638"/>
    <w:rsid w:val="009366B2"/>
    <w:rsid w:val="009366B5"/>
    <w:rsid w:val="00936A41"/>
    <w:rsid w:val="00936B97"/>
    <w:rsid w:val="00936D74"/>
    <w:rsid w:val="00936ED2"/>
    <w:rsid w:val="00937081"/>
    <w:rsid w:val="00937194"/>
    <w:rsid w:val="00937200"/>
    <w:rsid w:val="0093748A"/>
    <w:rsid w:val="009375A6"/>
    <w:rsid w:val="00937655"/>
    <w:rsid w:val="0093779D"/>
    <w:rsid w:val="00940423"/>
    <w:rsid w:val="009405B4"/>
    <w:rsid w:val="00940707"/>
    <w:rsid w:val="00940862"/>
    <w:rsid w:val="00940E4E"/>
    <w:rsid w:val="009411D1"/>
    <w:rsid w:val="00941292"/>
    <w:rsid w:val="009418C3"/>
    <w:rsid w:val="00941A2E"/>
    <w:rsid w:val="00941AE8"/>
    <w:rsid w:val="00941C16"/>
    <w:rsid w:val="00941CEC"/>
    <w:rsid w:val="00941D60"/>
    <w:rsid w:val="00941F6E"/>
    <w:rsid w:val="00942629"/>
    <w:rsid w:val="00942745"/>
    <w:rsid w:val="0094293D"/>
    <w:rsid w:val="009429D6"/>
    <w:rsid w:val="00942D97"/>
    <w:rsid w:val="009430FF"/>
    <w:rsid w:val="00943180"/>
    <w:rsid w:val="009436EC"/>
    <w:rsid w:val="00943705"/>
    <w:rsid w:val="0094375A"/>
    <w:rsid w:val="00943765"/>
    <w:rsid w:val="0094378D"/>
    <w:rsid w:val="009439D4"/>
    <w:rsid w:val="00943F43"/>
    <w:rsid w:val="00944128"/>
    <w:rsid w:val="00944296"/>
    <w:rsid w:val="009443F6"/>
    <w:rsid w:val="00944572"/>
    <w:rsid w:val="009447CB"/>
    <w:rsid w:val="00944822"/>
    <w:rsid w:val="00944B17"/>
    <w:rsid w:val="00944D97"/>
    <w:rsid w:val="00944E71"/>
    <w:rsid w:val="00945147"/>
    <w:rsid w:val="00945308"/>
    <w:rsid w:val="0094534A"/>
    <w:rsid w:val="00945368"/>
    <w:rsid w:val="009454A6"/>
    <w:rsid w:val="0094557D"/>
    <w:rsid w:val="009456DB"/>
    <w:rsid w:val="00945A57"/>
    <w:rsid w:val="00946466"/>
    <w:rsid w:val="009467DC"/>
    <w:rsid w:val="00946866"/>
    <w:rsid w:val="00946897"/>
    <w:rsid w:val="00946B30"/>
    <w:rsid w:val="00947056"/>
    <w:rsid w:val="009470D5"/>
    <w:rsid w:val="00947238"/>
    <w:rsid w:val="0094746F"/>
    <w:rsid w:val="0094747C"/>
    <w:rsid w:val="009474E4"/>
    <w:rsid w:val="009476A3"/>
    <w:rsid w:val="00947870"/>
    <w:rsid w:val="00947960"/>
    <w:rsid w:val="00947AE4"/>
    <w:rsid w:val="00947C4E"/>
    <w:rsid w:val="00947C54"/>
    <w:rsid w:val="00947CB1"/>
    <w:rsid w:val="00947CEB"/>
    <w:rsid w:val="00947D4F"/>
    <w:rsid w:val="00947EB6"/>
    <w:rsid w:val="009500CC"/>
    <w:rsid w:val="00950232"/>
    <w:rsid w:val="00950293"/>
    <w:rsid w:val="009507BA"/>
    <w:rsid w:val="00950830"/>
    <w:rsid w:val="00950A59"/>
    <w:rsid w:val="00950C2A"/>
    <w:rsid w:val="00950C5C"/>
    <w:rsid w:val="00950EC5"/>
    <w:rsid w:val="0095127D"/>
    <w:rsid w:val="00952049"/>
    <w:rsid w:val="0095226D"/>
    <w:rsid w:val="00952371"/>
    <w:rsid w:val="0095248A"/>
    <w:rsid w:val="0095269D"/>
    <w:rsid w:val="009526B1"/>
    <w:rsid w:val="0095270F"/>
    <w:rsid w:val="009528F7"/>
    <w:rsid w:val="009529C6"/>
    <w:rsid w:val="00952B35"/>
    <w:rsid w:val="00952D22"/>
    <w:rsid w:val="00952EF8"/>
    <w:rsid w:val="00953025"/>
    <w:rsid w:val="009534C1"/>
    <w:rsid w:val="009538C4"/>
    <w:rsid w:val="00953B27"/>
    <w:rsid w:val="00953D83"/>
    <w:rsid w:val="00954170"/>
    <w:rsid w:val="00954272"/>
    <w:rsid w:val="00954448"/>
    <w:rsid w:val="00954464"/>
    <w:rsid w:val="009544ED"/>
    <w:rsid w:val="009545AA"/>
    <w:rsid w:val="00954609"/>
    <w:rsid w:val="00954672"/>
    <w:rsid w:val="00954889"/>
    <w:rsid w:val="00954BAD"/>
    <w:rsid w:val="00955334"/>
    <w:rsid w:val="009553A0"/>
    <w:rsid w:val="009554C7"/>
    <w:rsid w:val="00955715"/>
    <w:rsid w:val="00955B5F"/>
    <w:rsid w:val="0095667F"/>
    <w:rsid w:val="00956CA7"/>
    <w:rsid w:val="009573C3"/>
    <w:rsid w:val="009577F3"/>
    <w:rsid w:val="009578C1"/>
    <w:rsid w:val="00957C4C"/>
    <w:rsid w:val="009601B0"/>
    <w:rsid w:val="00960555"/>
    <w:rsid w:val="0096093B"/>
    <w:rsid w:val="00960997"/>
    <w:rsid w:val="00960E51"/>
    <w:rsid w:val="00961076"/>
    <w:rsid w:val="009611F1"/>
    <w:rsid w:val="0096123B"/>
    <w:rsid w:val="00961497"/>
    <w:rsid w:val="0096176B"/>
    <w:rsid w:val="00961A35"/>
    <w:rsid w:val="00961A4C"/>
    <w:rsid w:val="00961C8E"/>
    <w:rsid w:val="00961D1D"/>
    <w:rsid w:val="009620CE"/>
    <w:rsid w:val="009622E0"/>
    <w:rsid w:val="0096242E"/>
    <w:rsid w:val="009629E4"/>
    <w:rsid w:val="00962F84"/>
    <w:rsid w:val="009630BE"/>
    <w:rsid w:val="00963377"/>
    <w:rsid w:val="00963598"/>
    <w:rsid w:val="009635AE"/>
    <w:rsid w:val="009638B3"/>
    <w:rsid w:val="00963B6A"/>
    <w:rsid w:val="00963E6D"/>
    <w:rsid w:val="00963ECF"/>
    <w:rsid w:val="00964213"/>
    <w:rsid w:val="009646B7"/>
    <w:rsid w:val="00964786"/>
    <w:rsid w:val="00964C8E"/>
    <w:rsid w:val="00964D51"/>
    <w:rsid w:val="00964D5C"/>
    <w:rsid w:val="00964E89"/>
    <w:rsid w:val="00964FE5"/>
    <w:rsid w:val="0096513F"/>
    <w:rsid w:val="00965192"/>
    <w:rsid w:val="0096524F"/>
    <w:rsid w:val="0096531E"/>
    <w:rsid w:val="0096589A"/>
    <w:rsid w:val="00965C27"/>
    <w:rsid w:val="00965FFF"/>
    <w:rsid w:val="00966083"/>
    <w:rsid w:val="00966239"/>
    <w:rsid w:val="009665C5"/>
    <w:rsid w:val="0096682E"/>
    <w:rsid w:val="00966A26"/>
    <w:rsid w:val="00966B01"/>
    <w:rsid w:val="00966BBD"/>
    <w:rsid w:val="00966E77"/>
    <w:rsid w:val="00966F81"/>
    <w:rsid w:val="009670E1"/>
    <w:rsid w:val="0096715E"/>
    <w:rsid w:val="00967356"/>
    <w:rsid w:val="0096745F"/>
    <w:rsid w:val="00967531"/>
    <w:rsid w:val="00967A7D"/>
    <w:rsid w:val="00967B01"/>
    <w:rsid w:val="00967B79"/>
    <w:rsid w:val="00967C2C"/>
    <w:rsid w:val="00967CCD"/>
    <w:rsid w:val="00970224"/>
    <w:rsid w:val="009704D3"/>
    <w:rsid w:val="009705D3"/>
    <w:rsid w:val="0097077A"/>
    <w:rsid w:val="00970E44"/>
    <w:rsid w:val="00970EA5"/>
    <w:rsid w:val="00971104"/>
    <w:rsid w:val="009714F0"/>
    <w:rsid w:val="009719D4"/>
    <w:rsid w:val="00971A86"/>
    <w:rsid w:val="00971FCD"/>
    <w:rsid w:val="00972122"/>
    <w:rsid w:val="009721B3"/>
    <w:rsid w:val="0097246F"/>
    <w:rsid w:val="0097258D"/>
    <w:rsid w:val="009726A3"/>
    <w:rsid w:val="00972AB8"/>
    <w:rsid w:val="00972BD9"/>
    <w:rsid w:val="00972BEA"/>
    <w:rsid w:val="00972C2D"/>
    <w:rsid w:val="00972F77"/>
    <w:rsid w:val="00973341"/>
    <w:rsid w:val="009735BB"/>
    <w:rsid w:val="00973774"/>
    <w:rsid w:val="009737C7"/>
    <w:rsid w:val="009737D0"/>
    <w:rsid w:val="0097392F"/>
    <w:rsid w:val="00973A3B"/>
    <w:rsid w:val="00974363"/>
    <w:rsid w:val="00974500"/>
    <w:rsid w:val="0097503E"/>
    <w:rsid w:val="009753D3"/>
    <w:rsid w:val="00975443"/>
    <w:rsid w:val="00975AD4"/>
    <w:rsid w:val="00975AFC"/>
    <w:rsid w:val="00975B9E"/>
    <w:rsid w:val="00975D42"/>
    <w:rsid w:val="00975E08"/>
    <w:rsid w:val="009760C7"/>
    <w:rsid w:val="00977038"/>
    <w:rsid w:val="0097704F"/>
    <w:rsid w:val="00977240"/>
    <w:rsid w:val="00977273"/>
    <w:rsid w:val="009772BB"/>
    <w:rsid w:val="009777EE"/>
    <w:rsid w:val="00977B31"/>
    <w:rsid w:val="00977E4D"/>
    <w:rsid w:val="00980263"/>
    <w:rsid w:val="00980489"/>
    <w:rsid w:val="009808A0"/>
    <w:rsid w:val="00980BDC"/>
    <w:rsid w:val="009812C1"/>
    <w:rsid w:val="009812E2"/>
    <w:rsid w:val="009813E1"/>
    <w:rsid w:val="0098146C"/>
    <w:rsid w:val="0098156E"/>
    <w:rsid w:val="0098167E"/>
    <w:rsid w:val="00981699"/>
    <w:rsid w:val="00981F23"/>
    <w:rsid w:val="009822C2"/>
    <w:rsid w:val="009823F2"/>
    <w:rsid w:val="00982590"/>
    <w:rsid w:val="00982642"/>
    <w:rsid w:val="009826E4"/>
    <w:rsid w:val="00982747"/>
    <w:rsid w:val="0098287D"/>
    <w:rsid w:val="00982BD1"/>
    <w:rsid w:val="00982BD8"/>
    <w:rsid w:val="00982C6E"/>
    <w:rsid w:val="00982E89"/>
    <w:rsid w:val="0098302E"/>
    <w:rsid w:val="00983704"/>
    <w:rsid w:val="00983924"/>
    <w:rsid w:val="00983D82"/>
    <w:rsid w:val="00983F64"/>
    <w:rsid w:val="00984250"/>
    <w:rsid w:val="0098428D"/>
    <w:rsid w:val="00984319"/>
    <w:rsid w:val="0098435F"/>
    <w:rsid w:val="00984435"/>
    <w:rsid w:val="00984837"/>
    <w:rsid w:val="00984B06"/>
    <w:rsid w:val="00984C76"/>
    <w:rsid w:val="00984DE1"/>
    <w:rsid w:val="00985099"/>
    <w:rsid w:val="009851F9"/>
    <w:rsid w:val="009854FE"/>
    <w:rsid w:val="00985533"/>
    <w:rsid w:val="0098556A"/>
    <w:rsid w:val="00985999"/>
    <w:rsid w:val="00985BD3"/>
    <w:rsid w:val="00985D57"/>
    <w:rsid w:val="00986224"/>
    <w:rsid w:val="0098630A"/>
    <w:rsid w:val="009867AF"/>
    <w:rsid w:val="00986920"/>
    <w:rsid w:val="00986CA7"/>
    <w:rsid w:val="00986CC6"/>
    <w:rsid w:val="00986FBA"/>
    <w:rsid w:val="00987435"/>
    <w:rsid w:val="009875F8"/>
    <w:rsid w:val="00987A77"/>
    <w:rsid w:val="00987C25"/>
    <w:rsid w:val="00987E2F"/>
    <w:rsid w:val="00987FF5"/>
    <w:rsid w:val="0099001B"/>
    <w:rsid w:val="0099016A"/>
    <w:rsid w:val="0099066F"/>
    <w:rsid w:val="0099068F"/>
    <w:rsid w:val="009909D6"/>
    <w:rsid w:val="00990AAC"/>
    <w:rsid w:val="00990AC6"/>
    <w:rsid w:val="00990CD2"/>
    <w:rsid w:val="0099122E"/>
    <w:rsid w:val="00991297"/>
    <w:rsid w:val="00991703"/>
    <w:rsid w:val="00991E6B"/>
    <w:rsid w:val="00991F4F"/>
    <w:rsid w:val="00992066"/>
    <w:rsid w:val="0099206A"/>
    <w:rsid w:val="00992157"/>
    <w:rsid w:val="009921A6"/>
    <w:rsid w:val="009921FE"/>
    <w:rsid w:val="00992297"/>
    <w:rsid w:val="00992460"/>
    <w:rsid w:val="00992746"/>
    <w:rsid w:val="00992867"/>
    <w:rsid w:val="0099299D"/>
    <w:rsid w:val="00992A0E"/>
    <w:rsid w:val="00992A83"/>
    <w:rsid w:val="00992BBB"/>
    <w:rsid w:val="00992C4E"/>
    <w:rsid w:val="00992E15"/>
    <w:rsid w:val="00993273"/>
    <w:rsid w:val="00993365"/>
    <w:rsid w:val="009935FB"/>
    <w:rsid w:val="009938A7"/>
    <w:rsid w:val="00993B0C"/>
    <w:rsid w:val="00993B8A"/>
    <w:rsid w:val="00993BA9"/>
    <w:rsid w:val="00993BE6"/>
    <w:rsid w:val="00993C79"/>
    <w:rsid w:val="00993E2C"/>
    <w:rsid w:val="00993EBA"/>
    <w:rsid w:val="0099402D"/>
    <w:rsid w:val="00994157"/>
    <w:rsid w:val="00994469"/>
    <w:rsid w:val="00994584"/>
    <w:rsid w:val="00994608"/>
    <w:rsid w:val="00994778"/>
    <w:rsid w:val="00994B83"/>
    <w:rsid w:val="00994C31"/>
    <w:rsid w:val="00994C70"/>
    <w:rsid w:val="00994F96"/>
    <w:rsid w:val="009955FB"/>
    <w:rsid w:val="009956E5"/>
    <w:rsid w:val="0099593F"/>
    <w:rsid w:val="009959E6"/>
    <w:rsid w:val="00995AD4"/>
    <w:rsid w:val="00995B21"/>
    <w:rsid w:val="00995B49"/>
    <w:rsid w:val="00995F90"/>
    <w:rsid w:val="0099610F"/>
    <w:rsid w:val="009961C4"/>
    <w:rsid w:val="00996267"/>
    <w:rsid w:val="009962FF"/>
    <w:rsid w:val="00996823"/>
    <w:rsid w:val="00996992"/>
    <w:rsid w:val="009969E9"/>
    <w:rsid w:val="00996D1A"/>
    <w:rsid w:val="00996E0A"/>
    <w:rsid w:val="00996F12"/>
    <w:rsid w:val="00997503"/>
    <w:rsid w:val="00997AED"/>
    <w:rsid w:val="00997EE6"/>
    <w:rsid w:val="009A010E"/>
    <w:rsid w:val="009A08EF"/>
    <w:rsid w:val="009A0A5B"/>
    <w:rsid w:val="009A0AEF"/>
    <w:rsid w:val="009A0BEE"/>
    <w:rsid w:val="009A0C3C"/>
    <w:rsid w:val="009A0C82"/>
    <w:rsid w:val="009A0D68"/>
    <w:rsid w:val="009A1009"/>
    <w:rsid w:val="009A10D2"/>
    <w:rsid w:val="009A138F"/>
    <w:rsid w:val="009A1499"/>
    <w:rsid w:val="009A19BD"/>
    <w:rsid w:val="009A1AD4"/>
    <w:rsid w:val="009A1C71"/>
    <w:rsid w:val="009A1CAE"/>
    <w:rsid w:val="009A1CB3"/>
    <w:rsid w:val="009A1D94"/>
    <w:rsid w:val="009A1ED6"/>
    <w:rsid w:val="009A1F75"/>
    <w:rsid w:val="009A2084"/>
    <w:rsid w:val="009A227A"/>
    <w:rsid w:val="009A242F"/>
    <w:rsid w:val="009A2510"/>
    <w:rsid w:val="009A2587"/>
    <w:rsid w:val="009A266C"/>
    <w:rsid w:val="009A2731"/>
    <w:rsid w:val="009A27A6"/>
    <w:rsid w:val="009A2826"/>
    <w:rsid w:val="009A2BEC"/>
    <w:rsid w:val="009A2C82"/>
    <w:rsid w:val="009A2CD2"/>
    <w:rsid w:val="009A32F8"/>
    <w:rsid w:val="009A33CA"/>
    <w:rsid w:val="009A3515"/>
    <w:rsid w:val="009A3684"/>
    <w:rsid w:val="009A371A"/>
    <w:rsid w:val="009A3843"/>
    <w:rsid w:val="009A399A"/>
    <w:rsid w:val="009A3C9B"/>
    <w:rsid w:val="009A3E72"/>
    <w:rsid w:val="009A41B8"/>
    <w:rsid w:val="009A4542"/>
    <w:rsid w:val="009A45BC"/>
    <w:rsid w:val="009A45DD"/>
    <w:rsid w:val="009A483B"/>
    <w:rsid w:val="009A4993"/>
    <w:rsid w:val="009A4ACE"/>
    <w:rsid w:val="009A4BD7"/>
    <w:rsid w:val="009A4E78"/>
    <w:rsid w:val="009A4F4A"/>
    <w:rsid w:val="009A53D9"/>
    <w:rsid w:val="009A56BC"/>
    <w:rsid w:val="009A5CEF"/>
    <w:rsid w:val="009A5F4E"/>
    <w:rsid w:val="009A608D"/>
    <w:rsid w:val="009A631F"/>
    <w:rsid w:val="009A65AD"/>
    <w:rsid w:val="009A6A65"/>
    <w:rsid w:val="009A6F03"/>
    <w:rsid w:val="009A7045"/>
    <w:rsid w:val="009A713C"/>
    <w:rsid w:val="009A7568"/>
    <w:rsid w:val="009A7973"/>
    <w:rsid w:val="009A79D4"/>
    <w:rsid w:val="009A7BDA"/>
    <w:rsid w:val="009A7DDE"/>
    <w:rsid w:val="009A7E55"/>
    <w:rsid w:val="009A7EE8"/>
    <w:rsid w:val="009B009E"/>
    <w:rsid w:val="009B050A"/>
    <w:rsid w:val="009B059D"/>
    <w:rsid w:val="009B082B"/>
    <w:rsid w:val="009B09CD"/>
    <w:rsid w:val="009B0A88"/>
    <w:rsid w:val="009B0B4E"/>
    <w:rsid w:val="009B0BC7"/>
    <w:rsid w:val="009B0C3B"/>
    <w:rsid w:val="009B0E06"/>
    <w:rsid w:val="009B1556"/>
    <w:rsid w:val="009B1D56"/>
    <w:rsid w:val="009B2548"/>
    <w:rsid w:val="009B2583"/>
    <w:rsid w:val="009B26C4"/>
    <w:rsid w:val="009B277A"/>
    <w:rsid w:val="009B2809"/>
    <w:rsid w:val="009B2D7E"/>
    <w:rsid w:val="009B2D92"/>
    <w:rsid w:val="009B2E57"/>
    <w:rsid w:val="009B2FCA"/>
    <w:rsid w:val="009B2FF5"/>
    <w:rsid w:val="009B33E7"/>
    <w:rsid w:val="009B392D"/>
    <w:rsid w:val="009B3FFE"/>
    <w:rsid w:val="009B4572"/>
    <w:rsid w:val="009B4A23"/>
    <w:rsid w:val="009B5495"/>
    <w:rsid w:val="009B5757"/>
    <w:rsid w:val="009B57D4"/>
    <w:rsid w:val="009B5B8E"/>
    <w:rsid w:val="009B5F24"/>
    <w:rsid w:val="009B637F"/>
    <w:rsid w:val="009B6ABC"/>
    <w:rsid w:val="009B6B80"/>
    <w:rsid w:val="009B6E01"/>
    <w:rsid w:val="009B7066"/>
    <w:rsid w:val="009B7172"/>
    <w:rsid w:val="009B72F4"/>
    <w:rsid w:val="009B752E"/>
    <w:rsid w:val="009B7880"/>
    <w:rsid w:val="009C0261"/>
    <w:rsid w:val="009C037B"/>
    <w:rsid w:val="009C03E8"/>
    <w:rsid w:val="009C05A3"/>
    <w:rsid w:val="009C0662"/>
    <w:rsid w:val="009C07DB"/>
    <w:rsid w:val="009C0817"/>
    <w:rsid w:val="009C0962"/>
    <w:rsid w:val="009C0C71"/>
    <w:rsid w:val="009C0ECC"/>
    <w:rsid w:val="009C11B5"/>
    <w:rsid w:val="009C13D1"/>
    <w:rsid w:val="009C14CD"/>
    <w:rsid w:val="009C1564"/>
    <w:rsid w:val="009C1734"/>
    <w:rsid w:val="009C196B"/>
    <w:rsid w:val="009C1D7F"/>
    <w:rsid w:val="009C218C"/>
    <w:rsid w:val="009C220A"/>
    <w:rsid w:val="009C2843"/>
    <w:rsid w:val="009C2FBF"/>
    <w:rsid w:val="009C30C7"/>
    <w:rsid w:val="009C30FE"/>
    <w:rsid w:val="009C3140"/>
    <w:rsid w:val="009C3478"/>
    <w:rsid w:val="009C3597"/>
    <w:rsid w:val="009C37E3"/>
    <w:rsid w:val="009C381E"/>
    <w:rsid w:val="009C3840"/>
    <w:rsid w:val="009C3849"/>
    <w:rsid w:val="009C394D"/>
    <w:rsid w:val="009C3ABC"/>
    <w:rsid w:val="009C3BC1"/>
    <w:rsid w:val="009C4079"/>
    <w:rsid w:val="009C474C"/>
    <w:rsid w:val="009C477F"/>
    <w:rsid w:val="009C47E8"/>
    <w:rsid w:val="009C4C09"/>
    <w:rsid w:val="009C4CA3"/>
    <w:rsid w:val="009C516F"/>
    <w:rsid w:val="009C51FE"/>
    <w:rsid w:val="009C5500"/>
    <w:rsid w:val="009C59C2"/>
    <w:rsid w:val="009C5A72"/>
    <w:rsid w:val="009C5BA2"/>
    <w:rsid w:val="009C6148"/>
    <w:rsid w:val="009C626A"/>
    <w:rsid w:val="009C638A"/>
    <w:rsid w:val="009C63E4"/>
    <w:rsid w:val="009C6451"/>
    <w:rsid w:val="009C6897"/>
    <w:rsid w:val="009C6CBC"/>
    <w:rsid w:val="009C7250"/>
    <w:rsid w:val="009C7252"/>
    <w:rsid w:val="009C746D"/>
    <w:rsid w:val="009C749F"/>
    <w:rsid w:val="009C776D"/>
    <w:rsid w:val="009C7A7A"/>
    <w:rsid w:val="009D001A"/>
    <w:rsid w:val="009D0135"/>
    <w:rsid w:val="009D016E"/>
    <w:rsid w:val="009D07D0"/>
    <w:rsid w:val="009D0874"/>
    <w:rsid w:val="009D089F"/>
    <w:rsid w:val="009D08C0"/>
    <w:rsid w:val="009D094D"/>
    <w:rsid w:val="009D0B02"/>
    <w:rsid w:val="009D0CBA"/>
    <w:rsid w:val="009D0FAD"/>
    <w:rsid w:val="009D1479"/>
    <w:rsid w:val="009D18C3"/>
    <w:rsid w:val="009D1A02"/>
    <w:rsid w:val="009D1A6C"/>
    <w:rsid w:val="009D1B40"/>
    <w:rsid w:val="009D1F41"/>
    <w:rsid w:val="009D211E"/>
    <w:rsid w:val="009D23D4"/>
    <w:rsid w:val="009D23FD"/>
    <w:rsid w:val="009D24D8"/>
    <w:rsid w:val="009D27B9"/>
    <w:rsid w:val="009D29E5"/>
    <w:rsid w:val="009D3542"/>
    <w:rsid w:val="009D355E"/>
    <w:rsid w:val="009D3849"/>
    <w:rsid w:val="009D3D46"/>
    <w:rsid w:val="009D3E8C"/>
    <w:rsid w:val="009D4182"/>
    <w:rsid w:val="009D421A"/>
    <w:rsid w:val="009D4285"/>
    <w:rsid w:val="009D470E"/>
    <w:rsid w:val="009D498A"/>
    <w:rsid w:val="009D4CF2"/>
    <w:rsid w:val="009D4E0F"/>
    <w:rsid w:val="009D5431"/>
    <w:rsid w:val="009D5630"/>
    <w:rsid w:val="009D58CA"/>
    <w:rsid w:val="009D5926"/>
    <w:rsid w:val="009D5E2F"/>
    <w:rsid w:val="009D5E66"/>
    <w:rsid w:val="009D63C2"/>
    <w:rsid w:val="009D6664"/>
    <w:rsid w:val="009D66EE"/>
    <w:rsid w:val="009D69C0"/>
    <w:rsid w:val="009D69FC"/>
    <w:rsid w:val="009D6AD6"/>
    <w:rsid w:val="009D6AFE"/>
    <w:rsid w:val="009D6BF9"/>
    <w:rsid w:val="009D6D0B"/>
    <w:rsid w:val="009D6D17"/>
    <w:rsid w:val="009D6F63"/>
    <w:rsid w:val="009D71CD"/>
    <w:rsid w:val="009D7403"/>
    <w:rsid w:val="009D7705"/>
    <w:rsid w:val="009D7C18"/>
    <w:rsid w:val="009D7D2F"/>
    <w:rsid w:val="009D7DFF"/>
    <w:rsid w:val="009E0133"/>
    <w:rsid w:val="009E02EF"/>
    <w:rsid w:val="009E03CA"/>
    <w:rsid w:val="009E059D"/>
    <w:rsid w:val="009E06CC"/>
    <w:rsid w:val="009E091B"/>
    <w:rsid w:val="009E0AD6"/>
    <w:rsid w:val="009E0B42"/>
    <w:rsid w:val="009E0B5E"/>
    <w:rsid w:val="009E0EF4"/>
    <w:rsid w:val="009E12E0"/>
    <w:rsid w:val="009E1319"/>
    <w:rsid w:val="009E1748"/>
    <w:rsid w:val="009E17A1"/>
    <w:rsid w:val="009E1890"/>
    <w:rsid w:val="009E18A1"/>
    <w:rsid w:val="009E1A11"/>
    <w:rsid w:val="009E1B8B"/>
    <w:rsid w:val="009E1CA5"/>
    <w:rsid w:val="009E1EC6"/>
    <w:rsid w:val="009E1FFE"/>
    <w:rsid w:val="009E206B"/>
    <w:rsid w:val="009E22FF"/>
    <w:rsid w:val="009E23FD"/>
    <w:rsid w:val="009E2428"/>
    <w:rsid w:val="009E24C0"/>
    <w:rsid w:val="009E25A9"/>
    <w:rsid w:val="009E25F2"/>
    <w:rsid w:val="009E26EB"/>
    <w:rsid w:val="009E272B"/>
    <w:rsid w:val="009E2A9F"/>
    <w:rsid w:val="009E2CA3"/>
    <w:rsid w:val="009E2CB2"/>
    <w:rsid w:val="009E2D5D"/>
    <w:rsid w:val="009E3012"/>
    <w:rsid w:val="009E31B9"/>
    <w:rsid w:val="009E31CF"/>
    <w:rsid w:val="009E31E5"/>
    <w:rsid w:val="009E3557"/>
    <w:rsid w:val="009E3A55"/>
    <w:rsid w:val="009E3D90"/>
    <w:rsid w:val="009E47C2"/>
    <w:rsid w:val="009E4E12"/>
    <w:rsid w:val="009E4F25"/>
    <w:rsid w:val="009E5051"/>
    <w:rsid w:val="009E50BA"/>
    <w:rsid w:val="009E56BC"/>
    <w:rsid w:val="009E5AA3"/>
    <w:rsid w:val="009E62F0"/>
    <w:rsid w:val="009E64FF"/>
    <w:rsid w:val="009E65BF"/>
    <w:rsid w:val="009E6677"/>
    <w:rsid w:val="009E6B56"/>
    <w:rsid w:val="009E6CB2"/>
    <w:rsid w:val="009E6E47"/>
    <w:rsid w:val="009E6F20"/>
    <w:rsid w:val="009E6F59"/>
    <w:rsid w:val="009E751E"/>
    <w:rsid w:val="009E7810"/>
    <w:rsid w:val="009E78EA"/>
    <w:rsid w:val="009E7C9C"/>
    <w:rsid w:val="009E7FA0"/>
    <w:rsid w:val="009F01AB"/>
    <w:rsid w:val="009F0267"/>
    <w:rsid w:val="009F0318"/>
    <w:rsid w:val="009F0A10"/>
    <w:rsid w:val="009F10F2"/>
    <w:rsid w:val="009F1178"/>
    <w:rsid w:val="009F1186"/>
    <w:rsid w:val="009F1401"/>
    <w:rsid w:val="009F1479"/>
    <w:rsid w:val="009F149A"/>
    <w:rsid w:val="009F15E9"/>
    <w:rsid w:val="009F16C1"/>
    <w:rsid w:val="009F1A2B"/>
    <w:rsid w:val="009F1B6A"/>
    <w:rsid w:val="009F1BA6"/>
    <w:rsid w:val="009F1C3A"/>
    <w:rsid w:val="009F2105"/>
    <w:rsid w:val="009F26E8"/>
    <w:rsid w:val="009F2701"/>
    <w:rsid w:val="009F29C1"/>
    <w:rsid w:val="009F2A23"/>
    <w:rsid w:val="009F2C03"/>
    <w:rsid w:val="009F305E"/>
    <w:rsid w:val="009F3192"/>
    <w:rsid w:val="009F327C"/>
    <w:rsid w:val="009F34A3"/>
    <w:rsid w:val="009F3637"/>
    <w:rsid w:val="009F376B"/>
    <w:rsid w:val="009F3800"/>
    <w:rsid w:val="009F385A"/>
    <w:rsid w:val="009F390A"/>
    <w:rsid w:val="009F3D49"/>
    <w:rsid w:val="009F415F"/>
    <w:rsid w:val="009F4163"/>
    <w:rsid w:val="009F4267"/>
    <w:rsid w:val="009F4268"/>
    <w:rsid w:val="009F45B1"/>
    <w:rsid w:val="009F4A30"/>
    <w:rsid w:val="009F4AE0"/>
    <w:rsid w:val="009F4F81"/>
    <w:rsid w:val="009F515E"/>
    <w:rsid w:val="009F5588"/>
    <w:rsid w:val="009F55C8"/>
    <w:rsid w:val="009F55F0"/>
    <w:rsid w:val="009F5630"/>
    <w:rsid w:val="009F56DD"/>
    <w:rsid w:val="009F575B"/>
    <w:rsid w:val="009F5B80"/>
    <w:rsid w:val="009F5BBA"/>
    <w:rsid w:val="009F602D"/>
    <w:rsid w:val="009F658F"/>
    <w:rsid w:val="009F65F5"/>
    <w:rsid w:val="009F66F4"/>
    <w:rsid w:val="009F695B"/>
    <w:rsid w:val="009F7034"/>
    <w:rsid w:val="009F705F"/>
    <w:rsid w:val="009F722E"/>
    <w:rsid w:val="009F731D"/>
    <w:rsid w:val="009F751C"/>
    <w:rsid w:val="009F7981"/>
    <w:rsid w:val="009F79A2"/>
    <w:rsid w:val="009F7AAA"/>
    <w:rsid w:val="009F7C93"/>
    <w:rsid w:val="00A000CD"/>
    <w:rsid w:val="00A0016C"/>
    <w:rsid w:val="00A001C9"/>
    <w:rsid w:val="00A0037F"/>
    <w:rsid w:val="00A003CA"/>
    <w:rsid w:val="00A00471"/>
    <w:rsid w:val="00A004B7"/>
    <w:rsid w:val="00A009D1"/>
    <w:rsid w:val="00A00D00"/>
    <w:rsid w:val="00A00F56"/>
    <w:rsid w:val="00A01B09"/>
    <w:rsid w:val="00A01CCD"/>
    <w:rsid w:val="00A01DDC"/>
    <w:rsid w:val="00A01EDD"/>
    <w:rsid w:val="00A02050"/>
    <w:rsid w:val="00A022BF"/>
    <w:rsid w:val="00A02422"/>
    <w:rsid w:val="00A02661"/>
    <w:rsid w:val="00A02BE9"/>
    <w:rsid w:val="00A02EEE"/>
    <w:rsid w:val="00A03022"/>
    <w:rsid w:val="00A030F2"/>
    <w:rsid w:val="00A0343B"/>
    <w:rsid w:val="00A03599"/>
    <w:rsid w:val="00A03819"/>
    <w:rsid w:val="00A03821"/>
    <w:rsid w:val="00A03BBB"/>
    <w:rsid w:val="00A03C3E"/>
    <w:rsid w:val="00A03C66"/>
    <w:rsid w:val="00A040C6"/>
    <w:rsid w:val="00A040E6"/>
    <w:rsid w:val="00A045FF"/>
    <w:rsid w:val="00A046BA"/>
    <w:rsid w:val="00A048BB"/>
    <w:rsid w:val="00A04A8B"/>
    <w:rsid w:val="00A04CC2"/>
    <w:rsid w:val="00A050A3"/>
    <w:rsid w:val="00A050CA"/>
    <w:rsid w:val="00A0514E"/>
    <w:rsid w:val="00A05196"/>
    <w:rsid w:val="00A057F6"/>
    <w:rsid w:val="00A05A64"/>
    <w:rsid w:val="00A05D06"/>
    <w:rsid w:val="00A05D7D"/>
    <w:rsid w:val="00A05DF0"/>
    <w:rsid w:val="00A06242"/>
    <w:rsid w:val="00A063DB"/>
    <w:rsid w:val="00A06790"/>
    <w:rsid w:val="00A06AB8"/>
    <w:rsid w:val="00A06D9B"/>
    <w:rsid w:val="00A0737E"/>
    <w:rsid w:val="00A07B35"/>
    <w:rsid w:val="00A07CD8"/>
    <w:rsid w:val="00A07DBD"/>
    <w:rsid w:val="00A07DC5"/>
    <w:rsid w:val="00A10042"/>
    <w:rsid w:val="00A10119"/>
    <w:rsid w:val="00A103B9"/>
    <w:rsid w:val="00A103FB"/>
    <w:rsid w:val="00A108EE"/>
    <w:rsid w:val="00A10A72"/>
    <w:rsid w:val="00A10DDE"/>
    <w:rsid w:val="00A115A5"/>
    <w:rsid w:val="00A117AD"/>
    <w:rsid w:val="00A11A15"/>
    <w:rsid w:val="00A11B98"/>
    <w:rsid w:val="00A11EFB"/>
    <w:rsid w:val="00A12123"/>
    <w:rsid w:val="00A121E5"/>
    <w:rsid w:val="00A122E9"/>
    <w:rsid w:val="00A12B0A"/>
    <w:rsid w:val="00A12B72"/>
    <w:rsid w:val="00A12D9B"/>
    <w:rsid w:val="00A12F04"/>
    <w:rsid w:val="00A12F11"/>
    <w:rsid w:val="00A13271"/>
    <w:rsid w:val="00A13387"/>
    <w:rsid w:val="00A136A6"/>
    <w:rsid w:val="00A137C7"/>
    <w:rsid w:val="00A13817"/>
    <w:rsid w:val="00A13983"/>
    <w:rsid w:val="00A13AE5"/>
    <w:rsid w:val="00A13BE3"/>
    <w:rsid w:val="00A13DED"/>
    <w:rsid w:val="00A13EB8"/>
    <w:rsid w:val="00A14491"/>
    <w:rsid w:val="00A14581"/>
    <w:rsid w:val="00A147DB"/>
    <w:rsid w:val="00A14947"/>
    <w:rsid w:val="00A14D25"/>
    <w:rsid w:val="00A14DAE"/>
    <w:rsid w:val="00A15342"/>
    <w:rsid w:val="00A15603"/>
    <w:rsid w:val="00A158E7"/>
    <w:rsid w:val="00A159EC"/>
    <w:rsid w:val="00A15A5C"/>
    <w:rsid w:val="00A15B05"/>
    <w:rsid w:val="00A15BE3"/>
    <w:rsid w:val="00A1606C"/>
    <w:rsid w:val="00A162BB"/>
    <w:rsid w:val="00A162D5"/>
    <w:rsid w:val="00A162E1"/>
    <w:rsid w:val="00A163AD"/>
    <w:rsid w:val="00A1653A"/>
    <w:rsid w:val="00A16747"/>
    <w:rsid w:val="00A17117"/>
    <w:rsid w:val="00A171AC"/>
    <w:rsid w:val="00A17267"/>
    <w:rsid w:val="00A173A4"/>
    <w:rsid w:val="00A174AE"/>
    <w:rsid w:val="00A17752"/>
    <w:rsid w:val="00A17CF8"/>
    <w:rsid w:val="00A17D93"/>
    <w:rsid w:val="00A17E76"/>
    <w:rsid w:val="00A200EB"/>
    <w:rsid w:val="00A201FC"/>
    <w:rsid w:val="00A205D6"/>
    <w:rsid w:val="00A20C3C"/>
    <w:rsid w:val="00A20D5B"/>
    <w:rsid w:val="00A2132A"/>
    <w:rsid w:val="00A2148C"/>
    <w:rsid w:val="00A215BF"/>
    <w:rsid w:val="00A2165C"/>
    <w:rsid w:val="00A2176C"/>
    <w:rsid w:val="00A21C87"/>
    <w:rsid w:val="00A221B4"/>
    <w:rsid w:val="00A2228F"/>
    <w:rsid w:val="00A22334"/>
    <w:rsid w:val="00A223EB"/>
    <w:rsid w:val="00A22472"/>
    <w:rsid w:val="00A2265B"/>
    <w:rsid w:val="00A22762"/>
    <w:rsid w:val="00A2299E"/>
    <w:rsid w:val="00A22C35"/>
    <w:rsid w:val="00A22CF8"/>
    <w:rsid w:val="00A22DAE"/>
    <w:rsid w:val="00A22F6B"/>
    <w:rsid w:val="00A23312"/>
    <w:rsid w:val="00A23870"/>
    <w:rsid w:val="00A2394A"/>
    <w:rsid w:val="00A23C7E"/>
    <w:rsid w:val="00A23D66"/>
    <w:rsid w:val="00A23EC3"/>
    <w:rsid w:val="00A241A0"/>
    <w:rsid w:val="00A24207"/>
    <w:rsid w:val="00A243EC"/>
    <w:rsid w:val="00A246C0"/>
    <w:rsid w:val="00A2487F"/>
    <w:rsid w:val="00A2496D"/>
    <w:rsid w:val="00A2498F"/>
    <w:rsid w:val="00A25096"/>
    <w:rsid w:val="00A254D1"/>
    <w:rsid w:val="00A2555A"/>
    <w:rsid w:val="00A25740"/>
    <w:rsid w:val="00A258C8"/>
    <w:rsid w:val="00A25C61"/>
    <w:rsid w:val="00A25D5C"/>
    <w:rsid w:val="00A2607A"/>
    <w:rsid w:val="00A26144"/>
    <w:rsid w:val="00A2616E"/>
    <w:rsid w:val="00A261A5"/>
    <w:rsid w:val="00A261C9"/>
    <w:rsid w:val="00A261DD"/>
    <w:rsid w:val="00A2622C"/>
    <w:rsid w:val="00A264D3"/>
    <w:rsid w:val="00A268BB"/>
    <w:rsid w:val="00A26D10"/>
    <w:rsid w:val="00A26F85"/>
    <w:rsid w:val="00A270A9"/>
    <w:rsid w:val="00A271A7"/>
    <w:rsid w:val="00A27648"/>
    <w:rsid w:val="00A27784"/>
    <w:rsid w:val="00A277AB"/>
    <w:rsid w:val="00A27BDB"/>
    <w:rsid w:val="00A27C12"/>
    <w:rsid w:val="00A27CFC"/>
    <w:rsid w:val="00A27DCA"/>
    <w:rsid w:val="00A27E74"/>
    <w:rsid w:val="00A302C1"/>
    <w:rsid w:val="00A3052A"/>
    <w:rsid w:val="00A30680"/>
    <w:rsid w:val="00A306D2"/>
    <w:rsid w:val="00A30F98"/>
    <w:rsid w:val="00A31012"/>
    <w:rsid w:val="00A311DB"/>
    <w:rsid w:val="00A31289"/>
    <w:rsid w:val="00A31742"/>
    <w:rsid w:val="00A3212B"/>
    <w:rsid w:val="00A32298"/>
    <w:rsid w:val="00A322A5"/>
    <w:rsid w:val="00A32396"/>
    <w:rsid w:val="00A32434"/>
    <w:rsid w:val="00A32450"/>
    <w:rsid w:val="00A32936"/>
    <w:rsid w:val="00A329EA"/>
    <w:rsid w:val="00A32A43"/>
    <w:rsid w:val="00A32AF9"/>
    <w:rsid w:val="00A32F30"/>
    <w:rsid w:val="00A33207"/>
    <w:rsid w:val="00A33625"/>
    <w:rsid w:val="00A3366F"/>
    <w:rsid w:val="00A33A76"/>
    <w:rsid w:val="00A33B94"/>
    <w:rsid w:val="00A33BCF"/>
    <w:rsid w:val="00A342FD"/>
    <w:rsid w:val="00A3458D"/>
    <w:rsid w:val="00A345BA"/>
    <w:rsid w:val="00A3475F"/>
    <w:rsid w:val="00A3487E"/>
    <w:rsid w:val="00A34D3F"/>
    <w:rsid w:val="00A351AB"/>
    <w:rsid w:val="00A35332"/>
    <w:rsid w:val="00A353AF"/>
    <w:rsid w:val="00A35533"/>
    <w:rsid w:val="00A3553F"/>
    <w:rsid w:val="00A3597F"/>
    <w:rsid w:val="00A3598B"/>
    <w:rsid w:val="00A35999"/>
    <w:rsid w:val="00A35A9A"/>
    <w:rsid w:val="00A35DED"/>
    <w:rsid w:val="00A36055"/>
    <w:rsid w:val="00A361A6"/>
    <w:rsid w:val="00A363A1"/>
    <w:rsid w:val="00A363FA"/>
    <w:rsid w:val="00A37086"/>
    <w:rsid w:val="00A373F9"/>
    <w:rsid w:val="00A377A4"/>
    <w:rsid w:val="00A379B9"/>
    <w:rsid w:val="00A37B87"/>
    <w:rsid w:val="00A37DB0"/>
    <w:rsid w:val="00A37E73"/>
    <w:rsid w:val="00A40037"/>
    <w:rsid w:val="00A40180"/>
    <w:rsid w:val="00A4035C"/>
    <w:rsid w:val="00A40BC0"/>
    <w:rsid w:val="00A40D36"/>
    <w:rsid w:val="00A41256"/>
    <w:rsid w:val="00A4134E"/>
    <w:rsid w:val="00A414C4"/>
    <w:rsid w:val="00A41505"/>
    <w:rsid w:val="00A415CA"/>
    <w:rsid w:val="00A41647"/>
    <w:rsid w:val="00A4169D"/>
    <w:rsid w:val="00A419B2"/>
    <w:rsid w:val="00A41D29"/>
    <w:rsid w:val="00A41D31"/>
    <w:rsid w:val="00A41FBF"/>
    <w:rsid w:val="00A4214E"/>
    <w:rsid w:val="00A423BD"/>
    <w:rsid w:val="00A42455"/>
    <w:rsid w:val="00A42B27"/>
    <w:rsid w:val="00A42CB2"/>
    <w:rsid w:val="00A42E28"/>
    <w:rsid w:val="00A42F26"/>
    <w:rsid w:val="00A43051"/>
    <w:rsid w:val="00A43197"/>
    <w:rsid w:val="00A43584"/>
    <w:rsid w:val="00A43766"/>
    <w:rsid w:val="00A4382E"/>
    <w:rsid w:val="00A43879"/>
    <w:rsid w:val="00A442D8"/>
    <w:rsid w:val="00A44344"/>
    <w:rsid w:val="00A443AB"/>
    <w:rsid w:val="00A44417"/>
    <w:rsid w:val="00A44657"/>
    <w:rsid w:val="00A446DA"/>
    <w:rsid w:val="00A44712"/>
    <w:rsid w:val="00A44805"/>
    <w:rsid w:val="00A4480E"/>
    <w:rsid w:val="00A44BAC"/>
    <w:rsid w:val="00A44C43"/>
    <w:rsid w:val="00A45085"/>
    <w:rsid w:val="00A45306"/>
    <w:rsid w:val="00A4557E"/>
    <w:rsid w:val="00A462CD"/>
    <w:rsid w:val="00A46320"/>
    <w:rsid w:val="00A46C37"/>
    <w:rsid w:val="00A46E66"/>
    <w:rsid w:val="00A47262"/>
    <w:rsid w:val="00A47604"/>
    <w:rsid w:val="00A47B8C"/>
    <w:rsid w:val="00A47CB7"/>
    <w:rsid w:val="00A47E37"/>
    <w:rsid w:val="00A47E9C"/>
    <w:rsid w:val="00A47F97"/>
    <w:rsid w:val="00A508C8"/>
    <w:rsid w:val="00A50A98"/>
    <w:rsid w:val="00A50D08"/>
    <w:rsid w:val="00A50E3B"/>
    <w:rsid w:val="00A5103C"/>
    <w:rsid w:val="00A5108E"/>
    <w:rsid w:val="00A512D6"/>
    <w:rsid w:val="00A51364"/>
    <w:rsid w:val="00A51493"/>
    <w:rsid w:val="00A51A34"/>
    <w:rsid w:val="00A51AD2"/>
    <w:rsid w:val="00A51C4F"/>
    <w:rsid w:val="00A51D90"/>
    <w:rsid w:val="00A5205A"/>
    <w:rsid w:val="00A5205E"/>
    <w:rsid w:val="00A521C1"/>
    <w:rsid w:val="00A521C6"/>
    <w:rsid w:val="00A523F3"/>
    <w:rsid w:val="00A526B5"/>
    <w:rsid w:val="00A5294C"/>
    <w:rsid w:val="00A52EF5"/>
    <w:rsid w:val="00A52F07"/>
    <w:rsid w:val="00A531AD"/>
    <w:rsid w:val="00A532A6"/>
    <w:rsid w:val="00A532F5"/>
    <w:rsid w:val="00A533AB"/>
    <w:rsid w:val="00A53420"/>
    <w:rsid w:val="00A535C5"/>
    <w:rsid w:val="00A53769"/>
    <w:rsid w:val="00A53D7C"/>
    <w:rsid w:val="00A53E75"/>
    <w:rsid w:val="00A53FC6"/>
    <w:rsid w:val="00A54362"/>
    <w:rsid w:val="00A548A8"/>
    <w:rsid w:val="00A54A18"/>
    <w:rsid w:val="00A54A34"/>
    <w:rsid w:val="00A54A65"/>
    <w:rsid w:val="00A54AD2"/>
    <w:rsid w:val="00A54C08"/>
    <w:rsid w:val="00A554E5"/>
    <w:rsid w:val="00A559D8"/>
    <w:rsid w:val="00A55B7D"/>
    <w:rsid w:val="00A55C89"/>
    <w:rsid w:val="00A55E98"/>
    <w:rsid w:val="00A56191"/>
    <w:rsid w:val="00A561C8"/>
    <w:rsid w:val="00A56323"/>
    <w:rsid w:val="00A5690F"/>
    <w:rsid w:val="00A569BA"/>
    <w:rsid w:val="00A56E26"/>
    <w:rsid w:val="00A57050"/>
    <w:rsid w:val="00A57188"/>
    <w:rsid w:val="00A57278"/>
    <w:rsid w:val="00A57406"/>
    <w:rsid w:val="00A57B08"/>
    <w:rsid w:val="00A60025"/>
    <w:rsid w:val="00A606C1"/>
    <w:rsid w:val="00A60727"/>
    <w:rsid w:val="00A60827"/>
    <w:rsid w:val="00A608CB"/>
    <w:rsid w:val="00A60A46"/>
    <w:rsid w:val="00A60C27"/>
    <w:rsid w:val="00A60C62"/>
    <w:rsid w:val="00A60D8A"/>
    <w:rsid w:val="00A60EB9"/>
    <w:rsid w:val="00A60FD5"/>
    <w:rsid w:val="00A61322"/>
    <w:rsid w:val="00A6151E"/>
    <w:rsid w:val="00A6158C"/>
    <w:rsid w:val="00A61825"/>
    <w:rsid w:val="00A61A08"/>
    <w:rsid w:val="00A61B1B"/>
    <w:rsid w:val="00A61CFA"/>
    <w:rsid w:val="00A61E58"/>
    <w:rsid w:val="00A62175"/>
    <w:rsid w:val="00A6223C"/>
    <w:rsid w:val="00A6229B"/>
    <w:rsid w:val="00A622B0"/>
    <w:rsid w:val="00A622D2"/>
    <w:rsid w:val="00A62622"/>
    <w:rsid w:val="00A627BC"/>
    <w:rsid w:val="00A62A25"/>
    <w:rsid w:val="00A62A7E"/>
    <w:rsid w:val="00A62AC3"/>
    <w:rsid w:val="00A62B17"/>
    <w:rsid w:val="00A62C10"/>
    <w:rsid w:val="00A62C71"/>
    <w:rsid w:val="00A62E89"/>
    <w:rsid w:val="00A6308B"/>
    <w:rsid w:val="00A63332"/>
    <w:rsid w:val="00A63440"/>
    <w:rsid w:val="00A63A17"/>
    <w:rsid w:val="00A63BF8"/>
    <w:rsid w:val="00A63D3F"/>
    <w:rsid w:val="00A64106"/>
    <w:rsid w:val="00A641BC"/>
    <w:rsid w:val="00A641D7"/>
    <w:rsid w:val="00A645DC"/>
    <w:rsid w:val="00A64752"/>
    <w:rsid w:val="00A64755"/>
    <w:rsid w:val="00A64E0E"/>
    <w:rsid w:val="00A64EBF"/>
    <w:rsid w:val="00A65138"/>
    <w:rsid w:val="00A65149"/>
    <w:rsid w:val="00A651B6"/>
    <w:rsid w:val="00A65788"/>
    <w:rsid w:val="00A660A0"/>
    <w:rsid w:val="00A662E1"/>
    <w:rsid w:val="00A6639E"/>
    <w:rsid w:val="00A6672B"/>
    <w:rsid w:val="00A66904"/>
    <w:rsid w:val="00A66BDB"/>
    <w:rsid w:val="00A66C87"/>
    <w:rsid w:val="00A66FD9"/>
    <w:rsid w:val="00A6725A"/>
    <w:rsid w:val="00A67262"/>
    <w:rsid w:val="00A67593"/>
    <w:rsid w:val="00A675F6"/>
    <w:rsid w:val="00A676EA"/>
    <w:rsid w:val="00A6777F"/>
    <w:rsid w:val="00A67961"/>
    <w:rsid w:val="00A67F22"/>
    <w:rsid w:val="00A7036B"/>
    <w:rsid w:val="00A7054F"/>
    <w:rsid w:val="00A70630"/>
    <w:rsid w:val="00A708FB"/>
    <w:rsid w:val="00A70A06"/>
    <w:rsid w:val="00A70AC1"/>
    <w:rsid w:val="00A70AF9"/>
    <w:rsid w:val="00A70B5F"/>
    <w:rsid w:val="00A70BE4"/>
    <w:rsid w:val="00A70FD5"/>
    <w:rsid w:val="00A7111A"/>
    <w:rsid w:val="00A713F5"/>
    <w:rsid w:val="00A715DC"/>
    <w:rsid w:val="00A717D5"/>
    <w:rsid w:val="00A71A9F"/>
    <w:rsid w:val="00A71C0F"/>
    <w:rsid w:val="00A71D4E"/>
    <w:rsid w:val="00A7232A"/>
    <w:rsid w:val="00A72402"/>
    <w:rsid w:val="00A72662"/>
    <w:rsid w:val="00A72722"/>
    <w:rsid w:val="00A72927"/>
    <w:rsid w:val="00A729F3"/>
    <w:rsid w:val="00A72B06"/>
    <w:rsid w:val="00A72B43"/>
    <w:rsid w:val="00A72DD7"/>
    <w:rsid w:val="00A730D5"/>
    <w:rsid w:val="00A730E0"/>
    <w:rsid w:val="00A731D5"/>
    <w:rsid w:val="00A735ED"/>
    <w:rsid w:val="00A736D8"/>
    <w:rsid w:val="00A736E9"/>
    <w:rsid w:val="00A73891"/>
    <w:rsid w:val="00A7389E"/>
    <w:rsid w:val="00A73910"/>
    <w:rsid w:val="00A73A79"/>
    <w:rsid w:val="00A73CFF"/>
    <w:rsid w:val="00A73DE7"/>
    <w:rsid w:val="00A73F5A"/>
    <w:rsid w:val="00A74172"/>
    <w:rsid w:val="00A7436C"/>
    <w:rsid w:val="00A743E5"/>
    <w:rsid w:val="00A743F3"/>
    <w:rsid w:val="00A744CB"/>
    <w:rsid w:val="00A74675"/>
    <w:rsid w:val="00A74A5F"/>
    <w:rsid w:val="00A75024"/>
    <w:rsid w:val="00A7510A"/>
    <w:rsid w:val="00A7520D"/>
    <w:rsid w:val="00A754B1"/>
    <w:rsid w:val="00A755FF"/>
    <w:rsid w:val="00A7565C"/>
    <w:rsid w:val="00A756C2"/>
    <w:rsid w:val="00A757B3"/>
    <w:rsid w:val="00A7588F"/>
    <w:rsid w:val="00A7591E"/>
    <w:rsid w:val="00A75ADD"/>
    <w:rsid w:val="00A75B45"/>
    <w:rsid w:val="00A75C35"/>
    <w:rsid w:val="00A75E50"/>
    <w:rsid w:val="00A76169"/>
    <w:rsid w:val="00A76507"/>
    <w:rsid w:val="00A76813"/>
    <w:rsid w:val="00A76A28"/>
    <w:rsid w:val="00A76BB1"/>
    <w:rsid w:val="00A76FD8"/>
    <w:rsid w:val="00A77329"/>
    <w:rsid w:val="00A77360"/>
    <w:rsid w:val="00A776D0"/>
    <w:rsid w:val="00A776EC"/>
    <w:rsid w:val="00A77714"/>
    <w:rsid w:val="00A77935"/>
    <w:rsid w:val="00A77A1C"/>
    <w:rsid w:val="00A77BB1"/>
    <w:rsid w:val="00A77C39"/>
    <w:rsid w:val="00A77C3B"/>
    <w:rsid w:val="00A77CA8"/>
    <w:rsid w:val="00A77CDF"/>
    <w:rsid w:val="00A77F63"/>
    <w:rsid w:val="00A77F87"/>
    <w:rsid w:val="00A80838"/>
    <w:rsid w:val="00A80A1A"/>
    <w:rsid w:val="00A80F7C"/>
    <w:rsid w:val="00A812F8"/>
    <w:rsid w:val="00A8149A"/>
    <w:rsid w:val="00A817C4"/>
    <w:rsid w:val="00A81A31"/>
    <w:rsid w:val="00A81B34"/>
    <w:rsid w:val="00A825C8"/>
    <w:rsid w:val="00A827E6"/>
    <w:rsid w:val="00A82B6D"/>
    <w:rsid w:val="00A8384F"/>
    <w:rsid w:val="00A8388C"/>
    <w:rsid w:val="00A83A3D"/>
    <w:rsid w:val="00A83A63"/>
    <w:rsid w:val="00A83E25"/>
    <w:rsid w:val="00A8434E"/>
    <w:rsid w:val="00A84527"/>
    <w:rsid w:val="00A84591"/>
    <w:rsid w:val="00A848B5"/>
    <w:rsid w:val="00A84A19"/>
    <w:rsid w:val="00A84A22"/>
    <w:rsid w:val="00A84D4C"/>
    <w:rsid w:val="00A84E25"/>
    <w:rsid w:val="00A850AD"/>
    <w:rsid w:val="00A8540F"/>
    <w:rsid w:val="00A85451"/>
    <w:rsid w:val="00A857D1"/>
    <w:rsid w:val="00A85900"/>
    <w:rsid w:val="00A8594D"/>
    <w:rsid w:val="00A859D3"/>
    <w:rsid w:val="00A85BC0"/>
    <w:rsid w:val="00A85BE8"/>
    <w:rsid w:val="00A8615D"/>
    <w:rsid w:val="00A861C7"/>
    <w:rsid w:val="00A863DC"/>
    <w:rsid w:val="00A864CA"/>
    <w:rsid w:val="00A86A37"/>
    <w:rsid w:val="00A86C27"/>
    <w:rsid w:val="00A86C98"/>
    <w:rsid w:val="00A86FCA"/>
    <w:rsid w:val="00A8784A"/>
    <w:rsid w:val="00A879E4"/>
    <w:rsid w:val="00A87D48"/>
    <w:rsid w:val="00A87F01"/>
    <w:rsid w:val="00A90394"/>
    <w:rsid w:val="00A903FD"/>
    <w:rsid w:val="00A90490"/>
    <w:rsid w:val="00A905AC"/>
    <w:rsid w:val="00A905B0"/>
    <w:rsid w:val="00A9078B"/>
    <w:rsid w:val="00A90AF5"/>
    <w:rsid w:val="00A90B1F"/>
    <w:rsid w:val="00A91413"/>
    <w:rsid w:val="00A91471"/>
    <w:rsid w:val="00A914E5"/>
    <w:rsid w:val="00A91777"/>
    <w:rsid w:val="00A91790"/>
    <w:rsid w:val="00A91B47"/>
    <w:rsid w:val="00A91B6D"/>
    <w:rsid w:val="00A91C6A"/>
    <w:rsid w:val="00A91DAD"/>
    <w:rsid w:val="00A920C8"/>
    <w:rsid w:val="00A92A24"/>
    <w:rsid w:val="00A92E86"/>
    <w:rsid w:val="00A93077"/>
    <w:rsid w:val="00A93215"/>
    <w:rsid w:val="00A933A6"/>
    <w:rsid w:val="00A9348D"/>
    <w:rsid w:val="00A9361E"/>
    <w:rsid w:val="00A9375C"/>
    <w:rsid w:val="00A93970"/>
    <w:rsid w:val="00A939D9"/>
    <w:rsid w:val="00A93CCB"/>
    <w:rsid w:val="00A93DA9"/>
    <w:rsid w:val="00A93DF1"/>
    <w:rsid w:val="00A93F04"/>
    <w:rsid w:val="00A93FB7"/>
    <w:rsid w:val="00A946A2"/>
    <w:rsid w:val="00A948A0"/>
    <w:rsid w:val="00A94B36"/>
    <w:rsid w:val="00A94BA6"/>
    <w:rsid w:val="00A94EEC"/>
    <w:rsid w:val="00A95020"/>
    <w:rsid w:val="00A95035"/>
    <w:rsid w:val="00A9511A"/>
    <w:rsid w:val="00A95151"/>
    <w:rsid w:val="00A95262"/>
    <w:rsid w:val="00A954AD"/>
    <w:rsid w:val="00A955C6"/>
    <w:rsid w:val="00A958D2"/>
    <w:rsid w:val="00A9592D"/>
    <w:rsid w:val="00A959A1"/>
    <w:rsid w:val="00A95C39"/>
    <w:rsid w:val="00A95FEB"/>
    <w:rsid w:val="00A9611C"/>
    <w:rsid w:val="00A961D1"/>
    <w:rsid w:val="00A96532"/>
    <w:rsid w:val="00A9663C"/>
    <w:rsid w:val="00A967F5"/>
    <w:rsid w:val="00A969FC"/>
    <w:rsid w:val="00A96EF8"/>
    <w:rsid w:val="00A9707A"/>
    <w:rsid w:val="00A97160"/>
    <w:rsid w:val="00A9722D"/>
    <w:rsid w:val="00A973F0"/>
    <w:rsid w:val="00A97426"/>
    <w:rsid w:val="00A97A7E"/>
    <w:rsid w:val="00A97A9C"/>
    <w:rsid w:val="00A97C61"/>
    <w:rsid w:val="00A97E38"/>
    <w:rsid w:val="00A97F2F"/>
    <w:rsid w:val="00A97FD2"/>
    <w:rsid w:val="00AA00D4"/>
    <w:rsid w:val="00AA00F7"/>
    <w:rsid w:val="00AA01CB"/>
    <w:rsid w:val="00AA029E"/>
    <w:rsid w:val="00AA073B"/>
    <w:rsid w:val="00AA0749"/>
    <w:rsid w:val="00AA0DF1"/>
    <w:rsid w:val="00AA1A9E"/>
    <w:rsid w:val="00AA1C6C"/>
    <w:rsid w:val="00AA1C85"/>
    <w:rsid w:val="00AA1ED4"/>
    <w:rsid w:val="00AA1F26"/>
    <w:rsid w:val="00AA213B"/>
    <w:rsid w:val="00AA229D"/>
    <w:rsid w:val="00AA25F8"/>
    <w:rsid w:val="00AA295F"/>
    <w:rsid w:val="00AA2B20"/>
    <w:rsid w:val="00AA2EFF"/>
    <w:rsid w:val="00AA308F"/>
    <w:rsid w:val="00AA32DA"/>
    <w:rsid w:val="00AA357F"/>
    <w:rsid w:val="00AA367A"/>
    <w:rsid w:val="00AA377A"/>
    <w:rsid w:val="00AA382F"/>
    <w:rsid w:val="00AA39C6"/>
    <w:rsid w:val="00AA3AAA"/>
    <w:rsid w:val="00AA423B"/>
    <w:rsid w:val="00AA4246"/>
    <w:rsid w:val="00AA4448"/>
    <w:rsid w:val="00AA4658"/>
    <w:rsid w:val="00AA4A64"/>
    <w:rsid w:val="00AA4B9F"/>
    <w:rsid w:val="00AA4ED7"/>
    <w:rsid w:val="00AA5189"/>
    <w:rsid w:val="00AA5338"/>
    <w:rsid w:val="00AA5400"/>
    <w:rsid w:val="00AA5728"/>
    <w:rsid w:val="00AA5827"/>
    <w:rsid w:val="00AA5880"/>
    <w:rsid w:val="00AA5ED6"/>
    <w:rsid w:val="00AA5F72"/>
    <w:rsid w:val="00AA614D"/>
    <w:rsid w:val="00AA657A"/>
    <w:rsid w:val="00AA6634"/>
    <w:rsid w:val="00AA6837"/>
    <w:rsid w:val="00AA6892"/>
    <w:rsid w:val="00AA6C13"/>
    <w:rsid w:val="00AA6DED"/>
    <w:rsid w:val="00AA71CE"/>
    <w:rsid w:val="00AA727A"/>
    <w:rsid w:val="00AA74B1"/>
    <w:rsid w:val="00AA7AD8"/>
    <w:rsid w:val="00AA7BD8"/>
    <w:rsid w:val="00AA7F87"/>
    <w:rsid w:val="00AB0C7A"/>
    <w:rsid w:val="00AB0DE5"/>
    <w:rsid w:val="00AB1376"/>
    <w:rsid w:val="00AB1831"/>
    <w:rsid w:val="00AB1856"/>
    <w:rsid w:val="00AB1858"/>
    <w:rsid w:val="00AB1884"/>
    <w:rsid w:val="00AB188B"/>
    <w:rsid w:val="00AB1EB0"/>
    <w:rsid w:val="00AB20B3"/>
    <w:rsid w:val="00AB245F"/>
    <w:rsid w:val="00AB24CC"/>
    <w:rsid w:val="00AB264D"/>
    <w:rsid w:val="00AB269A"/>
    <w:rsid w:val="00AB2DAF"/>
    <w:rsid w:val="00AB2EFD"/>
    <w:rsid w:val="00AB2F41"/>
    <w:rsid w:val="00AB2FD0"/>
    <w:rsid w:val="00AB3AD5"/>
    <w:rsid w:val="00AB3C15"/>
    <w:rsid w:val="00AB3CD0"/>
    <w:rsid w:val="00AB3FDB"/>
    <w:rsid w:val="00AB403F"/>
    <w:rsid w:val="00AB4053"/>
    <w:rsid w:val="00AB406B"/>
    <w:rsid w:val="00AB40A9"/>
    <w:rsid w:val="00AB423F"/>
    <w:rsid w:val="00AB4249"/>
    <w:rsid w:val="00AB4519"/>
    <w:rsid w:val="00AB456C"/>
    <w:rsid w:val="00AB48D8"/>
    <w:rsid w:val="00AB4A4C"/>
    <w:rsid w:val="00AB4ACC"/>
    <w:rsid w:val="00AB4E14"/>
    <w:rsid w:val="00AB4FC0"/>
    <w:rsid w:val="00AB4FCE"/>
    <w:rsid w:val="00AB5079"/>
    <w:rsid w:val="00AB50AE"/>
    <w:rsid w:val="00AB53F4"/>
    <w:rsid w:val="00AB544D"/>
    <w:rsid w:val="00AB550A"/>
    <w:rsid w:val="00AB5854"/>
    <w:rsid w:val="00AB58CE"/>
    <w:rsid w:val="00AB5BDC"/>
    <w:rsid w:val="00AB5F49"/>
    <w:rsid w:val="00AB6180"/>
    <w:rsid w:val="00AB6704"/>
    <w:rsid w:val="00AB67BA"/>
    <w:rsid w:val="00AB6B1A"/>
    <w:rsid w:val="00AB6CC8"/>
    <w:rsid w:val="00AB6D31"/>
    <w:rsid w:val="00AB6FDA"/>
    <w:rsid w:val="00AB713E"/>
    <w:rsid w:val="00AB7402"/>
    <w:rsid w:val="00AB75BD"/>
    <w:rsid w:val="00AB766D"/>
    <w:rsid w:val="00AB7C3B"/>
    <w:rsid w:val="00AC01E5"/>
    <w:rsid w:val="00AC0374"/>
    <w:rsid w:val="00AC06FB"/>
    <w:rsid w:val="00AC07CD"/>
    <w:rsid w:val="00AC0A63"/>
    <w:rsid w:val="00AC0B9E"/>
    <w:rsid w:val="00AC0D0B"/>
    <w:rsid w:val="00AC0D6F"/>
    <w:rsid w:val="00AC13C6"/>
    <w:rsid w:val="00AC1426"/>
    <w:rsid w:val="00AC1430"/>
    <w:rsid w:val="00AC14F4"/>
    <w:rsid w:val="00AC1572"/>
    <w:rsid w:val="00AC16A5"/>
    <w:rsid w:val="00AC1BCF"/>
    <w:rsid w:val="00AC1BEC"/>
    <w:rsid w:val="00AC1C7B"/>
    <w:rsid w:val="00AC1C85"/>
    <w:rsid w:val="00AC208E"/>
    <w:rsid w:val="00AC26B8"/>
    <w:rsid w:val="00AC2A03"/>
    <w:rsid w:val="00AC2CC9"/>
    <w:rsid w:val="00AC31FB"/>
    <w:rsid w:val="00AC3615"/>
    <w:rsid w:val="00AC36A3"/>
    <w:rsid w:val="00AC376C"/>
    <w:rsid w:val="00AC381E"/>
    <w:rsid w:val="00AC38CD"/>
    <w:rsid w:val="00AC392B"/>
    <w:rsid w:val="00AC3F21"/>
    <w:rsid w:val="00AC41AC"/>
    <w:rsid w:val="00AC421F"/>
    <w:rsid w:val="00AC45B8"/>
    <w:rsid w:val="00AC4AAA"/>
    <w:rsid w:val="00AC4EA2"/>
    <w:rsid w:val="00AC4FB4"/>
    <w:rsid w:val="00AC5008"/>
    <w:rsid w:val="00AC503E"/>
    <w:rsid w:val="00AC5221"/>
    <w:rsid w:val="00AC5847"/>
    <w:rsid w:val="00AC5874"/>
    <w:rsid w:val="00AC5AC2"/>
    <w:rsid w:val="00AC5C63"/>
    <w:rsid w:val="00AC5C68"/>
    <w:rsid w:val="00AC5FF0"/>
    <w:rsid w:val="00AC5FF9"/>
    <w:rsid w:val="00AC61FD"/>
    <w:rsid w:val="00AC646A"/>
    <w:rsid w:val="00AC6969"/>
    <w:rsid w:val="00AC6A60"/>
    <w:rsid w:val="00AC6B24"/>
    <w:rsid w:val="00AC6B61"/>
    <w:rsid w:val="00AC6E4C"/>
    <w:rsid w:val="00AC7050"/>
    <w:rsid w:val="00AC7105"/>
    <w:rsid w:val="00AC7342"/>
    <w:rsid w:val="00AC748E"/>
    <w:rsid w:val="00AC7668"/>
    <w:rsid w:val="00AC791B"/>
    <w:rsid w:val="00AC7B01"/>
    <w:rsid w:val="00AC7B5A"/>
    <w:rsid w:val="00AC7C81"/>
    <w:rsid w:val="00AC7D66"/>
    <w:rsid w:val="00AC7D92"/>
    <w:rsid w:val="00AC7F6F"/>
    <w:rsid w:val="00AC7F87"/>
    <w:rsid w:val="00AD0028"/>
    <w:rsid w:val="00AD01F1"/>
    <w:rsid w:val="00AD039C"/>
    <w:rsid w:val="00AD0408"/>
    <w:rsid w:val="00AD056F"/>
    <w:rsid w:val="00AD0676"/>
    <w:rsid w:val="00AD076A"/>
    <w:rsid w:val="00AD0ACC"/>
    <w:rsid w:val="00AD0B72"/>
    <w:rsid w:val="00AD0EE2"/>
    <w:rsid w:val="00AD1219"/>
    <w:rsid w:val="00AD15C6"/>
    <w:rsid w:val="00AD19D7"/>
    <w:rsid w:val="00AD1A6A"/>
    <w:rsid w:val="00AD2197"/>
    <w:rsid w:val="00AD261C"/>
    <w:rsid w:val="00AD2912"/>
    <w:rsid w:val="00AD293D"/>
    <w:rsid w:val="00AD2B2D"/>
    <w:rsid w:val="00AD2EDC"/>
    <w:rsid w:val="00AD2FDD"/>
    <w:rsid w:val="00AD3008"/>
    <w:rsid w:val="00AD3167"/>
    <w:rsid w:val="00AD3469"/>
    <w:rsid w:val="00AD35A8"/>
    <w:rsid w:val="00AD367F"/>
    <w:rsid w:val="00AD431D"/>
    <w:rsid w:val="00AD4815"/>
    <w:rsid w:val="00AD4ABE"/>
    <w:rsid w:val="00AD4C15"/>
    <w:rsid w:val="00AD507C"/>
    <w:rsid w:val="00AD50BC"/>
    <w:rsid w:val="00AD539D"/>
    <w:rsid w:val="00AD56C5"/>
    <w:rsid w:val="00AD575E"/>
    <w:rsid w:val="00AD5A72"/>
    <w:rsid w:val="00AD5BCE"/>
    <w:rsid w:val="00AD60D0"/>
    <w:rsid w:val="00AD65F0"/>
    <w:rsid w:val="00AD68C8"/>
    <w:rsid w:val="00AD72E6"/>
    <w:rsid w:val="00AD765E"/>
    <w:rsid w:val="00AD7667"/>
    <w:rsid w:val="00AD7E07"/>
    <w:rsid w:val="00AE016E"/>
    <w:rsid w:val="00AE02AF"/>
    <w:rsid w:val="00AE0963"/>
    <w:rsid w:val="00AE0A65"/>
    <w:rsid w:val="00AE0C24"/>
    <w:rsid w:val="00AE0D40"/>
    <w:rsid w:val="00AE0E6B"/>
    <w:rsid w:val="00AE0EBF"/>
    <w:rsid w:val="00AE0FDA"/>
    <w:rsid w:val="00AE105E"/>
    <w:rsid w:val="00AE1565"/>
    <w:rsid w:val="00AE1CBE"/>
    <w:rsid w:val="00AE1D13"/>
    <w:rsid w:val="00AE1D20"/>
    <w:rsid w:val="00AE1FB0"/>
    <w:rsid w:val="00AE205E"/>
    <w:rsid w:val="00AE21BB"/>
    <w:rsid w:val="00AE22A0"/>
    <w:rsid w:val="00AE22C6"/>
    <w:rsid w:val="00AE246D"/>
    <w:rsid w:val="00AE28CA"/>
    <w:rsid w:val="00AE2A1A"/>
    <w:rsid w:val="00AE2B1E"/>
    <w:rsid w:val="00AE2C92"/>
    <w:rsid w:val="00AE2D32"/>
    <w:rsid w:val="00AE2EE2"/>
    <w:rsid w:val="00AE3191"/>
    <w:rsid w:val="00AE357C"/>
    <w:rsid w:val="00AE36E3"/>
    <w:rsid w:val="00AE381C"/>
    <w:rsid w:val="00AE39D5"/>
    <w:rsid w:val="00AE3D2B"/>
    <w:rsid w:val="00AE4004"/>
    <w:rsid w:val="00AE4284"/>
    <w:rsid w:val="00AE43F2"/>
    <w:rsid w:val="00AE44CF"/>
    <w:rsid w:val="00AE469D"/>
    <w:rsid w:val="00AE4A1D"/>
    <w:rsid w:val="00AE4A3B"/>
    <w:rsid w:val="00AE4C09"/>
    <w:rsid w:val="00AE4C5D"/>
    <w:rsid w:val="00AE4DDC"/>
    <w:rsid w:val="00AE4E1E"/>
    <w:rsid w:val="00AE4E58"/>
    <w:rsid w:val="00AE5067"/>
    <w:rsid w:val="00AE5542"/>
    <w:rsid w:val="00AE5641"/>
    <w:rsid w:val="00AE56D2"/>
    <w:rsid w:val="00AE5E32"/>
    <w:rsid w:val="00AE5EF4"/>
    <w:rsid w:val="00AE616F"/>
    <w:rsid w:val="00AE66B8"/>
    <w:rsid w:val="00AE6EC4"/>
    <w:rsid w:val="00AE6FD8"/>
    <w:rsid w:val="00AE72BD"/>
    <w:rsid w:val="00AE744A"/>
    <w:rsid w:val="00AE7AF8"/>
    <w:rsid w:val="00AE7AFA"/>
    <w:rsid w:val="00AE7B97"/>
    <w:rsid w:val="00AE7C43"/>
    <w:rsid w:val="00AE7FDC"/>
    <w:rsid w:val="00AF050E"/>
    <w:rsid w:val="00AF077E"/>
    <w:rsid w:val="00AF086B"/>
    <w:rsid w:val="00AF09AE"/>
    <w:rsid w:val="00AF0DEB"/>
    <w:rsid w:val="00AF121E"/>
    <w:rsid w:val="00AF13C7"/>
    <w:rsid w:val="00AF13D5"/>
    <w:rsid w:val="00AF157B"/>
    <w:rsid w:val="00AF162F"/>
    <w:rsid w:val="00AF1644"/>
    <w:rsid w:val="00AF1645"/>
    <w:rsid w:val="00AF166C"/>
    <w:rsid w:val="00AF1758"/>
    <w:rsid w:val="00AF17C2"/>
    <w:rsid w:val="00AF1805"/>
    <w:rsid w:val="00AF1BD5"/>
    <w:rsid w:val="00AF1CE0"/>
    <w:rsid w:val="00AF2207"/>
    <w:rsid w:val="00AF2349"/>
    <w:rsid w:val="00AF239F"/>
    <w:rsid w:val="00AF2A72"/>
    <w:rsid w:val="00AF2B4E"/>
    <w:rsid w:val="00AF2E73"/>
    <w:rsid w:val="00AF2E80"/>
    <w:rsid w:val="00AF2F02"/>
    <w:rsid w:val="00AF3000"/>
    <w:rsid w:val="00AF341B"/>
    <w:rsid w:val="00AF3430"/>
    <w:rsid w:val="00AF3576"/>
    <w:rsid w:val="00AF380B"/>
    <w:rsid w:val="00AF3D6E"/>
    <w:rsid w:val="00AF40DC"/>
    <w:rsid w:val="00AF439A"/>
    <w:rsid w:val="00AF43AD"/>
    <w:rsid w:val="00AF4918"/>
    <w:rsid w:val="00AF4CC5"/>
    <w:rsid w:val="00AF4FF4"/>
    <w:rsid w:val="00AF505B"/>
    <w:rsid w:val="00AF5174"/>
    <w:rsid w:val="00AF51E5"/>
    <w:rsid w:val="00AF58BB"/>
    <w:rsid w:val="00AF5C1C"/>
    <w:rsid w:val="00AF6478"/>
    <w:rsid w:val="00AF6651"/>
    <w:rsid w:val="00AF6A2F"/>
    <w:rsid w:val="00AF6C40"/>
    <w:rsid w:val="00AF70FF"/>
    <w:rsid w:val="00AF7728"/>
    <w:rsid w:val="00B0011D"/>
    <w:rsid w:val="00B0030D"/>
    <w:rsid w:val="00B003EE"/>
    <w:rsid w:val="00B00C06"/>
    <w:rsid w:val="00B00C5D"/>
    <w:rsid w:val="00B00F05"/>
    <w:rsid w:val="00B010AB"/>
    <w:rsid w:val="00B012D5"/>
    <w:rsid w:val="00B0132D"/>
    <w:rsid w:val="00B01469"/>
    <w:rsid w:val="00B0178D"/>
    <w:rsid w:val="00B01CCE"/>
    <w:rsid w:val="00B01F19"/>
    <w:rsid w:val="00B02A82"/>
    <w:rsid w:val="00B02D6D"/>
    <w:rsid w:val="00B02F51"/>
    <w:rsid w:val="00B0304F"/>
    <w:rsid w:val="00B030B4"/>
    <w:rsid w:val="00B030F8"/>
    <w:rsid w:val="00B03639"/>
    <w:rsid w:val="00B03714"/>
    <w:rsid w:val="00B037A0"/>
    <w:rsid w:val="00B03D07"/>
    <w:rsid w:val="00B03DAC"/>
    <w:rsid w:val="00B03E3F"/>
    <w:rsid w:val="00B03EB3"/>
    <w:rsid w:val="00B042DE"/>
    <w:rsid w:val="00B04445"/>
    <w:rsid w:val="00B04459"/>
    <w:rsid w:val="00B04504"/>
    <w:rsid w:val="00B04C88"/>
    <w:rsid w:val="00B04D41"/>
    <w:rsid w:val="00B04F63"/>
    <w:rsid w:val="00B050C1"/>
    <w:rsid w:val="00B056B1"/>
    <w:rsid w:val="00B05721"/>
    <w:rsid w:val="00B058A5"/>
    <w:rsid w:val="00B0595A"/>
    <w:rsid w:val="00B05CB1"/>
    <w:rsid w:val="00B05D81"/>
    <w:rsid w:val="00B05EE4"/>
    <w:rsid w:val="00B06085"/>
    <w:rsid w:val="00B06224"/>
    <w:rsid w:val="00B064BF"/>
    <w:rsid w:val="00B067CE"/>
    <w:rsid w:val="00B0693A"/>
    <w:rsid w:val="00B06D2C"/>
    <w:rsid w:val="00B06D37"/>
    <w:rsid w:val="00B06F77"/>
    <w:rsid w:val="00B06FBE"/>
    <w:rsid w:val="00B070C5"/>
    <w:rsid w:val="00B07238"/>
    <w:rsid w:val="00B0753A"/>
    <w:rsid w:val="00B07648"/>
    <w:rsid w:val="00B0769E"/>
    <w:rsid w:val="00B07906"/>
    <w:rsid w:val="00B07C0A"/>
    <w:rsid w:val="00B07D0B"/>
    <w:rsid w:val="00B07E02"/>
    <w:rsid w:val="00B07FAC"/>
    <w:rsid w:val="00B10145"/>
    <w:rsid w:val="00B1019B"/>
    <w:rsid w:val="00B101DA"/>
    <w:rsid w:val="00B1044B"/>
    <w:rsid w:val="00B106E2"/>
    <w:rsid w:val="00B10725"/>
    <w:rsid w:val="00B10ADF"/>
    <w:rsid w:val="00B10BEE"/>
    <w:rsid w:val="00B10DC0"/>
    <w:rsid w:val="00B10F6B"/>
    <w:rsid w:val="00B111F2"/>
    <w:rsid w:val="00B11394"/>
    <w:rsid w:val="00B113EB"/>
    <w:rsid w:val="00B1183F"/>
    <w:rsid w:val="00B119BD"/>
    <w:rsid w:val="00B11ABB"/>
    <w:rsid w:val="00B11FAD"/>
    <w:rsid w:val="00B12588"/>
    <w:rsid w:val="00B1269E"/>
    <w:rsid w:val="00B12CD2"/>
    <w:rsid w:val="00B130B5"/>
    <w:rsid w:val="00B13160"/>
    <w:rsid w:val="00B13257"/>
    <w:rsid w:val="00B13673"/>
    <w:rsid w:val="00B13A1E"/>
    <w:rsid w:val="00B14745"/>
    <w:rsid w:val="00B14CCA"/>
    <w:rsid w:val="00B151CF"/>
    <w:rsid w:val="00B15387"/>
    <w:rsid w:val="00B155D9"/>
    <w:rsid w:val="00B15733"/>
    <w:rsid w:val="00B15828"/>
    <w:rsid w:val="00B15952"/>
    <w:rsid w:val="00B15A33"/>
    <w:rsid w:val="00B15AC6"/>
    <w:rsid w:val="00B15FA1"/>
    <w:rsid w:val="00B164F8"/>
    <w:rsid w:val="00B165BA"/>
    <w:rsid w:val="00B16B77"/>
    <w:rsid w:val="00B16C84"/>
    <w:rsid w:val="00B16DA2"/>
    <w:rsid w:val="00B17819"/>
    <w:rsid w:val="00B17A03"/>
    <w:rsid w:val="00B17B49"/>
    <w:rsid w:val="00B17C83"/>
    <w:rsid w:val="00B17F54"/>
    <w:rsid w:val="00B20447"/>
    <w:rsid w:val="00B2064F"/>
    <w:rsid w:val="00B20AB9"/>
    <w:rsid w:val="00B20F31"/>
    <w:rsid w:val="00B21102"/>
    <w:rsid w:val="00B211EB"/>
    <w:rsid w:val="00B212AB"/>
    <w:rsid w:val="00B21675"/>
    <w:rsid w:val="00B21900"/>
    <w:rsid w:val="00B2197A"/>
    <w:rsid w:val="00B21A70"/>
    <w:rsid w:val="00B220BF"/>
    <w:rsid w:val="00B220FE"/>
    <w:rsid w:val="00B22205"/>
    <w:rsid w:val="00B222DE"/>
    <w:rsid w:val="00B2256C"/>
    <w:rsid w:val="00B22703"/>
    <w:rsid w:val="00B2271B"/>
    <w:rsid w:val="00B229D9"/>
    <w:rsid w:val="00B22B5F"/>
    <w:rsid w:val="00B22DDB"/>
    <w:rsid w:val="00B232AC"/>
    <w:rsid w:val="00B23644"/>
    <w:rsid w:val="00B23673"/>
    <w:rsid w:val="00B23756"/>
    <w:rsid w:val="00B23AAC"/>
    <w:rsid w:val="00B23BD7"/>
    <w:rsid w:val="00B23F62"/>
    <w:rsid w:val="00B24098"/>
    <w:rsid w:val="00B24133"/>
    <w:rsid w:val="00B24233"/>
    <w:rsid w:val="00B24437"/>
    <w:rsid w:val="00B24668"/>
    <w:rsid w:val="00B24791"/>
    <w:rsid w:val="00B248C3"/>
    <w:rsid w:val="00B24BD5"/>
    <w:rsid w:val="00B252A9"/>
    <w:rsid w:val="00B25712"/>
    <w:rsid w:val="00B25CE3"/>
    <w:rsid w:val="00B25D0B"/>
    <w:rsid w:val="00B25D14"/>
    <w:rsid w:val="00B26059"/>
    <w:rsid w:val="00B26C95"/>
    <w:rsid w:val="00B26CCB"/>
    <w:rsid w:val="00B26EFD"/>
    <w:rsid w:val="00B27174"/>
    <w:rsid w:val="00B277EA"/>
    <w:rsid w:val="00B278D4"/>
    <w:rsid w:val="00B27A69"/>
    <w:rsid w:val="00B27D72"/>
    <w:rsid w:val="00B27ECC"/>
    <w:rsid w:val="00B30253"/>
    <w:rsid w:val="00B30512"/>
    <w:rsid w:val="00B30A2A"/>
    <w:rsid w:val="00B30C19"/>
    <w:rsid w:val="00B30EAD"/>
    <w:rsid w:val="00B31020"/>
    <w:rsid w:val="00B310FB"/>
    <w:rsid w:val="00B3119E"/>
    <w:rsid w:val="00B3126B"/>
    <w:rsid w:val="00B31387"/>
    <w:rsid w:val="00B31780"/>
    <w:rsid w:val="00B31981"/>
    <w:rsid w:val="00B319B6"/>
    <w:rsid w:val="00B31CC8"/>
    <w:rsid w:val="00B31CE1"/>
    <w:rsid w:val="00B3204D"/>
    <w:rsid w:val="00B32187"/>
    <w:rsid w:val="00B32251"/>
    <w:rsid w:val="00B322D7"/>
    <w:rsid w:val="00B32482"/>
    <w:rsid w:val="00B32748"/>
    <w:rsid w:val="00B327C4"/>
    <w:rsid w:val="00B329B8"/>
    <w:rsid w:val="00B32B82"/>
    <w:rsid w:val="00B3330A"/>
    <w:rsid w:val="00B33431"/>
    <w:rsid w:val="00B33564"/>
    <w:rsid w:val="00B3360D"/>
    <w:rsid w:val="00B336FB"/>
    <w:rsid w:val="00B33707"/>
    <w:rsid w:val="00B3371A"/>
    <w:rsid w:val="00B33787"/>
    <w:rsid w:val="00B33B34"/>
    <w:rsid w:val="00B33D88"/>
    <w:rsid w:val="00B33ECD"/>
    <w:rsid w:val="00B34552"/>
    <w:rsid w:val="00B345AB"/>
    <w:rsid w:val="00B34D97"/>
    <w:rsid w:val="00B352B8"/>
    <w:rsid w:val="00B35368"/>
    <w:rsid w:val="00B3544E"/>
    <w:rsid w:val="00B35599"/>
    <w:rsid w:val="00B35725"/>
    <w:rsid w:val="00B359BD"/>
    <w:rsid w:val="00B360EC"/>
    <w:rsid w:val="00B361BC"/>
    <w:rsid w:val="00B36246"/>
    <w:rsid w:val="00B363FD"/>
    <w:rsid w:val="00B36407"/>
    <w:rsid w:val="00B364B5"/>
    <w:rsid w:val="00B36B96"/>
    <w:rsid w:val="00B36BEA"/>
    <w:rsid w:val="00B36C0A"/>
    <w:rsid w:val="00B36D1B"/>
    <w:rsid w:val="00B36F4A"/>
    <w:rsid w:val="00B36FE7"/>
    <w:rsid w:val="00B37400"/>
    <w:rsid w:val="00B374D1"/>
    <w:rsid w:val="00B37506"/>
    <w:rsid w:val="00B37562"/>
    <w:rsid w:val="00B376F7"/>
    <w:rsid w:val="00B37747"/>
    <w:rsid w:val="00B37854"/>
    <w:rsid w:val="00B37AEA"/>
    <w:rsid w:val="00B402AD"/>
    <w:rsid w:val="00B402D7"/>
    <w:rsid w:val="00B40519"/>
    <w:rsid w:val="00B40846"/>
    <w:rsid w:val="00B40951"/>
    <w:rsid w:val="00B409D4"/>
    <w:rsid w:val="00B40B40"/>
    <w:rsid w:val="00B40DCB"/>
    <w:rsid w:val="00B40DCF"/>
    <w:rsid w:val="00B41359"/>
    <w:rsid w:val="00B413F5"/>
    <w:rsid w:val="00B41478"/>
    <w:rsid w:val="00B419F5"/>
    <w:rsid w:val="00B41BEB"/>
    <w:rsid w:val="00B41CFA"/>
    <w:rsid w:val="00B41D61"/>
    <w:rsid w:val="00B41DA1"/>
    <w:rsid w:val="00B41E98"/>
    <w:rsid w:val="00B421B4"/>
    <w:rsid w:val="00B422BF"/>
    <w:rsid w:val="00B42444"/>
    <w:rsid w:val="00B425A5"/>
    <w:rsid w:val="00B4268E"/>
    <w:rsid w:val="00B427C4"/>
    <w:rsid w:val="00B42949"/>
    <w:rsid w:val="00B42EA2"/>
    <w:rsid w:val="00B43104"/>
    <w:rsid w:val="00B43736"/>
    <w:rsid w:val="00B43940"/>
    <w:rsid w:val="00B43B43"/>
    <w:rsid w:val="00B43B55"/>
    <w:rsid w:val="00B43CAA"/>
    <w:rsid w:val="00B442FF"/>
    <w:rsid w:val="00B44687"/>
    <w:rsid w:val="00B44781"/>
    <w:rsid w:val="00B44919"/>
    <w:rsid w:val="00B44C1C"/>
    <w:rsid w:val="00B44D82"/>
    <w:rsid w:val="00B44E8A"/>
    <w:rsid w:val="00B4511A"/>
    <w:rsid w:val="00B45594"/>
    <w:rsid w:val="00B4561C"/>
    <w:rsid w:val="00B456D8"/>
    <w:rsid w:val="00B45849"/>
    <w:rsid w:val="00B45917"/>
    <w:rsid w:val="00B45E28"/>
    <w:rsid w:val="00B464D1"/>
    <w:rsid w:val="00B464E1"/>
    <w:rsid w:val="00B471DF"/>
    <w:rsid w:val="00B47611"/>
    <w:rsid w:val="00B4791B"/>
    <w:rsid w:val="00B47EA2"/>
    <w:rsid w:val="00B47F20"/>
    <w:rsid w:val="00B505A9"/>
    <w:rsid w:val="00B50665"/>
    <w:rsid w:val="00B50896"/>
    <w:rsid w:val="00B50D3D"/>
    <w:rsid w:val="00B51206"/>
    <w:rsid w:val="00B5137A"/>
    <w:rsid w:val="00B51441"/>
    <w:rsid w:val="00B5179C"/>
    <w:rsid w:val="00B5181A"/>
    <w:rsid w:val="00B518C5"/>
    <w:rsid w:val="00B51983"/>
    <w:rsid w:val="00B51AA0"/>
    <w:rsid w:val="00B51FFA"/>
    <w:rsid w:val="00B52184"/>
    <w:rsid w:val="00B5229C"/>
    <w:rsid w:val="00B52469"/>
    <w:rsid w:val="00B5275B"/>
    <w:rsid w:val="00B52922"/>
    <w:rsid w:val="00B529C5"/>
    <w:rsid w:val="00B5349F"/>
    <w:rsid w:val="00B535BE"/>
    <w:rsid w:val="00B536D9"/>
    <w:rsid w:val="00B53942"/>
    <w:rsid w:val="00B53B8C"/>
    <w:rsid w:val="00B53F43"/>
    <w:rsid w:val="00B53F9E"/>
    <w:rsid w:val="00B54617"/>
    <w:rsid w:val="00B5470C"/>
    <w:rsid w:val="00B54A02"/>
    <w:rsid w:val="00B54EFF"/>
    <w:rsid w:val="00B5510C"/>
    <w:rsid w:val="00B5514E"/>
    <w:rsid w:val="00B55382"/>
    <w:rsid w:val="00B554A6"/>
    <w:rsid w:val="00B55559"/>
    <w:rsid w:val="00B555AF"/>
    <w:rsid w:val="00B55843"/>
    <w:rsid w:val="00B55989"/>
    <w:rsid w:val="00B55A28"/>
    <w:rsid w:val="00B55C7C"/>
    <w:rsid w:val="00B55FE7"/>
    <w:rsid w:val="00B560B2"/>
    <w:rsid w:val="00B562EB"/>
    <w:rsid w:val="00B564EF"/>
    <w:rsid w:val="00B56A19"/>
    <w:rsid w:val="00B56BCC"/>
    <w:rsid w:val="00B56ECE"/>
    <w:rsid w:val="00B57074"/>
    <w:rsid w:val="00B57145"/>
    <w:rsid w:val="00B57527"/>
    <w:rsid w:val="00B575BD"/>
    <w:rsid w:val="00B5762A"/>
    <w:rsid w:val="00B57696"/>
    <w:rsid w:val="00B577E4"/>
    <w:rsid w:val="00B57B17"/>
    <w:rsid w:val="00B57CAC"/>
    <w:rsid w:val="00B57D0A"/>
    <w:rsid w:val="00B60025"/>
    <w:rsid w:val="00B6040C"/>
    <w:rsid w:val="00B6065B"/>
    <w:rsid w:val="00B60663"/>
    <w:rsid w:val="00B60794"/>
    <w:rsid w:val="00B607DD"/>
    <w:rsid w:val="00B6089E"/>
    <w:rsid w:val="00B608B9"/>
    <w:rsid w:val="00B60912"/>
    <w:rsid w:val="00B60925"/>
    <w:rsid w:val="00B60D93"/>
    <w:rsid w:val="00B60EF6"/>
    <w:rsid w:val="00B60FD9"/>
    <w:rsid w:val="00B61211"/>
    <w:rsid w:val="00B6154F"/>
    <w:rsid w:val="00B61782"/>
    <w:rsid w:val="00B61926"/>
    <w:rsid w:val="00B61C00"/>
    <w:rsid w:val="00B61C88"/>
    <w:rsid w:val="00B61D41"/>
    <w:rsid w:val="00B61F12"/>
    <w:rsid w:val="00B6204B"/>
    <w:rsid w:val="00B6216E"/>
    <w:rsid w:val="00B62396"/>
    <w:rsid w:val="00B62713"/>
    <w:rsid w:val="00B62819"/>
    <w:rsid w:val="00B62C92"/>
    <w:rsid w:val="00B63487"/>
    <w:rsid w:val="00B636DB"/>
    <w:rsid w:val="00B63A55"/>
    <w:rsid w:val="00B640DA"/>
    <w:rsid w:val="00B642FD"/>
    <w:rsid w:val="00B647B9"/>
    <w:rsid w:val="00B64800"/>
    <w:rsid w:val="00B64F2F"/>
    <w:rsid w:val="00B6500A"/>
    <w:rsid w:val="00B65073"/>
    <w:rsid w:val="00B650D2"/>
    <w:rsid w:val="00B651D2"/>
    <w:rsid w:val="00B65263"/>
    <w:rsid w:val="00B65743"/>
    <w:rsid w:val="00B65973"/>
    <w:rsid w:val="00B65AFD"/>
    <w:rsid w:val="00B65B1C"/>
    <w:rsid w:val="00B65E24"/>
    <w:rsid w:val="00B65E8D"/>
    <w:rsid w:val="00B664E4"/>
    <w:rsid w:val="00B66514"/>
    <w:rsid w:val="00B6682A"/>
    <w:rsid w:val="00B66DA6"/>
    <w:rsid w:val="00B66EA1"/>
    <w:rsid w:val="00B66EEC"/>
    <w:rsid w:val="00B67119"/>
    <w:rsid w:val="00B671F4"/>
    <w:rsid w:val="00B675D6"/>
    <w:rsid w:val="00B676EB"/>
    <w:rsid w:val="00B67717"/>
    <w:rsid w:val="00B67764"/>
    <w:rsid w:val="00B67ADD"/>
    <w:rsid w:val="00B67BE5"/>
    <w:rsid w:val="00B67D9E"/>
    <w:rsid w:val="00B67DA5"/>
    <w:rsid w:val="00B702F3"/>
    <w:rsid w:val="00B70357"/>
    <w:rsid w:val="00B7047E"/>
    <w:rsid w:val="00B7052A"/>
    <w:rsid w:val="00B705FF"/>
    <w:rsid w:val="00B70ED1"/>
    <w:rsid w:val="00B710D6"/>
    <w:rsid w:val="00B7114E"/>
    <w:rsid w:val="00B7163B"/>
    <w:rsid w:val="00B7171E"/>
    <w:rsid w:val="00B71986"/>
    <w:rsid w:val="00B71C2D"/>
    <w:rsid w:val="00B71FB6"/>
    <w:rsid w:val="00B72008"/>
    <w:rsid w:val="00B72862"/>
    <w:rsid w:val="00B72A6E"/>
    <w:rsid w:val="00B72F30"/>
    <w:rsid w:val="00B73239"/>
    <w:rsid w:val="00B7323E"/>
    <w:rsid w:val="00B73495"/>
    <w:rsid w:val="00B7355E"/>
    <w:rsid w:val="00B73709"/>
    <w:rsid w:val="00B73CF2"/>
    <w:rsid w:val="00B73ED2"/>
    <w:rsid w:val="00B7429E"/>
    <w:rsid w:val="00B74359"/>
    <w:rsid w:val="00B7450F"/>
    <w:rsid w:val="00B749E2"/>
    <w:rsid w:val="00B74D49"/>
    <w:rsid w:val="00B74DCB"/>
    <w:rsid w:val="00B74DCE"/>
    <w:rsid w:val="00B74E34"/>
    <w:rsid w:val="00B74E4F"/>
    <w:rsid w:val="00B751B1"/>
    <w:rsid w:val="00B753F2"/>
    <w:rsid w:val="00B754E2"/>
    <w:rsid w:val="00B75638"/>
    <w:rsid w:val="00B756CB"/>
    <w:rsid w:val="00B756E7"/>
    <w:rsid w:val="00B75897"/>
    <w:rsid w:val="00B75BA3"/>
    <w:rsid w:val="00B75EE7"/>
    <w:rsid w:val="00B75F07"/>
    <w:rsid w:val="00B7621F"/>
    <w:rsid w:val="00B7628E"/>
    <w:rsid w:val="00B76594"/>
    <w:rsid w:val="00B76A1D"/>
    <w:rsid w:val="00B76B73"/>
    <w:rsid w:val="00B76BA3"/>
    <w:rsid w:val="00B76F9A"/>
    <w:rsid w:val="00B770AF"/>
    <w:rsid w:val="00B773AC"/>
    <w:rsid w:val="00B773BC"/>
    <w:rsid w:val="00B774F9"/>
    <w:rsid w:val="00B77697"/>
    <w:rsid w:val="00B7786F"/>
    <w:rsid w:val="00B77A17"/>
    <w:rsid w:val="00B77AB1"/>
    <w:rsid w:val="00B77C31"/>
    <w:rsid w:val="00B77F83"/>
    <w:rsid w:val="00B80389"/>
    <w:rsid w:val="00B8071D"/>
    <w:rsid w:val="00B80974"/>
    <w:rsid w:val="00B80BA4"/>
    <w:rsid w:val="00B80F1D"/>
    <w:rsid w:val="00B81114"/>
    <w:rsid w:val="00B81188"/>
    <w:rsid w:val="00B8122C"/>
    <w:rsid w:val="00B816C5"/>
    <w:rsid w:val="00B81987"/>
    <w:rsid w:val="00B819CA"/>
    <w:rsid w:val="00B81C20"/>
    <w:rsid w:val="00B81DE6"/>
    <w:rsid w:val="00B81E29"/>
    <w:rsid w:val="00B8223B"/>
    <w:rsid w:val="00B82350"/>
    <w:rsid w:val="00B8288A"/>
    <w:rsid w:val="00B82A96"/>
    <w:rsid w:val="00B82AC4"/>
    <w:rsid w:val="00B82EAF"/>
    <w:rsid w:val="00B8337D"/>
    <w:rsid w:val="00B834DD"/>
    <w:rsid w:val="00B83A32"/>
    <w:rsid w:val="00B83A5C"/>
    <w:rsid w:val="00B83C2F"/>
    <w:rsid w:val="00B8414D"/>
    <w:rsid w:val="00B841AD"/>
    <w:rsid w:val="00B84223"/>
    <w:rsid w:val="00B84323"/>
    <w:rsid w:val="00B8460A"/>
    <w:rsid w:val="00B846BF"/>
    <w:rsid w:val="00B848C9"/>
    <w:rsid w:val="00B848FA"/>
    <w:rsid w:val="00B84AEE"/>
    <w:rsid w:val="00B84B2C"/>
    <w:rsid w:val="00B84E2B"/>
    <w:rsid w:val="00B84FD8"/>
    <w:rsid w:val="00B8518A"/>
    <w:rsid w:val="00B85291"/>
    <w:rsid w:val="00B858DB"/>
    <w:rsid w:val="00B8592C"/>
    <w:rsid w:val="00B85A65"/>
    <w:rsid w:val="00B85B9D"/>
    <w:rsid w:val="00B860B2"/>
    <w:rsid w:val="00B86397"/>
    <w:rsid w:val="00B8672F"/>
    <w:rsid w:val="00B8675A"/>
    <w:rsid w:val="00B867C6"/>
    <w:rsid w:val="00B867EE"/>
    <w:rsid w:val="00B867F5"/>
    <w:rsid w:val="00B86A6D"/>
    <w:rsid w:val="00B86C15"/>
    <w:rsid w:val="00B86D51"/>
    <w:rsid w:val="00B8713E"/>
    <w:rsid w:val="00B8722D"/>
    <w:rsid w:val="00B87502"/>
    <w:rsid w:val="00B87553"/>
    <w:rsid w:val="00B875C5"/>
    <w:rsid w:val="00B8760A"/>
    <w:rsid w:val="00B87F83"/>
    <w:rsid w:val="00B9032B"/>
    <w:rsid w:val="00B905E8"/>
    <w:rsid w:val="00B90C2C"/>
    <w:rsid w:val="00B90C72"/>
    <w:rsid w:val="00B9102C"/>
    <w:rsid w:val="00B911AF"/>
    <w:rsid w:val="00B9154C"/>
    <w:rsid w:val="00B9184C"/>
    <w:rsid w:val="00B91EFD"/>
    <w:rsid w:val="00B92C3A"/>
    <w:rsid w:val="00B92DA5"/>
    <w:rsid w:val="00B92F06"/>
    <w:rsid w:val="00B930A2"/>
    <w:rsid w:val="00B9343E"/>
    <w:rsid w:val="00B9362E"/>
    <w:rsid w:val="00B93A6C"/>
    <w:rsid w:val="00B93B16"/>
    <w:rsid w:val="00B93B43"/>
    <w:rsid w:val="00B93F68"/>
    <w:rsid w:val="00B941A7"/>
    <w:rsid w:val="00B9427F"/>
    <w:rsid w:val="00B9465F"/>
    <w:rsid w:val="00B94666"/>
    <w:rsid w:val="00B94679"/>
    <w:rsid w:val="00B952AB"/>
    <w:rsid w:val="00B95604"/>
    <w:rsid w:val="00B957AF"/>
    <w:rsid w:val="00B957CA"/>
    <w:rsid w:val="00B9586F"/>
    <w:rsid w:val="00B95A7E"/>
    <w:rsid w:val="00B95B57"/>
    <w:rsid w:val="00B95C93"/>
    <w:rsid w:val="00B95CB6"/>
    <w:rsid w:val="00B96144"/>
    <w:rsid w:val="00B964E2"/>
    <w:rsid w:val="00B96E32"/>
    <w:rsid w:val="00B96E7B"/>
    <w:rsid w:val="00B96F25"/>
    <w:rsid w:val="00B96F8C"/>
    <w:rsid w:val="00B97089"/>
    <w:rsid w:val="00B97179"/>
    <w:rsid w:val="00B97227"/>
    <w:rsid w:val="00B97422"/>
    <w:rsid w:val="00B974AD"/>
    <w:rsid w:val="00B9777E"/>
    <w:rsid w:val="00B978DE"/>
    <w:rsid w:val="00B97A4C"/>
    <w:rsid w:val="00B97A8B"/>
    <w:rsid w:val="00B97BE4"/>
    <w:rsid w:val="00B97BF1"/>
    <w:rsid w:val="00BA0046"/>
    <w:rsid w:val="00BA0126"/>
    <w:rsid w:val="00BA0559"/>
    <w:rsid w:val="00BA0649"/>
    <w:rsid w:val="00BA08A7"/>
    <w:rsid w:val="00BA0FA9"/>
    <w:rsid w:val="00BA10F2"/>
    <w:rsid w:val="00BA11E7"/>
    <w:rsid w:val="00BA15A2"/>
    <w:rsid w:val="00BA183D"/>
    <w:rsid w:val="00BA19A8"/>
    <w:rsid w:val="00BA1B28"/>
    <w:rsid w:val="00BA20DB"/>
    <w:rsid w:val="00BA2185"/>
    <w:rsid w:val="00BA23EF"/>
    <w:rsid w:val="00BA29B7"/>
    <w:rsid w:val="00BA2C10"/>
    <w:rsid w:val="00BA2EC5"/>
    <w:rsid w:val="00BA3126"/>
    <w:rsid w:val="00BA3577"/>
    <w:rsid w:val="00BA3B8F"/>
    <w:rsid w:val="00BA3E29"/>
    <w:rsid w:val="00BA4413"/>
    <w:rsid w:val="00BA44F6"/>
    <w:rsid w:val="00BA4846"/>
    <w:rsid w:val="00BA4EA1"/>
    <w:rsid w:val="00BA5152"/>
    <w:rsid w:val="00BA517B"/>
    <w:rsid w:val="00BA5347"/>
    <w:rsid w:val="00BA53BB"/>
    <w:rsid w:val="00BA53E2"/>
    <w:rsid w:val="00BA5612"/>
    <w:rsid w:val="00BA5C96"/>
    <w:rsid w:val="00BA5D30"/>
    <w:rsid w:val="00BA624B"/>
    <w:rsid w:val="00BA63D9"/>
    <w:rsid w:val="00BA675E"/>
    <w:rsid w:val="00BA6814"/>
    <w:rsid w:val="00BA68A4"/>
    <w:rsid w:val="00BA68D2"/>
    <w:rsid w:val="00BA69B6"/>
    <w:rsid w:val="00BA6BEA"/>
    <w:rsid w:val="00BA6D7C"/>
    <w:rsid w:val="00BA73E4"/>
    <w:rsid w:val="00BA740A"/>
    <w:rsid w:val="00BA74A9"/>
    <w:rsid w:val="00BA74BB"/>
    <w:rsid w:val="00BA763D"/>
    <w:rsid w:val="00BA77AE"/>
    <w:rsid w:val="00BA785E"/>
    <w:rsid w:val="00BA78B5"/>
    <w:rsid w:val="00BA793C"/>
    <w:rsid w:val="00BA7A51"/>
    <w:rsid w:val="00BA7A83"/>
    <w:rsid w:val="00BA7ADB"/>
    <w:rsid w:val="00BA7CDB"/>
    <w:rsid w:val="00BA7EA2"/>
    <w:rsid w:val="00BB04D7"/>
    <w:rsid w:val="00BB0B5F"/>
    <w:rsid w:val="00BB0C10"/>
    <w:rsid w:val="00BB125B"/>
    <w:rsid w:val="00BB136C"/>
    <w:rsid w:val="00BB1379"/>
    <w:rsid w:val="00BB14AD"/>
    <w:rsid w:val="00BB1FB1"/>
    <w:rsid w:val="00BB2029"/>
    <w:rsid w:val="00BB2078"/>
    <w:rsid w:val="00BB215A"/>
    <w:rsid w:val="00BB25C6"/>
    <w:rsid w:val="00BB269C"/>
    <w:rsid w:val="00BB283B"/>
    <w:rsid w:val="00BB2A27"/>
    <w:rsid w:val="00BB33AB"/>
    <w:rsid w:val="00BB3936"/>
    <w:rsid w:val="00BB3B8C"/>
    <w:rsid w:val="00BB3F55"/>
    <w:rsid w:val="00BB4105"/>
    <w:rsid w:val="00BB414A"/>
    <w:rsid w:val="00BB4711"/>
    <w:rsid w:val="00BB4736"/>
    <w:rsid w:val="00BB48C7"/>
    <w:rsid w:val="00BB4916"/>
    <w:rsid w:val="00BB4D8F"/>
    <w:rsid w:val="00BB4DDE"/>
    <w:rsid w:val="00BB4E4D"/>
    <w:rsid w:val="00BB506A"/>
    <w:rsid w:val="00BB52E4"/>
    <w:rsid w:val="00BB56D1"/>
    <w:rsid w:val="00BB597F"/>
    <w:rsid w:val="00BB5E05"/>
    <w:rsid w:val="00BB5E73"/>
    <w:rsid w:val="00BB6230"/>
    <w:rsid w:val="00BB6249"/>
    <w:rsid w:val="00BB6AA9"/>
    <w:rsid w:val="00BB6D24"/>
    <w:rsid w:val="00BB6EB1"/>
    <w:rsid w:val="00BB7003"/>
    <w:rsid w:val="00BB7375"/>
    <w:rsid w:val="00BB73A6"/>
    <w:rsid w:val="00BB73EA"/>
    <w:rsid w:val="00BB740C"/>
    <w:rsid w:val="00BB7478"/>
    <w:rsid w:val="00BB7711"/>
    <w:rsid w:val="00BB7825"/>
    <w:rsid w:val="00BB7A84"/>
    <w:rsid w:val="00BB7B8D"/>
    <w:rsid w:val="00BB7FDE"/>
    <w:rsid w:val="00BC001D"/>
    <w:rsid w:val="00BC009B"/>
    <w:rsid w:val="00BC010D"/>
    <w:rsid w:val="00BC02A9"/>
    <w:rsid w:val="00BC02C2"/>
    <w:rsid w:val="00BC064B"/>
    <w:rsid w:val="00BC0672"/>
    <w:rsid w:val="00BC07AA"/>
    <w:rsid w:val="00BC0B47"/>
    <w:rsid w:val="00BC0E34"/>
    <w:rsid w:val="00BC0FA2"/>
    <w:rsid w:val="00BC1117"/>
    <w:rsid w:val="00BC1314"/>
    <w:rsid w:val="00BC1382"/>
    <w:rsid w:val="00BC13CF"/>
    <w:rsid w:val="00BC14D4"/>
    <w:rsid w:val="00BC1695"/>
    <w:rsid w:val="00BC1696"/>
    <w:rsid w:val="00BC1963"/>
    <w:rsid w:val="00BC1C18"/>
    <w:rsid w:val="00BC1F33"/>
    <w:rsid w:val="00BC1F71"/>
    <w:rsid w:val="00BC2AC0"/>
    <w:rsid w:val="00BC2AF2"/>
    <w:rsid w:val="00BC2B94"/>
    <w:rsid w:val="00BC2BAA"/>
    <w:rsid w:val="00BC2D9A"/>
    <w:rsid w:val="00BC2EDE"/>
    <w:rsid w:val="00BC2F25"/>
    <w:rsid w:val="00BC3269"/>
    <w:rsid w:val="00BC380F"/>
    <w:rsid w:val="00BC3AD2"/>
    <w:rsid w:val="00BC3F61"/>
    <w:rsid w:val="00BC4128"/>
    <w:rsid w:val="00BC4210"/>
    <w:rsid w:val="00BC44A5"/>
    <w:rsid w:val="00BC49D9"/>
    <w:rsid w:val="00BC4A65"/>
    <w:rsid w:val="00BC4B73"/>
    <w:rsid w:val="00BC4C92"/>
    <w:rsid w:val="00BC4D31"/>
    <w:rsid w:val="00BC4D63"/>
    <w:rsid w:val="00BC4E70"/>
    <w:rsid w:val="00BC5001"/>
    <w:rsid w:val="00BC519A"/>
    <w:rsid w:val="00BC54FB"/>
    <w:rsid w:val="00BC5586"/>
    <w:rsid w:val="00BC5965"/>
    <w:rsid w:val="00BC5D9A"/>
    <w:rsid w:val="00BC60D9"/>
    <w:rsid w:val="00BC6321"/>
    <w:rsid w:val="00BC6388"/>
    <w:rsid w:val="00BC656E"/>
    <w:rsid w:val="00BC66AD"/>
    <w:rsid w:val="00BC66FB"/>
    <w:rsid w:val="00BC6808"/>
    <w:rsid w:val="00BC69B1"/>
    <w:rsid w:val="00BC6A3D"/>
    <w:rsid w:val="00BC6CA8"/>
    <w:rsid w:val="00BC6EBF"/>
    <w:rsid w:val="00BC7150"/>
    <w:rsid w:val="00BC7151"/>
    <w:rsid w:val="00BC73E8"/>
    <w:rsid w:val="00BC744D"/>
    <w:rsid w:val="00BC76A5"/>
    <w:rsid w:val="00BC7A69"/>
    <w:rsid w:val="00BC7C8E"/>
    <w:rsid w:val="00BD0340"/>
    <w:rsid w:val="00BD05D4"/>
    <w:rsid w:val="00BD06A1"/>
    <w:rsid w:val="00BD0A7A"/>
    <w:rsid w:val="00BD0B6C"/>
    <w:rsid w:val="00BD0C38"/>
    <w:rsid w:val="00BD0FDF"/>
    <w:rsid w:val="00BD1105"/>
    <w:rsid w:val="00BD129A"/>
    <w:rsid w:val="00BD1404"/>
    <w:rsid w:val="00BD14A7"/>
    <w:rsid w:val="00BD1551"/>
    <w:rsid w:val="00BD18A2"/>
    <w:rsid w:val="00BD18BF"/>
    <w:rsid w:val="00BD1A6F"/>
    <w:rsid w:val="00BD1B45"/>
    <w:rsid w:val="00BD1E22"/>
    <w:rsid w:val="00BD1ECD"/>
    <w:rsid w:val="00BD2010"/>
    <w:rsid w:val="00BD207B"/>
    <w:rsid w:val="00BD20F6"/>
    <w:rsid w:val="00BD216A"/>
    <w:rsid w:val="00BD2357"/>
    <w:rsid w:val="00BD24CD"/>
    <w:rsid w:val="00BD2808"/>
    <w:rsid w:val="00BD2A4B"/>
    <w:rsid w:val="00BD2ABA"/>
    <w:rsid w:val="00BD2B07"/>
    <w:rsid w:val="00BD2F85"/>
    <w:rsid w:val="00BD2FD3"/>
    <w:rsid w:val="00BD3504"/>
    <w:rsid w:val="00BD3618"/>
    <w:rsid w:val="00BD3863"/>
    <w:rsid w:val="00BD38D4"/>
    <w:rsid w:val="00BD39CE"/>
    <w:rsid w:val="00BD3C3E"/>
    <w:rsid w:val="00BD3CA9"/>
    <w:rsid w:val="00BD3CBE"/>
    <w:rsid w:val="00BD3F07"/>
    <w:rsid w:val="00BD4284"/>
    <w:rsid w:val="00BD4291"/>
    <w:rsid w:val="00BD5236"/>
    <w:rsid w:val="00BD543B"/>
    <w:rsid w:val="00BD546B"/>
    <w:rsid w:val="00BD54BB"/>
    <w:rsid w:val="00BD55B5"/>
    <w:rsid w:val="00BD571E"/>
    <w:rsid w:val="00BD5B8F"/>
    <w:rsid w:val="00BD5C7C"/>
    <w:rsid w:val="00BD5CED"/>
    <w:rsid w:val="00BD5D73"/>
    <w:rsid w:val="00BD5FE0"/>
    <w:rsid w:val="00BD616B"/>
    <w:rsid w:val="00BD66FE"/>
    <w:rsid w:val="00BD695B"/>
    <w:rsid w:val="00BD69DC"/>
    <w:rsid w:val="00BD6B8E"/>
    <w:rsid w:val="00BD6E20"/>
    <w:rsid w:val="00BD6F7F"/>
    <w:rsid w:val="00BD7301"/>
    <w:rsid w:val="00BD73C8"/>
    <w:rsid w:val="00BD7B04"/>
    <w:rsid w:val="00BD7BFA"/>
    <w:rsid w:val="00BD7DEB"/>
    <w:rsid w:val="00BD7F4E"/>
    <w:rsid w:val="00BE0049"/>
    <w:rsid w:val="00BE0652"/>
    <w:rsid w:val="00BE0812"/>
    <w:rsid w:val="00BE0979"/>
    <w:rsid w:val="00BE09E5"/>
    <w:rsid w:val="00BE11E4"/>
    <w:rsid w:val="00BE12A8"/>
    <w:rsid w:val="00BE12B5"/>
    <w:rsid w:val="00BE1515"/>
    <w:rsid w:val="00BE171C"/>
    <w:rsid w:val="00BE1887"/>
    <w:rsid w:val="00BE1955"/>
    <w:rsid w:val="00BE20C7"/>
    <w:rsid w:val="00BE2140"/>
    <w:rsid w:val="00BE215A"/>
    <w:rsid w:val="00BE22CA"/>
    <w:rsid w:val="00BE254F"/>
    <w:rsid w:val="00BE2821"/>
    <w:rsid w:val="00BE28B4"/>
    <w:rsid w:val="00BE2AFA"/>
    <w:rsid w:val="00BE2CEE"/>
    <w:rsid w:val="00BE2F7F"/>
    <w:rsid w:val="00BE3257"/>
    <w:rsid w:val="00BE35BC"/>
    <w:rsid w:val="00BE3A24"/>
    <w:rsid w:val="00BE3B6B"/>
    <w:rsid w:val="00BE3EE1"/>
    <w:rsid w:val="00BE4234"/>
    <w:rsid w:val="00BE4240"/>
    <w:rsid w:val="00BE450E"/>
    <w:rsid w:val="00BE47FE"/>
    <w:rsid w:val="00BE49E6"/>
    <w:rsid w:val="00BE4C0D"/>
    <w:rsid w:val="00BE4D14"/>
    <w:rsid w:val="00BE4E17"/>
    <w:rsid w:val="00BE4EA0"/>
    <w:rsid w:val="00BE4FFB"/>
    <w:rsid w:val="00BE517E"/>
    <w:rsid w:val="00BE544D"/>
    <w:rsid w:val="00BE59A8"/>
    <w:rsid w:val="00BE5B5F"/>
    <w:rsid w:val="00BE5D34"/>
    <w:rsid w:val="00BE5E71"/>
    <w:rsid w:val="00BE6334"/>
    <w:rsid w:val="00BE63E3"/>
    <w:rsid w:val="00BE68EB"/>
    <w:rsid w:val="00BE6AA8"/>
    <w:rsid w:val="00BE6F46"/>
    <w:rsid w:val="00BE7C3B"/>
    <w:rsid w:val="00BE7C9E"/>
    <w:rsid w:val="00BF0FEC"/>
    <w:rsid w:val="00BF1107"/>
    <w:rsid w:val="00BF1353"/>
    <w:rsid w:val="00BF143F"/>
    <w:rsid w:val="00BF150D"/>
    <w:rsid w:val="00BF1C47"/>
    <w:rsid w:val="00BF1CE5"/>
    <w:rsid w:val="00BF1ED0"/>
    <w:rsid w:val="00BF2046"/>
    <w:rsid w:val="00BF20D5"/>
    <w:rsid w:val="00BF2A2A"/>
    <w:rsid w:val="00BF3094"/>
    <w:rsid w:val="00BF3662"/>
    <w:rsid w:val="00BF3965"/>
    <w:rsid w:val="00BF3E45"/>
    <w:rsid w:val="00BF3EC3"/>
    <w:rsid w:val="00BF41A3"/>
    <w:rsid w:val="00BF4320"/>
    <w:rsid w:val="00BF440D"/>
    <w:rsid w:val="00BF4558"/>
    <w:rsid w:val="00BF4988"/>
    <w:rsid w:val="00BF49F2"/>
    <w:rsid w:val="00BF4A62"/>
    <w:rsid w:val="00BF4A8E"/>
    <w:rsid w:val="00BF4CD7"/>
    <w:rsid w:val="00BF4D11"/>
    <w:rsid w:val="00BF4E0D"/>
    <w:rsid w:val="00BF4E24"/>
    <w:rsid w:val="00BF5127"/>
    <w:rsid w:val="00BF51D6"/>
    <w:rsid w:val="00BF53D3"/>
    <w:rsid w:val="00BF5840"/>
    <w:rsid w:val="00BF58BE"/>
    <w:rsid w:val="00BF5A2C"/>
    <w:rsid w:val="00BF5BA7"/>
    <w:rsid w:val="00BF5BAD"/>
    <w:rsid w:val="00BF5E58"/>
    <w:rsid w:val="00BF5E5A"/>
    <w:rsid w:val="00BF617C"/>
    <w:rsid w:val="00BF6194"/>
    <w:rsid w:val="00BF6241"/>
    <w:rsid w:val="00BF628E"/>
    <w:rsid w:val="00BF668B"/>
    <w:rsid w:val="00BF6746"/>
    <w:rsid w:val="00BF6807"/>
    <w:rsid w:val="00BF6831"/>
    <w:rsid w:val="00BF69E9"/>
    <w:rsid w:val="00BF6B6F"/>
    <w:rsid w:val="00BF6B88"/>
    <w:rsid w:val="00BF6D25"/>
    <w:rsid w:val="00BF72A2"/>
    <w:rsid w:val="00BF7379"/>
    <w:rsid w:val="00BF7A44"/>
    <w:rsid w:val="00BF7E95"/>
    <w:rsid w:val="00BF7FE6"/>
    <w:rsid w:val="00C00037"/>
    <w:rsid w:val="00C00320"/>
    <w:rsid w:val="00C0040C"/>
    <w:rsid w:val="00C00442"/>
    <w:rsid w:val="00C00652"/>
    <w:rsid w:val="00C00976"/>
    <w:rsid w:val="00C00D66"/>
    <w:rsid w:val="00C00E5F"/>
    <w:rsid w:val="00C0101F"/>
    <w:rsid w:val="00C011A9"/>
    <w:rsid w:val="00C013B0"/>
    <w:rsid w:val="00C0153F"/>
    <w:rsid w:val="00C01830"/>
    <w:rsid w:val="00C01A29"/>
    <w:rsid w:val="00C01EDB"/>
    <w:rsid w:val="00C02139"/>
    <w:rsid w:val="00C021A1"/>
    <w:rsid w:val="00C028C5"/>
    <w:rsid w:val="00C02AC5"/>
    <w:rsid w:val="00C02B1C"/>
    <w:rsid w:val="00C02BBB"/>
    <w:rsid w:val="00C02E56"/>
    <w:rsid w:val="00C02FD4"/>
    <w:rsid w:val="00C02FFC"/>
    <w:rsid w:val="00C030A3"/>
    <w:rsid w:val="00C034F5"/>
    <w:rsid w:val="00C0355B"/>
    <w:rsid w:val="00C037B3"/>
    <w:rsid w:val="00C039A4"/>
    <w:rsid w:val="00C03B11"/>
    <w:rsid w:val="00C03E5F"/>
    <w:rsid w:val="00C0408D"/>
    <w:rsid w:val="00C0410E"/>
    <w:rsid w:val="00C042B7"/>
    <w:rsid w:val="00C044C2"/>
    <w:rsid w:val="00C044CD"/>
    <w:rsid w:val="00C045DB"/>
    <w:rsid w:val="00C0461D"/>
    <w:rsid w:val="00C04A6E"/>
    <w:rsid w:val="00C04D3B"/>
    <w:rsid w:val="00C04EEC"/>
    <w:rsid w:val="00C04F37"/>
    <w:rsid w:val="00C050DE"/>
    <w:rsid w:val="00C05210"/>
    <w:rsid w:val="00C0521C"/>
    <w:rsid w:val="00C052AF"/>
    <w:rsid w:val="00C0531E"/>
    <w:rsid w:val="00C05472"/>
    <w:rsid w:val="00C05666"/>
    <w:rsid w:val="00C05711"/>
    <w:rsid w:val="00C05955"/>
    <w:rsid w:val="00C05ACF"/>
    <w:rsid w:val="00C05E88"/>
    <w:rsid w:val="00C06565"/>
    <w:rsid w:val="00C066E6"/>
    <w:rsid w:val="00C0679D"/>
    <w:rsid w:val="00C06960"/>
    <w:rsid w:val="00C06970"/>
    <w:rsid w:val="00C069C3"/>
    <w:rsid w:val="00C06A35"/>
    <w:rsid w:val="00C06E63"/>
    <w:rsid w:val="00C06EE3"/>
    <w:rsid w:val="00C070EE"/>
    <w:rsid w:val="00C07290"/>
    <w:rsid w:val="00C07299"/>
    <w:rsid w:val="00C0738C"/>
    <w:rsid w:val="00C07694"/>
    <w:rsid w:val="00C077EA"/>
    <w:rsid w:val="00C07931"/>
    <w:rsid w:val="00C07D23"/>
    <w:rsid w:val="00C106FD"/>
    <w:rsid w:val="00C109C4"/>
    <w:rsid w:val="00C10C5B"/>
    <w:rsid w:val="00C112BB"/>
    <w:rsid w:val="00C118DB"/>
    <w:rsid w:val="00C119AE"/>
    <w:rsid w:val="00C122B4"/>
    <w:rsid w:val="00C12922"/>
    <w:rsid w:val="00C12C22"/>
    <w:rsid w:val="00C12C89"/>
    <w:rsid w:val="00C12EE1"/>
    <w:rsid w:val="00C12EFC"/>
    <w:rsid w:val="00C133C5"/>
    <w:rsid w:val="00C13764"/>
    <w:rsid w:val="00C13A4D"/>
    <w:rsid w:val="00C13B8E"/>
    <w:rsid w:val="00C13BD4"/>
    <w:rsid w:val="00C13C5C"/>
    <w:rsid w:val="00C13C94"/>
    <w:rsid w:val="00C13D98"/>
    <w:rsid w:val="00C13E37"/>
    <w:rsid w:val="00C13F90"/>
    <w:rsid w:val="00C14109"/>
    <w:rsid w:val="00C141D8"/>
    <w:rsid w:val="00C14716"/>
    <w:rsid w:val="00C14852"/>
    <w:rsid w:val="00C14B25"/>
    <w:rsid w:val="00C14C44"/>
    <w:rsid w:val="00C150E8"/>
    <w:rsid w:val="00C153E2"/>
    <w:rsid w:val="00C155BD"/>
    <w:rsid w:val="00C15628"/>
    <w:rsid w:val="00C158EF"/>
    <w:rsid w:val="00C15AF1"/>
    <w:rsid w:val="00C15DA6"/>
    <w:rsid w:val="00C16268"/>
    <w:rsid w:val="00C1646B"/>
    <w:rsid w:val="00C16481"/>
    <w:rsid w:val="00C1649D"/>
    <w:rsid w:val="00C16580"/>
    <w:rsid w:val="00C16690"/>
    <w:rsid w:val="00C168A6"/>
    <w:rsid w:val="00C16B18"/>
    <w:rsid w:val="00C16C8F"/>
    <w:rsid w:val="00C16D21"/>
    <w:rsid w:val="00C16F29"/>
    <w:rsid w:val="00C17229"/>
    <w:rsid w:val="00C1734E"/>
    <w:rsid w:val="00C17403"/>
    <w:rsid w:val="00C174B2"/>
    <w:rsid w:val="00C17723"/>
    <w:rsid w:val="00C1785D"/>
    <w:rsid w:val="00C17C74"/>
    <w:rsid w:val="00C17CF7"/>
    <w:rsid w:val="00C17E14"/>
    <w:rsid w:val="00C17EE6"/>
    <w:rsid w:val="00C20578"/>
    <w:rsid w:val="00C2097C"/>
    <w:rsid w:val="00C20C47"/>
    <w:rsid w:val="00C20CA0"/>
    <w:rsid w:val="00C20CD6"/>
    <w:rsid w:val="00C20CDA"/>
    <w:rsid w:val="00C210F7"/>
    <w:rsid w:val="00C21300"/>
    <w:rsid w:val="00C219E4"/>
    <w:rsid w:val="00C21BF3"/>
    <w:rsid w:val="00C21CF6"/>
    <w:rsid w:val="00C21D50"/>
    <w:rsid w:val="00C21F59"/>
    <w:rsid w:val="00C22269"/>
    <w:rsid w:val="00C226EB"/>
    <w:rsid w:val="00C22A56"/>
    <w:rsid w:val="00C22D05"/>
    <w:rsid w:val="00C22D4E"/>
    <w:rsid w:val="00C23184"/>
    <w:rsid w:val="00C2332C"/>
    <w:rsid w:val="00C233D7"/>
    <w:rsid w:val="00C235A1"/>
    <w:rsid w:val="00C235B7"/>
    <w:rsid w:val="00C239C4"/>
    <w:rsid w:val="00C23AA0"/>
    <w:rsid w:val="00C23CB3"/>
    <w:rsid w:val="00C23CF0"/>
    <w:rsid w:val="00C23D16"/>
    <w:rsid w:val="00C23D82"/>
    <w:rsid w:val="00C247AA"/>
    <w:rsid w:val="00C2483F"/>
    <w:rsid w:val="00C249A0"/>
    <w:rsid w:val="00C24A0D"/>
    <w:rsid w:val="00C24DF2"/>
    <w:rsid w:val="00C24F1F"/>
    <w:rsid w:val="00C24F58"/>
    <w:rsid w:val="00C25238"/>
    <w:rsid w:val="00C25722"/>
    <w:rsid w:val="00C2574F"/>
    <w:rsid w:val="00C2579F"/>
    <w:rsid w:val="00C258D0"/>
    <w:rsid w:val="00C25910"/>
    <w:rsid w:val="00C25CB8"/>
    <w:rsid w:val="00C2604E"/>
    <w:rsid w:val="00C260CE"/>
    <w:rsid w:val="00C2614B"/>
    <w:rsid w:val="00C261ED"/>
    <w:rsid w:val="00C2623F"/>
    <w:rsid w:val="00C265BD"/>
    <w:rsid w:val="00C2685C"/>
    <w:rsid w:val="00C26B97"/>
    <w:rsid w:val="00C26BA1"/>
    <w:rsid w:val="00C26F53"/>
    <w:rsid w:val="00C27110"/>
    <w:rsid w:val="00C27311"/>
    <w:rsid w:val="00C27684"/>
    <w:rsid w:val="00C276E5"/>
    <w:rsid w:val="00C278B1"/>
    <w:rsid w:val="00C27904"/>
    <w:rsid w:val="00C27EEE"/>
    <w:rsid w:val="00C30111"/>
    <w:rsid w:val="00C30322"/>
    <w:rsid w:val="00C3039F"/>
    <w:rsid w:val="00C30491"/>
    <w:rsid w:val="00C30762"/>
    <w:rsid w:val="00C30847"/>
    <w:rsid w:val="00C30886"/>
    <w:rsid w:val="00C308E5"/>
    <w:rsid w:val="00C30C65"/>
    <w:rsid w:val="00C30EAA"/>
    <w:rsid w:val="00C30FA4"/>
    <w:rsid w:val="00C312FB"/>
    <w:rsid w:val="00C3134C"/>
    <w:rsid w:val="00C315C4"/>
    <w:rsid w:val="00C317CF"/>
    <w:rsid w:val="00C31C8D"/>
    <w:rsid w:val="00C31FB5"/>
    <w:rsid w:val="00C31FF4"/>
    <w:rsid w:val="00C323A7"/>
    <w:rsid w:val="00C326D1"/>
    <w:rsid w:val="00C32923"/>
    <w:rsid w:val="00C32998"/>
    <w:rsid w:val="00C32CFB"/>
    <w:rsid w:val="00C32D57"/>
    <w:rsid w:val="00C32D77"/>
    <w:rsid w:val="00C32D96"/>
    <w:rsid w:val="00C32DE1"/>
    <w:rsid w:val="00C32E88"/>
    <w:rsid w:val="00C32F4D"/>
    <w:rsid w:val="00C3304B"/>
    <w:rsid w:val="00C33584"/>
    <w:rsid w:val="00C33A7D"/>
    <w:rsid w:val="00C33AA7"/>
    <w:rsid w:val="00C33B4D"/>
    <w:rsid w:val="00C33B71"/>
    <w:rsid w:val="00C33C90"/>
    <w:rsid w:val="00C33D29"/>
    <w:rsid w:val="00C34348"/>
    <w:rsid w:val="00C343EF"/>
    <w:rsid w:val="00C34D59"/>
    <w:rsid w:val="00C34DF8"/>
    <w:rsid w:val="00C34F46"/>
    <w:rsid w:val="00C350FB"/>
    <w:rsid w:val="00C3522D"/>
    <w:rsid w:val="00C3524B"/>
    <w:rsid w:val="00C3536F"/>
    <w:rsid w:val="00C35426"/>
    <w:rsid w:val="00C35514"/>
    <w:rsid w:val="00C357D2"/>
    <w:rsid w:val="00C35831"/>
    <w:rsid w:val="00C358E8"/>
    <w:rsid w:val="00C358EA"/>
    <w:rsid w:val="00C35917"/>
    <w:rsid w:val="00C3592D"/>
    <w:rsid w:val="00C35C9A"/>
    <w:rsid w:val="00C35FA5"/>
    <w:rsid w:val="00C35FCE"/>
    <w:rsid w:val="00C360EA"/>
    <w:rsid w:val="00C3617F"/>
    <w:rsid w:val="00C36187"/>
    <w:rsid w:val="00C363E8"/>
    <w:rsid w:val="00C36F1D"/>
    <w:rsid w:val="00C377BF"/>
    <w:rsid w:val="00C378F1"/>
    <w:rsid w:val="00C37B2E"/>
    <w:rsid w:val="00C37BB7"/>
    <w:rsid w:val="00C37F3A"/>
    <w:rsid w:val="00C37FE9"/>
    <w:rsid w:val="00C4003E"/>
    <w:rsid w:val="00C400B1"/>
    <w:rsid w:val="00C4079B"/>
    <w:rsid w:val="00C40FD9"/>
    <w:rsid w:val="00C410E4"/>
    <w:rsid w:val="00C412E4"/>
    <w:rsid w:val="00C4164C"/>
    <w:rsid w:val="00C41B0C"/>
    <w:rsid w:val="00C41C04"/>
    <w:rsid w:val="00C41C2B"/>
    <w:rsid w:val="00C41DDD"/>
    <w:rsid w:val="00C41DFA"/>
    <w:rsid w:val="00C420FF"/>
    <w:rsid w:val="00C422B7"/>
    <w:rsid w:val="00C424AC"/>
    <w:rsid w:val="00C426B0"/>
    <w:rsid w:val="00C42819"/>
    <w:rsid w:val="00C42821"/>
    <w:rsid w:val="00C429BC"/>
    <w:rsid w:val="00C42B5F"/>
    <w:rsid w:val="00C4301A"/>
    <w:rsid w:val="00C43061"/>
    <w:rsid w:val="00C436FF"/>
    <w:rsid w:val="00C4386B"/>
    <w:rsid w:val="00C4390F"/>
    <w:rsid w:val="00C43B2D"/>
    <w:rsid w:val="00C43D75"/>
    <w:rsid w:val="00C43E85"/>
    <w:rsid w:val="00C44124"/>
    <w:rsid w:val="00C44A59"/>
    <w:rsid w:val="00C44B9E"/>
    <w:rsid w:val="00C44CE6"/>
    <w:rsid w:val="00C44D87"/>
    <w:rsid w:val="00C44EF1"/>
    <w:rsid w:val="00C45183"/>
    <w:rsid w:val="00C45690"/>
    <w:rsid w:val="00C45A0B"/>
    <w:rsid w:val="00C46008"/>
    <w:rsid w:val="00C460CB"/>
    <w:rsid w:val="00C461C0"/>
    <w:rsid w:val="00C462D6"/>
    <w:rsid w:val="00C463C5"/>
    <w:rsid w:val="00C46535"/>
    <w:rsid w:val="00C467B9"/>
    <w:rsid w:val="00C468B0"/>
    <w:rsid w:val="00C468CE"/>
    <w:rsid w:val="00C4690E"/>
    <w:rsid w:val="00C46968"/>
    <w:rsid w:val="00C470D5"/>
    <w:rsid w:val="00C47997"/>
    <w:rsid w:val="00C479D7"/>
    <w:rsid w:val="00C47AFB"/>
    <w:rsid w:val="00C47FDE"/>
    <w:rsid w:val="00C50416"/>
    <w:rsid w:val="00C50584"/>
    <w:rsid w:val="00C5064A"/>
    <w:rsid w:val="00C50691"/>
    <w:rsid w:val="00C50798"/>
    <w:rsid w:val="00C511EC"/>
    <w:rsid w:val="00C512AD"/>
    <w:rsid w:val="00C5157B"/>
    <w:rsid w:val="00C5193C"/>
    <w:rsid w:val="00C5194C"/>
    <w:rsid w:val="00C519D2"/>
    <w:rsid w:val="00C51C23"/>
    <w:rsid w:val="00C51EB8"/>
    <w:rsid w:val="00C521BA"/>
    <w:rsid w:val="00C5239F"/>
    <w:rsid w:val="00C5284B"/>
    <w:rsid w:val="00C52A43"/>
    <w:rsid w:val="00C52BAD"/>
    <w:rsid w:val="00C531C4"/>
    <w:rsid w:val="00C531FB"/>
    <w:rsid w:val="00C53482"/>
    <w:rsid w:val="00C5380F"/>
    <w:rsid w:val="00C53E6E"/>
    <w:rsid w:val="00C53E7C"/>
    <w:rsid w:val="00C54180"/>
    <w:rsid w:val="00C5418C"/>
    <w:rsid w:val="00C54350"/>
    <w:rsid w:val="00C544CD"/>
    <w:rsid w:val="00C544DA"/>
    <w:rsid w:val="00C545CB"/>
    <w:rsid w:val="00C54809"/>
    <w:rsid w:val="00C548F5"/>
    <w:rsid w:val="00C54CDE"/>
    <w:rsid w:val="00C54E3E"/>
    <w:rsid w:val="00C54FAD"/>
    <w:rsid w:val="00C552D9"/>
    <w:rsid w:val="00C553A3"/>
    <w:rsid w:val="00C55434"/>
    <w:rsid w:val="00C55631"/>
    <w:rsid w:val="00C55CB9"/>
    <w:rsid w:val="00C55CD6"/>
    <w:rsid w:val="00C55D9A"/>
    <w:rsid w:val="00C55DC6"/>
    <w:rsid w:val="00C56042"/>
    <w:rsid w:val="00C56043"/>
    <w:rsid w:val="00C56060"/>
    <w:rsid w:val="00C560D5"/>
    <w:rsid w:val="00C56224"/>
    <w:rsid w:val="00C56312"/>
    <w:rsid w:val="00C564C9"/>
    <w:rsid w:val="00C564D1"/>
    <w:rsid w:val="00C56840"/>
    <w:rsid w:val="00C568DA"/>
    <w:rsid w:val="00C56941"/>
    <w:rsid w:val="00C5694C"/>
    <w:rsid w:val="00C56CDC"/>
    <w:rsid w:val="00C57150"/>
    <w:rsid w:val="00C57352"/>
    <w:rsid w:val="00C574D3"/>
    <w:rsid w:val="00C5750D"/>
    <w:rsid w:val="00C5764C"/>
    <w:rsid w:val="00C57F06"/>
    <w:rsid w:val="00C60277"/>
    <w:rsid w:val="00C605EA"/>
    <w:rsid w:val="00C6085F"/>
    <w:rsid w:val="00C6088B"/>
    <w:rsid w:val="00C6088D"/>
    <w:rsid w:val="00C60D9E"/>
    <w:rsid w:val="00C612DF"/>
    <w:rsid w:val="00C61E10"/>
    <w:rsid w:val="00C6201E"/>
    <w:rsid w:val="00C62406"/>
    <w:rsid w:val="00C6253F"/>
    <w:rsid w:val="00C6298B"/>
    <w:rsid w:val="00C62C5D"/>
    <w:rsid w:val="00C62DAE"/>
    <w:rsid w:val="00C62EFB"/>
    <w:rsid w:val="00C6322B"/>
    <w:rsid w:val="00C633AE"/>
    <w:rsid w:val="00C6375F"/>
    <w:rsid w:val="00C63861"/>
    <w:rsid w:val="00C63AC2"/>
    <w:rsid w:val="00C64233"/>
    <w:rsid w:val="00C648FA"/>
    <w:rsid w:val="00C64940"/>
    <w:rsid w:val="00C64C91"/>
    <w:rsid w:val="00C65245"/>
    <w:rsid w:val="00C653E5"/>
    <w:rsid w:val="00C65B41"/>
    <w:rsid w:val="00C65B91"/>
    <w:rsid w:val="00C65EE6"/>
    <w:rsid w:val="00C65F4B"/>
    <w:rsid w:val="00C660F1"/>
    <w:rsid w:val="00C66180"/>
    <w:rsid w:val="00C662DA"/>
    <w:rsid w:val="00C66988"/>
    <w:rsid w:val="00C66A71"/>
    <w:rsid w:val="00C66AD4"/>
    <w:rsid w:val="00C66BE3"/>
    <w:rsid w:val="00C66E52"/>
    <w:rsid w:val="00C66EBA"/>
    <w:rsid w:val="00C66EF8"/>
    <w:rsid w:val="00C6701E"/>
    <w:rsid w:val="00C67024"/>
    <w:rsid w:val="00C6744F"/>
    <w:rsid w:val="00C676BC"/>
    <w:rsid w:val="00C677DB"/>
    <w:rsid w:val="00C67A67"/>
    <w:rsid w:val="00C67C32"/>
    <w:rsid w:val="00C67D99"/>
    <w:rsid w:val="00C67F6D"/>
    <w:rsid w:val="00C7002D"/>
    <w:rsid w:val="00C7021A"/>
    <w:rsid w:val="00C702CE"/>
    <w:rsid w:val="00C703B1"/>
    <w:rsid w:val="00C7054D"/>
    <w:rsid w:val="00C7073B"/>
    <w:rsid w:val="00C70988"/>
    <w:rsid w:val="00C70A03"/>
    <w:rsid w:val="00C70A33"/>
    <w:rsid w:val="00C70C6E"/>
    <w:rsid w:val="00C70D0D"/>
    <w:rsid w:val="00C71583"/>
    <w:rsid w:val="00C71798"/>
    <w:rsid w:val="00C717AD"/>
    <w:rsid w:val="00C717AF"/>
    <w:rsid w:val="00C71841"/>
    <w:rsid w:val="00C71932"/>
    <w:rsid w:val="00C71946"/>
    <w:rsid w:val="00C71987"/>
    <w:rsid w:val="00C719F3"/>
    <w:rsid w:val="00C71A5F"/>
    <w:rsid w:val="00C71B41"/>
    <w:rsid w:val="00C71B63"/>
    <w:rsid w:val="00C71C96"/>
    <w:rsid w:val="00C71CA0"/>
    <w:rsid w:val="00C71CAE"/>
    <w:rsid w:val="00C71E3B"/>
    <w:rsid w:val="00C7200E"/>
    <w:rsid w:val="00C7200F"/>
    <w:rsid w:val="00C722D8"/>
    <w:rsid w:val="00C724F5"/>
    <w:rsid w:val="00C72575"/>
    <w:rsid w:val="00C726B6"/>
    <w:rsid w:val="00C729A9"/>
    <w:rsid w:val="00C72AF6"/>
    <w:rsid w:val="00C74180"/>
    <w:rsid w:val="00C74583"/>
    <w:rsid w:val="00C7470D"/>
    <w:rsid w:val="00C748F2"/>
    <w:rsid w:val="00C749CA"/>
    <w:rsid w:val="00C74A04"/>
    <w:rsid w:val="00C75049"/>
    <w:rsid w:val="00C751F1"/>
    <w:rsid w:val="00C751FD"/>
    <w:rsid w:val="00C752A3"/>
    <w:rsid w:val="00C75391"/>
    <w:rsid w:val="00C755A6"/>
    <w:rsid w:val="00C7560D"/>
    <w:rsid w:val="00C75928"/>
    <w:rsid w:val="00C75CE2"/>
    <w:rsid w:val="00C75CF2"/>
    <w:rsid w:val="00C75E53"/>
    <w:rsid w:val="00C75EED"/>
    <w:rsid w:val="00C75FDA"/>
    <w:rsid w:val="00C760E9"/>
    <w:rsid w:val="00C761C6"/>
    <w:rsid w:val="00C764D8"/>
    <w:rsid w:val="00C766C5"/>
    <w:rsid w:val="00C76A3C"/>
    <w:rsid w:val="00C76A3F"/>
    <w:rsid w:val="00C76AC4"/>
    <w:rsid w:val="00C76FA1"/>
    <w:rsid w:val="00C7706E"/>
    <w:rsid w:val="00C77266"/>
    <w:rsid w:val="00C7797A"/>
    <w:rsid w:val="00C779AD"/>
    <w:rsid w:val="00C77A56"/>
    <w:rsid w:val="00C77DD4"/>
    <w:rsid w:val="00C77E9E"/>
    <w:rsid w:val="00C77F15"/>
    <w:rsid w:val="00C77FD7"/>
    <w:rsid w:val="00C80110"/>
    <w:rsid w:val="00C8052B"/>
    <w:rsid w:val="00C80718"/>
    <w:rsid w:val="00C8086A"/>
    <w:rsid w:val="00C808A7"/>
    <w:rsid w:val="00C808CF"/>
    <w:rsid w:val="00C80A94"/>
    <w:rsid w:val="00C80D7E"/>
    <w:rsid w:val="00C80F4A"/>
    <w:rsid w:val="00C8108A"/>
    <w:rsid w:val="00C81159"/>
    <w:rsid w:val="00C811E4"/>
    <w:rsid w:val="00C8166E"/>
    <w:rsid w:val="00C816C7"/>
    <w:rsid w:val="00C81880"/>
    <w:rsid w:val="00C81C87"/>
    <w:rsid w:val="00C82041"/>
    <w:rsid w:val="00C8230D"/>
    <w:rsid w:val="00C82438"/>
    <w:rsid w:val="00C828A3"/>
    <w:rsid w:val="00C82BFF"/>
    <w:rsid w:val="00C82D11"/>
    <w:rsid w:val="00C82DA1"/>
    <w:rsid w:val="00C83318"/>
    <w:rsid w:val="00C8346C"/>
    <w:rsid w:val="00C834DB"/>
    <w:rsid w:val="00C835E4"/>
    <w:rsid w:val="00C8388C"/>
    <w:rsid w:val="00C838D7"/>
    <w:rsid w:val="00C83E20"/>
    <w:rsid w:val="00C83E6C"/>
    <w:rsid w:val="00C84037"/>
    <w:rsid w:val="00C841A4"/>
    <w:rsid w:val="00C84414"/>
    <w:rsid w:val="00C84487"/>
    <w:rsid w:val="00C8458E"/>
    <w:rsid w:val="00C84677"/>
    <w:rsid w:val="00C84CB2"/>
    <w:rsid w:val="00C84EAE"/>
    <w:rsid w:val="00C84F5B"/>
    <w:rsid w:val="00C85272"/>
    <w:rsid w:val="00C8548A"/>
    <w:rsid w:val="00C8566E"/>
    <w:rsid w:val="00C85C26"/>
    <w:rsid w:val="00C85CD6"/>
    <w:rsid w:val="00C85D6C"/>
    <w:rsid w:val="00C8699F"/>
    <w:rsid w:val="00C869D2"/>
    <w:rsid w:val="00C86B16"/>
    <w:rsid w:val="00C86B70"/>
    <w:rsid w:val="00C86C72"/>
    <w:rsid w:val="00C86D57"/>
    <w:rsid w:val="00C86DB5"/>
    <w:rsid w:val="00C87281"/>
    <w:rsid w:val="00C8739E"/>
    <w:rsid w:val="00C87501"/>
    <w:rsid w:val="00C8774A"/>
    <w:rsid w:val="00C87AF7"/>
    <w:rsid w:val="00C87C32"/>
    <w:rsid w:val="00C87C40"/>
    <w:rsid w:val="00C87C56"/>
    <w:rsid w:val="00C87C5B"/>
    <w:rsid w:val="00C87D25"/>
    <w:rsid w:val="00C87D96"/>
    <w:rsid w:val="00C87DF7"/>
    <w:rsid w:val="00C90476"/>
    <w:rsid w:val="00C904D1"/>
    <w:rsid w:val="00C90583"/>
    <w:rsid w:val="00C905DA"/>
    <w:rsid w:val="00C906DE"/>
    <w:rsid w:val="00C90AF9"/>
    <w:rsid w:val="00C91370"/>
    <w:rsid w:val="00C916F0"/>
    <w:rsid w:val="00C919DB"/>
    <w:rsid w:val="00C91AB0"/>
    <w:rsid w:val="00C91E9D"/>
    <w:rsid w:val="00C91FA8"/>
    <w:rsid w:val="00C92427"/>
    <w:rsid w:val="00C924E9"/>
    <w:rsid w:val="00C9287F"/>
    <w:rsid w:val="00C92ADC"/>
    <w:rsid w:val="00C92EC3"/>
    <w:rsid w:val="00C932E4"/>
    <w:rsid w:val="00C932F2"/>
    <w:rsid w:val="00C93408"/>
    <w:rsid w:val="00C93418"/>
    <w:rsid w:val="00C934AC"/>
    <w:rsid w:val="00C93593"/>
    <w:rsid w:val="00C93675"/>
    <w:rsid w:val="00C93796"/>
    <w:rsid w:val="00C93B6A"/>
    <w:rsid w:val="00C93C13"/>
    <w:rsid w:val="00C93CC9"/>
    <w:rsid w:val="00C9436A"/>
    <w:rsid w:val="00C9462E"/>
    <w:rsid w:val="00C947F9"/>
    <w:rsid w:val="00C94988"/>
    <w:rsid w:val="00C94B1E"/>
    <w:rsid w:val="00C94B9A"/>
    <w:rsid w:val="00C94CB9"/>
    <w:rsid w:val="00C94E28"/>
    <w:rsid w:val="00C94F97"/>
    <w:rsid w:val="00C95345"/>
    <w:rsid w:val="00C95733"/>
    <w:rsid w:val="00C95BBB"/>
    <w:rsid w:val="00C95C08"/>
    <w:rsid w:val="00C962E7"/>
    <w:rsid w:val="00C96328"/>
    <w:rsid w:val="00C966AC"/>
    <w:rsid w:val="00C96AF2"/>
    <w:rsid w:val="00C96E7A"/>
    <w:rsid w:val="00C96FE1"/>
    <w:rsid w:val="00C9702C"/>
    <w:rsid w:val="00C97158"/>
    <w:rsid w:val="00C972A1"/>
    <w:rsid w:val="00C9735B"/>
    <w:rsid w:val="00C97370"/>
    <w:rsid w:val="00C97520"/>
    <w:rsid w:val="00C97719"/>
    <w:rsid w:val="00C97DD0"/>
    <w:rsid w:val="00CA04D8"/>
    <w:rsid w:val="00CA053B"/>
    <w:rsid w:val="00CA0744"/>
    <w:rsid w:val="00CA085A"/>
    <w:rsid w:val="00CA0A4C"/>
    <w:rsid w:val="00CA0A85"/>
    <w:rsid w:val="00CA0BF6"/>
    <w:rsid w:val="00CA0D48"/>
    <w:rsid w:val="00CA0F50"/>
    <w:rsid w:val="00CA1344"/>
    <w:rsid w:val="00CA1356"/>
    <w:rsid w:val="00CA13E4"/>
    <w:rsid w:val="00CA143C"/>
    <w:rsid w:val="00CA160C"/>
    <w:rsid w:val="00CA165A"/>
    <w:rsid w:val="00CA1C6F"/>
    <w:rsid w:val="00CA220C"/>
    <w:rsid w:val="00CA23D5"/>
    <w:rsid w:val="00CA23F3"/>
    <w:rsid w:val="00CA28F1"/>
    <w:rsid w:val="00CA2BA2"/>
    <w:rsid w:val="00CA2BEA"/>
    <w:rsid w:val="00CA30BA"/>
    <w:rsid w:val="00CA32BF"/>
    <w:rsid w:val="00CA3952"/>
    <w:rsid w:val="00CA3AA8"/>
    <w:rsid w:val="00CA3AF7"/>
    <w:rsid w:val="00CA3D0A"/>
    <w:rsid w:val="00CA3E44"/>
    <w:rsid w:val="00CA3FAD"/>
    <w:rsid w:val="00CA4395"/>
    <w:rsid w:val="00CA4400"/>
    <w:rsid w:val="00CA4586"/>
    <w:rsid w:val="00CA4849"/>
    <w:rsid w:val="00CA48C0"/>
    <w:rsid w:val="00CA4CA8"/>
    <w:rsid w:val="00CA4D66"/>
    <w:rsid w:val="00CA4D88"/>
    <w:rsid w:val="00CA5150"/>
    <w:rsid w:val="00CA51A6"/>
    <w:rsid w:val="00CA5269"/>
    <w:rsid w:val="00CA52E3"/>
    <w:rsid w:val="00CA52E5"/>
    <w:rsid w:val="00CA5326"/>
    <w:rsid w:val="00CA5541"/>
    <w:rsid w:val="00CA58EA"/>
    <w:rsid w:val="00CA5A1B"/>
    <w:rsid w:val="00CA600C"/>
    <w:rsid w:val="00CA6257"/>
    <w:rsid w:val="00CA676C"/>
    <w:rsid w:val="00CA6B51"/>
    <w:rsid w:val="00CA6D2B"/>
    <w:rsid w:val="00CA70A0"/>
    <w:rsid w:val="00CA7188"/>
    <w:rsid w:val="00CA7489"/>
    <w:rsid w:val="00CA766C"/>
    <w:rsid w:val="00CA7690"/>
    <w:rsid w:val="00CA7792"/>
    <w:rsid w:val="00CA79AD"/>
    <w:rsid w:val="00CA7ADC"/>
    <w:rsid w:val="00CA7B53"/>
    <w:rsid w:val="00CA7C7E"/>
    <w:rsid w:val="00CA7DBE"/>
    <w:rsid w:val="00CB0089"/>
    <w:rsid w:val="00CB0240"/>
    <w:rsid w:val="00CB1059"/>
    <w:rsid w:val="00CB17CD"/>
    <w:rsid w:val="00CB1A43"/>
    <w:rsid w:val="00CB1C5B"/>
    <w:rsid w:val="00CB1DAB"/>
    <w:rsid w:val="00CB1E74"/>
    <w:rsid w:val="00CB21A3"/>
    <w:rsid w:val="00CB21B7"/>
    <w:rsid w:val="00CB23FB"/>
    <w:rsid w:val="00CB261D"/>
    <w:rsid w:val="00CB2811"/>
    <w:rsid w:val="00CB2B68"/>
    <w:rsid w:val="00CB2C90"/>
    <w:rsid w:val="00CB2CB7"/>
    <w:rsid w:val="00CB2D37"/>
    <w:rsid w:val="00CB2DFB"/>
    <w:rsid w:val="00CB2ED7"/>
    <w:rsid w:val="00CB30BD"/>
    <w:rsid w:val="00CB3466"/>
    <w:rsid w:val="00CB3B78"/>
    <w:rsid w:val="00CB41B0"/>
    <w:rsid w:val="00CB4444"/>
    <w:rsid w:val="00CB4666"/>
    <w:rsid w:val="00CB46C9"/>
    <w:rsid w:val="00CB4DD6"/>
    <w:rsid w:val="00CB4EB7"/>
    <w:rsid w:val="00CB5474"/>
    <w:rsid w:val="00CB5550"/>
    <w:rsid w:val="00CB5559"/>
    <w:rsid w:val="00CB58EA"/>
    <w:rsid w:val="00CB5929"/>
    <w:rsid w:val="00CB5934"/>
    <w:rsid w:val="00CB5B76"/>
    <w:rsid w:val="00CB63F9"/>
    <w:rsid w:val="00CB64F8"/>
    <w:rsid w:val="00CB76BF"/>
    <w:rsid w:val="00CC0237"/>
    <w:rsid w:val="00CC0782"/>
    <w:rsid w:val="00CC0B15"/>
    <w:rsid w:val="00CC0BF0"/>
    <w:rsid w:val="00CC0BF4"/>
    <w:rsid w:val="00CC0CA3"/>
    <w:rsid w:val="00CC0F59"/>
    <w:rsid w:val="00CC1194"/>
    <w:rsid w:val="00CC1695"/>
    <w:rsid w:val="00CC17C6"/>
    <w:rsid w:val="00CC17FA"/>
    <w:rsid w:val="00CC1905"/>
    <w:rsid w:val="00CC1E06"/>
    <w:rsid w:val="00CC1E76"/>
    <w:rsid w:val="00CC1F64"/>
    <w:rsid w:val="00CC1F79"/>
    <w:rsid w:val="00CC1FBB"/>
    <w:rsid w:val="00CC25FF"/>
    <w:rsid w:val="00CC26A9"/>
    <w:rsid w:val="00CC280B"/>
    <w:rsid w:val="00CC2A06"/>
    <w:rsid w:val="00CC2BE6"/>
    <w:rsid w:val="00CC2C54"/>
    <w:rsid w:val="00CC2ED2"/>
    <w:rsid w:val="00CC334E"/>
    <w:rsid w:val="00CC343A"/>
    <w:rsid w:val="00CC3546"/>
    <w:rsid w:val="00CC3789"/>
    <w:rsid w:val="00CC3B36"/>
    <w:rsid w:val="00CC3C42"/>
    <w:rsid w:val="00CC3CF1"/>
    <w:rsid w:val="00CC3D48"/>
    <w:rsid w:val="00CC3D7B"/>
    <w:rsid w:val="00CC3E89"/>
    <w:rsid w:val="00CC423B"/>
    <w:rsid w:val="00CC424A"/>
    <w:rsid w:val="00CC441E"/>
    <w:rsid w:val="00CC4565"/>
    <w:rsid w:val="00CC47CB"/>
    <w:rsid w:val="00CC4875"/>
    <w:rsid w:val="00CC49BE"/>
    <w:rsid w:val="00CC4D13"/>
    <w:rsid w:val="00CC5047"/>
    <w:rsid w:val="00CC53A3"/>
    <w:rsid w:val="00CC55A2"/>
    <w:rsid w:val="00CC5B15"/>
    <w:rsid w:val="00CC5CB2"/>
    <w:rsid w:val="00CC5E3E"/>
    <w:rsid w:val="00CC61BA"/>
    <w:rsid w:val="00CC630A"/>
    <w:rsid w:val="00CC68F5"/>
    <w:rsid w:val="00CC6C57"/>
    <w:rsid w:val="00CC6FED"/>
    <w:rsid w:val="00CC732B"/>
    <w:rsid w:val="00CC745C"/>
    <w:rsid w:val="00CC74FA"/>
    <w:rsid w:val="00CC77CA"/>
    <w:rsid w:val="00CD044A"/>
    <w:rsid w:val="00CD050F"/>
    <w:rsid w:val="00CD0674"/>
    <w:rsid w:val="00CD0B78"/>
    <w:rsid w:val="00CD11DD"/>
    <w:rsid w:val="00CD13BA"/>
    <w:rsid w:val="00CD13F1"/>
    <w:rsid w:val="00CD1575"/>
    <w:rsid w:val="00CD16B5"/>
    <w:rsid w:val="00CD1761"/>
    <w:rsid w:val="00CD1B2E"/>
    <w:rsid w:val="00CD1DD9"/>
    <w:rsid w:val="00CD1F96"/>
    <w:rsid w:val="00CD2020"/>
    <w:rsid w:val="00CD22CC"/>
    <w:rsid w:val="00CD250F"/>
    <w:rsid w:val="00CD2616"/>
    <w:rsid w:val="00CD2908"/>
    <w:rsid w:val="00CD2A1A"/>
    <w:rsid w:val="00CD2DC8"/>
    <w:rsid w:val="00CD3234"/>
    <w:rsid w:val="00CD3618"/>
    <w:rsid w:val="00CD37ED"/>
    <w:rsid w:val="00CD3C9A"/>
    <w:rsid w:val="00CD40CA"/>
    <w:rsid w:val="00CD40EA"/>
    <w:rsid w:val="00CD4116"/>
    <w:rsid w:val="00CD45B6"/>
    <w:rsid w:val="00CD45D1"/>
    <w:rsid w:val="00CD4612"/>
    <w:rsid w:val="00CD46A6"/>
    <w:rsid w:val="00CD4749"/>
    <w:rsid w:val="00CD4862"/>
    <w:rsid w:val="00CD4A6D"/>
    <w:rsid w:val="00CD4AFC"/>
    <w:rsid w:val="00CD4B7F"/>
    <w:rsid w:val="00CD4C00"/>
    <w:rsid w:val="00CD4D83"/>
    <w:rsid w:val="00CD509C"/>
    <w:rsid w:val="00CD52F4"/>
    <w:rsid w:val="00CD53D7"/>
    <w:rsid w:val="00CD5459"/>
    <w:rsid w:val="00CD55D6"/>
    <w:rsid w:val="00CD5988"/>
    <w:rsid w:val="00CD5D3E"/>
    <w:rsid w:val="00CD5DA1"/>
    <w:rsid w:val="00CD5F88"/>
    <w:rsid w:val="00CD6279"/>
    <w:rsid w:val="00CD6A23"/>
    <w:rsid w:val="00CD78C1"/>
    <w:rsid w:val="00CD7E93"/>
    <w:rsid w:val="00CE0031"/>
    <w:rsid w:val="00CE0405"/>
    <w:rsid w:val="00CE0470"/>
    <w:rsid w:val="00CE0534"/>
    <w:rsid w:val="00CE05FF"/>
    <w:rsid w:val="00CE074E"/>
    <w:rsid w:val="00CE07A4"/>
    <w:rsid w:val="00CE0B06"/>
    <w:rsid w:val="00CE0F5E"/>
    <w:rsid w:val="00CE13BF"/>
    <w:rsid w:val="00CE1562"/>
    <w:rsid w:val="00CE1606"/>
    <w:rsid w:val="00CE163A"/>
    <w:rsid w:val="00CE16A1"/>
    <w:rsid w:val="00CE1755"/>
    <w:rsid w:val="00CE1AD3"/>
    <w:rsid w:val="00CE1B59"/>
    <w:rsid w:val="00CE1DBD"/>
    <w:rsid w:val="00CE1EC3"/>
    <w:rsid w:val="00CE207A"/>
    <w:rsid w:val="00CE2291"/>
    <w:rsid w:val="00CE2A16"/>
    <w:rsid w:val="00CE2C94"/>
    <w:rsid w:val="00CE2D71"/>
    <w:rsid w:val="00CE2D85"/>
    <w:rsid w:val="00CE2FC0"/>
    <w:rsid w:val="00CE39DF"/>
    <w:rsid w:val="00CE3AB3"/>
    <w:rsid w:val="00CE3B29"/>
    <w:rsid w:val="00CE3B50"/>
    <w:rsid w:val="00CE3BF6"/>
    <w:rsid w:val="00CE3E01"/>
    <w:rsid w:val="00CE4423"/>
    <w:rsid w:val="00CE45E0"/>
    <w:rsid w:val="00CE46EC"/>
    <w:rsid w:val="00CE4970"/>
    <w:rsid w:val="00CE4A37"/>
    <w:rsid w:val="00CE4BE4"/>
    <w:rsid w:val="00CE55A1"/>
    <w:rsid w:val="00CE55DF"/>
    <w:rsid w:val="00CE5753"/>
    <w:rsid w:val="00CE5761"/>
    <w:rsid w:val="00CE5C26"/>
    <w:rsid w:val="00CE5FCC"/>
    <w:rsid w:val="00CE60BE"/>
    <w:rsid w:val="00CE6630"/>
    <w:rsid w:val="00CE68F4"/>
    <w:rsid w:val="00CE69AC"/>
    <w:rsid w:val="00CE69DC"/>
    <w:rsid w:val="00CE6AE9"/>
    <w:rsid w:val="00CE6C17"/>
    <w:rsid w:val="00CE6F19"/>
    <w:rsid w:val="00CE6FC0"/>
    <w:rsid w:val="00CE6FFF"/>
    <w:rsid w:val="00CE70CB"/>
    <w:rsid w:val="00CE72B9"/>
    <w:rsid w:val="00CE756A"/>
    <w:rsid w:val="00CE779B"/>
    <w:rsid w:val="00CE7859"/>
    <w:rsid w:val="00CE7D03"/>
    <w:rsid w:val="00CF0041"/>
    <w:rsid w:val="00CF006B"/>
    <w:rsid w:val="00CF0377"/>
    <w:rsid w:val="00CF06FE"/>
    <w:rsid w:val="00CF0844"/>
    <w:rsid w:val="00CF0AD0"/>
    <w:rsid w:val="00CF0BAD"/>
    <w:rsid w:val="00CF0C4B"/>
    <w:rsid w:val="00CF0E77"/>
    <w:rsid w:val="00CF0EB1"/>
    <w:rsid w:val="00CF1946"/>
    <w:rsid w:val="00CF1D22"/>
    <w:rsid w:val="00CF1D26"/>
    <w:rsid w:val="00CF1E11"/>
    <w:rsid w:val="00CF205F"/>
    <w:rsid w:val="00CF20A1"/>
    <w:rsid w:val="00CF2150"/>
    <w:rsid w:val="00CF22CD"/>
    <w:rsid w:val="00CF25F9"/>
    <w:rsid w:val="00CF2BAD"/>
    <w:rsid w:val="00CF2C7D"/>
    <w:rsid w:val="00CF2D16"/>
    <w:rsid w:val="00CF2E3B"/>
    <w:rsid w:val="00CF2F87"/>
    <w:rsid w:val="00CF2FDD"/>
    <w:rsid w:val="00CF3146"/>
    <w:rsid w:val="00CF33F6"/>
    <w:rsid w:val="00CF3955"/>
    <w:rsid w:val="00CF3F06"/>
    <w:rsid w:val="00CF3F4B"/>
    <w:rsid w:val="00CF4619"/>
    <w:rsid w:val="00CF463A"/>
    <w:rsid w:val="00CF470F"/>
    <w:rsid w:val="00CF4739"/>
    <w:rsid w:val="00CF4EFB"/>
    <w:rsid w:val="00CF4F80"/>
    <w:rsid w:val="00CF51F2"/>
    <w:rsid w:val="00CF520D"/>
    <w:rsid w:val="00CF54C9"/>
    <w:rsid w:val="00CF5691"/>
    <w:rsid w:val="00CF58ED"/>
    <w:rsid w:val="00CF5AAD"/>
    <w:rsid w:val="00CF5ADB"/>
    <w:rsid w:val="00CF5B91"/>
    <w:rsid w:val="00CF6125"/>
    <w:rsid w:val="00CF62E5"/>
    <w:rsid w:val="00CF6604"/>
    <w:rsid w:val="00CF669A"/>
    <w:rsid w:val="00CF6868"/>
    <w:rsid w:val="00CF6FA4"/>
    <w:rsid w:val="00CF72FC"/>
    <w:rsid w:val="00CF79DF"/>
    <w:rsid w:val="00CF7D3B"/>
    <w:rsid w:val="00CF7E12"/>
    <w:rsid w:val="00CF7F6A"/>
    <w:rsid w:val="00D00072"/>
    <w:rsid w:val="00D0012A"/>
    <w:rsid w:val="00D00226"/>
    <w:rsid w:val="00D00235"/>
    <w:rsid w:val="00D002C3"/>
    <w:rsid w:val="00D00481"/>
    <w:rsid w:val="00D005D8"/>
    <w:rsid w:val="00D00785"/>
    <w:rsid w:val="00D00900"/>
    <w:rsid w:val="00D00B3E"/>
    <w:rsid w:val="00D00ED6"/>
    <w:rsid w:val="00D0100D"/>
    <w:rsid w:val="00D01055"/>
    <w:rsid w:val="00D0171C"/>
    <w:rsid w:val="00D019DC"/>
    <w:rsid w:val="00D01B21"/>
    <w:rsid w:val="00D01B9B"/>
    <w:rsid w:val="00D01BF5"/>
    <w:rsid w:val="00D01E23"/>
    <w:rsid w:val="00D02181"/>
    <w:rsid w:val="00D02331"/>
    <w:rsid w:val="00D024D7"/>
    <w:rsid w:val="00D024DD"/>
    <w:rsid w:val="00D02582"/>
    <w:rsid w:val="00D0279D"/>
    <w:rsid w:val="00D02886"/>
    <w:rsid w:val="00D0298E"/>
    <w:rsid w:val="00D02A03"/>
    <w:rsid w:val="00D02CA9"/>
    <w:rsid w:val="00D032C8"/>
    <w:rsid w:val="00D03538"/>
    <w:rsid w:val="00D03925"/>
    <w:rsid w:val="00D039FA"/>
    <w:rsid w:val="00D03E69"/>
    <w:rsid w:val="00D03EC0"/>
    <w:rsid w:val="00D049F7"/>
    <w:rsid w:val="00D04B6D"/>
    <w:rsid w:val="00D04C3B"/>
    <w:rsid w:val="00D04C48"/>
    <w:rsid w:val="00D04CC1"/>
    <w:rsid w:val="00D04EBD"/>
    <w:rsid w:val="00D04FDC"/>
    <w:rsid w:val="00D0501C"/>
    <w:rsid w:val="00D05059"/>
    <w:rsid w:val="00D0547F"/>
    <w:rsid w:val="00D05482"/>
    <w:rsid w:val="00D054EF"/>
    <w:rsid w:val="00D055D8"/>
    <w:rsid w:val="00D0572D"/>
    <w:rsid w:val="00D05B79"/>
    <w:rsid w:val="00D05D05"/>
    <w:rsid w:val="00D05D43"/>
    <w:rsid w:val="00D06345"/>
    <w:rsid w:val="00D0640E"/>
    <w:rsid w:val="00D06896"/>
    <w:rsid w:val="00D06B16"/>
    <w:rsid w:val="00D06C0C"/>
    <w:rsid w:val="00D06EE0"/>
    <w:rsid w:val="00D072BE"/>
    <w:rsid w:val="00D07809"/>
    <w:rsid w:val="00D0782F"/>
    <w:rsid w:val="00D078D3"/>
    <w:rsid w:val="00D07BFA"/>
    <w:rsid w:val="00D1049F"/>
    <w:rsid w:val="00D10540"/>
    <w:rsid w:val="00D1075B"/>
    <w:rsid w:val="00D10C33"/>
    <w:rsid w:val="00D10C65"/>
    <w:rsid w:val="00D10CFF"/>
    <w:rsid w:val="00D10DD7"/>
    <w:rsid w:val="00D10E94"/>
    <w:rsid w:val="00D10FE2"/>
    <w:rsid w:val="00D112DE"/>
    <w:rsid w:val="00D11343"/>
    <w:rsid w:val="00D11607"/>
    <w:rsid w:val="00D118EE"/>
    <w:rsid w:val="00D11AE7"/>
    <w:rsid w:val="00D11C81"/>
    <w:rsid w:val="00D11DBB"/>
    <w:rsid w:val="00D11F24"/>
    <w:rsid w:val="00D1227B"/>
    <w:rsid w:val="00D12465"/>
    <w:rsid w:val="00D12523"/>
    <w:rsid w:val="00D12552"/>
    <w:rsid w:val="00D126CE"/>
    <w:rsid w:val="00D12875"/>
    <w:rsid w:val="00D12AE1"/>
    <w:rsid w:val="00D12D79"/>
    <w:rsid w:val="00D12EAF"/>
    <w:rsid w:val="00D13650"/>
    <w:rsid w:val="00D1378E"/>
    <w:rsid w:val="00D139BC"/>
    <w:rsid w:val="00D13A4F"/>
    <w:rsid w:val="00D13A79"/>
    <w:rsid w:val="00D13B82"/>
    <w:rsid w:val="00D13D7D"/>
    <w:rsid w:val="00D13F63"/>
    <w:rsid w:val="00D1403B"/>
    <w:rsid w:val="00D1430E"/>
    <w:rsid w:val="00D14508"/>
    <w:rsid w:val="00D1456F"/>
    <w:rsid w:val="00D14F8D"/>
    <w:rsid w:val="00D15030"/>
    <w:rsid w:val="00D1532C"/>
    <w:rsid w:val="00D1540F"/>
    <w:rsid w:val="00D157F9"/>
    <w:rsid w:val="00D15AC2"/>
    <w:rsid w:val="00D16193"/>
    <w:rsid w:val="00D16458"/>
    <w:rsid w:val="00D164E1"/>
    <w:rsid w:val="00D16A9B"/>
    <w:rsid w:val="00D16B2F"/>
    <w:rsid w:val="00D16C64"/>
    <w:rsid w:val="00D17141"/>
    <w:rsid w:val="00D17261"/>
    <w:rsid w:val="00D17466"/>
    <w:rsid w:val="00D179F0"/>
    <w:rsid w:val="00D17E7C"/>
    <w:rsid w:val="00D20192"/>
    <w:rsid w:val="00D2042E"/>
    <w:rsid w:val="00D204F5"/>
    <w:rsid w:val="00D2071F"/>
    <w:rsid w:val="00D2095E"/>
    <w:rsid w:val="00D20E0E"/>
    <w:rsid w:val="00D20F49"/>
    <w:rsid w:val="00D210B8"/>
    <w:rsid w:val="00D2139B"/>
    <w:rsid w:val="00D21510"/>
    <w:rsid w:val="00D216EA"/>
    <w:rsid w:val="00D2189D"/>
    <w:rsid w:val="00D21D3B"/>
    <w:rsid w:val="00D21D59"/>
    <w:rsid w:val="00D21DFD"/>
    <w:rsid w:val="00D220D8"/>
    <w:rsid w:val="00D22181"/>
    <w:rsid w:val="00D22231"/>
    <w:rsid w:val="00D22459"/>
    <w:rsid w:val="00D224F7"/>
    <w:rsid w:val="00D22A8B"/>
    <w:rsid w:val="00D231C9"/>
    <w:rsid w:val="00D23284"/>
    <w:rsid w:val="00D232E1"/>
    <w:rsid w:val="00D232E8"/>
    <w:rsid w:val="00D23523"/>
    <w:rsid w:val="00D23B13"/>
    <w:rsid w:val="00D23E0F"/>
    <w:rsid w:val="00D23EF4"/>
    <w:rsid w:val="00D240DA"/>
    <w:rsid w:val="00D242C1"/>
    <w:rsid w:val="00D243CE"/>
    <w:rsid w:val="00D24782"/>
    <w:rsid w:val="00D247FC"/>
    <w:rsid w:val="00D24888"/>
    <w:rsid w:val="00D24976"/>
    <w:rsid w:val="00D24A9A"/>
    <w:rsid w:val="00D24B0D"/>
    <w:rsid w:val="00D24BD5"/>
    <w:rsid w:val="00D24D64"/>
    <w:rsid w:val="00D24E13"/>
    <w:rsid w:val="00D25021"/>
    <w:rsid w:val="00D2528D"/>
    <w:rsid w:val="00D25A85"/>
    <w:rsid w:val="00D25EDA"/>
    <w:rsid w:val="00D26222"/>
    <w:rsid w:val="00D26267"/>
    <w:rsid w:val="00D26491"/>
    <w:rsid w:val="00D264BB"/>
    <w:rsid w:val="00D26621"/>
    <w:rsid w:val="00D266BB"/>
    <w:rsid w:val="00D26CD9"/>
    <w:rsid w:val="00D26D92"/>
    <w:rsid w:val="00D26EF4"/>
    <w:rsid w:val="00D27149"/>
    <w:rsid w:val="00D2730D"/>
    <w:rsid w:val="00D27506"/>
    <w:rsid w:val="00D276EB"/>
    <w:rsid w:val="00D27937"/>
    <w:rsid w:val="00D2796A"/>
    <w:rsid w:val="00D27C70"/>
    <w:rsid w:val="00D27E66"/>
    <w:rsid w:val="00D27F3D"/>
    <w:rsid w:val="00D301F0"/>
    <w:rsid w:val="00D30331"/>
    <w:rsid w:val="00D3044E"/>
    <w:rsid w:val="00D30758"/>
    <w:rsid w:val="00D30786"/>
    <w:rsid w:val="00D30930"/>
    <w:rsid w:val="00D30D3F"/>
    <w:rsid w:val="00D30E6E"/>
    <w:rsid w:val="00D31725"/>
    <w:rsid w:val="00D31C07"/>
    <w:rsid w:val="00D31C59"/>
    <w:rsid w:val="00D31D4F"/>
    <w:rsid w:val="00D32033"/>
    <w:rsid w:val="00D321D5"/>
    <w:rsid w:val="00D3245D"/>
    <w:rsid w:val="00D3296D"/>
    <w:rsid w:val="00D32977"/>
    <w:rsid w:val="00D32AA2"/>
    <w:rsid w:val="00D32C32"/>
    <w:rsid w:val="00D32E87"/>
    <w:rsid w:val="00D32F5A"/>
    <w:rsid w:val="00D33565"/>
    <w:rsid w:val="00D339A6"/>
    <w:rsid w:val="00D33A20"/>
    <w:rsid w:val="00D33F29"/>
    <w:rsid w:val="00D33F60"/>
    <w:rsid w:val="00D33F77"/>
    <w:rsid w:val="00D34085"/>
    <w:rsid w:val="00D340BA"/>
    <w:rsid w:val="00D344C4"/>
    <w:rsid w:val="00D3464B"/>
    <w:rsid w:val="00D34C50"/>
    <w:rsid w:val="00D35290"/>
    <w:rsid w:val="00D354F6"/>
    <w:rsid w:val="00D3565A"/>
    <w:rsid w:val="00D35667"/>
    <w:rsid w:val="00D35829"/>
    <w:rsid w:val="00D358A0"/>
    <w:rsid w:val="00D35996"/>
    <w:rsid w:val="00D35C8C"/>
    <w:rsid w:val="00D363B3"/>
    <w:rsid w:val="00D3652C"/>
    <w:rsid w:val="00D369B7"/>
    <w:rsid w:val="00D36C50"/>
    <w:rsid w:val="00D3773D"/>
    <w:rsid w:val="00D37924"/>
    <w:rsid w:val="00D37AE8"/>
    <w:rsid w:val="00D37C79"/>
    <w:rsid w:val="00D37D41"/>
    <w:rsid w:val="00D37DA3"/>
    <w:rsid w:val="00D40104"/>
    <w:rsid w:val="00D405FB"/>
    <w:rsid w:val="00D40A31"/>
    <w:rsid w:val="00D40AA0"/>
    <w:rsid w:val="00D40B0B"/>
    <w:rsid w:val="00D40BC2"/>
    <w:rsid w:val="00D40C22"/>
    <w:rsid w:val="00D40F0D"/>
    <w:rsid w:val="00D41453"/>
    <w:rsid w:val="00D414BA"/>
    <w:rsid w:val="00D414DB"/>
    <w:rsid w:val="00D418BC"/>
    <w:rsid w:val="00D41A72"/>
    <w:rsid w:val="00D41F35"/>
    <w:rsid w:val="00D41FC0"/>
    <w:rsid w:val="00D42009"/>
    <w:rsid w:val="00D4228B"/>
    <w:rsid w:val="00D423DC"/>
    <w:rsid w:val="00D4241E"/>
    <w:rsid w:val="00D42465"/>
    <w:rsid w:val="00D42581"/>
    <w:rsid w:val="00D425E8"/>
    <w:rsid w:val="00D4269B"/>
    <w:rsid w:val="00D42823"/>
    <w:rsid w:val="00D42F87"/>
    <w:rsid w:val="00D43423"/>
    <w:rsid w:val="00D43496"/>
    <w:rsid w:val="00D437A0"/>
    <w:rsid w:val="00D43933"/>
    <w:rsid w:val="00D43DD4"/>
    <w:rsid w:val="00D43F48"/>
    <w:rsid w:val="00D43FDA"/>
    <w:rsid w:val="00D43FDB"/>
    <w:rsid w:val="00D44051"/>
    <w:rsid w:val="00D44075"/>
    <w:rsid w:val="00D440AC"/>
    <w:rsid w:val="00D4415A"/>
    <w:rsid w:val="00D44168"/>
    <w:rsid w:val="00D442E4"/>
    <w:rsid w:val="00D443F2"/>
    <w:rsid w:val="00D445EF"/>
    <w:rsid w:val="00D44C91"/>
    <w:rsid w:val="00D456FD"/>
    <w:rsid w:val="00D4573F"/>
    <w:rsid w:val="00D4597E"/>
    <w:rsid w:val="00D45A98"/>
    <w:rsid w:val="00D45AC8"/>
    <w:rsid w:val="00D45ED5"/>
    <w:rsid w:val="00D45FCF"/>
    <w:rsid w:val="00D460C0"/>
    <w:rsid w:val="00D46614"/>
    <w:rsid w:val="00D46625"/>
    <w:rsid w:val="00D4691C"/>
    <w:rsid w:val="00D46E18"/>
    <w:rsid w:val="00D46E7A"/>
    <w:rsid w:val="00D47127"/>
    <w:rsid w:val="00D471C1"/>
    <w:rsid w:val="00D474AD"/>
    <w:rsid w:val="00D47584"/>
    <w:rsid w:val="00D477F8"/>
    <w:rsid w:val="00D47949"/>
    <w:rsid w:val="00D47978"/>
    <w:rsid w:val="00D47C86"/>
    <w:rsid w:val="00D47E1C"/>
    <w:rsid w:val="00D50087"/>
    <w:rsid w:val="00D50497"/>
    <w:rsid w:val="00D50941"/>
    <w:rsid w:val="00D50A05"/>
    <w:rsid w:val="00D50C12"/>
    <w:rsid w:val="00D50C13"/>
    <w:rsid w:val="00D51572"/>
    <w:rsid w:val="00D51636"/>
    <w:rsid w:val="00D517B1"/>
    <w:rsid w:val="00D518BB"/>
    <w:rsid w:val="00D5194D"/>
    <w:rsid w:val="00D519A0"/>
    <w:rsid w:val="00D51C52"/>
    <w:rsid w:val="00D520BD"/>
    <w:rsid w:val="00D522C6"/>
    <w:rsid w:val="00D52453"/>
    <w:rsid w:val="00D524EF"/>
    <w:rsid w:val="00D52857"/>
    <w:rsid w:val="00D52CDC"/>
    <w:rsid w:val="00D52E9C"/>
    <w:rsid w:val="00D52EE2"/>
    <w:rsid w:val="00D53095"/>
    <w:rsid w:val="00D532AC"/>
    <w:rsid w:val="00D533EE"/>
    <w:rsid w:val="00D534C1"/>
    <w:rsid w:val="00D53BCA"/>
    <w:rsid w:val="00D5424E"/>
    <w:rsid w:val="00D54468"/>
    <w:rsid w:val="00D547A2"/>
    <w:rsid w:val="00D54B67"/>
    <w:rsid w:val="00D54C06"/>
    <w:rsid w:val="00D54CBD"/>
    <w:rsid w:val="00D54D5A"/>
    <w:rsid w:val="00D54DA5"/>
    <w:rsid w:val="00D54F66"/>
    <w:rsid w:val="00D551B0"/>
    <w:rsid w:val="00D55331"/>
    <w:rsid w:val="00D55645"/>
    <w:rsid w:val="00D55A24"/>
    <w:rsid w:val="00D55A96"/>
    <w:rsid w:val="00D55BB9"/>
    <w:rsid w:val="00D55C1C"/>
    <w:rsid w:val="00D55C2C"/>
    <w:rsid w:val="00D562B2"/>
    <w:rsid w:val="00D5662D"/>
    <w:rsid w:val="00D56798"/>
    <w:rsid w:val="00D5688F"/>
    <w:rsid w:val="00D56AA7"/>
    <w:rsid w:val="00D56B0D"/>
    <w:rsid w:val="00D56CC8"/>
    <w:rsid w:val="00D56D40"/>
    <w:rsid w:val="00D574BD"/>
    <w:rsid w:val="00D57735"/>
    <w:rsid w:val="00D577FB"/>
    <w:rsid w:val="00D57CCF"/>
    <w:rsid w:val="00D57F2E"/>
    <w:rsid w:val="00D57FDA"/>
    <w:rsid w:val="00D6015B"/>
    <w:rsid w:val="00D605A6"/>
    <w:rsid w:val="00D609BF"/>
    <w:rsid w:val="00D60A36"/>
    <w:rsid w:val="00D60B8A"/>
    <w:rsid w:val="00D60D19"/>
    <w:rsid w:val="00D60E08"/>
    <w:rsid w:val="00D6109B"/>
    <w:rsid w:val="00D6110E"/>
    <w:rsid w:val="00D6126B"/>
    <w:rsid w:val="00D6137D"/>
    <w:rsid w:val="00D613EB"/>
    <w:rsid w:val="00D6150B"/>
    <w:rsid w:val="00D617F0"/>
    <w:rsid w:val="00D61977"/>
    <w:rsid w:val="00D61AE1"/>
    <w:rsid w:val="00D61BB8"/>
    <w:rsid w:val="00D61BDB"/>
    <w:rsid w:val="00D61CFF"/>
    <w:rsid w:val="00D61EA8"/>
    <w:rsid w:val="00D6242E"/>
    <w:rsid w:val="00D62468"/>
    <w:rsid w:val="00D626A7"/>
    <w:rsid w:val="00D62948"/>
    <w:rsid w:val="00D62CEC"/>
    <w:rsid w:val="00D62F93"/>
    <w:rsid w:val="00D63056"/>
    <w:rsid w:val="00D630FD"/>
    <w:rsid w:val="00D631C8"/>
    <w:rsid w:val="00D6322F"/>
    <w:rsid w:val="00D6350C"/>
    <w:rsid w:val="00D63706"/>
    <w:rsid w:val="00D638AE"/>
    <w:rsid w:val="00D63A80"/>
    <w:rsid w:val="00D63E48"/>
    <w:rsid w:val="00D64429"/>
    <w:rsid w:val="00D6452E"/>
    <w:rsid w:val="00D647EC"/>
    <w:rsid w:val="00D648A6"/>
    <w:rsid w:val="00D64AEC"/>
    <w:rsid w:val="00D64B5D"/>
    <w:rsid w:val="00D64F1D"/>
    <w:rsid w:val="00D651A0"/>
    <w:rsid w:val="00D655AC"/>
    <w:rsid w:val="00D655AE"/>
    <w:rsid w:val="00D65647"/>
    <w:rsid w:val="00D65807"/>
    <w:rsid w:val="00D658EA"/>
    <w:rsid w:val="00D65AE3"/>
    <w:rsid w:val="00D65C86"/>
    <w:rsid w:val="00D65D05"/>
    <w:rsid w:val="00D65F65"/>
    <w:rsid w:val="00D6607B"/>
    <w:rsid w:val="00D667B2"/>
    <w:rsid w:val="00D6689A"/>
    <w:rsid w:val="00D669AA"/>
    <w:rsid w:val="00D669DA"/>
    <w:rsid w:val="00D66AAC"/>
    <w:rsid w:val="00D66D66"/>
    <w:rsid w:val="00D66F33"/>
    <w:rsid w:val="00D67222"/>
    <w:rsid w:val="00D67413"/>
    <w:rsid w:val="00D67477"/>
    <w:rsid w:val="00D674D8"/>
    <w:rsid w:val="00D674E6"/>
    <w:rsid w:val="00D676B2"/>
    <w:rsid w:val="00D67705"/>
    <w:rsid w:val="00D67A7D"/>
    <w:rsid w:val="00D67DFB"/>
    <w:rsid w:val="00D67EDB"/>
    <w:rsid w:val="00D67F15"/>
    <w:rsid w:val="00D70062"/>
    <w:rsid w:val="00D701D7"/>
    <w:rsid w:val="00D709DB"/>
    <w:rsid w:val="00D70EC4"/>
    <w:rsid w:val="00D71105"/>
    <w:rsid w:val="00D7138B"/>
    <w:rsid w:val="00D7144B"/>
    <w:rsid w:val="00D7152F"/>
    <w:rsid w:val="00D715FE"/>
    <w:rsid w:val="00D71651"/>
    <w:rsid w:val="00D716D7"/>
    <w:rsid w:val="00D717FB"/>
    <w:rsid w:val="00D71B8F"/>
    <w:rsid w:val="00D71BB1"/>
    <w:rsid w:val="00D71C5E"/>
    <w:rsid w:val="00D71D4C"/>
    <w:rsid w:val="00D72571"/>
    <w:rsid w:val="00D72610"/>
    <w:rsid w:val="00D72910"/>
    <w:rsid w:val="00D72BB4"/>
    <w:rsid w:val="00D72E13"/>
    <w:rsid w:val="00D72E74"/>
    <w:rsid w:val="00D7324D"/>
    <w:rsid w:val="00D732DB"/>
    <w:rsid w:val="00D73744"/>
    <w:rsid w:val="00D7380E"/>
    <w:rsid w:val="00D73AB5"/>
    <w:rsid w:val="00D73B0D"/>
    <w:rsid w:val="00D73CFF"/>
    <w:rsid w:val="00D73F43"/>
    <w:rsid w:val="00D744AE"/>
    <w:rsid w:val="00D744FD"/>
    <w:rsid w:val="00D746A7"/>
    <w:rsid w:val="00D746C2"/>
    <w:rsid w:val="00D749C0"/>
    <w:rsid w:val="00D74D7C"/>
    <w:rsid w:val="00D74D82"/>
    <w:rsid w:val="00D74FDB"/>
    <w:rsid w:val="00D751AF"/>
    <w:rsid w:val="00D751FF"/>
    <w:rsid w:val="00D75727"/>
    <w:rsid w:val="00D75868"/>
    <w:rsid w:val="00D75A38"/>
    <w:rsid w:val="00D75CBB"/>
    <w:rsid w:val="00D75E79"/>
    <w:rsid w:val="00D76341"/>
    <w:rsid w:val="00D76CE0"/>
    <w:rsid w:val="00D76CF6"/>
    <w:rsid w:val="00D76D72"/>
    <w:rsid w:val="00D76FE8"/>
    <w:rsid w:val="00D7700F"/>
    <w:rsid w:val="00D77131"/>
    <w:rsid w:val="00D772AC"/>
    <w:rsid w:val="00D7736B"/>
    <w:rsid w:val="00D7766D"/>
    <w:rsid w:val="00D7767D"/>
    <w:rsid w:val="00D778CE"/>
    <w:rsid w:val="00D77A4C"/>
    <w:rsid w:val="00D77B9D"/>
    <w:rsid w:val="00D77CB0"/>
    <w:rsid w:val="00D77E96"/>
    <w:rsid w:val="00D77F33"/>
    <w:rsid w:val="00D8036C"/>
    <w:rsid w:val="00D80744"/>
    <w:rsid w:val="00D8077D"/>
    <w:rsid w:val="00D807B3"/>
    <w:rsid w:val="00D807B6"/>
    <w:rsid w:val="00D809F4"/>
    <w:rsid w:val="00D80C08"/>
    <w:rsid w:val="00D80DF3"/>
    <w:rsid w:val="00D80E61"/>
    <w:rsid w:val="00D80F69"/>
    <w:rsid w:val="00D80FAC"/>
    <w:rsid w:val="00D8138E"/>
    <w:rsid w:val="00D81787"/>
    <w:rsid w:val="00D81944"/>
    <w:rsid w:val="00D82EBC"/>
    <w:rsid w:val="00D83497"/>
    <w:rsid w:val="00D83721"/>
    <w:rsid w:val="00D83764"/>
    <w:rsid w:val="00D83A6D"/>
    <w:rsid w:val="00D83BEA"/>
    <w:rsid w:val="00D83CA7"/>
    <w:rsid w:val="00D8441A"/>
    <w:rsid w:val="00D847B3"/>
    <w:rsid w:val="00D84A29"/>
    <w:rsid w:val="00D84A7F"/>
    <w:rsid w:val="00D84AA6"/>
    <w:rsid w:val="00D84BC9"/>
    <w:rsid w:val="00D84D76"/>
    <w:rsid w:val="00D84E5B"/>
    <w:rsid w:val="00D84FCF"/>
    <w:rsid w:val="00D850D3"/>
    <w:rsid w:val="00D85314"/>
    <w:rsid w:val="00D85353"/>
    <w:rsid w:val="00D857A5"/>
    <w:rsid w:val="00D85B5B"/>
    <w:rsid w:val="00D85E2E"/>
    <w:rsid w:val="00D85F8F"/>
    <w:rsid w:val="00D861C7"/>
    <w:rsid w:val="00D862A8"/>
    <w:rsid w:val="00D866DE"/>
    <w:rsid w:val="00D86796"/>
    <w:rsid w:val="00D868D2"/>
    <w:rsid w:val="00D86DDA"/>
    <w:rsid w:val="00D86ED9"/>
    <w:rsid w:val="00D87C42"/>
    <w:rsid w:val="00D87C86"/>
    <w:rsid w:val="00D87CC8"/>
    <w:rsid w:val="00D87D1A"/>
    <w:rsid w:val="00D87D54"/>
    <w:rsid w:val="00D9017F"/>
    <w:rsid w:val="00D90558"/>
    <w:rsid w:val="00D90605"/>
    <w:rsid w:val="00D9061E"/>
    <w:rsid w:val="00D9074A"/>
    <w:rsid w:val="00D907C4"/>
    <w:rsid w:val="00D910FC"/>
    <w:rsid w:val="00D91377"/>
    <w:rsid w:val="00D917CD"/>
    <w:rsid w:val="00D9192C"/>
    <w:rsid w:val="00D91A21"/>
    <w:rsid w:val="00D91E62"/>
    <w:rsid w:val="00D91F3B"/>
    <w:rsid w:val="00D91F83"/>
    <w:rsid w:val="00D92319"/>
    <w:rsid w:val="00D9239B"/>
    <w:rsid w:val="00D92449"/>
    <w:rsid w:val="00D9250A"/>
    <w:rsid w:val="00D92B8F"/>
    <w:rsid w:val="00D92C6F"/>
    <w:rsid w:val="00D92C78"/>
    <w:rsid w:val="00D92E21"/>
    <w:rsid w:val="00D92E23"/>
    <w:rsid w:val="00D92E9F"/>
    <w:rsid w:val="00D92F9B"/>
    <w:rsid w:val="00D93519"/>
    <w:rsid w:val="00D93692"/>
    <w:rsid w:val="00D937EF"/>
    <w:rsid w:val="00D9394D"/>
    <w:rsid w:val="00D939FD"/>
    <w:rsid w:val="00D93A25"/>
    <w:rsid w:val="00D93AE3"/>
    <w:rsid w:val="00D93E54"/>
    <w:rsid w:val="00D94050"/>
    <w:rsid w:val="00D9411E"/>
    <w:rsid w:val="00D94B56"/>
    <w:rsid w:val="00D94BAA"/>
    <w:rsid w:val="00D94D20"/>
    <w:rsid w:val="00D94D8F"/>
    <w:rsid w:val="00D950D1"/>
    <w:rsid w:val="00D95292"/>
    <w:rsid w:val="00D95340"/>
    <w:rsid w:val="00D953CB"/>
    <w:rsid w:val="00D958C0"/>
    <w:rsid w:val="00D959A8"/>
    <w:rsid w:val="00D95B39"/>
    <w:rsid w:val="00D95B64"/>
    <w:rsid w:val="00D95B9A"/>
    <w:rsid w:val="00D95CAF"/>
    <w:rsid w:val="00D96168"/>
    <w:rsid w:val="00D96605"/>
    <w:rsid w:val="00D96BA1"/>
    <w:rsid w:val="00D96D58"/>
    <w:rsid w:val="00D96DCB"/>
    <w:rsid w:val="00D97250"/>
    <w:rsid w:val="00D97433"/>
    <w:rsid w:val="00D9763B"/>
    <w:rsid w:val="00D9765C"/>
    <w:rsid w:val="00D97DA4"/>
    <w:rsid w:val="00DA0121"/>
    <w:rsid w:val="00DA0486"/>
    <w:rsid w:val="00DA073E"/>
    <w:rsid w:val="00DA0840"/>
    <w:rsid w:val="00DA118E"/>
    <w:rsid w:val="00DA119D"/>
    <w:rsid w:val="00DA144C"/>
    <w:rsid w:val="00DA1B4A"/>
    <w:rsid w:val="00DA1D0C"/>
    <w:rsid w:val="00DA1E92"/>
    <w:rsid w:val="00DA245B"/>
    <w:rsid w:val="00DA2482"/>
    <w:rsid w:val="00DA2577"/>
    <w:rsid w:val="00DA2A65"/>
    <w:rsid w:val="00DA2AAC"/>
    <w:rsid w:val="00DA2BE6"/>
    <w:rsid w:val="00DA32DE"/>
    <w:rsid w:val="00DA395D"/>
    <w:rsid w:val="00DA3B54"/>
    <w:rsid w:val="00DA3FD9"/>
    <w:rsid w:val="00DA409A"/>
    <w:rsid w:val="00DA441B"/>
    <w:rsid w:val="00DA493E"/>
    <w:rsid w:val="00DA4C55"/>
    <w:rsid w:val="00DA52F3"/>
    <w:rsid w:val="00DA53C4"/>
    <w:rsid w:val="00DA5468"/>
    <w:rsid w:val="00DA551D"/>
    <w:rsid w:val="00DA58D2"/>
    <w:rsid w:val="00DA59E9"/>
    <w:rsid w:val="00DA5CBD"/>
    <w:rsid w:val="00DA5CFC"/>
    <w:rsid w:val="00DA5E89"/>
    <w:rsid w:val="00DA6041"/>
    <w:rsid w:val="00DA60BA"/>
    <w:rsid w:val="00DA61B1"/>
    <w:rsid w:val="00DA63B1"/>
    <w:rsid w:val="00DA6727"/>
    <w:rsid w:val="00DA6904"/>
    <w:rsid w:val="00DA69DA"/>
    <w:rsid w:val="00DA6C50"/>
    <w:rsid w:val="00DA7088"/>
    <w:rsid w:val="00DA7596"/>
    <w:rsid w:val="00DA787D"/>
    <w:rsid w:val="00DA7A70"/>
    <w:rsid w:val="00DB0002"/>
    <w:rsid w:val="00DB0026"/>
    <w:rsid w:val="00DB0121"/>
    <w:rsid w:val="00DB05DA"/>
    <w:rsid w:val="00DB08B4"/>
    <w:rsid w:val="00DB0A6B"/>
    <w:rsid w:val="00DB0ADE"/>
    <w:rsid w:val="00DB0B2A"/>
    <w:rsid w:val="00DB0E36"/>
    <w:rsid w:val="00DB0FBC"/>
    <w:rsid w:val="00DB11FD"/>
    <w:rsid w:val="00DB1369"/>
    <w:rsid w:val="00DB148C"/>
    <w:rsid w:val="00DB151C"/>
    <w:rsid w:val="00DB1935"/>
    <w:rsid w:val="00DB1B4C"/>
    <w:rsid w:val="00DB1B8D"/>
    <w:rsid w:val="00DB1EC8"/>
    <w:rsid w:val="00DB2008"/>
    <w:rsid w:val="00DB2035"/>
    <w:rsid w:val="00DB28D4"/>
    <w:rsid w:val="00DB2D30"/>
    <w:rsid w:val="00DB3997"/>
    <w:rsid w:val="00DB3C9E"/>
    <w:rsid w:val="00DB4307"/>
    <w:rsid w:val="00DB43B2"/>
    <w:rsid w:val="00DB47A0"/>
    <w:rsid w:val="00DB47F8"/>
    <w:rsid w:val="00DB4978"/>
    <w:rsid w:val="00DB4D23"/>
    <w:rsid w:val="00DB4D57"/>
    <w:rsid w:val="00DB514B"/>
    <w:rsid w:val="00DB528C"/>
    <w:rsid w:val="00DB54CC"/>
    <w:rsid w:val="00DB54E9"/>
    <w:rsid w:val="00DB573C"/>
    <w:rsid w:val="00DB58F2"/>
    <w:rsid w:val="00DB5B50"/>
    <w:rsid w:val="00DB5FD9"/>
    <w:rsid w:val="00DB6018"/>
    <w:rsid w:val="00DB624D"/>
    <w:rsid w:val="00DB65A0"/>
    <w:rsid w:val="00DB66E7"/>
    <w:rsid w:val="00DB6700"/>
    <w:rsid w:val="00DB6775"/>
    <w:rsid w:val="00DB6842"/>
    <w:rsid w:val="00DB6B86"/>
    <w:rsid w:val="00DB6C37"/>
    <w:rsid w:val="00DB6DF7"/>
    <w:rsid w:val="00DB70F6"/>
    <w:rsid w:val="00DB729B"/>
    <w:rsid w:val="00DB72ED"/>
    <w:rsid w:val="00DB7319"/>
    <w:rsid w:val="00DB750B"/>
    <w:rsid w:val="00DB76C9"/>
    <w:rsid w:val="00DB786D"/>
    <w:rsid w:val="00DB7920"/>
    <w:rsid w:val="00DB7A54"/>
    <w:rsid w:val="00DB7A7E"/>
    <w:rsid w:val="00DB7BD1"/>
    <w:rsid w:val="00DC02D2"/>
    <w:rsid w:val="00DC0462"/>
    <w:rsid w:val="00DC081C"/>
    <w:rsid w:val="00DC088E"/>
    <w:rsid w:val="00DC08C3"/>
    <w:rsid w:val="00DC0A0D"/>
    <w:rsid w:val="00DC0F9D"/>
    <w:rsid w:val="00DC100E"/>
    <w:rsid w:val="00DC1644"/>
    <w:rsid w:val="00DC16BB"/>
    <w:rsid w:val="00DC16E9"/>
    <w:rsid w:val="00DC1787"/>
    <w:rsid w:val="00DC1A04"/>
    <w:rsid w:val="00DC1C1D"/>
    <w:rsid w:val="00DC1FA3"/>
    <w:rsid w:val="00DC2A52"/>
    <w:rsid w:val="00DC2A99"/>
    <w:rsid w:val="00DC2C1C"/>
    <w:rsid w:val="00DC2D45"/>
    <w:rsid w:val="00DC2F13"/>
    <w:rsid w:val="00DC3002"/>
    <w:rsid w:val="00DC37BA"/>
    <w:rsid w:val="00DC38E0"/>
    <w:rsid w:val="00DC38F6"/>
    <w:rsid w:val="00DC3A69"/>
    <w:rsid w:val="00DC3CA5"/>
    <w:rsid w:val="00DC3E31"/>
    <w:rsid w:val="00DC3EB5"/>
    <w:rsid w:val="00DC3F49"/>
    <w:rsid w:val="00DC3FB0"/>
    <w:rsid w:val="00DC40C1"/>
    <w:rsid w:val="00DC4103"/>
    <w:rsid w:val="00DC4165"/>
    <w:rsid w:val="00DC48E0"/>
    <w:rsid w:val="00DC4A83"/>
    <w:rsid w:val="00DC4CF0"/>
    <w:rsid w:val="00DC4F9F"/>
    <w:rsid w:val="00DC5BA2"/>
    <w:rsid w:val="00DC5C67"/>
    <w:rsid w:val="00DC604E"/>
    <w:rsid w:val="00DC626E"/>
    <w:rsid w:val="00DC6710"/>
    <w:rsid w:val="00DC6A47"/>
    <w:rsid w:val="00DC6AEA"/>
    <w:rsid w:val="00DC6BBF"/>
    <w:rsid w:val="00DC6CC3"/>
    <w:rsid w:val="00DC6DB5"/>
    <w:rsid w:val="00DC6FBC"/>
    <w:rsid w:val="00DC7043"/>
    <w:rsid w:val="00DC76C5"/>
    <w:rsid w:val="00DC78ED"/>
    <w:rsid w:val="00DC79BA"/>
    <w:rsid w:val="00DC7B21"/>
    <w:rsid w:val="00DC7BF3"/>
    <w:rsid w:val="00DC7DED"/>
    <w:rsid w:val="00DC7F54"/>
    <w:rsid w:val="00DC7FB7"/>
    <w:rsid w:val="00DD0056"/>
    <w:rsid w:val="00DD009B"/>
    <w:rsid w:val="00DD03B6"/>
    <w:rsid w:val="00DD07B4"/>
    <w:rsid w:val="00DD0892"/>
    <w:rsid w:val="00DD09B7"/>
    <w:rsid w:val="00DD1093"/>
    <w:rsid w:val="00DD131A"/>
    <w:rsid w:val="00DD1456"/>
    <w:rsid w:val="00DD16CE"/>
    <w:rsid w:val="00DD17B6"/>
    <w:rsid w:val="00DD1AD9"/>
    <w:rsid w:val="00DD1AEC"/>
    <w:rsid w:val="00DD1D56"/>
    <w:rsid w:val="00DD1E0D"/>
    <w:rsid w:val="00DD2082"/>
    <w:rsid w:val="00DD2155"/>
    <w:rsid w:val="00DD270D"/>
    <w:rsid w:val="00DD2B52"/>
    <w:rsid w:val="00DD2FCA"/>
    <w:rsid w:val="00DD33B2"/>
    <w:rsid w:val="00DD37D5"/>
    <w:rsid w:val="00DD3915"/>
    <w:rsid w:val="00DD391D"/>
    <w:rsid w:val="00DD3B10"/>
    <w:rsid w:val="00DD3C40"/>
    <w:rsid w:val="00DD3DC6"/>
    <w:rsid w:val="00DD3E2D"/>
    <w:rsid w:val="00DD3EFE"/>
    <w:rsid w:val="00DD3F3D"/>
    <w:rsid w:val="00DD420C"/>
    <w:rsid w:val="00DD43EA"/>
    <w:rsid w:val="00DD44A9"/>
    <w:rsid w:val="00DD44E6"/>
    <w:rsid w:val="00DD463B"/>
    <w:rsid w:val="00DD4643"/>
    <w:rsid w:val="00DD46C1"/>
    <w:rsid w:val="00DD4B3E"/>
    <w:rsid w:val="00DD4D18"/>
    <w:rsid w:val="00DD4D8C"/>
    <w:rsid w:val="00DD500A"/>
    <w:rsid w:val="00DD5360"/>
    <w:rsid w:val="00DD5998"/>
    <w:rsid w:val="00DD5BC0"/>
    <w:rsid w:val="00DD62B2"/>
    <w:rsid w:val="00DD6722"/>
    <w:rsid w:val="00DD6843"/>
    <w:rsid w:val="00DD6876"/>
    <w:rsid w:val="00DD68C4"/>
    <w:rsid w:val="00DD6B9A"/>
    <w:rsid w:val="00DD6E0E"/>
    <w:rsid w:val="00DD7167"/>
    <w:rsid w:val="00DD7537"/>
    <w:rsid w:val="00DD75A6"/>
    <w:rsid w:val="00DD7801"/>
    <w:rsid w:val="00DD78B9"/>
    <w:rsid w:val="00DD7E2D"/>
    <w:rsid w:val="00DE0075"/>
    <w:rsid w:val="00DE00A8"/>
    <w:rsid w:val="00DE04FA"/>
    <w:rsid w:val="00DE0930"/>
    <w:rsid w:val="00DE0B3C"/>
    <w:rsid w:val="00DE0BFC"/>
    <w:rsid w:val="00DE0D36"/>
    <w:rsid w:val="00DE0D99"/>
    <w:rsid w:val="00DE0F28"/>
    <w:rsid w:val="00DE0FCE"/>
    <w:rsid w:val="00DE1528"/>
    <w:rsid w:val="00DE187F"/>
    <w:rsid w:val="00DE1DEA"/>
    <w:rsid w:val="00DE1FE5"/>
    <w:rsid w:val="00DE2260"/>
    <w:rsid w:val="00DE226E"/>
    <w:rsid w:val="00DE23DF"/>
    <w:rsid w:val="00DE259C"/>
    <w:rsid w:val="00DE275D"/>
    <w:rsid w:val="00DE291E"/>
    <w:rsid w:val="00DE2EB2"/>
    <w:rsid w:val="00DE2EE1"/>
    <w:rsid w:val="00DE301C"/>
    <w:rsid w:val="00DE37CD"/>
    <w:rsid w:val="00DE3C7A"/>
    <w:rsid w:val="00DE3D92"/>
    <w:rsid w:val="00DE3FC7"/>
    <w:rsid w:val="00DE418C"/>
    <w:rsid w:val="00DE45B4"/>
    <w:rsid w:val="00DE474F"/>
    <w:rsid w:val="00DE4AC2"/>
    <w:rsid w:val="00DE4C4C"/>
    <w:rsid w:val="00DE4D9F"/>
    <w:rsid w:val="00DE4F0E"/>
    <w:rsid w:val="00DE4F42"/>
    <w:rsid w:val="00DE513F"/>
    <w:rsid w:val="00DE51F7"/>
    <w:rsid w:val="00DE531E"/>
    <w:rsid w:val="00DE540A"/>
    <w:rsid w:val="00DE5447"/>
    <w:rsid w:val="00DE5883"/>
    <w:rsid w:val="00DE599A"/>
    <w:rsid w:val="00DE5AA1"/>
    <w:rsid w:val="00DE5B43"/>
    <w:rsid w:val="00DE5BC3"/>
    <w:rsid w:val="00DE5C12"/>
    <w:rsid w:val="00DE5CFF"/>
    <w:rsid w:val="00DE6174"/>
    <w:rsid w:val="00DE62DC"/>
    <w:rsid w:val="00DE6772"/>
    <w:rsid w:val="00DE6B9C"/>
    <w:rsid w:val="00DE6DB4"/>
    <w:rsid w:val="00DE6E32"/>
    <w:rsid w:val="00DE6ED4"/>
    <w:rsid w:val="00DE7424"/>
    <w:rsid w:val="00DE7509"/>
    <w:rsid w:val="00DE79BF"/>
    <w:rsid w:val="00DE7D59"/>
    <w:rsid w:val="00DF0043"/>
    <w:rsid w:val="00DF021C"/>
    <w:rsid w:val="00DF07BD"/>
    <w:rsid w:val="00DF0890"/>
    <w:rsid w:val="00DF0977"/>
    <w:rsid w:val="00DF09DA"/>
    <w:rsid w:val="00DF1410"/>
    <w:rsid w:val="00DF184F"/>
    <w:rsid w:val="00DF1962"/>
    <w:rsid w:val="00DF1977"/>
    <w:rsid w:val="00DF1DCC"/>
    <w:rsid w:val="00DF21B7"/>
    <w:rsid w:val="00DF28DF"/>
    <w:rsid w:val="00DF2D81"/>
    <w:rsid w:val="00DF2E5E"/>
    <w:rsid w:val="00DF2E76"/>
    <w:rsid w:val="00DF3302"/>
    <w:rsid w:val="00DF36FE"/>
    <w:rsid w:val="00DF37CE"/>
    <w:rsid w:val="00DF37CF"/>
    <w:rsid w:val="00DF39E4"/>
    <w:rsid w:val="00DF3EEF"/>
    <w:rsid w:val="00DF404F"/>
    <w:rsid w:val="00DF41AD"/>
    <w:rsid w:val="00DF43BE"/>
    <w:rsid w:val="00DF4493"/>
    <w:rsid w:val="00DF45A4"/>
    <w:rsid w:val="00DF472D"/>
    <w:rsid w:val="00DF4B35"/>
    <w:rsid w:val="00DF4D25"/>
    <w:rsid w:val="00DF4D84"/>
    <w:rsid w:val="00DF51DC"/>
    <w:rsid w:val="00DF5360"/>
    <w:rsid w:val="00DF57A8"/>
    <w:rsid w:val="00DF57B0"/>
    <w:rsid w:val="00DF5A13"/>
    <w:rsid w:val="00DF5B31"/>
    <w:rsid w:val="00DF5E0A"/>
    <w:rsid w:val="00DF60F9"/>
    <w:rsid w:val="00DF625B"/>
    <w:rsid w:val="00DF62DC"/>
    <w:rsid w:val="00DF6413"/>
    <w:rsid w:val="00DF64E4"/>
    <w:rsid w:val="00DF658A"/>
    <w:rsid w:val="00DF676F"/>
    <w:rsid w:val="00DF6812"/>
    <w:rsid w:val="00DF6AD4"/>
    <w:rsid w:val="00DF7386"/>
    <w:rsid w:val="00DF7725"/>
    <w:rsid w:val="00DF7795"/>
    <w:rsid w:val="00DF789A"/>
    <w:rsid w:val="00DF7A35"/>
    <w:rsid w:val="00DF7F81"/>
    <w:rsid w:val="00E00251"/>
    <w:rsid w:val="00E00255"/>
    <w:rsid w:val="00E0034A"/>
    <w:rsid w:val="00E0046B"/>
    <w:rsid w:val="00E005F3"/>
    <w:rsid w:val="00E006C6"/>
    <w:rsid w:val="00E00703"/>
    <w:rsid w:val="00E0077B"/>
    <w:rsid w:val="00E0083F"/>
    <w:rsid w:val="00E00853"/>
    <w:rsid w:val="00E00AD5"/>
    <w:rsid w:val="00E00E47"/>
    <w:rsid w:val="00E00F87"/>
    <w:rsid w:val="00E01056"/>
    <w:rsid w:val="00E011ED"/>
    <w:rsid w:val="00E013A6"/>
    <w:rsid w:val="00E014A0"/>
    <w:rsid w:val="00E01583"/>
    <w:rsid w:val="00E018DF"/>
    <w:rsid w:val="00E01902"/>
    <w:rsid w:val="00E01C7B"/>
    <w:rsid w:val="00E01C8E"/>
    <w:rsid w:val="00E01CB4"/>
    <w:rsid w:val="00E020B1"/>
    <w:rsid w:val="00E021A1"/>
    <w:rsid w:val="00E0228A"/>
    <w:rsid w:val="00E02598"/>
    <w:rsid w:val="00E025FF"/>
    <w:rsid w:val="00E02630"/>
    <w:rsid w:val="00E0277F"/>
    <w:rsid w:val="00E029D5"/>
    <w:rsid w:val="00E02DCD"/>
    <w:rsid w:val="00E02F09"/>
    <w:rsid w:val="00E031D3"/>
    <w:rsid w:val="00E032A9"/>
    <w:rsid w:val="00E033F9"/>
    <w:rsid w:val="00E03564"/>
    <w:rsid w:val="00E03670"/>
    <w:rsid w:val="00E0379D"/>
    <w:rsid w:val="00E03834"/>
    <w:rsid w:val="00E0420B"/>
    <w:rsid w:val="00E04478"/>
    <w:rsid w:val="00E045E1"/>
    <w:rsid w:val="00E04777"/>
    <w:rsid w:val="00E049B1"/>
    <w:rsid w:val="00E049FC"/>
    <w:rsid w:val="00E04AB0"/>
    <w:rsid w:val="00E05064"/>
    <w:rsid w:val="00E05283"/>
    <w:rsid w:val="00E053B4"/>
    <w:rsid w:val="00E055F6"/>
    <w:rsid w:val="00E0562D"/>
    <w:rsid w:val="00E0565B"/>
    <w:rsid w:val="00E0566F"/>
    <w:rsid w:val="00E0584F"/>
    <w:rsid w:val="00E05882"/>
    <w:rsid w:val="00E059D9"/>
    <w:rsid w:val="00E05AE4"/>
    <w:rsid w:val="00E06225"/>
    <w:rsid w:val="00E0646C"/>
    <w:rsid w:val="00E06604"/>
    <w:rsid w:val="00E06795"/>
    <w:rsid w:val="00E0690B"/>
    <w:rsid w:val="00E06985"/>
    <w:rsid w:val="00E06AF1"/>
    <w:rsid w:val="00E06B85"/>
    <w:rsid w:val="00E073C8"/>
    <w:rsid w:val="00E074E6"/>
    <w:rsid w:val="00E074FF"/>
    <w:rsid w:val="00E075A8"/>
    <w:rsid w:val="00E0785B"/>
    <w:rsid w:val="00E078F3"/>
    <w:rsid w:val="00E07948"/>
    <w:rsid w:val="00E079F6"/>
    <w:rsid w:val="00E07CAE"/>
    <w:rsid w:val="00E07D90"/>
    <w:rsid w:val="00E07EFA"/>
    <w:rsid w:val="00E07FC7"/>
    <w:rsid w:val="00E102EB"/>
    <w:rsid w:val="00E102FD"/>
    <w:rsid w:val="00E10378"/>
    <w:rsid w:val="00E10391"/>
    <w:rsid w:val="00E1054D"/>
    <w:rsid w:val="00E10931"/>
    <w:rsid w:val="00E10BE9"/>
    <w:rsid w:val="00E10E88"/>
    <w:rsid w:val="00E10FAD"/>
    <w:rsid w:val="00E110CD"/>
    <w:rsid w:val="00E112CA"/>
    <w:rsid w:val="00E11CAF"/>
    <w:rsid w:val="00E11E2F"/>
    <w:rsid w:val="00E12117"/>
    <w:rsid w:val="00E121DE"/>
    <w:rsid w:val="00E1238D"/>
    <w:rsid w:val="00E123EA"/>
    <w:rsid w:val="00E125B9"/>
    <w:rsid w:val="00E127C4"/>
    <w:rsid w:val="00E128A8"/>
    <w:rsid w:val="00E1299F"/>
    <w:rsid w:val="00E12A68"/>
    <w:rsid w:val="00E13392"/>
    <w:rsid w:val="00E13499"/>
    <w:rsid w:val="00E1351E"/>
    <w:rsid w:val="00E136B7"/>
    <w:rsid w:val="00E1374C"/>
    <w:rsid w:val="00E138CC"/>
    <w:rsid w:val="00E13B06"/>
    <w:rsid w:val="00E141F6"/>
    <w:rsid w:val="00E14A06"/>
    <w:rsid w:val="00E14B44"/>
    <w:rsid w:val="00E14C8B"/>
    <w:rsid w:val="00E14CD4"/>
    <w:rsid w:val="00E14CED"/>
    <w:rsid w:val="00E14ECB"/>
    <w:rsid w:val="00E150E4"/>
    <w:rsid w:val="00E151A5"/>
    <w:rsid w:val="00E153EA"/>
    <w:rsid w:val="00E1561B"/>
    <w:rsid w:val="00E15911"/>
    <w:rsid w:val="00E1592E"/>
    <w:rsid w:val="00E159DC"/>
    <w:rsid w:val="00E15A20"/>
    <w:rsid w:val="00E15D84"/>
    <w:rsid w:val="00E15E53"/>
    <w:rsid w:val="00E15E84"/>
    <w:rsid w:val="00E15F26"/>
    <w:rsid w:val="00E162C2"/>
    <w:rsid w:val="00E164F3"/>
    <w:rsid w:val="00E16504"/>
    <w:rsid w:val="00E16A72"/>
    <w:rsid w:val="00E16B49"/>
    <w:rsid w:val="00E16BB2"/>
    <w:rsid w:val="00E16F05"/>
    <w:rsid w:val="00E16F24"/>
    <w:rsid w:val="00E16FA5"/>
    <w:rsid w:val="00E17454"/>
    <w:rsid w:val="00E1745E"/>
    <w:rsid w:val="00E1771D"/>
    <w:rsid w:val="00E17A1D"/>
    <w:rsid w:val="00E17E2F"/>
    <w:rsid w:val="00E2008D"/>
    <w:rsid w:val="00E20B60"/>
    <w:rsid w:val="00E20CFC"/>
    <w:rsid w:val="00E21052"/>
    <w:rsid w:val="00E2112E"/>
    <w:rsid w:val="00E211A1"/>
    <w:rsid w:val="00E21229"/>
    <w:rsid w:val="00E21259"/>
    <w:rsid w:val="00E21284"/>
    <w:rsid w:val="00E214A3"/>
    <w:rsid w:val="00E2171A"/>
    <w:rsid w:val="00E2179F"/>
    <w:rsid w:val="00E21834"/>
    <w:rsid w:val="00E21926"/>
    <w:rsid w:val="00E21D65"/>
    <w:rsid w:val="00E21DD1"/>
    <w:rsid w:val="00E222ED"/>
    <w:rsid w:val="00E22F43"/>
    <w:rsid w:val="00E22F4B"/>
    <w:rsid w:val="00E23084"/>
    <w:rsid w:val="00E23481"/>
    <w:rsid w:val="00E23D8D"/>
    <w:rsid w:val="00E24102"/>
    <w:rsid w:val="00E2419E"/>
    <w:rsid w:val="00E24987"/>
    <w:rsid w:val="00E24CC8"/>
    <w:rsid w:val="00E25119"/>
    <w:rsid w:val="00E25193"/>
    <w:rsid w:val="00E251F9"/>
    <w:rsid w:val="00E25629"/>
    <w:rsid w:val="00E25898"/>
    <w:rsid w:val="00E26036"/>
    <w:rsid w:val="00E26381"/>
    <w:rsid w:val="00E263C3"/>
    <w:rsid w:val="00E26C01"/>
    <w:rsid w:val="00E27014"/>
    <w:rsid w:val="00E2717A"/>
    <w:rsid w:val="00E27243"/>
    <w:rsid w:val="00E27482"/>
    <w:rsid w:val="00E277B8"/>
    <w:rsid w:val="00E277F0"/>
    <w:rsid w:val="00E27CA9"/>
    <w:rsid w:val="00E27D40"/>
    <w:rsid w:val="00E3012E"/>
    <w:rsid w:val="00E3026B"/>
    <w:rsid w:val="00E302F8"/>
    <w:rsid w:val="00E3030C"/>
    <w:rsid w:val="00E3048F"/>
    <w:rsid w:val="00E30615"/>
    <w:rsid w:val="00E3079A"/>
    <w:rsid w:val="00E30989"/>
    <w:rsid w:val="00E30AE0"/>
    <w:rsid w:val="00E30B3F"/>
    <w:rsid w:val="00E30E4B"/>
    <w:rsid w:val="00E30FEA"/>
    <w:rsid w:val="00E31019"/>
    <w:rsid w:val="00E31197"/>
    <w:rsid w:val="00E311A4"/>
    <w:rsid w:val="00E312A4"/>
    <w:rsid w:val="00E3134C"/>
    <w:rsid w:val="00E31A49"/>
    <w:rsid w:val="00E31CC2"/>
    <w:rsid w:val="00E31E4E"/>
    <w:rsid w:val="00E31E77"/>
    <w:rsid w:val="00E31F14"/>
    <w:rsid w:val="00E31F1D"/>
    <w:rsid w:val="00E32028"/>
    <w:rsid w:val="00E32039"/>
    <w:rsid w:val="00E32051"/>
    <w:rsid w:val="00E32156"/>
    <w:rsid w:val="00E32163"/>
    <w:rsid w:val="00E322EA"/>
    <w:rsid w:val="00E32520"/>
    <w:rsid w:val="00E327D5"/>
    <w:rsid w:val="00E3293E"/>
    <w:rsid w:val="00E32B28"/>
    <w:rsid w:val="00E32B70"/>
    <w:rsid w:val="00E32C50"/>
    <w:rsid w:val="00E32CA3"/>
    <w:rsid w:val="00E32FEA"/>
    <w:rsid w:val="00E330A3"/>
    <w:rsid w:val="00E33307"/>
    <w:rsid w:val="00E335B4"/>
    <w:rsid w:val="00E33A64"/>
    <w:rsid w:val="00E33B36"/>
    <w:rsid w:val="00E33F95"/>
    <w:rsid w:val="00E3419A"/>
    <w:rsid w:val="00E344AA"/>
    <w:rsid w:val="00E34981"/>
    <w:rsid w:val="00E34DDA"/>
    <w:rsid w:val="00E35364"/>
    <w:rsid w:val="00E3553E"/>
    <w:rsid w:val="00E355ED"/>
    <w:rsid w:val="00E356AC"/>
    <w:rsid w:val="00E35B4E"/>
    <w:rsid w:val="00E35D6C"/>
    <w:rsid w:val="00E365AA"/>
    <w:rsid w:val="00E369BB"/>
    <w:rsid w:val="00E36C16"/>
    <w:rsid w:val="00E3712B"/>
    <w:rsid w:val="00E3733E"/>
    <w:rsid w:val="00E3757F"/>
    <w:rsid w:val="00E37A6F"/>
    <w:rsid w:val="00E37AAF"/>
    <w:rsid w:val="00E37D74"/>
    <w:rsid w:val="00E4013F"/>
    <w:rsid w:val="00E40169"/>
    <w:rsid w:val="00E4024B"/>
    <w:rsid w:val="00E40455"/>
    <w:rsid w:val="00E405C8"/>
    <w:rsid w:val="00E4099D"/>
    <w:rsid w:val="00E40A97"/>
    <w:rsid w:val="00E40AA8"/>
    <w:rsid w:val="00E40B25"/>
    <w:rsid w:val="00E41157"/>
    <w:rsid w:val="00E411E5"/>
    <w:rsid w:val="00E4122E"/>
    <w:rsid w:val="00E412AE"/>
    <w:rsid w:val="00E412C3"/>
    <w:rsid w:val="00E414BC"/>
    <w:rsid w:val="00E418D0"/>
    <w:rsid w:val="00E41901"/>
    <w:rsid w:val="00E41B5B"/>
    <w:rsid w:val="00E41E5C"/>
    <w:rsid w:val="00E41F2C"/>
    <w:rsid w:val="00E42170"/>
    <w:rsid w:val="00E4243B"/>
    <w:rsid w:val="00E427DB"/>
    <w:rsid w:val="00E4280F"/>
    <w:rsid w:val="00E42DE0"/>
    <w:rsid w:val="00E43058"/>
    <w:rsid w:val="00E433E1"/>
    <w:rsid w:val="00E43418"/>
    <w:rsid w:val="00E434D9"/>
    <w:rsid w:val="00E43886"/>
    <w:rsid w:val="00E43939"/>
    <w:rsid w:val="00E43B06"/>
    <w:rsid w:val="00E43E35"/>
    <w:rsid w:val="00E43EE8"/>
    <w:rsid w:val="00E43F7A"/>
    <w:rsid w:val="00E440C9"/>
    <w:rsid w:val="00E440EE"/>
    <w:rsid w:val="00E44370"/>
    <w:rsid w:val="00E44437"/>
    <w:rsid w:val="00E44529"/>
    <w:rsid w:val="00E44805"/>
    <w:rsid w:val="00E449E0"/>
    <w:rsid w:val="00E44A2A"/>
    <w:rsid w:val="00E44ADE"/>
    <w:rsid w:val="00E44BFC"/>
    <w:rsid w:val="00E44D8E"/>
    <w:rsid w:val="00E4518D"/>
    <w:rsid w:val="00E45448"/>
    <w:rsid w:val="00E454CA"/>
    <w:rsid w:val="00E45740"/>
    <w:rsid w:val="00E45A71"/>
    <w:rsid w:val="00E45AE6"/>
    <w:rsid w:val="00E45B04"/>
    <w:rsid w:val="00E45E1F"/>
    <w:rsid w:val="00E45FFE"/>
    <w:rsid w:val="00E46154"/>
    <w:rsid w:val="00E4636F"/>
    <w:rsid w:val="00E463A5"/>
    <w:rsid w:val="00E46572"/>
    <w:rsid w:val="00E46931"/>
    <w:rsid w:val="00E4753E"/>
    <w:rsid w:val="00E478A3"/>
    <w:rsid w:val="00E479AA"/>
    <w:rsid w:val="00E47D88"/>
    <w:rsid w:val="00E501F5"/>
    <w:rsid w:val="00E5079F"/>
    <w:rsid w:val="00E5081C"/>
    <w:rsid w:val="00E50FB3"/>
    <w:rsid w:val="00E511B5"/>
    <w:rsid w:val="00E512DC"/>
    <w:rsid w:val="00E51475"/>
    <w:rsid w:val="00E5150A"/>
    <w:rsid w:val="00E517C7"/>
    <w:rsid w:val="00E51853"/>
    <w:rsid w:val="00E51AC8"/>
    <w:rsid w:val="00E51C05"/>
    <w:rsid w:val="00E51D4D"/>
    <w:rsid w:val="00E51EE0"/>
    <w:rsid w:val="00E522FD"/>
    <w:rsid w:val="00E523F3"/>
    <w:rsid w:val="00E52829"/>
    <w:rsid w:val="00E52A5B"/>
    <w:rsid w:val="00E52CDE"/>
    <w:rsid w:val="00E52D00"/>
    <w:rsid w:val="00E52ECA"/>
    <w:rsid w:val="00E52F3C"/>
    <w:rsid w:val="00E5312E"/>
    <w:rsid w:val="00E5331C"/>
    <w:rsid w:val="00E5335B"/>
    <w:rsid w:val="00E53720"/>
    <w:rsid w:val="00E538A7"/>
    <w:rsid w:val="00E538F6"/>
    <w:rsid w:val="00E53A7D"/>
    <w:rsid w:val="00E53A98"/>
    <w:rsid w:val="00E53C03"/>
    <w:rsid w:val="00E54134"/>
    <w:rsid w:val="00E5429F"/>
    <w:rsid w:val="00E54398"/>
    <w:rsid w:val="00E543A2"/>
    <w:rsid w:val="00E543BE"/>
    <w:rsid w:val="00E5450A"/>
    <w:rsid w:val="00E54551"/>
    <w:rsid w:val="00E54AB3"/>
    <w:rsid w:val="00E54C6E"/>
    <w:rsid w:val="00E54D17"/>
    <w:rsid w:val="00E54E04"/>
    <w:rsid w:val="00E54E53"/>
    <w:rsid w:val="00E54FF3"/>
    <w:rsid w:val="00E556B7"/>
    <w:rsid w:val="00E5573A"/>
    <w:rsid w:val="00E5587C"/>
    <w:rsid w:val="00E55A56"/>
    <w:rsid w:val="00E55B02"/>
    <w:rsid w:val="00E55B50"/>
    <w:rsid w:val="00E5625A"/>
    <w:rsid w:val="00E564F4"/>
    <w:rsid w:val="00E56510"/>
    <w:rsid w:val="00E566D2"/>
    <w:rsid w:val="00E56C55"/>
    <w:rsid w:val="00E576E6"/>
    <w:rsid w:val="00E57B7C"/>
    <w:rsid w:val="00E57EA5"/>
    <w:rsid w:val="00E57EE3"/>
    <w:rsid w:val="00E57FB3"/>
    <w:rsid w:val="00E600E7"/>
    <w:rsid w:val="00E60589"/>
    <w:rsid w:val="00E60601"/>
    <w:rsid w:val="00E60615"/>
    <w:rsid w:val="00E6089E"/>
    <w:rsid w:val="00E60B74"/>
    <w:rsid w:val="00E60E32"/>
    <w:rsid w:val="00E610DF"/>
    <w:rsid w:val="00E611BA"/>
    <w:rsid w:val="00E61241"/>
    <w:rsid w:val="00E613EA"/>
    <w:rsid w:val="00E616B5"/>
    <w:rsid w:val="00E617C2"/>
    <w:rsid w:val="00E617EE"/>
    <w:rsid w:val="00E61AFD"/>
    <w:rsid w:val="00E61CB1"/>
    <w:rsid w:val="00E61EB8"/>
    <w:rsid w:val="00E62095"/>
    <w:rsid w:val="00E621B7"/>
    <w:rsid w:val="00E626DA"/>
    <w:rsid w:val="00E62A10"/>
    <w:rsid w:val="00E63374"/>
    <w:rsid w:val="00E63508"/>
    <w:rsid w:val="00E63B75"/>
    <w:rsid w:val="00E641E7"/>
    <w:rsid w:val="00E64731"/>
    <w:rsid w:val="00E647B0"/>
    <w:rsid w:val="00E64B3C"/>
    <w:rsid w:val="00E650E7"/>
    <w:rsid w:val="00E652EF"/>
    <w:rsid w:val="00E6531E"/>
    <w:rsid w:val="00E6537D"/>
    <w:rsid w:val="00E656D5"/>
    <w:rsid w:val="00E6593C"/>
    <w:rsid w:val="00E659DD"/>
    <w:rsid w:val="00E65B65"/>
    <w:rsid w:val="00E667F1"/>
    <w:rsid w:val="00E667FD"/>
    <w:rsid w:val="00E66913"/>
    <w:rsid w:val="00E66A39"/>
    <w:rsid w:val="00E66A85"/>
    <w:rsid w:val="00E66ABF"/>
    <w:rsid w:val="00E670A2"/>
    <w:rsid w:val="00E67155"/>
    <w:rsid w:val="00E67351"/>
    <w:rsid w:val="00E6759C"/>
    <w:rsid w:val="00E67638"/>
    <w:rsid w:val="00E6784C"/>
    <w:rsid w:val="00E67962"/>
    <w:rsid w:val="00E67A41"/>
    <w:rsid w:val="00E67BCC"/>
    <w:rsid w:val="00E67EB7"/>
    <w:rsid w:val="00E702D8"/>
    <w:rsid w:val="00E70355"/>
    <w:rsid w:val="00E70820"/>
    <w:rsid w:val="00E70CBB"/>
    <w:rsid w:val="00E70E7F"/>
    <w:rsid w:val="00E70FF6"/>
    <w:rsid w:val="00E71031"/>
    <w:rsid w:val="00E710D7"/>
    <w:rsid w:val="00E71259"/>
    <w:rsid w:val="00E712FC"/>
    <w:rsid w:val="00E714D1"/>
    <w:rsid w:val="00E7174E"/>
    <w:rsid w:val="00E718D3"/>
    <w:rsid w:val="00E7202B"/>
    <w:rsid w:val="00E722AA"/>
    <w:rsid w:val="00E724CE"/>
    <w:rsid w:val="00E72759"/>
    <w:rsid w:val="00E728AE"/>
    <w:rsid w:val="00E72ABB"/>
    <w:rsid w:val="00E72ED8"/>
    <w:rsid w:val="00E72F49"/>
    <w:rsid w:val="00E73739"/>
    <w:rsid w:val="00E738CB"/>
    <w:rsid w:val="00E73931"/>
    <w:rsid w:val="00E73A41"/>
    <w:rsid w:val="00E73B4E"/>
    <w:rsid w:val="00E73BC5"/>
    <w:rsid w:val="00E743B3"/>
    <w:rsid w:val="00E74467"/>
    <w:rsid w:val="00E744F1"/>
    <w:rsid w:val="00E7498C"/>
    <w:rsid w:val="00E74ADD"/>
    <w:rsid w:val="00E74D19"/>
    <w:rsid w:val="00E75066"/>
    <w:rsid w:val="00E750A9"/>
    <w:rsid w:val="00E755BC"/>
    <w:rsid w:val="00E75911"/>
    <w:rsid w:val="00E75AC6"/>
    <w:rsid w:val="00E75CE2"/>
    <w:rsid w:val="00E75EFF"/>
    <w:rsid w:val="00E760D2"/>
    <w:rsid w:val="00E761F3"/>
    <w:rsid w:val="00E76232"/>
    <w:rsid w:val="00E762B3"/>
    <w:rsid w:val="00E7668E"/>
    <w:rsid w:val="00E767CE"/>
    <w:rsid w:val="00E76AB3"/>
    <w:rsid w:val="00E77075"/>
    <w:rsid w:val="00E77524"/>
    <w:rsid w:val="00E77610"/>
    <w:rsid w:val="00E77A6B"/>
    <w:rsid w:val="00E77BE0"/>
    <w:rsid w:val="00E77E9A"/>
    <w:rsid w:val="00E77F0B"/>
    <w:rsid w:val="00E80361"/>
    <w:rsid w:val="00E80CE5"/>
    <w:rsid w:val="00E81041"/>
    <w:rsid w:val="00E816C0"/>
    <w:rsid w:val="00E8186A"/>
    <w:rsid w:val="00E81958"/>
    <w:rsid w:val="00E81B7A"/>
    <w:rsid w:val="00E81F9D"/>
    <w:rsid w:val="00E82080"/>
    <w:rsid w:val="00E82B64"/>
    <w:rsid w:val="00E82C63"/>
    <w:rsid w:val="00E82DE9"/>
    <w:rsid w:val="00E82DF2"/>
    <w:rsid w:val="00E82E28"/>
    <w:rsid w:val="00E82EBB"/>
    <w:rsid w:val="00E8327C"/>
    <w:rsid w:val="00E832A6"/>
    <w:rsid w:val="00E83456"/>
    <w:rsid w:val="00E83E7B"/>
    <w:rsid w:val="00E83F53"/>
    <w:rsid w:val="00E83FEC"/>
    <w:rsid w:val="00E8404C"/>
    <w:rsid w:val="00E841A8"/>
    <w:rsid w:val="00E84203"/>
    <w:rsid w:val="00E8444A"/>
    <w:rsid w:val="00E848F5"/>
    <w:rsid w:val="00E84B28"/>
    <w:rsid w:val="00E8517E"/>
    <w:rsid w:val="00E853B0"/>
    <w:rsid w:val="00E859F8"/>
    <w:rsid w:val="00E85AC8"/>
    <w:rsid w:val="00E85EEA"/>
    <w:rsid w:val="00E85F4F"/>
    <w:rsid w:val="00E860CC"/>
    <w:rsid w:val="00E861AF"/>
    <w:rsid w:val="00E86216"/>
    <w:rsid w:val="00E8621F"/>
    <w:rsid w:val="00E86301"/>
    <w:rsid w:val="00E86392"/>
    <w:rsid w:val="00E864CB"/>
    <w:rsid w:val="00E864E9"/>
    <w:rsid w:val="00E86840"/>
    <w:rsid w:val="00E869B2"/>
    <w:rsid w:val="00E869D7"/>
    <w:rsid w:val="00E86BBA"/>
    <w:rsid w:val="00E86D21"/>
    <w:rsid w:val="00E86E86"/>
    <w:rsid w:val="00E87077"/>
    <w:rsid w:val="00E874F6"/>
    <w:rsid w:val="00E87870"/>
    <w:rsid w:val="00E879D8"/>
    <w:rsid w:val="00E87BB6"/>
    <w:rsid w:val="00E87DF3"/>
    <w:rsid w:val="00E9008F"/>
    <w:rsid w:val="00E90243"/>
    <w:rsid w:val="00E90980"/>
    <w:rsid w:val="00E90A17"/>
    <w:rsid w:val="00E90DB2"/>
    <w:rsid w:val="00E9137C"/>
    <w:rsid w:val="00E91866"/>
    <w:rsid w:val="00E91BE7"/>
    <w:rsid w:val="00E91C08"/>
    <w:rsid w:val="00E91F3C"/>
    <w:rsid w:val="00E9229B"/>
    <w:rsid w:val="00E92448"/>
    <w:rsid w:val="00E924C2"/>
    <w:rsid w:val="00E92506"/>
    <w:rsid w:val="00E92B90"/>
    <w:rsid w:val="00E930C4"/>
    <w:rsid w:val="00E93149"/>
    <w:rsid w:val="00E933A7"/>
    <w:rsid w:val="00E934A0"/>
    <w:rsid w:val="00E936A9"/>
    <w:rsid w:val="00E93860"/>
    <w:rsid w:val="00E93A1A"/>
    <w:rsid w:val="00E93B12"/>
    <w:rsid w:val="00E93B9F"/>
    <w:rsid w:val="00E943B6"/>
    <w:rsid w:val="00E944D6"/>
    <w:rsid w:val="00E945F7"/>
    <w:rsid w:val="00E94760"/>
    <w:rsid w:val="00E9481C"/>
    <w:rsid w:val="00E94827"/>
    <w:rsid w:val="00E94FA6"/>
    <w:rsid w:val="00E9515E"/>
    <w:rsid w:val="00E953CF"/>
    <w:rsid w:val="00E95634"/>
    <w:rsid w:val="00E9567A"/>
    <w:rsid w:val="00E95948"/>
    <w:rsid w:val="00E959EC"/>
    <w:rsid w:val="00E95C4E"/>
    <w:rsid w:val="00E95EEE"/>
    <w:rsid w:val="00E960B5"/>
    <w:rsid w:val="00E96302"/>
    <w:rsid w:val="00E963CD"/>
    <w:rsid w:val="00E9657A"/>
    <w:rsid w:val="00E965D1"/>
    <w:rsid w:val="00E9682C"/>
    <w:rsid w:val="00E96850"/>
    <w:rsid w:val="00E96CB6"/>
    <w:rsid w:val="00E96FFB"/>
    <w:rsid w:val="00E970FA"/>
    <w:rsid w:val="00E972A1"/>
    <w:rsid w:val="00E973EB"/>
    <w:rsid w:val="00E9749C"/>
    <w:rsid w:val="00E975BA"/>
    <w:rsid w:val="00E978AE"/>
    <w:rsid w:val="00E97915"/>
    <w:rsid w:val="00E97C88"/>
    <w:rsid w:val="00E97D25"/>
    <w:rsid w:val="00E97DD0"/>
    <w:rsid w:val="00E97F99"/>
    <w:rsid w:val="00EA03E3"/>
    <w:rsid w:val="00EA0604"/>
    <w:rsid w:val="00EA08E3"/>
    <w:rsid w:val="00EA0B7C"/>
    <w:rsid w:val="00EA0C29"/>
    <w:rsid w:val="00EA0DD4"/>
    <w:rsid w:val="00EA0E5B"/>
    <w:rsid w:val="00EA0F0C"/>
    <w:rsid w:val="00EA101D"/>
    <w:rsid w:val="00EA13BF"/>
    <w:rsid w:val="00EA1443"/>
    <w:rsid w:val="00EA14FC"/>
    <w:rsid w:val="00EA1774"/>
    <w:rsid w:val="00EA1FFC"/>
    <w:rsid w:val="00EA2023"/>
    <w:rsid w:val="00EA2224"/>
    <w:rsid w:val="00EA235C"/>
    <w:rsid w:val="00EA2459"/>
    <w:rsid w:val="00EA247F"/>
    <w:rsid w:val="00EA251D"/>
    <w:rsid w:val="00EA25B8"/>
    <w:rsid w:val="00EA28D8"/>
    <w:rsid w:val="00EA2A3E"/>
    <w:rsid w:val="00EA2A7B"/>
    <w:rsid w:val="00EA2D44"/>
    <w:rsid w:val="00EA2E4B"/>
    <w:rsid w:val="00EA303A"/>
    <w:rsid w:val="00EA3101"/>
    <w:rsid w:val="00EA312B"/>
    <w:rsid w:val="00EA313B"/>
    <w:rsid w:val="00EA326B"/>
    <w:rsid w:val="00EA3355"/>
    <w:rsid w:val="00EA3613"/>
    <w:rsid w:val="00EA3820"/>
    <w:rsid w:val="00EA389E"/>
    <w:rsid w:val="00EA3975"/>
    <w:rsid w:val="00EA3978"/>
    <w:rsid w:val="00EA39B6"/>
    <w:rsid w:val="00EA3FDD"/>
    <w:rsid w:val="00EA4077"/>
    <w:rsid w:val="00EA410A"/>
    <w:rsid w:val="00EA4605"/>
    <w:rsid w:val="00EA49FE"/>
    <w:rsid w:val="00EA4A1A"/>
    <w:rsid w:val="00EA4A70"/>
    <w:rsid w:val="00EA4B08"/>
    <w:rsid w:val="00EA4B2F"/>
    <w:rsid w:val="00EA4DFF"/>
    <w:rsid w:val="00EA4E33"/>
    <w:rsid w:val="00EA5022"/>
    <w:rsid w:val="00EA5157"/>
    <w:rsid w:val="00EA51A3"/>
    <w:rsid w:val="00EA572B"/>
    <w:rsid w:val="00EA58BB"/>
    <w:rsid w:val="00EA5930"/>
    <w:rsid w:val="00EA5B2C"/>
    <w:rsid w:val="00EA5EA9"/>
    <w:rsid w:val="00EA6109"/>
    <w:rsid w:val="00EA645C"/>
    <w:rsid w:val="00EA65FC"/>
    <w:rsid w:val="00EA67A5"/>
    <w:rsid w:val="00EA6B01"/>
    <w:rsid w:val="00EA6BB9"/>
    <w:rsid w:val="00EA6D13"/>
    <w:rsid w:val="00EA6E39"/>
    <w:rsid w:val="00EA71ED"/>
    <w:rsid w:val="00EA7427"/>
    <w:rsid w:val="00EA7451"/>
    <w:rsid w:val="00EA74F4"/>
    <w:rsid w:val="00EA7747"/>
    <w:rsid w:val="00EA78EF"/>
    <w:rsid w:val="00EA7991"/>
    <w:rsid w:val="00EA79BD"/>
    <w:rsid w:val="00EA7C30"/>
    <w:rsid w:val="00EB002A"/>
    <w:rsid w:val="00EB0077"/>
    <w:rsid w:val="00EB0296"/>
    <w:rsid w:val="00EB02AC"/>
    <w:rsid w:val="00EB05CF"/>
    <w:rsid w:val="00EB06C6"/>
    <w:rsid w:val="00EB0CB6"/>
    <w:rsid w:val="00EB0D61"/>
    <w:rsid w:val="00EB0DC1"/>
    <w:rsid w:val="00EB0FF3"/>
    <w:rsid w:val="00EB1037"/>
    <w:rsid w:val="00EB15DC"/>
    <w:rsid w:val="00EB16DB"/>
    <w:rsid w:val="00EB16FC"/>
    <w:rsid w:val="00EB1B18"/>
    <w:rsid w:val="00EB1C2B"/>
    <w:rsid w:val="00EB1D1C"/>
    <w:rsid w:val="00EB1E42"/>
    <w:rsid w:val="00EB2055"/>
    <w:rsid w:val="00EB2719"/>
    <w:rsid w:val="00EB2C5D"/>
    <w:rsid w:val="00EB2E78"/>
    <w:rsid w:val="00EB31D7"/>
    <w:rsid w:val="00EB3292"/>
    <w:rsid w:val="00EB32E5"/>
    <w:rsid w:val="00EB3432"/>
    <w:rsid w:val="00EB3550"/>
    <w:rsid w:val="00EB35B4"/>
    <w:rsid w:val="00EB36E3"/>
    <w:rsid w:val="00EB36FB"/>
    <w:rsid w:val="00EB37BF"/>
    <w:rsid w:val="00EB38F3"/>
    <w:rsid w:val="00EB397D"/>
    <w:rsid w:val="00EB3A72"/>
    <w:rsid w:val="00EB3B13"/>
    <w:rsid w:val="00EB3C2A"/>
    <w:rsid w:val="00EB3FFF"/>
    <w:rsid w:val="00EB428C"/>
    <w:rsid w:val="00EB44F6"/>
    <w:rsid w:val="00EB45EC"/>
    <w:rsid w:val="00EB46CD"/>
    <w:rsid w:val="00EB47AA"/>
    <w:rsid w:val="00EB47B1"/>
    <w:rsid w:val="00EB488A"/>
    <w:rsid w:val="00EB4AB9"/>
    <w:rsid w:val="00EB4C1D"/>
    <w:rsid w:val="00EB4E4C"/>
    <w:rsid w:val="00EB5227"/>
    <w:rsid w:val="00EB5285"/>
    <w:rsid w:val="00EB5334"/>
    <w:rsid w:val="00EB53F2"/>
    <w:rsid w:val="00EB5415"/>
    <w:rsid w:val="00EB562A"/>
    <w:rsid w:val="00EB5690"/>
    <w:rsid w:val="00EB5883"/>
    <w:rsid w:val="00EB58C9"/>
    <w:rsid w:val="00EB5B42"/>
    <w:rsid w:val="00EB5DA1"/>
    <w:rsid w:val="00EB6945"/>
    <w:rsid w:val="00EB6D97"/>
    <w:rsid w:val="00EB6DDB"/>
    <w:rsid w:val="00EB724F"/>
    <w:rsid w:val="00EB7523"/>
    <w:rsid w:val="00EB77BE"/>
    <w:rsid w:val="00EB7A3A"/>
    <w:rsid w:val="00EB7A7D"/>
    <w:rsid w:val="00EB7CA5"/>
    <w:rsid w:val="00EC0575"/>
    <w:rsid w:val="00EC0625"/>
    <w:rsid w:val="00EC0730"/>
    <w:rsid w:val="00EC074B"/>
    <w:rsid w:val="00EC09D5"/>
    <w:rsid w:val="00EC09FE"/>
    <w:rsid w:val="00EC0AC7"/>
    <w:rsid w:val="00EC0CAE"/>
    <w:rsid w:val="00EC10C8"/>
    <w:rsid w:val="00EC1294"/>
    <w:rsid w:val="00EC1753"/>
    <w:rsid w:val="00EC17EA"/>
    <w:rsid w:val="00EC17F7"/>
    <w:rsid w:val="00EC1AC0"/>
    <w:rsid w:val="00EC1B6C"/>
    <w:rsid w:val="00EC2528"/>
    <w:rsid w:val="00EC25DC"/>
    <w:rsid w:val="00EC2BF4"/>
    <w:rsid w:val="00EC3023"/>
    <w:rsid w:val="00EC3140"/>
    <w:rsid w:val="00EC3187"/>
    <w:rsid w:val="00EC31D3"/>
    <w:rsid w:val="00EC321A"/>
    <w:rsid w:val="00EC34EF"/>
    <w:rsid w:val="00EC3554"/>
    <w:rsid w:val="00EC3D5E"/>
    <w:rsid w:val="00EC4178"/>
    <w:rsid w:val="00EC4202"/>
    <w:rsid w:val="00EC427C"/>
    <w:rsid w:val="00EC436B"/>
    <w:rsid w:val="00EC447A"/>
    <w:rsid w:val="00EC46C4"/>
    <w:rsid w:val="00EC47C8"/>
    <w:rsid w:val="00EC4BDA"/>
    <w:rsid w:val="00EC4F67"/>
    <w:rsid w:val="00EC5385"/>
    <w:rsid w:val="00EC56D7"/>
    <w:rsid w:val="00EC5B08"/>
    <w:rsid w:val="00EC5DD6"/>
    <w:rsid w:val="00EC5F31"/>
    <w:rsid w:val="00EC687D"/>
    <w:rsid w:val="00EC690E"/>
    <w:rsid w:val="00EC69B6"/>
    <w:rsid w:val="00EC6B30"/>
    <w:rsid w:val="00EC6B5B"/>
    <w:rsid w:val="00EC6D14"/>
    <w:rsid w:val="00EC7096"/>
    <w:rsid w:val="00EC70C7"/>
    <w:rsid w:val="00EC72F3"/>
    <w:rsid w:val="00EC7670"/>
    <w:rsid w:val="00EC770C"/>
    <w:rsid w:val="00EC77AF"/>
    <w:rsid w:val="00EC7B4A"/>
    <w:rsid w:val="00EC7CE5"/>
    <w:rsid w:val="00EC7D1A"/>
    <w:rsid w:val="00EC7F94"/>
    <w:rsid w:val="00ED0945"/>
    <w:rsid w:val="00ED0ADA"/>
    <w:rsid w:val="00ED0CED"/>
    <w:rsid w:val="00ED122E"/>
    <w:rsid w:val="00ED14CE"/>
    <w:rsid w:val="00ED17D2"/>
    <w:rsid w:val="00ED1BBE"/>
    <w:rsid w:val="00ED1BDB"/>
    <w:rsid w:val="00ED1DD2"/>
    <w:rsid w:val="00ED203E"/>
    <w:rsid w:val="00ED2180"/>
    <w:rsid w:val="00ED22FA"/>
    <w:rsid w:val="00ED2F8B"/>
    <w:rsid w:val="00ED3092"/>
    <w:rsid w:val="00ED314A"/>
    <w:rsid w:val="00ED3435"/>
    <w:rsid w:val="00ED349C"/>
    <w:rsid w:val="00ED34C5"/>
    <w:rsid w:val="00ED35CC"/>
    <w:rsid w:val="00ED37B4"/>
    <w:rsid w:val="00ED3819"/>
    <w:rsid w:val="00ED392F"/>
    <w:rsid w:val="00ED3982"/>
    <w:rsid w:val="00ED3B0B"/>
    <w:rsid w:val="00ED3B59"/>
    <w:rsid w:val="00ED4195"/>
    <w:rsid w:val="00ED4268"/>
    <w:rsid w:val="00ED42ED"/>
    <w:rsid w:val="00ED48F1"/>
    <w:rsid w:val="00ED4A4C"/>
    <w:rsid w:val="00ED4B5B"/>
    <w:rsid w:val="00ED5009"/>
    <w:rsid w:val="00ED51D6"/>
    <w:rsid w:val="00ED53E1"/>
    <w:rsid w:val="00ED5A6F"/>
    <w:rsid w:val="00ED5C32"/>
    <w:rsid w:val="00ED5E9C"/>
    <w:rsid w:val="00ED5F83"/>
    <w:rsid w:val="00ED5F8C"/>
    <w:rsid w:val="00ED618A"/>
    <w:rsid w:val="00ED646F"/>
    <w:rsid w:val="00ED660F"/>
    <w:rsid w:val="00ED66A3"/>
    <w:rsid w:val="00ED6800"/>
    <w:rsid w:val="00ED6931"/>
    <w:rsid w:val="00ED69AB"/>
    <w:rsid w:val="00ED6A62"/>
    <w:rsid w:val="00ED6B29"/>
    <w:rsid w:val="00ED6D08"/>
    <w:rsid w:val="00ED6DAD"/>
    <w:rsid w:val="00ED70A6"/>
    <w:rsid w:val="00ED7159"/>
    <w:rsid w:val="00ED72A5"/>
    <w:rsid w:val="00ED7583"/>
    <w:rsid w:val="00ED760A"/>
    <w:rsid w:val="00ED763D"/>
    <w:rsid w:val="00ED76F8"/>
    <w:rsid w:val="00ED796D"/>
    <w:rsid w:val="00ED7EBA"/>
    <w:rsid w:val="00ED7F95"/>
    <w:rsid w:val="00EE007A"/>
    <w:rsid w:val="00EE0740"/>
    <w:rsid w:val="00EE0C7C"/>
    <w:rsid w:val="00EE107C"/>
    <w:rsid w:val="00EE1190"/>
    <w:rsid w:val="00EE122E"/>
    <w:rsid w:val="00EE15D7"/>
    <w:rsid w:val="00EE1A56"/>
    <w:rsid w:val="00EE1B42"/>
    <w:rsid w:val="00EE1D01"/>
    <w:rsid w:val="00EE1E04"/>
    <w:rsid w:val="00EE1E39"/>
    <w:rsid w:val="00EE1F9C"/>
    <w:rsid w:val="00EE1FF8"/>
    <w:rsid w:val="00EE23B3"/>
    <w:rsid w:val="00EE2476"/>
    <w:rsid w:val="00EE286C"/>
    <w:rsid w:val="00EE28BE"/>
    <w:rsid w:val="00EE28D9"/>
    <w:rsid w:val="00EE2981"/>
    <w:rsid w:val="00EE2A88"/>
    <w:rsid w:val="00EE2AA8"/>
    <w:rsid w:val="00EE2FBB"/>
    <w:rsid w:val="00EE2FFE"/>
    <w:rsid w:val="00EE3834"/>
    <w:rsid w:val="00EE3A8E"/>
    <w:rsid w:val="00EE4080"/>
    <w:rsid w:val="00EE41C9"/>
    <w:rsid w:val="00EE44C4"/>
    <w:rsid w:val="00EE46DF"/>
    <w:rsid w:val="00EE478A"/>
    <w:rsid w:val="00EE48E5"/>
    <w:rsid w:val="00EE497F"/>
    <w:rsid w:val="00EE49FD"/>
    <w:rsid w:val="00EE4AF9"/>
    <w:rsid w:val="00EE4CD4"/>
    <w:rsid w:val="00EE4E39"/>
    <w:rsid w:val="00EE4F4D"/>
    <w:rsid w:val="00EE5089"/>
    <w:rsid w:val="00EE50EE"/>
    <w:rsid w:val="00EE532B"/>
    <w:rsid w:val="00EE535F"/>
    <w:rsid w:val="00EE53E4"/>
    <w:rsid w:val="00EE53F0"/>
    <w:rsid w:val="00EE56AC"/>
    <w:rsid w:val="00EE58A9"/>
    <w:rsid w:val="00EE5A66"/>
    <w:rsid w:val="00EE5B22"/>
    <w:rsid w:val="00EE5C43"/>
    <w:rsid w:val="00EE5F32"/>
    <w:rsid w:val="00EE6133"/>
    <w:rsid w:val="00EE634D"/>
    <w:rsid w:val="00EE638A"/>
    <w:rsid w:val="00EE680E"/>
    <w:rsid w:val="00EE687F"/>
    <w:rsid w:val="00EE6AF1"/>
    <w:rsid w:val="00EE6B8F"/>
    <w:rsid w:val="00EE6CBD"/>
    <w:rsid w:val="00EE6D99"/>
    <w:rsid w:val="00EE6E0D"/>
    <w:rsid w:val="00EE70E4"/>
    <w:rsid w:val="00EE7374"/>
    <w:rsid w:val="00EE7400"/>
    <w:rsid w:val="00EE7554"/>
    <w:rsid w:val="00EE7B68"/>
    <w:rsid w:val="00EE7D46"/>
    <w:rsid w:val="00EE7D4E"/>
    <w:rsid w:val="00EE7F8F"/>
    <w:rsid w:val="00EF0303"/>
    <w:rsid w:val="00EF0377"/>
    <w:rsid w:val="00EF0A11"/>
    <w:rsid w:val="00EF0C2D"/>
    <w:rsid w:val="00EF10A5"/>
    <w:rsid w:val="00EF116D"/>
    <w:rsid w:val="00EF133A"/>
    <w:rsid w:val="00EF145F"/>
    <w:rsid w:val="00EF154E"/>
    <w:rsid w:val="00EF18CF"/>
    <w:rsid w:val="00EF1970"/>
    <w:rsid w:val="00EF1990"/>
    <w:rsid w:val="00EF1CA1"/>
    <w:rsid w:val="00EF1D9F"/>
    <w:rsid w:val="00EF1E6A"/>
    <w:rsid w:val="00EF2356"/>
    <w:rsid w:val="00EF23FD"/>
    <w:rsid w:val="00EF2420"/>
    <w:rsid w:val="00EF25CC"/>
    <w:rsid w:val="00EF2696"/>
    <w:rsid w:val="00EF2851"/>
    <w:rsid w:val="00EF28D0"/>
    <w:rsid w:val="00EF2A6B"/>
    <w:rsid w:val="00EF2B9C"/>
    <w:rsid w:val="00EF2D99"/>
    <w:rsid w:val="00EF2FFF"/>
    <w:rsid w:val="00EF343D"/>
    <w:rsid w:val="00EF3A65"/>
    <w:rsid w:val="00EF3AAB"/>
    <w:rsid w:val="00EF3B0C"/>
    <w:rsid w:val="00EF3D96"/>
    <w:rsid w:val="00EF3EAF"/>
    <w:rsid w:val="00EF4042"/>
    <w:rsid w:val="00EF43DD"/>
    <w:rsid w:val="00EF466D"/>
    <w:rsid w:val="00EF48A6"/>
    <w:rsid w:val="00EF4A3C"/>
    <w:rsid w:val="00EF4C46"/>
    <w:rsid w:val="00EF4E1B"/>
    <w:rsid w:val="00EF5032"/>
    <w:rsid w:val="00EF53D3"/>
    <w:rsid w:val="00EF5405"/>
    <w:rsid w:val="00EF5436"/>
    <w:rsid w:val="00EF54D7"/>
    <w:rsid w:val="00EF54EB"/>
    <w:rsid w:val="00EF56F4"/>
    <w:rsid w:val="00EF57A6"/>
    <w:rsid w:val="00EF5D88"/>
    <w:rsid w:val="00EF5E8A"/>
    <w:rsid w:val="00EF6342"/>
    <w:rsid w:val="00EF66B1"/>
    <w:rsid w:val="00EF66CF"/>
    <w:rsid w:val="00EF6974"/>
    <w:rsid w:val="00EF6B10"/>
    <w:rsid w:val="00EF6B7F"/>
    <w:rsid w:val="00EF6D79"/>
    <w:rsid w:val="00EF6E13"/>
    <w:rsid w:val="00EF6F02"/>
    <w:rsid w:val="00EF7549"/>
    <w:rsid w:val="00EF75B0"/>
    <w:rsid w:val="00EF7A46"/>
    <w:rsid w:val="00EF7A6B"/>
    <w:rsid w:val="00EF7C53"/>
    <w:rsid w:val="00EF7EF4"/>
    <w:rsid w:val="00EF7F30"/>
    <w:rsid w:val="00EF7F51"/>
    <w:rsid w:val="00F000B6"/>
    <w:rsid w:val="00F008DD"/>
    <w:rsid w:val="00F00912"/>
    <w:rsid w:val="00F00930"/>
    <w:rsid w:val="00F00960"/>
    <w:rsid w:val="00F00DAE"/>
    <w:rsid w:val="00F01198"/>
    <w:rsid w:val="00F017FD"/>
    <w:rsid w:val="00F01D7E"/>
    <w:rsid w:val="00F0204C"/>
    <w:rsid w:val="00F02056"/>
    <w:rsid w:val="00F02315"/>
    <w:rsid w:val="00F02365"/>
    <w:rsid w:val="00F02AC0"/>
    <w:rsid w:val="00F02C42"/>
    <w:rsid w:val="00F02D52"/>
    <w:rsid w:val="00F03147"/>
    <w:rsid w:val="00F033B5"/>
    <w:rsid w:val="00F036DF"/>
    <w:rsid w:val="00F03827"/>
    <w:rsid w:val="00F0386B"/>
    <w:rsid w:val="00F03B8E"/>
    <w:rsid w:val="00F03CD4"/>
    <w:rsid w:val="00F03EFA"/>
    <w:rsid w:val="00F03FB4"/>
    <w:rsid w:val="00F04107"/>
    <w:rsid w:val="00F04118"/>
    <w:rsid w:val="00F041E4"/>
    <w:rsid w:val="00F04218"/>
    <w:rsid w:val="00F04266"/>
    <w:rsid w:val="00F04751"/>
    <w:rsid w:val="00F04762"/>
    <w:rsid w:val="00F04910"/>
    <w:rsid w:val="00F04992"/>
    <w:rsid w:val="00F04B71"/>
    <w:rsid w:val="00F04F73"/>
    <w:rsid w:val="00F050A8"/>
    <w:rsid w:val="00F051C6"/>
    <w:rsid w:val="00F0587E"/>
    <w:rsid w:val="00F05A27"/>
    <w:rsid w:val="00F05CF4"/>
    <w:rsid w:val="00F05DDA"/>
    <w:rsid w:val="00F0612D"/>
    <w:rsid w:val="00F06504"/>
    <w:rsid w:val="00F06661"/>
    <w:rsid w:val="00F066C6"/>
    <w:rsid w:val="00F066F5"/>
    <w:rsid w:val="00F067B6"/>
    <w:rsid w:val="00F0689E"/>
    <w:rsid w:val="00F06B85"/>
    <w:rsid w:val="00F06C11"/>
    <w:rsid w:val="00F06CEF"/>
    <w:rsid w:val="00F06E36"/>
    <w:rsid w:val="00F06E96"/>
    <w:rsid w:val="00F06F36"/>
    <w:rsid w:val="00F0739B"/>
    <w:rsid w:val="00F076C2"/>
    <w:rsid w:val="00F078BE"/>
    <w:rsid w:val="00F07C51"/>
    <w:rsid w:val="00F07D67"/>
    <w:rsid w:val="00F07FF4"/>
    <w:rsid w:val="00F10048"/>
    <w:rsid w:val="00F1012C"/>
    <w:rsid w:val="00F10268"/>
    <w:rsid w:val="00F1028D"/>
    <w:rsid w:val="00F10307"/>
    <w:rsid w:val="00F1044E"/>
    <w:rsid w:val="00F1049C"/>
    <w:rsid w:val="00F104CC"/>
    <w:rsid w:val="00F10656"/>
    <w:rsid w:val="00F10698"/>
    <w:rsid w:val="00F10B62"/>
    <w:rsid w:val="00F10C92"/>
    <w:rsid w:val="00F10CC3"/>
    <w:rsid w:val="00F10E8B"/>
    <w:rsid w:val="00F11131"/>
    <w:rsid w:val="00F11762"/>
    <w:rsid w:val="00F11768"/>
    <w:rsid w:val="00F11B7B"/>
    <w:rsid w:val="00F11C29"/>
    <w:rsid w:val="00F12057"/>
    <w:rsid w:val="00F1230A"/>
    <w:rsid w:val="00F123C6"/>
    <w:rsid w:val="00F12551"/>
    <w:rsid w:val="00F125CD"/>
    <w:rsid w:val="00F128C7"/>
    <w:rsid w:val="00F12AF6"/>
    <w:rsid w:val="00F12BD5"/>
    <w:rsid w:val="00F12E0E"/>
    <w:rsid w:val="00F12E2A"/>
    <w:rsid w:val="00F12E76"/>
    <w:rsid w:val="00F12FDD"/>
    <w:rsid w:val="00F132FD"/>
    <w:rsid w:val="00F13BDC"/>
    <w:rsid w:val="00F13C0E"/>
    <w:rsid w:val="00F14310"/>
    <w:rsid w:val="00F145B6"/>
    <w:rsid w:val="00F148A6"/>
    <w:rsid w:val="00F14D27"/>
    <w:rsid w:val="00F150FE"/>
    <w:rsid w:val="00F15238"/>
    <w:rsid w:val="00F152B9"/>
    <w:rsid w:val="00F157E6"/>
    <w:rsid w:val="00F15862"/>
    <w:rsid w:val="00F15A11"/>
    <w:rsid w:val="00F15AC9"/>
    <w:rsid w:val="00F15BE6"/>
    <w:rsid w:val="00F15D3F"/>
    <w:rsid w:val="00F160BF"/>
    <w:rsid w:val="00F165A6"/>
    <w:rsid w:val="00F16635"/>
    <w:rsid w:val="00F16B25"/>
    <w:rsid w:val="00F16EEF"/>
    <w:rsid w:val="00F17186"/>
    <w:rsid w:val="00F17227"/>
    <w:rsid w:val="00F17327"/>
    <w:rsid w:val="00F1744B"/>
    <w:rsid w:val="00F1768D"/>
    <w:rsid w:val="00F176EF"/>
    <w:rsid w:val="00F179EC"/>
    <w:rsid w:val="00F17C2F"/>
    <w:rsid w:val="00F17D62"/>
    <w:rsid w:val="00F17FA3"/>
    <w:rsid w:val="00F2024E"/>
    <w:rsid w:val="00F20643"/>
    <w:rsid w:val="00F208AD"/>
    <w:rsid w:val="00F208D9"/>
    <w:rsid w:val="00F20925"/>
    <w:rsid w:val="00F209B1"/>
    <w:rsid w:val="00F20A11"/>
    <w:rsid w:val="00F20CC8"/>
    <w:rsid w:val="00F20E61"/>
    <w:rsid w:val="00F20F80"/>
    <w:rsid w:val="00F20FD5"/>
    <w:rsid w:val="00F217DA"/>
    <w:rsid w:val="00F2186C"/>
    <w:rsid w:val="00F218ED"/>
    <w:rsid w:val="00F2197C"/>
    <w:rsid w:val="00F21CC9"/>
    <w:rsid w:val="00F21FFA"/>
    <w:rsid w:val="00F220E6"/>
    <w:rsid w:val="00F225B6"/>
    <w:rsid w:val="00F22808"/>
    <w:rsid w:val="00F22AB9"/>
    <w:rsid w:val="00F22DBE"/>
    <w:rsid w:val="00F2365D"/>
    <w:rsid w:val="00F2395B"/>
    <w:rsid w:val="00F23A3B"/>
    <w:rsid w:val="00F23AC4"/>
    <w:rsid w:val="00F23B9C"/>
    <w:rsid w:val="00F23BEE"/>
    <w:rsid w:val="00F23BF3"/>
    <w:rsid w:val="00F24023"/>
    <w:rsid w:val="00F240D3"/>
    <w:rsid w:val="00F24197"/>
    <w:rsid w:val="00F2426B"/>
    <w:rsid w:val="00F24310"/>
    <w:rsid w:val="00F24484"/>
    <w:rsid w:val="00F24AA8"/>
    <w:rsid w:val="00F24B30"/>
    <w:rsid w:val="00F24DA3"/>
    <w:rsid w:val="00F25080"/>
    <w:rsid w:val="00F253B9"/>
    <w:rsid w:val="00F2570C"/>
    <w:rsid w:val="00F25867"/>
    <w:rsid w:val="00F25A0B"/>
    <w:rsid w:val="00F25D30"/>
    <w:rsid w:val="00F261C2"/>
    <w:rsid w:val="00F262C2"/>
    <w:rsid w:val="00F263BC"/>
    <w:rsid w:val="00F265A9"/>
    <w:rsid w:val="00F2660E"/>
    <w:rsid w:val="00F267E6"/>
    <w:rsid w:val="00F268BD"/>
    <w:rsid w:val="00F268FA"/>
    <w:rsid w:val="00F26AD4"/>
    <w:rsid w:val="00F26D4A"/>
    <w:rsid w:val="00F26D7A"/>
    <w:rsid w:val="00F26EC3"/>
    <w:rsid w:val="00F26F2C"/>
    <w:rsid w:val="00F2707A"/>
    <w:rsid w:val="00F27337"/>
    <w:rsid w:val="00F274BA"/>
    <w:rsid w:val="00F276E3"/>
    <w:rsid w:val="00F277F2"/>
    <w:rsid w:val="00F27993"/>
    <w:rsid w:val="00F27C41"/>
    <w:rsid w:val="00F27D4E"/>
    <w:rsid w:val="00F27D56"/>
    <w:rsid w:val="00F27E5D"/>
    <w:rsid w:val="00F27E6E"/>
    <w:rsid w:val="00F27EAA"/>
    <w:rsid w:val="00F3037D"/>
    <w:rsid w:val="00F3078B"/>
    <w:rsid w:val="00F30995"/>
    <w:rsid w:val="00F30ABF"/>
    <w:rsid w:val="00F30E88"/>
    <w:rsid w:val="00F3108C"/>
    <w:rsid w:val="00F31463"/>
    <w:rsid w:val="00F3177A"/>
    <w:rsid w:val="00F317E3"/>
    <w:rsid w:val="00F31B14"/>
    <w:rsid w:val="00F31E58"/>
    <w:rsid w:val="00F31EF0"/>
    <w:rsid w:val="00F3205D"/>
    <w:rsid w:val="00F320BC"/>
    <w:rsid w:val="00F322E9"/>
    <w:rsid w:val="00F32378"/>
    <w:rsid w:val="00F323AE"/>
    <w:rsid w:val="00F325E1"/>
    <w:rsid w:val="00F32686"/>
    <w:rsid w:val="00F32746"/>
    <w:rsid w:val="00F32F61"/>
    <w:rsid w:val="00F331A5"/>
    <w:rsid w:val="00F331D0"/>
    <w:rsid w:val="00F3350D"/>
    <w:rsid w:val="00F337DC"/>
    <w:rsid w:val="00F3399F"/>
    <w:rsid w:val="00F339CB"/>
    <w:rsid w:val="00F33A7D"/>
    <w:rsid w:val="00F33C3D"/>
    <w:rsid w:val="00F33FA4"/>
    <w:rsid w:val="00F34C03"/>
    <w:rsid w:val="00F34C34"/>
    <w:rsid w:val="00F34E3E"/>
    <w:rsid w:val="00F34F28"/>
    <w:rsid w:val="00F351C0"/>
    <w:rsid w:val="00F353E6"/>
    <w:rsid w:val="00F355AE"/>
    <w:rsid w:val="00F35610"/>
    <w:rsid w:val="00F3561E"/>
    <w:rsid w:val="00F35830"/>
    <w:rsid w:val="00F3584F"/>
    <w:rsid w:val="00F35872"/>
    <w:rsid w:val="00F35B6B"/>
    <w:rsid w:val="00F35C3B"/>
    <w:rsid w:val="00F35CDA"/>
    <w:rsid w:val="00F35D56"/>
    <w:rsid w:val="00F36018"/>
    <w:rsid w:val="00F3675E"/>
    <w:rsid w:val="00F36885"/>
    <w:rsid w:val="00F37134"/>
    <w:rsid w:val="00F3713C"/>
    <w:rsid w:val="00F37143"/>
    <w:rsid w:val="00F37708"/>
    <w:rsid w:val="00F37741"/>
    <w:rsid w:val="00F378B4"/>
    <w:rsid w:val="00F378CE"/>
    <w:rsid w:val="00F37C23"/>
    <w:rsid w:val="00F37FF7"/>
    <w:rsid w:val="00F407DD"/>
    <w:rsid w:val="00F4097C"/>
    <w:rsid w:val="00F414FD"/>
    <w:rsid w:val="00F415B6"/>
    <w:rsid w:val="00F41A02"/>
    <w:rsid w:val="00F41B89"/>
    <w:rsid w:val="00F41BD7"/>
    <w:rsid w:val="00F4271A"/>
    <w:rsid w:val="00F42739"/>
    <w:rsid w:val="00F42886"/>
    <w:rsid w:val="00F42B5D"/>
    <w:rsid w:val="00F43380"/>
    <w:rsid w:val="00F43531"/>
    <w:rsid w:val="00F4354C"/>
    <w:rsid w:val="00F43682"/>
    <w:rsid w:val="00F43773"/>
    <w:rsid w:val="00F4399A"/>
    <w:rsid w:val="00F439EF"/>
    <w:rsid w:val="00F43BC4"/>
    <w:rsid w:val="00F43CE6"/>
    <w:rsid w:val="00F43E16"/>
    <w:rsid w:val="00F4406B"/>
    <w:rsid w:val="00F446EC"/>
    <w:rsid w:val="00F44776"/>
    <w:rsid w:val="00F447A2"/>
    <w:rsid w:val="00F44829"/>
    <w:rsid w:val="00F44F36"/>
    <w:rsid w:val="00F4542E"/>
    <w:rsid w:val="00F456C9"/>
    <w:rsid w:val="00F45823"/>
    <w:rsid w:val="00F45878"/>
    <w:rsid w:val="00F45A8C"/>
    <w:rsid w:val="00F45C61"/>
    <w:rsid w:val="00F4615A"/>
    <w:rsid w:val="00F462D9"/>
    <w:rsid w:val="00F4671B"/>
    <w:rsid w:val="00F467CF"/>
    <w:rsid w:val="00F46908"/>
    <w:rsid w:val="00F46D96"/>
    <w:rsid w:val="00F46DE5"/>
    <w:rsid w:val="00F47037"/>
    <w:rsid w:val="00F470BF"/>
    <w:rsid w:val="00F4728C"/>
    <w:rsid w:val="00F4734A"/>
    <w:rsid w:val="00F47AD6"/>
    <w:rsid w:val="00F47B4A"/>
    <w:rsid w:val="00F47C79"/>
    <w:rsid w:val="00F47E1C"/>
    <w:rsid w:val="00F50280"/>
    <w:rsid w:val="00F504DB"/>
    <w:rsid w:val="00F50578"/>
    <w:rsid w:val="00F5070D"/>
    <w:rsid w:val="00F50A09"/>
    <w:rsid w:val="00F50B0F"/>
    <w:rsid w:val="00F50D17"/>
    <w:rsid w:val="00F50FF8"/>
    <w:rsid w:val="00F51098"/>
    <w:rsid w:val="00F5111D"/>
    <w:rsid w:val="00F5147E"/>
    <w:rsid w:val="00F515C9"/>
    <w:rsid w:val="00F515DE"/>
    <w:rsid w:val="00F51B09"/>
    <w:rsid w:val="00F51B45"/>
    <w:rsid w:val="00F51C29"/>
    <w:rsid w:val="00F51C8F"/>
    <w:rsid w:val="00F51D12"/>
    <w:rsid w:val="00F51D48"/>
    <w:rsid w:val="00F52376"/>
    <w:rsid w:val="00F52411"/>
    <w:rsid w:val="00F52761"/>
    <w:rsid w:val="00F527AA"/>
    <w:rsid w:val="00F531A6"/>
    <w:rsid w:val="00F532F8"/>
    <w:rsid w:val="00F5345E"/>
    <w:rsid w:val="00F534A3"/>
    <w:rsid w:val="00F53514"/>
    <w:rsid w:val="00F53C06"/>
    <w:rsid w:val="00F53D1C"/>
    <w:rsid w:val="00F53E45"/>
    <w:rsid w:val="00F54034"/>
    <w:rsid w:val="00F5449E"/>
    <w:rsid w:val="00F545F4"/>
    <w:rsid w:val="00F5472F"/>
    <w:rsid w:val="00F549F1"/>
    <w:rsid w:val="00F54CBE"/>
    <w:rsid w:val="00F54DAA"/>
    <w:rsid w:val="00F54DBB"/>
    <w:rsid w:val="00F5555A"/>
    <w:rsid w:val="00F55B13"/>
    <w:rsid w:val="00F55C45"/>
    <w:rsid w:val="00F5634D"/>
    <w:rsid w:val="00F566C6"/>
    <w:rsid w:val="00F56794"/>
    <w:rsid w:val="00F567C3"/>
    <w:rsid w:val="00F56953"/>
    <w:rsid w:val="00F569DB"/>
    <w:rsid w:val="00F56A12"/>
    <w:rsid w:val="00F56C66"/>
    <w:rsid w:val="00F57008"/>
    <w:rsid w:val="00F579C0"/>
    <w:rsid w:val="00F57BAF"/>
    <w:rsid w:val="00F57C85"/>
    <w:rsid w:val="00F57DA0"/>
    <w:rsid w:val="00F601DD"/>
    <w:rsid w:val="00F60264"/>
    <w:rsid w:val="00F60329"/>
    <w:rsid w:val="00F60598"/>
    <w:rsid w:val="00F6066F"/>
    <w:rsid w:val="00F606CD"/>
    <w:rsid w:val="00F607EC"/>
    <w:rsid w:val="00F60B36"/>
    <w:rsid w:val="00F60CB1"/>
    <w:rsid w:val="00F60DD0"/>
    <w:rsid w:val="00F61401"/>
    <w:rsid w:val="00F614FB"/>
    <w:rsid w:val="00F619C1"/>
    <w:rsid w:val="00F61E35"/>
    <w:rsid w:val="00F61E3C"/>
    <w:rsid w:val="00F61F5D"/>
    <w:rsid w:val="00F624EE"/>
    <w:rsid w:val="00F6268E"/>
    <w:rsid w:val="00F626A6"/>
    <w:rsid w:val="00F627F5"/>
    <w:rsid w:val="00F62889"/>
    <w:rsid w:val="00F62D41"/>
    <w:rsid w:val="00F62F7B"/>
    <w:rsid w:val="00F634E4"/>
    <w:rsid w:val="00F63DB8"/>
    <w:rsid w:val="00F63E95"/>
    <w:rsid w:val="00F64061"/>
    <w:rsid w:val="00F6426C"/>
    <w:rsid w:val="00F6436D"/>
    <w:rsid w:val="00F643C6"/>
    <w:rsid w:val="00F643D0"/>
    <w:rsid w:val="00F646D5"/>
    <w:rsid w:val="00F646EC"/>
    <w:rsid w:val="00F64926"/>
    <w:rsid w:val="00F64EAA"/>
    <w:rsid w:val="00F6502F"/>
    <w:rsid w:val="00F6507A"/>
    <w:rsid w:val="00F6523D"/>
    <w:rsid w:val="00F653E2"/>
    <w:rsid w:val="00F65444"/>
    <w:rsid w:val="00F654A7"/>
    <w:rsid w:val="00F6568D"/>
    <w:rsid w:val="00F656CF"/>
    <w:rsid w:val="00F65853"/>
    <w:rsid w:val="00F65874"/>
    <w:rsid w:val="00F65B20"/>
    <w:rsid w:val="00F65C24"/>
    <w:rsid w:val="00F65D40"/>
    <w:rsid w:val="00F65F3A"/>
    <w:rsid w:val="00F66029"/>
    <w:rsid w:val="00F6620A"/>
    <w:rsid w:val="00F662DB"/>
    <w:rsid w:val="00F66382"/>
    <w:rsid w:val="00F666D9"/>
    <w:rsid w:val="00F667ED"/>
    <w:rsid w:val="00F66933"/>
    <w:rsid w:val="00F66A32"/>
    <w:rsid w:val="00F66B51"/>
    <w:rsid w:val="00F67148"/>
    <w:rsid w:val="00F672A4"/>
    <w:rsid w:val="00F6738E"/>
    <w:rsid w:val="00F674DF"/>
    <w:rsid w:val="00F6757C"/>
    <w:rsid w:val="00F67C12"/>
    <w:rsid w:val="00F67C25"/>
    <w:rsid w:val="00F67F0B"/>
    <w:rsid w:val="00F67F54"/>
    <w:rsid w:val="00F70124"/>
    <w:rsid w:val="00F701B2"/>
    <w:rsid w:val="00F702D6"/>
    <w:rsid w:val="00F705C0"/>
    <w:rsid w:val="00F707A7"/>
    <w:rsid w:val="00F707AF"/>
    <w:rsid w:val="00F70B69"/>
    <w:rsid w:val="00F70C06"/>
    <w:rsid w:val="00F70ED9"/>
    <w:rsid w:val="00F70F93"/>
    <w:rsid w:val="00F71238"/>
    <w:rsid w:val="00F712A3"/>
    <w:rsid w:val="00F7136E"/>
    <w:rsid w:val="00F7157A"/>
    <w:rsid w:val="00F7172C"/>
    <w:rsid w:val="00F71DE5"/>
    <w:rsid w:val="00F7219A"/>
    <w:rsid w:val="00F726E9"/>
    <w:rsid w:val="00F728D5"/>
    <w:rsid w:val="00F728D8"/>
    <w:rsid w:val="00F728E2"/>
    <w:rsid w:val="00F72ADF"/>
    <w:rsid w:val="00F72C42"/>
    <w:rsid w:val="00F72EA7"/>
    <w:rsid w:val="00F73173"/>
    <w:rsid w:val="00F73247"/>
    <w:rsid w:val="00F7326C"/>
    <w:rsid w:val="00F7360F"/>
    <w:rsid w:val="00F74262"/>
    <w:rsid w:val="00F74319"/>
    <w:rsid w:val="00F743C8"/>
    <w:rsid w:val="00F74616"/>
    <w:rsid w:val="00F74A26"/>
    <w:rsid w:val="00F74C18"/>
    <w:rsid w:val="00F751C6"/>
    <w:rsid w:val="00F7551D"/>
    <w:rsid w:val="00F75A5F"/>
    <w:rsid w:val="00F75B06"/>
    <w:rsid w:val="00F75BEC"/>
    <w:rsid w:val="00F75C3D"/>
    <w:rsid w:val="00F75DE8"/>
    <w:rsid w:val="00F75EEE"/>
    <w:rsid w:val="00F75FE2"/>
    <w:rsid w:val="00F76025"/>
    <w:rsid w:val="00F76262"/>
    <w:rsid w:val="00F76455"/>
    <w:rsid w:val="00F76494"/>
    <w:rsid w:val="00F764B3"/>
    <w:rsid w:val="00F765D4"/>
    <w:rsid w:val="00F76C17"/>
    <w:rsid w:val="00F76EEE"/>
    <w:rsid w:val="00F76FCF"/>
    <w:rsid w:val="00F771E3"/>
    <w:rsid w:val="00F7730C"/>
    <w:rsid w:val="00F77352"/>
    <w:rsid w:val="00F775BE"/>
    <w:rsid w:val="00F77C25"/>
    <w:rsid w:val="00F77E39"/>
    <w:rsid w:val="00F77F7D"/>
    <w:rsid w:val="00F800F7"/>
    <w:rsid w:val="00F80750"/>
    <w:rsid w:val="00F80819"/>
    <w:rsid w:val="00F80841"/>
    <w:rsid w:val="00F80A55"/>
    <w:rsid w:val="00F80DD3"/>
    <w:rsid w:val="00F810C7"/>
    <w:rsid w:val="00F811B1"/>
    <w:rsid w:val="00F81815"/>
    <w:rsid w:val="00F81828"/>
    <w:rsid w:val="00F818E5"/>
    <w:rsid w:val="00F81967"/>
    <w:rsid w:val="00F81BCD"/>
    <w:rsid w:val="00F81C9F"/>
    <w:rsid w:val="00F81E78"/>
    <w:rsid w:val="00F827D4"/>
    <w:rsid w:val="00F82942"/>
    <w:rsid w:val="00F82B8E"/>
    <w:rsid w:val="00F82F04"/>
    <w:rsid w:val="00F8344F"/>
    <w:rsid w:val="00F83939"/>
    <w:rsid w:val="00F839EB"/>
    <w:rsid w:val="00F83A5D"/>
    <w:rsid w:val="00F83B53"/>
    <w:rsid w:val="00F842AD"/>
    <w:rsid w:val="00F842AE"/>
    <w:rsid w:val="00F84309"/>
    <w:rsid w:val="00F8430D"/>
    <w:rsid w:val="00F843B2"/>
    <w:rsid w:val="00F8455D"/>
    <w:rsid w:val="00F8461C"/>
    <w:rsid w:val="00F846F0"/>
    <w:rsid w:val="00F847F2"/>
    <w:rsid w:val="00F84893"/>
    <w:rsid w:val="00F849EA"/>
    <w:rsid w:val="00F849F4"/>
    <w:rsid w:val="00F84C0C"/>
    <w:rsid w:val="00F84E5E"/>
    <w:rsid w:val="00F853A5"/>
    <w:rsid w:val="00F854DD"/>
    <w:rsid w:val="00F8565B"/>
    <w:rsid w:val="00F85683"/>
    <w:rsid w:val="00F857BC"/>
    <w:rsid w:val="00F857FD"/>
    <w:rsid w:val="00F85810"/>
    <w:rsid w:val="00F85BE2"/>
    <w:rsid w:val="00F86053"/>
    <w:rsid w:val="00F86062"/>
    <w:rsid w:val="00F86131"/>
    <w:rsid w:val="00F861C6"/>
    <w:rsid w:val="00F86216"/>
    <w:rsid w:val="00F8633D"/>
    <w:rsid w:val="00F86520"/>
    <w:rsid w:val="00F86564"/>
    <w:rsid w:val="00F8667A"/>
    <w:rsid w:val="00F866DD"/>
    <w:rsid w:val="00F866EC"/>
    <w:rsid w:val="00F86860"/>
    <w:rsid w:val="00F8687E"/>
    <w:rsid w:val="00F868A2"/>
    <w:rsid w:val="00F86B03"/>
    <w:rsid w:val="00F86C84"/>
    <w:rsid w:val="00F86CAB"/>
    <w:rsid w:val="00F86D06"/>
    <w:rsid w:val="00F8732E"/>
    <w:rsid w:val="00F87359"/>
    <w:rsid w:val="00F87536"/>
    <w:rsid w:val="00F875F2"/>
    <w:rsid w:val="00F87CD6"/>
    <w:rsid w:val="00F87D27"/>
    <w:rsid w:val="00F87E54"/>
    <w:rsid w:val="00F9038F"/>
    <w:rsid w:val="00F9056A"/>
    <w:rsid w:val="00F9059C"/>
    <w:rsid w:val="00F906D3"/>
    <w:rsid w:val="00F90755"/>
    <w:rsid w:val="00F90AF9"/>
    <w:rsid w:val="00F90B69"/>
    <w:rsid w:val="00F90B8C"/>
    <w:rsid w:val="00F90F03"/>
    <w:rsid w:val="00F90FB4"/>
    <w:rsid w:val="00F91015"/>
    <w:rsid w:val="00F9108B"/>
    <w:rsid w:val="00F91279"/>
    <w:rsid w:val="00F912E9"/>
    <w:rsid w:val="00F917D3"/>
    <w:rsid w:val="00F91C65"/>
    <w:rsid w:val="00F91DDF"/>
    <w:rsid w:val="00F92001"/>
    <w:rsid w:val="00F92217"/>
    <w:rsid w:val="00F92536"/>
    <w:rsid w:val="00F92837"/>
    <w:rsid w:val="00F92AC9"/>
    <w:rsid w:val="00F92DC1"/>
    <w:rsid w:val="00F92E26"/>
    <w:rsid w:val="00F92ED5"/>
    <w:rsid w:val="00F9303C"/>
    <w:rsid w:val="00F93332"/>
    <w:rsid w:val="00F93675"/>
    <w:rsid w:val="00F93A7B"/>
    <w:rsid w:val="00F93B5F"/>
    <w:rsid w:val="00F93D0C"/>
    <w:rsid w:val="00F93FF2"/>
    <w:rsid w:val="00F94174"/>
    <w:rsid w:val="00F94307"/>
    <w:rsid w:val="00F943E7"/>
    <w:rsid w:val="00F947DE"/>
    <w:rsid w:val="00F948BE"/>
    <w:rsid w:val="00F94A46"/>
    <w:rsid w:val="00F94A6F"/>
    <w:rsid w:val="00F94C50"/>
    <w:rsid w:val="00F94E9F"/>
    <w:rsid w:val="00F94EE0"/>
    <w:rsid w:val="00F954A2"/>
    <w:rsid w:val="00F95705"/>
    <w:rsid w:val="00F957FC"/>
    <w:rsid w:val="00F95815"/>
    <w:rsid w:val="00F95CC3"/>
    <w:rsid w:val="00F95F1C"/>
    <w:rsid w:val="00F95F2B"/>
    <w:rsid w:val="00F96276"/>
    <w:rsid w:val="00F9630A"/>
    <w:rsid w:val="00F963A5"/>
    <w:rsid w:val="00F96546"/>
    <w:rsid w:val="00F96CF5"/>
    <w:rsid w:val="00F96D91"/>
    <w:rsid w:val="00F96DDE"/>
    <w:rsid w:val="00F96E11"/>
    <w:rsid w:val="00F96F83"/>
    <w:rsid w:val="00F9706E"/>
    <w:rsid w:val="00F9751E"/>
    <w:rsid w:val="00F975B0"/>
    <w:rsid w:val="00F97AED"/>
    <w:rsid w:val="00F97DA6"/>
    <w:rsid w:val="00F97F02"/>
    <w:rsid w:val="00FA012D"/>
    <w:rsid w:val="00FA032B"/>
    <w:rsid w:val="00FA037A"/>
    <w:rsid w:val="00FA0905"/>
    <w:rsid w:val="00FA0A38"/>
    <w:rsid w:val="00FA0B5F"/>
    <w:rsid w:val="00FA0C17"/>
    <w:rsid w:val="00FA0C68"/>
    <w:rsid w:val="00FA0E3D"/>
    <w:rsid w:val="00FA0FAD"/>
    <w:rsid w:val="00FA121D"/>
    <w:rsid w:val="00FA1239"/>
    <w:rsid w:val="00FA131B"/>
    <w:rsid w:val="00FA1320"/>
    <w:rsid w:val="00FA1432"/>
    <w:rsid w:val="00FA1966"/>
    <w:rsid w:val="00FA1ABE"/>
    <w:rsid w:val="00FA1ACA"/>
    <w:rsid w:val="00FA1AD7"/>
    <w:rsid w:val="00FA1B31"/>
    <w:rsid w:val="00FA1E52"/>
    <w:rsid w:val="00FA1F42"/>
    <w:rsid w:val="00FA249A"/>
    <w:rsid w:val="00FA283D"/>
    <w:rsid w:val="00FA2F63"/>
    <w:rsid w:val="00FA3A3B"/>
    <w:rsid w:val="00FA3AEC"/>
    <w:rsid w:val="00FA3C06"/>
    <w:rsid w:val="00FA3F5D"/>
    <w:rsid w:val="00FA41E5"/>
    <w:rsid w:val="00FA431C"/>
    <w:rsid w:val="00FA4887"/>
    <w:rsid w:val="00FA48B8"/>
    <w:rsid w:val="00FA4994"/>
    <w:rsid w:val="00FA4D11"/>
    <w:rsid w:val="00FA4E13"/>
    <w:rsid w:val="00FA502B"/>
    <w:rsid w:val="00FA5350"/>
    <w:rsid w:val="00FA543E"/>
    <w:rsid w:val="00FA54C6"/>
    <w:rsid w:val="00FA562A"/>
    <w:rsid w:val="00FA5863"/>
    <w:rsid w:val="00FA58AD"/>
    <w:rsid w:val="00FA5E08"/>
    <w:rsid w:val="00FA5F3D"/>
    <w:rsid w:val="00FA5F70"/>
    <w:rsid w:val="00FA5FC2"/>
    <w:rsid w:val="00FA638D"/>
    <w:rsid w:val="00FA689C"/>
    <w:rsid w:val="00FA69B5"/>
    <w:rsid w:val="00FA6A32"/>
    <w:rsid w:val="00FA6DCE"/>
    <w:rsid w:val="00FA7205"/>
    <w:rsid w:val="00FA77B9"/>
    <w:rsid w:val="00FB00F5"/>
    <w:rsid w:val="00FB0297"/>
    <w:rsid w:val="00FB02B4"/>
    <w:rsid w:val="00FB0343"/>
    <w:rsid w:val="00FB0A0E"/>
    <w:rsid w:val="00FB0FF8"/>
    <w:rsid w:val="00FB131F"/>
    <w:rsid w:val="00FB137C"/>
    <w:rsid w:val="00FB177C"/>
    <w:rsid w:val="00FB1782"/>
    <w:rsid w:val="00FB17F9"/>
    <w:rsid w:val="00FB1E5A"/>
    <w:rsid w:val="00FB1F51"/>
    <w:rsid w:val="00FB2426"/>
    <w:rsid w:val="00FB2793"/>
    <w:rsid w:val="00FB2906"/>
    <w:rsid w:val="00FB317B"/>
    <w:rsid w:val="00FB31B5"/>
    <w:rsid w:val="00FB324C"/>
    <w:rsid w:val="00FB3266"/>
    <w:rsid w:val="00FB390F"/>
    <w:rsid w:val="00FB3967"/>
    <w:rsid w:val="00FB438A"/>
    <w:rsid w:val="00FB438E"/>
    <w:rsid w:val="00FB4748"/>
    <w:rsid w:val="00FB4BE0"/>
    <w:rsid w:val="00FB524F"/>
    <w:rsid w:val="00FB59AE"/>
    <w:rsid w:val="00FB5A15"/>
    <w:rsid w:val="00FB5B9E"/>
    <w:rsid w:val="00FB5C60"/>
    <w:rsid w:val="00FB609C"/>
    <w:rsid w:val="00FB61E0"/>
    <w:rsid w:val="00FB6317"/>
    <w:rsid w:val="00FB6799"/>
    <w:rsid w:val="00FB6901"/>
    <w:rsid w:val="00FB6A43"/>
    <w:rsid w:val="00FB6B8D"/>
    <w:rsid w:val="00FB6EFD"/>
    <w:rsid w:val="00FB73BD"/>
    <w:rsid w:val="00FB76A5"/>
    <w:rsid w:val="00FB76E0"/>
    <w:rsid w:val="00FB7703"/>
    <w:rsid w:val="00FB7774"/>
    <w:rsid w:val="00FB794C"/>
    <w:rsid w:val="00FB7CA3"/>
    <w:rsid w:val="00FC0176"/>
    <w:rsid w:val="00FC01A8"/>
    <w:rsid w:val="00FC0411"/>
    <w:rsid w:val="00FC049F"/>
    <w:rsid w:val="00FC06D8"/>
    <w:rsid w:val="00FC0934"/>
    <w:rsid w:val="00FC0B88"/>
    <w:rsid w:val="00FC0D07"/>
    <w:rsid w:val="00FC0E51"/>
    <w:rsid w:val="00FC0FE2"/>
    <w:rsid w:val="00FC10F0"/>
    <w:rsid w:val="00FC1528"/>
    <w:rsid w:val="00FC18F1"/>
    <w:rsid w:val="00FC1904"/>
    <w:rsid w:val="00FC1AB0"/>
    <w:rsid w:val="00FC1AFE"/>
    <w:rsid w:val="00FC1C1E"/>
    <w:rsid w:val="00FC1DE9"/>
    <w:rsid w:val="00FC1F36"/>
    <w:rsid w:val="00FC216E"/>
    <w:rsid w:val="00FC2349"/>
    <w:rsid w:val="00FC25FC"/>
    <w:rsid w:val="00FC26B0"/>
    <w:rsid w:val="00FC28D2"/>
    <w:rsid w:val="00FC28FD"/>
    <w:rsid w:val="00FC29D6"/>
    <w:rsid w:val="00FC2A23"/>
    <w:rsid w:val="00FC2FC8"/>
    <w:rsid w:val="00FC30CA"/>
    <w:rsid w:val="00FC31B1"/>
    <w:rsid w:val="00FC32F8"/>
    <w:rsid w:val="00FC344B"/>
    <w:rsid w:val="00FC3487"/>
    <w:rsid w:val="00FC39BE"/>
    <w:rsid w:val="00FC3B3E"/>
    <w:rsid w:val="00FC3DD0"/>
    <w:rsid w:val="00FC3E36"/>
    <w:rsid w:val="00FC3FE8"/>
    <w:rsid w:val="00FC4041"/>
    <w:rsid w:val="00FC4064"/>
    <w:rsid w:val="00FC43CC"/>
    <w:rsid w:val="00FC495E"/>
    <w:rsid w:val="00FC49E5"/>
    <w:rsid w:val="00FC4A15"/>
    <w:rsid w:val="00FC4ABE"/>
    <w:rsid w:val="00FC4CE1"/>
    <w:rsid w:val="00FC5218"/>
    <w:rsid w:val="00FC52B2"/>
    <w:rsid w:val="00FC53A9"/>
    <w:rsid w:val="00FC54CA"/>
    <w:rsid w:val="00FC54E1"/>
    <w:rsid w:val="00FC5995"/>
    <w:rsid w:val="00FC59E8"/>
    <w:rsid w:val="00FC5A08"/>
    <w:rsid w:val="00FC5CDE"/>
    <w:rsid w:val="00FC5DF6"/>
    <w:rsid w:val="00FC5DFF"/>
    <w:rsid w:val="00FC5F35"/>
    <w:rsid w:val="00FC5F43"/>
    <w:rsid w:val="00FC5FC2"/>
    <w:rsid w:val="00FC6707"/>
    <w:rsid w:val="00FC68EB"/>
    <w:rsid w:val="00FC6A56"/>
    <w:rsid w:val="00FC6AFE"/>
    <w:rsid w:val="00FC6B87"/>
    <w:rsid w:val="00FC6C4F"/>
    <w:rsid w:val="00FC6DAD"/>
    <w:rsid w:val="00FC6E94"/>
    <w:rsid w:val="00FC7137"/>
    <w:rsid w:val="00FC7262"/>
    <w:rsid w:val="00FC749F"/>
    <w:rsid w:val="00FC75BA"/>
    <w:rsid w:val="00FC77B1"/>
    <w:rsid w:val="00FC78D6"/>
    <w:rsid w:val="00FC7BAB"/>
    <w:rsid w:val="00FC7D1D"/>
    <w:rsid w:val="00FD025C"/>
    <w:rsid w:val="00FD0367"/>
    <w:rsid w:val="00FD0501"/>
    <w:rsid w:val="00FD0561"/>
    <w:rsid w:val="00FD06BC"/>
    <w:rsid w:val="00FD06C3"/>
    <w:rsid w:val="00FD0C39"/>
    <w:rsid w:val="00FD12B1"/>
    <w:rsid w:val="00FD16B3"/>
    <w:rsid w:val="00FD187C"/>
    <w:rsid w:val="00FD1EAF"/>
    <w:rsid w:val="00FD215C"/>
    <w:rsid w:val="00FD24AE"/>
    <w:rsid w:val="00FD2785"/>
    <w:rsid w:val="00FD2A2C"/>
    <w:rsid w:val="00FD2FD1"/>
    <w:rsid w:val="00FD300B"/>
    <w:rsid w:val="00FD319C"/>
    <w:rsid w:val="00FD3764"/>
    <w:rsid w:val="00FD37BB"/>
    <w:rsid w:val="00FD3A8D"/>
    <w:rsid w:val="00FD3F8C"/>
    <w:rsid w:val="00FD403F"/>
    <w:rsid w:val="00FD40C5"/>
    <w:rsid w:val="00FD4BD2"/>
    <w:rsid w:val="00FD4F47"/>
    <w:rsid w:val="00FD5047"/>
    <w:rsid w:val="00FD51BF"/>
    <w:rsid w:val="00FD5541"/>
    <w:rsid w:val="00FD57E0"/>
    <w:rsid w:val="00FD57E1"/>
    <w:rsid w:val="00FD5960"/>
    <w:rsid w:val="00FD5A24"/>
    <w:rsid w:val="00FD5CDF"/>
    <w:rsid w:val="00FD5D4C"/>
    <w:rsid w:val="00FD608F"/>
    <w:rsid w:val="00FD65BD"/>
    <w:rsid w:val="00FD660E"/>
    <w:rsid w:val="00FD6827"/>
    <w:rsid w:val="00FD6B9A"/>
    <w:rsid w:val="00FD6BC5"/>
    <w:rsid w:val="00FD6D74"/>
    <w:rsid w:val="00FD6DF6"/>
    <w:rsid w:val="00FD7268"/>
    <w:rsid w:val="00FD7617"/>
    <w:rsid w:val="00FD7655"/>
    <w:rsid w:val="00FD76C1"/>
    <w:rsid w:val="00FD7739"/>
    <w:rsid w:val="00FD785B"/>
    <w:rsid w:val="00FD7863"/>
    <w:rsid w:val="00FD7D78"/>
    <w:rsid w:val="00FD7F5F"/>
    <w:rsid w:val="00FE05A6"/>
    <w:rsid w:val="00FE08D6"/>
    <w:rsid w:val="00FE1225"/>
    <w:rsid w:val="00FE1506"/>
    <w:rsid w:val="00FE1996"/>
    <w:rsid w:val="00FE1AFB"/>
    <w:rsid w:val="00FE1C89"/>
    <w:rsid w:val="00FE1DB6"/>
    <w:rsid w:val="00FE1DE3"/>
    <w:rsid w:val="00FE22DE"/>
    <w:rsid w:val="00FE249B"/>
    <w:rsid w:val="00FE2566"/>
    <w:rsid w:val="00FE28AA"/>
    <w:rsid w:val="00FE2A6E"/>
    <w:rsid w:val="00FE2ABA"/>
    <w:rsid w:val="00FE2E3B"/>
    <w:rsid w:val="00FE3156"/>
    <w:rsid w:val="00FE318A"/>
    <w:rsid w:val="00FE3288"/>
    <w:rsid w:val="00FE3368"/>
    <w:rsid w:val="00FE373A"/>
    <w:rsid w:val="00FE3789"/>
    <w:rsid w:val="00FE37B3"/>
    <w:rsid w:val="00FE388A"/>
    <w:rsid w:val="00FE399A"/>
    <w:rsid w:val="00FE3AD1"/>
    <w:rsid w:val="00FE459D"/>
    <w:rsid w:val="00FE46A3"/>
    <w:rsid w:val="00FE485E"/>
    <w:rsid w:val="00FE4A0B"/>
    <w:rsid w:val="00FE4B97"/>
    <w:rsid w:val="00FE4BB3"/>
    <w:rsid w:val="00FE4EA6"/>
    <w:rsid w:val="00FE51C9"/>
    <w:rsid w:val="00FE523F"/>
    <w:rsid w:val="00FE5631"/>
    <w:rsid w:val="00FE58ED"/>
    <w:rsid w:val="00FE5A2D"/>
    <w:rsid w:val="00FE5A30"/>
    <w:rsid w:val="00FE5E5F"/>
    <w:rsid w:val="00FE602E"/>
    <w:rsid w:val="00FE61A6"/>
    <w:rsid w:val="00FE65B1"/>
    <w:rsid w:val="00FE69AE"/>
    <w:rsid w:val="00FE6EFE"/>
    <w:rsid w:val="00FE7232"/>
    <w:rsid w:val="00FE72D3"/>
    <w:rsid w:val="00FE7B06"/>
    <w:rsid w:val="00FE7B0D"/>
    <w:rsid w:val="00FE7E87"/>
    <w:rsid w:val="00FE7E94"/>
    <w:rsid w:val="00FF0226"/>
    <w:rsid w:val="00FF0421"/>
    <w:rsid w:val="00FF0A0C"/>
    <w:rsid w:val="00FF0AC8"/>
    <w:rsid w:val="00FF0C23"/>
    <w:rsid w:val="00FF13E8"/>
    <w:rsid w:val="00FF1881"/>
    <w:rsid w:val="00FF21F7"/>
    <w:rsid w:val="00FF2208"/>
    <w:rsid w:val="00FF221F"/>
    <w:rsid w:val="00FF2453"/>
    <w:rsid w:val="00FF2628"/>
    <w:rsid w:val="00FF2659"/>
    <w:rsid w:val="00FF28EC"/>
    <w:rsid w:val="00FF30BD"/>
    <w:rsid w:val="00FF30D0"/>
    <w:rsid w:val="00FF31F4"/>
    <w:rsid w:val="00FF34DC"/>
    <w:rsid w:val="00FF350F"/>
    <w:rsid w:val="00FF37A7"/>
    <w:rsid w:val="00FF380E"/>
    <w:rsid w:val="00FF3895"/>
    <w:rsid w:val="00FF39E4"/>
    <w:rsid w:val="00FF3A46"/>
    <w:rsid w:val="00FF3BC1"/>
    <w:rsid w:val="00FF3D99"/>
    <w:rsid w:val="00FF3FC4"/>
    <w:rsid w:val="00FF421C"/>
    <w:rsid w:val="00FF43F4"/>
    <w:rsid w:val="00FF45AC"/>
    <w:rsid w:val="00FF486C"/>
    <w:rsid w:val="00FF4E55"/>
    <w:rsid w:val="00FF5189"/>
    <w:rsid w:val="00FF58AB"/>
    <w:rsid w:val="00FF59B0"/>
    <w:rsid w:val="00FF59B6"/>
    <w:rsid w:val="00FF5B7E"/>
    <w:rsid w:val="00FF5BA0"/>
    <w:rsid w:val="00FF5BA4"/>
    <w:rsid w:val="00FF5DC2"/>
    <w:rsid w:val="00FF600B"/>
    <w:rsid w:val="00FF60EF"/>
    <w:rsid w:val="00FF6C44"/>
    <w:rsid w:val="00FF6F4D"/>
    <w:rsid w:val="00FF71B2"/>
    <w:rsid w:val="00FF72B4"/>
    <w:rsid w:val="00FF746E"/>
    <w:rsid w:val="00FF74C7"/>
    <w:rsid w:val="00FF76DA"/>
    <w:rsid w:val="00FF7D2A"/>
    <w:rsid w:val="00FF7F55"/>
    <w:rsid w:val="041673FA"/>
    <w:rsid w:val="1FC6BE76"/>
    <w:rsid w:val="209F82CC"/>
    <w:rsid w:val="23EB6E6C"/>
    <w:rsid w:val="29127CE6"/>
    <w:rsid w:val="2C43D942"/>
    <w:rsid w:val="3703EF74"/>
    <w:rsid w:val="3948EE8D"/>
    <w:rsid w:val="3BCA96EB"/>
    <w:rsid w:val="3D1CEEA9"/>
    <w:rsid w:val="45D70975"/>
    <w:rsid w:val="469F6183"/>
    <w:rsid w:val="4BB8E431"/>
    <w:rsid w:val="5AFFCBAB"/>
    <w:rsid w:val="5DBE0198"/>
    <w:rsid w:val="713540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9C7928"/>
  <w15:docId w15:val="{307D006D-E2ED-4095-BC58-E71D484F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EA2"/>
    <w:pPr>
      <w:autoSpaceDE w:val="0"/>
      <w:autoSpaceDN w:val="0"/>
      <w:adjustRightInd w:val="0"/>
    </w:pPr>
    <w:rPr>
      <w:rFonts w:ascii="Arial" w:hAnsi="Arial"/>
    </w:rPr>
  </w:style>
  <w:style w:type="paragraph" w:styleId="Heading1">
    <w:name w:val="heading 1"/>
    <w:basedOn w:val="Normal"/>
    <w:next w:val="Normal"/>
    <w:link w:val="Heading1Char"/>
    <w:uiPriority w:val="9"/>
    <w:qFormat/>
    <w:rsid w:val="00CF58ED"/>
    <w:pPr>
      <w:keepNext/>
      <w:outlineLvl w:val="0"/>
    </w:pPr>
    <w:rPr>
      <w:rFonts w:cs="Arial"/>
      <w:b/>
      <w:bCs/>
      <w:kern w:val="32"/>
      <w:sz w:val="32"/>
      <w:szCs w:val="32"/>
    </w:rPr>
  </w:style>
  <w:style w:type="paragraph" w:styleId="Heading2">
    <w:name w:val="heading 2"/>
    <w:basedOn w:val="Normal"/>
    <w:next w:val="Normal"/>
    <w:link w:val="Heading2Char"/>
    <w:uiPriority w:val="9"/>
    <w:qFormat/>
    <w:rsid w:val="0026590D"/>
    <w:pPr>
      <w:keepNext/>
      <w:keepLines/>
      <w:outlineLvl w:val="1"/>
    </w:pPr>
    <w:rPr>
      <w:rFonts w:cs="Arial"/>
      <w:b/>
      <w:bCs/>
      <w:i/>
      <w:iCs/>
      <w:sz w:val="28"/>
      <w:szCs w:val="28"/>
    </w:rPr>
  </w:style>
  <w:style w:type="paragraph" w:styleId="Heading3">
    <w:name w:val="heading 3"/>
    <w:basedOn w:val="Normal"/>
    <w:next w:val="Normal"/>
    <w:link w:val="Heading3Char"/>
    <w:uiPriority w:val="9"/>
    <w:qFormat/>
    <w:rsid w:val="0026590D"/>
    <w:pPr>
      <w:keepNext/>
      <w:ind w:left="994" w:hanging="994"/>
      <w:outlineLvl w:val="2"/>
    </w:pPr>
    <w:rPr>
      <w:rFonts w:cs="Arial"/>
      <w:b/>
      <w:bCs/>
      <w:sz w:val="26"/>
      <w:szCs w:val="26"/>
    </w:rPr>
  </w:style>
  <w:style w:type="paragraph" w:styleId="Heading4">
    <w:name w:val="heading 4"/>
    <w:basedOn w:val="Normal"/>
    <w:next w:val="Normal"/>
    <w:link w:val="Heading4Char"/>
    <w:qFormat/>
    <w:rsid w:val="00DE513F"/>
    <w:pPr>
      <w:keepNext/>
      <w:spacing w:before="240" w:after="60"/>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A3952"/>
    <w:pPr>
      <w:autoSpaceDE w:val="0"/>
      <w:autoSpaceDN w:val="0"/>
      <w:adjustRightInd w:val="0"/>
      <w:ind w:left="720"/>
    </w:pPr>
    <w:rPr>
      <w:rFonts w:ascii="Arial" w:hAnsi="Arial"/>
      <w:sz w:val="24"/>
      <w:szCs w:val="24"/>
    </w:rPr>
  </w:style>
  <w:style w:type="paragraph" w:customStyle="1" w:styleId="Level2">
    <w:name w:val="Level 2"/>
    <w:rsid w:val="00CA3952"/>
    <w:pPr>
      <w:autoSpaceDE w:val="0"/>
      <w:autoSpaceDN w:val="0"/>
      <w:adjustRightInd w:val="0"/>
      <w:ind w:left="1440"/>
    </w:pPr>
    <w:rPr>
      <w:rFonts w:ascii="Arial" w:hAnsi="Arial"/>
      <w:sz w:val="24"/>
      <w:szCs w:val="24"/>
    </w:rPr>
  </w:style>
  <w:style w:type="paragraph" w:customStyle="1" w:styleId="Level3">
    <w:name w:val="Level 3"/>
    <w:rsid w:val="00CA3952"/>
    <w:pPr>
      <w:autoSpaceDE w:val="0"/>
      <w:autoSpaceDN w:val="0"/>
      <w:adjustRightInd w:val="0"/>
      <w:ind w:left="2160"/>
    </w:pPr>
    <w:rPr>
      <w:rFonts w:ascii="Arial" w:hAnsi="Arial"/>
      <w:sz w:val="24"/>
      <w:szCs w:val="24"/>
    </w:rPr>
  </w:style>
  <w:style w:type="paragraph" w:customStyle="1" w:styleId="Level4">
    <w:name w:val="Level 4"/>
    <w:rsid w:val="00CA3952"/>
    <w:pPr>
      <w:autoSpaceDE w:val="0"/>
      <w:autoSpaceDN w:val="0"/>
      <w:adjustRightInd w:val="0"/>
      <w:ind w:left="2880"/>
    </w:pPr>
    <w:rPr>
      <w:rFonts w:ascii="Arial" w:hAnsi="Arial"/>
      <w:sz w:val="24"/>
      <w:szCs w:val="24"/>
    </w:rPr>
  </w:style>
  <w:style w:type="paragraph" w:customStyle="1" w:styleId="Level5">
    <w:name w:val="Level 5"/>
    <w:rsid w:val="00CA3952"/>
    <w:pPr>
      <w:autoSpaceDE w:val="0"/>
      <w:autoSpaceDN w:val="0"/>
      <w:adjustRightInd w:val="0"/>
      <w:ind w:left="3600"/>
    </w:pPr>
    <w:rPr>
      <w:rFonts w:ascii="Arial" w:hAnsi="Arial"/>
      <w:sz w:val="24"/>
      <w:szCs w:val="24"/>
    </w:rPr>
  </w:style>
  <w:style w:type="paragraph" w:customStyle="1" w:styleId="Level6">
    <w:name w:val="Level 6"/>
    <w:rsid w:val="00CA3952"/>
    <w:pPr>
      <w:autoSpaceDE w:val="0"/>
      <w:autoSpaceDN w:val="0"/>
      <w:adjustRightInd w:val="0"/>
      <w:ind w:left="4320"/>
    </w:pPr>
    <w:rPr>
      <w:rFonts w:ascii="Arial" w:hAnsi="Arial"/>
      <w:sz w:val="24"/>
      <w:szCs w:val="24"/>
    </w:rPr>
  </w:style>
  <w:style w:type="paragraph" w:customStyle="1" w:styleId="Level7">
    <w:name w:val="Level 7"/>
    <w:rsid w:val="00CA3952"/>
    <w:pPr>
      <w:autoSpaceDE w:val="0"/>
      <w:autoSpaceDN w:val="0"/>
      <w:adjustRightInd w:val="0"/>
      <w:ind w:left="5040"/>
    </w:pPr>
    <w:rPr>
      <w:rFonts w:ascii="Arial" w:hAnsi="Arial"/>
      <w:sz w:val="24"/>
      <w:szCs w:val="24"/>
    </w:rPr>
  </w:style>
  <w:style w:type="paragraph" w:customStyle="1" w:styleId="Level8">
    <w:name w:val="Level 8"/>
    <w:rsid w:val="00CA3952"/>
    <w:pPr>
      <w:autoSpaceDE w:val="0"/>
      <w:autoSpaceDN w:val="0"/>
      <w:adjustRightInd w:val="0"/>
      <w:ind w:left="5760"/>
    </w:pPr>
    <w:rPr>
      <w:rFonts w:ascii="Arial" w:hAnsi="Arial"/>
      <w:sz w:val="24"/>
      <w:szCs w:val="24"/>
    </w:rPr>
  </w:style>
  <w:style w:type="paragraph" w:customStyle="1" w:styleId="Level9">
    <w:name w:val="Level 9"/>
    <w:rsid w:val="00CA3952"/>
    <w:pPr>
      <w:autoSpaceDE w:val="0"/>
      <w:autoSpaceDN w:val="0"/>
      <w:adjustRightInd w:val="0"/>
      <w:ind w:left="-1440"/>
    </w:pPr>
    <w:rPr>
      <w:rFonts w:ascii="Arial" w:hAnsi="Arial"/>
      <w:b/>
      <w:bCs/>
      <w:sz w:val="24"/>
      <w:szCs w:val="24"/>
    </w:rPr>
  </w:style>
  <w:style w:type="paragraph" w:styleId="Header">
    <w:name w:val="header"/>
    <w:basedOn w:val="Normal"/>
    <w:link w:val="HeaderChar"/>
    <w:uiPriority w:val="99"/>
    <w:rsid w:val="003815E3"/>
    <w:pPr>
      <w:tabs>
        <w:tab w:val="center" w:pos="4320"/>
        <w:tab w:val="right" w:pos="8640"/>
      </w:tabs>
    </w:pPr>
  </w:style>
  <w:style w:type="paragraph" w:styleId="Footer">
    <w:name w:val="footer"/>
    <w:basedOn w:val="Normal"/>
    <w:link w:val="FooterChar"/>
    <w:uiPriority w:val="99"/>
    <w:rsid w:val="003815E3"/>
    <w:pPr>
      <w:tabs>
        <w:tab w:val="center" w:pos="4320"/>
        <w:tab w:val="right" w:pos="8640"/>
      </w:tabs>
    </w:pPr>
  </w:style>
  <w:style w:type="table" w:styleId="TableGrid">
    <w:name w:val="Table Grid"/>
    <w:basedOn w:val="TableNormal"/>
    <w:uiPriority w:val="59"/>
    <w:rsid w:val="00005F74"/>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162E6"/>
  </w:style>
  <w:style w:type="character" w:styleId="FootnoteReference">
    <w:name w:val="footnote reference"/>
    <w:basedOn w:val="DefaultParagraphFont"/>
    <w:rsid w:val="007162E6"/>
    <w:rPr>
      <w:vertAlign w:val="superscript"/>
    </w:rPr>
  </w:style>
  <w:style w:type="paragraph" w:styleId="TOC1">
    <w:name w:val="toc 1"/>
    <w:basedOn w:val="Normal"/>
    <w:next w:val="Normal"/>
    <w:autoRedefine/>
    <w:uiPriority w:val="39"/>
    <w:rsid w:val="00200F02"/>
    <w:pPr>
      <w:tabs>
        <w:tab w:val="left" w:pos="720"/>
        <w:tab w:val="right" w:leader="dot" w:pos="9360"/>
      </w:tabs>
    </w:pPr>
  </w:style>
  <w:style w:type="character" w:styleId="Hyperlink">
    <w:name w:val="Hyperlink"/>
    <w:basedOn w:val="DefaultParagraphFont"/>
    <w:uiPriority w:val="99"/>
    <w:rsid w:val="00B67764"/>
    <w:rPr>
      <w:color w:val="0000FF"/>
      <w:u w:val="single"/>
    </w:rPr>
  </w:style>
  <w:style w:type="paragraph" w:styleId="TOC2">
    <w:name w:val="toc 2"/>
    <w:basedOn w:val="Normal"/>
    <w:next w:val="Normal"/>
    <w:autoRedefine/>
    <w:uiPriority w:val="39"/>
    <w:rsid w:val="00C357D2"/>
    <w:pPr>
      <w:tabs>
        <w:tab w:val="left" w:pos="1080"/>
        <w:tab w:val="right" w:leader="dot" w:pos="9360"/>
      </w:tabs>
      <w:ind w:left="1080" w:hanging="1080"/>
    </w:pPr>
  </w:style>
  <w:style w:type="character" w:styleId="PageNumber">
    <w:name w:val="page number"/>
    <w:basedOn w:val="DefaultParagraphFont"/>
    <w:rsid w:val="008C4DB3"/>
  </w:style>
  <w:style w:type="paragraph" w:customStyle="1" w:styleId="StyleHeading211ptNotItalicLeft046">
    <w:name w:val="Style Heading 2 + 11 pt Not Italic Left:  0.46&quot;"/>
    <w:basedOn w:val="Heading2"/>
    <w:rsid w:val="003B17AF"/>
    <w:pPr>
      <w:tabs>
        <w:tab w:val="left" w:pos="2160"/>
      </w:tabs>
      <w:ind w:left="720"/>
    </w:pPr>
    <w:rPr>
      <w:rFonts w:cs="Times New Roman"/>
      <w:i w:val="0"/>
      <w:iCs w:val="0"/>
      <w:sz w:val="22"/>
      <w:szCs w:val="20"/>
    </w:rPr>
  </w:style>
  <w:style w:type="paragraph" w:styleId="BalloonText">
    <w:name w:val="Balloon Text"/>
    <w:basedOn w:val="Normal"/>
    <w:link w:val="BalloonTextChar"/>
    <w:uiPriority w:val="99"/>
    <w:semiHidden/>
    <w:rsid w:val="00DF4493"/>
    <w:rPr>
      <w:rFonts w:ascii="Tahoma" w:hAnsi="Tahoma" w:cs="Tahoma"/>
      <w:sz w:val="16"/>
      <w:szCs w:val="16"/>
    </w:rPr>
  </w:style>
  <w:style w:type="character" w:styleId="CommentReference">
    <w:name w:val="annotation reference"/>
    <w:basedOn w:val="DefaultParagraphFont"/>
    <w:uiPriority w:val="99"/>
    <w:semiHidden/>
    <w:rsid w:val="0097246F"/>
    <w:rPr>
      <w:sz w:val="16"/>
      <w:szCs w:val="16"/>
    </w:rPr>
  </w:style>
  <w:style w:type="paragraph" w:styleId="CommentText">
    <w:name w:val="annotation text"/>
    <w:basedOn w:val="Normal"/>
    <w:link w:val="CommentTextChar"/>
    <w:uiPriority w:val="99"/>
    <w:rsid w:val="0097246F"/>
  </w:style>
  <w:style w:type="paragraph" w:styleId="CommentSubject">
    <w:name w:val="annotation subject"/>
    <w:basedOn w:val="CommentText"/>
    <w:next w:val="CommentText"/>
    <w:link w:val="CommentSubjectChar"/>
    <w:semiHidden/>
    <w:rsid w:val="0097246F"/>
    <w:rPr>
      <w:b/>
      <w:bCs/>
    </w:rPr>
  </w:style>
  <w:style w:type="character" w:styleId="FollowedHyperlink">
    <w:name w:val="FollowedHyperlink"/>
    <w:basedOn w:val="DefaultParagraphFont"/>
    <w:rsid w:val="00A92E86"/>
    <w:rPr>
      <w:color w:val="800080"/>
      <w:u w:val="single"/>
    </w:rPr>
  </w:style>
  <w:style w:type="character" w:customStyle="1" w:styleId="FootnoteTextChar">
    <w:name w:val="Footnote Text Char"/>
    <w:basedOn w:val="DefaultParagraphFont"/>
    <w:link w:val="FootnoteText"/>
    <w:rsid w:val="00F20CC8"/>
    <w:rPr>
      <w:rFonts w:ascii="Arial" w:hAnsi="Arial"/>
    </w:rPr>
  </w:style>
  <w:style w:type="paragraph" w:styleId="ListParagraph">
    <w:name w:val="List Paragraph"/>
    <w:basedOn w:val="Normal"/>
    <w:uiPriority w:val="34"/>
    <w:qFormat/>
    <w:rsid w:val="00F20CC8"/>
    <w:pPr>
      <w:ind w:left="720"/>
      <w:contextualSpacing/>
    </w:pPr>
  </w:style>
  <w:style w:type="character" w:customStyle="1" w:styleId="CommentTextChar">
    <w:name w:val="Comment Text Char"/>
    <w:basedOn w:val="DefaultParagraphFont"/>
    <w:link w:val="CommentText"/>
    <w:uiPriority w:val="99"/>
    <w:rsid w:val="00E74ADD"/>
    <w:rPr>
      <w:rFonts w:ascii="Arial" w:hAnsi="Arial"/>
    </w:rPr>
  </w:style>
  <w:style w:type="character" w:customStyle="1" w:styleId="HeaderChar">
    <w:name w:val="Header Char"/>
    <w:basedOn w:val="DefaultParagraphFont"/>
    <w:link w:val="Header"/>
    <w:uiPriority w:val="99"/>
    <w:rsid w:val="009A56BC"/>
    <w:rPr>
      <w:rFonts w:ascii="Arial" w:hAnsi="Arial"/>
    </w:rPr>
  </w:style>
  <w:style w:type="paragraph" w:styleId="Revision">
    <w:name w:val="Revision"/>
    <w:hidden/>
    <w:uiPriority w:val="99"/>
    <w:semiHidden/>
    <w:rsid w:val="004C276E"/>
    <w:rPr>
      <w:rFonts w:ascii="Arial" w:hAnsi="Arial"/>
    </w:rPr>
  </w:style>
  <w:style w:type="paragraph" w:styleId="TOC3">
    <w:name w:val="toc 3"/>
    <w:basedOn w:val="Normal"/>
    <w:next w:val="Normal"/>
    <w:autoRedefine/>
    <w:uiPriority w:val="39"/>
    <w:rsid w:val="00200F02"/>
    <w:pPr>
      <w:tabs>
        <w:tab w:val="left" w:pos="1100"/>
        <w:tab w:val="right" w:leader="dot" w:pos="9360"/>
      </w:tabs>
      <w:ind w:left="1080" w:hanging="680"/>
    </w:pPr>
  </w:style>
  <w:style w:type="character" w:customStyle="1" w:styleId="st1">
    <w:name w:val="st1"/>
    <w:basedOn w:val="DefaultParagraphFont"/>
    <w:rsid w:val="001C398F"/>
  </w:style>
  <w:style w:type="character" w:customStyle="1" w:styleId="Heading1Char">
    <w:name w:val="Heading 1 Char"/>
    <w:basedOn w:val="DefaultParagraphFont"/>
    <w:link w:val="Heading1"/>
    <w:uiPriority w:val="9"/>
    <w:rsid w:val="00CF58ED"/>
    <w:rPr>
      <w:rFonts w:ascii="Arial" w:hAnsi="Arial" w:cs="Arial"/>
      <w:b/>
      <w:bCs/>
      <w:kern w:val="32"/>
      <w:sz w:val="32"/>
      <w:szCs w:val="32"/>
    </w:rPr>
  </w:style>
  <w:style w:type="character" w:customStyle="1" w:styleId="Heading2Char">
    <w:name w:val="Heading 2 Char"/>
    <w:basedOn w:val="DefaultParagraphFont"/>
    <w:link w:val="Heading2"/>
    <w:uiPriority w:val="9"/>
    <w:rsid w:val="0026590D"/>
    <w:rPr>
      <w:rFonts w:ascii="Arial" w:hAnsi="Arial" w:cs="Arial"/>
      <w:b/>
      <w:bCs/>
      <w:i/>
      <w:iCs/>
      <w:sz w:val="28"/>
      <w:szCs w:val="28"/>
    </w:rPr>
  </w:style>
  <w:style w:type="character" w:customStyle="1" w:styleId="Heading3Char">
    <w:name w:val="Heading 3 Char"/>
    <w:basedOn w:val="DefaultParagraphFont"/>
    <w:link w:val="Heading3"/>
    <w:uiPriority w:val="9"/>
    <w:rsid w:val="0026590D"/>
    <w:rPr>
      <w:rFonts w:ascii="Arial" w:hAnsi="Arial" w:cs="Arial"/>
      <w:b/>
      <w:bCs/>
      <w:sz w:val="26"/>
      <w:szCs w:val="26"/>
    </w:rPr>
  </w:style>
  <w:style w:type="character" w:customStyle="1" w:styleId="Heading4Char">
    <w:name w:val="Heading 4 Char"/>
    <w:basedOn w:val="DefaultParagraphFont"/>
    <w:link w:val="Heading4"/>
    <w:rsid w:val="00761301"/>
    <w:rPr>
      <w:rFonts w:ascii="Arial" w:hAnsi="Arial"/>
      <w:b/>
      <w:bCs/>
      <w:sz w:val="24"/>
      <w:szCs w:val="28"/>
    </w:rPr>
  </w:style>
  <w:style w:type="character" w:customStyle="1" w:styleId="FooterChar">
    <w:name w:val="Footer Char"/>
    <w:basedOn w:val="DefaultParagraphFont"/>
    <w:link w:val="Footer"/>
    <w:uiPriority w:val="99"/>
    <w:rsid w:val="00761301"/>
    <w:rPr>
      <w:rFonts w:ascii="Arial" w:hAnsi="Arial"/>
    </w:rPr>
  </w:style>
  <w:style w:type="character" w:customStyle="1" w:styleId="BalloonTextChar">
    <w:name w:val="Balloon Text Char"/>
    <w:basedOn w:val="DefaultParagraphFont"/>
    <w:link w:val="BalloonText"/>
    <w:uiPriority w:val="99"/>
    <w:semiHidden/>
    <w:rsid w:val="00761301"/>
    <w:rPr>
      <w:rFonts w:ascii="Tahoma" w:hAnsi="Tahoma" w:cs="Tahoma"/>
      <w:sz w:val="16"/>
      <w:szCs w:val="16"/>
    </w:rPr>
  </w:style>
  <w:style w:type="character" w:customStyle="1" w:styleId="CommentSubjectChar">
    <w:name w:val="Comment Subject Char"/>
    <w:basedOn w:val="CommentTextChar"/>
    <w:link w:val="CommentSubject"/>
    <w:semiHidden/>
    <w:rsid w:val="00761301"/>
    <w:rPr>
      <w:rFonts w:ascii="Arial" w:hAnsi="Arial"/>
      <w:b/>
      <w:bCs/>
    </w:rPr>
  </w:style>
  <w:style w:type="paragraph" w:styleId="Caption">
    <w:name w:val="caption"/>
    <w:basedOn w:val="Normal"/>
    <w:next w:val="Normal"/>
    <w:uiPriority w:val="35"/>
    <w:unhideWhenUsed/>
    <w:qFormat/>
    <w:rsid w:val="00EA4A1A"/>
    <w:pPr>
      <w:keepNext/>
      <w:spacing w:after="200"/>
    </w:pPr>
    <w:rPr>
      <w:rFonts w:eastAsiaTheme="minorHAnsi" w:cs="Arial"/>
      <w:bCs/>
      <w:sz w:val="22"/>
      <w:szCs w:val="22"/>
    </w:rPr>
  </w:style>
  <w:style w:type="paragraph" w:customStyle="1" w:styleId="tabletext">
    <w:name w:val="tabletext"/>
    <w:basedOn w:val="Normal"/>
    <w:rsid w:val="00EA4A1A"/>
    <w:pPr>
      <w:autoSpaceDE/>
      <w:autoSpaceDN/>
      <w:adjustRightInd/>
      <w:spacing w:before="100" w:beforeAutospacing="1" w:after="100" w:afterAutospacing="1"/>
    </w:pPr>
    <w:rPr>
      <w:rFonts w:ascii="Times New Roman" w:hAnsi="Times New Roman"/>
      <w:sz w:val="24"/>
      <w:szCs w:val="24"/>
    </w:rPr>
  </w:style>
  <w:style w:type="paragraph" w:customStyle="1" w:styleId="Table">
    <w:name w:val="Table"/>
    <w:basedOn w:val="Normal"/>
    <w:link w:val="TableChar"/>
    <w:qFormat/>
    <w:rsid w:val="000E480B"/>
    <w:pPr>
      <w:keepNext/>
      <w:keepLines/>
      <w:numPr>
        <w:ilvl w:val="12"/>
      </w:numPr>
      <w:tabs>
        <w:tab w:val="left" w:pos="0"/>
        <w:tab w:val="left" w:pos="720"/>
        <w:tab w:val="left" w:pos="1287"/>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 w:val="22"/>
      <w:szCs w:val="22"/>
    </w:rPr>
  </w:style>
  <w:style w:type="paragraph" w:styleId="TableofFigures">
    <w:name w:val="table of figures"/>
    <w:basedOn w:val="Normal"/>
    <w:next w:val="Normal"/>
    <w:uiPriority w:val="99"/>
    <w:unhideWhenUsed/>
    <w:rsid w:val="00BE4EA0"/>
    <w:pPr>
      <w:spacing w:after="120"/>
      <w:ind w:left="1080" w:hanging="1080"/>
    </w:pPr>
    <w:rPr>
      <w:rFonts w:ascii="Arial Bold" w:hAnsi="Arial Bold"/>
      <w:b/>
      <w:sz w:val="22"/>
    </w:rPr>
  </w:style>
  <w:style w:type="paragraph" w:customStyle="1" w:styleId="Figure">
    <w:name w:val="Figure"/>
    <w:basedOn w:val="Table"/>
    <w:link w:val="FigureChar"/>
    <w:qFormat/>
    <w:rsid w:val="00D6350C"/>
  </w:style>
  <w:style w:type="character" w:customStyle="1" w:styleId="TableChar">
    <w:name w:val="Table Char"/>
    <w:basedOn w:val="DefaultParagraphFont"/>
    <w:link w:val="Table"/>
    <w:rsid w:val="000E480B"/>
    <w:rPr>
      <w:rFonts w:ascii="Arial" w:hAnsi="Arial"/>
      <w:b/>
      <w:bCs/>
      <w:sz w:val="22"/>
      <w:szCs w:val="22"/>
    </w:rPr>
  </w:style>
  <w:style w:type="character" w:customStyle="1" w:styleId="FigureChar">
    <w:name w:val="Figure Char"/>
    <w:basedOn w:val="TableChar"/>
    <w:link w:val="Figure"/>
    <w:rsid w:val="00D6350C"/>
    <w:rPr>
      <w:rFonts w:ascii="Arial" w:hAnsi="Arial"/>
      <w:b/>
      <w:bCs/>
      <w:sz w:val="22"/>
      <w:szCs w:val="22"/>
    </w:rPr>
  </w:style>
  <w:style w:type="paragraph" w:styleId="TOCHeading">
    <w:name w:val="TOC Heading"/>
    <w:basedOn w:val="Heading1"/>
    <w:next w:val="Normal"/>
    <w:uiPriority w:val="39"/>
    <w:unhideWhenUsed/>
    <w:qFormat/>
    <w:rsid w:val="00DF472D"/>
    <w:pPr>
      <w:keepLines/>
      <w:autoSpaceDE/>
      <w:autoSpaceDN/>
      <w:adjustRightInd/>
      <w:spacing w:line="259" w:lineRule="auto"/>
      <w:outlineLvl w:val="9"/>
    </w:pPr>
    <w:rPr>
      <w:rFonts w:asciiTheme="majorHAnsi" w:eastAsiaTheme="majorEastAsia" w:hAnsiTheme="majorHAnsi" w:cstheme="majorBidi"/>
      <w:b w:val="0"/>
      <w:bCs w:val="0"/>
      <w:color w:val="365F91" w:themeColor="accent1" w:themeShade="BF"/>
      <w:kern w:val="0"/>
    </w:rPr>
  </w:style>
  <w:style w:type="paragraph" w:styleId="NormalWeb">
    <w:name w:val="Normal (Web)"/>
    <w:basedOn w:val="Normal"/>
    <w:uiPriority w:val="99"/>
    <w:semiHidden/>
    <w:unhideWhenUsed/>
    <w:rsid w:val="00E449E0"/>
    <w:pPr>
      <w:autoSpaceDE/>
      <w:autoSpaceDN/>
      <w:adjustRightInd/>
      <w:spacing w:before="100" w:beforeAutospacing="1" w:after="100" w:afterAutospacing="1"/>
    </w:pPr>
    <w:rPr>
      <w:rFonts w:ascii="Times New Roman" w:eastAsiaTheme="minorEastAsia" w:hAnsi="Times New Roman"/>
      <w:sz w:val="24"/>
      <w:szCs w:val="24"/>
    </w:rPr>
  </w:style>
  <w:style w:type="paragraph" w:customStyle="1" w:styleId="Default">
    <w:name w:val="Default"/>
    <w:rsid w:val="00FC749F"/>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EB16FC"/>
    <w:rPr>
      <w:color w:val="808080"/>
    </w:rPr>
  </w:style>
  <w:style w:type="character" w:styleId="UnresolvedMention">
    <w:name w:val="Unresolved Mention"/>
    <w:basedOn w:val="DefaultParagraphFont"/>
    <w:uiPriority w:val="99"/>
    <w:unhideWhenUsed/>
    <w:rsid w:val="000E63FB"/>
    <w:rPr>
      <w:color w:val="605E5C"/>
      <w:shd w:val="clear" w:color="auto" w:fill="E1DFDD"/>
    </w:rPr>
  </w:style>
  <w:style w:type="paragraph" w:styleId="BodyText">
    <w:name w:val="Body Text"/>
    <w:basedOn w:val="Normal"/>
    <w:link w:val="BodyTextChar"/>
    <w:uiPriority w:val="1"/>
    <w:qFormat/>
    <w:rsid w:val="00ED66A3"/>
    <w:pPr>
      <w:widowControl w:val="0"/>
      <w:adjustRightInd/>
      <w:spacing w:line="259" w:lineRule="auto"/>
    </w:pPr>
    <w:rPr>
      <w:rFonts w:eastAsia="Arial" w:cs="Arial"/>
      <w:sz w:val="22"/>
      <w:szCs w:val="22"/>
    </w:rPr>
  </w:style>
  <w:style w:type="character" w:customStyle="1" w:styleId="BodyTextChar">
    <w:name w:val="Body Text Char"/>
    <w:basedOn w:val="DefaultParagraphFont"/>
    <w:link w:val="BodyText"/>
    <w:uiPriority w:val="1"/>
    <w:rsid w:val="00ED66A3"/>
    <w:rPr>
      <w:rFonts w:ascii="Arial" w:eastAsia="Arial" w:hAnsi="Arial" w:cs="Arial"/>
      <w:sz w:val="22"/>
      <w:szCs w:val="22"/>
    </w:rPr>
  </w:style>
  <w:style w:type="character" w:customStyle="1" w:styleId="normaltextrun">
    <w:name w:val="normaltextrun"/>
    <w:basedOn w:val="DefaultParagraphFont"/>
    <w:rsid w:val="003C35F1"/>
  </w:style>
  <w:style w:type="character" w:customStyle="1" w:styleId="eop">
    <w:name w:val="eop"/>
    <w:basedOn w:val="DefaultParagraphFont"/>
    <w:rsid w:val="003C35F1"/>
  </w:style>
  <w:style w:type="character" w:styleId="Mention">
    <w:name w:val="Mention"/>
    <w:basedOn w:val="DefaultParagraphFont"/>
    <w:uiPriority w:val="99"/>
    <w:unhideWhenUsed/>
    <w:rsid w:val="009012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1907">
      <w:bodyDiv w:val="1"/>
      <w:marLeft w:val="0"/>
      <w:marRight w:val="0"/>
      <w:marTop w:val="0"/>
      <w:marBottom w:val="0"/>
      <w:divBdr>
        <w:top w:val="none" w:sz="0" w:space="0" w:color="auto"/>
        <w:left w:val="none" w:sz="0" w:space="0" w:color="auto"/>
        <w:bottom w:val="none" w:sz="0" w:space="0" w:color="auto"/>
        <w:right w:val="none" w:sz="0" w:space="0" w:color="auto"/>
      </w:divBdr>
    </w:div>
    <w:div w:id="21561535">
      <w:bodyDiv w:val="1"/>
      <w:marLeft w:val="0"/>
      <w:marRight w:val="0"/>
      <w:marTop w:val="0"/>
      <w:marBottom w:val="0"/>
      <w:divBdr>
        <w:top w:val="none" w:sz="0" w:space="0" w:color="auto"/>
        <w:left w:val="none" w:sz="0" w:space="0" w:color="auto"/>
        <w:bottom w:val="none" w:sz="0" w:space="0" w:color="auto"/>
        <w:right w:val="none" w:sz="0" w:space="0" w:color="auto"/>
      </w:divBdr>
    </w:div>
    <w:div w:id="21635776">
      <w:bodyDiv w:val="1"/>
      <w:marLeft w:val="0"/>
      <w:marRight w:val="0"/>
      <w:marTop w:val="0"/>
      <w:marBottom w:val="0"/>
      <w:divBdr>
        <w:top w:val="none" w:sz="0" w:space="0" w:color="auto"/>
        <w:left w:val="none" w:sz="0" w:space="0" w:color="auto"/>
        <w:bottom w:val="none" w:sz="0" w:space="0" w:color="auto"/>
        <w:right w:val="none" w:sz="0" w:space="0" w:color="auto"/>
      </w:divBdr>
    </w:div>
    <w:div w:id="44912650">
      <w:bodyDiv w:val="1"/>
      <w:marLeft w:val="0"/>
      <w:marRight w:val="0"/>
      <w:marTop w:val="0"/>
      <w:marBottom w:val="0"/>
      <w:divBdr>
        <w:top w:val="none" w:sz="0" w:space="0" w:color="auto"/>
        <w:left w:val="none" w:sz="0" w:space="0" w:color="auto"/>
        <w:bottom w:val="none" w:sz="0" w:space="0" w:color="auto"/>
        <w:right w:val="none" w:sz="0" w:space="0" w:color="auto"/>
      </w:divBdr>
    </w:div>
    <w:div w:id="83034848">
      <w:bodyDiv w:val="1"/>
      <w:marLeft w:val="0"/>
      <w:marRight w:val="0"/>
      <w:marTop w:val="0"/>
      <w:marBottom w:val="0"/>
      <w:divBdr>
        <w:top w:val="none" w:sz="0" w:space="0" w:color="auto"/>
        <w:left w:val="none" w:sz="0" w:space="0" w:color="auto"/>
        <w:bottom w:val="none" w:sz="0" w:space="0" w:color="auto"/>
        <w:right w:val="none" w:sz="0" w:space="0" w:color="auto"/>
      </w:divBdr>
    </w:div>
    <w:div w:id="141892076">
      <w:bodyDiv w:val="1"/>
      <w:marLeft w:val="0"/>
      <w:marRight w:val="0"/>
      <w:marTop w:val="0"/>
      <w:marBottom w:val="0"/>
      <w:divBdr>
        <w:top w:val="none" w:sz="0" w:space="0" w:color="auto"/>
        <w:left w:val="none" w:sz="0" w:space="0" w:color="auto"/>
        <w:bottom w:val="none" w:sz="0" w:space="0" w:color="auto"/>
        <w:right w:val="none" w:sz="0" w:space="0" w:color="auto"/>
      </w:divBdr>
    </w:div>
    <w:div w:id="160195042">
      <w:bodyDiv w:val="1"/>
      <w:marLeft w:val="0"/>
      <w:marRight w:val="0"/>
      <w:marTop w:val="0"/>
      <w:marBottom w:val="0"/>
      <w:divBdr>
        <w:top w:val="none" w:sz="0" w:space="0" w:color="auto"/>
        <w:left w:val="none" w:sz="0" w:space="0" w:color="auto"/>
        <w:bottom w:val="none" w:sz="0" w:space="0" w:color="auto"/>
        <w:right w:val="none" w:sz="0" w:space="0" w:color="auto"/>
      </w:divBdr>
    </w:div>
    <w:div w:id="179321952">
      <w:bodyDiv w:val="1"/>
      <w:marLeft w:val="0"/>
      <w:marRight w:val="0"/>
      <w:marTop w:val="0"/>
      <w:marBottom w:val="0"/>
      <w:divBdr>
        <w:top w:val="none" w:sz="0" w:space="0" w:color="auto"/>
        <w:left w:val="none" w:sz="0" w:space="0" w:color="auto"/>
        <w:bottom w:val="none" w:sz="0" w:space="0" w:color="auto"/>
        <w:right w:val="none" w:sz="0" w:space="0" w:color="auto"/>
      </w:divBdr>
    </w:div>
    <w:div w:id="216204798">
      <w:bodyDiv w:val="1"/>
      <w:marLeft w:val="0"/>
      <w:marRight w:val="0"/>
      <w:marTop w:val="0"/>
      <w:marBottom w:val="0"/>
      <w:divBdr>
        <w:top w:val="none" w:sz="0" w:space="0" w:color="auto"/>
        <w:left w:val="none" w:sz="0" w:space="0" w:color="auto"/>
        <w:bottom w:val="none" w:sz="0" w:space="0" w:color="auto"/>
        <w:right w:val="none" w:sz="0" w:space="0" w:color="auto"/>
      </w:divBdr>
    </w:div>
    <w:div w:id="217937179">
      <w:bodyDiv w:val="1"/>
      <w:marLeft w:val="0"/>
      <w:marRight w:val="0"/>
      <w:marTop w:val="0"/>
      <w:marBottom w:val="0"/>
      <w:divBdr>
        <w:top w:val="none" w:sz="0" w:space="0" w:color="auto"/>
        <w:left w:val="none" w:sz="0" w:space="0" w:color="auto"/>
        <w:bottom w:val="none" w:sz="0" w:space="0" w:color="auto"/>
        <w:right w:val="none" w:sz="0" w:space="0" w:color="auto"/>
      </w:divBdr>
    </w:div>
    <w:div w:id="229927400">
      <w:bodyDiv w:val="1"/>
      <w:marLeft w:val="0"/>
      <w:marRight w:val="0"/>
      <w:marTop w:val="0"/>
      <w:marBottom w:val="0"/>
      <w:divBdr>
        <w:top w:val="none" w:sz="0" w:space="0" w:color="auto"/>
        <w:left w:val="none" w:sz="0" w:space="0" w:color="auto"/>
        <w:bottom w:val="none" w:sz="0" w:space="0" w:color="auto"/>
        <w:right w:val="none" w:sz="0" w:space="0" w:color="auto"/>
      </w:divBdr>
    </w:div>
    <w:div w:id="245001495">
      <w:bodyDiv w:val="1"/>
      <w:marLeft w:val="0"/>
      <w:marRight w:val="0"/>
      <w:marTop w:val="0"/>
      <w:marBottom w:val="0"/>
      <w:divBdr>
        <w:top w:val="none" w:sz="0" w:space="0" w:color="auto"/>
        <w:left w:val="none" w:sz="0" w:space="0" w:color="auto"/>
        <w:bottom w:val="none" w:sz="0" w:space="0" w:color="auto"/>
        <w:right w:val="none" w:sz="0" w:space="0" w:color="auto"/>
      </w:divBdr>
    </w:div>
    <w:div w:id="262341335">
      <w:bodyDiv w:val="1"/>
      <w:marLeft w:val="0"/>
      <w:marRight w:val="0"/>
      <w:marTop w:val="0"/>
      <w:marBottom w:val="0"/>
      <w:divBdr>
        <w:top w:val="none" w:sz="0" w:space="0" w:color="auto"/>
        <w:left w:val="none" w:sz="0" w:space="0" w:color="auto"/>
        <w:bottom w:val="none" w:sz="0" w:space="0" w:color="auto"/>
        <w:right w:val="none" w:sz="0" w:space="0" w:color="auto"/>
      </w:divBdr>
    </w:div>
    <w:div w:id="271783882">
      <w:bodyDiv w:val="1"/>
      <w:marLeft w:val="0"/>
      <w:marRight w:val="0"/>
      <w:marTop w:val="0"/>
      <w:marBottom w:val="0"/>
      <w:divBdr>
        <w:top w:val="none" w:sz="0" w:space="0" w:color="auto"/>
        <w:left w:val="none" w:sz="0" w:space="0" w:color="auto"/>
        <w:bottom w:val="none" w:sz="0" w:space="0" w:color="auto"/>
        <w:right w:val="none" w:sz="0" w:space="0" w:color="auto"/>
      </w:divBdr>
    </w:div>
    <w:div w:id="275869371">
      <w:bodyDiv w:val="1"/>
      <w:marLeft w:val="0"/>
      <w:marRight w:val="0"/>
      <w:marTop w:val="0"/>
      <w:marBottom w:val="0"/>
      <w:divBdr>
        <w:top w:val="none" w:sz="0" w:space="0" w:color="auto"/>
        <w:left w:val="none" w:sz="0" w:space="0" w:color="auto"/>
        <w:bottom w:val="none" w:sz="0" w:space="0" w:color="auto"/>
        <w:right w:val="none" w:sz="0" w:space="0" w:color="auto"/>
      </w:divBdr>
    </w:div>
    <w:div w:id="278143195">
      <w:bodyDiv w:val="1"/>
      <w:marLeft w:val="0"/>
      <w:marRight w:val="0"/>
      <w:marTop w:val="0"/>
      <w:marBottom w:val="0"/>
      <w:divBdr>
        <w:top w:val="none" w:sz="0" w:space="0" w:color="auto"/>
        <w:left w:val="none" w:sz="0" w:space="0" w:color="auto"/>
        <w:bottom w:val="none" w:sz="0" w:space="0" w:color="auto"/>
        <w:right w:val="none" w:sz="0" w:space="0" w:color="auto"/>
      </w:divBdr>
    </w:div>
    <w:div w:id="288752491">
      <w:bodyDiv w:val="1"/>
      <w:marLeft w:val="0"/>
      <w:marRight w:val="0"/>
      <w:marTop w:val="0"/>
      <w:marBottom w:val="0"/>
      <w:divBdr>
        <w:top w:val="none" w:sz="0" w:space="0" w:color="auto"/>
        <w:left w:val="none" w:sz="0" w:space="0" w:color="auto"/>
        <w:bottom w:val="none" w:sz="0" w:space="0" w:color="auto"/>
        <w:right w:val="none" w:sz="0" w:space="0" w:color="auto"/>
      </w:divBdr>
    </w:div>
    <w:div w:id="291249739">
      <w:bodyDiv w:val="1"/>
      <w:marLeft w:val="0"/>
      <w:marRight w:val="0"/>
      <w:marTop w:val="0"/>
      <w:marBottom w:val="0"/>
      <w:divBdr>
        <w:top w:val="none" w:sz="0" w:space="0" w:color="auto"/>
        <w:left w:val="none" w:sz="0" w:space="0" w:color="auto"/>
        <w:bottom w:val="none" w:sz="0" w:space="0" w:color="auto"/>
        <w:right w:val="none" w:sz="0" w:space="0" w:color="auto"/>
      </w:divBdr>
    </w:div>
    <w:div w:id="318265582">
      <w:bodyDiv w:val="1"/>
      <w:marLeft w:val="0"/>
      <w:marRight w:val="0"/>
      <w:marTop w:val="0"/>
      <w:marBottom w:val="0"/>
      <w:divBdr>
        <w:top w:val="none" w:sz="0" w:space="0" w:color="auto"/>
        <w:left w:val="none" w:sz="0" w:space="0" w:color="auto"/>
        <w:bottom w:val="none" w:sz="0" w:space="0" w:color="auto"/>
        <w:right w:val="none" w:sz="0" w:space="0" w:color="auto"/>
      </w:divBdr>
    </w:div>
    <w:div w:id="320234430">
      <w:bodyDiv w:val="1"/>
      <w:marLeft w:val="0"/>
      <w:marRight w:val="0"/>
      <w:marTop w:val="0"/>
      <w:marBottom w:val="0"/>
      <w:divBdr>
        <w:top w:val="none" w:sz="0" w:space="0" w:color="auto"/>
        <w:left w:val="none" w:sz="0" w:space="0" w:color="auto"/>
        <w:bottom w:val="none" w:sz="0" w:space="0" w:color="auto"/>
        <w:right w:val="none" w:sz="0" w:space="0" w:color="auto"/>
      </w:divBdr>
      <w:divsChild>
        <w:div w:id="903108371">
          <w:marLeft w:val="0"/>
          <w:marRight w:val="0"/>
          <w:marTop w:val="0"/>
          <w:marBottom w:val="0"/>
          <w:divBdr>
            <w:top w:val="none" w:sz="0" w:space="0" w:color="auto"/>
            <w:left w:val="none" w:sz="0" w:space="0" w:color="auto"/>
            <w:bottom w:val="none" w:sz="0" w:space="0" w:color="auto"/>
            <w:right w:val="none" w:sz="0" w:space="0" w:color="auto"/>
          </w:divBdr>
        </w:div>
      </w:divsChild>
    </w:div>
    <w:div w:id="354237058">
      <w:bodyDiv w:val="1"/>
      <w:marLeft w:val="0"/>
      <w:marRight w:val="0"/>
      <w:marTop w:val="0"/>
      <w:marBottom w:val="0"/>
      <w:divBdr>
        <w:top w:val="none" w:sz="0" w:space="0" w:color="auto"/>
        <w:left w:val="none" w:sz="0" w:space="0" w:color="auto"/>
        <w:bottom w:val="none" w:sz="0" w:space="0" w:color="auto"/>
        <w:right w:val="none" w:sz="0" w:space="0" w:color="auto"/>
      </w:divBdr>
    </w:div>
    <w:div w:id="390348919">
      <w:bodyDiv w:val="1"/>
      <w:marLeft w:val="0"/>
      <w:marRight w:val="0"/>
      <w:marTop w:val="0"/>
      <w:marBottom w:val="0"/>
      <w:divBdr>
        <w:top w:val="none" w:sz="0" w:space="0" w:color="auto"/>
        <w:left w:val="none" w:sz="0" w:space="0" w:color="auto"/>
        <w:bottom w:val="none" w:sz="0" w:space="0" w:color="auto"/>
        <w:right w:val="none" w:sz="0" w:space="0" w:color="auto"/>
      </w:divBdr>
    </w:div>
    <w:div w:id="397635071">
      <w:bodyDiv w:val="1"/>
      <w:marLeft w:val="0"/>
      <w:marRight w:val="0"/>
      <w:marTop w:val="0"/>
      <w:marBottom w:val="0"/>
      <w:divBdr>
        <w:top w:val="none" w:sz="0" w:space="0" w:color="auto"/>
        <w:left w:val="none" w:sz="0" w:space="0" w:color="auto"/>
        <w:bottom w:val="none" w:sz="0" w:space="0" w:color="auto"/>
        <w:right w:val="none" w:sz="0" w:space="0" w:color="auto"/>
      </w:divBdr>
    </w:div>
    <w:div w:id="404498942">
      <w:bodyDiv w:val="1"/>
      <w:marLeft w:val="0"/>
      <w:marRight w:val="0"/>
      <w:marTop w:val="0"/>
      <w:marBottom w:val="0"/>
      <w:divBdr>
        <w:top w:val="none" w:sz="0" w:space="0" w:color="auto"/>
        <w:left w:val="none" w:sz="0" w:space="0" w:color="auto"/>
        <w:bottom w:val="none" w:sz="0" w:space="0" w:color="auto"/>
        <w:right w:val="none" w:sz="0" w:space="0" w:color="auto"/>
      </w:divBdr>
    </w:div>
    <w:div w:id="425804091">
      <w:bodyDiv w:val="1"/>
      <w:marLeft w:val="0"/>
      <w:marRight w:val="0"/>
      <w:marTop w:val="0"/>
      <w:marBottom w:val="0"/>
      <w:divBdr>
        <w:top w:val="none" w:sz="0" w:space="0" w:color="auto"/>
        <w:left w:val="none" w:sz="0" w:space="0" w:color="auto"/>
        <w:bottom w:val="none" w:sz="0" w:space="0" w:color="auto"/>
        <w:right w:val="none" w:sz="0" w:space="0" w:color="auto"/>
      </w:divBdr>
    </w:div>
    <w:div w:id="435712027">
      <w:bodyDiv w:val="1"/>
      <w:marLeft w:val="0"/>
      <w:marRight w:val="0"/>
      <w:marTop w:val="0"/>
      <w:marBottom w:val="0"/>
      <w:divBdr>
        <w:top w:val="none" w:sz="0" w:space="0" w:color="auto"/>
        <w:left w:val="none" w:sz="0" w:space="0" w:color="auto"/>
        <w:bottom w:val="none" w:sz="0" w:space="0" w:color="auto"/>
        <w:right w:val="none" w:sz="0" w:space="0" w:color="auto"/>
      </w:divBdr>
      <w:divsChild>
        <w:div w:id="1859078250">
          <w:marLeft w:val="0"/>
          <w:marRight w:val="0"/>
          <w:marTop w:val="0"/>
          <w:marBottom w:val="0"/>
          <w:divBdr>
            <w:top w:val="none" w:sz="0" w:space="0" w:color="auto"/>
            <w:left w:val="none" w:sz="0" w:space="0" w:color="auto"/>
            <w:bottom w:val="none" w:sz="0" w:space="0" w:color="auto"/>
            <w:right w:val="none" w:sz="0" w:space="0" w:color="auto"/>
          </w:divBdr>
        </w:div>
      </w:divsChild>
    </w:div>
    <w:div w:id="454064994">
      <w:bodyDiv w:val="1"/>
      <w:marLeft w:val="0"/>
      <w:marRight w:val="0"/>
      <w:marTop w:val="0"/>
      <w:marBottom w:val="0"/>
      <w:divBdr>
        <w:top w:val="none" w:sz="0" w:space="0" w:color="auto"/>
        <w:left w:val="none" w:sz="0" w:space="0" w:color="auto"/>
        <w:bottom w:val="none" w:sz="0" w:space="0" w:color="auto"/>
        <w:right w:val="none" w:sz="0" w:space="0" w:color="auto"/>
      </w:divBdr>
    </w:div>
    <w:div w:id="459614480">
      <w:bodyDiv w:val="1"/>
      <w:marLeft w:val="0"/>
      <w:marRight w:val="0"/>
      <w:marTop w:val="0"/>
      <w:marBottom w:val="0"/>
      <w:divBdr>
        <w:top w:val="none" w:sz="0" w:space="0" w:color="auto"/>
        <w:left w:val="none" w:sz="0" w:space="0" w:color="auto"/>
        <w:bottom w:val="none" w:sz="0" w:space="0" w:color="auto"/>
        <w:right w:val="none" w:sz="0" w:space="0" w:color="auto"/>
      </w:divBdr>
    </w:div>
    <w:div w:id="467088893">
      <w:bodyDiv w:val="1"/>
      <w:marLeft w:val="0"/>
      <w:marRight w:val="0"/>
      <w:marTop w:val="0"/>
      <w:marBottom w:val="0"/>
      <w:divBdr>
        <w:top w:val="none" w:sz="0" w:space="0" w:color="auto"/>
        <w:left w:val="none" w:sz="0" w:space="0" w:color="auto"/>
        <w:bottom w:val="none" w:sz="0" w:space="0" w:color="auto"/>
        <w:right w:val="none" w:sz="0" w:space="0" w:color="auto"/>
      </w:divBdr>
    </w:div>
    <w:div w:id="477693303">
      <w:bodyDiv w:val="1"/>
      <w:marLeft w:val="0"/>
      <w:marRight w:val="0"/>
      <w:marTop w:val="0"/>
      <w:marBottom w:val="0"/>
      <w:divBdr>
        <w:top w:val="none" w:sz="0" w:space="0" w:color="auto"/>
        <w:left w:val="none" w:sz="0" w:space="0" w:color="auto"/>
        <w:bottom w:val="none" w:sz="0" w:space="0" w:color="auto"/>
        <w:right w:val="none" w:sz="0" w:space="0" w:color="auto"/>
      </w:divBdr>
    </w:div>
    <w:div w:id="502624381">
      <w:bodyDiv w:val="1"/>
      <w:marLeft w:val="0"/>
      <w:marRight w:val="0"/>
      <w:marTop w:val="0"/>
      <w:marBottom w:val="0"/>
      <w:divBdr>
        <w:top w:val="none" w:sz="0" w:space="0" w:color="auto"/>
        <w:left w:val="none" w:sz="0" w:space="0" w:color="auto"/>
        <w:bottom w:val="none" w:sz="0" w:space="0" w:color="auto"/>
        <w:right w:val="none" w:sz="0" w:space="0" w:color="auto"/>
      </w:divBdr>
    </w:div>
    <w:div w:id="511067926">
      <w:bodyDiv w:val="1"/>
      <w:marLeft w:val="0"/>
      <w:marRight w:val="0"/>
      <w:marTop w:val="0"/>
      <w:marBottom w:val="0"/>
      <w:divBdr>
        <w:top w:val="none" w:sz="0" w:space="0" w:color="auto"/>
        <w:left w:val="none" w:sz="0" w:space="0" w:color="auto"/>
        <w:bottom w:val="none" w:sz="0" w:space="0" w:color="auto"/>
        <w:right w:val="none" w:sz="0" w:space="0" w:color="auto"/>
      </w:divBdr>
    </w:div>
    <w:div w:id="512377379">
      <w:bodyDiv w:val="1"/>
      <w:marLeft w:val="0"/>
      <w:marRight w:val="0"/>
      <w:marTop w:val="0"/>
      <w:marBottom w:val="0"/>
      <w:divBdr>
        <w:top w:val="none" w:sz="0" w:space="0" w:color="auto"/>
        <w:left w:val="none" w:sz="0" w:space="0" w:color="auto"/>
        <w:bottom w:val="none" w:sz="0" w:space="0" w:color="auto"/>
        <w:right w:val="none" w:sz="0" w:space="0" w:color="auto"/>
      </w:divBdr>
    </w:div>
    <w:div w:id="533079162">
      <w:bodyDiv w:val="1"/>
      <w:marLeft w:val="0"/>
      <w:marRight w:val="0"/>
      <w:marTop w:val="0"/>
      <w:marBottom w:val="0"/>
      <w:divBdr>
        <w:top w:val="none" w:sz="0" w:space="0" w:color="auto"/>
        <w:left w:val="none" w:sz="0" w:space="0" w:color="auto"/>
        <w:bottom w:val="none" w:sz="0" w:space="0" w:color="auto"/>
        <w:right w:val="none" w:sz="0" w:space="0" w:color="auto"/>
      </w:divBdr>
    </w:div>
    <w:div w:id="578566692">
      <w:bodyDiv w:val="1"/>
      <w:marLeft w:val="0"/>
      <w:marRight w:val="0"/>
      <w:marTop w:val="0"/>
      <w:marBottom w:val="0"/>
      <w:divBdr>
        <w:top w:val="none" w:sz="0" w:space="0" w:color="auto"/>
        <w:left w:val="none" w:sz="0" w:space="0" w:color="auto"/>
        <w:bottom w:val="none" w:sz="0" w:space="0" w:color="auto"/>
        <w:right w:val="none" w:sz="0" w:space="0" w:color="auto"/>
      </w:divBdr>
    </w:div>
    <w:div w:id="586379599">
      <w:bodyDiv w:val="1"/>
      <w:marLeft w:val="0"/>
      <w:marRight w:val="0"/>
      <w:marTop w:val="0"/>
      <w:marBottom w:val="0"/>
      <w:divBdr>
        <w:top w:val="none" w:sz="0" w:space="0" w:color="auto"/>
        <w:left w:val="none" w:sz="0" w:space="0" w:color="auto"/>
        <w:bottom w:val="none" w:sz="0" w:space="0" w:color="auto"/>
        <w:right w:val="none" w:sz="0" w:space="0" w:color="auto"/>
      </w:divBdr>
    </w:div>
    <w:div w:id="601500428">
      <w:bodyDiv w:val="1"/>
      <w:marLeft w:val="0"/>
      <w:marRight w:val="0"/>
      <w:marTop w:val="0"/>
      <w:marBottom w:val="0"/>
      <w:divBdr>
        <w:top w:val="none" w:sz="0" w:space="0" w:color="auto"/>
        <w:left w:val="none" w:sz="0" w:space="0" w:color="auto"/>
        <w:bottom w:val="none" w:sz="0" w:space="0" w:color="auto"/>
        <w:right w:val="none" w:sz="0" w:space="0" w:color="auto"/>
      </w:divBdr>
    </w:div>
    <w:div w:id="628705995">
      <w:bodyDiv w:val="1"/>
      <w:marLeft w:val="0"/>
      <w:marRight w:val="0"/>
      <w:marTop w:val="0"/>
      <w:marBottom w:val="0"/>
      <w:divBdr>
        <w:top w:val="none" w:sz="0" w:space="0" w:color="auto"/>
        <w:left w:val="none" w:sz="0" w:space="0" w:color="auto"/>
        <w:bottom w:val="none" w:sz="0" w:space="0" w:color="auto"/>
        <w:right w:val="none" w:sz="0" w:space="0" w:color="auto"/>
      </w:divBdr>
    </w:div>
    <w:div w:id="646471677">
      <w:bodyDiv w:val="1"/>
      <w:marLeft w:val="0"/>
      <w:marRight w:val="0"/>
      <w:marTop w:val="0"/>
      <w:marBottom w:val="0"/>
      <w:divBdr>
        <w:top w:val="none" w:sz="0" w:space="0" w:color="auto"/>
        <w:left w:val="none" w:sz="0" w:space="0" w:color="auto"/>
        <w:bottom w:val="none" w:sz="0" w:space="0" w:color="auto"/>
        <w:right w:val="none" w:sz="0" w:space="0" w:color="auto"/>
      </w:divBdr>
    </w:div>
    <w:div w:id="676619579">
      <w:bodyDiv w:val="1"/>
      <w:marLeft w:val="0"/>
      <w:marRight w:val="0"/>
      <w:marTop w:val="0"/>
      <w:marBottom w:val="0"/>
      <w:divBdr>
        <w:top w:val="none" w:sz="0" w:space="0" w:color="auto"/>
        <w:left w:val="none" w:sz="0" w:space="0" w:color="auto"/>
        <w:bottom w:val="none" w:sz="0" w:space="0" w:color="auto"/>
        <w:right w:val="none" w:sz="0" w:space="0" w:color="auto"/>
      </w:divBdr>
    </w:div>
    <w:div w:id="684526000">
      <w:bodyDiv w:val="1"/>
      <w:marLeft w:val="0"/>
      <w:marRight w:val="0"/>
      <w:marTop w:val="0"/>
      <w:marBottom w:val="0"/>
      <w:divBdr>
        <w:top w:val="none" w:sz="0" w:space="0" w:color="auto"/>
        <w:left w:val="none" w:sz="0" w:space="0" w:color="auto"/>
        <w:bottom w:val="none" w:sz="0" w:space="0" w:color="auto"/>
        <w:right w:val="none" w:sz="0" w:space="0" w:color="auto"/>
      </w:divBdr>
    </w:div>
    <w:div w:id="688609090">
      <w:bodyDiv w:val="1"/>
      <w:marLeft w:val="0"/>
      <w:marRight w:val="0"/>
      <w:marTop w:val="0"/>
      <w:marBottom w:val="0"/>
      <w:divBdr>
        <w:top w:val="none" w:sz="0" w:space="0" w:color="auto"/>
        <w:left w:val="none" w:sz="0" w:space="0" w:color="auto"/>
        <w:bottom w:val="none" w:sz="0" w:space="0" w:color="auto"/>
        <w:right w:val="none" w:sz="0" w:space="0" w:color="auto"/>
      </w:divBdr>
    </w:div>
    <w:div w:id="744493797">
      <w:bodyDiv w:val="1"/>
      <w:marLeft w:val="0"/>
      <w:marRight w:val="0"/>
      <w:marTop w:val="0"/>
      <w:marBottom w:val="0"/>
      <w:divBdr>
        <w:top w:val="none" w:sz="0" w:space="0" w:color="auto"/>
        <w:left w:val="none" w:sz="0" w:space="0" w:color="auto"/>
        <w:bottom w:val="none" w:sz="0" w:space="0" w:color="auto"/>
        <w:right w:val="none" w:sz="0" w:space="0" w:color="auto"/>
      </w:divBdr>
    </w:div>
    <w:div w:id="777725748">
      <w:bodyDiv w:val="1"/>
      <w:marLeft w:val="0"/>
      <w:marRight w:val="0"/>
      <w:marTop w:val="0"/>
      <w:marBottom w:val="0"/>
      <w:divBdr>
        <w:top w:val="none" w:sz="0" w:space="0" w:color="auto"/>
        <w:left w:val="none" w:sz="0" w:space="0" w:color="auto"/>
        <w:bottom w:val="none" w:sz="0" w:space="0" w:color="auto"/>
        <w:right w:val="none" w:sz="0" w:space="0" w:color="auto"/>
      </w:divBdr>
    </w:div>
    <w:div w:id="795635599">
      <w:bodyDiv w:val="1"/>
      <w:marLeft w:val="0"/>
      <w:marRight w:val="0"/>
      <w:marTop w:val="0"/>
      <w:marBottom w:val="0"/>
      <w:divBdr>
        <w:top w:val="none" w:sz="0" w:space="0" w:color="auto"/>
        <w:left w:val="none" w:sz="0" w:space="0" w:color="auto"/>
        <w:bottom w:val="none" w:sz="0" w:space="0" w:color="auto"/>
        <w:right w:val="none" w:sz="0" w:space="0" w:color="auto"/>
      </w:divBdr>
    </w:div>
    <w:div w:id="810364735">
      <w:bodyDiv w:val="1"/>
      <w:marLeft w:val="0"/>
      <w:marRight w:val="0"/>
      <w:marTop w:val="0"/>
      <w:marBottom w:val="0"/>
      <w:divBdr>
        <w:top w:val="none" w:sz="0" w:space="0" w:color="auto"/>
        <w:left w:val="none" w:sz="0" w:space="0" w:color="auto"/>
        <w:bottom w:val="none" w:sz="0" w:space="0" w:color="auto"/>
        <w:right w:val="none" w:sz="0" w:space="0" w:color="auto"/>
      </w:divBdr>
    </w:div>
    <w:div w:id="830558249">
      <w:bodyDiv w:val="1"/>
      <w:marLeft w:val="0"/>
      <w:marRight w:val="0"/>
      <w:marTop w:val="0"/>
      <w:marBottom w:val="0"/>
      <w:divBdr>
        <w:top w:val="none" w:sz="0" w:space="0" w:color="auto"/>
        <w:left w:val="none" w:sz="0" w:space="0" w:color="auto"/>
        <w:bottom w:val="none" w:sz="0" w:space="0" w:color="auto"/>
        <w:right w:val="none" w:sz="0" w:space="0" w:color="auto"/>
      </w:divBdr>
    </w:div>
    <w:div w:id="859245135">
      <w:bodyDiv w:val="1"/>
      <w:marLeft w:val="0"/>
      <w:marRight w:val="0"/>
      <w:marTop w:val="0"/>
      <w:marBottom w:val="0"/>
      <w:divBdr>
        <w:top w:val="none" w:sz="0" w:space="0" w:color="auto"/>
        <w:left w:val="none" w:sz="0" w:space="0" w:color="auto"/>
        <w:bottom w:val="none" w:sz="0" w:space="0" w:color="auto"/>
        <w:right w:val="none" w:sz="0" w:space="0" w:color="auto"/>
      </w:divBdr>
    </w:div>
    <w:div w:id="866716495">
      <w:bodyDiv w:val="1"/>
      <w:marLeft w:val="0"/>
      <w:marRight w:val="0"/>
      <w:marTop w:val="0"/>
      <w:marBottom w:val="0"/>
      <w:divBdr>
        <w:top w:val="none" w:sz="0" w:space="0" w:color="auto"/>
        <w:left w:val="none" w:sz="0" w:space="0" w:color="auto"/>
        <w:bottom w:val="none" w:sz="0" w:space="0" w:color="auto"/>
        <w:right w:val="none" w:sz="0" w:space="0" w:color="auto"/>
      </w:divBdr>
    </w:div>
    <w:div w:id="875890100">
      <w:bodyDiv w:val="1"/>
      <w:marLeft w:val="0"/>
      <w:marRight w:val="0"/>
      <w:marTop w:val="0"/>
      <w:marBottom w:val="0"/>
      <w:divBdr>
        <w:top w:val="none" w:sz="0" w:space="0" w:color="auto"/>
        <w:left w:val="none" w:sz="0" w:space="0" w:color="auto"/>
        <w:bottom w:val="none" w:sz="0" w:space="0" w:color="auto"/>
        <w:right w:val="none" w:sz="0" w:space="0" w:color="auto"/>
      </w:divBdr>
    </w:div>
    <w:div w:id="903221421">
      <w:bodyDiv w:val="1"/>
      <w:marLeft w:val="0"/>
      <w:marRight w:val="0"/>
      <w:marTop w:val="0"/>
      <w:marBottom w:val="0"/>
      <w:divBdr>
        <w:top w:val="none" w:sz="0" w:space="0" w:color="auto"/>
        <w:left w:val="none" w:sz="0" w:space="0" w:color="auto"/>
        <w:bottom w:val="none" w:sz="0" w:space="0" w:color="auto"/>
        <w:right w:val="none" w:sz="0" w:space="0" w:color="auto"/>
      </w:divBdr>
    </w:div>
    <w:div w:id="919369555">
      <w:bodyDiv w:val="1"/>
      <w:marLeft w:val="0"/>
      <w:marRight w:val="0"/>
      <w:marTop w:val="0"/>
      <w:marBottom w:val="0"/>
      <w:divBdr>
        <w:top w:val="none" w:sz="0" w:space="0" w:color="auto"/>
        <w:left w:val="none" w:sz="0" w:space="0" w:color="auto"/>
        <w:bottom w:val="none" w:sz="0" w:space="0" w:color="auto"/>
        <w:right w:val="none" w:sz="0" w:space="0" w:color="auto"/>
      </w:divBdr>
    </w:div>
    <w:div w:id="922180358">
      <w:bodyDiv w:val="1"/>
      <w:marLeft w:val="0"/>
      <w:marRight w:val="0"/>
      <w:marTop w:val="0"/>
      <w:marBottom w:val="0"/>
      <w:divBdr>
        <w:top w:val="none" w:sz="0" w:space="0" w:color="auto"/>
        <w:left w:val="none" w:sz="0" w:space="0" w:color="auto"/>
        <w:bottom w:val="none" w:sz="0" w:space="0" w:color="auto"/>
        <w:right w:val="none" w:sz="0" w:space="0" w:color="auto"/>
      </w:divBdr>
    </w:div>
    <w:div w:id="1012952944">
      <w:bodyDiv w:val="1"/>
      <w:marLeft w:val="0"/>
      <w:marRight w:val="0"/>
      <w:marTop w:val="0"/>
      <w:marBottom w:val="0"/>
      <w:divBdr>
        <w:top w:val="none" w:sz="0" w:space="0" w:color="auto"/>
        <w:left w:val="none" w:sz="0" w:space="0" w:color="auto"/>
        <w:bottom w:val="none" w:sz="0" w:space="0" w:color="auto"/>
        <w:right w:val="none" w:sz="0" w:space="0" w:color="auto"/>
      </w:divBdr>
    </w:div>
    <w:div w:id="1044712547">
      <w:bodyDiv w:val="1"/>
      <w:marLeft w:val="0"/>
      <w:marRight w:val="0"/>
      <w:marTop w:val="0"/>
      <w:marBottom w:val="0"/>
      <w:divBdr>
        <w:top w:val="none" w:sz="0" w:space="0" w:color="auto"/>
        <w:left w:val="none" w:sz="0" w:space="0" w:color="auto"/>
        <w:bottom w:val="none" w:sz="0" w:space="0" w:color="auto"/>
        <w:right w:val="none" w:sz="0" w:space="0" w:color="auto"/>
      </w:divBdr>
    </w:div>
    <w:div w:id="1056586657">
      <w:bodyDiv w:val="1"/>
      <w:marLeft w:val="0"/>
      <w:marRight w:val="0"/>
      <w:marTop w:val="0"/>
      <w:marBottom w:val="0"/>
      <w:divBdr>
        <w:top w:val="none" w:sz="0" w:space="0" w:color="auto"/>
        <w:left w:val="none" w:sz="0" w:space="0" w:color="auto"/>
        <w:bottom w:val="none" w:sz="0" w:space="0" w:color="auto"/>
        <w:right w:val="none" w:sz="0" w:space="0" w:color="auto"/>
      </w:divBdr>
    </w:div>
    <w:div w:id="1093554932">
      <w:bodyDiv w:val="1"/>
      <w:marLeft w:val="0"/>
      <w:marRight w:val="0"/>
      <w:marTop w:val="0"/>
      <w:marBottom w:val="0"/>
      <w:divBdr>
        <w:top w:val="none" w:sz="0" w:space="0" w:color="auto"/>
        <w:left w:val="none" w:sz="0" w:space="0" w:color="auto"/>
        <w:bottom w:val="none" w:sz="0" w:space="0" w:color="auto"/>
        <w:right w:val="none" w:sz="0" w:space="0" w:color="auto"/>
      </w:divBdr>
    </w:div>
    <w:div w:id="1108617768">
      <w:bodyDiv w:val="1"/>
      <w:marLeft w:val="0"/>
      <w:marRight w:val="0"/>
      <w:marTop w:val="0"/>
      <w:marBottom w:val="0"/>
      <w:divBdr>
        <w:top w:val="none" w:sz="0" w:space="0" w:color="auto"/>
        <w:left w:val="none" w:sz="0" w:space="0" w:color="auto"/>
        <w:bottom w:val="none" w:sz="0" w:space="0" w:color="auto"/>
        <w:right w:val="none" w:sz="0" w:space="0" w:color="auto"/>
      </w:divBdr>
    </w:div>
    <w:div w:id="1109131369">
      <w:bodyDiv w:val="1"/>
      <w:marLeft w:val="0"/>
      <w:marRight w:val="0"/>
      <w:marTop w:val="0"/>
      <w:marBottom w:val="0"/>
      <w:divBdr>
        <w:top w:val="none" w:sz="0" w:space="0" w:color="auto"/>
        <w:left w:val="none" w:sz="0" w:space="0" w:color="auto"/>
        <w:bottom w:val="none" w:sz="0" w:space="0" w:color="auto"/>
        <w:right w:val="none" w:sz="0" w:space="0" w:color="auto"/>
      </w:divBdr>
    </w:div>
    <w:div w:id="1137182672">
      <w:bodyDiv w:val="1"/>
      <w:marLeft w:val="0"/>
      <w:marRight w:val="0"/>
      <w:marTop w:val="0"/>
      <w:marBottom w:val="0"/>
      <w:divBdr>
        <w:top w:val="none" w:sz="0" w:space="0" w:color="auto"/>
        <w:left w:val="none" w:sz="0" w:space="0" w:color="auto"/>
        <w:bottom w:val="none" w:sz="0" w:space="0" w:color="auto"/>
        <w:right w:val="none" w:sz="0" w:space="0" w:color="auto"/>
      </w:divBdr>
    </w:div>
    <w:div w:id="1150945125">
      <w:bodyDiv w:val="1"/>
      <w:marLeft w:val="0"/>
      <w:marRight w:val="0"/>
      <w:marTop w:val="0"/>
      <w:marBottom w:val="0"/>
      <w:divBdr>
        <w:top w:val="none" w:sz="0" w:space="0" w:color="auto"/>
        <w:left w:val="none" w:sz="0" w:space="0" w:color="auto"/>
        <w:bottom w:val="none" w:sz="0" w:space="0" w:color="auto"/>
        <w:right w:val="none" w:sz="0" w:space="0" w:color="auto"/>
      </w:divBdr>
    </w:div>
    <w:div w:id="1169057826">
      <w:bodyDiv w:val="1"/>
      <w:marLeft w:val="0"/>
      <w:marRight w:val="0"/>
      <w:marTop w:val="0"/>
      <w:marBottom w:val="0"/>
      <w:divBdr>
        <w:top w:val="none" w:sz="0" w:space="0" w:color="auto"/>
        <w:left w:val="none" w:sz="0" w:space="0" w:color="auto"/>
        <w:bottom w:val="none" w:sz="0" w:space="0" w:color="auto"/>
        <w:right w:val="none" w:sz="0" w:space="0" w:color="auto"/>
      </w:divBdr>
    </w:div>
    <w:div w:id="1197965153">
      <w:bodyDiv w:val="1"/>
      <w:marLeft w:val="0"/>
      <w:marRight w:val="0"/>
      <w:marTop w:val="0"/>
      <w:marBottom w:val="0"/>
      <w:divBdr>
        <w:top w:val="none" w:sz="0" w:space="0" w:color="auto"/>
        <w:left w:val="none" w:sz="0" w:space="0" w:color="auto"/>
        <w:bottom w:val="none" w:sz="0" w:space="0" w:color="auto"/>
        <w:right w:val="none" w:sz="0" w:space="0" w:color="auto"/>
      </w:divBdr>
    </w:div>
    <w:div w:id="1202133645">
      <w:bodyDiv w:val="1"/>
      <w:marLeft w:val="0"/>
      <w:marRight w:val="0"/>
      <w:marTop w:val="0"/>
      <w:marBottom w:val="0"/>
      <w:divBdr>
        <w:top w:val="none" w:sz="0" w:space="0" w:color="auto"/>
        <w:left w:val="none" w:sz="0" w:space="0" w:color="auto"/>
        <w:bottom w:val="none" w:sz="0" w:space="0" w:color="auto"/>
        <w:right w:val="none" w:sz="0" w:space="0" w:color="auto"/>
      </w:divBdr>
    </w:div>
    <w:div w:id="1234658688">
      <w:bodyDiv w:val="1"/>
      <w:marLeft w:val="0"/>
      <w:marRight w:val="0"/>
      <w:marTop w:val="0"/>
      <w:marBottom w:val="0"/>
      <w:divBdr>
        <w:top w:val="none" w:sz="0" w:space="0" w:color="auto"/>
        <w:left w:val="none" w:sz="0" w:space="0" w:color="auto"/>
        <w:bottom w:val="none" w:sz="0" w:space="0" w:color="auto"/>
        <w:right w:val="none" w:sz="0" w:space="0" w:color="auto"/>
      </w:divBdr>
    </w:div>
    <w:div w:id="1238636484">
      <w:bodyDiv w:val="1"/>
      <w:marLeft w:val="0"/>
      <w:marRight w:val="0"/>
      <w:marTop w:val="0"/>
      <w:marBottom w:val="0"/>
      <w:divBdr>
        <w:top w:val="none" w:sz="0" w:space="0" w:color="auto"/>
        <w:left w:val="none" w:sz="0" w:space="0" w:color="auto"/>
        <w:bottom w:val="none" w:sz="0" w:space="0" w:color="auto"/>
        <w:right w:val="none" w:sz="0" w:space="0" w:color="auto"/>
      </w:divBdr>
    </w:div>
    <w:div w:id="1239710723">
      <w:bodyDiv w:val="1"/>
      <w:marLeft w:val="0"/>
      <w:marRight w:val="0"/>
      <w:marTop w:val="0"/>
      <w:marBottom w:val="0"/>
      <w:divBdr>
        <w:top w:val="none" w:sz="0" w:space="0" w:color="auto"/>
        <w:left w:val="none" w:sz="0" w:space="0" w:color="auto"/>
        <w:bottom w:val="none" w:sz="0" w:space="0" w:color="auto"/>
        <w:right w:val="none" w:sz="0" w:space="0" w:color="auto"/>
      </w:divBdr>
    </w:div>
    <w:div w:id="1272083562">
      <w:bodyDiv w:val="1"/>
      <w:marLeft w:val="0"/>
      <w:marRight w:val="0"/>
      <w:marTop w:val="0"/>
      <w:marBottom w:val="0"/>
      <w:divBdr>
        <w:top w:val="none" w:sz="0" w:space="0" w:color="auto"/>
        <w:left w:val="none" w:sz="0" w:space="0" w:color="auto"/>
        <w:bottom w:val="none" w:sz="0" w:space="0" w:color="auto"/>
        <w:right w:val="none" w:sz="0" w:space="0" w:color="auto"/>
      </w:divBdr>
    </w:div>
    <w:div w:id="1277835875">
      <w:bodyDiv w:val="1"/>
      <w:marLeft w:val="0"/>
      <w:marRight w:val="0"/>
      <w:marTop w:val="0"/>
      <w:marBottom w:val="0"/>
      <w:divBdr>
        <w:top w:val="none" w:sz="0" w:space="0" w:color="auto"/>
        <w:left w:val="none" w:sz="0" w:space="0" w:color="auto"/>
        <w:bottom w:val="none" w:sz="0" w:space="0" w:color="auto"/>
        <w:right w:val="none" w:sz="0" w:space="0" w:color="auto"/>
      </w:divBdr>
    </w:div>
    <w:div w:id="1288045966">
      <w:bodyDiv w:val="1"/>
      <w:marLeft w:val="0"/>
      <w:marRight w:val="0"/>
      <w:marTop w:val="0"/>
      <w:marBottom w:val="0"/>
      <w:divBdr>
        <w:top w:val="none" w:sz="0" w:space="0" w:color="auto"/>
        <w:left w:val="none" w:sz="0" w:space="0" w:color="auto"/>
        <w:bottom w:val="none" w:sz="0" w:space="0" w:color="auto"/>
        <w:right w:val="none" w:sz="0" w:space="0" w:color="auto"/>
      </w:divBdr>
    </w:div>
    <w:div w:id="1358234990">
      <w:bodyDiv w:val="1"/>
      <w:marLeft w:val="0"/>
      <w:marRight w:val="0"/>
      <w:marTop w:val="0"/>
      <w:marBottom w:val="0"/>
      <w:divBdr>
        <w:top w:val="none" w:sz="0" w:space="0" w:color="auto"/>
        <w:left w:val="none" w:sz="0" w:space="0" w:color="auto"/>
        <w:bottom w:val="none" w:sz="0" w:space="0" w:color="auto"/>
        <w:right w:val="none" w:sz="0" w:space="0" w:color="auto"/>
      </w:divBdr>
    </w:div>
    <w:div w:id="1382246664">
      <w:bodyDiv w:val="1"/>
      <w:marLeft w:val="0"/>
      <w:marRight w:val="0"/>
      <w:marTop w:val="0"/>
      <w:marBottom w:val="0"/>
      <w:divBdr>
        <w:top w:val="none" w:sz="0" w:space="0" w:color="auto"/>
        <w:left w:val="none" w:sz="0" w:space="0" w:color="auto"/>
        <w:bottom w:val="none" w:sz="0" w:space="0" w:color="auto"/>
        <w:right w:val="none" w:sz="0" w:space="0" w:color="auto"/>
      </w:divBdr>
    </w:div>
    <w:div w:id="1389451266">
      <w:bodyDiv w:val="1"/>
      <w:marLeft w:val="0"/>
      <w:marRight w:val="0"/>
      <w:marTop w:val="0"/>
      <w:marBottom w:val="0"/>
      <w:divBdr>
        <w:top w:val="none" w:sz="0" w:space="0" w:color="auto"/>
        <w:left w:val="none" w:sz="0" w:space="0" w:color="auto"/>
        <w:bottom w:val="none" w:sz="0" w:space="0" w:color="auto"/>
        <w:right w:val="none" w:sz="0" w:space="0" w:color="auto"/>
      </w:divBdr>
    </w:div>
    <w:div w:id="1397704915">
      <w:bodyDiv w:val="1"/>
      <w:marLeft w:val="0"/>
      <w:marRight w:val="0"/>
      <w:marTop w:val="0"/>
      <w:marBottom w:val="0"/>
      <w:divBdr>
        <w:top w:val="none" w:sz="0" w:space="0" w:color="auto"/>
        <w:left w:val="none" w:sz="0" w:space="0" w:color="auto"/>
        <w:bottom w:val="none" w:sz="0" w:space="0" w:color="auto"/>
        <w:right w:val="none" w:sz="0" w:space="0" w:color="auto"/>
      </w:divBdr>
    </w:div>
    <w:div w:id="1428696345">
      <w:bodyDiv w:val="1"/>
      <w:marLeft w:val="0"/>
      <w:marRight w:val="0"/>
      <w:marTop w:val="0"/>
      <w:marBottom w:val="0"/>
      <w:divBdr>
        <w:top w:val="none" w:sz="0" w:space="0" w:color="auto"/>
        <w:left w:val="none" w:sz="0" w:space="0" w:color="auto"/>
        <w:bottom w:val="none" w:sz="0" w:space="0" w:color="auto"/>
        <w:right w:val="none" w:sz="0" w:space="0" w:color="auto"/>
      </w:divBdr>
    </w:div>
    <w:div w:id="1441146700">
      <w:bodyDiv w:val="1"/>
      <w:marLeft w:val="0"/>
      <w:marRight w:val="0"/>
      <w:marTop w:val="0"/>
      <w:marBottom w:val="0"/>
      <w:divBdr>
        <w:top w:val="none" w:sz="0" w:space="0" w:color="auto"/>
        <w:left w:val="none" w:sz="0" w:space="0" w:color="auto"/>
        <w:bottom w:val="none" w:sz="0" w:space="0" w:color="auto"/>
        <w:right w:val="none" w:sz="0" w:space="0" w:color="auto"/>
      </w:divBdr>
    </w:div>
    <w:div w:id="1475104004">
      <w:bodyDiv w:val="1"/>
      <w:marLeft w:val="0"/>
      <w:marRight w:val="0"/>
      <w:marTop w:val="0"/>
      <w:marBottom w:val="0"/>
      <w:divBdr>
        <w:top w:val="none" w:sz="0" w:space="0" w:color="auto"/>
        <w:left w:val="none" w:sz="0" w:space="0" w:color="auto"/>
        <w:bottom w:val="none" w:sz="0" w:space="0" w:color="auto"/>
        <w:right w:val="none" w:sz="0" w:space="0" w:color="auto"/>
      </w:divBdr>
    </w:div>
    <w:div w:id="1486164353">
      <w:bodyDiv w:val="1"/>
      <w:marLeft w:val="0"/>
      <w:marRight w:val="0"/>
      <w:marTop w:val="0"/>
      <w:marBottom w:val="0"/>
      <w:divBdr>
        <w:top w:val="none" w:sz="0" w:space="0" w:color="auto"/>
        <w:left w:val="none" w:sz="0" w:space="0" w:color="auto"/>
        <w:bottom w:val="none" w:sz="0" w:space="0" w:color="auto"/>
        <w:right w:val="none" w:sz="0" w:space="0" w:color="auto"/>
      </w:divBdr>
    </w:div>
    <w:div w:id="1518160015">
      <w:bodyDiv w:val="1"/>
      <w:marLeft w:val="0"/>
      <w:marRight w:val="0"/>
      <w:marTop w:val="0"/>
      <w:marBottom w:val="0"/>
      <w:divBdr>
        <w:top w:val="none" w:sz="0" w:space="0" w:color="auto"/>
        <w:left w:val="none" w:sz="0" w:space="0" w:color="auto"/>
        <w:bottom w:val="none" w:sz="0" w:space="0" w:color="auto"/>
        <w:right w:val="none" w:sz="0" w:space="0" w:color="auto"/>
      </w:divBdr>
    </w:div>
    <w:div w:id="1577208950">
      <w:bodyDiv w:val="1"/>
      <w:marLeft w:val="0"/>
      <w:marRight w:val="0"/>
      <w:marTop w:val="0"/>
      <w:marBottom w:val="0"/>
      <w:divBdr>
        <w:top w:val="none" w:sz="0" w:space="0" w:color="auto"/>
        <w:left w:val="none" w:sz="0" w:space="0" w:color="auto"/>
        <w:bottom w:val="none" w:sz="0" w:space="0" w:color="auto"/>
        <w:right w:val="none" w:sz="0" w:space="0" w:color="auto"/>
      </w:divBdr>
    </w:div>
    <w:div w:id="1605114714">
      <w:bodyDiv w:val="1"/>
      <w:marLeft w:val="0"/>
      <w:marRight w:val="0"/>
      <w:marTop w:val="0"/>
      <w:marBottom w:val="0"/>
      <w:divBdr>
        <w:top w:val="none" w:sz="0" w:space="0" w:color="auto"/>
        <w:left w:val="none" w:sz="0" w:space="0" w:color="auto"/>
        <w:bottom w:val="none" w:sz="0" w:space="0" w:color="auto"/>
        <w:right w:val="none" w:sz="0" w:space="0" w:color="auto"/>
      </w:divBdr>
    </w:div>
    <w:div w:id="1614436944">
      <w:bodyDiv w:val="1"/>
      <w:marLeft w:val="0"/>
      <w:marRight w:val="0"/>
      <w:marTop w:val="0"/>
      <w:marBottom w:val="0"/>
      <w:divBdr>
        <w:top w:val="none" w:sz="0" w:space="0" w:color="auto"/>
        <w:left w:val="none" w:sz="0" w:space="0" w:color="auto"/>
        <w:bottom w:val="none" w:sz="0" w:space="0" w:color="auto"/>
        <w:right w:val="none" w:sz="0" w:space="0" w:color="auto"/>
      </w:divBdr>
    </w:div>
    <w:div w:id="1634410757">
      <w:bodyDiv w:val="1"/>
      <w:marLeft w:val="0"/>
      <w:marRight w:val="0"/>
      <w:marTop w:val="0"/>
      <w:marBottom w:val="0"/>
      <w:divBdr>
        <w:top w:val="none" w:sz="0" w:space="0" w:color="auto"/>
        <w:left w:val="none" w:sz="0" w:space="0" w:color="auto"/>
        <w:bottom w:val="none" w:sz="0" w:space="0" w:color="auto"/>
        <w:right w:val="none" w:sz="0" w:space="0" w:color="auto"/>
      </w:divBdr>
    </w:div>
    <w:div w:id="1640528580">
      <w:bodyDiv w:val="1"/>
      <w:marLeft w:val="0"/>
      <w:marRight w:val="0"/>
      <w:marTop w:val="0"/>
      <w:marBottom w:val="0"/>
      <w:divBdr>
        <w:top w:val="none" w:sz="0" w:space="0" w:color="auto"/>
        <w:left w:val="none" w:sz="0" w:space="0" w:color="auto"/>
        <w:bottom w:val="none" w:sz="0" w:space="0" w:color="auto"/>
        <w:right w:val="none" w:sz="0" w:space="0" w:color="auto"/>
      </w:divBdr>
    </w:div>
    <w:div w:id="1648313503">
      <w:bodyDiv w:val="1"/>
      <w:marLeft w:val="0"/>
      <w:marRight w:val="0"/>
      <w:marTop w:val="0"/>
      <w:marBottom w:val="0"/>
      <w:divBdr>
        <w:top w:val="none" w:sz="0" w:space="0" w:color="auto"/>
        <w:left w:val="none" w:sz="0" w:space="0" w:color="auto"/>
        <w:bottom w:val="none" w:sz="0" w:space="0" w:color="auto"/>
        <w:right w:val="none" w:sz="0" w:space="0" w:color="auto"/>
      </w:divBdr>
    </w:div>
    <w:div w:id="1674724435">
      <w:bodyDiv w:val="1"/>
      <w:marLeft w:val="0"/>
      <w:marRight w:val="0"/>
      <w:marTop w:val="0"/>
      <w:marBottom w:val="0"/>
      <w:divBdr>
        <w:top w:val="none" w:sz="0" w:space="0" w:color="auto"/>
        <w:left w:val="none" w:sz="0" w:space="0" w:color="auto"/>
        <w:bottom w:val="none" w:sz="0" w:space="0" w:color="auto"/>
        <w:right w:val="none" w:sz="0" w:space="0" w:color="auto"/>
      </w:divBdr>
    </w:div>
    <w:div w:id="1676804784">
      <w:bodyDiv w:val="1"/>
      <w:marLeft w:val="0"/>
      <w:marRight w:val="0"/>
      <w:marTop w:val="0"/>
      <w:marBottom w:val="0"/>
      <w:divBdr>
        <w:top w:val="none" w:sz="0" w:space="0" w:color="auto"/>
        <w:left w:val="none" w:sz="0" w:space="0" w:color="auto"/>
        <w:bottom w:val="none" w:sz="0" w:space="0" w:color="auto"/>
        <w:right w:val="none" w:sz="0" w:space="0" w:color="auto"/>
      </w:divBdr>
    </w:div>
    <w:div w:id="1679384287">
      <w:bodyDiv w:val="1"/>
      <w:marLeft w:val="0"/>
      <w:marRight w:val="0"/>
      <w:marTop w:val="0"/>
      <w:marBottom w:val="0"/>
      <w:divBdr>
        <w:top w:val="none" w:sz="0" w:space="0" w:color="auto"/>
        <w:left w:val="none" w:sz="0" w:space="0" w:color="auto"/>
        <w:bottom w:val="none" w:sz="0" w:space="0" w:color="auto"/>
        <w:right w:val="none" w:sz="0" w:space="0" w:color="auto"/>
      </w:divBdr>
    </w:div>
    <w:div w:id="1684627909">
      <w:bodyDiv w:val="1"/>
      <w:marLeft w:val="0"/>
      <w:marRight w:val="0"/>
      <w:marTop w:val="0"/>
      <w:marBottom w:val="0"/>
      <w:divBdr>
        <w:top w:val="none" w:sz="0" w:space="0" w:color="auto"/>
        <w:left w:val="none" w:sz="0" w:space="0" w:color="auto"/>
        <w:bottom w:val="none" w:sz="0" w:space="0" w:color="auto"/>
        <w:right w:val="none" w:sz="0" w:space="0" w:color="auto"/>
      </w:divBdr>
    </w:div>
    <w:div w:id="1702973135">
      <w:bodyDiv w:val="1"/>
      <w:marLeft w:val="0"/>
      <w:marRight w:val="0"/>
      <w:marTop w:val="0"/>
      <w:marBottom w:val="0"/>
      <w:divBdr>
        <w:top w:val="none" w:sz="0" w:space="0" w:color="auto"/>
        <w:left w:val="none" w:sz="0" w:space="0" w:color="auto"/>
        <w:bottom w:val="none" w:sz="0" w:space="0" w:color="auto"/>
        <w:right w:val="none" w:sz="0" w:space="0" w:color="auto"/>
      </w:divBdr>
    </w:div>
    <w:div w:id="1713770312">
      <w:bodyDiv w:val="1"/>
      <w:marLeft w:val="0"/>
      <w:marRight w:val="0"/>
      <w:marTop w:val="0"/>
      <w:marBottom w:val="0"/>
      <w:divBdr>
        <w:top w:val="none" w:sz="0" w:space="0" w:color="auto"/>
        <w:left w:val="none" w:sz="0" w:space="0" w:color="auto"/>
        <w:bottom w:val="none" w:sz="0" w:space="0" w:color="auto"/>
        <w:right w:val="none" w:sz="0" w:space="0" w:color="auto"/>
      </w:divBdr>
    </w:div>
    <w:div w:id="1760519394">
      <w:bodyDiv w:val="1"/>
      <w:marLeft w:val="0"/>
      <w:marRight w:val="0"/>
      <w:marTop w:val="0"/>
      <w:marBottom w:val="0"/>
      <w:divBdr>
        <w:top w:val="none" w:sz="0" w:space="0" w:color="auto"/>
        <w:left w:val="none" w:sz="0" w:space="0" w:color="auto"/>
        <w:bottom w:val="none" w:sz="0" w:space="0" w:color="auto"/>
        <w:right w:val="none" w:sz="0" w:space="0" w:color="auto"/>
      </w:divBdr>
    </w:div>
    <w:div w:id="1788044341">
      <w:bodyDiv w:val="1"/>
      <w:marLeft w:val="0"/>
      <w:marRight w:val="0"/>
      <w:marTop w:val="0"/>
      <w:marBottom w:val="0"/>
      <w:divBdr>
        <w:top w:val="none" w:sz="0" w:space="0" w:color="auto"/>
        <w:left w:val="none" w:sz="0" w:space="0" w:color="auto"/>
        <w:bottom w:val="none" w:sz="0" w:space="0" w:color="auto"/>
        <w:right w:val="none" w:sz="0" w:space="0" w:color="auto"/>
      </w:divBdr>
    </w:div>
    <w:div w:id="1902400497">
      <w:bodyDiv w:val="1"/>
      <w:marLeft w:val="0"/>
      <w:marRight w:val="0"/>
      <w:marTop w:val="0"/>
      <w:marBottom w:val="0"/>
      <w:divBdr>
        <w:top w:val="none" w:sz="0" w:space="0" w:color="auto"/>
        <w:left w:val="none" w:sz="0" w:space="0" w:color="auto"/>
        <w:bottom w:val="none" w:sz="0" w:space="0" w:color="auto"/>
        <w:right w:val="none" w:sz="0" w:space="0" w:color="auto"/>
      </w:divBdr>
    </w:div>
    <w:div w:id="1905291683">
      <w:bodyDiv w:val="1"/>
      <w:marLeft w:val="0"/>
      <w:marRight w:val="0"/>
      <w:marTop w:val="0"/>
      <w:marBottom w:val="0"/>
      <w:divBdr>
        <w:top w:val="none" w:sz="0" w:space="0" w:color="auto"/>
        <w:left w:val="none" w:sz="0" w:space="0" w:color="auto"/>
        <w:bottom w:val="none" w:sz="0" w:space="0" w:color="auto"/>
        <w:right w:val="none" w:sz="0" w:space="0" w:color="auto"/>
      </w:divBdr>
    </w:div>
    <w:div w:id="1908222503">
      <w:bodyDiv w:val="1"/>
      <w:marLeft w:val="0"/>
      <w:marRight w:val="0"/>
      <w:marTop w:val="0"/>
      <w:marBottom w:val="0"/>
      <w:divBdr>
        <w:top w:val="none" w:sz="0" w:space="0" w:color="auto"/>
        <w:left w:val="none" w:sz="0" w:space="0" w:color="auto"/>
        <w:bottom w:val="none" w:sz="0" w:space="0" w:color="auto"/>
        <w:right w:val="none" w:sz="0" w:space="0" w:color="auto"/>
      </w:divBdr>
    </w:div>
    <w:div w:id="1923949820">
      <w:bodyDiv w:val="1"/>
      <w:marLeft w:val="0"/>
      <w:marRight w:val="0"/>
      <w:marTop w:val="0"/>
      <w:marBottom w:val="0"/>
      <w:divBdr>
        <w:top w:val="none" w:sz="0" w:space="0" w:color="auto"/>
        <w:left w:val="none" w:sz="0" w:space="0" w:color="auto"/>
        <w:bottom w:val="none" w:sz="0" w:space="0" w:color="auto"/>
        <w:right w:val="none" w:sz="0" w:space="0" w:color="auto"/>
      </w:divBdr>
    </w:div>
    <w:div w:id="1940866119">
      <w:bodyDiv w:val="1"/>
      <w:marLeft w:val="0"/>
      <w:marRight w:val="0"/>
      <w:marTop w:val="0"/>
      <w:marBottom w:val="0"/>
      <w:divBdr>
        <w:top w:val="none" w:sz="0" w:space="0" w:color="auto"/>
        <w:left w:val="none" w:sz="0" w:space="0" w:color="auto"/>
        <w:bottom w:val="none" w:sz="0" w:space="0" w:color="auto"/>
        <w:right w:val="none" w:sz="0" w:space="0" w:color="auto"/>
      </w:divBdr>
    </w:div>
    <w:div w:id="1942568844">
      <w:bodyDiv w:val="1"/>
      <w:marLeft w:val="0"/>
      <w:marRight w:val="0"/>
      <w:marTop w:val="0"/>
      <w:marBottom w:val="0"/>
      <w:divBdr>
        <w:top w:val="none" w:sz="0" w:space="0" w:color="auto"/>
        <w:left w:val="none" w:sz="0" w:space="0" w:color="auto"/>
        <w:bottom w:val="none" w:sz="0" w:space="0" w:color="auto"/>
        <w:right w:val="none" w:sz="0" w:space="0" w:color="auto"/>
      </w:divBdr>
    </w:div>
    <w:div w:id="1957560770">
      <w:bodyDiv w:val="1"/>
      <w:marLeft w:val="0"/>
      <w:marRight w:val="0"/>
      <w:marTop w:val="0"/>
      <w:marBottom w:val="0"/>
      <w:divBdr>
        <w:top w:val="none" w:sz="0" w:space="0" w:color="auto"/>
        <w:left w:val="none" w:sz="0" w:space="0" w:color="auto"/>
        <w:bottom w:val="none" w:sz="0" w:space="0" w:color="auto"/>
        <w:right w:val="none" w:sz="0" w:space="0" w:color="auto"/>
      </w:divBdr>
    </w:div>
    <w:div w:id="2010715044">
      <w:bodyDiv w:val="1"/>
      <w:marLeft w:val="0"/>
      <w:marRight w:val="0"/>
      <w:marTop w:val="0"/>
      <w:marBottom w:val="0"/>
      <w:divBdr>
        <w:top w:val="none" w:sz="0" w:space="0" w:color="auto"/>
        <w:left w:val="none" w:sz="0" w:space="0" w:color="auto"/>
        <w:bottom w:val="none" w:sz="0" w:space="0" w:color="auto"/>
        <w:right w:val="none" w:sz="0" w:space="0" w:color="auto"/>
      </w:divBdr>
    </w:div>
    <w:div w:id="2016490612">
      <w:bodyDiv w:val="1"/>
      <w:marLeft w:val="0"/>
      <w:marRight w:val="0"/>
      <w:marTop w:val="0"/>
      <w:marBottom w:val="0"/>
      <w:divBdr>
        <w:top w:val="none" w:sz="0" w:space="0" w:color="auto"/>
        <w:left w:val="none" w:sz="0" w:space="0" w:color="auto"/>
        <w:bottom w:val="none" w:sz="0" w:space="0" w:color="auto"/>
        <w:right w:val="none" w:sz="0" w:space="0" w:color="auto"/>
      </w:divBdr>
    </w:div>
    <w:div w:id="2044281193">
      <w:bodyDiv w:val="1"/>
      <w:marLeft w:val="0"/>
      <w:marRight w:val="0"/>
      <w:marTop w:val="0"/>
      <w:marBottom w:val="0"/>
      <w:divBdr>
        <w:top w:val="none" w:sz="0" w:space="0" w:color="auto"/>
        <w:left w:val="none" w:sz="0" w:space="0" w:color="auto"/>
        <w:bottom w:val="none" w:sz="0" w:space="0" w:color="auto"/>
        <w:right w:val="none" w:sz="0" w:space="0" w:color="auto"/>
      </w:divBdr>
    </w:div>
    <w:div w:id="2059087372">
      <w:bodyDiv w:val="1"/>
      <w:marLeft w:val="0"/>
      <w:marRight w:val="0"/>
      <w:marTop w:val="0"/>
      <w:marBottom w:val="0"/>
      <w:divBdr>
        <w:top w:val="none" w:sz="0" w:space="0" w:color="auto"/>
        <w:left w:val="none" w:sz="0" w:space="0" w:color="auto"/>
        <w:bottom w:val="none" w:sz="0" w:space="0" w:color="auto"/>
        <w:right w:val="none" w:sz="0" w:space="0" w:color="auto"/>
      </w:divBdr>
    </w:div>
    <w:div w:id="2067532010">
      <w:bodyDiv w:val="1"/>
      <w:marLeft w:val="0"/>
      <w:marRight w:val="0"/>
      <w:marTop w:val="0"/>
      <w:marBottom w:val="0"/>
      <w:divBdr>
        <w:top w:val="none" w:sz="0" w:space="0" w:color="auto"/>
        <w:left w:val="none" w:sz="0" w:space="0" w:color="auto"/>
        <w:bottom w:val="none" w:sz="0" w:space="0" w:color="auto"/>
        <w:right w:val="none" w:sz="0" w:space="0" w:color="auto"/>
      </w:divBdr>
      <w:divsChild>
        <w:div w:id="1294868919">
          <w:marLeft w:val="0"/>
          <w:marRight w:val="0"/>
          <w:marTop w:val="0"/>
          <w:marBottom w:val="0"/>
          <w:divBdr>
            <w:top w:val="none" w:sz="0" w:space="0" w:color="auto"/>
            <w:left w:val="none" w:sz="0" w:space="0" w:color="auto"/>
            <w:bottom w:val="none" w:sz="0" w:space="0" w:color="auto"/>
            <w:right w:val="none" w:sz="0" w:space="0" w:color="auto"/>
          </w:divBdr>
        </w:div>
      </w:divsChild>
    </w:div>
    <w:div w:id="2067607521">
      <w:bodyDiv w:val="1"/>
      <w:marLeft w:val="0"/>
      <w:marRight w:val="0"/>
      <w:marTop w:val="0"/>
      <w:marBottom w:val="0"/>
      <w:divBdr>
        <w:top w:val="none" w:sz="0" w:space="0" w:color="auto"/>
        <w:left w:val="none" w:sz="0" w:space="0" w:color="auto"/>
        <w:bottom w:val="none" w:sz="0" w:space="0" w:color="auto"/>
        <w:right w:val="none" w:sz="0" w:space="0" w:color="auto"/>
      </w:divBdr>
    </w:div>
    <w:div w:id="2099056993">
      <w:bodyDiv w:val="1"/>
      <w:marLeft w:val="0"/>
      <w:marRight w:val="0"/>
      <w:marTop w:val="0"/>
      <w:marBottom w:val="0"/>
      <w:divBdr>
        <w:top w:val="none" w:sz="0" w:space="0" w:color="auto"/>
        <w:left w:val="none" w:sz="0" w:space="0" w:color="auto"/>
        <w:bottom w:val="none" w:sz="0" w:space="0" w:color="auto"/>
        <w:right w:val="none" w:sz="0" w:space="0" w:color="auto"/>
      </w:divBdr>
    </w:div>
    <w:div w:id="2126263594">
      <w:bodyDiv w:val="1"/>
      <w:marLeft w:val="0"/>
      <w:marRight w:val="0"/>
      <w:marTop w:val="0"/>
      <w:marBottom w:val="0"/>
      <w:divBdr>
        <w:top w:val="none" w:sz="0" w:space="0" w:color="auto"/>
        <w:left w:val="none" w:sz="0" w:space="0" w:color="auto"/>
        <w:bottom w:val="none" w:sz="0" w:space="0" w:color="auto"/>
        <w:right w:val="none" w:sz="0" w:space="0" w:color="auto"/>
      </w:divBdr>
    </w:div>
    <w:div w:id="2132479494">
      <w:bodyDiv w:val="1"/>
      <w:marLeft w:val="0"/>
      <w:marRight w:val="0"/>
      <w:marTop w:val="0"/>
      <w:marBottom w:val="0"/>
      <w:divBdr>
        <w:top w:val="none" w:sz="0" w:space="0" w:color="auto"/>
        <w:left w:val="none" w:sz="0" w:space="0" w:color="auto"/>
        <w:bottom w:val="none" w:sz="0" w:space="0" w:color="auto"/>
        <w:right w:val="none" w:sz="0" w:space="0" w:color="auto"/>
      </w:divBdr>
    </w:div>
    <w:div w:id="21337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yperlink" Target="http://www.nrc.gov/reading-rm/doc-collections/commission/policy/51fr30028.pdf" TargetMode="Externa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image" Target="media/image6.emf"/><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image" Target="media/image2.png"/><Relationship Id="rId25" Type="http://schemas.openxmlformats.org/officeDocument/2006/relationships/image" Target="media/image10.emf"/><Relationship Id="rId33" Type="http://schemas.openxmlformats.org/officeDocument/2006/relationships/hyperlink" Target="http://pbadupws.nrc.gov/docs/ML1106/ML110620618.pdf"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emf"/><Relationship Id="rId29" Type="http://schemas.openxmlformats.org/officeDocument/2006/relationships/hyperlink" Target="https://www.reutersevents.com/nuclear/nuscale-targets-smr-staff-costs-below-nuclear-industry-average" TargetMode="Externa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emf"/><Relationship Id="rId32" Type="http://schemas.openxmlformats.org/officeDocument/2006/relationships/hyperlink" Target="http://pbadupws.nrc.gov/docs/ML1106/ML110620618.pdf" TargetMode="External"/><Relationship Id="rId37" Type="http://schemas.openxmlformats.org/officeDocument/2006/relationships/footer" Target="footer5.xml"/><Relationship Id="rId40"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8.png"/><Relationship Id="rId28" Type="http://schemas.openxmlformats.org/officeDocument/2006/relationships/hyperlink" Target="https://obamawhitehouse.archives.gov/sites/default/files/ondcp/Fact_Sheets/effects_of_drugs_on_economy_jw_5-24-11_0.pdf"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hyperlink" Target="http://www.nrc.gov/reactors/operating/ops-experience/fitness-for-duty-programs/performance-report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hyperlink" Target="https://cdn.americanprogress.org/wp-content/uploads/2012/11/16084443/CostofTurnover0815.pdf" TargetMode="External"/><Relationship Id="rId30" Type="http://schemas.openxmlformats.org/officeDocument/2006/relationships/hyperlink" Target="https://ecommons.cornell.edu/bitstream/handle/1813/72391/Hinkin59_Contextual_Factors_and_Cost_Profiles_Associated_with_Employee_Turnover.pdf?sequence=1" TargetMode="External"/><Relationship Id="rId35" Type="http://schemas.openxmlformats.org/officeDocument/2006/relationships/footer" Target="footer3.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Document?ref_nbr=201704-0930-001" TargetMode="External"/><Relationship Id="rId2" Type="http://schemas.openxmlformats.org/officeDocument/2006/relationships/hyperlink" Target="https://www.reginfo.gov/public/do/PRAViewDocument?ref_nbr=201704-0930-001" TargetMode="External"/><Relationship Id="rId1" Type="http://schemas.openxmlformats.org/officeDocument/2006/relationships/hyperlink" Target="https://www.reginfo.gov/public/do/PRAViewDocument?ref_nbr=201704-0930-001" TargetMode="External"/><Relationship Id="rId4" Type="http://schemas.openxmlformats.org/officeDocument/2006/relationships/hyperlink" Target="http://www.palisa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DE66E28BB682458FD1D102B17309FC" ma:contentTypeVersion="5" ma:contentTypeDescription="Create a new document." ma:contentTypeScope="" ma:versionID="f32a46e749d13b2fa1bd359c0444127b">
  <xsd:schema xmlns:xsd="http://www.w3.org/2001/XMLSchema" xmlns:xs="http://www.w3.org/2001/XMLSchema" xmlns:p="http://schemas.microsoft.com/office/2006/metadata/properties" xmlns:ns2="ab88f1b7-a21f-483b-a912-730cef2de801" xmlns:ns3="d084bbf4-67d2-42b5-ad0b-bbb3e8240277" targetNamespace="http://schemas.microsoft.com/office/2006/metadata/properties" ma:root="true" ma:fieldsID="869ef93deefe2d3c163720c2f714f6b4" ns2:_="" ns3:_="">
    <xsd:import namespace="ab88f1b7-a21f-483b-a912-730cef2de801"/>
    <xsd:import namespace="d084bbf4-67d2-42b5-ad0b-bbb3e8240277"/>
    <xsd:element name="properties">
      <xsd:complexType>
        <xsd:sequence>
          <xsd:element name="documentManagement">
            <xsd:complexType>
              <xsd:all>
                <xsd:element ref="ns2:Originating_x0020_Office"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8f1b7-a21f-483b-a912-730cef2de801" elementFormDefault="qualified">
    <xsd:import namespace="http://schemas.microsoft.com/office/2006/documentManagement/types"/>
    <xsd:import namespace="http://schemas.microsoft.com/office/infopath/2007/PartnerControls"/>
    <xsd:element name="Originating_x0020_Office" ma:index="8" nillable="true" ma:displayName="Originating Office" ma:internalName="Originating_x0020_Offic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4bbf4-67d2-42b5-ad0b-bbb3e824027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084bbf4-67d2-42b5-ad0b-bbb3e8240277">
      <UserInfo>
        <DisplayName>Brunson, Wesley</DisplayName>
        <AccountId>14</AccountId>
        <AccountType/>
      </UserInfo>
      <UserInfo>
        <DisplayName>Cline-Thomas, Patricia</DisplayName>
        <AccountId>199</AccountId>
        <AccountType/>
      </UserInfo>
      <UserInfo>
        <DisplayName>Ghneim, Munira</DisplayName>
        <AccountId>10</AccountId>
        <AccountType/>
      </UserInfo>
      <UserInfo>
        <DisplayName>Gunasekera, Manjula</DisplayName>
        <AccountId>21</AccountId>
        <AccountType/>
      </UserInfo>
      <UserInfo>
        <DisplayName>Lappert, Glenna</DisplayName>
        <AccountId>242</AccountId>
        <AccountType/>
      </UserInfo>
      <UserInfo>
        <DisplayName>Schneider, Stewart</DisplayName>
        <AccountId>260</AccountId>
        <AccountType/>
      </UserInfo>
      <UserInfo>
        <DisplayName>Thieneman, Kristopher</DisplayName>
        <AccountId>13</AccountId>
        <AccountType/>
      </UserInfo>
      <UserInfo>
        <DisplayName>Zaleski, Brian</DisplayName>
        <AccountId>413</AccountId>
        <AccountType/>
      </UserInfo>
      <UserInfo>
        <DisplayName>Chang, Helen</DisplayName>
        <AccountId>203</AccountId>
        <AccountType/>
      </UserInfo>
      <UserInfo>
        <DisplayName>Love Blair, Angella</DisplayName>
        <AccountId>103</AccountId>
        <AccountType/>
      </UserInfo>
      <UserInfo>
        <DisplayName>Harris, Paul</DisplayName>
        <AccountId>414</AccountId>
        <AccountType/>
      </UserInfo>
      <UserInfo>
        <DisplayName>Nakoski, John</DisplayName>
        <AccountId>432</AccountId>
        <AccountType/>
      </UserInfo>
      <UserInfo>
        <DisplayName>Berrios, Ilka</DisplayName>
        <AccountId>129</AccountId>
        <AccountType/>
      </UserInfo>
      <UserInfo>
        <DisplayName>Coyne, Kevin</DisplayName>
        <AccountId>96</AccountId>
        <AccountType/>
      </UserInfo>
      <UserInfo>
        <DisplayName>Tappert, John</DisplayName>
        <AccountId>80</AccountId>
        <AccountType/>
      </UserInfo>
      <UserInfo>
        <DisplayName>Bowers, Anthony</DisplayName>
        <AccountId>434</AccountId>
        <AccountType/>
      </UserInfo>
      <UserInfo>
        <DisplayName>Benowitz, Howard</DisplayName>
        <AccountId>435</AccountId>
        <AccountType/>
      </UserInfo>
      <UserInfo>
        <DisplayName>Spencer, Mary</DisplayName>
        <AccountId>338</AccountId>
        <AccountType/>
      </UserInfo>
      <UserInfo>
        <DisplayName>Schofer, Fred</DisplayName>
        <AccountId>77</AccountId>
        <AccountType/>
      </UserInfo>
      <UserInfo>
        <DisplayName>Marcano, Damaris</DisplayName>
        <AccountId>659</AccountId>
        <AccountType/>
      </UserInfo>
      <UserInfo>
        <DisplayName>Correa, Yessie</DisplayName>
        <AccountId>218</AccountId>
        <AccountType/>
      </UserInfo>
      <UserInfo>
        <DisplayName>De Messieres , Candace</DisplayName>
        <AccountId>219</AccountId>
        <AccountType/>
      </UserInfo>
      <UserInfo>
        <DisplayName>McCarthy, Maria</DisplayName>
        <AccountId>97</AccountId>
        <AccountType/>
      </UserInfo>
      <UserInfo>
        <DisplayName>Veil, Andrea</DisplayName>
        <AccountId>132</AccountId>
        <AccountType/>
      </UserInfo>
      <UserInfo>
        <DisplayName>Coates, Anissa</DisplayName>
        <AccountId>220</AccountId>
        <AccountType/>
      </UserInfo>
      <UserInfo>
        <DisplayName>Finney, Patrick</DisplayName>
        <AccountId>239</AccountId>
        <AccountType/>
      </UserInfo>
      <UserInfo>
        <DisplayName>Tilton, Caroline</DisplayName>
        <AccountId>409</AccountId>
        <AccountType/>
      </UserInfo>
      <UserInfo>
        <DisplayName>Bennett, Sharon</DisplayName>
        <AccountId>324</AccountId>
        <AccountType/>
      </UserInfo>
      <UserInfo>
        <DisplayName>King, Mike</DisplayName>
        <AccountId>221</AccountId>
        <AccountType/>
      </UserInfo>
    </SharedWithUsers>
    <Originating_x0020_Office xmlns="ab88f1b7-a21f-483b-a912-730cef2de801"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F1729-347A-4D78-BE95-BC293168624C}">
  <ds:schemaRefs>
    <ds:schemaRef ds:uri="http://schemas.openxmlformats.org/officeDocument/2006/bibliography"/>
  </ds:schemaRefs>
</ds:datastoreItem>
</file>

<file path=customXml/itemProps2.xml><?xml version="1.0" encoding="utf-8"?>
<ds:datastoreItem xmlns:ds="http://schemas.openxmlformats.org/officeDocument/2006/customXml" ds:itemID="{CE3FD7E5-974E-4CC7-94CB-034819F15033}">
  <ds:schemaRefs>
    <ds:schemaRef ds:uri="http://schemas.microsoft.com/sharepoint/v3/contenttype/forms"/>
  </ds:schemaRefs>
</ds:datastoreItem>
</file>

<file path=customXml/itemProps3.xml><?xml version="1.0" encoding="utf-8"?>
<ds:datastoreItem xmlns:ds="http://schemas.openxmlformats.org/officeDocument/2006/customXml" ds:itemID="{EDFA2B6E-DBE6-424E-81AB-399215F1C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8f1b7-a21f-483b-a912-730cef2de801"/>
    <ds:schemaRef ds:uri="d084bbf4-67d2-42b5-ad0b-bbb3e82402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B8D6A3-7C99-44E3-8404-DE7FCBCFC040}">
  <ds:schemaRefs>
    <ds:schemaRef ds:uri="http://schemas.microsoft.com/office/2006/metadata/properties"/>
    <ds:schemaRef ds:uri="http://schemas.microsoft.com/office/infopath/2007/PartnerControls"/>
    <ds:schemaRef ds:uri="d084bbf4-67d2-42b5-ad0b-bbb3e8240277"/>
    <ds:schemaRef ds:uri="ab88f1b7-a21f-483b-a912-730cef2de801"/>
  </ds:schemaRefs>
</ds:datastoreItem>
</file>

<file path=customXml/itemProps5.xml><?xml version="1.0" encoding="utf-8"?>
<ds:datastoreItem xmlns:ds="http://schemas.openxmlformats.org/officeDocument/2006/customXml" ds:itemID="{FAAC8E1A-1E2E-4A12-91FC-A4E51F25D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44599</Words>
  <Characters>254215</Characters>
  <Application>Microsoft Office Word</Application>
  <DocSecurity>0</DocSecurity>
  <Lines>2118</Lines>
  <Paragraphs>596</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Abbreviations and Acronyms</vt:lpstr>
      <vt:lpstr>Abstract</vt:lpstr>
      <vt:lpstr>Executive Summary</vt:lpstr>
      <vt:lpstr/>
      <vt:lpstr>1.	Introduction</vt:lpstr>
      <vt:lpstr>    1.1	Background</vt:lpstr>
      <vt:lpstr>    1.2	Statement of the Problem and U.S. Nuclear Regulatory Commission Objectives f</vt:lpstr>
      <vt:lpstr>2.	Identification and Preliminary Analysis of Alternative Approaches</vt:lpstr>
      <vt:lpstr>    2.1	Alternative 1:  Take No Action</vt:lpstr>
      <vt:lpstr>    2.2	Alternative 2:  Amend 10 CFR Part 26</vt:lpstr>
      <vt:lpstr>    2.3	Alternative 3:  Address Issues Without Rulemaking</vt:lpstr>
      <vt:lpstr>3.	Safety Goal Evaluation</vt:lpstr>
      <vt:lpstr>4.	Evaluation of Benefits and Costs</vt:lpstr>
      <vt:lpstr>    4.1	Identification of Affected Attributes</vt:lpstr>
      <vt:lpstr>    4.2	Analytical Methodology</vt:lpstr>
    </vt:vector>
  </TitlesOfParts>
  <Company/>
  <LinksUpToDate>false</LinksUpToDate>
  <CharactersWithSpaces>298218</CharactersWithSpaces>
  <SharedDoc>false</SharedDoc>
  <HLinks>
    <vt:vector size="528" baseType="variant">
      <vt:variant>
        <vt:i4>7667827</vt:i4>
      </vt:variant>
      <vt:variant>
        <vt:i4>648</vt:i4>
      </vt:variant>
      <vt:variant>
        <vt:i4>0</vt:i4>
      </vt:variant>
      <vt:variant>
        <vt:i4>5</vt:i4>
      </vt:variant>
      <vt:variant>
        <vt:lpwstr>http://pbadupws.nrc.gov/docs/ML1106/ML110620618.pdf</vt:lpwstr>
      </vt:variant>
      <vt:variant>
        <vt:lpwstr/>
      </vt:variant>
      <vt:variant>
        <vt:i4>7667827</vt:i4>
      </vt:variant>
      <vt:variant>
        <vt:i4>645</vt:i4>
      </vt:variant>
      <vt:variant>
        <vt:i4>0</vt:i4>
      </vt:variant>
      <vt:variant>
        <vt:i4>5</vt:i4>
      </vt:variant>
      <vt:variant>
        <vt:lpwstr>http://pbadupws.nrc.gov/docs/ML1106/ML110620618.pdf</vt:lpwstr>
      </vt:variant>
      <vt:variant>
        <vt:lpwstr/>
      </vt:variant>
      <vt:variant>
        <vt:i4>4128803</vt:i4>
      </vt:variant>
      <vt:variant>
        <vt:i4>642</vt:i4>
      </vt:variant>
      <vt:variant>
        <vt:i4>0</vt:i4>
      </vt:variant>
      <vt:variant>
        <vt:i4>5</vt:i4>
      </vt:variant>
      <vt:variant>
        <vt:lpwstr>http://www.nrc.gov/reactors/operating/ops-experience/fitness-for-duty-programs/performance-reports.html</vt:lpwstr>
      </vt:variant>
      <vt:variant>
        <vt:lpwstr/>
      </vt:variant>
      <vt:variant>
        <vt:i4>6684749</vt:i4>
      </vt:variant>
      <vt:variant>
        <vt:i4>639</vt:i4>
      </vt:variant>
      <vt:variant>
        <vt:i4>0</vt:i4>
      </vt:variant>
      <vt:variant>
        <vt:i4>5</vt:i4>
      </vt:variant>
      <vt:variant>
        <vt:lpwstr>https://ecommons.cornell.edu/bitstream/handle/1813/72391/Hinkin59_Contextual_Factors_and_Cost_Profiles_Associated_with_Employee_Turnover.pdf?sequence=1</vt:lpwstr>
      </vt:variant>
      <vt:variant>
        <vt:lpwstr/>
      </vt:variant>
      <vt:variant>
        <vt:i4>4390928</vt:i4>
      </vt:variant>
      <vt:variant>
        <vt:i4>636</vt:i4>
      </vt:variant>
      <vt:variant>
        <vt:i4>0</vt:i4>
      </vt:variant>
      <vt:variant>
        <vt:i4>5</vt:i4>
      </vt:variant>
      <vt:variant>
        <vt:lpwstr>https://www.reutersevents.com/nuclear/nuscale-targets-smr-staff-costs-below-nuclear-industry-average</vt:lpwstr>
      </vt:variant>
      <vt:variant>
        <vt:lpwstr/>
      </vt:variant>
      <vt:variant>
        <vt:i4>1769497</vt:i4>
      </vt:variant>
      <vt:variant>
        <vt:i4>633</vt:i4>
      </vt:variant>
      <vt:variant>
        <vt:i4>0</vt:i4>
      </vt:variant>
      <vt:variant>
        <vt:i4>5</vt:i4>
      </vt:variant>
      <vt:variant>
        <vt:lpwstr>https://obamawhitehouse.archives.gov/sites/default/files/ondcp/Fact_Sheets/effects_of_drugs_on_economy_jw_5-24-11_0.pdf</vt:lpwstr>
      </vt:variant>
      <vt:variant>
        <vt:lpwstr/>
      </vt:variant>
      <vt:variant>
        <vt:i4>3866727</vt:i4>
      </vt:variant>
      <vt:variant>
        <vt:i4>630</vt:i4>
      </vt:variant>
      <vt:variant>
        <vt:i4>0</vt:i4>
      </vt:variant>
      <vt:variant>
        <vt:i4>5</vt:i4>
      </vt:variant>
      <vt:variant>
        <vt:lpwstr>https://cdn.americanprogress.org/wp-content/uploads/2012/11/16084443/CostofTurnover0815.pdf</vt:lpwstr>
      </vt:variant>
      <vt:variant>
        <vt:lpwstr/>
      </vt:variant>
      <vt:variant>
        <vt:i4>5242965</vt:i4>
      </vt:variant>
      <vt:variant>
        <vt:i4>627</vt:i4>
      </vt:variant>
      <vt:variant>
        <vt:i4>0</vt:i4>
      </vt:variant>
      <vt:variant>
        <vt:i4>5</vt:i4>
      </vt:variant>
      <vt:variant>
        <vt:lpwstr>http://www.nrc.gov/reading-rm/doc-collections/commission/policy/51fr30028.pdf</vt:lpwstr>
      </vt:variant>
      <vt:variant>
        <vt:lpwstr/>
      </vt:variant>
      <vt:variant>
        <vt:i4>1179704</vt:i4>
      </vt:variant>
      <vt:variant>
        <vt:i4>458</vt:i4>
      </vt:variant>
      <vt:variant>
        <vt:i4>0</vt:i4>
      </vt:variant>
      <vt:variant>
        <vt:i4>5</vt:i4>
      </vt:variant>
      <vt:variant>
        <vt:lpwstr/>
      </vt:variant>
      <vt:variant>
        <vt:lpwstr>_Toc73882759</vt:lpwstr>
      </vt:variant>
      <vt:variant>
        <vt:i4>1245240</vt:i4>
      </vt:variant>
      <vt:variant>
        <vt:i4>452</vt:i4>
      </vt:variant>
      <vt:variant>
        <vt:i4>0</vt:i4>
      </vt:variant>
      <vt:variant>
        <vt:i4>5</vt:i4>
      </vt:variant>
      <vt:variant>
        <vt:lpwstr/>
      </vt:variant>
      <vt:variant>
        <vt:lpwstr>_Toc73882758</vt:lpwstr>
      </vt:variant>
      <vt:variant>
        <vt:i4>1835064</vt:i4>
      </vt:variant>
      <vt:variant>
        <vt:i4>446</vt:i4>
      </vt:variant>
      <vt:variant>
        <vt:i4>0</vt:i4>
      </vt:variant>
      <vt:variant>
        <vt:i4>5</vt:i4>
      </vt:variant>
      <vt:variant>
        <vt:lpwstr/>
      </vt:variant>
      <vt:variant>
        <vt:lpwstr>_Toc73882757</vt:lpwstr>
      </vt:variant>
      <vt:variant>
        <vt:i4>1900600</vt:i4>
      </vt:variant>
      <vt:variant>
        <vt:i4>440</vt:i4>
      </vt:variant>
      <vt:variant>
        <vt:i4>0</vt:i4>
      </vt:variant>
      <vt:variant>
        <vt:i4>5</vt:i4>
      </vt:variant>
      <vt:variant>
        <vt:lpwstr/>
      </vt:variant>
      <vt:variant>
        <vt:lpwstr>_Toc73882756</vt:lpwstr>
      </vt:variant>
      <vt:variant>
        <vt:i4>1966136</vt:i4>
      </vt:variant>
      <vt:variant>
        <vt:i4>434</vt:i4>
      </vt:variant>
      <vt:variant>
        <vt:i4>0</vt:i4>
      </vt:variant>
      <vt:variant>
        <vt:i4>5</vt:i4>
      </vt:variant>
      <vt:variant>
        <vt:lpwstr/>
      </vt:variant>
      <vt:variant>
        <vt:lpwstr>_Toc73882755</vt:lpwstr>
      </vt:variant>
      <vt:variant>
        <vt:i4>2031672</vt:i4>
      </vt:variant>
      <vt:variant>
        <vt:i4>428</vt:i4>
      </vt:variant>
      <vt:variant>
        <vt:i4>0</vt:i4>
      </vt:variant>
      <vt:variant>
        <vt:i4>5</vt:i4>
      </vt:variant>
      <vt:variant>
        <vt:lpwstr/>
      </vt:variant>
      <vt:variant>
        <vt:lpwstr>_Toc73882754</vt:lpwstr>
      </vt:variant>
      <vt:variant>
        <vt:i4>1572920</vt:i4>
      </vt:variant>
      <vt:variant>
        <vt:i4>422</vt:i4>
      </vt:variant>
      <vt:variant>
        <vt:i4>0</vt:i4>
      </vt:variant>
      <vt:variant>
        <vt:i4>5</vt:i4>
      </vt:variant>
      <vt:variant>
        <vt:lpwstr/>
      </vt:variant>
      <vt:variant>
        <vt:lpwstr>_Toc73882753</vt:lpwstr>
      </vt:variant>
      <vt:variant>
        <vt:i4>1638456</vt:i4>
      </vt:variant>
      <vt:variant>
        <vt:i4>416</vt:i4>
      </vt:variant>
      <vt:variant>
        <vt:i4>0</vt:i4>
      </vt:variant>
      <vt:variant>
        <vt:i4>5</vt:i4>
      </vt:variant>
      <vt:variant>
        <vt:lpwstr/>
      </vt:variant>
      <vt:variant>
        <vt:lpwstr>_Toc73882752</vt:lpwstr>
      </vt:variant>
      <vt:variant>
        <vt:i4>1703992</vt:i4>
      </vt:variant>
      <vt:variant>
        <vt:i4>410</vt:i4>
      </vt:variant>
      <vt:variant>
        <vt:i4>0</vt:i4>
      </vt:variant>
      <vt:variant>
        <vt:i4>5</vt:i4>
      </vt:variant>
      <vt:variant>
        <vt:lpwstr/>
      </vt:variant>
      <vt:variant>
        <vt:lpwstr>_Toc73882751</vt:lpwstr>
      </vt:variant>
      <vt:variant>
        <vt:i4>1769528</vt:i4>
      </vt:variant>
      <vt:variant>
        <vt:i4>404</vt:i4>
      </vt:variant>
      <vt:variant>
        <vt:i4>0</vt:i4>
      </vt:variant>
      <vt:variant>
        <vt:i4>5</vt:i4>
      </vt:variant>
      <vt:variant>
        <vt:lpwstr/>
      </vt:variant>
      <vt:variant>
        <vt:lpwstr>_Toc73882750</vt:lpwstr>
      </vt:variant>
      <vt:variant>
        <vt:i4>1179705</vt:i4>
      </vt:variant>
      <vt:variant>
        <vt:i4>398</vt:i4>
      </vt:variant>
      <vt:variant>
        <vt:i4>0</vt:i4>
      </vt:variant>
      <vt:variant>
        <vt:i4>5</vt:i4>
      </vt:variant>
      <vt:variant>
        <vt:lpwstr/>
      </vt:variant>
      <vt:variant>
        <vt:lpwstr>_Toc73882749</vt:lpwstr>
      </vt:variant>
      <vt:variant>
        <vt:i4>1245241</vt:i4>
      </vt:variant>
      <vt:variant>
        <vt:i4>392</vt:i4>
      </vt:variant>
      <vt:variant>
        <vt:i4>0</vt:i4>
      </vt:variant>
      <vt:variant>
        <vt:i4>5</vt:i4>
      </vt:variant>
      <vt:variant>
        <vt:lpwstr/>
      </vt:variant>
      <vt:variant>
        <vt:lpwstr>_Toc73882748</vt:lpwstr>
      </vt:variant>
      <vt:variant>
        <vt:i4>1835065</vt:i4>
      </vt:variant>
      <vt:variant>
        <vt:i4>386</vt:i4>
      </vt:variant>
      <vt:variant>
        <vt:i4>0</vt:i4>
      </vt:variant>
      <vt:variant>
        <vt:i4>5</vt:i4>
      </vt:variant>
      <vt:variant>
        <vt:lpwstr/>
      </vt:variant>
      <vt:variant>
        <vt:lpwstr>_Toc73882747</vt:lpwstr>
      </vt:variant>
      <vt:variant>
        <vt:i4>1900601</vt:i4>
      </vt:variant>
      <vt:variant>
        <vt:i4>380</vt:i4>
      </vt:variant>
      <vt:variant>
        <vt:i4>0</vt:i4>
      </vt:variant>
      <vt:variant>
        <vt:i4>5</vt:i4>
      </vt:variant>
      <vt:variant>
        <vt:lpwstr/>
      </vt:variant>
      <vt:variant>
        <vt:lpwstr>_Toc73882746</vt:lpwstr>
      </vt:variant>
      <vt:variant>
        <vt:i4>1966137</vt:i4>
      </vt:variant>
      <vt:variant>
        <vt:i4>374</vt:i4>
      </vt:variant>
      <vt:variant>
        <vt:i4>0</vt:i4>
      </vt:variant>
      <vt:variant>
        <vt:i4>5</vt:i4>
      </vt:variant>
      <vt:variant>
        <vt:lpwstr/>
      </vt:variant>
      <vt:variant>
        <vt:lpwstr>_Toc73882745</vt:lpwstr>
      </vt:variant>
      <vt:variant>
        <vt:i4>2031673</vt:i4>
      </vt:variant>
      <vt:variant>
        <vt:i4>368</vt:i4>
      </vt:variant>
      <vt:variant>
        <vt:i4>0</vt:i4>
      </vt:variant>
      <vt:variant>
        <vt:i4>5</vt:i4>
      </vt:variant>
      <vt:variant>
        <vt:lpwstr/>
      </vt:variant>
      <vt:variant>
        <vt:lpwstr>_Toc73882744</vt:lpwstr>
      </vt:variant>
      <vt:variant>
        <vt:i4>1572921</vt:i4>
      </vt:variant>
      <vt:variant>
        <vt:i4>362</vt:i4>
      </vt:variant>
      <vt:variant>
        <vt:i4>0</vt:i4>
      </vt:variant>
      <vt:variant>
        <vt:i4>5</vt:i4>
      </vt:variant>
      <vt:variant>
        <vt:lpwstr/>
      </vt:variant>
      <vt:variant>
        <vt:lpwstr>_Toc73882743</vt:lpwstr>
      </vt:variant>
      <vt:variant>
        <vt:i4>1638457</vt:i4>
      </vt:variant>
      <vt:variant>
        <vt:i4>356</vt:i4>
      </vt:variant>
      <vt:variant>
        <vt:i4>0</vt:i4>
      </vt:variant>
      <vt:variant>
        <vt:i4>5</vt:i4>
      </vt:variant>
      <vt:variant>
        <vt:lpwstr/>
      </vt:variant>
      <vt:variant>
        <vt:lpwstr>_Toc73882742</vt:lpwstr>
      </vt:variant>
      <vt:variant>
        <vt:i4>1703993</vt:i4>
      </vt:variant>
      <vt:variant>
        <vt:i4>350</vt:i4>
      </vt:variant>
      <vt:variant>
        <vt:i4>0</vt:i4>
      </vt:variant>
      <vt:variant>
        <vt:i4>5</vt:i4>
      </vt:variant>
      <vt:variant>
        <vt:lpwstr/>
      </vt:variant>
      <vt:variant>
        <vt:lpwstr>_Toc73882741</vt:lpwstr>
      </vt:variant>
      <vt:variant>
        <vt:i4>1769529</vt:i4>
      </vt:variant>
      <vt:variant>
        <vt:i4>344</vt:i4>
      </vt:variant>
      <vt:variant>
        <vt:i4>0</vt:i4>
      </vt:variant>
      <vt:variant>
        <vt:i4>5</vt:i4>
      </vt:variant>
      <vt:variant>
        <vt:lpwstr/>
      </vt:variant>
      <vt:variant>
        <vt:lpwstr>_Toc73882740</vt:lpwstr>
      </vt:variant>
      <vt:variant>
        <vt:i4>1179710</vt:i4>
      </vt:variant>
      <vt:variant>
        <vt:i4>338</vt:i4>
      </vt:variant>
      <vt:variant>
        <vt:i4>0</vt:i4>
      </vt:variant>
      <vt:variant>
        <vt:i4>5</vt:i4>
      </vt:variant>
      <vt:variant>
        <vt:lpwstr/>
      </vt:variant>
      <vt:variant>
        <vt:lpwstr>_Toc73882739</vt:lpwstr>
      </vt:variant>
      <vt:variant>
        <vt:i4>1245246</vt:i4>
      </vt:variant>
      <vt:variant>
        <vt:i4>332</vt:i4>
      </vt:variant>
      <vt:variant>
        <vt:i4>0</vt:i4>
      </vt:variant>
      <vt:variant>
        <vt:i4>5</vt:i4>
      </vt:variant>
      <vt:variant>
        <vt:lpwstr/>
      </vt:variant>
      <vt:variant>
        <vt:lpwstr>_Toc73882738</vt:lpwstr>
      </vt:variant>
      <vt:variant>
        <vt:i4>1835070</vt:i4>
      </vt:variant>
      <vt:variant>
        <vt:i4>326</vt:i4>
      </vt:variant>
      <vt:variant>
        <vt:i4>0</vt:i4>
      </vt:variant>
      <vt:variant>
        <vt:i4>5</vt:i4>
      </vt:variant>
      <vt:variant>
        <vt:lpwstr/>
      </vt:variant>
      <vt:variant>
        <vt:lpwstr>_Toc73882737</vt:lpwstr>
      </vt:variant>
      <vt:variant>
        <vt:i4>1900606</vt:i4>
      </vt:variant>
      <vt:variant>
        <vt:i4>320</vt:i4>
      </vt:variant>
      <vt:variant>
        <vt:i4>0</vt:i4>
      </vt:variant>
      <vt:variant>
        <vt:i4>5</vt:i4>
      </vt:variant>
      <vt:variant>
        <vt:lpwstr/>
      </vt:variant>
      <vt:variant>
        <vt:lpwstr>_Toc73882736</vt:lpwstr>
      </vt:variant>
      <vt:variant>
        <vt:i4>1966142</vt:i4>
      </vt:variant>
      <vt:variant>
        <vt:i4>314</vt:i4>
      </vt:variant>
      <vt:variant>
        <vt:i4>0</vt:i4>
      </vt:variant>
      <vt:variant>
        <vt:i4>5</vt:i4>
      </vt:variant>
      <vt:variant>
        <vt:lpwstr/>
      </vt:variant>
      <vt:variant>
        <vt:lpwstr>_Toc73882735</vt:lpwstr>
      </vt:variant>
      <vt:variant>
        <vt:i4>1507390</vt:i4>
      </vt:variant>
      <vt:variant>
        <vt:i4>305</vt:i4>
      </vt:variant>
      <vt:variant>
        <vt:i4>0</vt:i4>
      </vt:variant>
      <vt:variant>
        <vt:i4>5</vt:i4>
      </vt:variant>
      <vt:variant>
        <vt:lpwstr/>
      </vt:variant>
      <vt:variant>
        <vt:lpwstr>_Toc73636696</vt:lpwstr>
      </vt:variant>
      <vt:variant>
        <vt:i4>1310782</vt:i4>
      </vt:variant>
      <vt:variant>
        <vt:i4>299</vt:i4>
      </vt:variant>
      <vt:variant>
        <vt:i4>0</vt:i4>
      </vt:variant>
      <vt:variant>
        <vt:i4>5</vt:i4>
      </vt:variant>
      <vt:variant>
        <vt:lpwstr/>
      </vt:variant>
      <vt:variant>
        <vt:lpwstr>_Toc73636695</vt:lpwstr>
      </vt:variant>
      <vt:variant>
        <vt:i4>1376318</vt:i4>
      </vt:variant>
      <vt:variant>
        <vt:i4>293</vt:i4>
      </vt:variant>
      <vt:variant>
        <vt:i4>0</vt:i4>
      </vt:variant>
      <vt:variant>
        <vt:i4>5</vt:i4>
      </vt:variant>
      <vt:variant>
        <vt:lpwstr/>
      </vt:variant>
      <vt:variant>
        <vt:lpwstr>_Toc73636694</vt:lpwstr>
      </vt:variant>
      <vt:variant>
        <vt:i4>1179710</vt:i4>
      </vt:variant>
      <vt:variant>
        <vt:i4>287</vt:i4>
      </vt:variant>
      <vt:variant>
        <vt:i4>0</vt:i4>
      </vt:variant>
      <vt:variant>
        <vt:i4>5</vt:i4>
      </vt:variant>
      <vt:variant>
        <vt:lpwstr/>
      </vt:variant>
      <vt:variant>
        <vt:lpwstr>_Toc73636693</vt:lpwstr>
      </vt:variant>
      <vt:variant>
        <vt:i4>1245246</vt:i4>
      </vt:variant>
      <vt:variant>
        <vt:i4>281</vt:i4>
      </vt:variant>
      <vt:variant>
        <vt:i4>0</vt:i4>
      </vt:variant>
      <vt:variant>
        <vt:i4>5</vt:i4>
      </vt:variant>
      <vt:variant>
        <vt:lpwstr/>
      </vt:variant>
      <vt:variant>
        <vt:lpwstr>_Toc73636692</vt:lpwstr>
      </vt:variant>
      <vt:variant>
        <vt:i4>1048638</vt:i4>
      </vt:variant>
      <vt:variant>
        <vt:i4>275</vt:i4>
      </vt:variant>
      <vt:variant>
        <vt:i4>0</vt:i4>
      </vt:variant>
      <vt:variant>
        <vt:i4>5</vt:i4>
      </vt:variant>
      <vt:variant>
        <vt:lpwstr/>
      </vt:variant>
      <vt:variant>
        <vt:lpwstr>_Toc73636691</vt:lpwstr>
      </vt:variant>
      <vt:variant>
        <vt:i4>1114174</vt:i4>
      </vt:variant>
      <vt:variant>
        <vt:i4>269</vt:i4>
      </vt:variant>
      <vt:variant>
        <vt:i4>0</vt:i4>
      </vt:variant>
      <vt:variant>
        <vt:i4>5</vt:i4>
      </vt:variant>
      <vt:variant>
        <vt:lpwstr/>
      </vt:variant>
      <vt:variant>
        <vt:lpwstr>_Toc73636690</vt:lpwstr>
      </vt:variant>
      <vt:variant>
        <vt:i4>1572927</vt:i4>
      </vt:variant>
      <vt:variant>
        <vt:i4>263</vt:i4>
      </vt:variant>
      <vt:variant>
        <vt:i4>0</vt:i4>
      </vt:variant>
      <vt:variant>
        <vt:i4>5</vt:i4>
      </vt:variant>
      <vt:variant>
        <vt:lpwstr/>
      </vt:variant>
      <vt:variant>
        <vt:lpwstr>_Toc73636689</vt:lpwstr>
      </vt:variant>
      <vt:variant>
        <vt:i4>1638463</vt:i4>
      </vt:variant>
      <vt:variant>
        <vt:i4>257</vt:i4>
      </vt:variant>
      <vt:variant>
        <vt:i4>0</vt:i4>
      </vt:variant>
      <vt:variant>
        <vt:i4>5</vt:i4>
      </vt:variant>
      <vt:variant>
        <vt:lpwstr/>
      </vt:variant>
      <vt:variant>
        <vt:lpwstr>_Toc73636688</vt:lpwstr>
      </vt:variant>
      <vt:variant>
        <vt:i4>1310772</vt:i4>
      </vt:variant>
      <vt:variant>
        <vt:i4>248</vt:i4>
      </vt:variant>
      <vt:variant>
        <vt:i4>0</vt:i4>
      </vt:variant>
      <vt:variant>
        <vt:i4>5</vt:i4>
      </vt:variant>
      <vt:variant>
        <vt:lpwstr/>
      </vt:variant>
      <vt:variant>
        <vt:lpwstr>_Toc73636635</vt:lpwstr>
      </vt:variant>
      <vt:variant>
        <vt:i4>1376308</vt:i4>
      </vt:variant>
      <vt:variant>
        <vt:i4>242</vt:i4>
      </vt:variant>
      <vt:variant>
        <vt:i4>0</vt:i4>
      </vt:variant>
      <vt:variant>
        <vt:i4>5</vt:i4>
      </vt:variant>
      <vt:variant>
        <vt:lpwstr/>
      </vt:variant>
      <vt:variant>
        <vt:lpwstr>_Toc73636634</vt:lpwstr>
      </vt:variant>
      <vt:variant>
        <vt:i4>1179700</vt:i4>
      </vt:variant>
      <vt:variant>
        <vt:i4>236</vt:i4>
      </vt:variant>
      <vt:variant>
        <vt:i4>0</vt:i4>
      </vt:variant>
      <vt:variant>
        <vt:i4>5</vt:i4>
      </vt:variant>
      <vt:variant>
        <vt:lpwstr/>
      </vt:variant>
      <vt:variant>
        <vt:lpwstr>_Toc73636633</vt:lpwstr>
      </vt:variant>
      <vt:variant>
        <vt:i4>1245236</vt:i4>
      </vt:variant>
      <vt:variant>
        <vt:i4>230</vt:i4>
      </vt:variant>
      <vt:variant>
        <vt:i4>0</vt:i4>
      </vt:variant>
      <vt:variant>
        <vt:i4>5</vt:i4>
      </vt:variant>
      <vt:variant>
        <vt:lpwstr/>
      </vt:variant>
      <vt:variant>
        <vt:lpwstr>_Toc73636632</vt:lpwstr>
      </vt:variant>
      <vt:variant>
        <vt:i4>1048628</vt:i4>
      </vt:variant>
      <vt:variant>
        <vt:i4>224</vt:i4>
      </vt:variant>
      <vt:variant>
        <vt:i4>0</vt:i4>
      </vt:variant>
      <vt:variant>
        <vt:i4>5</vt:i4>
      </vt:variant>
      <vt:variant>
        <vt:lpwstr/>
      </vt:variant>
      <vt:variant>
        <vt:lpwstr>_Toc73636631</vt:lpwstr>
      </vt:variant>
      <vt:variant>
        <vt:i4>1114164</vt:i4>
      </vt:variant>
      <vt:variant>
        <vt:i4>218</vt:i4>
      </vt:variant>
      <vt:variant>
        <vt:i4>0</vt:i4>
      </vt:variant>
      <vt:variant>
        <vt:i4>5</vt:i4>
      </vt:variant>
      <vt:variant>
        <vt:lpwstr/>
      </vt:variant>
      <vt:variant>
        <vt:lpwstr>_Toc73636630</vt:lpwstr>
      </vt:variant>
      <vt:variant>
        <vt:i4>1572917</vt:i4>
      </vt:variant>
      <vt:variant>
        <vt:i4>212</vt:i4>
      </vt:variant>
      <vt:variant>
        <vt:i4>0</vt:i4>
      </vt:variant>
      <vt:variant>
        <vt:i4>5</vt:i4>
      </vt:variant>
      <vt:variant>
        <vt:lpwstr/>
      </vt:variant>
      <vt:variant>
        <vt:lpwstr>_Toc73636629</vt:lpwstr>
      </vt:variant>
      <vt:variant>
        <vt:i4>1638453</vt:i4>
      </vt:variant>
      <vt:variant>
        <vt:i4>206</vt:i4>
      </vt:variant>
      <vt:variant>
        <vt:i4>0</vt:i4>
      </vt:variant>
      <vt:variant>
        <vt:i4>5</vt:i4>
      </vt:variant>
      <vt:variant>
        <vt:lpwstr/>
      </vt:variant>
      <vt:variant>
        <vt:lpwstr>_Toc73636628</vt:lpwstr>
      </vt:variant>
      <vt:variant>
        <vt:i4>1441845</vt:i4>
      </vt:variant>
      <vt:variant>
        <vt:i4>200</vt:i4>
      </vt:variant>
      <vt:variant>
        <vt:i4>0</vt:i4>
      </vt:variant>
      <vt:variant>
        <vt:i4>5</vt:i4>
      </vt:variant>
      <vt:variant>
        <vt:lpwstr/>
      </vt:variant>
      <vt:variant>
        <vt:lpwstr>_Toc73636627</vt:lpwstr>
      </vt:variant>
      <vt:variant>
        <vt:i4>1507381</vt:i4>
      </vt:variant>
      <vt:variant>
        <vt:i4>194</vt:i4>
      </vt:variant>
      <vt:variant>
        <vt:i4>0</vt:i4>
      </vt:variant>
      <vt:variant>
        <vt:i4>5</vt:i4>
      </vt:variant>
      <vt:variant>
        <vt:lpwstr/>
      </vt:variant>
      <vt:variant>
        <vt:lpwstr>_Toc73636626</vt:lpwstr>
      </vt:variant>
      <vt:variant>
        <vt:i4>1310773</vt:i4>
      </vt:variant>
      <vt:variant>
        <vt:i4>188</vt:i4>
      </vt:variant>
      <vt:variant>
        <vt:i4>0</vt:i4>
      </vt:variant>
      <vt:variant>
        <vt:i4>5</vt:i4>
      </vt:variant>
      <vt:variant>
        <vt:lpwstr/>
      </vt:variant>
      <vt:variant>
        <vt:lpwstr>_Toc73636625</vt:lpwstr>
      </vt:variant>
      <vt:variant>
        <vt:i4>1376309</vt:i4>
      </vt:variant>
      <vt:variant>
        <vt:i4>182</vt:i4>
      </vt:variant>
      <vt:variant>
        <vt:i4>0</vt:i4>
      </vt:variant>
      <vt:variant>
        <vt:i4>5</vt:i4>
      </vt:variant>
      <vt:variant>
        <vt:lpwstr/>
      </vt:variant>
      <vt:variant>
        <vt:lpwstr>_Toc73636624</vt:lpwstr>
      </vt:variant>
      <vt:variant>
        <vt:i4>1179701</vt:i4>
      </vt:variant>
      <vt:variant>
        <vt:i4>176</vt:i4>
      </vt:variant>
      <vt:variant>
        <vt:i4>0</vt:i4>
      </vt:variant>
      <vt:variant>
        <vt:i4>5</vt:i4>
      </vt:variant>
      <vt:variant>
        <vt:lpwstr/>
      </vt:variant>
      <vt:variant>
        <vt:lpwstr>_Toc73636623</vt:lpwstr>
      </vt:variant>
      <vt:variant>
        <vt:i4>1245237</vt:i4>
      </vt:variant>
      <vt:variant>
        <vt:i4>170</vt:i4>
      </vt:variant>
      <vt:variant>
        <vt:i4>0</vt:i4>
      </vt:variant>
      <vt:variant>
        <vt:i4>5</vt:i4>
      </vt:variant>
      <vt:variant>
        <vt:lpwstr/>
      </vt:variant>
      <vt:variant>
        <vt:lpwstr>_Toc73636622</vt:lpwstr>
      </vt:variant>
      <vt:variant>
        <vt:i4>1048629</vt:i4>
      </vt:variant>
      <vt:variant>
        <vt:i4>164</vt:i4>
      </vt:variant>
      <vt:variant>
        <vt:i4>0</vt:i4>
      </vt:variant>
      <vt:variant>
        <vt:i4>5</vt:i4>
      </vt:variant>
      <vt:variant>
        <vt:lpwstr/>
      </vt:variant>
      <vt:variant>
        <vt:lpwstr>_Toc73636621</vt:lpwstr>
      </vt:variant>
      <vt:variant>
        <vt:i4>1114165</vt:i4>
      </vt:variant>
      <vt:variant>
        <vt:i4>158</vt:i4>
      </vt:variant>
      <vt:variant>
        <vt:i4>0</vt:i4>
      </vt:variant>
      <vt:variant>
        <vt:i4>5</vt:i4>
      </vt:variant>
      <vt:variant>
        <vt:lpwstr/>
      </vt:variant>
      <vt:variant>
        <vt:lpwstr>_Toc73636620</vt:lpwstr>
      </vt:variant>
      <vt:variant>
        <vt:i4>1572918</vt:i4>
      </vt:variant>
      <vt:variant>
        <vt:i4>152</vt:i4>
      </vt:variant>
      <vt:variant>
        <vt:i4>0</vt:i4>
      </vt:variant>
      <vt:variant>
        <vt:i4>5</vt:i4>
      </vt:variant>
      <vt:variant>
        <vt:lpwstr/>
      </vt:variant>
      <vt:variant>
        <vt:lpwstr>_Toc73636619</vt:lpwstr>
      </vt:variant>
      <vt:variant>
        <vt:i4>1638454</vt:i4>
      </vt:variant>
      <vt:variant>
        <vt:i4>146</vt:i4>
      </vt:variant>
      <vt:variant>
        <vt:i4>0</vt:i4>
      </vt:variant>
      <vt:variant>
        <vt:i4>5</vt:i4>
      </vt:variant>
      <vt:variant>
        <vt:lpwstr/>
      </vt:variant>
      <vt:variant>
        <vt:lpwstr>_Toc73636618</vt:lpwstr>
      </vt:variant>
      <vt:variant>
        <vt:i4>1441846</vt:i4>
      </vt:variant>
      <vt:variant>
        <vt:i4>140</vt:i4>
      </vt:variant>
      <vt:variant>
        <vt:i4>0</vt:i4>
      </vt:variant>
      <vt:variant>
        <vt:i4>5</vt:i4>
      </vt:variant>
      <vt:variant>
        <vt:lpwstr/>
      </vt:variant>
      <vt:variant>
        <vt:lpwstr>_Toc73636617</vt:lpwstr>
      </vt:variant>
      <vt:variant>
        <vt:i4>1507382</vt:i4>
      </vt:variant>
      <vt:variant>
        <vt:i4>134</vt:i4>
      </vt:variant>
      <vt:variant>
        <vt:i4>0</vt:i4>
      </vt:variant>
      <vt:variant>
        <vt:i4>5</vt:i4>
      </vt:variant>
      <vt:variant>
        <vt:lpwstr/>
      </vt:variant>
      <vt:variant>
        <vt:lpwstr>_Toc73636616</vt:lpwstr>
      </vt:variant>
      <vt:variant>
        <vt:i4>1310774</vt:i4>
      </vt:variant>
      <vt:variant>
        <vt:i4>128</vt:i4>
      </vt:variant>
      <vt:variant>
        <vt:i4>0</vt:i4>
      </vt:variant>
      <vt:variant>
        <vt:i4>5</vt:i4>
      </vt:variant>
      <vt:variant>
        <vt:lpwstr/>
      </vt:variant>
      <vt:variant>
        <vt:lpwstr>_Toc73636615</vt:lpwstr>
      </vt:variant>
      <vt:variant>
        <vt:i4>1376310</vt:i4>
      </vt:variant>
      <vt:variant>
        <vt:i4>122</vt:i4>
      </vt:variant>
      <vt:variant>
        <vt:i4>0</vt:i4>
      </vt:variant>
      <vt:variant>
        <vt:i4>5</vt:i4>
      </vt:variant>
      <vt:variant>
        <vt:lpwstr/>
      </vt:variant>
      <vt:variant>
        <vt:lpwstr>_Toc73636614</vt:lpwstr>
      </vt:variant>
      <vt:variant>
        <vt:i4>1179702</vt:i4>
      </vt:variant>
      <vt:variant>
        <vt:i4>116</vt:i4>
      </vt:variant>
      <vt:variant>
        <vt:i4>0</vt:i4>
      </vt:variant>
      <vt:variant>
        <vt:i4>5</vt:i4>
      </vt:variant>
      <vt:variant>
        <vt:lpwstr/>
      </vt:variant>
      <vt:variant>
        <vt:lpwstr>_Toc73636613</vt:lpwstr>
      </vt:variant>
      <vt:variant>
        <vt:i4>1245238</vt:i4>
      </vt:variant>
      <vt:variant>
        <vt:i4>110</vt:i4>
      </vt:variant>
      <vt:variant>
        <vt:i4>0</vt:i4>
      </vt:variant>
      <vt:variant>
        <vt:i4>5</vt:i4>
      </vt:variant>
      <vt:variant>
        <vt:lpwstr/>
      </vt:variant>
      <vt:variant>
        <vt:lpwstr>_Toc73636612</vt:lpwstr>
      </vt:variant>
      <vt:variant>
        <vt:i4>1048630</vt:i4>
      </vt:variant>
      <vt:variant>
        <vt:i4>104</vt:i4>
      </vt:variant>
      <vt:variant>
        <vt:i4>0</vt:i4>
      </vt:variant>
      <vt:variant>
        <vt:i4>5</vt:i4>
      </vt:variant>
      <vt:variant>
        <vt:lpwstr/>
      </vt:variant>
      <vt:variant>
        <vt:lpwstr>_Toc73636611</vt:lpwstr>
      </vt:variant>
      <vt:variant>
        <vt:i4>1114166</vt:i4>
      </vt:variant>
      <vt:variant>
        <vt:i4>98</vt:i4>
      </vt:variant>
      <vt:variant>
        <vt:i4>0</vt:i4>
      </vt:variant>
      <vt:variant>
        <vt:i4>5</vt:i4>
      </vt:variant>
      <vt:variant>
        <vt:lpwstr/>
      </vt:variant>
      <vt:variant>
        <vt:lpwstr>_Toc73636610</vt:lpwstr>
      </vt:variant>
      <vt:variant>
        <vt:i4>1572919</vt:i4>
      </vt:variant>
      <vt:variant>
        <vt:i4>92</vt:i4>
      </vt:variant>
      <vt:variant>
        <vt:i4>0</vt:i4>
      </vt:variant>
      <vt:variant>
        <vt:i4>5</vt:i4>
      </vt:variant>
      <vt:variant>
        <vt:lpwstr/>
      </vt:variant>
      <vt:variant>
        <vt:lpwstr>_Toc73636609</vt:lpwstr>
      </vt:variant>
      <vt:variant>
        <vt:i4>1638455</vt:i4>
      </vt:variant>
      <vt:variant>
        <vt:i4>86</vt:i4>
      </vt:variant>
      <vt:variant>
        <vt:i4>0</vt:i4>
      </vt:variant>
      <vt:variant>
        <vt:i4>5</vt:i4>
      </vt:variant>
      <vt:variant>
        <vt:lpwstr/>
      </vt:variant>
      <vt:variant>
        <vt:lpwstr>_Toc73636608</vt:lpwstr>
      </vt:variant>
      <vt:variant>
        <vt:i4>1441847</vt:i4>
      </vt:variant>
      <vt:variant>
        <vt:i4>80</vt:i4>
      </vt:variant>
      <vt:variant>
        <vt:i4>0</vt:i4>
      </vt:variant>
      <vt:variant>
        <vt:i4>5</vt:i4>
      </vt:variant>
      <vt:variant>
        <vt:lpwstr/>
      </vt:variant>
      <vt:variant>
        <vt:lpwstr>_Toc73636607</vt:lpwstr>
      </vt:variant>
      <vt:variant>
        <vt:i4>1507383</vt:i4>
      </vt:variant>
      <vt:variant>
        <vt:i4>74</vt:i4>
      </vt:variant>
      <vt:variant>
        <vt:i4>0</vt:i4>
      </vt:variant>
      <vt:variant>
        <vt:i4>5</vt:i4>
      </vt:variant>
      <vt:variant>
        <vt:lpwstr/>
      </vt:variant>
      <vt:variant>
        <vt:lpwstr>_Toc73636606</vt:lpwstr>
      </vt:variant>
      <vt:variant>
        <vt:i4>1310775</vt:i4>
      </vt:variant>
      <vt:variant>
        <vt:i4>68</vt:i4>
      </vt:variant>
      <vt:variant>
        <vt:i4>0</vt:i4>
      </vt:variant>
      <vt:variant>
        <vt:i4>5</vt:i4>
      </vt:variant>
      <vt:variant>
        <vt:lpwstr/>
      </vt:variant>
      <vt:variant>
        <vt:lpwstr>_Toc73636605</vt:lpwstr>
      </vt:variant>
      <vt:variant>
        <vt:i4>1376311</vt:i4>
      </vt:variant>
      <vt:variant>
        <vt:i4>62</vt:i4>
      </vt:variant>
      <vt:variant>
        <vt:i4>0</vt:i4>
      </vt:variant>
      <vt:variant>
        <vt:i4>5</vt:i4>
      </vt:variant>
      <vt:variant>
        <vt:lpwstr/>
      </vt:variant>
      <vt:variant>
        <vt:lpwstr>_Toc73636604</vt:lpwstr>
      </vt:variant>
      <vt:variant>
        <vt:i4>1179703</vt:i4>
      </vt:variant>
      <vt:variant>
        <vt:i4>56</vt:i4>
      </vt:variant>
      <vt:variant>
        <vt:i4>0</vt:i4>
      </vt:variant>
      <vt:variant>
        <vt:i4>5</vt:i4>
      </vt:variant>
      <vt:variant>
        <vt:lpwstr/>
      </vt:variant>
      <vt:variant>
        <vt:lpwstr>_Toc73636603</vt:lpwstr>
      </vt:variant>
      <vt:variant>
        <vt:i4>1245239</vt:i4>
      </vt:variant>
      <vt:variant>
        <vt:i4>50</vt:i4>
      </vt:variant>
      <vt:variant>
        <vt:i4>0</vt:i4>
      </vt:variant>
      <vt:variant>
        <vt:i4>5</vt:i4>
      </vt:variant>
      <vt:variant>
        <vt:lpwstr/>
      </vt:variant>
      <vt:variant>
        <vt:lpwstr>_Toc73636602</vt:lpwstr>
      </vt:variant>
      <vt:variant>
        <vt:i4>1048631</vt:i4>
      </vt:variant>
      <vt:variant>
        <vt:i4>44</vt:i4>
      </vt:variant>
      <vt:variant>
        <vt:i4>0</vt:i4>
      </vt:variant>
      <vt:variant>
        <vt:i4>5</vt:i4>
      </vt:variant>
      <vt:variant>
        <vt:lpwstr/>
      </vt:variant>
      <vt:variant>
        <vt:lpwstr>_Toc73636601</vt:lpwstr>
      </vt:variant>
      <vt:variant>
        <vt:i4>1114167</vt:i4>
      </vt:variant>
      <vt:variant>
        <vt:i4>38</vt:i4>
      </vt:variant>
      <vt:variant>
        <vt:i4>0</vt:i4>
      </vt:variant>
      <vt:variant>
        <vt:i4>5</vt:i4>
      </vt:variant>
      <vt:variant>
        <vt:lpwstr/>
      </vt:variant>
      <vt:variant>
        <vt:lpwstr>_Toc73636600</vt:lpwstr>
      </vt:variant>
      <vt:variant>
        <vt:i4>1769534</vt:i4>
      </vt:variant>
      <vt:variant>
        <vt:i4>32</vt:i4>
      </vt:variant>
      <vt:variant>
        <vt:i4>0</vt:i4>
      </vt:variant>
      <vt:variant>
        <vt:i4>5</vt:i4>
      </vt:variant>
      <vt:variant>
        <vt:lpwstr/>
      </vt:variant>
      <vt:variant>
        <vt:lpwstr>_Toc73636599</vt:lpwstr>
      </vt:variant>
      <vt:variant>
        <vt:i4>1703998</vt:i4>
      </vt:variant>
      <vt:variant>
        <vt:i4>26</vt:i4>
      </vt:variant>
      <vt:variant>
        <vt:i4>0</vt:i4>
      </vt:variant>
      <vt:variant>
        <vt:i4>5</vt:i4>
      </vt:variant>
      <vt:variant>
        <vt:lpwstr/>
      </vt:variant>
      <vt:variant>
        <vt:lpwstr>_Toc73636598</vt:lpwstr>
      </vt:variant>
      <vt:variant>
        <vt:i4>1376318</vt:i4>
      </vt:variant>
      <vt:variant>
        <vt:i4>20</vt:i4>
      </vt:variant>
      <vt:variant>
        <vt:i4>0</vt:i4>
      </vt:variant>
      <vt:variant>
        <vt:i4>5</vt:i4>
      </vt:variant>
      <vt:variant>
        <vt:lpwstr/>
      </vt:variant>
      <vt:variant>
        <vt:lpwstr>_Toc73636597</vt:lpwstr>
      </vt:variant>
      <vt:variant>
        <vt:i4>1310782</vt:i4>
      </vt:variant>
      <vt:variant>
        <vt:i4>14</vt:i4>
      </vt:variant>
      <vt:variant>
        <vt:i4>0</vt:i4>
      </vt:variant>
      <vt:variant>
        <vt:i4>5</vt:i4>
      </vt:variant>
      <vt:variant>
        <vt:lpwstr/>
      </vt:variant>
      <vt:variant>
        <vt:lpwstr>_Toc73636596</vt:lpwstr>
      </vt:variant>
      <vt:variant>
        <vt:i4>1507390</vt:i4>
      </vt:variant>
      <vt:variant>
        <vt:i4>8</vt:i4>
      </vt:variant>
      <vt:variant>
        <vt:i4>0</vt:i4>
      </vt:variant>
      <vt:variant>
        <vt:i4>5</vt:i4>
      </vt:variant>
      <vt:variant>
        <vt:lpwstr/>
      </vt:variant>
      <vt:variant>
        <vt:lpwstr>_Toc73636595</vt:lpwstr>
      </vt:variant>
      <vt:variant>
        <vt:i4>1441854</vt:i4>
      </vt:variant>
      <vt:variant>
        <vt:i4>2</vt:i4>
      </vt:variant>
      <vt:variant>
        <vt:i4>0</vt:i4>
      </vt:variant>
      <vt:variant>
        <vt:i4>5</vt:i4>
      </vt:variant>
      <vt:variant>
        <vt:lpwstr/>
      </vt:variant>
      <vt:variant>
        <vt:lpwstr>_Toc73636594</vt:lpwstr>
      </vt:variant>
      <vt:variant>
        <vt:i4>5111890</vt:i4>
      </vt:variant>
      <vt:variant>
        <vt:i4>9</vt:i4>
      </vt:variant>
      <vt:variant>
        <vt:i4>0</vt:i4>
      </vt:variant>
      <vt:variant>
        <vt:i4>5</vt:i4>
      </vt:variant>
      <vt:variant>
        <vt:lpwstr>http://www.palisade.com/</vt:lpwstr>
      </vt:variant>
      <vt:variant>
        <vt:lpwstr/>
      </vt:variant>
      <vt:variant>
        <vt:i4>7274581</vt:i4>
      </vt:variant>
      <vt:variant>
        <vt:i4>6</vt:i4>
      </vt:variant>
      <vt:variant>
        <vt:i4>0</vt:i4>
      </vt:variant>
      <vt:variant>
        <vt:i4>5</vt:i4>
      </vt:variant>
      <vt:variant>
        <vt:lpwstr>https://www.reginfo.gov/public/do/PRAViewDocument?ref_nbr=201704-0930-001</vt:lpwstr>
      </vt:variant>
      <vt:variant>
        <vt:lpwstr/>
      </vt:variant>
      <vt:variant>
        <vt:i4>7274581</vt:i4>
      </vt:variant>
      <vt:variant>
        <vt:i4>3</vt:i4>
      </vt:variant>
      <vt:variant>
        <vt:i4>0</vt:i4>
      </vt:variant>
      <vt:variant>
        <vt:i4>5</vt:i4>
      </vt:variant>
      <vt:variant>
        <vt:lpwstr>https://www.reginfo.gov/public/do/PRAViewDocument?ref_nbr=201704-0930-001</vt:lpwstr>
      </vt:variant>
      <vt:variant>
        <vt:lpwstr/>
      </vt:variant>
      <vt:variant>
        <vt:i4>7274581</vt:i4>
      </vt:variant>
      <vt:variant>
        <vt:i4>0</vt:i4>
      </vt:variant>
      <vt:variant>
        <vt:i4>0</vt:i4>
      </vt:variant>
      <vt:variant>
        <vt:i4>5</vt:i4>
      </vt:variant>
      <vt:variant>
        <vt:lpwstr>https://www.reginfo.gov/public/do/PRAViewDocument?ref_nbr=201704-0930-001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Benowitz, Howard</dc:creator>
  <cp:keywords/>
  <cp:lastModifiedBy>Benney, Kristen</cp:lastModifiedBy>
  <cp:revision>2</cp:revision>
  <cp:lastPrinted>2022-05-23T19:20:00Z</cp:lastPrinted>
  <dcterms:created xsi:type="dcterms:W3CDTF">2022-07-12T17:44:00Z</dcterms:created>
  <dcterms:modified xsi:type="dcterms:W3CDTF">2022-07-12T17:44:00Z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0x01010077DE66E28BB682458FD1D102B17309FC</vt:lpwstr>
  </property>
  <property fmtid="{D5CDD505-2E9C-101B-9397-08002B2CF9AE}" pid="3" name="_dlc_DocIdItemGuid">
    <vt:lpwstr>ad4b0aea-a025-4723-a683-ed6f163ea199</vt:lpwstr>
  </property>
  <property fmtid="{D5CDD505-2E9C-101B-9397-08002B2CF9AE}" pid="4" name="MSIP_Label_fb74f9b6-60a9-4243-a26a-1dfd9303d70f_Enabled">
    <vt:lpwstr>true</vt:lpwstr>
  </property>
  <property fmtid="{D5CDD505-2E9C-101B-9397-08002B2CF9AE}" pid="5" name="MSIP_Label_fb74f9b6-60a9-4243-a26a-1dfd9303d70f_SetDate">
    <vt:lpwstr>2021-08-05T01:27:20Z</vt:lpwstr>
  </property>
  <property fmtid="{D5CDD505-2E9C-101B-9397-08002B2CF9AE}" pid="6" name="MSIP_Label_fb74f9b6-60a9-4243-a26a-1dfd9303d70f_Method">
    <vt:lpwstr>Privileged</vt:lpwstr>
  </property>
  <property fmtid="{D5CDD505-2E9C-101B-9397-08002B2CF9AE}" pid="7" name="MSIP_Label_fb74f9b6-60a9-4243-a26a-1dfd9303d70f_Name">
    <vt:lpwstr>fb74f9b6-60a9-4243-a26a-1dfd9303d70f</vt:lpwstr>
  </property>
  <property fmtid="{D5CDD505-2E9C-101B-9397-08002B2CF9AE}" pid="8" name="MSIP_Label_fb74f9b6-60a9-4243-a26a-1dfd9303d70f_SiteId">
    <vt:lpwstr>e8d01475-c3b5-436a-a065-5def4c64f52e</vt:lpwstr>
  </property>
  <property fmtid="{D5CDD505-2E9C-101B-9397-08002B2CF9AE}" pid="9" name="MSIP_Label_fb74f9b6-60a9-4243-a26a-1dfd9303d70f_ActionId">
    <vt:lpwstr>95d75934-4700-437c-90a3-436e9fda7038</vt:lpwstr>
  </property>
  <property fmtid="{D5CDD505-2E9C-101B-9397-08002B2CF9AE}" pid="10" name="MSIP_Label_fb74f9b6-60a9-4243-a26a-1dfd9303d70f_ContentBits">
    <vt:lpwstr>0</vt:lpwstr>
  </property>
</Properties>
</file>