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53CD" w:rsidP="00BC5298" w14:paraId="462E7D73" w14:textId="77777777">
      <w:pPr>
        <w:jc w:val="center"/>
      </w:pPr>
    </w:p>
    <w:p w:rsidR="009A4D6A" w:rsidP="00BC5298" w14:paraId="008F836A" w14:textId="77777777">
      <w:pPr>
        <w:jc w:val="center"/>
      </w:pPr>
      <w:r>
        <w:t>OMB SUPPORTING STATEMENT</w:t>
      </w:r>
    </w:p>
    <w:p w:rsidR="00BC5298" w14:paraId="1CB13CCC" w14:textId="77777777"/>
    <w:p w:rsidR="00174A80" w14:paraId="567615EE" w14:textId="77777777"/>
    <w:p w:rsidR="00BC5298" w14:paraId="0B343D2B" w14:textId="77777777">
      <w:r>
        <w:t>Regulations Governing Reemployment of Annuitants in the Federal Service</w:t>
      </w:r>
    </w:p>
    <w:p w:rsidR="00174A80" w14:paraId="6E1B536A" w14:textId="77777777"/>
    <w:p w:rsidR="00BC5298" w14:paraId="295BFD93" w14:textId="77777777">
      <w:r>
        <w:t xml:space="preserve">A. </w:t>
      </w:r>
      <w:r w:rsidRPr="00BC5298">
        <w:rPr>
          <w:u w:val="single"/>
        </w:rPr>
        <w:t>Justification</w:t>
      </w:r>
    </w:p>
    <w:p w:rsidR="00BC5298" w14:paraId="491BB1D1" w14:textId="77777777"/>
    <w:p w:rsidR="004F2EDD" w:rsidRPr="00741061" w:rsidP="004F2EDD" w14:paraId="4681685B" w14:textId="77777777">
      <w:pPr>
        <w:pStyle w:val="ListParagraph"/>
        <w:numPr>
          <w:ilvl w:val="0"/>
          <w:numId w:val="1"/>
        </w:numPr>
        <w:shd w:val="pct25" w:color="auto" w:fill="auto"/>
        <w:tabs>
          <w:tab w:val="left" w:pos="-720"/>
        </w:tabs>
        <w:suppressAutoHyphens/>
      </w:pP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4F2EDD" w14:paraId="6D8D4532" w14:textId="77777777"/>
    <w:p w:rsidR="005464C6" w:rsidP="004F2EDD" w14:paraId="5FA47CB5" w14:textId="3C8D5AD4">
      <w:pPr>
        <w:ind w:left="720"/>
      </w:pPr>
      <w:r>
        <w:t>Section</w:t>
      </w:r>
      <w:r w:rsidR="006216BD">
        <w:t>s</w:t>
      </w:r>
      <w:r>
        <w:t xml:space="preserve"> 834</w:t>
      </w:r>
      <w:r w:rsidR="006216BD">
        <w:t xml:space="preserve">4 </w:t>
      </w:r>
      <w:r>
        <w:t xml:space="preserve">and </w:t>
      </w:r>
      <w:r w:rsidR="006216BD">
        <w:t xml:space="preserve">8468 of title 5, United States Code, govern the reemployment of Civil Service Retirement System (CSRS) and Federal Employees Retirement System (FERS) annuitants in the Federal service.  Some types of </w:t>
      </w:r>
      <w:r w:rsidR="00CE3184">
        <w:t>annuities</w:t>
      </w:r>
      <w:r w:rsidR="006216BD">
        <w:t xml:space="preserve"> terminate on reemployment, while other types of </w:t>
      </w:r>
      <w:r w:rsidR="00DD3549">
        <w:t>annuities</w:t>
      </w:r>
      <w:r w:rsidR="006216BD">
        <w:t xml:space="preserve"> continue during reemployment, with all or a portion of the annuity being offset from the reemployed annuitant’s basic pay.  Consequently, the reemploying agency needs timely information regarding the reemployed annuitant’s type of separation for retirement and amount of annuity.  Only then can the agency correctly establish the net rate of pay.  The agency is also responsible for notifying the retirement system that the annuitant is reemployed.</w:t>
      </w:r>
    </w:p>
    <w:p w:rsidR="006216BD" w:rsidP="00BC5298" w14:paraId="44511B2C" w14:textId="77777777">
      <w:pPr>
        <w:ind w:left="720" w:hanging="420"/>
      </w:pPr>
    </w:p>
    <w:p w:rsidR="006216BD" w:rsidP="005F05CA" w14:paraId="768C44A4" w14:textId="5277D660">
      <w:pPr>
        <w:ind w:left="720" w:hanging="420"/>
      </w:pPr>
      <w:r>
        <w:tab/>
        <w:t xml:space="preserve">Section 837.103(c) of title 5, Code of Federal Regulations, requires the reemployed annuitant to provide certain specific information to the employing agency.  </w:t>
      </w:r>
      <w:r w:rsidR="00443119">
        <w:br/>
      </w:r>
      <w:r>
        <w:t>The information may be provided orally, or in writing, at the employing agency’s discretion.  No special form is required.  The information which must be provided is –</w:t>
      </w:r>
    </w:p>
    <w:p w:rsidR="006216BD" w:rsidP="00BC5298" w14:paraId="7E3249BA" w14:textId="77777777">
      <w:pPr>
        <w:ind w:left="720" w:hanging="420"/>
      </w:pPr>
      <w:r>
        <w:tab/>
        <w:t>-  Whether the annuitant is then in receipt of annuity;</w:t>
      </w:r>
    </w:p>
    <w:p w:rsidR="006216BD" w:rsidP="00BC5298" w14:paraId="6A43520A" w14:textId="77777777">
      <w:pPr>
        <w:ind w:left="720" w:hanging="420"/>
      </w:pPr>
      <w:r>
        <w:tab/>
        <w:t>-  The gross monthly amount of annuity the annuitant is then receiving;</w:t>
      </w:r>
    </w:p>
    <w:p w:rsidR="006216BD" w:rsidP="00BC5298" w14:paraId="33AF3202" w14:textId="77777777">
      <w:pPr>
        <w:ind w:left="720" w:hanging="420"/>
      </w:pPr>
      <w:r>
        <w:tab/>
        <w:t xml:space="preserve">-  Whether the annuitant is retired on disability; and if so, whether the Office of </w:t>
      </w:r>
    </w:p>
    <w:p w:rsidR="006216BD" w:rsidP="00BC5298" w14:paraId="631E518A" w14:textId="77777777">
      <w:pPr>
        <w:ind w:left="720" w:hanging="420"/>
      </w:pPr>
      <w:r>
        <w:tab/>
        <w:t xml:space="preserve">    Personnel Management (OPM) has found the annuitant recovered from the disability</w:t>
      </w:r>
    </w:p>
    <w:p w:rsidR="006216BD" w:rsidP="00BC5298" w14:paraId="1D2AFAAB" w14:textId="77777777">
      <w:pPr>
        <w:ind w:left="720" w:hanging="420"/>
      </w:pPr>
      <w:r>
        <w:tab/>
        <w:t xml:space="preserve">    or restored to earning capacity; and</w:t>
      </w:r>
    </w:p>
    <w:p w:rsidR="00A030B3" w:rsidP="00BC5298" w14:paraId="14DF3C4E" w14:textId="77777777">
      <w:pPr>
        <w:ind w:left="720" w:hanging="420"/>
      </w:pPr>
      <w:r>
        <w:tab/>
        <w:t xml:space="preserve">-  If the annuitant is </w:t>
      </w:r>
      <w:r>
        <w:t xml:space="preserve">retired under </w:t>
      </w:r>
      <w:r>
        <w:t>CSRS</w:t>
      </w:r>
      <w:r>
        <w:t xml:space="preserve">, whether the annuitant’s retirement was based on </w:t>
      </w:r>
    </w:p>
    <w:p w:rsidR="006216BD" w:rsidP="00BC5298" w14:paraId="53192911" w14:textId="77777777">
      <w:pPr>
        <w:ind w:left="720" w:hanging="420"/>
      </w:pPr>
      <w:r>
        <w:tab/>
        <w:t xml:space="preserve">   an involuntary separation, not for charges of misconduct or delinquency.</w:t>
      </w:r>
    </w:p>
    <w:p w:rsidR="004F2EDD" w:rsidP="00BC5298" w14:paraId="07495BE1" w14:textId="77777777">
      <w:pPr>
        <w:ind w:left="720" w:hanging="420"/>
      </w:pPr>
    </w:p>
    <w:p w:rsidR="004F2EDD" w:rsidRPr="00741061" w:rsidP="004F2EDD" w14:paraId="24566D07" w14:textId="77777777">
      <w:pPr>
        <w:pStyle w:val="ListParagraph"/>
        <w:numPr>
          <w:ilvl w:val="0"/>
          <w:numId w:val="1"/>
        </w:numPr>
        <w:shd w:val="pct25" w:color="auto" w:fill="auto"/>
        <w:tabs>
          <w:tab w:val="left" w:pos="-720"/>
        </w:tabs>
        <w:suppressAutoHyphens/>
      </w:pPr>
      <w:r w:rsidRPr="00741061">
        <w:t xml:space="preserve">Indicate how, by whom, and for what purpose the information is to be used.  Except for a new collection, indicate the actual use the agency has made of the information received from the current collection. </w:t>
      </w:r>
    </w:p>
    <w:p w:rsidR="006216BD" w:rsidP="00BC5298" w14:paraId="22A1786A" w14:textId="77777777">
      <w:pPr>
        <w:ind w:left="720" w:hanging="420"/>
      </w:pPr>
    </w:p>
    <w:p w:rsidR="00014433" w:rsidP="004F2EDD" w14:paraId="2795504D" w14:textId="77777777">
      <w:pPr>
        <w:ind w:left="720"/>
      </w:pPr>
      <w:r>
        <w:t xml:space="preserve">The </w:t>
      </w:r>
      <w:r w:rsidR="00A030B3">
        <w:t xml:space="preserve">reemploying agency uses this </w:t>
      </w:r>
      <w:r>
        <w:t xml:space="preserve">information to determine </w:t>
      </w:r>
      <w:r w:rsidR="00A030B3">
        <w:t>whether annuity should be offset from the reemployed annuitant’s pay, and if so, how much</w:t>
      </w:r>
      <w:r>
        <w:t>.  If this information collection were not made</w:t>
      </w:r>
      <w:r w:rsidR="00A030B3">
        <w:t xml:space="preserve"> the agencies could not comply with the law.</w:t>
      </w:r>
      <w:r w:rsidR="00EE365B">
        <w:t xml:space="preserve"> A </w:t>
      </w:r>
      <w:r w:rsidRPr="00EE365B" w:rsidR="00EE365B">
        <w:t>Privacy Act Statement</w:t>
      </w:r>
      <w:r w:rsidR="00EE365B">
        <w:t xml:space="preserve"> has been included</w:t>
      </w:r>
      <w:r w:rsidRPr="00EE365B" w:rsidR="00EE365B">
        <w:t>.</w:t>
      </w:r>
    </w:p>
    <w:p w:rsidR="00C14728" w:rsidP="005F05CA" w14:paraId="263672FD" w14:textId="77777777">
      <w:pPr>
        <w:ind w:left="720"/>
      </w:pPr>
    </w:p>
    <w:p w:rsidR="00C14728" w:rsidRPr="00741061" w:rsidP="00C14728" w14:paraId="11E625A9" w14:textId="77777777">
      <w:pPr>
        <w:pStyle w:val="ListParagraph"/>
        <w:numPr>
          <w:ilvl w:val="0"/>
          <w:numId w:val="1"/>
        </w:numPr>
        <w:shd w:val="pct25" w:color="auto" w:fill="auto"/>
        <w:tabs>
          <w:tab w:val="left" w:pos="-720"/>
        </w:tabs>
        <w:suppressAutoHyphens/>
      </w:pP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A030B3" w:rsidP="00BC5298" w14:paraId="453F7E64" w14:textId="77777777">
      <w:pPr>
        <w:ind w:left="720" w:hanging="420"/>
      </w:pPr>
    </w:p>
    <w:p w:rsidR="00014433" w:rsidP="00BC5298" w14:paraId="2FE08C6F" w14:textId="7ED176A0">
      <w:pPr>
        <w:ind w:left="720" w:hanging="420"/>
      </w:pPr>
      <w:r>
        <w:tab/>
      </w:r>
      <w:r w:rsidR="00A030B3">
        <w:t>A written or oral request by the employing agency at the time of reemployment is the most efficient means of obtaining this</w:t>
      </w:r>
      <w:r w:rsidR="00607CD8">
        <w:t xml:space="preserve"> information. </w:t>
      </w:r>
      <w:r w:rsidR="00F349F0">
        <w:t>The form is available in a PDF format on our website and meets Government Paperwork Elimination Act requirements.</w:t>
      </w:r>
      <w:r w:rsidR="00EE365B">
        <w:t xml:space="preserve"> </w:t>
      </w:r>
    </w:p>
    <w:p w:rsidR="00C14728" w:rsidP="00BC5298" w14:paraId="54784A73" w14:textId="77777777">
      <w:pPr>
        <w:ind w:left="720" w:hanging="420"/>
      </w:pPr>
    </w:p>
    <w:p w:rsidR="00C14728" w:rsidRPr="00741061" w:rsidP="00C14728" w14:paraId="25CD0C99" w14:textId="77777777">
      <w:pPr>
        <w:pStyle w:val="ListParagraph"/>
        <w:numPr>
          <w:ilvl w:val="0"/>
          <w:numId w:val="1"/>
        </w:numPr>
        <w:shd w:val="pct25" w:color="auto" w:fill="auto"/>
        <w:tabs>
          <w:tab w:val="left" w:pos="-720"/>
        </w:tabs>
        <w:suppressAutoHyphens/>
      </w:pPr>
      <w:r w:rsidRPr="00741061">
        <w:t xml:space="preserve">Describe efforts to identify duplication.   Show specifically why any similar information already available cannot be used or modified for use for the purposes described in Item 2 above. </w:t>
      </w:r>
    </w:p>
    <w:p w:rsidR="00F349F0" w:rsidP="00BC5298" w14:paraId="466915DC" w14:textId="77777777">
      <w:pPr>
        <w:ind w:left="720" w:hanging="420"/>
      </w:pPr>
    </w:p>
    <w:p w:rsidR="00A032AA" w:rsidP="00C14728" w14:paraId="48786F50" w14:textId="77777777">
      <w:pPr>
        <w:ind w:left="300" w:firstLine="420"/>
      </w:pPr>
      <w:r>
        <w:t xml:space="preserve">Every effort is made to identify and avoid duplication. The information is collected       </w:t>
      </w:r>
    </w:p>
    <w:p w:rsidR="00014433" w:rsidP="00A032AA" w14:paraId="4F533A76" w14:textId="77777777">
      <w:pPr>
        <w:ind w:left="720"/>
      </w:pPr>
      <w:r>
        <w:t>individually. There is no other way to obtain this information.</w:t>
      </w:r>
    </w:p>
    <w:p w:rsidR="00C14728" w:rsidP="00A032AA" w14:paraId="46F69802" w14:textId="77777777">
      <w:pPr>
        <w:ind w:left="720"/>
      </w:pPr>
    </w:p>
    <w:p w:rsidR="00C14728" w:rsidRPr="00741061" w:rsidP="00C14728" w14:paraId="7D326814" w14:textId="77777777">
      <w:pPr>
        <w:pStyle w:val="ListParagraph"/>
        <w:numPr>
          <w:ilvl w:val="0"/>
          <w:numId w:val="1"/>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C14728" w:rsidP="00C14728" w14:paraId="11CFC1ED" w14:textId="77777777"/>
    <w:p w:rsidR="00014433" w:rsidP="005F05CA" w14:paraId="6A4F61E9" w14:textId="77777777">
      <w:pPr>
        <w:ind w:left="720"/>
      </w:pPr>
      <w:r>
        <w:t>This information collection request has no impact on small businesses and organizations.</w:t>
      </w:r>
    </w:p>
    <w:p w:rsidR="005F05CA" w:rsidP="005F05CA" w14:paraId="026C060F" w14:textId="77777777">
      <w:pPr>
        <w:ind w:left="720"/>
      </w:pPr>
    </w:p>
    <w:p w:rsidR="005F05CA" w:rsidRPr="00741061" w:rsidP="005F05CA" w14:paraId="05311BD5" w14:textId="77777777">
      <w:pPr>
        <w:pStyle w:val="ListParagraph"/>
        <w:numPr>
          <w:ilvl w:val="0"/>
          <w:numId w:val="1"/>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5F05CA" w:rsidP="005F05CA" w14:paraId="48057E91" w14:textId="77777777"/>
    <w:p w:rsidR="00014433" w:rsidP="005F05CA" w14:paraId="15D55663" w14:textId="77777777">
      <w:pPr>
        <w:ind w:left="720"/>
      </w:pPr>
      <w:r>
        <w:t xml:space="preserve">If this information is not collected, OPM may pay persons who are no longer eligible. </w:t>
      </w:r>
      <w:r w:rsidR="00A030B3">
        <w:t xml:space="preserve">The </w:t>
      </w:r>
      <w:r w:rsidR="006573D6">
        <w:t>informa</w:t>
      </w:r>
      <w:r>
        <w:t xml:space="preserve">tion </w:t>
      </w:r>
      <w:r w:rsidR="00A030B3">
        <w:t>is collected only once in each case</w:t>
      </w:r>
      <w:r>
        <w:t>.</w:t>
      </w:r>
    </w:p>
    <w:p w:rsidR="005F05CA" w:rsidP="005F05CA" w14:paraId="345FD6BA" w14:textId="77777777">
      <w:pPr>
        <w:ind w:left="720"/>
      </w:pPr>
    </w:p>
    <w:p w:rsidR="005F05CA" w:rsidP="005F05CA" w14:paraId="5BBD7157" w14:textId="77777777">
      <w:pPr>
        <w:pStyle w:val="ListParagraph"/>
        <w:numPr>
          <w:ilvl w:val="0"/>
          <w:numId w:val="1"/>
        </w:numPr>
        <w:shd w:val="pct25" w:color="auto" w:fill="auto"/>
        <w:tabs>
          <w:tab w:val="left" w:pos="-720"/>
        </w:tabs>
        <w:suppressAutoHyphens/>
      </w:pPr>
      <w:r w:rsidRPr="009B7453">
        <w:t>Explain any special circumstances that would cause an information collection to be conducted in a manner:</w:t>
      </w:r>
      <w:r>
        <w:t xml:space="preserve"> </w:t>
      </w:r>
    </w:p>
    <w:p w:rsidR="005F05CA" w:rsidP="005F05CA" w14:paraId="0DB1F34C" w14:textId="77777777">
      <w:pPr>
        <w:pStyle w:val="ListParagraph"/>
        <w:shd w:val="pct25" w:color="auto" w:fill="auto"/>
        <w:tabs>
          <w:tab w:val="left" w:pos="-720"/>
        </w:tabs>
        <w:suppressAutoHyphens/>
      </w:pPr>
      <w:r>
        <w:t xml:space="preserve">• requiring respondents to report information to the agency more often than quarterly; </w:t>
      </w:r>
    </w:p>
    <w:p w:rsidR="005F05CA" w:rsidP="005F05CA" w14:paraId="7ECF522B" w14:textId="77777777">
      <w:pPr>
        <w:pStyle w:val="ListParagraph"/>
        <w:shd w:val="pct25" w:color="auto" w:fill="auto"/>
        <w:tabs>
          <w:tab w:val="left" w:pos="-720"/>
        </w:tabs>
        <w:suppressAutoHyphens/>
      </w:pPr>
      <w:r>
        <w:t xml:space="preserve">•requiring respondents to prepare a written response to a collection of information in fewer than 30 days after receipt of it; </w:t>
      </w:r>
    </w:p>
    <w:p w:rsidR="005F05CA" w:rsidP="005F05CA" w14:paraId="72903839" w14:textId="77777777">
      <w:pPr>
        <w:pStyle w:val="ListParagraph"/>
        <w:shd w:val="pct25" w:color="auto" w:fill="auto"/>
        <w:tabs>
          <w:tab w:val="left" w:pos="-720"/>
        </w:tabs>
        <w:suppressAutoHyphens/>
      </w:pPr>
      <w:r>
        <w:t xml:space="preserve">•requiring respondents to submit more than an original and two copies of any document; </w:t>
      </w:r>
    </w:p>
    <w:p w:rsidR="005F05CA" w:rsidP="005F05CA" w14:paraId="21C9E59C" w14:textId="77777777">
      <w:pPr>
        <w:pStyle w:val="ListParagraph"/>
        <w:shd w:val="pct25" w:color="auto" w:fill="auto"/>
        <w:tabs>
          <w:tab w:val="left" w:pos="-720"/>
        </w:tabs>
        <w:suppressAutoHyphens/>
      </w:pPr>
      <w:r>
        <w:t xml:space="preserve">• requiring respondents to retain records, other than health, medical, government contract, grant-in-aid, or tax records, for more than three years; </w:t>
      </w:r>
    </w:p>
    <w:p w:rsidR="005F05CA" w:rsidP="005F05CA" w14:paraId="597A51BC" w14:textId="77777777">
      <w:pPr>
        <w:pStyle w:val="ListParagraph"/>
        <w:shd w:val="pct25" w:color="auto" w:fill="auto"/>
        <w:tabs>
          <w:tab w:val="left" w:pos="-720"/>
        </w:tabs>
        <w:suppressAutoHyphens/>
      </w:pPr>
      <w:r>
        <w:t xml:space="preserve">• in connection with a statistical survey, that is not designed to produce valid and reliable results that can be generalized to the universe of study; </w:t>
      </w:r>
    </w:p>
    <w:p w:rsidR="005F05CA" w:rsidP="005F05CA" w14:paraId="449E7EC0" w14:textId="77777777">
      <w:pPr>
        <w:pStyle w:val="ListParagraph"/>
        <w:shd w:val="pct25" w:color="auto" w:fill="auto"/>
        <w:tabs>
          <w:tab w:val="left" w:pos="-720"/>
        </w:tabs>
        <w:suppressAutoHyphens/>
      </w:pPr>
      <w:r>
        <w:t xml:space="preserve">• requiring the use of a statistical data classification that has not been reviewed and approved by OMB; </w:t>
      </w:r>
    </w:p>
    <w:p w:rsidR="005F05CA" w:rsidP="005F05CA" w14:paraId="0F716358" w14:textId="77777777">
      <w:pPr>
        <w:pStyle w:val="ListParagraph"/>
        <w:shd w:val="pct25" w:color="auto" w:fill="auto"/>
        <w:tabs>
          <w:tab w:val="left" w:pos="-720"/>
        </w:tabs>
        <w:suppressAutoHyphens/>
      </w:pPr>
      <w: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F05CA" w:rsidP="005F05CA" w14:paraId="0BFCE769" w14:textId="77777777">
      <w:pPr>
        <w:pStyle w:val="ListParagraph"/>
        <w:shd w:val="pct25" w:color="auto" w:fill="auto"/>
        <w:tabs>
          <w:tab w:val="left" w:pos="-720"/>
        </w:tabs>
        <w:suppressAutoHyphens/>
      </w:pPr>
      <w:r>
        <w:t>• requiring respondents to submit proprietary trade secrets, or other confidential information unless the agency can demonstrate that it has instituted procedures to protect the information's confidentiality to the extent permitted by law.</w:t>
      </w:r>
    </w:p>
    <w:p w:rsidR="005F05CA" w:rsidP="005F05CA" w14:paraId="004662B7" w14:textId="77777777">
      <w:pPr>
        <w:ind w:left="720"/>
      </w:pPr>
    </w:p>
    <w:p w:rsidR="005F05CA" w:rsidP="005F05CA" w14:paraId="2745C978" w14:textId="77777777">
      <w:pPr>
        <w:ind w:left="720"/>
      </w:pPr>
      <w:r>
        <w:t>There are no special circumstances involved in the collection of this information.</w:t>
      </w:r>
    </w:p>
    <w:p w:rsidR="005F05CA" w:rsidP="005F05CA" w14:paraId="3B4EC2E8" w14:textId="77777777">
      <w:pPr>
        <w:ind w:left="720"/>
      </w:pPr>
    </w:p>
    <w:p w:rsidR="00014433" w:rsidP="00BC5298" w14:paraId="57981CFD" w14:textId="77777777">
      <w:pPr>
        <w:ind w:left="720" w:hanging="420"/>
      </w:pPr>
    </w:p>
    <w:p w:rsidR="005F05CA" w:rsidP="005F05CA" w14:paraId="019D0688" w14:textId="77777777">
      <w:pPr>
        <w:ind w:left="720" w:hanging="418"/>
        <w:jc w:val="right"/>
      </w:pPr>
      <w:r>
        <w:br w:type="page"/>
      </w:r>
    </w:p>
    <w:p w:rsidR="005F05CA" w:rsidP="005F05CA" w14:paraId="0010431C" w14:textId="77777777">
      <w:pPr>
        <w:ind w:left="720" w:hanging="418"/>
        <w:jc w:val="right"/>
      </w:pPr>
    </w:p>
    <w:p w:rsidR="005F05CA" w:rsidRPr="00741061" w:rsidP="005F05CA" w14:paraId="0AEB4964" w14:textId="77777777">
      <w:pPr>
        <w:pStyle w:val="ListParagraph"/>
        <w:numPr>
          <w:ilvl w:val="0"/>
          <w:numId w:val="1"/>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rsidRPr="00741061">
        <w:t>publication</w:t>
      </w:r>
      <w:r w:rsidRPr="00741061">
        <w:t xml:space="preserve"> in the Federal Register of the agency’s notice soliciting comments on the information collection prior to submission to OMB</w:t>
      </w:r>
    </w:p>
    <w:p w:rsidR="00F349F0" w:rsidP="00BC5298" w14:paraId="7F6B337D" w14:textId="77777777">
      <w:pPr>
        <w:ind w:left="720" w:hanging="420"/>
      </w:pPr>
    </w:p>
    <w:p w:rsidR="00014433" w:rsidP="005F05CA" w14:paraId="4EA331EE" w14:textId="6F1FF41C">
      <w:pPr>
        <w:ind w:left="720"/>
      </w:pPr>
      <w:r>
        <w:t>O</w:t>
      </w:r>
      <w:r w:rsidR="00CA53EA">
        <w:t xml:space="preserve">n </w:t>
      </w:r>
      <w:r w:rsidR="00E25D8D">
        <w:t>February</w:t>
      </w:r>
      <w:r w:rsidR="00AE7945">
        <w:t xml:space="preserve"> </w:t>
      </w:r>
      <w:r w:rsidR="00E25D8D">
        <w:t>24</w:t>
      </w:r>
      <w:r w:rsidR="00CA53EA">
        <w:t>, 20</w:t>
      </w:r>
      <w:r w:rsidR="00E25D8D">
        <w:t>22</w:t>
      </w:r>
      <w:r>
        <w:t>, a 60 Day Federal Register Notice was published at 8</w:t>
      </w:r>
      <w:r w:rsidR="00E25D8D">
        <w:t>7</w:t>
      </w:r>
      <w:r>
        <w:t xml:space="preserve"> FR </w:t>
      </w:r>
      <w:r w:rsidR="00E25D8D">
        <w:t>10394</w:t>
      </w:r>
      <w:r w:rsidR="00CE32D7">
        <w:t xml:space="preserve"> requesting comment. </w:t>
      </w:r>
      <w:r w:rsidR="006573D6">
        <w:t>No comments were received.</w:t>
      </w:r>
      <w:r w:rsidR="005F05CA">
        <w:br/>
      </w:r>
    </w:p>
    <w:p w:rsidR="005F05CA" w:rsidRPr="00741061" w:rsidP="005F05CA" w14:paraId="65BF6395" w14:textId="77777777">
      <w:pPr>
        <w:pStyle w:val="ListParagraph"/>
        <w:numPr>
          <w:ilvl w:val="0"/>
          <w:numId w:val="1"/>
        </w:numPr>
        <w:shd w:val="pct25" w:color="auto" w:fill="auto"/>
        <w:tabs>
          <w:tab w:val="left" w:pos="-720"/>
        </w:tabs>
        <w:suppressAutoHyphens/>
        <w:ind w:right="-288"/>
      </w:pPr>
      <w:r w:rsidRPr="00741061">
        <w:t>Explain any decision to provide any payment or gift to respondents, other than remuneration of contractors or grantees.</w:t>
      </w:r>
    </w:p>
    <w:p w:rsidR="00CA53EA" w:rsidP="00BC5298" w14:paraId="7A5C2916" w14:textId="77777777">
      <w:pPr>
        <w:ind w:left="720" w:hanging="420"/>
      </w:pPr>
    </w:p>
    <w:p w:rsidR="002C42D9" w:rsidP="00F349F0" w14:paraId="3CA128A7" w14:textId="77777777">
      <w:pPr>
        <w:pStyle w:val="ListParagraph"/>
        <w:tabs>
          <w:tab w:val="left" w:pos="-720"/>
        </w:tabs>
        <w:suppressAutoHyphens/>
        <w:ind w:right="-288" w:hanging="720"/>
      </w:pPr>
      <w:r>
        <w:t xml:space="preserve">      </w:t>
      </w:r>
      <w:r w:rsidR="005F05CA">
        <w:tab/>
      </w:r>
      <w:r w:rsidR="00F349F0">
        <w:t>No payment or gift is provided to the respondents based on return of this collection.</w:t>
      </w:r>
    </w:p>
    <w:p w:rsidR="005F05CA" w:rsidP="00F349F0" w14:paraId="0DA16BA8" w14:textId="77777777">
      <w:pPr>
        <w:pStyle w:val="ListParagraph"/>
        <w:tabs>
          <w:tab w:val="left" w:pos="-720"/>
        </w:tabs>
        <w:suppressAutoHyphens/>
        <w:ind w:right="-288" w:hanging="720"/>
      </w:pPr>
    </w:p>
    <w:p w:rsidR="005F05CA" w:rsidRPr="00741061" w:rsidP="005F05CA" w14:paraId="04ABCF78" w14:textId="77777777">
      <w:pPr>
        <w:pStyle w:val="ListParagraph"/>
        <w:numPr>
          <w:ilvl w:val="0"/>
          <w:numId w:val="1"/>
        </w:numPr>
        <w:shd w:val="pct25" w:color="auto" w:fill="auto"/>
        <w:tabs>
          <w:tab w:val="left" w:pos="-720"/>
        </w:tabs>
        <w:suppressAutoHyphens/>
        <w:ind w:right="-288"/>
      </w:pPr>
      <w:r w:rsidRPr="00741061">
        <w:t xml:space="preserve">Describe any assurance of confidentiality provided to respondents and the basis for the assurance in statute, regulation, or agency policy.  </w:t>
      </w:r>
    </w:p>
    <w:p w:rsidR="005F05CA" w:rsidP="00F349F0" w14:paraId="4E42F45A" w14:textId="77777777">
      <w:pPr>
        <w:pStyle w:val="ListParagraph"/>
        <w:tabs>
          <w:tab w:val="left" w:pos="-720"/>
        </w:tabs>
        <w:suppressAutoHyphens/>
        <w:ind w:right="-288" w:hanging="720"/>
      </w:pPr>
    </w:p>
    <w:p w:rsidR="00CA53EA" w:rsidP="005F05CA" w14:paraId="79A4FEA7" w14:textId="77777777">
      <w:pPr>
        <w:ind w:left="720"/>
      </w:pPr>
      <w:r>
        <w:t xml:space="preserve">This information collection is protected by the Privacy Act of 1974 and OPM regulations (5 </w:t>
      </w:r>
      <w:smartTag w:uri="urn:schemas-microsoft-com:office:smarttags" w:element="stockticker">
        <w:r>
          <w:t>CFR</w:t>
        </w:r>
      </w:smartTag>
      <w:r>
        <w:t xml:space="preserve"> 831.106).  The routine uses for disclosure appear in the </w:t>
      </w:r>
      <w:r w:rsidRPr="00CA53EA">
        <w:rPr>
          <w:i/>
        </w:rPr>
        <w:t>Federal Register</w:t>
      </w:r>
      <w:r>
        <w:t xml:space="preserve"> for OPM/Central-1 (</w:t>
      </w:r>
      <w:r w:rsidR="00F53904">
        <w:t>73</w:t>
      </w:r>
      <w:r w:rsidR="00836802">
        <w:t xml:space="preserve"> FR </w:t>
      </w:r>
      <w:r w:rsidR="004D6EEE">
        <w:t>15013</w:t>
      </w:r>
      <w:r w:rsidR="00836802">
        <w:t xml:space="preserve">, </w:t>
      </w:r>
      <w:r w:rsidRPr="00836802" w:rsidR="00836802">
        <w:rPr>
          <w:i/>
        </w:rPr>
        <w:t>et seq</w:t>
      </w:r>
      <w:r w:rsidR="00836802">
        <w:t xml:space="preserve">., </w:t>
      </w:r>
      <w:r w:rsidR="004D6EEE">
        <w:t>March 20,</w:t>
      </w:r>
      <w:r w:rsidR="00836802">
        <w:t xml:space="preserve"> </w:t>
      </w:r>
      <w:r w:rsidR="004D6EEE">
        <w:t>2008</w:t>
      </w:r>
      <w:r w:rsidR="00836802">
        <w:t>).</w:t>
      </w:r>
    </w:p>
    <w:p w:rsidR="005F05CA" w:rsidP="005F05CA" w14:paraId="49CA4454" w14:textId="77777777">
      <w:pPr>
        <w:ind w:left="720"/>
      </w:pPr>
    </w:p>
    <w:p w:rsidR="005F05CA" w:rsidRPr="00741061" w:rsidP="005F05CA" w14:paraId="6FAC2780" w14:textId="77777777">
      <w:pPr>
        <w:pStyle w:val="ListParagraph"/>
        <w:numPr>
          <w:ilvl w:val="0"/>
          <w:numId w:val="1"/>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36802" w:rsidP="00BC5298" w14:paraId="3A74434D" w14:textId="77777777">
      <w:pPr>
        <w:ind w:left="720" w:hanging="420"/>
      </w:pPr>
    </w:p>
    <w:p w:rsidR="00836802" w:rsidP="005F05CA" w14:paraId="1946A6BC" w14:textId="77777777">
      <w:pPr>
        <w:ind w:left="720"/>
      </w:pPr>
      <w:r>
        <w:t>This information collection does not include questions of a sensitive nature, such as sexual behavior and attitudes, religious beliefs, and other matters that are commonly considered private.</w:t>
      </w:r>
    </w:p>
    <w:p w:rsidR="005F05CA" w:rsidP="005F05CA" w14:paraId="467731E5" w14:textId="77777777"/>
    <w:p w:rsidR="005F05CA" w:rsidRPr="00741061" w:rsidP="005F05CA" w14:paraId="65C1EF7D" w14:textId="77777777">
      <w:pPr>
        <w:pStyle w:val="ListParagraph"/>
        <w:shd w:val="pct25" w:color="auto" w:fill="FFFFFF"/>
        <w:tabs>
          <w:tab w:val="left" w:pos="-720"/>
        </w:tabs>
        <w:suppressAutoHyphens/>
        <w:ind w:left="360"/>
      </w:pPr>
      <w:r w:rsidRPr="00741061">
        <w:t>12. Provide estimates of the hour burden of the collection of information.  The statement should:</w:t>
      </w:r>
    </w:p>
    <w:p w:rsidR="005F05CA" w:rsidRPr="00741061" w:rsidP="005F05CA" w14:paraId="5C0D6B52" w14:textId="77777777">
      <w:pPr>
        <w:pStyle w:val="ListParagraph"/>
        <w:tabs>
          <w:tab w:val="left" w:pos="-720"/>
        </w:tabs>
        <w:suppressAutoHyphens/>
        <w:ind w:left="360"/>
      </w:pPr>
    </w:p>
    <w:p w:rsidR="005F05CA" w:rsidP="005F05CA" w14:paraId="09DB0BA0" w14:textId="77777777">
      <w:pPr>
        <w:pStyle w:val="ListParagraph"/>
        <w:shd w:val="pct25" w:color="auto" w:fill="auto"/>
        <w:tabs>
          <w:tab w:val="left" w:pos="-720"/>
        </w:tabs>
        <w:suppressAutoHyphens/>
        <w:ind w:left="360"/>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t xml:space="preserve"> </w:t>
      </w:r>
    </w:p>
    <w:p w:rsidR="005F05CA" w:rsidP="005F05CA" w14:paraId="33599CA4" w14:textId="77777777">
      <w:pPr>
        <w:pStyle w:val="ListParagraph"/>
        <w:shd w:val="pct25" w:color="auto" w:fill="auto"/>
        <w:tabs>
          <w:tab w:val="left" w:pos="-720"/>
        </w:tabs>
        <w:suppressAutoHyphens/>
        <w:ind w:left="360"/>
      </w:pPr>
      <w:r w:rsidRPr="00741061">
        <w:t xml:space="preserve">b.  If this request for approval covers more than one form, provide separate hour burden estimates for each </w:t>
      </w:r>
      <w:r w:rsidRPr="00741061">
        <w:t>form</w:t>
      </w:r>
      <w:r w:rsidRPr="00741061">
        <w:t xml:space="preserve"> and aggregate the hour burdens in Item 13 of OMB Form 83-I.</w:t>
      </w:r>
      <w:r>
        <w:t xml:space="preserve"> </w:t>
      </w:r>
    </w:p>
    <w:p w:rsidR="005F05CA" w:rsidRPr="00741061" w:rsidP="005F05CA" w14:paraId="0FDB1D2B" w14:textId="77777777">
      <w:pPr>
        <w:pStyle w:val="ListParagraph"/>
        <w:shd w:val="pct25" w:color="auto" w:fill="auto"/>
        <w:tabs>
          <w:tab w:val="left" w:pos="-720"/>
        </w:tabs>
        <w:suppressAutoHyphens/>
        <w:ind w:left="360"/>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36802" w:rsidP="00BC5298" w14:paraId="63FAA913" w14:textId="77777777">
      <w:pPr>
        <w:ind w:left="720" w:hanging="420"/>
      </w:pPr>
    </w:p>
    <w:p w:rsidR="00836802" w:rsidP="00BC5298" w14:paraId="22352F6C" w14:textId="77777777">
      <w:pPr>
        <w:ind w:left="720" w:hanging="420"/>
      </w:pPr>
      <w:r>
        <w:tab/>
      </w:r>
      <w:r w:rsidR="00BA4B50">
        <w:t>The number of annual reemployed annuitants by the Government is a</w:t>
      </w:r>
      <w:r w:rsidR="00FC5E56">
        <w:t>pproximately 3,000.  The information is collected only upon reemployment.  No special form is required.  We estimate that providing this information takes five minutes.  T</w:t>
      </w:r>
      <w:r w:rsidR="007A6C6A">
        <w:t>he annual burden is 250 hours and is not expected to vary.</w:t>
      </w:r>
    </w:p>
    <w:p w:rsidR="00AC3699" w:rsidP="00BC5298" w14:paraId="6D68FCD3" w14:textId="77777777">
      <w:pPr>
        <w:ind w:left="720" w:hanging="4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6"/>
        <w:gridCol w:w="939"/>
        <w:gridCol w:w="1240"/>
        <w:gridCol w:w="1166"/>
        <w:gridCol w:w="1053"/>
        <w:gridCol w:w="908"/>
        <w:gridCol w:w="959"/>
        <w:gridCol w:w="1167"/>
      </w:tblGrid>
      <w:tr w14:paraId="5E49ACC8" w14:textId="77777777" w:rsidTr="005E399C">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38"/>
        </w:trPr>
        <w:tc>
          <w:tcPr>
            <w:tcW w:w="1086" w:type="dxa"/>
            <w:shd w:val="clear" w:color="auto" w:fill="D9D9D9"/>
          </w:tcPr>
          <w:p w:rsidR="00AC3699" w:rsidRPr="005E399C" w:rsidP="005E399C" w14:paraId="6FB82C80" w14:textId="77777777">
            <w:pPr>
              <w:spacing w:before="240"/>
              <w:rPr>
                <w:rFonts w:ascii="Arial" w:hAnsi="Arial" w:cs="Arial"/>
                <w:b/>
                <w:sz w:val="16"/>
                <w:szCs w:val="16"/>
              </w:rPr>
            </w:pPr>
            <w:r w:rsidRPr="005E399C">
              <w:rPr>
                <w:rFonts w:ascii="Arial" w:hAnsi="Arial" w:cs="Arial"/>
                <w:b/>
                <w:sz w:val="16"/>
                <w:szCs w:val="16"/>
              </w:rPr>
              <w:t>Form Name</w:t>
            </w:r>
          </w:p>
        </w:tc>
        <w:tc>
          <w:tcPr>
            <w:tcW w:w="995" w:type="dxa"/>
            <w:shd w:val="clear" w:color="auto" w:fill="D9D9D9"/>
          </w:tcPr>
          <w:p w:rsidR="00AC3699" w:rsidRPr="005E399C" w:rsidP="005E399C" w14:paraId="07902277" w14:textId="77777777">
            <w:pPr>
              <w:spacing w:before="240"/>
              <w:rPr>
                <w:rFonts w:ascii="Arial" w:hAnsi="Arial" w:cs="Arial"/>
                <w:b/>
                <w:sz w:val="16"/>
                <w:szCs w:val="16"/>
              </w:rPr>
            </w:pPr>
            <w:r w:rsidRPr="005E399C">
              <w:rPr>
                <w:rFonts w:ascii="Arial" w:hAnsi="Arial" w:cs="Arial"/>
                <w:b/>
                <w:sz w:val="16"/>
                <w:szCs w:val="16"/>
              </w:rPr>
              <w:t>Form Number</w:t>
            </w:r>
          </w:p>
        </w:tc>
        <w:tc>
          <w:tcPr>
            <w:tcW w:w="1244" w:type="dxa"/>
            <w:shd w:val="clear" w:color="auto" w:fill="D9D9D9"/>
          </w:tcPr>
          <w:p w:rsidR="00AC3699" w:rsidRPr="005E399C" w:rsidP="005E399C" w14:paraId="3F86DB5D" w14:textId="77777777">
            <w:pPr>
              <w:spacing w:before="240"/>
              <w:rPr>
                <w:rFonts w:ascii="Arial" w:hAnsi="Arial" w:cs="Arial"/>
                <w:b/>
                <w:sz w:val="16"/>
                <w:szCs w:val="16"/>
              </w:rPr>
            </w:pPr>
            <w:r w:rsidRPr="005E399C">
              <w:rPr>
                <w:rFonts w:ascii="Arial" w:hAnsi="Arial" w:cs="Arial"/>
                <w:b/>
                <w:sz w:val="16"/>
                <w:szCs w:val="16"/>
              </w:rPr>
              <w:t>No. of Respondents</w:t>
            </w:r>
          </w:p>
        </w:tc>
        <w:tc>
          <w:tcPr>
            <w:tcW w:w="1178" w:type="dxa"/>
            <w:shd w:val="clear" w:color="auto" w:fill="D9D9D9"/>
          </w:tcPr>
          <w:p w:rsidR="00AC3699" w:rsidRPr="005E399C" w:rsidP="005E399C" w14:paraId="339A581A" w14:textId="77777777">
            <w:pPr>
              <w:spacing w:before="240"/>
              <w:rPr>
                <w:rFonts w:ascii="Arial" w:hAnsi="Arial" w:cs="Arial"/>
                <w:b/>
                <w:sz w:val="16"/>
                <w:szCs w:val="16"/>
              </w:rPr>
            </w:pPr>
            <w:r w:rsidRPr="005E399C">
              <w:rPr>
                <w:rFonts w:ascii="Arial" w:hAnsi="Arial" w:cs="Arial"/>
                <w:b/>
                <w:sz w:val="16"/>
                <w:szCs w:val="16"/>
              </w:rPr>
              <w:t>No. of Responses per Respondent</w:t>
            </w:r>
          </w:p>
        </w:tc>
        <w:tc>
          <w:tcPr>
            <w:tcW w:w="1087" w:type="dxa"/>
            <w:shd w:val="clear" w:color="auto" w:fill="D9D9D9"/>
          </w:tcPr>
          <w:p w:rsidR="00AC3699" w:rsidRPr="005E399C" w:rsidP="005E399C" w14:paraId="4332A4B4" w14:textId="77777777">
            <w:pPr>
              <w:spacing w:before="240"/>
              <w:rPr>
                <w:rFonts w:ascii="Arial" w:hAnsi="Arial" w:cs="Arial"/>
                <w:b/>
                <w:sz w:val="16"/>
                <w:szCs w:val="16"/>
              </w:rPr>
            </w:pPr>
            <w:r w:rsidRPr="005E399C">
              <w:rPr>
                <w:rFonts w:ascii="Arial" w:hAnsi="Arial" w:cs="Arial"/>
                <w:b/>
                <w:sz w:val="16"/>
                <w:szCs w:val="16"/>
              </w:rPr>
              <w:t>Average Burden per Response (in hours)</w:t>
            </w:r>
          </w:p>
        </w:tc>
        <w:tc>
          <w:tcPr>
            <w:tcW w:w="969" w:type="dxa"/>
            <w:shd w:val="clear" w:color="auto" w:fill="D9D9D9"/>
          </w:tcPr>
          <w:p w:rsidR="00AC3699" w:rsidRPr="005E399C" w:rsidP="005E399C" w14:paraId="08E55D45" w14:textId="77777777">
            <w:pPr>
              <w:spacing w:before="240"/>
              <w:rPr>
                <w:rFonts w:ascii="Arial" w:hAnsi="Arial" w:cs="Arial"/>
                <w:b/>
                <w:sz w:val="16"/>
                <w:szCs w:val="16"/>
              </w:rPr>
            </w:pPr>
            <w:r w:rsidRPr="005E399C">
              <w:rPr>
                <w:rFonts w:ascii="Arial" w:hAnsi="Arial" w:cs="Arial"/>
                <w:b/>
                <w:sz w:val="16"/>
                <w:szCs w:val="16"/>
              </w:rPr>
              <w:t>Total Annual Burden (in hours)</w:t>
            </w:r>
          </w:p>
        </w:tc>
        <w:tc>
          <w:tcPr>
            <w:tcW w:w="1010" w:type="dxa"/>
            <w:shd w:val="clear" w:color="auto" w:fill="D9D9D9"/>
          </w:tcPr>
          <w:p w:rsidR="00AC3699" w:rsidRPr="005E399C" w:rsidP="005E399C" w14:paraId="6237C54E" w14:textId="77777777">
            <w:pPr>
              <w:spacing w:before="240"/>
              <w:rPr>
                <w:rFonts w:ascii="Arial" w:hAnsi="Arial" w:cs="Arial"/>
                <w:b/>
                <w:sz w:val="16"/>
                <w:szCs w:val="16"/>
              </w:rPr>
            </w:pPr>
            <w:r w:rsidRPr="005E399C">
              <w:rPr>
                <w:rFonts w:ascii="Arial" w:hAnsi="Arial" w:cs="Arial"/>
                <w:b/>
                <w:sz w:val="16"/>
                <w:szCs w:val="16"/>
              </w:rPr>
              <w:t>Average Hourly Wage Rate</w:t>
            </w:r>
          </w:p>
        </w:tc>
        <w:tc>
          <w:tcPr>
            <w:tcW w:w="1179" w:type="dxa"/>
            <w:shd w:val="clear" w:color="auto" w:fill="D9D9D9"/>
          </w:tcPr>
          <w:p w:rsidR="00AC3699" w:rsidRPr="005E399C" w:rsidP="005E399C" w14:paraId="109925BE" w14:textId="77777777">
            <w:pPr>
              <w:spacing w:before="240"/>
              <w:rPr>
                <w:rFonts w:ascii="Arial" w:hAnsi="Arial" w:cs="Arial"/>
                <w:b/>
                <w:sz w:val="16"/>
                <w:szCs w:val="16"/>
              </w:rPr>
            </w:pPr>
            <w:r w:rsidRPr="005E399C">
              <w:rPr>
                <w:rFonts w:ascii="Arial" w:hAnsi="Arial" w:cs="Arial"/>
                <w:b/>
                <w:sz w:val="16"/>
                <w:szCs w:val="16"/>
              </w:rPr>
              <w:t>Total Annual Respondent Cost</w:t>
            </w:r>
          </w:p>
        </w:tc>
      </w:tr>
      <w:tr w14:paraId="7DAD4B6C" w14:textId="77777777" w:rsidTr="005E399C">
        <w:tblPrEx>
          <w:tblW w:w="0" w:type="auto"/>
          <w:tblInd w:w="828" w:type="dxa"/>
          <w:tblLook w:val="04A0"/>
        </w:tblPrEx>
        <w:trPr>
          <w:trHeight w:val="1024"/>
        </w:trPr>
        <w:tc>
          <w:tcPr>
            <w:tcW w:w="1086" w:type="dxa"/>
            <w:shd w:val="clear" w:color="auto" w:fill="auto"/>
          </w:tcPr>
          <w:p w:rsidR="00AC3699" w:rsidRPr="005E399C" w:rsidP="005E399C" w14:paraId="4B766ECA" w14:textId="77777777">
            <w:pPr>
              <w:spacing w:before="240"/>
              <w:rPr>
                <w:sz w:val="18"/>
                <w:szCs w:val="18"/>
              </w:rPr>
            </w:pPr>
            <w:r w:rsidRPr="005E399C">
              <w:rPr>
                <w:sz w:val="18"/>
                <w:szCs w:val="18"/>
              </w:rPr>
              <w:t>Reemployment of Annuitants</w:t>
            </w:r>
          </w:p>
        </w:tc>
        <w:tc>
          <w:tcPr>
            <w:tcW w:w="995" w:type="dxa"/>
            <w:shd w:val="clear" w:color="auto" w:fill="auto"/>
          </w:tcPr>
          <w:p w:rsidR="00AC3699" w:rsidRPr="005E399C" w:rsidP="005E399C" w14:paraId="19851812" w14:textId="77777777">
            <w:pPr>
              <w:spacing w:before="240"/>
              <w:rPr>
                <w:sz w:val="18"/>
                <w:szCs w:val="18"/>
              </w:rPr>
            </w:pPr>
            <w:r w:rsidRPr="005E399C">
              <w:rPr>
                <w:sz w:val="18"/>
                <w:szCs w:val="18"/>
              </w:rPr>
              <w:t>N/A</w:t>
            </w:r>
          </w:p>
        </w:tc>
        <w:tc>
          <w:tcPr>
            <w:tcW w:w="1244" w:type="dxa"/>
            <w:shd w:val="clear" w:color="auto" w:fill="auto"/>
          </w:tcPr>
          <w:p w:rsidR="00AC3699" w:rsidRPr="005E399C" w:rsidP="005E399C" w14:paraId="21F93877" w14:textId="77777777">
            <w:pPr>
              <w:spacing w:before="240"/>
              <w:jc w:val="right"/>
              <w:rPr>
                <w:sz w:val="18"/>
                <w:szCs w:val="18"/>
              </w:rPr>
            </w:pPr>
            <w:r w:rsidRPr="005E399C">
              <w:rPr>
                <w:sz w:val="18"/>
                <w:szCs w:val="18"/>
              </w:rPr>
              <w:t>3</w:t>
            </w:r>
            <w:r w:rsidRPr="005E399C">
              <w:rPr>
                <w:sz w:val="18"/>
                <w:szCs w:val="18"/>
              </w:rPr>
              <w:t>,000</w:t>
            </w:r>
          </w:p>
          <w:p w:rsidR="00AC3699" w:rsidRPr="005E399C" w:rsidP="005E399C" w14:paraId="70F80378" w14:textId="77777777">
            <w:pPr>
              <w:jc w:val="right"/>
              <w:rPr>
                <w:sz w:val="18"/>
                <w:szCs w:val="18"/>
              </w:rPr>
            </w:pPr>
          </w:p>
        </w:tc>
        <w:tc>
          <w:tcPr>
            <w:tcW w:w="1178" w:type="dxa"/>
            <w:shd w:val="clear" w:color="auto" w:fill="auto"/>
          </w:tcPr>
          <w:p w:rsidR="00AC3699" w:rsidRPr="005E399C" w:rsidP="005E399C" w14:paraId="75AA156A" w14:textId="77777777">
            <w:pPr>
              <w:spacing w:before="240"/>
              <w:jc w:val="right"/>
              <w:rPr>
                <w:sz w:val="18"/>
                <w:szCs w:val="18"/>
              </w:rPr>
            </w:pPr>
            <w:r w:rsidRPr="005E399C">
              <w:rPr>
                <w:sz w:val="18"/>
                <w:szCs w:val="18"/>
              </w:rPr>
              <w:t>1</w:t>
            </w:r>
          </w:p>
          <w:p w:rsidR="00AC3699" w:rsidRPr="005E399C" w:rsidP="005E399C" w14:paraId="19048968" w14:textId="77777777">
            <w:pPr>
              <w:jc w:val="right"/>
              <w:rPr>
                <w:sz w:val="18"/>
                <w:szCs w:val="18"/>
              </w:rPr>
            </w:pPr>
          </w:p>
        </w:tc>
        <w:tc>
          <w:tcPr>
            <w:tcW w:w="1087" w:type="dxa"/>
            <w:shd w:val="clear" w:color="auto" w:fill="auto"/>
          </w:tcPr>
          <w:p w:rsidR="00AC3699" w:rsidRPr="005E399C" w:rsidP="005E399C" w14:paraId="5E182509" w14:textId="77777777">
            <w:pPr>
              <w:spacing w:before="240"/>
              <w:jc w:val="right"/>
              <w:rPr>
                <w:sz w:val="18"/>
                <w:szCs w:val="18"/>
              </w:rPr>
            </w:pPr>
            <w:r>
              <w:rPr>
                <w:sz w:val="18"/>
                <w:szCs w:val="18"/>
              </w:rPr>
              <w:t>.08333</w:t>
            </w:r>
            <w:r w:rsidRPr="005E399C">
              <w:rPr>
                <w:sz w:val="18"/>
                <w:szCs w:val="18"/>
              </w:rPr>
              <w:br/>
            </w:r>
          </w:p>
        </w:tc>
        <w:tc>
          <w:tcPr>
            <w:tcW w:w="969" w:type="dxa"/>
            <w:shd w:val="clear" w:color="auto" w:fill="auto"/>
          </w:tcPr>
          <w:p w:rsidR="00AC3699" w:rsidRPr="005E399C" w:rsidP="005E399C" w14:paraId="5F51A455" w14:textId="77777777">
            <w:pPr>
              <w:spacing w:before="240"/>
              <w:jc w:val="right"/>
              <w:rPr>
                <w:sz w:val="18"/>
                <w:szCs w:val="18"/>
              </w:rPr>
            </w:pPr>
            <w:r w:rsidRPr="005E399C">
              <w:rPr>
                <w:sz w:val="18"/>
                <w:szCs w:val="18"/>
              </w:rPr>
              <w:t>250</w:t>
            </w:r>
          </w:p>
          <w:p w:rsidR="00AC3699" w:rsidRPr="005E399C" w:rsidP="005E399C" w14:paraId="5A1A3774" w14:textId="77777777">
            <w:pPr>
              <w:jc w:val="right"/>
              <w:rPr>
                <w:sz w:val="18"/>
                <w:szCs w:val="18"/>
              </w:rPr>
            </w:pPr>
          </w:p>
        </w:tc>
        <w:tc>
          <w:tcPr>
            <w:tcW w:w="1010" w:type="dxa"/>
            <w:shd w:val="clear" w:color="auto" w:fill="auto"/>
          </w:tcPr>
          <w:p w:rsidR="00AC3699" w:rsidRPr="005E399C" w:rsidP="005E399C" w14:paraId="3ACE5088" w14:textId="77777777">
            <w:pPr>
              <w:spacing w:before="240"/>
              <w:jc w:val="center"/>
              <w:rPr>
                <w:sz w:val="18"/>
                <w:szCs w:val="18"/>
              </w:rPr>
            </w:pPr>
            <w:r>
              <w:rPr>
                <w:sz w:val="18"/>
                <w:szCs w:val="18"/>
              </w:rPr>
              <w:t>$</w:t>
            </w:r>
            <w:r w:rsidR="00BD5B38">
              <w:rPr>
                <w:sz w:val="18"/>
                <w:szCs w:val="18"/>
              </w:rPr>
              <w:t>21.50</w:t>
            </w:r>
          </w:p>
          <w:p w:rsidR="00AC3699" w:rsidRPr="005E399C" w:rsidP="005E399C" w14:paraId="17F440C2" w14:textId="77777777">
            <w:pPr>
              <w:jc w:val="center"/>
              <w:rPr>
                <w:sz w:val="18"/>
                <w:szCs w:val="18"/>
              </w:rPr>
            </w:pPr>
          </w:p>
        </w:tc>
        <w:tc>
          <w:tcPr>
            <w:tcW w:w="1179" w:type="dxa"/>
            <w:shd w:val="clear" w:color="auto" w:fill="auto"/>
          </w:tcPr>
          <w:p w:rsidR="00AC3699" w:rsidRPr="005E399C" w:rsidP="005E399C" w14:paraId="106513AB" w14:textId="77777777">
            <w:pPr>
              <w:spacing w:before="240"/>
              <w:jc w:val="center"/>
              <w:rPr>
                <w:sz w:val="18"/>
                <w:szCs w:val="18"/>
              </w:rPr>
            </w:pPr>
            <w:r>
              <w:rPr>
                <w:sz w:val="18"/>
                <w:szCs w:val="18"/>
              </w:rPr>
              <w:t>$</w:t>
            </w:r>
            <w:r w:rsidR="00BD5B38">
              <w:rPr>
                <w:sz w:val="18"/>
                <w:szCs w:val="18"/>
              </w:rPr>
              <w:t>6,750</w:t>
            </w:r>
          </w:p>
          <w:p w:rsidR="00AC3699" w:rsidRPr="005E399C" w:rsidP="005E399C" w14:paraId="10B03BA6" w14:textId="77777777">
            <w:pPr>
              <w:jc w:val="center"/>
              <w:rPr>
                <w:sz w:val="18"/>
                <w:szCs w:val="18"/>
              </w:rPr>
            </w:pPr>
          </w:p>
          <w:p w:rsidR="00AC3699" w:rsidRPr="005E399C" w:rsidP="005E399C" w14:paraId="53ED0F71" w14:textId="77777777">
            <w:pPr>
              <w:jc w:val="center"/>
              <w:rPr>
                <w:sz w:val="18"/>
                <w:szCs w:val="18"/>
              </w:rPr>
            </w:pPr>
          </w:p>
          <w:p w:rsidR="00AC3699" w:rsidRPr="005E399C" w:rsidP="005E399C" w14:paraId="48764E79" w14:textId="77777777">
            <w:pPr>
              <w:rPr>
                <w:sz w:val="18"/>
                <w:szCs w:val="18"/>
              </w:rPr>
            </w:pPr>
          </w:p>
        </w:tc>
      </w:tr>
    </w:tbl>
    <w:p w:rsidR="00AC3699" w:rsidP="00BC5298" w14:paraId="7C337BC5" w14:textId="77777777">
      <w:pPr>
        <w:ind w:left="720" w:hanging="420"/>
      </w:pPr>
    </w:p>
    <w:p w:rsidR="00390F60" w:rsidP="00BC5298" w14:paraId="5E20396A" w14:textId="77777777">
      <w:pPr>
        <w:ind w:left="720" w:hanging="420"/>
      </w:pPr>
    </w:p>
    <w:p w:rsidR="00390F60" w:rsidP="00BC5298" w14:paraId="1547734C" w14:textId="77777777">
      <w:pPr>
        <w:ind w:left="720" w:hanging="420"/>
      </w:pPr>
      <w:r>
        <w:tab/>
      </w:r>
      <w:r w:rsidR="0053786D">
        <w:t>The cost to the respondent is $</w:t>
      </w:r>
      <w:r w:rsidR="00BD5B38">
        <w:t>6,750</w:t>
      </w:r>
      <w:r w:rsidR="0053786D">
        <w:t>.</w:t>
      </w:r>
    </w:p>
    <w:p w:rsidR="005F05CA" w:rsidP="00BC5298" w14:paraId="711EF1A4" w14:textId="77777777">
      <w:pPr>
        <w:ind w:left="720" w:hanging="420"/>
      </w:pPr>
    </w:p>
    <w:p w:rsidR="005F05CA" w:rsidRPr="00741061" w:rsidP="005F05CA" w14:paraId="4B2901E9" w14:textId="77777777">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keepers resulting from the collection of information.  (Do not include the cost of any hour burden shown in Items 12 and 14.)</w:t>
      </w:r>
    </w:p>
    <w:p w:rsidR="005F05CA" w:rsidRPr="00741061" w:rsidP="005F05CA" w14:paraId="7F3B1FAF" w14:textId="77777777">
      <w:pPr>
        <w:pStyle w:val="ListParagraph"/>
        <w:shd w:val="pct25" w:color="auto" w:fill="auto"/>
        <w:tabs>
          <w:tab w:val="left" w:pos="-720"/>
        </w:tabs>
        <w:suppressAutoHyphens/>
        <w:ind w:left="0"/>
      </w:pPr>
    </w:p>
    <w:p w:rsidR="005F05CA" w:rsidRPr="00741061" w:rsidP="005F05CA" w14:paraId="1A3B66D3" w14:textId="37E4CB5C">
      <w:pPr>
        <w:pStyle w:val="ListParagraph"/>
        <w:shd w:val="pct25" w:color="auto" w:fill="auto"/>
        <w:tabs>
          <w:tab w:val="left" w:pos="-720"/>
          <w:tab w:val="left" w:pos="810"/>
        </w:tabs>
        <w:suppressAutoHyphens/>
        <w:ind w:left="0"/>
      </w:pPr>
      <w:r w:rsidRPr="00741061">
        <w:t xml:space="preserve">The cost estimate should be split into two components: (1) a total capital and start-up cost component (annualized over its expected useful life); and (b) a total operation and maintenance and purchase of services component.  The estimates should </w:t>
      </w:r>
      <w:r w:rsidRPr="00741061">
        <w:t>take into account</w:t>
      </w:r>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741061">
        <w:t>time period</w:t>
      </w:r>
      <w:r w:rsidRPr="00741061">
        <w:t xml:space="preserve"> over which costs will be incurred.  Capital and start-up costs include, among other items, preparations for collecting information such as purchasing computers and software; monitoring, sampling, </w:t>
      </w:r>
      <w:r w:rsidRPr="00741061">
        <w:t>drilling</w:t>
      </w:r>
      <w:r w:rsidRPr="00741061">
        <w:t xml:space="preserve"> and testing equipment; and record storage facilities.</w:t>
      </w:r>
    </w:p>
    <w:p w:rsidR="005F05CA" w:rsidRPr="00741061" w:rsidP="005F05CA" w14:paraId="73E47601" w14:textId="77777777">
      <w:pPr>
        <w:pStyle w:val="ListParagraph"/>
        <w:shd w:val="pct25" w:color="auto" w:fill="FFFFFF"/>
        <w:tabs>
          <w:tab w:val="left" w:pos="-720"/>
        </w:tabs>
        <w:suppressAutoHyphens/>
        <w:ind w:left="0"/>
      </w:pPr>
    </w:p>
    <w:p w:rsidR="005F05CA" w:rsidRPr="00741061" w:rsidP="005F05CA" w14:paraId="1E8FFDE6" w14:textId="77777777">
      <w:pPr>
        <w:pStyle w:val="ListParagraph"/>
        <w:shd w:val="pct25" w:color="auto" w:fill="FFFFFF"/>
        <w:tabs>
          <w:tab w:val="left" w:pos="-720"/>
        </w:tabs>
        <w:suppressAutoHyphens/>
        <w:ind w:left="0"/>
      </w:pPr>
      <w:r w:rsidRPr="00741061">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741061">
        <w:t>process</w:t>
      </w:r>
      <w:r w:rsidRPr="00741061">
        <w:t xml:space="preserve"> and use existing economic or regulatory impact analysis associated with the rulemaking containing the information collection as appropriate.</w:t>
      </w:r>
    </w:p>
    <w:p w:rsidR="005F05CA" w:rsidRPr="00741061" w:rsidP="005F05CA" w14:paraId="150C2C03" w14:textId="77777777">
      <w:pPr>
        <w:pStyle w:val="ListParagraph"/>
        <w:shd w:val="pct25" w:color="auto" w:fill="FFFFFF"/>
        <w:tabs>
          <w:tab w:val="left" w:pos="-720"/>
        </w:tabs>
        <w:suppressAutoHyphens/>
        <w:ind w:left="0"/>
      </w:pPr>
    </w:p>
    <w:p w:rsidR="005F05CA" w:rsidRPr="00741061" w:rsidP="005F05CA" w14:paraId="0F011F32" w14:textId="77777777">
      <w:pPr>
        <w:pStyle w:val="ListParagraph"/>
        <w:shd w:val="pct25" w:color="auto" w:fill="FFFFFF"/>
        <w:tabs>
          <w:tab w:val="left" w:pos="-720"/>
        </w:tabs>
        <w:suppressAutoHyphens/>
        <w:ind w:left="0"/>
      </w:pPr>
      <w:r w:rsidRPr="00741061">
        <w:t>Generally, estimates should not include purchases of equipment or services, or portions thereof, made</w:t>
      </w:r>
      <w:r w:rsidRPr="00741061">
        <w:t>:  (</w:t>
      </w:r>
      <w:r w:rsidRPr="00741061">
        <w:t>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5F05CA" w:rsidP="00BC5298" w14:paraId="39168C2B" w14:textId="77777777">
      <w:pPr>
        <w:ind w:left="720" w:hanging="420"/>
      </w:pPr>
    </w:p>
    <w:p w:rsidR="00F349F0" w:rsidP="005F05CA" w14:paraId="310C20A5" w14:textId="77777777">
      <w:pPr>
        <w:ind w:firstLine="300"/>
      </w:pPr>
      <w:r>
        <w:t xml:space="preserve"> There is no change in the respondent burden. </w:t>
      </w:r>
    </w:p>
    <w:p w:rsidR="005F05CA" w:rsidP="005F05CA" w14:paraId="394D174F" w14:textId="77777777">
      <w:pPr>
        <w:ind w:firstLine="300"/>
      </w:pPr>
    </w:p>
    <w:p w:rsidR="005F05CA" w:rsidP="005F05CA" w14:paraId="5D840278" w14:textId="77777777">
      <w:pPr>
        <w:ind w:firstLine="300"/>
      </w:pPr>
    </w:p>
    <w:p w:rsidR="005F05CA" w:rsidP="005F05CA" w14:paraId="2C5FAE74" w14:textId="77777777">
      <w:pPr>
        <w:ind w:firstLine="300"/>
      </w:pPr>
    </w:p>
    <w:p w:rsidR="005F05CA" w:rsidP="005F05CA" w14:paraId="6DB47174" w14:textId="77777777">
      <w:pPr>
        <w:shd w:val="pct25" w:color="auto" w:fill="auto"/>
        <w:tabs>
          <w:tab w:val="left" w:pos="-720"/>
        </w:tabs>
        <w:suppressAutoHyphens/>
      </w:pPr>
      <w:r w:rsidRPr="00741061">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  </w:t>
      </w:r>
    </w:p>
    <w:p w:rsidR="005F05CA" w:rsidP="005F05CA" w14:paraId="3E715CC3" w14:textId="77777777">
      <w:pPr>
        <w:ind w:firstLine="300"/>
      </w:pPr>
    </w:p>
    <w:p w:rsidR="00351640" w:rsidP="00351640" w14:paraId="1E0074CA" w14:textId="77777777">
      <w:pPr>
        <w:ind w:left="300"/>
      </w:pPr>
      <w:r>
        <w:t>The annualized cost to the Federal government is $71,967. This cost was determined by employee salary hours devoted to the program and overhead.</w:t>
      </w:r>
    </w:p>
    <w:p w:rsidR="00D34F55" w:rsidP="00D34F55" w14:paraId="128D3BF5" w14:textId="77777777">
      <w:pPr>
        <w:ind w:left="300"/>
      </w:pPr>
    </w:p>
    <w:p w:rsidR="00D34F55" w:rsidRPr="00741061" w:rsidP="00D34F55" w14:paraId="4F41DFEC" w14:textId="77777777">
      <w:pPr>
        <w:pStyle w:val="ListParagraph"/>
        <w:shd w:val="pct25" w:color="auto" w:fill="auto"/>
        <w:tabs>
          <w:tab w:val="left" w:pos="-720"/>
        </w:tabs>
        <w:suppressAutoHyphens/>
        <w:ind w:left="0"/>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7A6C6A" w:rsidP="00BC5298" w14:paraId="2D384A3C" w14:textId="77777777">
      <w:pPr>
        <w:ind w:left="720" w:hanging="420"/>
      </w:pPr>
    </w:p>
    <w:p w:rsidR="000C53CD" w:rsidP="00BC5298" w14:paraId="6384B00B" w14:textId="77777777">
      <w:pPr>
        <w:ind w:left="720" w:hanging="420"/>
      </w:pPr>
      <w:r>
        <w:t xml:space="preserve">  There are no changes.</w:t>
      </w:r>
    </w:p>
    <w:p w:rsidR="00D34F55" w:rsidRPr="00741061" w:rsidP="00D34F55" w14:paraId="74628470" w14:textId="77777777">
      <w:pPr>
        <w:pStyle w:val="ListParagraph"/>
        <w:tabs>
          <w:tab w:val="left" w:pos="-720"/>
        </w:tabs>
        <w:suppressAutoHyphens/>
        <w:ind w:left="0"/>
      </w:pPr>
    </w:p>
    <w:p w:rsidR="00D34F55" w:rsidRPr="00741061" w:rsidP="00D34F55" w14:paraId="027FB2DA" w14:textId="77777777">
      <w:pPr>
        <w:pStyle w:val="ListParagraph"/>
        <w:shd w:val="pct25" w:color="auto" w:fill="auto"/>
        <w:tabs>
          <w:tab w:val="left" w:pos="-720"/>
        </w:tabs>
        <w:suppressAutoHyphens/>
        <w:ind w:left="0"/>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D34F55" w:rsidP="00D34F55" w14:paraId="77FD19E7" w14:textId="77777777">
      <w:pPr>
        <w:ind w:firstLine="300"/>
      </w:pPr>
    </w:p>
    <w:p w:rsidR="000C53CD" w:rsidP="00D34F55" w14:paraId="43D7A26A" w14:textId="77777777">
      <w:pPr>
        <w:ind w:firstLine="300"/>
      </w:pPr>
      <w:r>
        <w:t>The results of this information collection are not published.</w:t>
      </w:r>
    </w:p>
    <w:p w:rsidR="00D34F55" w:rsidP="00D34F55" w14:paraId="427E91DA" w14:textId="77777777">
      <w:pPr>
        <w:ind w:firstLine="300"/>
      </w:pPr>
    </w:p>
    <w:p w:rsidR="00D34F55" w:rsidRPr="00741061" w:rsidP="00D34F55" w14:paraId="0CAE2DC4" w14:textId="77777777">
      <w:pPr>
        <w:pStyle w:val="ListParagraph"/>
        <w:shd w:val="pct25" w:color="auto" w:fill="auto"/>
        <w:tabs>
          <w:tab w:val="left" w:pos="-720"/>
        </w:tabs>
        <w:suppressAutoHyphens/>
        <w:ind w:left="0"/>
      </w:pPr>
      <w:r w:rsidRPr="00741061">
        <w:t>17.  If seeking approval to not display the expiration date for OMB approval of the information collection, explain reasons that display would be inappropriate.</w:t>
      </w:r>
    </w:p>
    <w:p w:rsidR="000C53CD" w:rsidP="00BC5298" w14:paraId="111E7C51" w14:textId="77777777">
      <w:pPr>
        <w:ind w:left="720" w:hanging="420"/>
      </w:pPr>
    </w:p>
    <w:p w:rsidR="000A50D8" w:rsidP="00D34F55" w14:paraId="5993E72C" w14:textId="29F6F053">
      <w:pPr>
        <w:ind w:left="300"/>
      </w:pPr>
      <w:r>
        <w:t>Pursuant to title 5 CFR 1320.8(b)(1), it would not be appropriate to display the OMB clearance expiration date because there is no</w:t>
      </w:r>
      <w:r w:rsidRPr="000A50D8">
        <w:t xml:space="preserve"> form that captures all possible required data elements from every reemployed annuitant</w:t>
      </w:r>
      <w:r>
        <w:t>.</w:t>
      </w:r>
      <w:r w:rsidRPr="000A50D8">
        <w:t xml:space="preserve"> </w:t>
      </w:r>
      <w:r w:rsidRPr="000A50D8" w:rsidR="00E25D8D">
        <w:t>Reemployment of Annuitants</w:t>
      </w:r>
      <w:r w:rsidRPr="000A50D8">
        <w:t xml:space="preserve"> requires agencies to collect information from retirees who become employed in Government </w:t>
      </w:r>
      <w:r>
        <w:t>positions.</w:t>
      </w:r>
      <w:r w:rsidRPr="000A50D8">
        <w:t xml:space="preserve"> This regulation allows the agency to make a unique collection of only the information needed for a particular customer case and not over-burden our entire customer base by sending a generic information collection request (ICR) that requires them to possibly review and complete information that we may already have access to.</w:t>
      </w:r>
    </w:p>
    <w:p w:rsidR="00D34F55" w:rsidP="00D34F55" w14:paraId="1A186239" w14:textId="77777777">
      <w:pPr>
        <w:ind w:left="300"/>
      </w:pPr>
    </w:p>
    <w:p w:rsidR="00D34F55" w:rsidRPr="00741061" w:rsidP="00D34F55" w14:paraId="347CD304" w14:textId="77777777">
      <w:pPr>
        <w:pStyle w:val="ListParagraph"/>
        <w:shd w:val="pct25" w:color="auto" w:fill="auto"/>
        <w:tabs>
          <w:tab w:val="left" w:pos="-720"/>
        </w:tabs>
        <w:suppressAutoHyphens/>
        <w:ind w:left="0"/>
      </w:pPr>
      <w:r w:rsidRPr="00741061">
        <w:t>18.  Explain each exception to the certification statement identified in Item 19 “Certification for Paperwork Reduction Act Submissions,” of OMB Form 83-I.</w:t>
      </w:r>
    </w:p>
    <w:p w:rsidR="00D34F55" w:rsidP="00D34F55" w14:paraId="33B7FDAC" w14:textId="77777777">
      <w:pPr>
        <w:ind w:left="300"/>
      </w:pPr>
    </w:p>
    <w:p w:rsidR="000C53CD" w:rsidP="00D34F55" w14:paraId="348B7252" w14:textId="77777777">
      <w:pPr>
        <w:ind w:left="720" w:hanging="420"/>
      </w:pPr>
      <w:r>
        <w:t>There are no exceptions to the certification statement.</w:t>
      </w:r>
    </w:p>
    <w:p w:rsidR="000C53CD" w:rsidP="000C53CD" w14:paraId="64AD8E86" w14:textId="77777777"/>
    <w:p w:rsidR="000C53CD" w:rsidP="000C53CD" w14:paraId="7141A99B" w14:textId="77777777"/>
    <w:sectPr w:rsidSect="00263F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C875AC"/>
    <w:multiLevelType w:val="singleLevel"/>
    <w:tmpl w:val="57722588"/>
    <w:lvl w:ilvl="0">
      <w:start w:val="1"/>
      <w:numFmt w:val="decimal"/>
      <w:lvlText w:val="%1."/>
      <w:lvlJc w:val="left"/>
      <w:pPr>
        <w:tabs>
          <w:tab w:val="num" w:pos="720"/>
        </w:tabs>
        <w:ind w:left="720" w:hanging="360"/>
      </w:pPr>
      <w:rPr>
        <w:rFonts w:hint="default"/>
      </w:rPr>
    </w:lvl>
  </w:abstractNum>
  <w:abstractNum w:abstractNumId="1">
    <w:nsid w:val="1DF97DA7"/>
    <w:multiLevelType w:val="singleLevel"/>
    <w:tmpl w:val="57722588"/>
    <w:lvl w:ilvl="0">
      <w:start w:val="1"/>
      <w:numFmt w:val="decimal"/>
      <w:lvlText w:val="%1."/>
      <w:lvlJc w:val="left"/>
      <w:pPr>
        <w:tabs>
          <w:tab w:val="num" w:pos="720"/>
        </w:tabs>
        <w:ind w:left="720" w:hanging="360"/>
      </w:pPr>
      <w:rPr>
        <w:rFonts w:hint="default"/>
      </w:rPr>
    </w:lvl>
  </w:abstractNum>
  <w:abstractNum w:abstractNumId="2">
    <w:nsid w:val="2CA610D6"/>
    <w:multiLevelType w:val="singleLevel"/>
    <w:tmpl w:val="57722588"/>
    <w:lvl w:ilvl="0">
      <w:start w:val="1"/>
      <w:numFmt w:val="decimal"/>
      <w:lvlText w:val="%1."/>
      <w:lvlJc w:val="left"/>
      <w:pPr>
        <w:tabs>
          <w:tab w:val="num" w:pos="720"/>
        </w:tabs>
        <w:ind w:left="720" w:hanging="360"/>
      </w:pPr>
      <w:rPr>
        <w:rFonts w:hint="default"/>
      </w:rPr>
    </w:lvl>
  </w:abstractNum>
  <w:abstractNum w:abstractNumId="3">
    <w:nsid w:val="61571BAC"/>
    <w:multiLevelType w:val="singleLevel"/>
    <w:tmpl w:val="57722588"/>
    <w:lvl w:ilvl="0">
      <w:start w:val="1"/>
      <w:numFmt w:val="decimal"/>
      <w:lvlText w:val="%1."/>
      <w:lvlJc w:val="left"/>
      <w:pPr>
        <w:tabs>
          <w:tab w:val="num" w:pos="720"/>
        </w:tabs>
        <w:ind w:left="720" w:hanging="360"/>
      </w:pPr>
      <w:rPr>
        <w:rFonts w:hint="default"/>
      </w:rPr>
    </w:lvl>
  </w:abstractNum>
  <w:abstractNum w:abstractNumId="4">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2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07F"/>
    <w:rsid w:val="00014433"/>
    <w:rsid w:val="0003069F"/>
    <w:rsid w:val="000A50D8"/>
    <w:rsid w:val="000C53CD"/>
    <w:rsid w:val="001517E9"/>
    <w:rsid w:val="00174A80"/>
    <w:rsid w:val="001B266F"/>
    <w:rsid w:val="00263F91"/>
    <w:rsid w:val="002A30F3"/>
    <w:rsid w:val="002C42D9"/>
    <w:rsid w:val="00314D03"/>
    <w:rsid w:val="00351640"/>
    <w:rsid w:val="003778B8"/>
    <w:rsid w:val="00390F60"/>
    <w:rsid w:val="003B6808"/>
    <w:rsid w:val="003D20E8"/>
    <w:rsid w:val="00443119"/>
    <w:rsid w:val="004D6EEE"/>
    <w:rsid w:val="004F2EDD"/>
    <w:rsid w:val="0053786D"/>
    <w:rsid w:val="005464C6"/>
    <w:rsid w:val="005D4F0A"/>
    <w:rsid w:val="005D507F"/>
    <w:rsid w:val="005D597B"/>
    <w:rsid w:val="005E399C"/>
    <w:rsid w:val="005F05CA"/>
    <w:rsid w:val="00607CD8"/>
    <w:rsid w:val="006216BD"/>
    <w:rsid w:val="00627841"/>
    <w:rsid w:val="006573D6"/>
    <w:rsid w:val="0068082F"/>
    <w:rsid w:val="00741061"/>
    <w:rsid w:val="00781FEF"/>
    <w:rsid w:val="00790267"/>
    <w:rsid w:val="007A6C6A"/>
    <w:rsid w:val="007F645F"/>
    <w:rsid w:val="00836802"/>
    <w:rsid w:val="008A51E5"/>
    <w:rsid w:val="00931BD8"/>
    <w:rsid w:val="009A4D6A"/>
    <w:rsid w:val="009B7453"/>
    <w:rsid w:val="00A030B3"/>
    <w:rsid w:val="00A032AA"/>
    <w:rsid w:val="00A10BE7"/>
    <w:rsid w:val="00AC3699"/>
    <w:rsid w:val="00AE7945"/>
    <w:rsid w:val="00B22986"/>
    <w:rsid w:val="00B772A0"/>
    <w:rsid w:val="00BA4B50"/>
    <w:rsid w:val="00BC5298"/>
    <w:rsid w:val="00BD5B38"/>
    <w:rsid w:val="00BF1F01"/>
    <w:rsid w:val="00BF5236"/>
    <w:rsid w:val="00C14728"/>
    <w:rsid w:val="00CA53EA"/>
    <w:rsid w:val="00CE3184"/>
    <w:rsid w:val="00CE32D7"/>
    <w:rsid w:val="00D34F55"/>
    <w:rsid w:val="00D359C3"/>
    <w:rsid w:val="00D600E6"/>
    <w:rsid w:val="00DD3549"/>
    <w:rsid w:val="00E25D8D"/>
    <w:rsid w:val="00E95301"/>
    <w:rsid w:val="00EE365B"/>
    <w:rsid w:val="00F26AFA"/>
    <w:rsid w:val="00F349F0"/>
    <w:rsid w:val="00F53904"/>
    <w:rsid w:val="00F97E86"/>
    <w:rsid w:val="00FC5E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7D8A40"/>
  <w15:chartTrackingRefBased/>
  <w15:docId w15:val="{4AC38E93-96DB-45E7-9FDC-6FDC5778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6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07CD8"/>
    <w:rPr>
      <w:color w:val="0000FF"/>
      <w:u w:val="single"/>
    </w:rPr>
  </w:style>
  <w:style w:type="paragraph" w:styleId="BalloonText">
    <w:name w:val="Balloon Text"/>
    <w:basedOn w:val="Normal"/>
    <w:semiHidden/>
    <w:rsid w:val="006573D6"/>
    <w:rPr>
      <w:rFonts w:ascii="Tahoma" w:hAnsi="Tahoma" w:cs="Tahoma"/>
      <w:sz w:val="16"/>
      <w:szCs w:val="16"/>
    </w:rPr>
  </w:style>
  <w:style w:type="character" w:styleId="FollowedHyperlink">
    <w:name w:val="FollowedHyperlink"/>
    <w:uiPriority w:val="99"/>
    <w:semiHidden/>
    <w:unhideWhenUsed/>
    <w:rsid w:val="00AE7945"/>
    <w:rPr>
      <w:color w:val="800080"/>
      <w:u w:val="single"/>
    </w:rPr>
  </w:style>
  <w:style w:type="paragraph" w:styleId="ListParagraph">
    <w:name w:val="List Paragraph"/>
    <w:basedOn w:val="Normal"/>
    <w:uiPriority w:val="34"/>
    <w:qFormat/>
    <w:rsid w:val="00CE32D7"/>
    <w:pPr>
      <w:ind w:left="720"/>
      <w:contextualSpacing/>
    </w:pPr>
    <w:rPr>
      <w:szCs w:val="20"/>
    </w:rPr>
  </w:style>
  <w:style w:type="table" w:styleId="TableGrid">
    <w:name w:val="Table Grid"/>
    <w:basedOn w:val="TableNormal"/>
    <w:uiPriority w:val="59"/>
    <w:rsid w:val="00AC3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Benson, Cyrus S</cp:lastModifiedBy>
  <cp:revision>6</cp:revision>
  <cp:lastPrinted>2007-03-14T15:06:00Z</cp:lastPrinted>
  <dcterms:created xsi:type="dcterms:W3CDTF">2022-08-02T15:41:00Z</dcterms:created>
  <dcterms:modified xsi:type="dcterms:W3CDTF">2022-08-02T16:01:00Z</dcterms:modified>
</cp:coreProperties>
</file>